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FA574" w14:textId="77777777" w:rsidR="00AA5920" w:rsidRDefault="00AA5920" w:rsidP="00DD52B6">
      <w:pPr>
        <w:pStyle w:val="Articletitle"/>
        <w:jc w:val="both"/>
        <w:rPr>
          <w:sz w:val="24"/>
        </w:rPr>
      </w:pPr>
      <w:bookmarkStart w:id="0" w:name="_Hlk47253934"/>
      <w:bookmarkStart w:id="1" w:name="_GoBack"/>
      <w:bookmarkEnd w:id="1"/>
    </w:p>
    <w:p w14:paraId="19553882" w14:textId="77777777" w:rsidR="00AA5920" w:rsidRPr="00501A19" w:rsidRDefault="00AA5920" w:rsidP="00AA5920">
      <w:pPr>
        <w:pStyle w:val="Articletitle"/>
      </w:pPr>
      <w:r>
        <w:t>Enabling</w:t>
      </w:r>
      <w:r w:rsidRPr="00501A19">
        <w:t xml:space="preserve"> ambitious science teachers in urban challenging settings: The Hope Challenge </w:t>
      </w:r>
      <w:r>
        <w:t>m</w:t>
      </w:r>
      <w:r w:rsidRPr="00501A19">
        <w:t xml:space="preserve">odel </w:t>
      </w:r>
    </w:p>
    <w:p w14:paraId="756586B3" w14:textId="77777777" w:rsidR="00AA5920" w:rsidRDefault="00AA5920" w:rsidP="00AA5920">
      <w:pPr>
        <w:pStyle w:val="Authornames"/>
      </w:pPr>
      <w:r w:rsidRPr="00501A19">
        <w:t xml:space="preserve">Sue </w:t>
      </w:r>
      <w:proofErr w:type="spellStart"/>
      <w:r w:rsidRPr="00501A19">
        <w:t>Cronin</w:t>
      </w:r>
      <w:r w:rsidRPr="00394920">
        <w:rPr>
          <w:vertAlign w:val="superscript"/>
        </w:rPr>
        <w:t>a</w:t>
      </w:r>
      <w:proofErr w:type="spellEnd"/>
      <w:r>
        <w:t>*</w:t>
      </w:r>
      <w:r w:rsidRPr="00501A19">
        <w:t xml:space="preserve">, Tina </w:t>
      </w:r>
      <w:proofErr w:type="spellStart"/>
      <w:r w:rsidRPr="00501A19">
        <w:t>Cook</w:t>
      </w:r>
      <w:r w:rsidRPr="00394920">
        <w:rPr>
          <w:vertAlign w:val="superscript"/>
        </w:rPr>
        <w:t>a</w:t>
      </w:r>
      <w:proofErr w:type="spellEnd"/>
      <w:r>
        <w:t>, Christina</w:t>
      </w:r>
      <w:r w:rsidRPr="00501A19">
        <w:t xml:space="preserve"> </w:t>
      </w:r>
      <w:proofErr w:type="spellStart"/>
      <w:r w:rsidRPr="00501A19">
        <w:t>Flattery</w:t>
      </w:r>
      <w:r>
        <w:rPr>
          <w:vertAlign w:val="superscript"/>
        </w:rPr>
        <w:t>b</w:t>
      </w:r>
      <w:proofErr w:type="spellEnd"/>
      <w:r w:rsidRPr="00501A19">
        <w:t xml:space="preserve">, Tim </w:t>
      </w:r>
      <w:proofErr w:type="spellStart"/>
      <w:r w:rsidRPr="00501A19">
        <w:t>Griffiths</w:t>
      </w:r>
      <w:r w:rsidRPr="00394920">
        <w:rPr>
          <w:vertAlign w:val="superscript"/>
        </w:rPr>
        <w:t>a</w:t>
      </w:r>
      <w:proofErr w:type="spellEnd"/>
      <w:r>
        <w:rPr>
          <w:vertAlign w:val="superscript"/>
        </w:rPr>
        <w:t xml:space="preserve"> </w:t>
      </w:r>
      <w:r>
        <w:t xml:space="preserve">and </w:t>
      </w:r>
      <w:r w:rsidRPr="00501A19">
        <w:t xml:space="preserve">Susan </w:t>
      </w:r>
      <w:proofErr w:type="spellStart"/>
      <w:r w:rsidRPr="00501A19">
        <w:t>Rodrigues</w:t>
      </w:r>
      <w:r w:rsidRPr="00394920">
        <w:rPr>
          <w:vertAlign w:val="superscript"/>
        </w:rPr>
        <w:t>a</w:t>
      </w:r>
      <w:proofErr w:type="spellEnd"/>
    </w:p>
    <w:p w14:paraId="52ED7910" w14:textId="77777777" w:rsidR="00AA5920" w:rsidRPr="00FF4842" w:rsidRDefault="00AA5920" w:rsidP="00AA5920">
      <w:pPr>
        <w:pStyle w:val="Affiliation"/>
        <w:rPr>
          <w:vertAlign w:val="superscript"/>
        </w:rPr>
      </w:pPr>
      <w:r w:rsidRPr="00394920">
        <w:rPr>
          <w:vertAlign w:val="superscript"/>
        </w:rPr>
        <w:t>a</w:t>
      </w:r>
      <w:r>
        <w:rPr>
          <w:vertAlign w:val="superscript"/>
        </w:rPr>
        <w:t xml:space="preserve"> </w:t>
      </w:r>
      <w:r>
        <w:t xml:space="preserve">Teacher Education, </w:t>
      </w:r>
      <w:r w:rsidRPr="00501A19">
        <w:t>Liverpool Hope University</w:t>
      </w:r>
      <w:r>
        <w:t xml:space="preserve">, Liverpool, UK; </w:t>
      </w:r>
      <w:r>
        <w:rPr>
          <w:vertAlign w:val="superscript"/>
        </w:rPr>
        <w:t xml:space="preserve">b </w:t>
      </w:r>
      <w:proofErr w:type="spellStart"/>
      <w:r>
        <w:t>Croxteth</w:t>
      </w:r>
      <w:proofErr w:type="spellEnd"/>
      <w:r>
        <w:t xml:space="preserve"> Community Primary School, Liverpool, UK</w:t>
      </w:r>
    </w:p>
    <w:p w14:paraId="7B4A3459" w14:textId="77777777" w:rsidR="00AA5920" w:rsidRDefault="00AA5920" w:rsidP="00AA5920">
      <w:pPr>
        <w:pStyle w:val="Correspondencedetails"/>
      </w:pPr>
      <w:r>
        <w:t>*</w:t>
      </w:r>
      <w:hyperlink r:id="rId8" w:history="1">
        <w:r w:rsidRPr="00D3678F">
          <w:rPr>
            <w:rStyle w:val="Hyperlink"/>
          </w:rPr>
          <w:t>cronins@hope.ac.uk</w:t>
        </w:r>
      </w:hyperlink>
    </w:p>
    <w:p w14:paraId="68C73CDB" w14:textId="77777777" w:rsidR="00AA5920" w:rsidRPr="00501A19" w:rsidDel="004C3207" w:rsidRDefault="00AA5920" w:rsidP="00AA5920">
      <w:pPr>
        <w:pStyle w:val="Correspondencedetails"/>
      </w:pPr>
    </w:p>
    <w:p w14:paraId="7703964E" w14:textId="3E768795" w:rsidR="00AA5920" w:rsidRDefault="00AA5920" w:rsidP="00DD52B6">
      <w:pPr>
        <w:pStyle w:val="Articletitle"/>
        <w:jc w:val="both"/>
        <w:rPr>
          <w:sz w:val="24"/>
        </w:rPr>
      </w:pPr>
    </w:p>
    <w:p w14:paraId="643C39CA" w14:textId="7581F257" w:rsidR="00AA5920" w:rsidRDefault="00AA5920" w:rsidP="00AA5920"/>
    <w:p w14:paraId="153AEC65" w14:textId="108B8AAD" w:rsidR="00AA5920" w:rsidRDefault="00AA5920" w:rsidP="00AA5920"/>
    <w:p w14:paraId="5453DA39" w14:textId="2FE7B292" w:rsidR="00AA5920" w:rsidRDefault="00AA5920" w:rsidP="00AA5920"/>
    <w:p w14:paraId="66BA5A29" w14:textId="1621CFE8" w:rsidR="00AA5920" w:rsidRDefault="00AA5920" w:rsidP="00AA5920"/>
    <w:p w14:paraId="2A31B82C" w14:textId="50732F00" w:rsidR="00AA5920" w:rsidRDefault="00AA5920" w:rsidP="00AA5920"/>
    <w:p w14:paraId="6DDEE39F" w14:textId="1ACF35B0" w:rsidR="00AA5920" w:rsidRDefault="00AA5920" w:rsidP="00AA5920"/>
    <w:p w14:paraId="1A4B5C35" w14:textId="581D2ABB" w:rsidR="00AA5920" w:rsidRDefault="00AA5920" w:rsidP="00AA5920"/>
    <w:p w14:paraId="71FD1ABA" w14:textId="15F746C3" w:rsidR="00AA5920" w:rsidRDefault="00AA5920" w:rsidP="00AA5920"/>
    <w:p w14:paraId="4A625D9D" w14:textId="3AAE2168" w:rsidR="00AA5920" w:rsidRDefault="00AA5920" w:rsidP="00AA5920"/>
    <w:p w14:paraId="454476A9" w14:textId="6E89101A" w:rsidR="00AA5920" w:rsidRDefault="00AA5920" w:rsidP="00AA5920"/>
    <w:p w14:paraId="1B3BA611" w14:textId="5A5E8DF3" w:rsidR="00AA5920" w:rsidRDefault="00AA5920" w:rsidP="00AA5920"/>
    <w:p w14:paraId="787890D2" w14:textId="4458B78F" w:rsidR="00AA5920" w:rsidRDefault="00AA5920" w:rsidP="00AA5920"/>
    <w:p w14:paraId="1A86B8C0" w14:textId="3D6A6263" w:rsidR="00AA5920" w:rsidRDefault="00AA5920" w:rsidP="00AA5920"/>
    <w:p w14:paraId="354D3221" w14:textId="77777777" w:rsidR="00AA5920" w:rsidRPr="00AA5920" w:rsidRDefault="00AA5920" w:rsidP="00AA5920"/>
    <w:p w14:paraId="1F40F073" w14:textId="77777777" w:rsidR="00AA5920" w:rsidRDefault="00AA5920" w:rsidP="00DD52B6">
      <w:pPr>
        <w:pStyle w:val="Articletitle"/>
        <w:jc w:val="both"/>
        <w:rPr>
          <w:sz w:val="24"/>
        </w:rPr>
      </w:pPr>
    </w:p>
    <w:p w14:paraId="52D9FA98" w14:textId="5FAA31AF" w:rsidR="00BE2D2C" w:rsidRPr="006D0E33" w:rsidRDefault="00BE2D2C" w:rsidP="00DD52B6">
      <w:pPr>
        <w:pStyle w:val="Articletitle"/>
        <w:jc w:val="both"/>
        <w:rPr>
          <w:sz w:val="24"/>
        </w:rPr>
      </w:pPr>
      <w:r w:rsidRPr="006D0E33">
        <w:rPr>
          <w:sz w:val="24"/>
        </w:rPr>
        <w:lastRenderedPageBreak/>
        <w:t xml:space="preserve">Enabling ambitious science teachers in urban challenging settings: The Hope Challenge </w:t>
      </w:r>
      <w:r w:rsidR="00627E06" w:rsidRPr="006D0E33">
        <w:rPr>
          <w:sz w:val="24"/>
        </w:rPr>
        <w:t>M</w:t>
      </w:r>
      <w:r w:rsidRPr="006D0E33">
        <w:rPr>
          <w:sz w:val="24"/>
        </w:rPr>
        <w:t xml:space="preserve">odel </w:t>
      </w:r>
    </w:p>
    <w:p w14:paraId="3FD30375" w14:textId="06CC3077" w:rsidR="00F01BFC" w:rsidRDefault="00BE2D2C" w:rsidP="00AC11FA">
      <w:pPr>
        <w:pStyle w:val="Abstract"/>
        <w:jc w:val="both"/>
        <w:rPr>
          <w:sz w:val="24"/>
        </w:rPr>
      </w:pPr>
      <w:r w:rsidRPr="006D0E33">
        <w:rPr>
          <w:sz w:val="24"/>
        </w:rPr>
        <w:t xml:space="preserve">The call to raise educational standards in the UK has a particular focus on the underachievement of pupils attending schools facing challenging socioeconomic circumstances. </w:t>
      </w:r>
      <w:r w:rsidR="00DD52B6" w:rsidRPr="006D0E33">
        <w:rPr>
          <w:sz w:val="24"/>
        </w:rPr>
        <w:t xml:space="preserve">In 2017 the </w:t>
      </w:r>
      <w:r w:rsidRPr="006D0E33">
        <w:rPr>
          <w:sz w:val="24"/>
        </w:rPr>
        <w:t>Education Policy Institute (UK) report</w:t>
      </w:r>
      <w:r w:rsidR="00DD52B6" w:rsidRPr="006D0E33">
        <w:rPr>
          <w:sz w:val="24"/>
        </w:rPr>
        <w:t>ed</w:t>
      </w:r>
      <w:r w:rsidRPr="006D0E33">
        <w:rPr>
          <w:sz w:val="24"/>
        </w:rPr>
        <w:t xml:space="preserve"> that the most disadvantaged pupils in England are on average over 2 years of learning behind non-disadvantaged pupils by the end of their secondary education</w:t>
      </w:r>
      <w:r w:rsidR="00AC11FA">
        <w:rPr>
          <w:sz w:val="24"/>
        </w:rPr>
        <w:t xml:space="preserve"> </w:t>
      </w:r>
      <w:r w:rsidRPr="006D0E33">
        <w:rPr>
          <w:noProof/>
          <w:sz w:val="24"/>
        </w:rPr>
        <w:t>(Andrews, Hutchinson, &amp; Robinson, 2017)</w:t>
      </w:r>
      <w:r w:rsidRPr="006D0E33">
        <w:rPr>
          <w:sz w:val="24"/>
        </w:rPr>
        <w:t xml:space="preserve">. Contributing to this underachievement is the notion of ‘poverty of expectation’ </w:t>
      </w:r>
      <w:r w:rsidR="000408C4">
        <w:rPr>
          <w:sz w:val="24"/>
        </w:rPr>
        <w:t>with</w:t>
      </w:r>
      <w:r w:rsidRPr="006D0E33">
        <w:rPr>
          <w:sz w:val="24"/>
        </w:rPr>
        <w:t xml:space="preserve"> some teachers </w:t>
      </w:r>
      <w:r w:rsidR="00AC11FA">
        <w:rPr>
          <w:sz w:val="24"/>
        </w:rPr>
        <w:t>being</w:t>
      </w:r>
      <w:r w:rsidRPr="006D0E33">
        <w:rPr>
          <w:sz w:val="24"/>
        </w:rPr>
        <w:t xml:space="preserve"> unambitious in their teaching</w:t>
      </w:r>
      <w:r w:rsidR="00AC11FA">
        <w:rPr>
          <w:sz w:val="24"/>
        </w:rPr>
        <w:t xml:space="preserve"> and</w:t>
      </w:r>
      <w:r w:rsidRPr="006D0E33">
        <w:rPr>
          <w:sz w:val="24"/>
        </w:rPr>
        <w:t xml:space="preserve"> failing to challenge their pupils to achieve at the highest levels </w:t>
      </w:r>
      <w:r w:rsidRPr="006D0E33">
        <w:rPr>
          <w:noProof/>
          <w:sz w:val="24"/>
        </w:rPr>
        <w:t>(Hollins, 2012)</w:t>
      </w:r>
      <w:r w:rsidRPr="006D0E33">
        <w:rPr>
          <w:sz w:val="24"/>
        </w:rPr>
        <w:t>. In primary science education this is exacerbated by the fact that non</w:t>
      </w:r>
      <w:r w:rsidR="000408C4">
        <w:rPr>
          <w:sz w:val="24"/>
        </w:rPr>
        <w:t>-</w:t>
      </w:r>
      <w:r w:rsidRPr="006D0E33">
        <w:rPr>
          <w:sz w:val="24"/>
        </w:rPr>
        <w:t xml:space="preserve">specialist teachers commonly deliver the primary science curriculum. Lack of confidence and expertise in this subject area can limit knowledge of teaching strategies and approaches required to engage and stretch pupils </w:t>
      </w:r>
      <w:r w:rsidRPr="006D0E33">
        <w:rPr>
          <w:noProof/>
          <w:sz w:val="24"/>
        </w:rPr>
        <w:t>(Appleton, 2006)</w:t>
      </w:r>
      <w:r w:rsidRPr="006D0E33">
        <w:rPr>
          <w:sz w:val="24"/>
        </w:rPr>
        <w:t xml:space="preserve">. </w:t>
      </w:r>
    </w:p>
    <w:p w14:paraId="19140C2E" w14:textId="77777777" w:rsidR="000408C4" w:rsidRPr="00487BB1" w:rsidRDefault="00F01BFC" w:rsidP="000408C4">
      <w:pPr>
        <w:pStyle w:val="Abstract"/>
        <w:ind w:firstLine="720"/>
        <w:jc w:val="both"/>
        <w:rPr>
          <w:color w:val="000000" w:themeColor="text1"/>
          <w:sz w:val="24"/>
        </w:rPr>
      </w:pPr>
      <w:r w:rsidRPr="00487BB1">
        <w:rPr>
          <w:color w:val="000000" w:themeColor="text1"/>
          <w:sz w:val="24"/>
        </w:rPr>
        <w:t>The</w:t>
      </w:r>
      <w:r w:rsidR="009843DF" w:rsidRPr="00487BB1">
        <w:rPr>
          <w:color w:val="000000" w:themeColor="text1"/>
          <w:sz w:val="24"/>
        </w:rPr>
        <w:t xml:space="preserve"> </w:t>
      </w:r>
      <w:r w:rsidRPr="00487BB1">
        <w:rPr>
          <w:color w:val="000000" w:themeColor="text1"/>
          <w:sz w:val="24"/>
        </w:rPr>
        <w:t xml:space="preserve">Hope Challenge Model (HCM) </w:t>
      </w:r>
      <w:r w:rsidR="000408C4" w:rsidRPr="00487BB1">
        <w:rPr>
          <w:color w:val="000000" w:themeColor="text1"/>
          <w:sz w:val="24"/>
        </w:rPr>
        <w:t>for partnership brings</w:t>
      </w:r>
      <w:r w:rsidR="009843DF" w:rsidRPr="00487BB1">
        <w:rPr>
          <w:color w:val="000000" w:themeColor="text1"/>
          <w:sz w:val="24"/>
        </w:rPr>
        <w:t xml:space="preserve"> </w:t>
      </w:r>
      <w:r w:rsidRPr="00487BB1">
        <w:rPr>
          <w:color w:val="000000" w:themeColor="text1"/>
          <w:sz w:val="24"/>
        </w:rPr>
        <w:t>together a university’s Initial Teacher Education programme and urban primary school</w:t>
      </w:r>
      <w:r w:rsidR="009843DF" w:rsidRPr="00487BB1">
        <w:rPr>
          <w:color w:val="000000" w:themeColor="text1"/>
          <w:sz w:val="24"/>
        </w:rPr>
        <w:t>s</w:t>
      </w:r>
      <w:r w:rsidRPr="00487BB1">
        <w:rPr>
          <w:color w:val="000000" w:themeColor="text1"/>
          <w:sz w:val="24"/>
        </w:rPr>
        <w:t xml:space="preserve"> facing challenging socio–economic circumstances</w:t>
      </w:r>
      <w:r w:rsidR="00AC11FA" w:rsidRPr="00487BB1">
        <w:rPr>
          <w:color w:val="000000" w:themeColor="text1"/>
          <w:sz w:val="24"/>
        </w:rPr>
        <w:t>.</w:t>
      </w:r>
      <w:r w:rsidRPr="00487BB1">
        <w:rPr>
          <w:color w:val="000000" w:themeColor="text1"/>
          <w:sz w:val="24"/>
        </w:rPr>
        <w:t xml:space="preserve"> </w:t>
      </w:r>
      <w:r w:rsidR="000408C4" w:rsidRPr="00487BB1">
        <w:rPr>
          <w:color w:val="000000" w:themeColor="text1"/>
          <w:sz w:val="24"/>
        </w:rPr>
        <w:t>The</w:t>
      </w:r>
      <w:r w:rsidR="009843DF" w:rsidRPr="00487BB1">
        <w:rPr>
          <w:color w:val="000000" w:themeColor="text1"/>
          <w:sz w:val="24"/>
        </w:rPr>
        <w:t xml:space="preserve"> </w:t>
      </w:r>
      <w:r w:rsidRPr="00487BB1">
        <w:rPr>
          <w:color w:val="000000" w:themeColor="text1"/>
          <w:sz w:val="24"/>
        </w:rPr>
        <w:t>aim</w:t>
      </w:r>
      <w:r w:rsidR="009843DF" w:rsidRPr="00487BB1">
        <w:rPr>
          <w:color w:val="000000" w:themeColor="text1"/>
          <w:sz w:val="24"/>
        </w:rPr>
        <w:t xml:space="preserve"> is </w:t>
      </w:r>
      <w:r w:rsidR="00AC11FA" w:rsidRPr="00487BB1">
        <w:rPr>
          <w:color w:val="000000" w:themeColor="text1"/>
          <w:sz w:val="24"/>
        </w:rPr>
        <w:t>to</w:t>
      </w:r>
      <w:r w:rsidRPr="00487BB1">
        <w:rPr>
          <w:color w:val="000000" w:themeColor="text1"/>
          <w:sz w:val="24"/>
        </w:rPr>
        <w:t xml:space="preserve"> </w:t>
      </w:r>
      <w:r w:rsidR="00AC11FA" w:rsidRPr="00487BB1">
        <w:rPr>
          <w:color w:val="000000" w:themeColor="text1"/>
          <w:sz w:val="24"/>
        </w:rPr>
        <w:t>introduce trainee teachers to schools in a way that build</w:t>
      </w:r>
      <w:r w:rsidR="009843DF" w:rsidRPr="00487BB1">
        <w:rPr>
          <w:color w:val="000000" w:themeColor="text1"/>
          <w:sz w:val="24"/>
        </w:rPr>
        <w:t>s</w:t>
      </w:r>
      <w:r w:rsidR="00AC11FA" w:rsidRPr="00487BB1">
        <w:rPr>
          <w:color w:val="000000" w:themeColor="text1"/>
          <w:sz w:val="24"/>
        </w:rPr>
        <w:t xml:space="preserve"> their confidence and nurture</w:t>
      </w:r>
      <w:r w:rsidR="000408C4" w:rsidRPr="00487BB1">
        <w:rPr>
          <w:color w:val="000000" w:themeColor="text1"/>
          <w:sz w:val="24"/>
        </w:rPr>
        <w:t>s</w:t>
      </w:r>
      <w:r w:rsidR="00AC11FA" w:rsidRPr="00487BB1">
        <w:rPr>
          <w:color w:val="000000" w:themeColor="text1"/>
          <w:sz w:val="24"/>
        </w:rPr>
        <w:t xml:space="preserve"> more ambitious</w:t>
      </w:r>
      <w:r w:rsidR="000408C4" w:rsidRPr="00487BB1">
        <w:rPr>
          <w:color w:val="000000" w:themeColor="text1"/>
          <w:sz w:val="24"/>
        </w:rPr>
        <w:t xml:space="preserve"> </w:t>
      </w:r>
      <w:r w:rsidR="00AC11FA" w:rsidRPr="00487BB1">
        <w:rPr>
          <w:color w:val="000000" w:themeColor="text1"/>
          <w:sz w:val="24"/>
        </w:rPr>
        <w:t>teach</w:t>
      </w:r>
      <w:r w:rsidR="009843DF" w:rsidRPr="00487BB1">
        <w:rPr>
          <w:color w:val="000000" w:themeColor="text1"/>
          <w:sz w:val="24"/>
        </w:rPr>
        <w:t>ing</w:t>
      </w:r>
      <w:r w:rsidR="00AC11FA" w:rsidRPr="00487BB1">
        <w:rPr>
          <w:color w:val="000000" w:themeColor="text1"/>
          <w:sz w:val="24"/>
        </w:rPr>
        <w:t xml:space="preserve"> for the future.</w:t>
      </w:r>
      <w:r w:rsidR="000408C4" w:rsidRPr="00487BB1">
        <w:rPr>
          <w:color w:val="000000" w:themeColor="text1"/>
          <w:sz w:val="24"/>
        </w:rPr>
        <w:t xml:space="preserve"> </w:t>
      </w:r>
    </w:p>
    <w:p w14:paraId="41C61650" w14:textId="23C46744" w:rsidR="00BE2D2C" w:rsidRPr="000408C4" w:rsidRDefault="00BE2D2C" w:rsidP="000408C4">
      <w:pPr>
        <w:pStyle w:val="Abstract"/>
        <w:ind w:firstLine="720"/>
        <w:jc w:val="both"/>
        <w:rPr>
          <w:color w:val="FF0000"/>
          <w:sz w:val="24"/>
        </w:rPr>
      </w:pPr>
      <w:r w:rsidRPr="00487BB1">
        <w:rPr>
          <w:color w:val="000000" w:themeColor="text1"/>
          <w:sz w:val="24"/>
        </w:rPr>
        <w:t xml:space="preserve">This paper </w:t>
      </w:r>
      <w:r w:rsidR="00AC11FA" w:rsidRPr="00487BB1">
        <w:rPr>
          <w:color w:val="000000" w:themeColor="text1"/>
          <w:sz w:val="24"/>
        </w:rPr>
        <w:t xml:space="preserve">provides insights from </w:t>
      </w:r>
      <w:r w:rsidR="00F01BFC" w:rsidRPr="00487BB1">
        <w:rPr>
          <w:color w:val="000000" w:themeColor="text1"/>
          <w:sz w:val="24"/>
        </w:rPr>
        <w:t xml:space="preserve">an action research </w:t>
      </w:r>
      <w:r w:rsidR="000408C4" w:rsidRPr="00487BB1">
        <w:rPr>
          <w:color w:val="000000" w:themeColor="text1"/>
          <w:sz w:val="24"/>
        </w:rPr>
        <w:t xml:space="preserve">study </w:t>
      </w:r>
      <w:r w:rsidR="00AC11FA" w:rsidRPr="00487BB1">
        <w:rPr>
          <w:color w:val="000000" w:themeColor="text1"/>
          <w:sz w:val="24"/>
        </w:rPr>
        <w:t xml:space="preserve">designed to understand </w:t>
      </w:r>
      <w:r w:rsidR="00F01BFC" w:rsidRPr="00487BB1">
        <w:rPr>
          <w:color w:val="000000" w:themeColor="text1"/>
          <w:sz w:val="24"/>
        </w:rPr>
        <w:t>th</w:t>
      </w:r>
      <w:r w:rsidR="00AC11FA" w:rsidRPr="00487BB1">
        <w:rPr>
          <w:color w:val="000000" w:themeColor="text1"/>
          <w:sz w:val="24"/>
        </w:rPr>
        <w:t>e processes and impact of the HCM</w:t>
      </w:r>
      <w:r w:rsidR="00F01BFC" w:rsidRPr="00487BB1">
        <w:rPr>
          <w:color w:val="000000" w:themeColor="text1"/>
          <w:sz w:val="24"/>
        </w:rPr>
        <w:t xml:space="preserve"> </w:t>
      </w:r>
      <w:r w:rsidRPr="00487BB1">
        <w:rPr>
          <w:color w:val="000000" w:themeColor="text1"/>
          <w:sz w:val="24"/>
        </w:rPr>
        <w:t xml:space="preserve">model </w:t>
      </w:r>
      <w:r w:rsidR="00AC11FA" w:rsidRPr="00487BB1">
        <w:rPr>
          <w:color w:val="000000" w:themeColor="text1"/>
          <w:sz w:val="24"/>
        </w:rPr>
        <w:t>(an action research cycle in itself)</w:t>
      </w:r>
      <w:r w:rsidR="009843DF" w:rsidRPr="00487BB1">
        <w:rPr>
          <w:color w:val="000000" w:themeColor="text1"/>
          <w:sz w:val="24"/>
        </w:rPr>
        <w:t xml:space="preserve"> on primary science teaching</w:t>
      </w:r>
      <w:r w:rsidR="00AC11FA" w:rsidRPr="00487BB1">
        <w:rPr>
          <w:color w:val="000000" w:themeColor="text1"/>
          <w:sz w:val="24"/>
        </w:rPr>
        <w:t xml:space="preserve">.  </w:t>
      </w:r>
      <w:r w:rsidRPr="00487BB1">
        <w:rPr>
          <w:rFonts w:eastAsia="ヒラギノ角ゴ ProN W3"/>
          <w:bCs/>
          <w:color w:val="000000" w:themeColor="text1"/>
          <w:kern w:val="24"/>
          <w:sz w:val="24"/>
        </w:rPr>
        <w:t xml:space="preserve">Early findings </w:t>
      </w:r>
      <w:r w:rsidR="00742423" w:rsidRPr="00487BB1">
        <w:rPr>
          <w:rFonts w:eastAsia="ヒラギノ角ゴ ProN W3"/>
          <w:bCs/>
          <w:color w:val="000000" w:themeColor="text1"/>
          <w:kern w:val="24"/>
          <w:sz w:val="24"/>
        </w:rPr>
        <w:t>revealed</w:t>
      </w:r>
      <w:r w:rsidR="000408C4" w:rsidRPr="00487BB1">
        <w:rPr>
          <w:rFonts w:eastAsia="ヒラギノ角ゴ ProN W3"/>
          <w:bCs/>
          <w:color w:val="000000" w:themeColor="text1"/>
          <w:kern w:val="24"/>
          <w:sz w:val="24"/>
        </w:rPr>
        <w:t xml:space="preserve"> </w:t>
      </w:r>
      <w:r w:rsidR="00404C31" w:rsidRPr="00487BB1">
        <w:rPr>
          <w:rFonts w:eastAsia="ヒラギノ角ゴ ProN W3"/>
          <w:bCs/>
          <w:color w:val="000000" w:themeColor="text1"/>
          <w:kern w:val="24"/>
          <w:sz w:val="24"/>
        </w:rPr>
        <w:t>how</w:t>
      </w:r>
      <w:r w:rsidR="000408C4" w:rsidRPr="00487BB1">
        <w:rPr>
          <w:rFonts w:eastAsia="ヒラギノ角ゴ ProN W3"/>
          <w:bCs/>
          <w:color w:val="000000" w:themeColor="text1"/>
          <w:kern w:val="24"/>
          <w:sz w:val="24"/>
        </w:rPr>
        <w:t xml:space="preserve"> certain elements of</w:t>
      </w:r>
      <w:r w:rsidRPr="00487BB1">
        <w:rPr>
          <w:rFonts w:eastAsia="ヒラギノ角ゴ ProN W3"/>
          <w:bCs/>
          <w:color w:val="000000" w:themeColor="text1"/>
          <w:kern w:val="24"/>
          <w:sz w:val="24"/>
        </w:rPr>
        <w:t xml:space="preserve"> the </w:t>
      </w:r>
      <w:r w:rsidRPr="006D0E33">
        <w:rPr>
          <w:rFonts w:eastAsia="ヒラギノ角ゴ ProN W3"/>
          <w:bCs/>
          <w:kern w:val="24"/>
          <w:sz w:val="24"/>
        </w:rPr>
        <w:t>HCM</w:t>
      </w:r>
      <w:r w:rsidR="00742423">
        <w:rPr>
          <w:rFonts w:eastAsia="ヒラギノ角ゴ ProN W3"/>
          <w:bCs/>
          <w:kern w:val="24"/>
          <w:sz w:val="24"/>
        </w:rPr>
        <w:t xml:space="preserve"> approach</w:t>
      </w:r>
      <w:r w:rsidRPr="006D0E33">
        <w:rPr>
          <w:rFonts w:eastAsia="ヒラギノ角ゴ ProN W3"/>
          <w:bCs/>
          <w:kern w:val="24"/>
          <w:sz w:val="24"/>
        </w:rPr>
        <w:t xml:space="preserve"> </w:t>
      </w:r>
      <w:r w:rsidR="009843DF">
        <w:rPr>
          <w:rFonts w:eastAsia="ヒラギノ角ゴ ProN W3"/>
          <w:bCs/>
          <w:kern w:val="24"/>
          <w:sz w:val="24"/>
        </w:rPr>
        <w:t>supported</w:t>
      </w:r>
      <w:r w:rsidRPr="006D0E33">
        <w:rPr>
          <w:sz w:val="24"/>
        </w:rPr>
        <w:t xml:space="preserve"> the goal of more ambitious science teaching in respect of the trainees and importantly, this rippled out to build the confidence and skills of more </w:t>
      </w:r>
      <w:r w:rsidRPr="006D0E33">
        <w:rPr>
          <w:rFonts w:eastAsia="ヒラギノ角ゴ ProN W3"/>
          <w:bCs/>
          <w:kern w:val="24"/>
          <w:sz w:val="24"/>
        </w:rPr>
        <w:t xml:space="preserve">established school-based staff. </w:t>
      </w:r>
    </w:p>
    <w:bookmarkEnd w:id="0"/>
    <w:p w14:paraId="3FC80E1C" w14:textId="31FDBB72" w:rsidR="00BE2D2C" w:rsidRPr="001A78B8" w:rsidRDefault="00997B0F" w:rsidP="001A78B8">
      <w:pPr>
        <w:pStyle w:val="Keywords"/>
        <w:jc w:val="both"/>
        <w:rPr>
          <w:sz w:val="24"/>
        </w:rPr>
      </w:pPr>
      <w:r w:rsidRPr="006D0E33">
        <w:rPr>
          <w:sz w:val="24"/>
        </w:rPr>
        <w:t xml:space="preserve">Keywords: </w:t>
      </w:r>
      <w:r w:rsidR="00BE2D2C" w:rsidRPr="00487BB1">
        <w:rPr>
          <w:b/>
          <w:sz w:val="24"/>
        </w:rPr>
        <w:t>ambitious teaching, science teaching, partnership, challenging circumstances, action research</w:t>
      </w:r>
      <w:r w:rsidR="00BE2D2C" w:rsidRPr="006D0E33">
        <w:rPr>
          <w:sz w:val="24"/>
        </w:rPr>
        <w:t xml:space="preserve"> </w:t>
      </w:r>
    </w:p>
    <w:p w14:paraId="3121D6BF" w14:textId="05A358F7" w:rsidR="00BE2D2C" w:rsidRPr="006D0E33" w:rsidRDefault="00BE2D2C" w:rsidP="00F379FC">
      <w:pPr>
        <w:pStyle w:val="Heading1"/>
        <w:jc w:val="both"/>
        <w:rPr>
          <w:szCs w:val="24"/>
        </w:rPr>
      </w:pPr>
      <w:r w:rsidRPr="006D0E33">
        <w:rPr>
          <w:szCs w:val="24"/>
        </w:rPr>
        <w:lastRenderedPageBreak/>
        <w:t xml:space="preserve">Introduction </w:t>
      </w:r>
    </w:p>
    <w:p w14:paraId="7A381D72" w14:textId="11C7B525" w:rsidR="00BE2D2C" w:rsidRPr="006D0E33" w:rsidRDefault="00BE2D2C" w:rsidP="008C3E6B">
      <w:pPr>
        <w:pStyle w:val="Newparagraph"/>
        <w:ind w:firstLine="0"/>
        <w:jc w:val="both"/>
      </w:pPr>
      <w:r w:rsidRPr="006D0E33">
        <w:t xml:space="preserve">It is important that teacher educators (TEs) play their part in addressing some of the critical aspects of social justice and academic disparity within the education system as they prepare the next generation of teachers. It was in the belief of the potential of teacher education to support system improvement that the Hope Challenge Model (HCM) was theorised and co-designed. The aim of the HCM was to provide additional, expansive learning opportunities for groups of </w:t>
      </w:r>
      <w:r w:rsidR="00283C0A" w:rsidRPr="006D0E33">
        <w:t xml:space="preserve">student teachers (trainees) </w:t>
      </w:r>
      <w:r w:rsidR="00283C0A" w:rsidRPr="006D0E33">
        <w:rPr>
          <w:rStyle w:val="FootnoteReference"/>
        </w:rPr>
        <w:footnoteReference w:id="1"/>
      </w:r>
      <w:r w:rsidRPr="006D0E33">
        <w:t xml:space="preserve"> that would allow them to develop</w:t>
      </w:r>
      <w:r w:rsidR="009F4A00" w:rsidRPr="006D0E33">
        <w:t xml:space="preserve"> confidence and the</w:t>
      </w:r>
      <w:r w:rsidRPr="006D0E33">
        <w:t xml:space="preserve"> relevant professional skills (in this particular case study, working scientifically) in complex school settings. </w:t>
      </w:r>
    </w:p>
    <w:p w14:paraId="55CEAA3B" w14:textId="0293A208" w:rsidR="00BE2D2C" w:rsidRPr="006D0E33" w:rsidRDefault="00BE2D2C" w:rsidP="008C3E6B">
      <w:pPr>
        <w:pStyle w:val="Newparagraph"/>
        <w:jc w:val="both"/>
        <w:rPr>
          <w:highlight w:val="green"/>
        </w:rPr>
      </w:pPr>
      <w:r w:rsidRPr="006D0E33">
        <w:t>There is an inherent tension for TEs when considering the best way to prepare</w:t>
      </w:r>
      <w:r w:rsidR="00283C0A" w:rsidRPr="006D0E33">
        <w:t xml:space="preserve"> trainees</w:t>
      </w:r>
      <w:r w:rsidRPr="006D0E33">
        <w:t xml:space="preserve"> for the realities of the classroom that is exacerbated within schools in challenging settings </w:t>
      </w:r>
      <w:r w:rsidRPr="006D0E33">
        <w:rPr>
          <w:noProof/>
        </w:rPr>
        <w:t>(Ullucci and Howard, 2015)</w:t>
      </w:r>
      <w:r w:rsidRPr="006D0E33">
        <w:t>. A balance needs to be struck in ensuring trainees begin to understand the complexities and additional challenges resulting from economic and social deprivation that can have an impact on the educational achievement of some pupils, without this becoming either too overwhelming for someone new to the profession or a rationale for lower expectations for pupil achievement. Poverty cannot be overlooked</w:t>
      </w:r>
      <w:r w:rsidR="00283C0A" w:rsidRPr="006D0E33">
        <w:t xml:space="preserve">. Its </w:t>
      </w:r>
      <w:r w:rsidRPr="006D0E33">
        <w:t>effects are multifaceted impacting on health and wellbeing, as well as educational outcomes</w:t>
      </w:r>
      <w:r w:rsidR="00283C0A" w:rsidRPr="006D0E33">
        <w:t xml:space="preserve">, </w:t>
      </w:r>
      <w:r w:rsidRPr="006D0E33">
        <w:t>but poverty does not</w:t>
      </w:r>
      <w:r w:rsidR="00283C0A" w:rsidRPr="006D0E33">
        <w:t>, and should not,</w:t>
      </w:r>
      <w:r w:rsidRPr="006D0E33">
        <w:t xml:space="preserve"> automatically equate to lower standards. As the </w:t>
      </w:r>
      <w:r w:rsidR="003449C7" w:rsidRPr="006D0E33">
        <w:t xml:space="preserve">former </w:t>
      </w:r>
      <w:r w:rsidRPr="006D0E33">
        <w:t xml:space="preserve">chief inspector of the </w:t>
      </w:r>
      <w:r w:rsidRPr="006D0E33">
        <w:rPr>
          <w:shd w:val="clear" w:color="auto" w:fill="FFFFFF"/>
        </w:rPr>
        <w:t xml:space="preserve">Office for Standards in Education (Ofsted) </w:t>
      </w:r>
      <w:r w:rsidRPr="006D0E33">
        <w:t>noted, causal factors are complex. ‘Children from similar backgrounds with similar abilities, but who are born in different regions and attend different schools, end up with widely different prospects because the quality of their education is not consistently good’ (Wilshaw 2013, 3). TEs need to ensure the new generation of teachers do not ‘</w:t>
      </w:r>
      <w:r w:rsidRPr="006D0E33">
        <w:rPr>
          <w:rFonts w:eastAsia="ヒラギノ角ゴ ProN W3"/>
          <w:bCs/>
          <w:kern w:val="24"/>
        </w:rPr>
        <w:t xml:space="preserve">adopt and </w:t>
      </w:r>
      <w:r w:rsidRPr="006D0E33">
        <w:rPr>
          <w:rFonts w:eastAsia="ヒラギノ角ゴ ProN W3"/>
          <w:bCs/>
          <w:kern w:val="24"/>
        </w:rPr>
        <w:lastRenderedPageBreak/>
        <w:t xml:space="preserve">maintain deficit and pathological thinking about the academic potential of students who come from impoverished backgrounds’ </w:t>
      </w:r>
      <w:r w:rsidRPr="006D0E33">
        <w:rPr>
          <w:rFonts w:eastAsia="ヒラギノ角ゴ ProN W3"/>
          <w:bCs/>
          <w:noProof/>
          <w:kern w:val="24"/>
        </w:rPr>
        <w:t>(Ullucci and Howard, 2015, 172)</w:t>
      </w:r>
      <w:r w:rsidRPr="006D0E33">
        <w:rPr>
          <w:rFonts w:eastAsia="ヒラギノ角ゴ ProN W3"/>
          <w:bCs/>
          <w:kern w:val="24"/>
        </w:rPr>
        <w:t>.</w:t>
      </w:r>
    </w:p>
    <w:p w14:paraId="268DD59C" w14:textId="74BBB1FE" w:rsidR="009F4A00" w:rsidRPr="006D0E33" w:rsidRDefault="00BE2D2C" w:rsidP="008C3E6B">
      <w:pPr>
        <w:pStyle w:val="Newparagraph"/>
        <w:jc w:val="both"/>
      </w:pPr>
      <w:r w:rsidRPr="006D0E33">
        <w:t xml:space="preserve">It is known that many newly qualified teachers are reluctant to work in schools identified as challenging </w:t>
      </w:r>
      <w:r w:rsidRPr="006D0E33">
        <w:rPr>
          <w:noProof/>
        </w:rPr>
        <w:t>(Allen and Sims, 2018;  OECD,</w:t>
      </w:r>
      <w:r w:rsidRPr="006D0E33">
        <w:rPr>
          <w:i/>
          <w:noProof/>
        </w:rPr>
        <w:t xml:space="preserve"> </w:t>
      </w:r>
      <w:r w:rsidRPr="006D0E33">
        <w:rPr>
          <w:noProof/>
        </w:rPr>
        <w:t>2017)</w:t>
      </w:r>
      <w:r w:rsidR="003449C7" w:rsidRPr="006D0E33">
        <w:rPr>
          <w:noProof/>
        </w:rPr>
        <w:t>.</w:t>
      </w:r>
      <w:r w:rsidRPr="006D0E33">
        <w:t xml:space="preserve"> </w:t>
      </w:r>
      <w:r w:rsidR="009F4A00" w:rsidRPr="006D0E33">
        <w:t>S</w:t>
      </w:r>
      <w:r w:rsidRPr="006D0E33">
        <w:t xml:space="preserve">uch schools find recruitment of newly qualified teachers with knowledge of science even more difficult. </w:t>
      </w:r>
      <w:r w:rsidR="00283C0A" w:rsidRPr="006D0E33">
        <w:t>For</w:t>
      </w:r>
      <w:r w:rsidRPr="006D0E33">
        <w:t xml:space="preserve"> a variety of reasons</w:t>
      </w:r>
      <w:r w:rsidR="009F4A00" w:rsidRPr="006D0E33">
        <w:t xml:space="preserve"> </w:t>
      </w:r>
      <w:r w:rsidRPr="006D0E33">
        <w:t xml:space="preserve">schools in challenging circumstances </w:t>
      </w:r>
      <w:r w:rsidR="009F4A00" w:rsidRPr="006D0E33">
        <w:t xml:space="preserve">also </w:t>
      </w:r>
      <w:r w:rsidR="00283C0A" w:rsidRPr="006D0E33">
        <w:t xml:space="preserve">may </w:t>
      </w:r>
      <w:r w:rsidRPr="006D0E33">
        <w:t>have little or no involvement with university Initial Teacher Education (ITE) programmes. Sometimes a school does not have the capacity or confidence to support a full-time supervised placement. Sometimes a university may be reluctant to place trainees in what they perceive as a demanding placement that may not allow a beginning teacher to flourish.</w:t>
      </w:r>
      <w:r w:rsidR="00F47585" w:rsidRPr="006D0E33">
        <w:t xml:space="preserve">  This demonstrates how being in challenging circumstances leads to </w:t>
      </w:r>
      <w:r w:rsidR="0010787C" w:rsidRPr="006D0E33">
        <w:t>inequitable</w:t>
      </w:r>
      <w:r w:rsidR="00F47585" w:rsidRPr="006D0E33">
        <w:t xml:space="preserve"> access to trainees</w:t>
      </w:r>
      <w:r w:rsidR="00B66856" w:rsidRPr="006D0E33">
        <w:t>.</w:t>
      </w:r>
      <w:r w:rsidR="00283C0A" w:rsidRPr="006D0E33">
        <w:t xml:space="preserve"> It was in relation to these </w:t>
      </w:r>
      <w:r w:rsidR="00675D0B" w:rsidRPr="006D0E33">
        <w:t xml:space="preserve">contextual </w:t>
      </w:r>
      <w:r w:rsidR="00283C0A" w:rsidRPr="006D0E33">
        <w:t>factors that the HCM was initiated</w:t>
      </w:r>
      <w:r w:rsidR="009F4A00" w:rsidRPr="006D0E33">
        <w:t>.  Its aim is to provide contextualised, supportive experiences for trainees</w:t>
      </w:r>
      <w:r w:rsidR="0010787C" w:rsidRPr="006D0E33">
        <w:t>, across all subject areas,</w:t>
      </w:r>
      <w:r w:rsidR="009F4A00" w:rsidRPr="006D0E33">
        <w:t xml:space="preserve"> </w:t>
      </w:r>
      <w:r w:rsidR="00283C0A" w:rsidRPr="006D0E33">
        <w:t>to develop</w:t>
      </w:r>
      <w:r w:rsidR="009F4A00" w:rsidRPr="006D0E33">
        <w:t xml:space="preserve"> confidence</w:t>
      </w:r>
      <w:r w:rsidR="00283C0A" w:rsidRPr="006D0E33">
        <w:t xml:space="preserve"> and thrive in</w:t>
      </w:r>
      <w:r w:rsidR="0010787C" w:rsidRPr="006D0E33">
        <w:t xml:space="preserve"> school</w:t>
      </w:r>
      <w:r w:rsidR="00283C0A" w:rsidRPr="006D0E33">
        <w:t xml:space="preserve"> settings </w:t>
      </w:r>
      <w:r w:rsidR="0010787C" w:rsidRPr="006D0E33">
        <w:t>described as</w:t>
      </w:r>
      <w:r w:rsidR="00283C0A" w:rsidRPr="006D0E33">
        <w:t xml:space="preserve"> challenging </w:t>
      </w:r>
      <w:r w:rsidR="00283C0A" w:rsidRPr="006D0E33">
        <w:rPr>
          <w:noProof/>
        </w:rPr>
        <w:t>(Feiman-Nemser, Tamir, &amp; Hammerness, 2014; Hollins, 2012)</w:t>
      </w:r>
      <w:r w:rsidR="0010787C" w:rsidRPr="006D0E33">
        <w:t>. These</w:t>
      </w:r>
      <w:r w:rsidR="009F4A00" w:rsidRPr="006D0E33">
        <w:t xml:space="preserve"> experiences could ultimately address the culture, constraints</w:t>
      </w:r>
      <w:r w:rsidR="009F4A00" w:rsidRPr="006D0E33" w:rsidDel="00DB71E1">
        <w:t xml:space="preserve"> </w:t>
      </w:r>
      <w:r w:rsidR="009F4A00" w:rsidRPr="006D0E33">
        <w:t>and opportunities experienced by particular groups of pupils and school communities.</w:t>
      </w:r>
    </w:p>
    <w:p w14:paraId="5D20C953" w14:textId="6698A384" w:rsidR="0010787C" w:rsidRPr="006D0E33" w:rsidRDefault="00283C0A" w:rsidP="00F379FC">
      <w:pPr>
        <w:pStyle w:val="Newparagraph"/>
        <w:jc w:val="both"/>
      </w:pPr>
      <w:r w:rsidRPr="006D0E33">
        <w:t>The HCM</w:t>
      </w:r>
      <w:r w:rsidR="00053B1F" w:rsidRPr="006D0E33">
        <w:t xml:space="preserve"> was </w:t>
      </w:r>
      <w:r w:rsidR="0010787C" w:rsidRPr="006D0E33">
        <w:t xml:space="preserve">developed </w:t>
      </w:r>
      <w:r w:rsidRPr="006D0E33">
        <w:t xml:space="preserve">through </w:t>
      </w:r>
      <w:r w:rsidR="0010787C" w:rsidRPr="006D0E33">
        <w:t xml:space="preserve">a </w:t>
      </w:r>
      <w:r w:rsidRPr="006D0E33">
        <w:t xml:space="preserve">partnership </w:t>
      </w:r>
      <w:r w:rsidR="00053B1F" w:rsidRPr="006D0E33">
        <w:t>between a</w:t>
      </w:r>
      <w:r w:rsidRPr="006D0E33">
        <w:t xml:space="preserve"> local authority school improvement officer, school inspectors, school leaders, teachers and TEs</w:t>
      </w:r>
      <w:r w:rsidR="0010787C" w:rsidRPr="006D0E33">
        <w:t>.  It strives to cultivate</w:t>
      </w:r>
      <w:r w:rsidR="003449C7" w:rsidRPr="006D0E33">
        <w:t>,</w:t>
      </w:r>
      <w:r w:rsidR="0010787C" w:rsidRPr="006D0E33">
        <w:t xml:space="preserve"> what Hollins </w:t>
      </w:r>
      <w:r w:rsidR="0010787C" w:rsidRPr="006D0E33">
        <w:rPr>
          <w:noProof/>
        </w:rPr>
        <w:t>(2012)</w:t>
      </w:r>
      <w:r w:rsidR="0010787C" w:rsidRPr="006D0E33">
        <w:t xml:space="preserve"> describes as</w:t>
      </w:r>
      <w:r w:rsidR="003449C7" w:rsidRPr="006D0E33">
        <w:t>,</w:t>
      </w:r>
      <w:r w:rsidR="0010787C" w:rsidRPr="006D0E33">
        <w:t xml:space="preserve"> teachers who can ‘swim upstream’ rather than simply swimming with the tide</w:t>
      </w:r>
      <w:r w:rsidR="003449C7" w:rsidRPr="006D0E33">
        <w:t>;</w:t>
      </w:r>
      <w:r w:rsidR="0010787C" w:rsidRPr="006D0E33">
        <w:t xml:space="preserve"> teachers who remain optimistic for themselves and their pupils. It </w:t>
      </w:r>
      <w:r w:rsidR="0010787C" w:rsidRPr="006D0E33">
        <w:rPr>
          <w:rFonts w:eastAsia="ヒラギノ角ゴ ProN W3"/>
          <w:bCs/>
          <w:kern w:val="24"/>
        </w:rPr>
        <w:t xml:space="preserve">advocates for a critically minded and responsive form of teaching termed ‘ambitious teaching’ </w:t>
      </w:r>
      <w:r w:rsidR="0010787C" w:rsidRPr="006D0E33">
        <w:rPr>
          <w:noProof/>
        </w:rPr>
        <w:t>(Anthony and Hunter, 2013; Bailey and Taylor, 2015; Lampert, 2010)</w:t>
      </w:r>
      <w:r w:rsidR="0010787C" w:rsidRPr="006D0E33">
        <w:t xml:space="preserve"> </w:t>
      </w:r>
      <w:r w:rsidR="0010787C" w:rsidRPr="006D0E33">
        <w:rPr>
          <w:iCs/>
          <w:lang w:eastAsia="en-US"/>
        </w:rPr>
        <w:t xml:space="preserve">‘teaching that is more socially and intellectually ambitious than the current norm’ </w:t>
      </w:r>
      <w:r w:rsidR="0010787C" w:rsidRPr="006D0E33">
        <w:rPr>
          <w:bCs/>
          <w:iCs/>
          <w:noProof/>
          <w:lang w:eastAsia="en-US"/>
        </w:rPr>
        <w:t>(Lampert et al., 2013,  226)</w:t>
      </w:r>
      <w:r w:rsidR="0010787C" w:rsidRPr="006D0E33">
        <w:rPr>
          <w:iCs/>
          <w:lang w:eastAsia="en-US"/>
        </w:rPr>
        <w:t>,</w:t>
      </w:r>
      <w:r w:rsidR="00E832E5" w:rsidRPr="006D0E33">
        <w:t xml:space="preserve"> to create</w:t>
      </w:r>
      <w:r w:rsidR="00053B1F" w:rsidRPr="006D0E33">
        <w:t xml:space="preserve"> conditions for</w:t>
      </w:r>
      <w:r w:rsidR="00E832E5" w:rsidRPr="006D0E33">
        <w:t xml:space="preserve"> </w:t>
      </w:r>
      <w:r w:rsidR="00053B1F" w:rsidRPr="006D0E33">
        <w:t>trainees to become</w:t>
      </w:r>
      <w:r w:rsidR="00E832E5" w:rsidRPr="006D0E33">
        <w:t xml:space="preserve"> </w:t>
      </w:r>
      <w:r w:rsidR="00053B1F" w:rsidRPr="006D0E33">
        <w:t xml:space="preserve">ambitious </w:t>
      </w:r>
      <w:r w:rsidR="00E832E5" w:rsidRPr="006D0E33">
        <w:lastRenderedPageBreak/>
        <w:t>teachers</w:t>
      </w:r>
      <w:r w:rsidR="009F4A00" w:rsidRPr="006D0E33">
        <w:t xml:space="preserve">. Ambitious teachers </w:t>
      </w:r>
      <w:r w:rsidR="00E832E5" w:rsidRPr="006D0E33">
        <w:t>are aware of contextual distinctions between schools</w:t>
      </w:r>
      <w:r w:rsidR="00E1291F" w:rsidRPr="006D0E33">
        <w:t xml:space="preserve"> and</w:t>
      </w:r>
      <w:r w:rsidR="00E832E5" w:rsidRPr="006D0E33">
        <w:t xml:space="preserve"> </w:t>
      </w:r>
      <w:r w:rsidR="009F4A00" w:rsidRPr="006D0E33">
        <w:rPr>
          <w:noProof/>
        </w:rPr>
        <w:t>creative in their teaching in response to the needs of their pupils</w:t>
      </w:r>
      <w:r w:rsidR="00E1291F" w:rsidRPr="006D0E33">
        <w:rPr>
          <w:noProof/>
        </w:rPr>
        <w:t>. They</w:t>
      </w:r>
      <w:r w:rsidR="00E1291F" w:rsidRPr="006D0E33">
        <w:t xml:space="preserve"> have the</w:t>
      </w:r>
      <w:r w:rsidR="009F4A00" w:rsidRPr="006D0E33">
        <w:t xml:space="preserve"> confiden</w:t>
      </w:r>
      <w:r w:rsidR="00E1291F" w:rsidRPr="006D0E33">
        <w:t>ce</w:t>
      </w:r>
      <w:r w:rsidR="00E832E5" w:rsidRPr="006D0E33">
        <w:t xml:space="preserve"> to apply for jobs in schools deemed more challenging</w:t>
      </w:r>
      <w:r w:rsidR="00E1291F" w:rsidRPr="006D0E33">
        <w:t xml:space="preserve"> and the </w:t>
      </w:r>
      <w:r w:rsidR="00E832E5" w:rsidRPr="006D0E33">
        <w:t xml:space="preserve">resilience, ability and ambition to successfully </w:t>
      </w:r>
      <w:r w:rsidR="00E1291F" w:rsidRPr="006D0E33">
        <w:t>take forward their careers in these settings</w:t>
      </w:r>
      <w:r w:rsidR="00E832E5" w:rsidRPr="006D0E33">
        <w:t xml:space="preserve">. </w:t>
      </w:r>
    </w:p>
    <w:p w14:paraId="25FA5640" w14:textId="4CEF46B9" w:rsidR="00541F6A" w:rsidRPr="006D0E33" w:rsidRDefault="00E1291F" w:rsidP="008C3E6B">
      <w:pPr>
        <w:pStyle w:val="Newparagraph"/>
        <w:jc w:val="both"/>
      </w:pPr>
      <w:r w:rsidRPr="006D0E33">
        <w:rPr>
          <w:rFonts w:eastAsia="ヒラギノ角ゴ ProN W3"/>
          <w:bCs/>
          <w:kern w:val="24"/>
        </w:rPr>
        <w:t xml:space="preserve">The HCM has provided </w:t>
      </w:r>
      <w:r w:rsidR="009F4A00" w:rsidRPr="006D0E33">
        <w:t>supportive experiences for trainee</w:t>
      </w:r>
      <w:r w:rsidR="00541F6A" w:rsidRPr="006D0E33">
        <w:t xml:space="preserve">s </w:t>
      </w:r>
      <w:r w:rsidR="009F4A00" w:rsidRPr="006D0E33">
        <w:t xml:space="preserve">in schools in challenging circumstances in the North West of </w:t>
      </w:r>
      <w:r w:rsidR="001C4C79" w:rsidRPr="006D0E33">
        <w:t>England and</w:t>
      </w:r>
      <w:r w:rsidR="004F6489" w:rsidRPr="006D0E33">
        <w:t xml:space="preserve"> has been applied across a range of subject areas (maths, languages, and literacy) and settings (early years, primary and secondary schools and further education).</w:t>
      </w:r>
      <w:r w:rsidR="00541F6A" w:rsidRPr="006D0E33">
        <w:t xml:space="preserve">  </w:t>
      </w:r>
      <w:r w:rsidR="00BE2D2C" w:rsidRPr="006D0E33">
        <w:t xml:space="preserve">This </w:t>
      </w:r>
      <w:r w:rsidR="00BE2D2C" w:rsidRPr="00487BB1">
        <w:rPr>
          <w:color w:val="000000" w:themeColor="text1"/>
        </w:rPr>
        <w:t>article reports on</w:t>
      </w:r>
      <w:r w:rsidR="00ED0EF2" w:rsidRPr="00487BB1">
        <w:rPr>
          <w:color w:val="000000" w:themeColor="text1"/>
        </w:rPr>
        <w:t xml:space="preserve"> the processes and findings of an </w:t>
      </w:r>
      <w:r w:rsidR="00541F6A" w:rsidRPr="00487BB1">
        <w:rPr>
          <w:color w:val="000000" w:themeColor="text1"/>
        </w:rPr>
        <w:t>action research project</w:t>
      </w:r>
      <w:r w:rsidR="00ED0EF2" w:rsidRPr="00487BB1">
        <w:rPr>
          <w:color w:val="000000" w:themeColor="text1"/>
        </w:rPr>
        <w:t xml:space="preserve"> that aimed to understand the impact of the HCM </w:t>
      </w:r>
      <w:r w:rsidR="001C4C79" w:rsidRPr="00487BB1">
        <w:rPr>
          <w:color w:val="000000" w:themeColor="text1"/>
        </w:rPr>
        <w:t>on the preparation of</w:t>
      </w:r>
      <w:r w:rsidR="00ED0EF2" w:rsidRPr="00487BB1">
        <w:rPr>
          <w:color w:val="000000" w:themeColor="text1"/>
        </w:rPr>
        <w:t xml:space="preserve"> a group of</w:t>
      </w:r>
      <w:r w:rsidR="001C4C79" w:rsidRPr="00487BB1">
        <w:rPr>
          <w:color w:val="000000" w:themeColor="text1"/>
        </w:rPr>
        <w:t xml:space="preserve"> trainees</w:t>
      </w:r>
      <w:r w:rsidR="00ED0EF2" w:rsidRPr="00487BB1">
        <w:rPr>
          <w:color w:val="000000" w:themeColor="text1"/>
        </w:rPr>
        <w:t xml:space="preserve"> (all volunteers)</w:t>
      </w:r>
      <w:r w:rsidR="001C4C79" w:rsidRPr="00487BB1">
        <w:rPr>
          <w:color w:val="000000" w:themeColor="text1"/>
        </w:rPr>
        <w:t xml:space="preserve"> to teach science</w:t>
      </w:r>
      <w:r w:rsidR="001C4C79" w:rsidRPr="00487BB1" w:rsidDel="00541F6A">
        <w:rPr>
          <w:color w:val="000000" w:themeColor="text1"/>
        </w:rPr>
        <w:t xml:space="preserve"> </w:t>
      </w:r>
      <w:r w:rsidR="001C4C79" w:rsidRPr="00487BB1">
        <w:rPr>
          <w:color w:val="000000" w:themeColor="text1"/>
        </w:rPr>
        <w:t xml:space="preserve">and </w:t>
      </w:r>
      <w:r w:rsidR="00541F6A" w:rsidRPr="00487BB1">
        <w:rPr>
          <w:color w:val="000000" w:themeColor="text1"/>
        </w:rPr>
        <w:t xml:space="preserve">undertaken in a primary school identified by the Local Authority </w:t>
      </w:r>
      <w:r w:rsidR="00541F6A" w:rsidRPr="006D0E33">
        <w:t xml:space="preserve">as facing challenging circumstances </w:t>
      </w:r>
      <w:r w:rsidR="00541F6A" w:rsidRPr="006D0E33">
        <w:rPr>
          <w:rStyle w:val="FootnoteReference"/>
        </w:rPr>
        <w:footnoteReference w:id="2"/>
      </w:r>
      <w:r w:rsidR="001C4C79" w:rsidRPr="006D0E33">
        <w:t>.  The project</w:t>
      </w:r>
      <w:r w:rsidR="00541F6A" w:rsidRPr="006D0E33">
        <w:t xml:space="preserve"> endeavoured to understand and explain how the nature and processes of the HCM might enable trainees to develop pedagogical knowledge and become more confident and ambitious beginning teachers of primary science.  As will be revealed however, the collaborative action research approach was instrumental in developing ambitious teaching beyond the trainees and this became another important outcome of the project.</w:t>
      </w:r>
    </w:p>
    <w:p w14:paraId="4935AD98" w14:textId="06158BB6" w:rsidR="00BE2D2C" w:rsidRPr="006D0E33" w:rsidRDefault="00BE2D2C" w:rsidP="008C3E6B">
      <w:pPr>
        <w:pStyle w:val="Heading1"/>
        <w:jc w:val="both"/>
        <w:rPr>
          <w:szCs w:val="24"/>
        </w:rPr>
      </w:pPr>
      <w:r w:rsidRPr="006D0E33">
        <w:rPr>
          <w:szCs w:val="24"/>
        </w:rPr>
        <w:t xml:space="preserve">Hope Challenge Model (HCM): </w:t>
      </w:r>
      <w:r w:rsidR="00260370" w:rsidRPr="006D0E33">
        <w:rPr>
          <w:szCs w:val="24"/>
        </w:rPr>
        <w:t xml:space="preserve">concept </w:t>
      </w:r>
      <w:r w:rsidR="000962F5" w:rsidRPr="006D0E33">
        <w:rPr>
          <w:szCs w:val="24"/>
        </w:rPr>
        <w:t>and research design</w:t>
      </w:r>
    </w:p>
    <w:p w14:paraId="0F7E60EC" w14:textId="22CCFEF0" w:rsidR="007E0DC2" w:rsidRPr="006D0E33" w:rsidRDefault="00E832E5" w:rsidP="00F379FC">
      <w:pPr>
        <w:pStyle w:val="Newparagraph"/>
        <w:ind w:firstLine="0"/>
        <w:jc w:val="both"/>
      </w:pPr>
      <w:r w:rsidRPr="006D0E33">
        <w:t xml:space="preserve">The concept of the HCM draws on the work of </w:t>
      </w:r>
      <w:r w:rsidRPr="006D0E33">
        <w:rPr>
          <w:noProof/>
        </w:rPr>
        <w:t>McDonald, Kazemi, &amp;  Kavanagh (2013, 382)</w:t>
      </w:r>
      <w:r w:rsidRPr="006D0E33">
        <w:t xml:space="preserve"> who outline a cycle ‘for collectively learning to engage in an authentic and ambitious instructional activity’. It is</w:t>
      </w:r>
      <w:r w:rsidR="00BE2D2C" w:rsidRPr="006D0E33">
        <w:t xml:space="preserve"> informed by notions of praxis</w:t>
      </w:r>
      <w:r w:rsidRPr="006D0E33">
        <w:t xml:space="preserve"> (</w:t>
      </w:r>
      <w:r w:rsidR="000D5CE0" w:rsidRPr="006D0E33">
        <w:t xml:space="preserve">an iterative, reflective approach to </w:t>
      </w:r>
      <w:proofErr w:type="gramStart"/>
      <w:r w:rsidR="000D5CE0" w:rsidRPr="006D0E33">
        <w:t>taking action</w:t>
      </w:r>
      <w:proofErr w:type="gramEnd"/>
      <w:r w:rsidR="000D5CE0" w:rsidRPr="006D0E33">
        <w:t xml:space="preserve">) </w:t>
      </w:r>
      <w:r w:rsidR="00BE2D2C" w:rsidRPr="006D0E33">
        <w:t xml:space="preserve">and </w:t>
      </w:r>
      <w:r w:rsidR="007E0DC2" w:rsidRPr="006D0E33">
        <w:t xml:space="preserve">posits the </w:t>
      </w:r>
      <w:r w:rsidR="000D5CE0" w:rsidRPr="006D0E33">
        <w:t>Vygotskian perspective</w:t>
      </w:r>
      <w:r w:rsidR="007E0DC2" w:rsidRPr="006D0E33">
        <w:t xml:space="preserve"> </w:t>
      </w:r>
      <w:r w:rsidR="000D5CE0" w:rsidRPr="006D0E33">
        <w:t xml:space="preserve">that learning occurs through social </w:t>
      </w:r>
      <w:r w:rsidR="000D5CE0" w:rsidRPr="006D0E33">
        <w:lastRenderedPageBreak/>
        <w:t xml:space="preserve">interaction </w:t>
      </w:r>
      <w:r w:rsidR="007E0DC2" w:rsidRPr="006D0E33">
        <w:t>which</w:t>
      </w:r>
      <w:r w:rsidR="000D5CE0" w:rsidRPr="006D0E33">
        <w:t xml:space="preserve"> encourages </w:t>
      </w:r>
      <w:r w:rsidR="007E0DC2" w:rsidRPr="006D0E33">
        <w:t>people</w:t>
      </w:r>
      <w:r w:rsidR="000D5CE0" w:rsidRPr="006D0E33">
        <w:t xml:space="preserve"> to deal with cognitive challenges that </w:t>
      </w:r>
      <w:r w:rsidR="007E0DC2" w:rsidRPr="006D0E33">
        <w:t>stretch</w:t>
      </w:r>
      <w:r w:rsidR="000D5CE0" w:rsidRPr="006D0E33">
        <w:t xml:space="preserve"> their current levels of ability </w:t>
      </w:r>
      <w:r w:rsidR="007B4C16" w:rsidRPr="006D0E33">
        <w:t>(</w:t>
      </w:r>
      <w:proofErr w:type="spellStart"/>
      <w:r w:rsidR="00EA3B29" w:rsidRPr="006D0E33">
        <w:t>Shabani</w:t>
      </w:r>
      <w:proofErr w:type="spellEnd"/>
      <w:r w:rsidR="00EA3B29" w:rsidRPr="006D0E33">
        <w:t>, 2016</w:t>
      </w:r>
      <w:r w:rsidR="007B4C16" w:rsidRPr="006D0E33">
        <w:t>).</w:t>
      </w:r>
    </w:p>
    <w:p w14:paraId="73723371" w14:textId="524E48F0" w:rsidR="00E1291F" w:rsidRPr="006D0E33" w:rsidRDefault="007E0DC2" w:rsidP="008C3E6B">
      <w:pPr>
        <w:pStyle w:val="Newparagraph"/>
        <w:jc w:val="both"/>
      </w:pPr>
      <w:r w:rsidRPr="006D0E33">
        <w:t xml:space="preserve">The HCM </w:t>
      </w:r>
      <w:r w:rsidR="000D5CE0" w:rsidRPr="006D0E33">
        <w:t>is</w:t>
      </w:r>
      <w:r w:rsidR="00BE2D2C" w:rsidRPr="006D0E33">
        <w:t xml:space="preserve"> guided by the following</w:t>
      </w:r>
      <w:r w:rsidR="00E1291F" w:rsidRPr="006D0E33">
        <w:t>:</w:t>
      </w:r>
      <w:r w:rsidR="00BE2D2C" w:rsidRPr="006D0E33">
        <w:t xml:space="preserve">  </w:t>
      </w:r>
    </w:p>
    <w:p w14:paraId="46A9CB7F" w14:textId="6AF0C385" w:rsidR="00E1291F" w:rsidRPr="006D0E33" w:rsidRDefault="00BE2D2C" w:rsidP="008C3E6B">
      <w:pPr>
        <w:pStyle w:val="Newparagraph"/>
        <w:numPr>
          <w:ilvl w:val="0"/>
          <w:numId w:val="51"/>
        </w:numPr>
        <w:jc w:val="both"/>
      </w:pPr>
      <w:r w:rsidRPr="006D0E33">
        <w:t xml:space="preserve">a commitment to a social constructivist approach </w:t>
      </w:r>
      <w:bookmarkStart w:id="2" w:name="_Hlk530473817"/>
      <w:r w:rsidRPr="006D0E33">
        <w:t xml:space="preserve">that forefronts collaborative, democratic relationships </w:t>
      </w:r>
      <w:bookmarkEnd w:id="2"/>
      <w:r w:rsidR="00260370" w:rsidRPr="006D0E33">
        <w:t>as</w:t>
      </w:r>
      <w:r w:rsidRPr="006D0E33">
        <w:t xml:space="preserve"> a resource for developing contextual knowing and practice</w:t>
      </w:r>
      <w:r w:rsidR="00A6238F" w:rsidRPr="006D0E33">
        <w:t xml:space="preserve"> </w:t>
      </w:r>
      <w:r w:rsidR="00A6238F" w:rsidRPr="006D0E33">
        <w:rPr>
          <w:noProof/>
        </w:rPr>
        <w:t xml:space="preserve">(Driver, 1989). </w:t>
      </w:r>
      <w:r w:rsidR="00E636D4" w:rsidRPr="006D0E33">
        <w:t xml:space="preserve">Those </w:t>
      </w:r>
      <w:r w:rsidR="00A6238F" w:rsidRPr="006D0E33">
        <w:t>involved</w:t>
      </w:r>
      <w:r w:rsidR="00E636D4" w:rsidRPr="006D0E33">
        <w:t xml:space="preserve"> work together to construct new knowledge on the foundations of their existing knowledge.</w:t>
      </w:r>
    </w:p>
    <w:p w14:paraId="6CD35C4C" w14:textId="0EFD9CDA" w:rsidR="00E636D4" w:rsidRPr="006D0E33" w:rsidRDefault="00BE2D2C" w:rsidP="008C3E6B">
      <w:pPr>
        <w:pStyle w:val="Newparagraph"/>
        <w:numPr>
          <w:ilvl w:val="0"/>
          <w:numId w:val="51"/>
        </w:numPr>
        <w:jc w:val="both"/>
      </w:pPr>
      <w:r w:rsidRPr="006D0E33">
        <w:rPr>
          <w:noProof/>
        </w:rPr>
        <w:t xml:space="preserve"> a commitment to ambitious teaching</w:t>
      </w:r>
      <w:r w:rsidR="00E636D4" w:rsidRPr="006D0E33">
        <w:rPr>
          <w:noProof/>
        </w:rPr>
        <w:t xml:space="preserve"> that </w:t>
      </w:r>
      <w:r w:rsidR="00260370" w:rsidRPr="006D0E33">
        <w:rPr>
          <w:noProof/>
        </w:rPr>
        <w:t xml:space="preserve">positions </w:t>
      </w:r>
      <w:r w:rsidR="00CE5694" w:rsidRPr="006D0E33">
        <w:rPr>
          <w:noProof/>
        </w:rPr>
        <w:t xml:space="preserve">nurturing the confidence of trainees to be creative in their teaching in response to the needs of their pupils.  </w:t>
      </w:r>
      <w:r w:rsidR="00E636D4" w:rsidRPr="006D0E33">
        <w:rPr>
          <w:noProof/>
        </w:rPr>
        <w:t>Ambitous teachers recognise originial learning goals as the focus for their lessons, and lesson plans as guides, but are creative in their pedagogical response to pupil learning needs. The</w:t>
      </w:r>
      <w:r w:rsidR="00260370" w:rsidRPr="006D0E33">
        <w:rPr>
          <w:noProof/>
        </w:rPr>
        <w:t>y</w:t>
      </w:r>
      <w:r w:rsidR="00E636D4" w:rsidRPr="006D0E33">
        <w:rPr>
          <w:noProof/>
        </w:rPr>
        <w:t xml:space="preserve"> have the confidence to take t</w:t>
      </w:r>
      <w:r w:rsidR="00CE5694" w:rsidRPr="006D0E33">
        <w:rPr>
          <w:noProof/>
        </w:rPr>
        <w:t>ak</w:t>
      </w:r>
      <w:r w:rsidR="00E636D4" w:rsidRPr="006D0E33">
        <w:rPr>
          <w:noProof/>
        </w:rPr>
        <w:t>e</w:t>
      </w:r>
      <w:r w:rsidR="00CE5694" w:rsidRPr="006D0E33">
        <w:rPr>
          <w:noProof/>
        </w:rPr>
        <w:t xml:space="preserve"> pupils “off piste” if they are not able to access learning according to</w:t>
      </w:r>
      <w:r w:rsidR="00E333E3" w:rsidRPr="006D0E33">
        <w:rPr>
          <w:noProof/>
        </w:rPr>
        <w:t xml:space="preserve"> </w:t>
      </w:r>
      <w:r w:rsidR="00E636D4" w:rsidRPr="006D0E33">
        <w:rPr>
          <w:noProof/>
        </w:rPr>
        <w:t xml:space="preserve">the plan.  This </w:t>
      </w:r>
      <w:r w:rsidR="00E333E3" w:rsidRPr="006D0E33">
        <w:rPr>
          <w:noProof/>
        </w:rPr>
        <w:t>necssitates drawing on</w:t>
      </w:r>
      <w:r w:rsidR="00260370" w:rsidRPr="006D0E33">
        <w:rPr>
          <w:noProof/>
        </w:rPr>
        <w:t xml:space="preserve"> their</w:t>
      </w:r>
      <w:r w:rsidR="00E333E3" w:rsidRPr="006D0E33">
        <w:rPr>
          <w:noProof/>
        </w:rPr>
        <w:t xml:space="preserve"> own understanding of a situation and using </w:t>
      </w:r>
      <w:r w:rsidR="00260370" w:rsidRPr="006D0E33">
        <w:rPr>
          <w:noProof/>
        </w:rPr>
        <w:t xml:space="preserve">their </w:t>
      </w:r>
      <w:r w:rsidR="00E333E3" w:rsidRPr="006D0E33">
        <w:rPr>
          <w:noProof/>
        </w:rPr>
        <w:t xml:space="preserve">pedagogicial analysis to shape the learning space. </w:t>
      </w:r>
    </w:p>
    <w:p w14:paraId="21192B39" w14:textId="53D0A2D4" w:rsidR="00724864" w:rsidRPr="006D0E33" w:rsidRDefault="00BE2D2C" w:rsidP="008C3E6B">
      <w:pPr>
        <w:pStyle w:val="Newparagraph"/>
        <w:numPr>
          <w:ilvl w:val="0"/>
          <w:numId w:val="51"/>
        </w:numPr>
        <w:jc w:val="both"/>
      </w:pPr>
      <w:r w:rsidRPr="006D0E33">
        <w:rPr>
          <w:noProof/>
        </w:rPr>
        <w:t xml:space="preserve">the prioritising of </w:t>
      </w:r>
      <w:r w:rsidRPr="006D0E33">
        <w:t>interactive activities</w:t>
      </w:r>
      <w:r w:rsidR="00933E86" w:rsidRPr="006D0E33">
        <w:t xml:space="preserve"> </w:t>
      </w:r>
      <w:r w:rsidRPr="006D0E33">
        <w:t xml:space="preserve">that </w:t>
      </w:r>
      <w:r w:rsidR="0013682C" w:rsidRPr="006D0E33">
        <w:t xml:space="preserve">provide </w:t>
      </w:r>
      <w:r w:rsidRPr="006D0E33">
        <w:t xml:space="preserve">equitable and responsive learning experiences and support rigorous science education building on pupils’ interests, understanding and proficiency </w:t>
      </w:r>
      <w:r w:rsidRPr="006D0E33">
        <w:rPr>
          <w:noProof/>
        </w:rPr>
        <w:t xml:space="preserve">(Seimears, Graves, Schroyer, &amp; Staver, 2012). </w:t>
      </w:r>
    </w:p>
    <w:p w14:paraId="25FEE35F" w14:textId="6F76CD08" w:rsidR="00724864" w:rsidRPr="006D0E33" w:rsidRDefault="00BE2D2C" w:rsidP="008C3E6B">
      <w:pPr>
        <w:pStyle w:val="Newparagraph"/>
        <w:numPr>
          <w:ilvl w:val="0"/>
          <w:numId w:val="51"/>
        </w:numPr>
        <w:jc w:val="both"/>
      </w:pPr>
      <w:r w:rsidRPr="006D0E33">
        <w:rPr>
          <w:noProof/>
        </w:rPr>
        <w:t>the</w:t>
      </w:r>
      <w:r w:rsidRPr="006D0E33">
        <w:t xml:space="preserve"> modelling of practice by TEs</w:t>
      </w:r>
      <w:r w:rsidR="00933E86" w:rsidRPr="006D0E33">
        <w:t xml:space="preserve"> and school-based teachers</w:t>
      </w:r>
      <w:r w:rsidRPr="006D0E33">
        <w:t xml:space="preserve">, which is observed, reflected upon, rehearsed and critiqued by </w:t>
      </w:r>
      <w:r w:rsidR="00933E86" w:rsidRPr="006D0E33">
        <w:t>those involved</w:t>
      </w:r>
      <w:r w:rsidRPr="006D0E33">
        <w:t xml:space="preserve"> </w:t>
      </w:r>
      <w:r w:rsidRPr="006D0E33">
        <w:rPr>
          <w:noProof/>
        </w:rPr>
        <w:t xml:space="preserve">(Korthagen, Loughran, &amp; Russell, 2006).  </w:t>
      </w:r>
    </w:p>
    <w:p w14:paraId="262A1415" w14:textId="281B0B3C" w:rsidR="008C0D1E" w:rsidRPr="006D0E33" w:rsidRDefault="008C0D1E" w:rsidP="008C3E6B">
      <w:pPr>
        <w:autoSpaceDE w:val="0"/>
        <w:autoSpaceDN w:val="0"/>
        <w:adjustRightInd w:val="0"/>
        <w:jc w:val="both"/>
      </w:pPr>
      <w:r w:rsidRPr="006D0E33">
        <w:t>The</w:t>
      </w:r>
      <w:r w:rsidR="00724864" w:rsidRPr="006D0E33">
        <w:t xml:space="preserve">se underpinning commitments and priorities for practice </w:t>
      </w:r>
      <w:r w:rsidRPr="006D0E33">
        <w:t xml:space="preserve">were then framed as the HCM </w:t>
      </w:r>
      <w:r w:rsidRPr="006D0E33">
        <w:rPr>
          <w:i/>
        </w:rPr>
        <w:t>Cycle for Ambitious Teaching</w:t>
      </w:r>
      <w:r w:rsidRPr="006D0E33">
        <w:t xml:space="preserve"> (see figure1).</w:t>
      </w:r>
      <w:r w:rsidR="00260370" w:rsidRPr="006D0E33">
        <w:rPr>
          <w:rFonts w:eastAsia="ヒラギノ角ゴ ProN W3"/>
          <w:bCs/>
          <w:kern w:val="24"/>
        </w:rPr>
        <w:t xml:space="preserve"> </w:t>
      </w:r>
      <w:r w:rsidR="00260370" w:rsidRPr="006D0E33">
        <w:t>This is a cyclical action research framework that uses modelling and reflection as pivotal points for building knowledge for action</w:t>
      </w:r>
      <w:r w:rsidR="00B102E0" w:rsidRPr="006D0E33">
        <w:t>.</w:t>
      </w:r>
      <w:r w:rsidR="008C3E6B" w:rsidRPr="006D0E33">
        <w:t xml:space="preserve"> Action research however goes beyond critical reflection, it has a commitment </w:t>
      </w:r>
      <w:r w:rsidR="008C3E6B" w:rsidRPr="006D0E33">
        <w:lastRenderedPageBreak/>
        <w:t xml:space="preserve">to instigating action based on that reflection. The iterative design of the HCM created spaces for </w:t>
      </w:r>
      <w:proofErr w:type="gramStart"/>
      <w:r w:rsidR="008C3E6B" w:rsidRPr="006D0E33">
        <w:t>taking action</w:t>
      </w:r>
      <w:proofErr w:type="gramEnd"/>
      <w:r w:rsidR="008C3E6B" w:rsidRPr="006D0E33">
        <w:t xml:space="preserve"> and learning about that action.</w:t>
      </w:r>
    </w:p>
    <w:p w14:paraId="72B47171" w14:textId="0309DF86" w:rsidR="008C0D1E" w:rsidRPr="006D0E33" w:rsidRDefault="008C0D1E" w:rsidP="008C3E6B">
      <w:pPr>
        <w:pStyle w:val="Figurecaption"/>
        <w:jc w:val="both"/>
      </w:pPr>
      <w:r w:rsidRPr="006D0E33">
        <w:rPr>
          <w:b/>
        </w:rPr>
        <w:t>Insert Figure 1.</w:t>
      </w:r>
      <w:r w:rsidRPr="006D0E33">
        <w:t xml:space="preserve"> HCM Cycle for Ambitious Teaching</w:t>
      </w:r>
    </w:p>
    <w:p w14:paraId="30C71E7F" w14:textId="77777777" w:rsidR="000D25D0" w:rsidRDefault="000D25D0" w:rsidP="008C3E6B">
      <w:pPr>
        <w:jc w:val="both"/>
      </w:pPr>
    </w:p>
    <w:p w14:paraId="1DBF60B1" w14:textId="5E279D37" w:rsidR="009D30FB" w:rsidRPr="006D0E33" w:rsidRDefault="008C0D1E" w:rsidP="008C3E6B">
      <w:pPr>
        <w:jc w:val="both"/>
      </w:pPr>
      <w:r w:rsidRPr="006D0E33">
        <w:t>All those involved</w:t>
      </w:r>
      <w:r w:rsidR="00E10DE8" w:rsidRPr="006D0E33">
        <w:t xml:space="preserve"> in an HCM project</w:t>
      </w:r>
      <w:r w:rsidRPr="006D0E33">
        <w:t xml:space="preserve">, the TEs, trainees and school-based teachers, model practice for, and with, each other and reflect on that practice, as a means for learning together. This affords opportunities to reflect, both individually and collectively, as a recurring cycle of enactment and investigation. </w:t>
      </w:r>
      <w:r w:rsidR="00BE2D2C" w:rsidRPr="006D0E33">
        <w:t>At the centre of the cycle lie four pedagogic steps focused on developing practice</w:t>
      </w:r>
      <w:r w:rsidR="00933E86" w:rsidRPr="006D0E33">
        <w:t xml:space="preserve">. </w:t>
      </w:r>
      <w:r w:rsidR="00724864" w:rsidRPr="006D0E33">
        <w:t>Step 1</w:t>
      </w:r>
      <w:r w:rsidR="00BE2D2C" w:rsidRPr="006D0E33">
        <w:t xml:space="preserve"> involves developing an understanding of the context and content </w:t>
      </w:r>
      <w:r w:rsidR="00AB520A" w:rsidRPr="006D0E33">
        <w:t xml:space="preserve">for </w:t>
      </w:r>
      <w:r w:rsidR="00BE2D2C" w:rsidRPr="006D0E33">
        <w:t xml:space="preserve">the proposed learning. </w:t>
      </w:r>
      <w:r w:rsidR="009D30FB" w:rsidRPr="006D0E33">
        <w:t>The TEs and school-based teachers meet and bring together their individual knowledges to discuss</w:t>
      </w:r>
      <w:r w:rsidR="00260370" w:rsidRPr="006D0E33">
        <w:t xml:space="preserve"> and question</w:t>
      </w:r>
      <w:r w:rsidR="009D30FB" w:rsidRPr="006D0E33">
        <w:t xml:space="preserve"> potential responses the pupil</w:t>
      </w:r>
      <w:r w:rsidR="0037745F" w:rsidRPr="006D0E33">
        <w:t xml:space="preserve">s </w:t>
      </w:r>
      <w:r w:rsidR="009D30FB" w:rsidRPr="006D0E33">
        <w:t>may have to the proposed pedagogic strategies</w:t>
      </w:r>
      <w:r w:rsidR="00260370" w:rsidRPr="006D0E33">
        <w:t xml:space="preserve">. This </w:t>
      </w:r>
      <w:r w:rsidR="00675D0B" w:rsidRPr="006D0E33">
        <w:t xml:space="preserve">supports </w:t>
      </w:r>
      <w:r w:rsidR="0040731C" w:rsidRPr="006D0E33">
        <w:t>enquiry-based</w:t>
      </w:r>
      <w:r w:rsidR="00675D0B" w:rsidRPr="006D0E33">
        <w:t xml:space="preserve"> learning</w:t>
      </w:r>
      <w:r w:rsidR="00145BFF" w:rsidRPr="006D0E33">
        <w:t xml:space="preserve"> </w:t>
      </w:r>
      <w:r w:rsidR="00675D0B" w:rsidRPr="006D0E33">
        <w:t>that challenge existing conceptions</w:t>
      </w:r>
      <w:r w:rsidR="00260370" w:rsidRPr="006D0E33">
        <w:t xml:space="preserve"> and uses the outcomes of this to collectively select and design </w:t>
      </w:r>
      <w:r w:rsidR="00675D0B" w:rsidRPr="006D0E33">
        <w:t>practical activities</w:t>
      </w:r>
      <w:r w:rsidR="00260370" w:rsidRPr="006D0E33">
        <w:t xml:space="preserve"> to</w:t>
      </w:r>
      <w:r w:rsidR="00675D0B" w:rsidRPr="006D0E33">
        <w:t xml:space="preserve"> </w:t>
      </w:r>
      <w:r w:rsidR="00145BFF" w:rsidRPr="006D0E33">
        <w:t>promote pupils’</w:t>
      </w:r>
      <w:r w:rsidR="006064FC" w:rsidRPr="006D0E33">
        <w:t xml:space="preserve"> </w:t>
      </w:r>
      <w:r w:rsidR="00145BFF" w:rsidRPr="006D0E33">
        <w:t>conceptual understanding</w:t>
      </w:r>
      <w:r w:rsidR="00260370" w:rsidRPr="006D0E33">
        <w:t>s of the subject</w:t>
      </w:r>
      <w:r w:rsidR="009D30FB" w:rsidRPr="006D0E33">
        <w:t xml:space="preserve">.  </w:t>
      </w:r>
      <w:r w:rsidR="00BE2D2C" w:rsidRPr="006D0E33">
        <w:t>At this step</w:t>
      </w:r>
      <w:r w:rsidR="00260370" w:rsidRPr="006D0E33">
        <w:t>, as it is prior to classroom engagement,</w:t>
      </w:r>
      <w:r w:rsidR="00BE2D2C" w:rsidRPr="006D0E33">
        <w:t xml:space="preserve"> the reflection is anticipatory (Van </w:t>
      </w:r>
      <w:proofErr w:type="spellStart"/>
      <w:r w:rsidR="00BE2D2C" w:rsidRPr="006D0E33">
        <w:t>Manen</w:t>
      </w:r>
      <w:proofErr w:type="spellEnd"/>
      <w:r w:rsidR="00BE2D2C" w:rsidRPr="006D0E33">
        <w:t xml:space="preserve">, 1991) and informed by the contextual knowledge of the </w:t>
      </w:r>
      <w:r w:rsidR="009D30FB" w:rsidRPr="006D0E33">
        <w:t xml:space="preserve">those involved. </w:t>
      </w:r>
    </w:p>
    <w:p w14:paraId="085C7D89" w14:textId="182EFE4A" w:rsidR="009D30FB" w:rsidRPr="006D0E33" w:rsidRDefault="009D30FB" w:rsidP="00DD52B6">
      <w:pPr>
        <w:pStyle w:val="Newparagraph"/>
        <w:jc w:val="both"/>
      </w:pPr>
      <w:r w:rsidRPr="006D0E33">
        <w:rPr>
          <w:rFonts w:eastAsia="ヒラギノ角ゴ ProN W3"/>
          <w:bCs/>
          <w:kern w:val="24"/>
        </w:rPr>
        <w:t xml:space="preserve">Learning from Step 1 is used </w:t>
      </w:r>
      <w:r w:rsidR="00BE2D2C" w:rsidRPr="006D0E33">
        <w:rPr>
          <w:rFonts w:eastAsia="ヒラギノ角ゴ ProN W3"/>
          <w:bCs/>
          <w:kern w:val="24"/>
        </w:rPr>
        <w:t xml:space="preserve">to undertake </w:t>
      </w:r>
      <w:r w:rsidR="00724864" w:rsidRPr="006D0E33">
        <w:rPr>
          <w:rFonts w:eastAsia="ヒラギノ角ゴ ProN W3"/>
          <w:bCs/>
          <w:kern w:val="24"/>
        </w:rPr>
        <w:t>Step 2</w:t>
      </w:r>
      <w:r w:rsidR="00BE2D2C" w:rsidRPr="006D0E33">
        <w:rPr>
          <w:rFonts w:eastAsia="ヒラギノ角ゴ ProN W3"/>
          <w:bCs/>
          <w:kern w:val="24"/>
        </w:rPr>
        <w:t>, collaboratively designing and preparing the proposed pupil learning experience</w:t>
      </w:r>
      <w:r w:rsidR="00145BFF" w:rsidRPr="006D0E33">
        <w:t>s.</w:t>
      </w:r>
      <w:r w:rsidRPr="006D0E33">
        <w:t xml:space="preserve"> </w:t>
      </w:r>
      <w:r w:rsidR="00BE2D2C" w:rsidRPr="006D0E33">
        <w:t>Th</w:t>
      </w:r>
      <w:r w:rsidR="00145BFF" w:rsidRPr="006D0E33">
        <w:t xml:space="preserve">e proposed </w:t>
      </w:r>
      <w:r w:rsidRPr="006D0E33">
        <w:t>learning experience</w:t>
      </w:r>
      <w:r w:rsidR="00145BFF" w:rsidRPr="006D0E33">
        <w:t>s</w:t>
      </w:r>
      <w:r w:rsidRPr="006D0E33">
        <w:t xml:space="preserve"> </w:t>
      </w:r>
      <w:r w:rsidR="00145BFF" w:rsidRPr="006D0E33">
        <w:t>are</w:t>
      </w:r>
      <w:r w:rsidRPr="006D0E33">
        <w:t xml:space="preserve"> </w:t>
      </w:r>
      <w:r w:rsidR="006639E5" w:rsidRPr="006D0E33">
        <w:t>initially</w:t>
      </w:r>
      <w:r w:rsidR="00BE2D2C" w:rsidRPr="006D0E33">
        <w:t xml:space="preserve"> modelled by the TE</w:t>
      </w:r>
      <w:r w:rsidR="00260370" w:rsidRPr="006D0E33">
        <w:t xml:space="preserve">, in school, </w:t>
      </w:r>
      <w:r w:rsidR="00145BFF" w:rsidRPr="006D0E33">
        <w:t xml:space="preserve">with the involvement of the </w:t>
      </w:r>
      <w:r w:rsidR="00260370" w:rsidRPr="006D0E33">
        <w:t>school-based</w:t>
      </w:r>
      <w:r w:rsidR="00145BFF" w:rsidRPr="006D0E33">
        <w:t xml:space="preserve"> teachers. R</w:t>
      </w:r>
      <w:r w:rsidRPr="006D0E33">
        <w:t xml:space="preserve">eflections </w:t>
      </w:r>
      <w:r w:rsidR="00145BFF" w:rsidRPr="006D0E33">
        <w:t xml:space="preserve">by the trainees </w:t>
      </w:r>
      <w:r w:rsidRPr="006D0E33">
        <w:t>on th</w:t>
      </w:r>
      <w:r w:rsidR="00CE764D" w:rsidRPr="006D0E33">
        <w:t>e modelling</w:t>
      </w:r>
      <w:r w:rsidR="00145BFF" w:rsidRPr="006D0E33">
        <w:t xml:space="preserve"> </w:t>
      </w:r>
      <w:r w:rsidR="00260370" w:rsidRPr="006D0E33">
        <w:t xml:space="preserve">are </w:t>
      </w:r>
      <w:r w:rsidRPr="006D0E33">
        <w:t>used</w:t>
      </w:r>
      <w:r w:rsidR="00260370" w:rsidRPr="006D0E33">
        <w:t xml:space="preserve">, in conjunction with the </w:t>
      </w:r>
      <w:r w:rsidR="00DD52B6" w:rsidRPr="006D0E33">
        <w:t>school-based</w:t>
      </w:r>
      <w:r w:rsidR="00260370" w:rsidRPr="006D0E33">
        <w:t xml:space="preserve"> teachers,</w:t>
      </w:r>
      <w:r w:rsidR="00BE2D2C" w:rsidRPr="006D0E33">
        <w:t xml:space="preserve"> to generate further questions and hypotheses to shape the proposed work</w:t>
      </w:r>
      <w:r w:rsidR="00CE764D" w:rsidRPr="006D0E33">
        <w:t xml:space="preserve">. The planned teaching is then rehearsed by the trainees under the guidance of the TE and </w:t>
      </w:r>
      <w:r w:rsidR="00E333E3" w:rsidRPr="006D0E33">
        <w:t>school-based</w:t>
      </w:r>
      <w:r w:rsidR="00CE764D" w:rsidRPr="006D0E33">
        <w:t xml:space="preserve"> teachers</w:t>
      </w:r>
      <w:r w:rsidR="00BE2D2C" w:rsidRPr="006D0E33">
        <w:t xml:space="preserve">. </w:t>
      </w:r>
    </w:p>
    <w:p w14:paraId="00BCD96F" w14:textId="5DDE1813" w:rsidR="00A31E5D" w:rsidRPr="006D0E33" w:rsidRDefault="00724864" w:rsidP="00DD52B6">
      <w:pPr>
        <w:pStyle w:val="Newparagraph"/>
        <w:jc w:val="both"/>
      </w:pPr>
      <w:r w:rsidRPr="006D0E33">
        <w:lastRenderedPageBreak/>
        <w:t>Step 3</w:t>
      </w:r>
      <w:r w:rsidR="00BE2D2C" w:rsidRPr="006D0E33">
        <w:t xml:space="preserve"> is the enactment of the rehearsed </w:t>
      </w:r>
      <w:r w:rsidR="00E333E3" w:rsidRPr="006D0E33">
        <w:t>practices by</w:t>
      </w:r>
      <w:r w:rsidR="006639E5" w:rsidRPr="006D0E33">
        <w:t xml:space="preserve"> the trainees,</w:t>
      </w:r>
      <w:r w:rsidRPr="006D0E33">
        <w:t xml:space="preserve"> with small groups </w:t>
      </w:r>
      <w:r w:rsidR="003852C4" w:rsidRPr="006D0E33">
        <w:t>of pupils</w:t>
      </w:r>
      <w:r w:rsidR="006639E5" w:rsidRPr="006D0E33">
        <w:t xml:space="preserve"> </w:t>
      </w:r>
      <w:r w:rsidR="00BE2D2C" w:rsidRPr="006D0E33">
        <w:t>in the classroom</w:t>
      </w:r>
      <w:r w:rsidRPr="006D0E33">
        <w:t xml:space="preserve"> context, </w:t>
      </w:r>
      <w:r w:rsidR="00A31E5D" w:rsidRPr="006D0E33">
        <w:t>to</w:t>
      </w:r>
      <w:r w:rsidR="00BE2D2C" w:rsidRPr="006D0E33">
        <w:t xml:space="preserve"> test out the prepared teaching and learning strategies</w:t>
      </w:r>
      <w:r w:rsidR="00A31E5D" w:rsidRPr="006D0E33">
        <w:t xml:space="preserve">. During this testing process all those involved </w:t>
      </w:r>
      <w:r w:rsidR="00BE2D2C" w:rsidRPr="006D0E33">
        <w:t xml:space="preserve">remain </w:t>
      </w:r>
      <w:r w:rsidR="00A31E5D" w:rsidRPr="006D0E33">
        <w:t xml:space="preserve">attentive </w:t>
      </w:r>
      <w:r w:rsidR="006639E5" w:rsidRPr="006D0E33">
        <w:t xml:space="preserve">and </w:t>
      </w:r>
      <w:r w:rsidR="00BE2D2C" w:rsidRPr="006D0E33">
        <w:t xml:space="preserve">responsive to </w:t>
      </w:r>
      <w:r w:rsidR="00A31E5D" w:rsidRPr="006D0E33">
        <w:t xml:space="preserve">the </w:t>
      </w:r>
      <w:r w:rsidR="00BE2D2C" w:rsidRPr="006D0E33">
        <w:t xml:space="preserve">reactions and engagement of the pupils. During this enactment stage, dialogue focuses on responding to the needs of the </w:t>
      </w:r>
      <w:r w:rsidR="0037745F" w:rsidRPr="006D0E33">
        <w:t>pupil</w:t>
      </w:r>
      <w:r w:rsidR="00BE2D2C" w:rsidRPr="006D0E33">
        <w:t>s and directing learning towards the desired outcomes</w:t>
      </w:r>
      <w:r w:rsidR="00260370" w:rsidRPr="006D0E33">
        <w:t xml:space="preserve"> for the pupils</w:t>
      </w:r>
      <w:r w:rsidR="00BE2D2C" w:rsidRPr="006D0E33">
        <w:t xml:space="preserve">. The trainees, TEs and teachers reflect in action at this stage, considering </w:t>
      </w:r>
      <w:r w:rsidR="0013682C" w:rsidRPr="006D0E33">
        <w:t xml:space="preserve">what </w:t>
      </w:r>
      <w:r w:rsidR="00BE2D2C" w:rsidRPr="006D0E33">
        <w:t>the</w:t>
      </w:r>
      <w:r w:rsidR="00CE764D" w:rsidRPr="006D0E33">
        <w:t xml:space="preserve"> </w:t>
      </w:r>
      <w:proofErr w:type="gramStart"/>
      <w:r w:rsidR="00CE764D" w:rsidRPr="006D0E33">
        <w:t xml:space="preserve">trainees </w:t>
      </w:r>
      <w:r w:rsidR="00BE2D2C" w:rsidRPr="006D0E33">
        <w:t xml:space="preserve"> next</w:t>
      </w:r>
      <w:proofErr w:type="gramEnd"/>
      <w:r w:rsidR="00BE2D2C" w:rsidRPr="006D0E33">
        <w:t xml:space="preserve"> </w:t>
      </w:r>
      <w:r w:rsidR="00A31E5D" w:rsidRPr="006D0E33">
        <w:t xml:space="preserve">actions </w:t>
      </w:r>
      <w:r w:rsidR="0013682C" w:rsidRPr="006D0E33">
        <w:t>might be</w:t>
      </w:r>
      <w:r w:rsidR="00BE2D2C" w:rsidRPr="006D0E33">
        <w:t xml:space="preserve"> in terms of questioning and prompts. </w:t>
      </w:r>
      <w:r w:rsidR="00A31E5D" w:rsidRPr="006D0E33">
        <w:t>T</w:t>
      </w:r>
      <w:r w:rsidR="006639E5" w:rsidRPr="006D0E33">
        <w:t>h</w:t>
      </w:r>
      <w:r w:rsidR="00A31E5D" w:rsidRPr="006D0E33">
        <w:t>is encourages</w:t>
      </w:r>
      <w:r w:rsidR="006639E5" w:rsidRPr="006D0E33">
        <w:t xml:space="preserve"> trainees</w:t>
      </w:r>
      <w:r w:rsidR="00A31E5D" w:rsidRPr="006D0E33">
        <w:t xml:space="preserve"> to</w:t>
      </w:r>
      <w:r w:rsidR="006639E5" w:rsidRPr="006D0E33">
        <w:t xml:space="preserve"> become more responsive to immediate pupil</w:t>
      </w:r>
      <w:r w:rsidR="00A31E5D" w:rsidRPr="006D0E33">
        <w:t xml:space="preserve"> needs, adjusting pedagogy where appropriate,</w:t>
      </w:r>
      <w:r w:rsidR="006639E5" w:rsidRPr="006D0E33">
        <w:t xml:space="preserve"> whilst</w:t>
      </w:r>
      <w:r w:rsidR="00A31E5D" w:rsidRPr="006D0E33">
        <w:t xml:space="preserve"> continuing to</w:t>
      </w:r>
      <w:r w:rsidR="006639E5" w:rsidRPr="006D0E33">
        <w:t xml:space="preserve"> mov</w:t>
      </w:r>
      <w:r w:rsidR="00A31E5D" w:rsidRPr="006D0E33">
        <w:t>e</w:t>
      </w:r>
      <w:r w:rsidR="006639E5" w:rsidRPr="006D0E33">
        <w:t xml:space="preserve"> towards the overall learning goals.</w:t>
      </w:r>
      <w:r w:rsidR="00A31E5D" w:rsidRPr="006D0E33">
        <w:t xml:space="preserve">  This</w:t>
      </w:r>
      <w:r w:rsidR="00260370" w:rsidRPr="006D0E33">
        <w:t xml:space="preserve"> ongoing reflection and adjustment</w:t>
      </w:r>
      <w:r w:rsidR="003F2B61" w:rsidRPr="006D0E33">
        <w:t xml:space="preserve"> process</w:t>
      </w:r>
      <w:r w:rsidR="00A31E5D" w:rsidRPr="006D0E33">
        <w:t xml:space="preserve"> </w:t>
      </w:r>
      <w:proofErr w:type="gramStart"/>
      <w:r w:rsidR="00A31E5D" w:rsidRPr="006D0E33">
        <w:t>is</w:t>
      </w:r>
      <w:proofErr w:type="gramEnd"/>
      <w:r w:rsidR="00A31E5D" w:rsidRPr="006D0E33">
        <w:t xml:space="preserve"> a key facet of ambitious teaching. </w:t>
      </w:r>
    </w:p>
    <w:p w14:paraId="395649F4" w14:textId="08C5EA1B" w:rsidR="00494981" w:rsidRPr="006D0E33" w:rsidRDefault="00BE2D2C" w:rsidP="00F379FC">
      <w:pPr>
        <w:pStyle w:val="Newparagraph"/>
        <w:jc w:val="both"/>
      </w:pPr>
      <w:r w:rsidRPr="006D0E33">
        <w:t xml:space="preserve"> </w:t>
      </w:r>
      <w:r w:rsidR="00B26641" w:rsidRPr="006D0E33">
        <w:t xml:space="preserve">Step 4 </w:t>
      </w:r>
      <w:r w:rsidRPr="006D0E33">
        <w:t xml:space="preserve">is </w:t>
      </w:r>
      <w:r w:rsidR="00F97401" w:rsidRPr="006D0E33">
        <w:t xml:space="preserve">a </w:t>
      </w:r>
      <w:r w:rsidR="00A31E5D" w:rsidRPr="006D0E33">
        <w:t>collaborative</w:t>
      </w:r>
      <w:r w:rsidRPr="006D0E33">
        <w:t xml:space="preserve"> review and </w:t>
      </w:r>
      <w:r w:rsidR="00F97401" w:rsidRPr="006D0E33">
        <w:t xml:space="preserve">evaluation of </w:t>
      </w:r>
      <w:r w:rsidRPr="006D0E33">
        <w:t>the effectiveness of the practices</w:t>
      </w:r>
      <w:r w:rsidR="00A31E5D" w:rsidRPr="006D0E33">
        <w:t xml:space="preserve"> that have been developed</w:t>
      </w:r>
      <w:r w:rsidRPr="006D0E33">
        <w:t xml:space="preserve"> and the responses of </w:t>
      </w:r>
      <w:r w:rsidR="00F97401" w:rsidRPr="006D0E33">
        <w:t xml:space="preserve">both </w:t>
      </w:r>
      <w:r w:rsidRPr="006D0E33">
        <w:t xml:space="preserve">trainees and pupils to these.  </w:t>
      </w:r>
      <w:r w:rsidR="00A31E5D" w:rsidRPr="006D0E33">
        <w:t>This</w:t>
      </w:r>
      <w:r w:rsidRPr="006D0E33">
        <w:t xml:space="preserve"> collective process </w:t>
      </w:r>
      <w:r w:rsidR="005A30E5" w:rsidRPr="006D0E33">
        <w:t xml:space="preserve">of </w:t>
      </w:r>
      <w:r w:rsidR="006639E5" w:rsidRPr="006D0E33">
        <w:t>critique and critical discussion of the</w:t>
      </w:r>
      <w:r w:rsidRPr="006D0E33">
        <w:t xml:space="preserve"> teaching and learning that has occurred</w:t>
      </w:r>
      <w:r w:rsidR="0013682C" w:rsidRPr="006D0E33">
        <w:t xml:space="preserve"> </w:t>
      </w:r>
      <w:r w:rsidR="006639E5" w:rsidRPr="006D0E33">
        <w:t>during the enactment</w:t>
      </w:r>
      <w:r w:rsidR="0013682C" w:rsidRPr="006D0E33">
        <w:t xml:space="preserve"> </w:t>
      </w:r>
      <w:r w:rsidR="00A31E5D" w:rsidRPr="006D0E33">
        <w:t xml:space="preserve">creates spaces for </w:t>
      </w:r>
      <w:r w:rsidRPr="006D0E33">
        <w:t>richer learning</w:t>
      </w:r>
      <w:r w:rsidR="00A31E5D" w:rsidRPr="006D0E33">
        <w:t xml:space="preserve"> and is vital element in the development of the ambitious trainee</w:t>
      </w:r>
      <w:r w:rsidRPr="006D0E33">
        <w:t xml:space="preserve">. The </w:t>
      </w:r>
      <w:r w:rsidR="0013682C" w:rsidRPr="006D0E33">
        <w:t xml:space="preserve">iterative, </w:t>
      </w:r>
      <w:r w:rsidRPr="006D0E33">
        <w:t xml:space="preserve">cumulative communication, in which everyone respectfully shares and listens to the different perspectives and understandings of the common experience, allows powerful learning to take place. </w:t>
      </w:r>
    </w:p>
    <w:p w14:paraId="69D78898" w14:textId="5513E241" w:rsidR="00BE2D2C" w:rsidRPr="006D0E33" w:rsidRDefault="00BE2D2C" w:rsidP="00F379FC">
      <w:pPr>
        <w:autoSpaceDE w:val="0"/>
        <w:autoSpaceDN w:val="0"/>
        <w:adjustRightInd w:val="0"/>
        <w:ind w:firstLine="720"/>
        <w:jc w:val="both"/>
      </w:pPr>
      <w:r w:rsidRPr="006D0E33">
        <w:t>These four core steps occur within a collegiate space that is reflective, dialogic</w:t>
      </w:r>
      <w:r w:rsidR="00A26F39" w:rsidRPr="006D0E33">
        <w:t xml:space="preserve">, </w:t>
      </w:r>
      <w:r w:rsidRPr="006D0E33">
        <w:t>equitable</w:t>
      </w:r>
      <w:r w:rsidR="00A26F39" w:rsidRPr="006D0E33">
        <w:t xml:space="preserve"> and safe.</w:t>
      </w:r>
      <w:r w:rsidR="00F97401" w:rsidRPr="006D0E33">
        <w:t xml:space="preserve"> For such an open and </w:t>
      </w:r>
      <w:r w:rsidR="007E7D15" w:rsidRPr="006D0E33">
        <w:t xml:space="preserve">critical </w:t>
      </w:r>
      <w:r w:rsidR="00F97401" w:rsidRPr="006D0E33">
        <w:t>approach to be successful trainees have to go beyond</w:t>
      </w:r>
      <w:r w:rsidR="005362C3" w:rsidRPr="006D0E33">
        <w:t xml:space="preserve"> </w:t>
      </w:r>
      <w:r w:rsidR="00494981" w:rsidRPr="006D0E33">
        <w:t>conceptualising</w:t>
      </w:r>
      <w:r w:rsidR="005362C3" w:rsidRPr="006D0E33">
        <w:t xml:space="preserve"> critique as a negative experience.  It </w:t>
      </w:r>
      <w:r w:rsidR="00494981" w:rsidRPr="006D0E33">
        <w:t>has to be</w:t>
      </w:r>
      <w:r w:rsidR="005362C3" w:rsidRPr="006D0E33">
        <w:t xml:space="preserve"> accepted as difficult and challenging but recognised as an important way of gaining insights into our own assumptions for practice that we are unlikely to encounter without</w:t>
      </w:r>
      <w:r w:rsidR="00494981" w:rsidRPr="006D0E33">
        <w:t xml:space="preserve"> the probing by the</w:t>
      </w:r>
      <w:r w:rsidR="005362C3" w:rsidRPr="006D0E33">
        <w:t xml:space="preserve"> external lens</w:t>
      </w:r>
      <w:r w:rsidR="00494981" w:rsidRPr="006D0E33">
        <w:t xml:space="preserve"> of others</w:t>
      </w:r>
      <w:r w:rsidR="005362C3" w:rsidRPr="006D0E33">
        <w:t xml:space="preserve">. </w:t>
      </w:r>
      <w:r w:rsidR="00494981" w:rsidRPr="006D0E33">
        <w:t xml:space="preserve">Reflexive </w:t>
      </w:r>
      <w:r w:rsidR="00494981" w:rsidRPr="00487BB1">
        <w:rPr>
          <w:color w:val="000000" w:themeColor="text1"/>
        </w:rPr>
        <w:t>critique</w:t>
      </w:r>
      <w:r w:rsidR="00075F7B" w:rsidRPr="00487BB1">
        <w:rPr>
          <w:color w:val="000000" w:themeColor="text1"/>
        </w:rPr>
        <w:t xml:space="preserve"> (Cook et al 2019)</w:t>
      </w:r>
      <w:r w:rsidR="005362C3" w:rsidRPr="00487BB1">
        <w:rPr>
          <w:color w:val="000000" w:themeColor="text1"/>
        </w:rPr>
        <w:t xml:space="preserve"> is a </w:t>
      </w:r>
      <w:r w:rsidR="005362C3" w:rsidRPr="006D0E33">
        <w:t xml:space="preserve">way of moving beyond normative states of fitting happenings into previous </w:t>
      </w:r>
      <w:r w:rsidR="00494981" w:rsidRPr="006D0E33">
        <w:t>frameworks</w:t>
      </w:r>
      <w:r w:rsidR="00075F7B" w:rsidRPr="006D0E33">
        <w:t xml:space="preserve"> and building, through an </w:t>
      </w:r>
      <w:r w:rsidR="00075F7B" w:rsidRPr="006D0E33">
        <w:lastRenderedPageBreak/>
        <w:t>iterative process, new ways of understanding</w:t>
      </w:r>
      <w:r w:rsidR="00494981" w:rsidRPr="006D0E33">
        <w:t xml:space="preserve">. The bringing together of a range of </w:t>
      </w:r>
      <w:proofErr w:type="spellStart"/>
      <w:r w:rsidR="00494981" w:rsidRPr="006D0E33">
        <w:t>knowings</w:t>
      </w:r>
      <w:proofErr w:type="spellEnd"/>
      <w:r w:rsidR="00494981" w:rsidRPr="006D0E33">
        <w:t xml:space="preserve"> offers a way of learning, an opportunity to construct new knowledge for a</w:t>
      </w:r>
      <w:r w:rsidR="005362C3" w:rsidRPr="006D0E33">
        <w:t xml:space="preserve"> new vision</w:t>
      </w:r>
      <w:r w:rsidR="00494981" w:rsidRPr="006D0E33">
        <w:t xml:space="preserve"> of what could be</w:t>
      </w:r>
      <w:r w:rsidR="005362C3" w:rsidRPr="006D0E33">
        <w:t>.  Central to building the ‘safe’ space for this to occur was the star</w:t>
      </w:r>
      <w:r w:rsidR="00B102E0" w:rsidRPr="006D0E33">
        <w:t>t</w:t>
      </w:r>
      <w:r w:rsidR="005362C3" w:rsidRPr="006D0E33">
        <w:t xml:space="preserve">ing point of mutual </w:t>
      </w:r>
      <w:r w:rsidR="005362C3" w:rsidRPr="00487BB1">
        <w:rPr>
          <w:color w:val="000000" w:themeColor="text1"/>
        </w:rPr>
        <w:t>respect for</w:t>
      </w:r>
      <w:r w:rsidR="00494981" w:rsidRPr="00487BB1">
        <w:rPr>
          <w:color w:val="000000" w:themeColor="text1"/>
        </w:rPr>
        <w:t xml:space="preserve"> the</w:t>
      </w:r>
      <w:r w:rsidR="005362C3" w:rsidRPr="00487BB1">
        <w:rPr>
          <w:color w:val="000000" w:themeColor="text1"/>
        </w:rPr>
        <w:t xml:space="preserve"> differing knowl</w:t>
      </w:r>
      <w:r w:rsidR="00B102E0" w:rsidRPr="00487BB1">
        <w:rPr>
          <w:color w:val="000000" w:themeColor="text1"/>
        </w:rPr>
        <w:t>e</w:t>
      </w:r>
      <w:r w:rsidR="005362C3" w:rsidRPr="00487BB1">
        <w:rPr>
          <w:color w:val="000000" w:themeColor="text1"/>
        </w:rPr>
        <w:t>dges</w:t>
      </w:r>
      <w:r w:rsidR="00494981" w:rsidRPr="00487BB1">
        <w:rPr>
          <w:color w:val="000000" w:themeColor="text1"/>
        </w:rPr>
        <w:t xml:space="preserve"> found across all those involved</w:t>
      </w:r>
      <w:r w:rsidR="005362C3" w:rsidRPr="00487BB1">
        <w:rPr>
          <w:color w:val="000000" w:themeColor="text1"/>
        </w:rPr>
        <w:t xml:space="preserve"> and</w:t>
      </w:r>
      <w:r w:rsidR="00494981" w:rsidRPr="00487BB1">
        <w:rPr>
          <w:color w:val="000000" w:themeColor="text1"/>
        </w:rPr>
        <w:t xml:space="preserve"> the</w:t>
      </w:r>
      <w:r w:rsidR="005362C3" w:rsidRPr="00487BB1">
        <w:rPr>
          <w:color w:val="000000" w:themeColor="text1"/>
        </w:rPr>
        <w:t xml:space="preserve"> opportunity to observe how the sharing of critical reflections could positively affect practice. </w:t>
      </w:r>
      <w:r w:rsidR="00E45EDE" w:rsidRPr="00487BB1">
        <w:rPr>
          <w:color w:val="000000" w:themeColor="text1"/>
        </w:rPr>
        <w:t>A</w:t>
      </w:r>
      <w:r w:rsidR="00494981" w:rsidRPr="00487BB1">
        <w:rPr>
          <w:color w:val="000000" w:themeColor="text1"/>
        </w:rPr>
        <w:t xml:space="preserve"> key facilitator </w:t>
      </w:r>
      <w:r w:rsidR="00E45EDE" w:rsidRPr="00487BB1">
        <w:rPr>
          <w:color w:val="000000" w:themeColor="text1"/>
        </w:rPr>
        <w:t>for this</w:t>
      </w:r>
      <w:r w:rsidR="00494981" w:rsidRPr="00487BB1">
        <w:rPr>
          <w:color w:val="000000" w:themeColor="text1"/>
        </w:rPr>
        <w:t xml:space="preserve"> was </w:t>
      </w:r>
      <w:r w:rsidR="00494981" w:rsidRPr="006D0E33">
        <w:t xml:space="preserve">the </w:t>
      </w:r>
      <w:r w:rsidR="006623DB" w:rsidRPr="006D0E33">
        <w:t>mutual respect modelled</w:t>
      </w:r>
      <w:r w:rsidR="00634522">
        <w:t xml:space="preserve"> in school </w:t>
      </w:r>
      <w:r w:rsidR="006623DB" w:rsidRPr="006D0E33">
        <w:t xml:space="preserve">for the trainees, by the </w:t>
      </w:r>
      <w:r w:rsidR="00494981" w:rsidRPr="006D0E33">
        <w:t>TE</w:t>
      </w:r>
      <w:r w:rsidR="006623DB" w:rsidRPr="006D0E33">
        <w:t xml:space="preserve"> and the school</w:t>
      </w:r>
      <w:r w:rsidR="00494981" w:rsidRPr="006D0E33">
        <w:t>-based</w:t>
      </w:r>
      <w:r w:rsidR="006623DB" w:rsidRPr="006D0E33">
        <w:t xml:space="preserve"> teachers.</w:t>
      </w:r>
      <w:r w:rsidR="009A74C4" w:rsidRPr="006D0E33">
        <w:t xml:space="preserve"> Seeing how </w:t>
      </w:r>
      <w:r w:rsidR="00B102E0" w:rsidRPr="006D0E33">
        <w:t xml:space="preserve">the TE and teachers </w:t>
      </w:r>
      <w:r w:rsidR="009A74C4" w:rsidRPr="006D0E33">
        <w:t>each respected the know</w:t>
      </w:r>
      <w:r w:rsidR="00B102E0" w:rsidRPr="006D0E33">
        <w:t>le</w:t>
      </w:r>
      <w:r w:rsidR="009A74C4" w:rsidRPr="006D0E33">
        <w:t xml:space="preserve">dges of the other, and put </w:t>
      </w:r>
      <w:r w:rsidR="00B102E0" w:rsidRPr="006D0E33">
        <w:t>this</w:t>
      </w:r>
      <w:r w:rsidR="009A74C4" w:rsidRPr="006D0E33">
        <w:t xml:space="preserve"> to good use, allowed the trainees to see the value of this.  </w:t>
      </w:r>
      <w:r w:rsidR="00B102E0" w:rsidRPr="006D0E33">
        <w:t>T</w:t>
      </w:r>
      <w:r w:rsidR="006623DB" w:rsidRPr="006D0E33">
        <w:t>he active involvement of the train</w:t>
      </w:r>
      <w:r w:rsidR="00EA2D7F" w:rsidRPr="006D0E33">
        <w:t xml:space="preserve">ees </w:t>
      </w:r>
      <w:r w:rsidR="00B102E0" w:rsidRPr="006D0E33">
        <w:t xml:space="preserve">and </w:t>
      </w:r>
      <w:r w:rsidR="00EA2D7F" w:rsidRPr="006D0E33">
        <w:t>the non-</w:t>
      </w:r>
      <w:r w:rsidR="006623DB" w:rsidRPr="006D0E33">
        <w:t xml:space="preserve">judgemental </w:t>
      </w:r>
      <w:r w:rsidR="00EA2D7F" w:rsidRPr="006D0E33">
        <w:t>nature of the experience</w:t>
      </w:r>
      <w:r w:rsidR="009A74C4" w:rsidRPr="006D0E33">
        <w:t xml:space="preserve"> of shared planning for the forthcoming activ</w:t>
      </w:r>
      <w:r w:rsidR="00B102E0" w:rsidRPr="006D0E33">
        <w:t>iti</w:t>
      </w:r>
      <w:r w:rsidR="009A74C4" w:rsidRPr="006D0E33">
        <w:t xml:space="preserve">es in school </w:t>
      </w:r>
      <w:r w:rsidR="00EA2D7F" w:rsidRPr="006D0E33">
        <w:t>were important in creating a safe space for trainees to explore their</w:t>
      </w:r>
      <w:r w:rsidR="009A74C4" w:rsidRPr="006D0E33">
        <w:t xml:space="preserve"> own</w:t>
      </w:r>
      <w:r w:rsidR="00EA2D7F" w:rsidRPr="006D0E33">
        <w:t xml:space="preserve"> emergent ideas about primary science. </w:t>
      </w:r>
      <w:r w:rsidR="009A74C4" w:rsidRPr="006D0E33">
        <w:t>In addition, k</w:t>
      </w:r>
      <w:r w:rsidR="00EA2D7F" w:rsidRPr="006D0E33">
        <w:t>nowing</w:t>
      </w:r>
      <w:r w:rsidR="009A74C4" w:rsidRPr="006D0E33">
        <w:t xml:space="preserve"> that</w:t>
      </w:r>
      <w:r w:rsidR="00EA2D7F" w:rsidRPr="006D0E33">
        <w:t xml:space="preserve">, unlike their normal school placement, they would not be assessed against teaching standards was a </w:t>
      </w:r>
      <w:r w:rsidR="009A74C4" w:rsidRPr="006D0E33">
        <w:t>critical</w:t>
      </w:r>
      <w:r w:rsidR="00EA2D7F" w:rsidRPr="006D0E33">
        <w:t xml:space="preserve"> aspect of enabling the trainees to risk take and think freely.</w:t>
      </w:r>
      <w:r w:rsidR="00A26F39" w:rsidRPr="006D0E33">
        <w:t xml:space="preserve"> </w:t>
      </w:r>
      <w:r w:rsidR="009A74C4" w:rsidRPr="006D0E33">
        <w:t xml:space="preserve">Having safe </w:t>
      </w:r>
      <w:r w:rsidR="00A26F39" w:rsidRPr="006D0E33">
        <w:t xml:space="preserve">spaces </w:t>
      </w:r>
      <w:r w:rsidR="009A74C4" w:rsidRPr="006D0E33">
        <w:t>is</w:t>
      </w:r>
      <w:r w:rsidR="00A26F39" w:rsidRPr="006D0E33">
        <w:t xml:space="preserve"> </w:t>
      </w:r>
      <w:r w:rsidRPr="006D0E33">
        <w:t>important in facilitating a respectful reciprocity of ideas and expertise</w:t>
      </w:r>
      <w:r w:rsidR="00A26F39" w:rsidRPr="006D0E33">
        <w:t xml:space="preserve"> (</w:t>
      </w:r>
      <w:proofErr w:type="spellStart"/>
      <w:r w:rsidR="00A26F39" w:rsidRPr="006D0E33">
        <w:t>Zeichner</w:t>
      </w:r>
      <w:proofErr w:type="spellEnd"/>
      <w:r w:rsidR="00A26F39" w:rsidRPr="006D0E33">
        <w:t>, 2010)</w:t>
      </w:r>
      <w:r w:rsidRPr="006D0E33">
        <w:t xml:space="preserve">. </w:t>
      </w:r>
      <w:r w:rsidR="00A26F39" w:rsidRPr="006D0E33">
        <w:t xml:space="preserve">They are </w:t>
      </w:r>
      <w:r w:rsidRPr="006D0E33">
        <w:t>key to the development of shared understandings and interpretations of what learning is occurring</w:t>
      </w:r>
      <w:r w:rsidR="00A26F39" w:rsidRPr="006D0E33">
        <w:t xml:space="preserve"> for whom</w:t>
      </w:r>
      <w:r w:rsidRPr="006D0E33">
        <w:t xml:space="preserve"> and </w:t>
      </w:r>
      <w:r w:rsidR="00A26F39" w:rsidRPr="006D0E33">
        <w:t xml:space="preserve">for </w:t>
      </w:r>
      <w:r w:rsidRPr="006D0E33">
        <w:t xml:space="preserve">constructing an effective response to improve pupil learning. </w:t>
      </w:r>
    </w:p>
    <w:p w14:paraId="0848BC8C" w14:textId="252622CF" w:rsidR="00BE2D2C" w:rsidRPr="006D0E33" w:rsidRDefault="009A74C4" w:rsidP="008C3E6B">
      <w:pPr>
        <w:pStyle w:val="Heading1"/>
        <w:jc w:val="both"/>
        <w:rPr>
          <w:szCs w:val="24"/>
        </w:rPr>
      </w:pPr>
      <w:r w:rsidRPr="006D0E33">
        <w:rPr>
          <w:szCs w:val="24"/>
        </w:rPr>
        <w:t>Science in Primary Schools</w:t>
      </w:r>
    </w:p>
    <w:p w14:paraId="697606FF" w14:textId="1065366A" w:rsidR="00BE2D2C" w:rsidRPr="006D0E33" w:rsidRDefault="00BE2D2C" w:rsidP="00F379FC">
      <w:pPr>
        <w:pStyle w:val="Newparagraph"/>
        <w:ind w:firstLine="0"/>
        <w:jc w:val="both"/>
      </w:pPr>
      <w:r w:rsidRPr="006D0E33">
        <w:t xml:space="preserve">In the UK primary school teachers teach all subjects. Some subjects are known to present particular issues for teachers. In primary curriculum areas such as science, a variety of additional teacher personal attributes and environmental influences are at play. These include the teachers’ own subject knowledge, access to appropriate resources and lack of dedicated planning and curriculum time for science subjects, all of which are commonly identified as impediments to effective primary science delivery </w:t>
      </w:r>
      <w:r w:rsidRPr="006D0E33">
        <w:rPr>
          <w:noProof/>
        </w:rPr>
        <w:t>(Lewthwaite and Fisher, 2004; Lewthwaite et al 2001; Petersen and Treagust, 2014)</w:t>
      </w:r>
      <w:r w:rsidRPr="006D0E33">
        <w:t xml:space="preserve">. In 2014 the </w:t>
      </w:r>
      <w:proofErr w:type="spellStart"/>
      <w:r w:rsidRPr="006D0E33">
        <w:rPr>
          <w:shd w:val="clear" w:color="auto" w:fill="FFFFFF"/>
        </w:rPr>
        <w:t>Wellcome</w:t>
      </w:r>
      <w:proofErr w:type="spellEnd"/>
      <w:r w:rsidRPr="006D0E33">
        <w:rPr>
          <w:shd w:val="clear" w:color="auto" w:fill="FFFFFF"/>
        </w:rPr>
        <w:t xml:space="preserve"> </w:t>
      </w:r>
      <w:r w:rsidRPr="006D0E33">
        <w:rPr>
          <w:shd w:val="clear" w:color="auto" w:fill="FFFFFF"/>
        </w:rPr>
        <w:lastRenderedPageBreak/>
        <w:t>Foundation noted that very few primary schools have access to high levels of science expertise and that strategic leadership for the subject is weak</w:t>
      </w:r>
      <w:r w:rsidR="00B102E0" w:rsidRPr="006D0E33">
        <w:rPr>
          <w:shd w:val="clear" w:color="auto" w:fill="FFFFFF"/>
        </w:rPr>
        <w:t xml:space="preserve"> </w:t>
      </w:r>
      <w:r w:rsidRPr="006D0E33">
        <w:rPr>
          <w:noProof/>
          <w:shd w:val="clear" w:color="auto" w:fill="FFFFFF"/>
        </w:rPr>
        <w:t>(</w:t>
      </w:r>
      <w:r w:rsidR="00B102E0" w:rsidRPr="006D0E33">
        <w:rPr>
          <w:noProof/>
          <w:shd w:val="clear" w:color="auto" w:fill="FFFFFF"/>
        </w:rPr>
        <w:t xml:space="preserve">Wellcome, </w:t>
      </w:r>
      <w:r w:rsidRPr="006D0E33">
        <w:rPr>
          <w:noProof/>
          <w:shd w:val="clear" w:color="auto" w:fill="FFFFFF"/>
        </w:rPr>
        <w:t>2014)</w:t>
      </w:r>
      <w:r w:rsidRPr="006D0E33">
        <w:rPr>
          <w:shd w:val="clear" w:color="auto" w:fill="FFFFFF"/>
        </w:rPr>
        <w:t xml:space="preserve">. The subsequent </w:t>
      </w:r>
      <w:r w:rsidRPr="006D0E33">
        <w:t xml:space="preserve">‘State of the Nation’ report on UK primary science education </w:t>
      </w:r>
      <w:r w:rsidRPr="006D0E33">
        <w:rPr>
          <w:noProof/>
        </w:rPr>
        <w:t>(Leonardi, et al 2017)</w:t>
      </w:r>
      <w:r w:rsidRPr="006D0E33">
        <w:t xml:space="preserve"> </w:t>
      </w:r>
      <w:r w:rsidRPr="00487BB1">
        <w:rPr>
          <w:color w:val="000000" w:themeColor="text1"/>
        </w:rPr>
        <w:t>found that only 43% of the Science Leaders in primary schools held any type of A level</w:t>
      </w:r>
      <w:r w:rsidR="00634522" w:rsidRPr="00487BB1">
        <w:rPr>
          <w:rStyle w:val="FootnoteReference"/>
          <w:color w:val="000000" w:themeColor="text1"/>
        </w:rPr>
        <w:footnoteReference w:id="3"/>
      </w:r>
      <w:r w:rsidRPr="00487BB1">
        <w:rPr>
          <w:color w:val="000000" w:themeColor="text1"/>
        </w:rPr>
        <w:t xml:space="preserve"> science qualification and only 6% held all three A-Level sciences (Biology, Chemistry, Physics). D</w:t>
      </w:r>
      <w:r w:rsidRPr="006D0E33">
        <w:t xml:space="preserve">eveloping scientific pedagogical content knowledge was crucial for enabling trainees to teach effectively in challenging classroom environments. In 2016, </w:t>
      </w:r>
      <w:r w:rsidRPr="006D0E33">
        <w:rPr>
          <w:shd w:val="clear" w:color="auto" w:fill="FFFFFF"/>
        </w:rPr>
        <w:t>Her Majesty’s Chief Inspector of Education</w:t>
      </w:r>
      <w:r w:rsidRPr="006D0E33">
        <w:t xml:space="preserve">, Sir Michael Wilshaw, commenting on </w:t>
      </w:r>
      <w:proofErr w:type="gramStart"/>
      <w:r w:rsidRPr="006D0E33">
        <w:t>the</w:t>
      </w:r>
      <w:r w:rsidRPr="006D0E33">
        <w:rPr>
          <w:shd w:val="clear" w:color="auto" w:fill="FFFFFF"/>
        </w:rPr>
        <w:t xml:space="preserve">  2014</w:t>
      </w:r>
      <w:proofErr w:type="gramEnd"/>
      <w:r w:rsidRPr="006D0E33">
        <w:rPr>
          <w:shd w:val="clear" w:color="auto" w:fill="FFFFFF"/>
        </w:rPr>
        <w:t xml:space="preserve"> </w:t>
      </w:r>
      <w:proofErr w:type="spellStart"/>
      <w:r w:rsidRPr="006D0E33">
        <w:rPr>
          <w:shd w:val="clear" w:color="auto" w:fill="FFFFFF"/>
        </w:rPr>
        <w:t>Wellcome</w:t>
      </w:r>
      <w:proofErr w:type="spellEnd"/>
      <w:r w:rsidRPr="006D0E33">
        <w:rPr>
          <w:shd w:val="clear" w:color="auto" w:fill="FFFFFF"/>
        </w:rPr>
        <w:t xml:space="preserve"> Foundation report ’</w:t>
      </w:r>
      <w:r w:rsidRPr="006D0E33">
        <w:t>Primary Science: Is It Missing Out?’</w:t>
      </w:r>
      <w:r w:rsidRPr="006D0E33">
        <w:rPr>
          <w:noProof/>
        </w:rPr>
        <w:t xml:space="preserve">, </w:t>
      </w:r>
      <w:r w:rsidRPr="006D0E33">
        <w:t>stressed the importance of high-quality primary science:</w:t>
      </w:r>
    </w:p>
    <w:p w14:paraId="6FF7510E" w14:textId="77777777" w:rsidR="00BE2D2C" w:rsidRPr="006D0E33" w:rsidRDefault="00BE2D2C" w:rsidP="008C3E6B">
      <w:pPr>
        <w:pStyle w:val="Displayedquotation"/>
        <w:jc w:val="both"/>
        <w:rPr>
          <w:noProof/>
          <w:sz w:val="24"/>
          <w:shd w:val="clear" w:color="auto" w:fill="FFFFFF"/>
        </w:rPr>
      </w:pPr>
      <w:r w:rsidRPr="006D0E33">
        <w:rPr>
          <w:sz w:val="24"/>
          <w:shd w:val="clear" w:color="auto" w:fill="FFFFFF"/>
        </w:rPr>
        <w:t xml:space="preserve">We must therefore ensure that primary-age pupils are inspired by effective teaching of science …from properly trained and qualified staff, and that the pupils’ enquiring minds and natural curiosity are nurtured. </w:t>
      </w:r>
      <w:r w:rsidRPr="006D0E33">
        <w:rPr>
          <w:noProof/>
          <w:sz w:val="24"/>
          <w:shd w:val="clear" w:color="auto" w:fill="FFFFFF"/>
        </w:rPr>
        <w:t>(Wilshaw, 2016, no page number)</w:t>
      </w:r>
    </w:p>
    <w:p w14:paraId="734371F2" w14:textId="561BCBA1" w:rsidR="009A74C4" w:rsidRPr="006D0E33" w:rsidRDefault="009A74C4" w:rsidP="00D9436C">
      <w:pPr>
        <w:pStyle w:val="Heading1"/>
        <w:jc w:val="both"/>
        <w:rPr>
          <w:szCs w:val="24"/>
        </w:rPr>
      </w:pPr>
      <w:r w:rsidRPr="006D0E33">
        <w:rPr>
          <w:szCs w:val="24"/>
        </w:rPr>
        <w:t xml:space="preserve">Putting the HCM cycle to work </w:t>
      </w:r>
    </w:p>
    <w:p w14:paraId="2D97C7CF" w14:textId="4C56E85F" w:rsidR="009A74C4" w:rsidRPr="006D0E33" w:rsidRDefault="00BE2D2C" w:rsidP="008C3E6B">
      <w:pPr>
        <w:pStyle w:val="Newparagraph"/>
        <w:ind w:firstLine="0"/>
        <w:jc w:val="both"/>
      </w:pPr>
      <w:r w:rsidRPr="006D0E33">
        <w:t xml:space="preserve">The </w:t>
      </w:r>
      <w:r w:rsidR="009E7C86" w:rsidRPr="006D0E33">
        <w:t xml:space="preserve">HC </w:t>
      </w:r>
      <w:r w:rsidRPr="006D0E33">
        <w:t xml:space="preserve">Primary Science project built on Grossman, </w:t>
      </w:r>
      <w:proofErr w:type="spellStart"/>
      <w:r w:rsidRPr="006D0E33">
        <w:t>Hammerness</w:t>
      </w:r>
      <w:proofErr w:type="spellEnd"/>
      <w:r w:rsidRPr="006D0E33">
        <w:t xml:space="preserve"> and McDonald’s </w:t>
      </w:r>
      <w:r w:rsidRPr="006D0E33">
        <w:rPr>
          <w:noProof/>
        </w:rPr>
        <w:t>(2009)</w:t>
      </w:r>
      <w:r w:rsidRPr="006D0E33">
        <w:t xml:space="preserve"> view of teacher education curriculum as being ’organized around core practices, in which knowledge, skill and professional identity are developed in the process of learning to practice’ (p. 274). </w:t>
      </w:r>
      <w:r w:rsidR="009E7C86" w:rsidRPr="006D0E33">
        <w:t xml:space="preserve">The topic for the project, light, was identified and agreed through discussions between the headteacher and the university.  It was a theme the school science-coordinator felt less confident about in terms of her own subject knowledge, and it had also been identified as an area for improvement in previous trainee subject audits by the university. </w:t>
      </w:r>
    </w:p>
    <w:p w14:paraId="78E89763" w14:textId="77777777" w:rsidR="00407482" w:rsidRPr="006D0E33" w:rsidRDefault="00407482" w:rsidP="008C3E6B">
      <w:pPr>
        <w:pStyle w:val="Newparagraph"/>
        <w:ind w:firstLine="0"/>
        <w:jc w:val="both"/>
      </w:pPr>
    </w:p>
    <w:p w14:paraId="2DDD3144" w14:textId="10DBDB8E" w:rsidR="000962F5" w:rsidRPr="006D0E33" w:rsidRDefault="00AF7942" w:rsidP="00F379FC">
      <w:pPr>
        <w:pStyle w:val="Newparagraph"/>
        <w:jc w:val="both"/>
      </w:pPr>
      <w:r w:rsidRPr="006D0E33">
        <w:t>I</w:t>
      </w:r>
      <w:r w:rsidR="000962F5" w:rsidRPr="006D0E33">
        <w:t>nvolved in the project were the university TE</w:t>
      </w:r>
      <w:r w:rsidRPr="006D0E33">
        <w:t xml:space="preserve"> (1)</w:t>
      </w:r>
      <w:r w:rsidR="00407482" w:rsidRPr="006D0E33">
        <w:t xml:space="preserve"> an experienced science teacher and also experienced in using the HCM model</w:t>
      </w:r>
      <w:r w:rsidR="000962F5" w:rsidRPr="006D0E33">
        <w:t>, the trainees</w:t>
      </w:r>
      <w:r w:rsidRPr="006D0E33">
        <w:t xml:space="preserve"> (8)</w:t>
      </w:r>
      <w:r w:rsidR="000962F5" w:rsidRPr="006D0E33">
        <w:t>, the school science coordinator</w:t>
      </w:r>
      <w:r w:rsidRPr="006D0E33">
        <w:t xml:space="preserve"> (1)</w:t>
      </w:r>
      <w:r w:rsidR="000962F5" w:rsidRPr="006D0E33">
        <w:t xml:space="preserve"> and her colleague, a non-specialist teacher</w:t>
      </w:r>
      <w:r w:rsidRPr="006D0E33">
        <w:t xml:space="preserve"> (1)</w:t>
      </w:r>
      <w:r w:rsidR="000962F5" w:rsidRPr="006D0E33">
        <w:t xml:space="preserve">. </w:t>
      </w:r>
      <w:r w:rsidRPr="006D0E33">
        <w:t xml:space="preserve">The trainees </w:t>
      </w:r>
      <w:r w:rsidR="00407482" w:rsidRPr="006D0E33">
        <w:t>were a</w:t>
      </w:r>
      <w:r w:rsidR="00242DC4" w:rsidRPr="006D0E33">
        <w:t xml:space="preserve"> self-selecting group of volunteers who shared a range of motivations </w:t>
      </w:r>
      <w:r w:rsidR="00852C8B" w:rsidRPr="006D0E33">
        <w:t>for</w:t>
      </w:r>
      <w:r w:rsidR="00010834" w:rsidRPr="006D0E33">
        <w:t xml:space="preserve"> </w:t>
      </w:r>
      <w:r w:rsidR="00852C8B" w:rsidRPr="006D0E33">
        <w:t>their involvement. F</w:t>
      </w:r>
      <w:r w:rsidR="00242DC4" w:rsidRPr="006D0E33">
        <w:t xml:space="preserve">ive were particularly keen to improve their own science knowledge and pedagogy, two expressed a desire to develop skills to teach in more challenging schools and one </w:t>
      </w:r>
      <w:r w:rsidR="00407482" w:rsidRPr="006D0E33">
        <w:t>had</w:t>
      </w:r>
      <w:r w:rsidR="00242DC4" w:rsidRPr="006D0E33">
        <w:t xml:space="preserve"> </w:t>
      </w:r>
      <w:r w:rsidR="00407482" w:rsidRPr="006D0E33">
        <w:t>confidence</w:t>
      </w:r>
      <w:r w:rsidR="00242DC4" w:rsidRPr="006D0E33">
        <w:t xml:space="preserve"> in what they could offer to the school and the project. Previous subject knowledge data collected by the </w:t>
      </w:r>
      <w:r w:rsidR="00407482" w:rsidRPr="006D0E33">
        <w:t>TE</w:t>
      </w:r>
      <w:r w:rsidR="00242DC4" w:rsidRPr="006D0E33">
        <w:t xml:space="preserve"> suggested a </w:t>
      </w:r>
      <w:r w:rsidR="00EA085B" w:rsidRPr="006D0E33">
        <w:t xml:space="preserve">similar understanding of science concepts </w:t>
      </w:r>
      <w:r w:rsidR="00407482" w:rsidRPr="006D0E33">
        <w:t xml:space="preserve">by the trainees </w:t>
      </w:r>
      <w:r w:rsidR="00EA085B" w:rsidRPr="006D0E33">
        <w:t xml:space="preserve">with </w:t>
      </w:r>
      <w:r w:rsidR="00407482" w:rsidRPr="006D0E33">
        <w:t>all</w:t>
      </w:r>
      <w:r w:rsidR="00EA085B" w:rsidRPr="006D0E33">
        <w:t xml:space="preserve"> </w:t>
      </w:r>
      <w:r w:rsidR="00407482" w:rsidRPr="006D0E33">
        <w:t>appropriately</w:t>
      </w:r>
      <w:r w:rsidR="00EA085B" w:rsidRPr="006D0E33">
        <w:t xml:space="preserve"> identifying the need to improve their subject knowledge</w:t>
      </w:r>
      <w:r w:rsidR="00407482" w:rsidRPr="006D0E33">
        <w:t xml:space="preserve"> for science teaching</w:t>
      </w:r>
      <w:r w:rsidR="00EA085B" w:rsidRPr="006D0E33">
        <w:t xml:space="preserve">. </w:t>
      </w:r>
      <w:r w:rsidR="00852C8B" w:rsidRPr="006D0E33">
        <w:t>Measures of Self efficacy (</w:t>
      </w:r>
      <w:proofErr w:type="spellStart"/>
      <w:r w:rsidR="00852C8B" w:rsidRPr="006D0E33">
        <w:t>Tschannen</w:t>
      </w:r>
      <w:proofErr w:type="spellEnd"/>
      <w:r w:rsidR="00852C8B" w:rsidRPr="006D0E33">
        <w:t>-Moran &amp; Woolfolk Hoy,</w:t>
      </w:r>
      <w:r w:rsidR="00001ED6" w:rsidRPr="006D0E33">
        <w:t xml:space="preserve"> </w:t>
      </w:r>
      <w:r w:rsidR="00852C8B" w:rsidRPr="006D0E33">
        <w:t>2001)</w:t>
      </w:r>
      <w:r w:rsidR="00407482" w:rsidRPr="006D0E33">
        <w:t xml:space="preserve"> undertaken prior to their engagement with the project,</w:t>
      </w:r>
      <w:r w:rsidR="00001ED6" w:rsidRPr="006D0E33">
        <w:t xml:space="preserve"> revealed</w:t>
      </w:r>
      <w:r w:rsidR="00407482" w:rsidRPr="006D0E33">
        <w:t xml:space="preserve"> some</w:t>
      </w:r>
      <w:r w:rsidR="00001ED6" w:rsidRPr="006D0E33">
        <w:t xml:space="preserve"> individual differences but at the group level, all of the trainees </w:t>
      </w:r>
      <w:r w:rsidR="00407482" w:rsidRPr="006D0E33">
        <w:t>had low scores</w:t>
      </w:r>
      <w:r w:rsidR="00001ED6" w:rsidRPr="006D0E33">
        <w:t xml:space="preserve"> in relation to</w:t>
      </w:r>
      <w:r w:rsidR="00407482" w:rsidRPr="006D0E33">
        <w:t xml:space="preserve"> their knowledge of</w:t>
      </w:r>
      <w:r w:rsidR="00001ED6" w:rsidRPr="006D0E33">
        <w:t xml:space="preserve"> instructional strategies</w:t>
      </w:r>
      <w:r w:rsidR="00407482" w:rsidRPr="006D0E33">
        <w:t>,</w:t>
      </w:r>
      <w:r w:rsidR="00001ED6" w:rsidRPr="006D0E33">
        <w:t xml:space="preserve"> in particular their ability to respond to difficult questions</w:t>
      </w:r>
      <w:r w:rsidR="00407482" w:rsidRPr="006D0E33">
        <w:t>,</w:t>
      </w:r>
      <w:r w:rsidR="00001ED6" w:rsidRPr="006D0E33">
        <w:t xml:space="preserve"> and</w:t>
      </w:r>
      <w:r w:rsidR="00407482" w:rsidRPr="006D0E33">
        <w:t xml:space="preserve"> higher scores </w:t>
      </w:r>
      <w:r w:rsidR="00001ED6" w:rsidRPr="006D0E33">
        <w:t>in relation to their ability to engage</w:t>
      </w:r>
      <w:r w:rsidR="00407482" w:rsidRPr="006D0E33">
        <w:t xml:space="preserve"> and motivate</w:t>
      </w:r>
      <w:r w:rsidR="00001ED6" w:rsidRPr="006D0E33">
        <w:t xml:space="preserve"> </w:t>
      </w:r>
      <w:r w:rsidR="00407482" w:rsidRPr="006D0E33">
        <w:t xml:space="preserve">pupils. </w:t>
      </w:r>
      <w:r w:rsidR="000962F5" w:rsidRPr="006D0E33">
        <w:t xml:space="preserve">The </w:t>
      </w:r>
      <w:r w:rsidRPr="006D0E33">
        <w:t xml:space="preserve">school </w:t>
      </w:r>
      <w:r w:rsidR="000962F5" w:rsidRPr="006D0E33">
        <w:t xml:space="preserve">science coordinator did not have a science degree or scientific background but had a positive engagement with the project. The school colleague also had a non-scientific background and was less confident at the start about </w:t>
      </w:r>
      <w:r w:rsidRPr="006D0E33">
        <w:t>her</w:t>
      </w:r>
      <w:r w:rsidR="000962F5" w:rsidRPr="006D0E33">
        <w:t xml:space="preserve"> involvement in the project. </w:t>
      </w:r>
      <w:r w:rsidRPr="006D0E33">
        <w:t>Both</w:t>
      </w:r>
      <w:r w:rsidR="000962F5" w:rsidRPr="006D0E33">
        <w:t xml:space="preserve"> school-based colleagues were familiar with working collaboratively. </w:t>
      </w:r>
    </w:p>
    <w:p w14:paraId="105615DC" w14:textId="31186267" w:rsidR="00DC6960" w:rsidRPr="006D0E33" w:rsidRDefault="001018FE" w:rsidP="00F379FC">
      <w:pPr>
        <w:pStyle w:val="m1579887606026175441gmail-newparagraph"/>
        <w:shd w:val="clear" w:color="auto" w:fill="FFFFFF"/>
        <w:spacing w:before="0" w:beforeAutospacing="0" w:after="0" w:afterAutospacing="0" w:line="480" w:lineRule="atLeast"/>
        <w:ind w:firstLine="720"/>
        <w:jc w:val="both"/>
      </w:pPr>
      <w:r w:rsidRPr="006D0E33">
        <w:t xml:space="preserve">To start the project the </w:t>
      </w:r>
      <w:r w:rsidR="00BE2D2C" w:rsidRPr="006D0E33">
        <w:t>TE and school science coordinator</w:t>
      </w:r>
      <w:r w:rsidRPr="006D0E33">
        <w:t xml:space="preserve"> </w:t>
      </w:r>
      <w:r w:rsidR="00BE2D2C" w:rsidRPr="006D0E33">
        <w:t xml:space="preserve">met to agree </w:t>
      </w:r>
      <w:r w:rsidRPr="006D0E33">
        <w:t>the</w:t>
      </w:r>
      <w:r w:rsidR="00BE2D2C" w:rsidRPr="006D0E33">
        <w:t xml:space="preserve"> target cohort</w:t>
      </w:r>
      <w:r w:rsidRPr="006D0E33">
        <w:t xml:space="preserve"> of pupils</w:t>
      </w:r>
      <w:r w:rsidR="00BE2D2C" w:rsidRPr="006D0E33">
        <w:t xml:space="preserve">, the exact focus of the science project and intended learning </w:t>
      </w:r>
      <w:proofErr w:type="gramStart"/>
      <w:r w:rsidR="00BE2D2C" w:rsidRPr="006D0E33">
        <w:t>outcomes</w:t>
      </w:r>
      <w:r w:rsidR="004B5893" w:rsidRPr="006D0E33">
        <w:t xml:space="preserve"> </w:t>
      </w:r>
      <w:r w:rsidR="00DC6960" w:rsidRPr="006D0E33">
        <w:t xml:space="preserve"> of</w:t>
      </w:r>
      <w:proofErr w:type="gramEnd"/>
      <w:r w:rsidR="00DC6960" w:rsidRPr="006D0E33">
        <w:t xml:space="preserve"> </w:t>
      </w:r>
      <w:r w:rsidR="00BE2D2C" w:rsidRPr="006D0E33">
        <w:t>three training sessions</w:t>
      </w:r>
      <w:r w:rsidR="004B5893" w:rsidRPr="006D0E33">
        <w:t xml:space="preserve"> (Step 1)</w:t>
      </w:r>
      <w:r w:rsidR="00BE2D2C" w:rsidRPr="006D0E33">
        <w:t xml:space="preserve"> where the TE, the school-based teachers and trainees discussed the context of the pupils’ learning</w:t>
      </w:r>
      <w:r w:rsidR="008C5BD1" w:rsidRPr="006D0E33">
        <w:t xml:space="preserve"> for each of the year groups</w:t>
      </w:r>
      <w:r w:rsidR="00D447E8" w:rsidRPr="006D0E33">
        <w:t xml:space="preserve"> (</w:t>
      </w:r>
      <w:r w:rsidR="008C5BD1" w:rsidRPr="006D0E33">
        <w:t xml:space="preserve">Y3 </w:t>
      </w:r>
      <w:r w:rsidR="00D447E8" w:rsidRPr="006D0E33">
        <w:t>and</w:t>
      </w:r>
      <w:r w:rsidR="008C5BD1" w:rsidRPr="006D0E33">
        <w:t xml:space="preserve"> Y4</w:t>
      </w:r>
      <w:r w:rsidR="00E92595" w:rsidRPr="006D0E33">
        <w:rPr>
          <w:rStyle w:val="FootnoteReference"/>
        </w:rPr>
        <w:footnoteReference w:id="4"/>
      </w:r>
      <w:r w:rsidR="00E92595" w:rsidRPr="006D0E33">
        <w:t>)</w:t>
      </w:r>
      <w:r w:rsidR="00BE2D2C" w:rsidRPr="006D0E33">
        <w:t>, and developed,</w:t>
      </w:r>
      <w:r w:rsidR="00B623D0" w:rsidRPr="006D0E33">
        <w:t xml:space="preserve"> </w:t>
      </w:r>
      <w:r w:rsidR="00BE2D2C" w:rsidRPr="006D0E33">
        <w:t>then rehearsed the planned science activities</w:t>
      </w:r>
      <w:r w:rsidR="004B5893" w:rsidRPr="006D0E33">
        <w:t xml:space="preserve"> (Step 2)</w:t>
      </w:r>
      <w:r w:rsidR="00BE2D2C" w:rsidRPr="006D0E33">
        <w:t>.</w:t>
      </w:r>
      <w:r w:rsidR="006F7FCF" w:rsidRPr="006D0E33">
        <w:t xml:space="preserve"> </w:t>
      </w:r>
      <w:r w:rsidR="00BE2D2C" w:rsidRPr="006D0E33">
        <w:t xml:space="preserve">The first meeting </w:t>
      </w:r>
      <w:r w:rsidR="00BE2D2C" w:rsidRPr="006D0E33">
        <w:lastRenderedPageBreak/>
        <w:t>provided orientation for the project</w:t>
      </w:r>
      <w:r w:rsidR="00E92595" w:rsidRPr="006D0E33">
        <w:t>,</w:t>
      </w:r>
      <w:r w:rsidR="00BE2D2C" w:rsidRPr="006D0E33">
        <w:t xml:space="preserve"> the second, training around the science subject knowledge and pedagogy, and the third focused on collaborative planning of teaching activities. During the meetings the </w:t>
      </w:r>
      <w:r w:rsidR="00183F11" w:rsidRPr="006D0E33">
        <w:t xml:space="preserve">school-based </w:t>
      </w:r>
      <w:r w:rsidR="00BE2D2C" w:rsidRPr="006D0E33">
        <w:t xml:space="preserve">teachers’ existing expertise and knowledge of the target pupils was shared with the TE and trainees. </w:t>
      </w:r>
      <w:r w:rsidR="00183F11" w:rsidRPr="006D0E33">
        <w:t>The</w:t>
      </w:r>
      <w:r w:rsidR="00BE2D2C" w:rsidRPr="006D0E33">
        <w:t xml:space="preserve"> TE </w:t>
      </w:r>
      <w:r w:rsidR="00183F11" w:rsidRPr="006D0E33">
        <w:t>shared</w:t>
      </w:r>
      <w:r w:rsidR="00BE2D2C" w:rsidRPr="006D0E33">
        <w:t xml:space="preserve"> current and relevant subject pedagogical content knowledge. The trainees were encouraged to join in discussions with the TE and the school-based staff on the pedagogic approaches required to teach the particular scientific skills and concepts. </w:t>
      </w:r>
      <w:r w:rsidR="003427C7" w:rsidRPr="006D0E33">
        <w:t xml:space="preserve">This </w:t>
      </w:r>
      <w:r w:rsidR="00183F11" w:rsidRPr="006D0E33">
        <w:t xml:space="preserve">initial sharing and valuing of </w:t>
      </w:r>
      <w:r w:rsidR="00EA085B" w:rsidRPr="006D0E33">
        <w:t>knowledges</w:t>
      </w:r>
      <w:r w:rsidR="00183F11" w:rsidRPr="006D0E33">
        <w:t xml:space="preserve"> contributed to the establishment of </w:t>
      </w:r>
      <w:r w:rsidR="003427C7" w:rsidRPr="006D0E33">
        <w:t>an environment of mutual respect</w:t>
      </w:r>
      <w:r w:rsidR="00183F11" w:rsidRPr="006D0E33">
        <w:t xml:space="preserve"> and shared learning, </w:t>
      </w:r>
      <w:r w:rsidR="002745ED" w:rsidRPr="006D0E33">
        <w:t xml:space="preserve">the ‘safe space’ </w:t>
      </w:r>
      <w:r w:rsidR="00183F11" w:rsidRPr="006D0E33">
        <w:t>characteristic of the co-constructive processes of the HCM</w:t>
      </w:r>
      <w:r w:rsidR="003427C7" w:rsidRPr="006D0E33">
        <w:t xml:space="preserve">. The </w:t>
      </w:r>
      <w:r w:rsidR="00B623D0" w:rsidRPr="006D0E33">
        <w:t xml:space="preserve">first </w:t>
      </w:r>
      <w:r w:rsidR="003427C7" w:rsidRPr="006D0E33">
        <w:t xml:space="preserve">meeting </w:t>
      </w:r>
      <w:r w:rsidR="00B623D0" w:rsidRPr="006D0E33">
        <w:t>was</w:t>
      </w:r>
      <w:r w:rsidR="00183F11" w:rsidRPr="006D0E33">
        <w:t>, however,</w:t>
      </w:r>
      <w:r w:rsidR="00B623D0" w:rsidRPr="006D0E33">
        <w:t xml:space="preserve"> held at the university</w:t>
      </w:r>
      <w:r w:rsidR="00183F11" w:rsidRPr="006D0E33">
        <w:t xml:space="preserve"> and this</w:t>
      </w:r>
      <w:r w:rsidR="00B623D0" w:rsidRPr="006D0E33">
        <w:t xml:space="preserve"> proved to be less successful</w:t>
      </w:r>
      <w:r w:rsidR="00183F11" w:rsidRPr="006D0E33">
        <w:t>. The</w:t>
      </w:r>
      <w:r w:rsidR="00B623D0" w:rsidRPr="006D0E33">
        <w:t xml:space="preserve"> </w:t>
      </w:r>
      <w:r w:rsidR="003427C7" w:rsidRPr="006D0E33">
        <w:t>TE</w:t>
      </w:r>
      <w:r w:rsidR="00B623D0" w:rsidRPr="006D0E33">
        <w:t xml:space="preserve"> recognised that</w:t>
      </w:r>
      <w:r w:rsidR="00183F11" w:rsidRPr="006D0E33">
        <w:t xml:space="preserve"> this academic space adversely affected the confidence </w:t>
      </w:r>
      <w:r w:rsidR="00C02DCC" w:rsidRPr="006D0E33">
        <w:t xml:space="preserve">of </w:t>
      </w:r>
      <w:r w:rsidR="00DD52B6" w:rsidRPr="006D0E33">
        <w:t>school-based</w:t>
      </w:r>
      <w:r w:rsidR="00183F11" w:rsidRPr="006D0E33">
        <w:t xml:space="preserve"> teachers </w:t>
      </w:r>
      <w:r w:rsidR="00E45EDE" w:rsidRPr="00487BB1">
        <w:rPr>
          <w:color w:val="000000" w:themeColor="text1"/>
        </w:rPr>
        <w:t xml:space="preserve">to </w:t>
      </w:r>
      <w:r w:rsidR="008C5BD1" w:rsidRPr="00487BB1">
        <w:rPr>
          <w:color w:val="000000" w:themeColor="text1"/>
        </w:rPr>
        <w:t xml:space="preserve">engage </w:t>
      </w:r>
      <w:r w:rsidR="008C5BD1" w:rsidRPr="006D0E33">
        <w:t>in discussions around science ideas</w:t>
      </w:r>
      <w:r w:rsidR="00B623D0" w:rsidRPr="006D0E33">
        <w:t xml:space="preserve">. </w:t>
      </w:r>
      <w:r w:rsidR="00183F11" w:rsidRPr="006D0E33">
        <w:t>This</w:t>
      </w:r>
      <w:r w:rsidR="00B623D0" w:rsidRPr="006D0E33">
        <w:t xml:space="preserve"> led to a shift of location to</w:t>
      </w:r>
      <w:r w:rsidR="00183F11" w:rsidRPr="006D0E33">
        <w:t xml:space="preserve"> school</w:t>
      </w:r>
      <w:r w:rsidR="00B623D0" w:rsidRPr="006D0E33">
        <w:t xml:space="preserve"> the site with the </w:t>
      </w:r>
      <w:r w:rsidR="003427C7" w:rsidRPr="006D0E33">
        <w:t>TE</w:t>
      </w:r>
      <w:r w:rsidR="00B623D0" w:rsidRPr="006D0E33">
        <w:t xml:space="preserve"> and trainees travelling to after school </w:t>
      </w:r>
      <w:r w:rsidR="003427C7" w:rsidRPr="006D0E33">
        <w:t xml:space="preserve">meetings to </w:t>
      </w:r>
      <w:r w:rsidR="00E45EDE">
        <w:t>discuss and plan</w:t>
      </w:r>
      <w:r w:rsidR="003427C7" w:rsidRPr="006D0E33">
        <w:t xml:space="preserve"> the</w:t>
      </w:r>
      <w:r w:rsidR="00E92595" w:rsidRPr="006D0E33">
        <w:t xml:space="preserve"> teaching</w:t>
      </w:r>
      <w:r w:rsidR="003427C7" w:rsidRPr="006D0E33">
        <w:t xml:space="preserve"> sessions.</w:t>
      </w:r>
      <w:r w:rsidR="00B623D0" w:rsidRPr="006D0E33">
        <w:t xml:space="preserve"> </w:t>
      </w:r>
      <w:r w:rsidR="006F7FCF" w:rsidRPr="006D0E33">
        <w:t xml:space="preserve"> </w:t>
      </w:r>
    </w:p>
    <w:p w14:paraId="38FA8693" w14:textId="4E17FBB7" w:rsidR="00A01198" w:rsidRPr="006D0E33" w:rsidRDefault="003427C7" w:rsidP="008C3E6B">
      <w:pPr>
        <w:pStyle w:val="m1579887606026175441gmail-newparagraph"/>
        <w:shd w:val="clear" w:color="auto" w:fill="FFFFFF"/>
        <w:spacing w:before="0" w:beforeAutospacing="0" w:after="0" w:afterAutospacing="0" w:line="480" w:lineRule="atLeast"/>
        <w:ind w:firstLine="720"/>
        <w:jc w:val="both"/>
      </w:pPr>
      <w:r w:rsidRPr="006D0E33">
        <w:t>St</w:t>
      </w:r>
      <w:r w:rsidR="004B5893" w:rsidRPr="006D0E33">
        <w:t>ep</w:t>
      </w:r>
      <w:r w:rsidRPr="006D0E33">
        <w:t xml:space="preserve"> 3</w:t>
      </w:r>
      <w:r w:rsidR="004B5893" w:rsidRPr="006D0E33">
        <w:t>,</w:t>
      </w:r>
      <w:r w:rsidRPr="006D0E33">
        <w:t xml:space="preserve"> enactment </w:t>
      </w:r>
      <w:r w:rsidR="004B5893" w:rsidRPr="006D0E33">
        <w:t>in the classroom</w:t>
      </w:r>
      <w:r w:rsidRPr="006D0E33">
        <w:t xml:space="preserve">, consisted of five </w:t>
      </w:r>
      <w:r w:rsidR="00BE2D2C" w:rsidRPr="006D0E33">
        <w:t>weekly two-hour teaching sessions in the classroo</w:t>
      </w:r>
      <w:r w:rsidR="00940D2A" w:rsidRPr="006D0E33">
        <w:t>m</w:t>
      </w:r>
      <w:r w:rsidRPr="006D0E33">
        <w:t xml:space="preserve">. </w:t>
      </w:r>
      <w:r w:rsidR="008C5BD1" w:rsidRPr="006D0E33">
        <w:t xml:space="preserve">The </w:t>
      </w:r>
      <w:r w:rsidR="00DD52B6" w:rsidRPr="006D0E33">
        <w:t>s</w:t>
      </w:r>
      <w:r w:rsidR="008F1A97" w:rsidRPr="006D0E33">
        <w:t xml:space="preserve">cience </w:t>
      </w:r>
      <w:r w:rsidR="00DD52B6" w:rsidRPr="006D0E33">
        <w:t>c</w:t>
      </w:r>
      <w:r w:rsidR="008F1A97" w:rsidRPr="006D0E33">
        <w:t xml:space="preserve">oordinator and </w:t>
      </w:r>
      <w:r w:rsidR="008C5BD1" w:rsidRPr="006D0E33">
        <w:t>class teacher</w:t>
      </w:r>
      <w:r w:rsidR="00AF300E" w:rsidRPr="006D0E33">
        <w:t xml:space="preserve"> </w:t>
      </w:r>
      <w:r w:rsidR="008C5BD1" w:rsidRPr="006D0E33">
        <w:t xml:space="preserve">introduced the sessions </w:t>
      </w:r>
      <w:r w:rsidR="00AF300E" w:rsidRPr="006D0E33">
        <w:t xml:space="preserve">to </w:t>
      </w:r>
      <w:r w:rsidR="008F1A97" w:rsidRPr="006D0E33">
        <w:t xml:space="preserve">their </w:t>
      </w:r>
      <w:r w:rsidR="002745ED" w:rsidRPr="006D0E33">
        <w:t xml:space="preserve">whole </w:t>
      </w:r>
      <w:r w:rsidR="00AF300E" w:rsidRPr="006D0E33">
        <w:t>class</w:t>
      </w:r>
      <w:r w:rsidR="008F1A97" w:rsidRPr="006D0E33">
        <w:t xml:space="preserve"> </w:t>
      </w:r>
      <w:r w:rsidR="008C5BD1" w:rsidRPr="006D0E33">
        <w:t xml:space="preserve">and </w:t>
      </w:r>
      <w:r w:rsidRPr="006D0E33">
        <w:t>then</w:t>
      </w:r>
      <w:r w:rsidR="008C5BD1" w:rsidRPr="006D0E33">
        <w:t xml:space="preserve"> quickly moved </w:t>
      </w:r>
      <w:r w:rsidR="003A77E4" w:rsidRPr="006D0E33">
        <w:t xml:space="preserve">the pupils </w:t>
      </w:r>
      <w:r w:rsidR="008C5BD1" w:rsidRPr="006D0E33">
        <w:t>into small group</w:t>
      </w:r>
      <w:r w:rsidR="003A77E4" w:rsidRPr="006D0E33">
        <w:t>s of 6-8 pupils. The trainees, supervised by the school-based teachers and the TE, then carried out the collaboratively planned and previously modelled science activities</w:t>
      </w:r>
      <w:r w:rsidR="00E92595" w:rsidRPr="006D0E33">
        <w:t xml:space="preserve"> with the small groups</w:t>
      </w:r>
      <w:r w:rsidR="003A77E4" w:rsidRPr="006D0E33">
        <w:t xml:space="preserve">. </w:t>
      </w:r>
      <w:r w:rsidR="005442F5" w:rsidRPr="006D0E33">
        <w:t>The</w:t>
      </w:r>
      <w:r w:rsidR="009A6A42" w:rsidRPr="006D0E33">
        <w:t xml:space="preserve"> final</w:t>
      </w:r>
      <w:r w:rsidR="005442F5" w:rsidRPr="006D0E33">
        <w:t xml:space="preserve"> step</w:t>
      </w:r>
      <w:r w:rsidR="00940D2A" w:rsidRPr="006D0E33">
        <w:t>, step 4</w:t>
      </w:r>
      <w:r w:rsidR="00E92595" w:rsidRPr="006D0E33">
        <w:t>,</w:t>
      </w:r>
      <w:r w:rsidR="005442F5" w:rsidRPr="006D0E33">
        <w:t xml:space="preserve"> </w:t>
      </w:r>
      <w:r w:rsidR="009A6A42" w:rsidRPr="006D0E33">
        <w:t>was the affordance of a reflective, dialogic space</w:t>
      </w:r>
      <w:r w:rsidR="005442F5" w:rsidRPr="006D0E33">
        <w:t xml:space="preserve">. </w:t>
      </w:r>
      <w:r w:rsidR="00BE2D2C" w:rsidRPr="006D0E33">
        <w:t>After each of the sessions, a further hour was timetabled to allow the entire group an opportunity to reflect, review and evaluate their own professional learning</w:t>
      </w:r>
      <w:r w:rsidRPr="006D0E33">
        <w:t xml:space="preserve"> from the process</w:t>
      </w:r>
      <w:r w:rsidR="00BE2D2C" w:rsidRPr="006D0E33">
        <w:t xml:space="preserve"> as well as the pupils’ scientific learning. </w:t>
      </w:r>
      <w:r w:rsidR="006F7FCF" w:rsidRPr="006D0E33">
        <w:t>Th</w:t>
      </w:r>
      <w:r w:rsidRPr="006D0E33">
        <w:t>is</w:t>
      </w:r>
      <w:r w:rsidR="006F7FCF" w:rsidRPr="006D0E33">
        <w:t xml:space="preserve"> weekly</w:t>
      </w:r>
      <w:r w:rsidR="004C17E5" w:rsidRPr="006D0E33">
        <w:t>, reflective,</w:t>
      </w:r>
      <w:r w:rsidR="006F7FCF" w:rsidRPr="006D0E33">
        <w:t xml:space="preserve"> ‘</w:t>
      </w:r>
      <w:r w:rsidR="00DE1029" w:rsidRPr="006D0E33">
        <w:t>debriefing’</w:t>
      </w:r>
      <w:r w:rsidR="006F7FCF" w:rsidRPr="006D0E33">
        <w:t xml:space="preserve"> session prov</w:t>
      </w:r>
      <w:r w:rsidRPr="006D0E33">
        <w:t>id</w:t>
      </w:r>
      <w:r w:rsidR="006F7FCF" w:rsidRPr="006D0E33">
        <w:t>ed</w:t>
      </w:r>
      <w:r w:rsidR="00BD3ED2" w:rsidRPr="006D0E33">
        <w:t xml:space="preserve"> a key </w:t>
      </w:r>
      <w:r w:rsidR="00C6471D" w:rsidRPr="006D0E33">
        <w:t>mechanism for</w:t>
      </w:r>
      <w:r w:rsidR="00E92595" w:rsidRPr="006D0E33">
        <w:t xml:space="preserve"> building confidence and engaging all those involved in the research process</w:t>
      </w:r>
      <w:r w:rsidR="00C6471D" w:rsidRPr="006D0E33">
        <w:t xml:space="preserve">. As </w:t>
      </w:r>
      <w:proofErr w:type="spellStart"/>
      <w:r w:rsidR="00C6471D" w:rsidRPr="006D0E33">
        <w:t>Kemmis</w:t>
      </w:r>
      <w:proofErr w:type="spellEnd"/>
      <w:r w:rsidR="00C6471D" w:rsidRPr="006D0E33">
        <w:t xml:space="preserve"> (2006) note</w:t>
      </w:r>
      <w:r w:rsidR="004C17E5" w:rsidRPr="006D0E33">
        <w:t>d,</w:t>
      </w:r>
      <w:r w:rsidR="00C6471D" w:rsidRPr="006D0E33">
        <w:t xml:space="preserve"> to be effective, action research needs to engage those actively participating and gain their critical perspective of</w:t>
      </w:r>
      <w:r w:rsidR="004C17E5" w:rsidRPr="006D0E33">
        <w:t xml:space="preserve"> their</w:t>
      </w:r>
      <w:r w:rsidR="00C6471D" w:rsidRPr="006D0E33">
        <w:t xml:space="preserve"> involvement</w:t>
      </w:r>
      <w:r w:rsidR="00BE2D2C" w:rsidRPr="006D0E33">
        <w:t xml:space="preserve">. </w:t>
      </w:r>
      <w:r w:rsidR="004C17E5" w:rsidRPr="006D0E33">
        <w:t xml:space="preserve">The sessions </w:t>
      </w:r>
      <w:r w:rsidR="009D6D44" w:rsidRPr="006D0E33">
        <w:t>were a</w:t>
      </w:r>
      <w:r w:rsidR="003A77E4" w:rsidRPr="006D0E33">
        <w:t xml:space="preserve"> space for critical discussion</w:t>
      </w:r>
      <w:r w:rsidR="00C02DCC" w:rsidRPr="006D0E33">
        <w:t xml:space="preserve"> where achievements could be identified</w:t>
      </w:r>
      <w:r w:rsidR="004C17E5" w:rsidRPr="006D0E33">
        <w:t>, articulated</w:t>
      </w:r>
      <w:r w:rsidR="00C02DCC" w:rsidRPr="006D0E33">
        <w:t xml:space="preserve"> and celebrated as they occurred, building confidence</w:t>
      </w:r>
      <w:r w:rsidR="004C17E5" w:rsidRPr="006D0E33">
        <w:t xml:space="preserve"> and motivation. This safe and supportive environment of mutual learning was also the space </w:t>
      </w:r>
      <w:r w:rsidR="004C17E5" w:rsidRPr="006D0E33">
        <w:lastRenderedPageBreak/>
        <w:t>where</w:t>
      </w:r>
      <w:r w:rsidR="00C02DCC" w:rsidRPr="006D0E33">
        <w:t xml:space="preserve"> </w:t>
      </w:r>
      <w:r w:rsidR="005442F5" w:rsidRPr="006D0E33">
        <w:t>any potential ‘unwelcome truths’</w:t>
      </w:r>
      <w:r w:rsidR="00E92595" w:rsidRPr="006D0E33">
        <w:t xml:space="preserve"> </w:t>
      </w:r>
      <w:r w:rsidR="005442F5" w:rsidRPr="006D0E33">
        <w:t>(</w:t>
      </w:r>
      <w:proofErr w:type="spellStart"/>
      <w:r w:rsidR="00940D2A" w:rsidRPr="006D0E33">
        <w:t>Kemmis</w:t>
      </w:r>
      <w:proofErr w:type="spellEnd"/>
      <w:r w:rsidR="00940D2A" w:rsidRPr="006D0E33">
        <w:t xml:space="preserve">, </w:t>
      </w:r>
      <w:r w:rsidR="005442F5" w:rsidRPr="006D0E33">
        <w:t>2006:461)</w:t>
      </w:r>
      <w:r w:rsidR="004C17E5" w:rsidRPr="006D0E33">
        <w:t xml:space="preserve"> could be surfaced,</w:t>
      </w:r>
      <w:r w:rsidR="005442F5" w:rsidRPr="006D0E33">
        <w:t xml:space="preserve"> addressed</w:t>
      </w:r>
      <w:r w:rsidR="004C17E5" w:rsidRPr="006D0E33">
        <w:t xml:space="preserve"> and the learning taken forward into the next session with pupils. </w:t>
      </w:r>
      <w:r w:rsidR="00C02DCC" w:rsidRPr="006D0E33">
        <w:t>It</w:t>
      </w:r>
      <w:r w:rsidR="00443126" w:rsidRPr="006D0E33">
        <w:t xml:space="preserve"> </w:t>
      </w:r>
      <w:r w:rsidR="00C02DCC" w:rsidRPr="006D0E33">
        <w:t>included the</w:t>
      </w:r>
      <w:r w:rsidR="00A01198" w:rsidRPr="006D0E33">
        <w:t xml:space="preserve"> opportunity for the school-based teachers to reflect and discuss their own learning</w:t>
      </w:r>
      <w:r w:rsidR="004C17E5" w:rsidRPr="006D0E33">
        <w:t xml:space="preserve"> and t</w:t>
      </w:r>
      <w:r w:rsidR="00A01198" w:rsidRPr="006D0E33">
        <w:t xml:space="preserve">his became an important </w:t>
      </w:r>
      <w:r w:rsidR="003A77E4" w:rsidRPr="006D0E33">
        <w:t xml:space="preserve">serendipitous </w:t>
      </w:r>
      <w:r w:rsidR="00A01198" w:rsidRPr="006D0E33">
        <w:t>outcome of this action research project.</w:t>
      </w:r>
    </w:p>
    <w:p w14:paraId="72D2E000" w14:textId="77777777" w:rsidR="00C02DCC" w:rsidRPr="006D0E33" w:rsidRDefault="00C02DCC" w:rsidP="008C3E6B">
      <w:pPr>
        <w:pStyle w:val="m1579887606026175441gmail-newparagraph"/>
        <w:shd w:val="clear" w:color="auto" w:fill="FFFFFF"/>
        <w:spacing w:before="0" w:beforeAutospacing="0" w:after="0" w:afterAutospacing="0" w:line="480" w:lineRule="atLeast"/>
        <w:ind w:firstLine="720"/>
        <w:jc w:val="both"/>
        <w:rPr>
          <w:i/>
          <w:iCs/>
        </w:rPr>
      </w:pPr>
    </w:p>
    <w:p w14:paraId="2C555260" w14:textId="77777777" w:rsidR="008C167A" w:rsidRPr="006D0E33" w:rsidRDefault="008C167A" w:rsidP="00D9436C">
      <w:pPr>
        <w:pStyle w:val="Heading1"/>
        <w:jc w:val="both"/>
        <w:rPr>
          <w:szCs w:val="24"/>
        </w:rPr>
      </w:pPr>
      <w:r w:rsidRPr="006D0E33">
        <w:rPr>
          <w:szCs w:val="24"/>
        </w:rPr>
        <w:t>Data</w:t>
      </w:r>
    </w:p>
    <w:p w14:paraId="77EFA4F7" w14:textId="2EF1F75E" w:rsidR="00AA1B84" w:rsidRPr="00487BB1" w:rsidRDefault="004C17E5" w:rsidP="00F379FC">
      <w:pPr>
        <w:pStyle w:val="m1579887606026175441gmail-newparagraph"/>
        <w:shd w:val="clear" w:color="auto" w:fill="FFFFFF"/>
        <w:spacing w:before="0" w:beforeAutospacing="0" w:after="0" w:afterAutospacing="0" w:line="480" w:lineRule="atLeast"/>
        <w:jc w:val="both"/>
        <w:rPr>
          <w:color w:val="000000" w:themeColor="text1"/>
        </w:rPr>
      </w:pPr>
      <w:r w:rsidRPr="006D0E33">
        <w:t>Pre and post audit data of the specific science knowledge held by the trainees, along with their self-efficacy in terms of teaching science were carried out using The Teacher’s Sense of Efficacy Scale: Short Form (</w:t>
      </w:r>
      <w:proofErr w:type="spellStart"/>
      <w:r w:rsidRPr="006D0E33">
        <w:t>Tschannen</w:t>
      </w:r>
      <w:proofErr w:type="spellEnd"/>
      <w:r w:rsidRPr="006D0E33">
        <w:t>- Moran &amp; Woolfolk Hoy, 2001</w:t>
      </w:r>
      <w:r w:rsidRPr="00487BB1">
        <w:rPr>
          <w:color w:val="000000" w:themeColor="text1"/>
        </w:rPr>
        <w:t xml:space="preserve">). </w:t>
      </w:r>
      <w:r w:rsidR="00AA1B84" w:rsidRPr="00487BB1">
        <w:rPr>
          <w:color w:val="000000" w:themeColor="text1"/>
        </w:rPr>
        <w:t xml:space="preserve">This scale asks teachers to assess their capability concerning instructional strategies, student engagement, and classroom </w:t>
      </w:r>
      <w:proofErr w:type="gramStart"/>
      <w:r w:rsidR="00AA1B84" w:rsidRPr="00487BB1">
        <w:rPr>
          <w:color w:val="000000" w:themeColor="text1"/>
        </w:rPr>
        <w:t xml:space="preserve">management </w:t>
      </w:r>
      <w:r w:rsidR="00487BB1">
        <w:rPr>
          <w:color w:val="000000" w:themeColor="text1"/>
        </w:rPr>
        <w:t>.</w:t>
      </w:r>
      <w:proofErr w:type="gramEnd"/>
    </w:p>
    <w:p w14:paraId="3FE52F71" w14:textId="12B0FC24" w:rsidR="004C17E5" w:rsidRPr="00AA1B84" w:rsidRDefault="00C00817" w:rsidP="00F379FC">
      <w:pPr>
        <w:pStyle w:val="m1579887606026175441gmail-newparagraph"/>
        <w:shd w:val="clear" w:color="auto" w:fill="FFFFFF"/>
        <w:spacing w:before="0" w:beforeAutospacing="0" w:after="0" w:afterAutospacing="0" w:line="480" w:lineRule="atLeast"/>
        <w:jc w:val="both"/>
        <w:rPr>
          <w:color w:val="FF0000"/>
        </w:rPr>
      </w:pPr>
      <w:r w:rsidRPr="00487BB1">
        <w:rPr>
          <w:color w:val="000000" w:themeColor="text1"/>
        </w:rPr>
        <w:t>The</w:t>
      </w:r>
      <w:r w:rsidR="00487BB1">
        <w:rPr>
          <w:color w:val="000000" w:themeColor="text1"/>
        </w:rPr>
        <w:t xml:space="preserve"> form</w:t>
      </w:r>
      <w:r w:rsidR="00AA1B84" w:rsidRPr="00487BB1">
        <w:rPr>
          <w:color w:val="000000" w:themeColor="text1"/>
        </w:rPr>
        <w:t xml:space="preserve"> </w:t>
      </w:r>
      <w:r w:rsidR="004C17E5" w:rsidRPr="00487BB1">
        <w:rPr>
          <w:color w:val="000000" w:themeColor="text1"/>
        </w:rPr>
        <w:t xml:space="preserve">consists of 24 items are subdivided into three areas; Efficacy for Instructional Strategies, Efficacy for Classroom Management, and Efficacy for Student Engagement.  </w:t>
      </w:r>
      <w:r w:rsidRPr="00487BB1">
        <w:rPr>
          <w:color w:val="000000" w:themeColor="text1"/>
        </w:rPr>
        <w:t xml:space="preserve">The intention was to use this efficacy scale alongside the qualitative data generated during the study and to scrutinise it </w:t>
      </w:r>
      <w:r w:rsidR="004C17E5" w:rsidRPr="00487BB1">
        <w:rPr>
          <w:color w:val="000000" w:themeColor="text1"/>
        </w:rPr>
        <w:t>for any changes</w:t>
      </w:r>
      <w:r w:rsidRPr="00487BB1">
        <w:rPr>
          <w:color w:val="000000" w:themeColor="text1"/>
        </w:rPr>
        <w:t xml:space="preserve"> in trainee perceptions of their confidence and competence</w:t>
      </w:r>
      <w:r w:rsidR="004C17E5" w:rsidRPr="00487BB1">
        <w:rPr>
          <w:color w:val="000000" w:themeColor="text1"/>
        </w:rPr>
        <w:t xml:space="preserve"> pre and post project.  For 7 </w:t>
      </w:r>
      <w:r w:rsidR="004C17E5" w:rsidRPr="006D0E33">
        <w:t>out of 8 trainees positive changes were seen but, given the sample size, these were statistically insignificant and so this data has not been included in the analysis below.  It has, however, been used here to report the initial characteristics of the trainees involved in the project (</w:t>
      </w:r>
      <w:r w:rsidR="00D87C68" w:rsidRPr="006D0E33">
        <w:t xml:space="preserve">see </w:t>
      </w:r>
      <w:r w:rsidR="004C17E5" w:rsidRPr="006D0E33">
        <w:t>abov</w:t>
      </w:r>
      <w:r w:rsidR="00D87C68" w:rsidRPr="006D0E33">
        <w:t>e</w:t>
      </w:r>
      <w:r w:rsidR="004C17E5" w:rsidRPr="006D0E33">
        <w:t>).</w:t>
      </w:r>
    </w:p>
    <w:p w14:paraId="7F283696" w14:textId="38D64016" w:rsidR="005442F5" w:rsidRPr="006D0E33" w:rsidRDefault="004C17E5" w:rsidP="008C3E6B">
      <w:pPr>
        <w:pStyle w:val="m1579887606026175441gmail-newparagraph"/>
        <w:shd w:val="clear" w:color="auto" w:fill="FFFFFF"/>
        <w:spacing w:before="0" w:beforeAutospacing="0" w:after="0" w:afterAutospacing="0" w:line="480" w:lineRule="atLeast"/>
        <w:ind w:firstLine="720"/>
        <w:jc w:val="both"/>
      </w:pPr>
      <w:r w:rsidRPr="006D0E33">
        <w:t xml:space="preserve">The weekly debriefing sessions provided rich data on the initial perceptions and attitudes of the trainees to the project, to teaching science and provided immediate ongoing feedback across all those involved. </w:t>
      </w:r>
      <w:r w:rsidR="00980401" w:rsidRPr="006D0E33">
        <w:t>A reflective journal</w:t>
      </w:r>
      <w:r w:rsidR="005442F5" w:rsidRPr="006D0E33">
        <w:t xml:space="preserve">, </w:t>
      </w:r>
      <w:r w:rsidR="00BE17AC" w:rsidRPr="006D0E33">
        <w:t xml:space="preserve">maintained by the TE, was </w:t>
      </w:r>
      <w:r w:rsidR="00980401" w:rsidRPr="006D0E33">
        <w:t xml:space="preserve">used to </w:t>
      </w:r>
      <w:r w:rsidR="00C41641" w:rsidRPr="006D0E33">
        <w:t>curate</w:t>
      </w:r>
      <w:r w:rsidR="00980401" w:rsidRPr="006D0E33">
        <w:t xml:space="preserve"> the immediate thoughts and reflections from </w:t>
      </w:r>
      <w:r w:rsidRPr="006D0E33">
        <w:t>these</w:t>
      </w:r>
      <w:r w:rsidR="005442F5" w:rsidRPr="006D0E33">
        <w:t xml:space="preserve"> </w:t>
      </w:r>
      <w:r w:rsidR="00980401" w:rsidRPr="006D0E33">
        <w:t>sessions</w:t>
      </w:r>
      <w:r w:rsidR="008C167A" w:rsidRPr="006D0E33">
        <w:t xml:space="preserve">. It included </w:t>
      </w:r>
      <w:r w:rsidR="005442F5" w:rsidRPr="006D0E33">
        <w:t>his own</w:t>
      </w:r>
      <w:r w:rsidR="00BE17AC" w:rsidRPr="006D0E33">
        <w:t xml:space="preserve"> observations </w:t>
      </w:r>
      <w:r w:rsidRPr="006D0E33">
        <w:t>and reflections</w:t>
      </w:r>
      <w:r w:rsidR="001B2C46" w:rsidRPr="006D0E33">
        <w:t>,</w:t>
      </w:r>
      <w:r w:rsidR="005442F5" w:rsidRPr="006D0E33">
        <w:t xml:space="preserve"> alongside </w:t>
      </w:r>
      <w:r w:rsidR="00C41641" w:rsidRPr="006D0E33">
        <w:t xml:space="preserve">reflections </w:t>
      </w:r>
      <w:r w:rsidR="005442F5" w:rsidRPr="006D0E33">
        <w:t xml:space="preserve">made by </w:t>
      </w:r>
      <w:r w:rsidR="00DE1029" w:rsidRPr="006D0E33">
        <w:t>the</w:t>
      </w:r>
      <w:r w:rsidR="00C41641" w:rsidRPr="006D0E33">
        <w:t xml:space="preserve"> trainees</w:t>
      </w:r>
      <w:r w:rsidR="005442F5" w:rsidRPr="006D0E33">
        <w:t xml:space="preserve"> and</w:t>
      </w:r>
      <w:r w:rsidR="00C41641" w:rsidRPr="006D0E33">
        <w:t xml:space="preserve"> </w:t>
      </w:r>
      <w:r w:rsidR="00DE1029" w:rsidRPr="006D0E33">
        <w:t>school</w:t>
      </w:r>
      <w:r w:rsidR="005442F5" w:rsidRPr="006D0E33">
        <w:t>-based</w:t>
      </w:r>
      <w:r w:rsidR="00DE1029" w:rsidRPr="006D0E33">
        <w:t xml:space="preserve"> teachers</w:t>
      </w:r>
      <w:r w:rsidR="001B2C46" w:rsidRPr="006D0E33">
        <w:t>,</w:t>
      </w:r>
      <w:r w:rsidR="00DE1029" w:rsidRPr="006D0E33">
        <w:t xml:space="preserve"> in relation to the trainees’ teaching</w:t>
      </w:r>
      <w:r w:rsidR="001B2C46" w:rsidRPr="006D0E33">
        <w:t xml:space="preserve"> approach</w:t>
      </w:r>
      <w:r w:rsidR="00DE1029" w:rsidRPr="006D0E33">
        <w:t xml:space="preserve"> </w:t>
      </w:r>
      <w:r w:rsidR="004C2893" w:rsidRPr="006D0E33">
        <w:t>and</w:t>
      </w:r>
      <w:r w:rsidR="001B2C46" w:rsidRPr="006D0E33">
        <w:t xml:space="preserve"> its</w:t>
      </w:r>
      <w:r w:rsidR="004C2893" w:rsidRPr="006D0E33">
        <w:t xml:space="preserve"> </w:t>
      </w:r>
      <w:r w:rsidR="00BE17AC" w:rsidRPr="006D0E33">
        <w:t>impact on the</w:t>
      </w:r>
      <w:r w:rsidR="004C2893" w:rsidRPr="006D0E33">
        <w:t xml:space="preserve"> pupils</w:t>
      </w:r>
      <w:r w:rsidR="00C41641" w:rsidRPr="006D0E33">
        <w:t xml:space="preserve">’ </w:t>
      </w:r>
      <w:r w:rsidR="00BE17AC" w:rsidRPr="006D0E33">
        <w:t xml:space="preserve">interest in </w:t>
      </w:r>
      <w:r w:rsidR="00DE1029" w:rsidRPr="006D0E33">
        <w:t>learning</w:t>
      </w:r>
      <w:r w:rsidR="004C2893" w:rsidRPr="006D0E33">
        <w:t>.</w:t>
      </w:r>
      <w:r w:rsidR="00DE1029" w:rsidRPr="006D0E33">
        <w:t xml:space="preserve"> </w:t>
      </w:r>
      <w:r w:rsidR="00BE17AC" w:rsidRPr="006D0E33">
        <w:t xml:space="preserve">It also contained </w:t>
      </w:r>
      <w:r w:rsidR="00A01198" w:rsidRPr="006D0E33">
        <w:t>reflections</w:t>
      </w:r>
      <w:r w:rsidR="00BE17AC" w:rsidRPr="006D0E33">
        <w:t xml:space="preserve"> of school-based teachers on shifts in trainees’ attitudes towards science teaching and learning. </w:t>
      </w:r>
    </w:p>
    <w:p w14:paraId="04C3FCF5" w14:textId="2AC5B5A4" w:rsidR="00394349" w:rsidRPr="006D0E33" w:rsidRDefault="000608F6" w:rsidP="00487BB1">
      <w:pPr>
        <w:pStyle w:val="m1579887606026175441gmail-newparagraph"/>
        <w:shd w:val="clear" w:color="auto" w:fill="FFFFFF"/>
        <w:spacing w:before="0" w:beforeAutospacing="0" w:after="0" w:afterAutospacing="0" w:line="480" w:lineRule="atLeast"/>
        <w:ind w:firstLine="720"/>
        <w:jc w:val="both"/>
      </w:pPr>
      <w:r w:rsidRPr="00487BB1">
        <w:rPr>
          <w:color w:val="000000" w:themeColor="text1"/>
        </w:rPr>
        <w:lastRenderedPageBreak/>
        <w:t>Recorded p</w:t>
      </w:r>
      <w:r w:rsidR="005442F5" w:rsidRPr="00487BB1">
        <w:rPr>
          <w:color w:val="000000" w:themeColor="text1"/>
        </w:rPr>
        <w:t xml:space="preserve">ost project </w:t>
      </w:r>
      <w:r w:rsidR="005442F5" w:rsidRPr="006D0E33">
        <w:t xml:space="preserve">interviews </w:t>
      </w:r>
      <w:r w:rsidR="001B2C46" w:rsidRPr="006D0E33">
        <w:t>to elicit</w:t>
      </w:r>
      <w:r w:rsidR="00C41641" w:rsidRPr="006D0E33">
        <w:t xml:space="preserve"> additional thoughts and </w:t>
      </w:r>
      <w:r w:rsidR="00B17EC1" w:rsidRPr="006D0E33">
        <w:t>reflections</w:t>
      </w:r>
      <w:r w:rsidR="00C41641" w:rsidRPr="006D0E33">
        <w:t xml:space="preserve"> </w:t>
      </w:r>
      <w:r w:rsidR="00BE17AC" w:rsidRPr="006D0E33">
        <w:t>were carried out</w:t>
      </w:r>
      <w:r>
        <w:t xml:space="preserve"> </w:t>
      </w:r>
      <w:r w:rsidR="00BE17AC" w:rsidRPr="006D0E33">
        <w:t>with all participants</w:t>
      </w:r>
      <w:r w:rsidR="00AF300E" w:rsidRPr="006D0E33">
        <w:t xml:space="preserve"> </w:t>
      </w:r>
      <w:r w:rsidR="00FD44A2" w:rsidRPr="006D0E33">
        <w:t>approximately one</w:t>
      </w:r>
      <w:r w:rsidR="00AF300E" w:rsidRPr="006D0E33">
        <w:t xml:space="preserve"> month</w:t>
      </w:r>
      <w:r w:rsidR="00FD44A2" w:rsidRPr="006D0E33">
        <w:t xml:space="preserve"> after the end of the project</w:t>
      </w:r>
      <w:r w:rsidR="00BE17AC" w:rsidRPr="006D0E33">
        <w:t xml:space="preserve">. The aim of the interviews was </w:t>
      </w:r>
      <w:r w:rsidR="00C41641" w:rsidRPr="006D0E33">
        <w:t xml:space="preserve">to assimilate and </w:t>
      </w:r>
      <w:r w:rsidR="00606496" w:rsidRPr="006D0E33">
        <w:t xml:space="preserve">consider </w:t>
      </w:r>
      <w:r w:rsidR="00C41641" w:rsidRPr="006D0E33">
        <w:t>further impacts and outcomes.</w:t>
      </w:r>
      <w:r w:rsidR="00B17EC1" w:rsidRPr="006D0E33">
        <w:t xml:space="preserve"> The trainee interview questions </w:t>
      </w:r>
      <w:r w:rsidR="00AF300E" w:rsidRPr="006D0E33">
        <w:t>a</w:t>
      </w:r>
      <w:r w:rsidR="00B17EC1" w:rsidRPr="006D0E33">
        <w:t>imed to elicit the impact of the opportunities afforded by the</w:t>
      </w:r>
      <w:r w:rsidR="00FF3482" w:rsidRPr="006D0E33">
        <w:t>ir</w:t>
      </w:r>
      <w:r w:rsidR="00B17EC1" w:rsidRPr="006D0E33">
        <w:t xml:space="preserve"> involvement </w:t>
      </w:r>
      <w:r w:rsidR="00FF3482" w:rsidRPr="006D0E33">
        <w:t xml:space="preserve">in </w:t>
      </w:r>
      <w:r w:rsidR="00B17EC1" w:rsidRPr="006D0E33">
        <w:t xml:space="preserve">the science HC project along with </w:t>
      </w:r>
      <w:r w:rsidR="00C41641" w:rsidRPr="006D0E33">
        <w:t xml:space="preserve">any impact they felt </w:t>
      </w:r>
      <w:r w:rsidR="00FF3482" w:rsidRPr="006D0E33">
        <w:t xml:space="preserve">this </w:t>
      </w:r>
      <w:r w:rsidR="00C41641" w:rsidRPr="006D0E33">
        <w:t>had had on their own competency</w:t>
      </w:r>
      <w:r w:rsidR="00BE17AC" w:rsidRPr="006D0E33">
        <w:t xml:space="preserve"> </w:t>
      </w:r>
      <w:r w:rsidR="00C41641" w:rsidRPr="006D0E33">
        <w:t>to teach science.</w:t>
      </w:r>
      <w:r w:rsidR="00606496" w:rsidRPr="006D0E33">
        <w:t xml:space="preserve"> </w:t>
      </w:r>
      <w:r w:rsidR="00B17EC1" w:rsidRPr="006D0E33">
        <w:t>T</w:t>
      </w:r>
      <w:r w:rsidR="00606496" w:rsidRPr="006D0E33">
        <w:t xml:space="preserve">he </w:t>
      </w:r>
      <w:r w:rsidR="00FD44A2" w:rsidRPr="006D0E33">
        <w:t>interviews, carried</w:t>
      </w:r>
      <w:r w:rsidR="00940D2A" w:rsidRPr="006D0E33">
        <w:t xml:space="preserve"> out by university tutors</w:t>
      </w:r>
      <w:r w:rsidR="00F14730" w:rsidRPr="006D0E33">
        <w:t>,</w:t>
      </w:r>
      <w:r w:rsidR="00B17EC1" w:rsidRPr="006D0E33">
        <w:t xml:space="preserve"> included questions around the context of teaching in a challenging school</w:t>
      </w:r>
      <w:r w:rsidR="00B67C51">
        <w:t xml:space="preserve">. </w:t>
      </w:r>
      <w:r>
        <w:t>Recorded i</w:t>
      </w:r>
      <w:r w:rsidR="00BE2D2C" w:rsidRPr="006D0E33">
        <w:t>nformal and semi</w:t>
      </w:r>
      <w:r w:rsidR="00FF3482" w:rsidRPr="006D0E33">
        <w:t>-</w:t>
      </w:r>
      <w:r w:rsidR="00BE2D2C" w:rsidRPr="006D0E33">
        <w:t>structured interviews with the TE</w:t>
      </w:r>
      <w:r w:rsidR="00FF3482" w:rsidRPr="006D0E33">
        <w:t xml:space="preserve"> and</w:t>
      </w:r>
      <w:r w:rsidR="00BE2D2C" w:rsidRPr="006D0E33">
        <w:t xml:space="preserve"> school-based teachers (specifically about the teaching of primary science) were</w:t>
      </w:r>
      <w:r w:rsidR="00FF040D" w:rsidRPr="006D0E33">
        <w:t xml:space="preserve"> also</w:t>
      </w:r>
      <w:r w:rsidR="00BE2D2C" w:rsidRPr="006D0E33">
        <w:t xml:space="preserve"> carried out</w:t>
      </w:r>
      <w:r w:rsidR="008337F4" w:rsidRPr="006D0E33">
        <w:t xml:space="preserve"> </w:t>
      </w:r>
      <w:r w:rsidR="00940D2A" w:rsidRPr="006D0E33">
        <w:t xml:space="preserve">by </w:t>
      </w:r>
      <w:r w:rsidR="00FD44A2" w:rsidRPr="006D0E33">
        <w:t xml:space="preserve">a </w:t>
      </w:r>
      <w:r w:rsidR="00F14730" w:rsidRPr="006D0E33">
        <w:t xml:space="preserve">university </w:t>
      </w:r>
      <w:r w:rsidR="00940D2A" w:rsidRPr="006D0E33">
        <w:t>research assistant</w:t>
      </w:r>
      <w:r w:rsidR="00FD44A2" w:rsidRPr="006D0E33">
        <w:t xml:space="preserve"> who had been briefed but not involved with the project</w:t>
      </w:r>
      <w:r w:rsidR="00BE2D2C" w:rsidRPr="006D0E33">
        <w:t>.</w:t>
      </w:r>
      <w:r w:rsidR="00AF300E" w:rsidRPr="006D0E33">
        <w:t xml:space="preserve"> </w:t>
      </w:r>
    </w:p>
    <w:p w14:paraId="7964A18B" w14:textId="5EF78BE7" w:rsidR="00BE2D2C" w:rsidRPr="006D0E33" w:rsidRDefault="00FF040D" w:rsidP="00D9436C">
      <w:pPr>
        <w:pStyle w:val="Heading1"/>
        <w:jc w:val="both"/>
        <w:rPr>
          <w:szCs w:val="24"/>
        </w:rPr>
      </w:pPr>
      <w:r w:rsidRPr="006D0E33">
        <w:rPr>
          <w:szCs w:val="24"/>
        </w:rPr>
        <w:t>Data analysis</w:t>
      </w:r>
    </w:p>
    <w:p w14:paraId="50F13CB2" w14:textId="7DD60FC5" w:rsidR="00A0206E" w:rsidRPr="006D0E33" w:rsidRDefault="00C00817" w:rsidP="00F379FC">
      <w:pPr>
        <w:pStyle w:val="m1579887606026175441gmail-newparagraph"/>
        <w:shd w:val="clear" w:color="auto" w:fill="FFFFFF"/>
        <w:spacing w:before="0" w:beforeAutospacing="0" w:after="0" w:afterAutospacing="0" w:line="480" w:lineRule="atLeast"/>
        <w:jc w:val="both"/>
      </w:pPr>
      <w:r w:rsidRPr="00487BB1">
        <w:rPr>
          <w:color w:val="000000" w:themeColor="text1"/>
        </w:rPr>
        <w:t>All forms of qualitative data, (apart from data from the Teacher’s Sense of Efficacy Scale),</w:t>
      </w:r>
      <w:r w:rsidR="00BE2D2C" w:rsidRPr="006D0E33">
        <w:t xml:space="preserve"> was critically analysed using a framework analysis approach (Srivastava &amp; Thomson, 2009)</w:t>
      </w:r>
      <w:r w:rsidR="00FD44A2" w:rsidRPr="006D0E33">
        <w:t>. Starting with an</w:t>
      </w:r>
      <w:r w:rsidR="00BE2D2C" w:rsidRPr="006D0E33">
        <w:t xml:space="preserve"> inductive </w:t>
      </w:r>
      <w:r w:rsidR="00FD44A2" w:rsidRPr="006D0E33">
        <w:t>approach</w:t>
      </w:r>
      <w:r w:rsidR="003F2B61" w:rsidRPr="006D0E33">
        <w:t xml:space="preserve"> the</w:t>
      </w:r>
      <w:r w:rsidR="00FA1F00" w:rsidRPr="006D0E33">
        <w:t xml:space="preserve"> framework analysis involved two </w:t>
      </w:r>
      <w:r w:rsidR="00BE2D2C" w:rsidRPr="006D0E33">
        <w:t xml:space="preserve">university researchers individually </w:t>
      </w:r>
      <w:r w:rsidR="00FA1F00" w:rsidRPr="006D0E33">
        <w:t xml:space="preserve">familiarising </w:t>
      </w:r>
      <w:r w:rsidR="00BE2D2C" w:rsidRPr="006D0E33">
        <w:t>themselves with the data</w:t>
      </w:r>
      <w:r w:rsidR="00FD44A2" w:rsidRPr="006D0E33">
        <w:t xml:space="preserve"> and using an inductive approach to</w:t>
      </w:r>
      <w:r w:rsidR="00BE2D2C" w:rsidRPr="006D0E33">
        <w:t xml:space="preserve"> identify potential themes</w:t>
      </w:r>
      <w:r w:rsidR="003852C4" w:rsidRPr="006D0E33">
        <w:t xml:space="preserve"> from which a</w:t>
      </w:r>
      <w:r w:rsidR="00FA1F00" w:rsidRPr="006D0E33">
        <w:t xml:space="preserve"> draft</w:t>
      </w:r>
      <w:r w:rsidR="00BE2D2C" w:rsidRPr="006D0E33">
        <w:t xml:space="preserve"> </w:t>
      </w:r>
      <w:r w:rsidR="003852C4" w:rsidRPr="006D0E33">
        <w:t>thematic framework was prepared</w:t>
      </w:r>
      <w:r w:rsidR="00BE2D2C" w:rsidRPr="006D0E33">
        <w:t xml:space="preserve">. </w:t>
      </w:r>
      <w:r w:rsidR="003852C4" w:rsidRPr="006D0E33">
        <w:t xml:space="preserve">The content of this framework </w:t>
      </w:r>
      <w:r w:rsidR="00FA1F00" w:rsidRPr="006D0E33">
        <w:t>was then checked with a range of participants</w:t>
      </w:r>
      <w:r w:rsidR="003852C4" w:rsidRPr="006D0E33">
        <w:t xml:space="preserve"> (</w:t>
      </w:r>
      <w:proofErr w:type="spellStart"/>
      <w:r w:rsidR="003F2B61" w:rsidRPr="006D0E33">
        <w:t>ie</w:t>
      </w:r>
      <w:proofErr w:type="spellEnd"/>
      <w:r w:rsidR="003F2B61" w:rsidRPr="006D0E33">
        <w:t xml:space="preserve"> </w:t>
      </w:r>
      <w:r w:rsidR="003852C4" w:rsidRPr="006D0E33">
        <w:t>member checked, referred to by Guba and Lincoln (1981</w:t>
      </w:r>
      <w:r w:rsidR="003F2B61" w:rsidRPr="006D0E33">
        <w:t>:110</w:t>
      </w:r>
      <w:r w:rsidR="003852C4" w:rsidRPr="006D0E33">
        <w:t>) as ‘the backbone of satisfying the truth-value criterion’)</w:t>
      </w:r>
      <w:r w:rsidR="00A0206E" w:rsidRPr="006D0E33">
        <w:t xml:space="preserve"> to provide face validity (Lather</w:t>
      </w:r>
      <w:r w:rsidR="00FA1F00" w:rsidRPr="006D0E33">
        <w:t xml:space="preserve">, </w:t>
      </w:r>
      <w:r w:rsidR="00A90552" w:rsidRPr="006D0E33">
        <w:t>1986</w:t>
      </w:r>
      <w:r w:rsidR="003852C4" w:rsidRPr="006D0E33">
        <w:t>:67</w:t>
      </w:r>
      <w:r w:rsidR="00A0206E" w:rsidRPr="006D0E33">
        <w:t>)</w:t>
      </w:r>
      <w:r w:rsidR="003F2B61" w:rsidRPr="006D0E33">
        <w:t>. D</w:t>
      </w:r>
      <w:r w:rsidR="00FD44A2" w:rsidRPr="006D0E33">
        <w:t xml:space="preserve">eductive analysis </w:t>
      </w:r>
      <w:r w:rsidR="003F2B61" w:rsidRPr="006D0E33">
        <w:t xml:space="preserve">was subsequently </w:t>
      </w:r>
      <w:r w:rsidR="00FA1F00" w:rsidRPr="006D0E33">
        <w:t xml:space="preserve">used </w:t>
      </w:r>
      <w:r w:rsidR="003F2B61" w:rsidRPr="006D0E33">
        <w:t>to interpret</w:t>
      </w:r>
      <w:r w:rsidR="00FA1F00" w:rsidRPr="006D0E33">
        <w:t xml:space="preserve"> the remaining data</w:t>
      </w:r>
      <w:r w:rsidR="003F2B61" w:rsidRPr="006D0E33">
        <w:t xml:space="preserve"> whilst still leaving space for data that sat outside the initial framework to be recognised and interrogated.</w:t>
      </w:r>
      <w:r w:rsidR="00BE2D2C" w:rsidRPr="006D0E33">
        <w:t xml:space="preserve"> </w:t>
      </w:r>
      <w:r w:rsidR="008E3F02" w:rsidRPr="006D0E33">
        <w:t>This process was designed to minimise</w:t>
      </w:r>
      <w:r w:rsidR="00A0206E" w:rsidRPr="006D0E33">
        <w:t xml:space="preserve"> perceptions of one individual researcher shaping understandings from the data, to ensure generation of a variety of topics from different perspectives, and to confirm that the meaning being constructed made sense to those involved. </w:t>
      </w:r>
      <w:r w:rsidR="008E3F02" w:rsidRPr="006D0E33">
        <w:t xml:space="preserve"> </w:t>
      </w:r>
      <w:r w:rsidR="00B24CA5" w:rsidRPr="006D0E33">
        <w:t>Multiple perspectives gathered</w:t>
      </w:r>
      <w:r w:rsidR="003F2B61" w:rsidRPr="006D0E33">
        <w:t xml:space="preserve"> and critiqued</w:t>
      </w:r>
      <w:r w:rsidR="00B24CA5" w:rsidRPr="006D0E33">
        <w:t xml:space="preserve"> through discursive spaces give ‘strength, meaning and, to borrow a word from a more positivist paradigm, validity to the project’ (Cook, 2006, 433). </w:t>
      </w:r>
    </w:p>
    <w:p w14:paraId="2A1BAE10" w14:textId="4535F93C" w:rsidR="00B65B10" w:rsidRPr="006D0E33" w:rsidRDefault="00FA1F00" w:rsidP="00DD52B6">
      <w:pPr>
        <w:pStyle w:val="m1579887606026175441gmail-newparagraph"/>
        <w:shd w:val="clear" w:color="auto" w:fill="FFFFFF"/>
        <w:spacing w:before="0" w:beforeAutospacing="0" w:after="0" w:afterAutospacing="0" w:line="480" w:lineRule="atLeast"/>
        <w:ind w:firstLine="720"/>
        <w:jc w:val="both"/>
      </w:pPr>
      <w:r w:rsidRPr="006D0E33">
        <w:lastRenderedPageBreak/>
        <w:t xml:space="preserve">Data </w:t>
      </w:r>
      <w:r w:rsidR="00B24CA5" w:rsidRPr="006D0E33">
        <w:t xml:space="preserve">were </w:t>
      </w:r>
      <w:r w:rsidRPr="006D0E33">
        <w:t xml:space="preserve">broadly </w:t>
      </w:r>
      <w:r w:rsidR="00B24CA5" w:rsidRPr="006D0E33">
        <w:t>synthesised</w:t>
      </w:r>
      <w:r w:rsidR="008E3F02" w:rsidRPr="006D0E33">
        <w:t xml:space="preserve"> under the</w:t>
      </w:r>
      <w:r w:rsidR="00BD31FA" w:rsidRPr="006D0E33">
        <w:t xml:space="preserve"> relevant</w:t>
      </w:r>
      <w:r w:rsidR="008E3F02" w:rsidRPr="006D0E33">
        <w:t xml:space="preserve"> </w:t>
      </w:r>
      <w:r w:rsidR="00311320" w:rsidRPr="006D0E33">
        <w:t>headings. Firstly, identified areas of change (</w:t>
      </w:r>
      <w:r w:rsidR="005A6C75" w:rsidRPr="006D0E33">
        <w:t>see tables 1 below)</w:t>
      </w:r>
      <w:r w:rsidR="008E3F02" w:rsidRPr="006D0E33">
        <w:t xml:space="preserve"> </w:t>
      </w:r>
    </w:p>
    <w:p w14:paraId="1DABFCBA" w14:textId="7021036B" w:rsidR="005A6C75" w:rsidRPr="00487BB1" w:rsidRDefault="00B65B10" w:rsidP="00DD52B6">
      <w:pPr>
        <w:pStyle w:val="m1579887606026175441gmail-newparagraph"/>
        <w:shd w:val="clear" w:color="auto" w:fill="FFFFFF"/>
        <w:spacing w:before="0" w:beforeAutospacing="0" w:after="0" w:afterAutospacing="0" w:line="480" w:lineRule="atLeast"/>
        <w:ind w:firstLine="720"/>
        <w:jc w:val="both"/>
        <w:rPr>
          <w:color w:val="000000" w:themeColor="text1"/>
        </w:rPr>
      </w:pPr>
      <w:r w:rsidRPr="00487BB1">
        <w:rPr>
          <w:color w:val="000000" w:themeColor="text1"/>
        </w:rPr>
        <w:t>Insert table 1 here</w:t>
      </w:r>
      <w:r w:rsidR="005A6C75" w:rsidRPr="00487BB1">
        <w:rPr>
          <w:color w:val="000000" w:themeColor="text1"/>
        </w:rPr>
        <w:t xml:space="preserve">: </w:t>
      </w:r>
      <w:r w:rsidR="0005398F" w:rsidRPr="00487BB1">
        <w:rPr>
          <w:color w:val="000000" w:themeColor="text1"/>
        </w:rPr>
        <w:t xml:space="preserve">Areas of </w:t>
      </w:r>
      <w:r w:rsidR="00651551" w:rsidRPr="00487BB1">
        <w:rPr>
          <w:color w:val="000000" w:themeColor="text1"/>
        </w:rPr>
        <w:t>C</w:t>
      </w:r>
      <w:r w:rsidR="0005398F" w:rsidRPr="00487BB1">
        <w:rPr>
          <w:color w:val="000000" w:themeColor="text1"/>
        </w:rPr>
        <w:t>hange</w:t>
      </w:r>
    </w:p>
    <w:p w14:paraId="5FCE50DD" w14:textId="6B7360E6" w:rsidR="00B65B10" w:rsidRPr="00487BB1" w:rsidRDefault="00311320" w:rsidP="000764BC">
      <w:pPr>
        <w:pStyle w:val="m1579887606026175441gmail-newparagraph"/>
        <w:shd w:val="clear" w:color="auto" w:fill="FFFFFF"/>
        <w:spacing w:before="0" w:beforeAutospacing="0" w:after="0" w:afterAutospacing="0" w:line="480" w:lineRule="atLeast"/>
        <w:jc w:val="both"/>
        <w:rPr>
          <w:color w:val="000000" w:themeColor="text1"/>
        </w:rPr>
      </w:pPr>
      <w:r w:rsidRPr="00487BB1">
        <w:rPr>
          <w:color w:val="000000" w:themeColor="text1"/>
        </w:rPr>
        <w:t>Secondly,</w:t>
      </w:r>
      <w:r w:rsidR="005A6C75" w:rsidRPr="00487BB1">
        <w:rPr>
          <w:color w:val="000000" w:themeColor="text1"/>
        </w:rPr>
        <w:t xml:space="preserve"> identifying</w:t>
      </w:r>
      <w:r w:rsidR="00A0206E" w:rsidRPr="00487BB1">
        <w:rPr>
          <w:color w:val="000000" w:themeColor="text1"/>
        </w:rPr>
        <w:t xml:space="preserve"> what had supported</w:t>
      </w:r>
      <w:r w:rsidRPr="00487BB1">
        <w:rPr>
          <w:color w:val="000000" w:themeColor="text1"/>
        </w:rPr>
        <w:t xml:space="preserve"> that</w:t>
      </w:r>
      <w:r w:rsidR="005A6C75" w:rsidRPr="00487BB1">
        <w:rPr>
          <w:color w:val="000000" w:themeColor="text1"/>
        </w:rPr>
        <w:t xml:space="preserve"> change</w:t>
      </w:r>
      <w:r w:rsidR="00A0206E" w:rsidRPr="00487BB1">
        <w:rPr>
          <w:color w:val="000000" w:themeColor="text1"/>
        </w:rPr>
        <w:t xml:space="preserve"> </w:t>
      </w:r>
      <w:r w:rsidRPr="00487BB1">
        <w:rPr>
          <w:color w:val="000000" w:themeColor="text1"/>
        </w:rPr>
        <w:t>(change mechanisms)</w:t>
      </w:r>
    </w:p>
    <w:p w14:paraId="341910CA" w14:textId="0311AE1C" w:rsidR="005A6C75" w:rsidRPr="006D0E33" w:rsidRDefault="005A6C75" w:rsidP="008C3E6B">
      <w:pPr>
        <w:pStyle w:val="m1579887606026175441gmail-newparagraph"/>
        <w:shd w:val="clear" w:color="auto" w:fill="FFFFFF"/>
        <w:spacing w:before="0" w:beforeAutospacing="0" w:after="0" w:afterAutospacing="0" w:line="480" w:lineRule="atLeast"/>
        <w:ind w:firstLine="720"/>
        <w:jc w:val="both"/>
      </w:pPr>
      <w:r w:rsidRPr="00487BB1">
        <w:rPr>
          <w:color w:val="000000" w:themeColor="text1"/>
        </w:rPr>
        <w:t>Insert table 2 here</w:t>
      </w:r>
      <w:r w:rsidR="00351812" w:rsidRPr="00487BB1">
        <w:rPr>
          <w:color w:val="000000" w:themeColor="text1"/>
        </w:rPr>
        <w:t xml:space="preserve">: </w:t>
      </w:r>
      <w:r w:rsidR="00351812" w:rsidRPr="00487BB1">
        <w:rPr>
          <w:b/>
          <w:bCs/>
          <w:color w:val="000000" w:themeColor="text1"/>
        </w:rPr>
        <w:t xml:space="preserve"> </w:t>
      </w:r>
      <w:r w:rsidR="00BD31FA" w:rsidRPr="006D0E33">
        <w:t>C</w:t>
      </w:r>
      <w:r w:rsidR="00351812" w:rsidRPr="006D0E33">
        <w:t xml:space="preserve">hange </w:t>
      </w:r>
      <w:r w:rsidR="00BD31FA" w:rsidRPr="006D0E33">
        <w:t>M</w:t>
      </w:r>
      <w:r w:rsidR="00351812" w:rsidRPr="006D0E33">
        <w:t>echanisms</w:t>
      </w:r>
    </w:p>
    <w:p w14:paraId="1A7631C3" w14:textId="7FA23861" w:rsidR="00372683" w:rsidRPr="006D0E33" w:rsidRDefault="00372683" w:rsidP="008C3E6B">
      <w:pPr>
        <w:spacing w:line="240" w:lineRule="auto"/>
        <w:jc w:val="both"/>
        <w:rPr>
          <w:highlight w:val="yellow"/>
        </w:rPr>
      </w:pPr>
    </w:p>
    <w:p w14:paraId="1D30782D" w14:textId="4DF018AC" w:rsidR="009E3825" w:rsidRPr="006D0E33" w:rsidRDefault="00BE2D2C" w:rsidP="00D9436C">
      <w:pPr>
        <w:pStyle w:val="Heading1"/>
        <w:jc w:val="both"/>
        <w:rPr>
          <w:szCs w:val="24"/>
        </w:rPr>
      </w:pPr>
      <w:r w:rsidRPr="006D0E33">
        <w:rPr>
          <w:szCs w:val="24"/>
        </w:rPr>
        <w:t>Findings</w:t>
      </w:r>
    </w:p>
    <w:p w14:paraId="1492E9DF" w14:textId="6BFDC62A" w:rsidR="009E3825" w:rsidRPr="006D0E33" w:rsidRDefault="009E3825" w:rsidP="00D9436C">
      <w:pPr>
        <w:pStyle w:val="m1579887606026175441gmail-newparagraph"/>
        <w:shd w:val="clear" w:color="auto" w:fill="FFFFFF"/>
        <w:spacing w:before="0" w:beforeAutospacing="0" w:after="0" w:afterAutospacing="0" w:line="480" w:lineRule="atLeast"/>
        <w:jc w:val="both"/>
      </w:pPr>
      <w:r w:rsidRPr="006D0E33">
        <w:t>Findings from th</w:t>
      </w:r>
      <w:r w:rsidR="00D9436C" w:rsidRPr="006D0E33">
        <w:t>e</w:t>
      </w:r>
      <w:r w:rsidRPr="006D0E33">
        <w:t xml:space="preserve"> project are presented in two sections; the first describes the outcomes from the project in terms of the benefit and impact of the HCM action research approach on the trainees and the school-based </w:t>
      </w:r>
      <w:proofErr w:type="gramStart"/>
      <w:r w:rsidRPr="006D0E33">
        <w:t>staff</w:t>
      </w:r>
      <w:r w:rsidR="00BD31FA" w:rsidRPr="006D0E33">
        <w:t xml:space="preserve">, </w:t>
      </w:r>
      <w:r w:rsidRPr="006D0E33">
        <w:t xml:space="preserve"> the</w:t>
      </w:r>
      <w:proofErr w:type="gramEnd"/>
      <w:r w:rsidRPr="006D0E33">
        <w:t xml:space="preserve"> second, the elements of the action research approach </w:t>
      </w:r>
      <w:r w:rsidR="00BD31FA" w:rsidRPr="006D0E33">
        <w:t>(</w:t>
      </w:r>
      <w:r w:rsidRPr="006D0E33">
        <w:t>change mechanisms</w:t>
      </w:r>
      <w:r w:rsidR="00BD31FA" w:rsidRPr="006D0E33">
        <w:t>)</w:t>
      </w:r>
      <w:r w:rsidRPr="006D0E33">
        <w:t>.</w:t>
      </w:r>
    </w:p>
    <w:p w14:paraId="6322D026" w14:textId="77777777" w:rsidR="009E3825" w:rsidRPr="006D0E33" w:rsidRDefault="009E3825" w:rsidP="008C3E6B">
      <w:pPr>
        <w:pStyle w:val="m1579887606026175441gmail-newparagraph"/>
        <w:numPr>
          <w:ilvl w:val="0"/>
          <w:numId w:val="52"/>
        </w:numPr>
        <w:shd w:val="clear" w:color="auto" w:fill="FFFFFF"/>
        <w:spacing w:before="0" w:beforeAutospacing="0" w:after="0" w:afterAutospacing="0" w:line="480" w:lineRule="atLeast"/>
        <w:jc w:val="both"/>
        <w:rPr>
          <w:b/>
          <w:bCs/>
          <w:i/>
          <w:iCs/>
        </w:rPr>
      </w:pPr>
      <w:r w:rsidRPr="006D0E33">
        <w:rPr>
          <w:b/>
          <w:bCs/>
          <w:i/>
          <w:iCs/>
        </w:rPr>
        <w:t>Outcomes</w:t>
      </w:r>
    </w:p>
    <w:p w14:paraId="49982E3A" w14:textId="77777777" w:rsidR="009E3825" w:rsidRPr="006D0E33" w:rsidRDefault="009E3825" w:rsidP="008C3E6B">
      <w:pPr>
        <w:pStyle w:val="m1579887606026175441gmail-newparagraph"/>
        <w:shd w:val="clear" w:color="auto" w:fill="FFFFFF"/>
        <w:spacing w:before="0" w:beforeAutospacing="0" w:after="0" w:afterAutospacing="0" w:line="480" w:lineRule="atLeast"/>
        <w:ind w:firstLine="720"/>
        <w:jc w:val="both"/>
      </w:pPr>
    </w:p>
    <w:p w14:paraId="6E323A8A" w14:textId="77777777" w:rsidR="009E3825" w:rsidRPr="006D0E33" w:rsidRDefault="009E3825" w:rsidP="008C3E6B">
      <w:pPr>
        <w:pStyle w:val="Newparagraph"/>
        <w:jc w:val="both"/>
        <w:rPr>
          <w:i/>
          <w:iCs/>
        </w:rPr>
      </w:pPr>
      <w:r w:rsidRPr="006D0E33">
        <w:rPr>
          <w:i/>
          <w:iCs/>
        </w:rPr>
        <w:t>Impact on trainees</w:t>
      </w:r>
    </w:p>
    <w:p w14:paraId="17FCA750" w14:textId="0E655B7F" w:rsidR="009E3825" w:rsidRPr="006D0E33" w:rsidRDefault="009E3825" w:rsidP="00DD52B6">
      <w:pPr>
        <w:pStyle w:val="m1579887606026175441gmail-newparagraph"/>
        <w:shd w:val="clear" w:color="auto" w:fill="FFFFFF"/>
        <w:spacing w:before="0" w:beforeAutospacing="0" w:after="0" w:afterAutospacing="0" w:line="480" w:lineRule="atLeast"/>
        <w:jc w:val="both"/>
      </w:pPr>
      <w:r w:rsidRPr="006D0E33">
        <w:t xml:space="preserve">The original rational for the HCM was to nurture ambitious teaching approaches with trainees that they </w:t>
      </w:r>
      <w:r w:rsidR="00BD31FA" w:rsidRPr="006D0E33">
        <w:t xml:space="preserve">would be </w:t>
      </w:r>
      <w:r w:rsidRPr="006D0E33">
        <w:t xml:space="preserve">confident to use in schools in challenging circumstances. Building the scientific, and pedagogical, knowledge and confidence of trainees during the current project was intended to have a lasting impact both on their approach to teaching and on their confidence to gain employment and teach ambitiously in such schools once qualified. </w:t>
      </w:r>
    </w:p>
    <w:p w14:paraId="68BCA162" w14:textId="33FD56B0" w:rsidR="00BD31FA" w:rsidRPr="006D0E33" w:rsidRDefault="009E3825" w:rsidP="00DD52B6">
      <w:pPr>
        <w:pStyle w:val="m1579887606026175441gmail-newparagraph"/>
        <w:shd w:val="clear" w:color="auto" w:fill="FFFFFF"/>
        <w:spacing w:before="0" w:beforeAutospacing="0" w:after="0" w:afterAutospacing="0" w:line="480" w:lineRule="atLeast"/>
        <w:ind w:firstLine="720"/>
        <w:jc w:val="both"/>
      </w:pPr>
      <w:r w:rsidRPr="006D0E33">
        <w:t xml:space="preserve">Post project </w:t>
      </w:r>
      <w:r w:rsidR="00BD31FA" w:rsidRPr="006D0E33">
        <w:t>interviews revealed</w:t>
      </w:r>
      <w:r w:rsidRPr="006D0E33">
        <w:t xml:space="preserve"> positive perceptions </w:t>
      </w:r>
      <w:r w:rsidR="00BD31FA" w:rsidRPr="006D0E33">
        <w:t>by</w:t>
      </w:r>
      <w:r w:rsidRPr="006D0E33">
        <w:t xml:space="preserve"> the trainees </w:t>
      </w:r>
      <w:r w:rsidR="00BD31FA" w:rsidRPr="006D0E33">
        <w:t>about</w:t>
      </w:r>
      <w:r w:rsidRPr="006D0E33">
        <w:t xml:space="preserve"> their own development</w:t>
      </w:r>
      <w:r w:rsidR="00E700D5" w:rsidRPr="006D0E33">
        <w:t xml:space="preserve"> in relation to </w:t>
      </w:r>
      <w:r w:rsidR="00BD31FA" w:rsidRPr="006D0E33">
        <w:t>teaching</w:t>
      </w:r>
      <w:r w:rsidR="00E700D5" w:rsidRPr="006D0E33">
        <w:t xml:space="preserve"> science </w:t>
      </w:r>
      <w:r w:rsidR="00BD31FA" w:rsidRPr="006D0E33">
        <w:t>and</w:t>
      </w:r>
      <w:r w:rsidR="00E700D5" w:rsidRPr="006D0E33">
        <w:t xml:space="preserve"> of some of the wider transferable skills</w:t>
      </w:r>
      <w:r w:rsidR="00BD31FA" w:rsidRPr="006D0E33">
        <w:t xml:space="preserve"> they had developed</w:t>
      </w:r>
      <w:r w:rsidR="00E700D5" w:rsidRPr="006D0E33">
        <w:t>.</w:t>
      </w:r>
      <w:r w:rsidRPr="006D0E33">
        <w:t> </w:t>
      </w:r>
    </w:p>
    <w:p w14:paraId="77D9160B" w14:textId="77777777" w:rsidR="002612BA" w:rsidRPr="006D0E33" w:rsidRDefault="002612BA" w:rsidP="00DD52B6">
      <w:pPr>
        <w:pStyle w:val="m1579887606026175441gmail-newparagraph"/>
        <w:shd w:val="clear" w:color="auto" w:fill="FFFFFF"/>
        <w:spacing w:before="0" w:beforeAutospacing="0" w:after="0" w:afterAutospacing="0" w:line="480" w:lineRule="atLeast"/>
        <w:ind w:firstLine="720"/>
        <w:jc w:val="both"/>
      </w:pPr>
    </w:p>
    <w:p w14:paraId="1395C6CA" w14:textId="700E2B47" w:rsidR="009E3825" w:rsidRPr="006D0E33" w:rsidRDefault="00BD31FA" w:rsidP="00DD52B6">
      <w:pPr>
        <w:pStyle w:val="m1579887606026175441gmail-newparagraph"/>
        <w:shd w:val="clear" w:color="auto" w:fill="FFFFFF"/>
        <w:spacing w:before="0" w:beforeAutospacing="0" w:after="0" w:afterAutospacing="0" w:line="360" w:lineRule="auto"/>
        <w:ind w:left="720" w:firstLine="60"/>
        <w:jc w:val="both"/>
      </w:pPr>
      <w:r w:rsidRPr="006D0E33">
        <w:t>[</w:t>
      </w:r>
      <w:r w:rsidR="00E700D5" w:rsidRPr="006D0E33">
        <w:t>Before the project</w:t>
      </w:r>
      <w:r w:rsidRPr="006D0E33">
        <w:t xml:space="preserve">] </w:t>
      </w:r>
      <w:r w:rsidR="00E700D5" w:rsidRPr="006D0E33">
        <w:t xml:space="preserve">I felt out of my depth in terms of subject knowledge now I have a better understanding of scientific reasoning </w:t>
      </w:r>
      <w:r w:rsidR="00C7308A" w:rsidRPr="006D0E33">
        <w:t>(Trainee A</w:t>
      </w:r>
      <w:r w:rsidR="00E700D5" w:rsidRPr="006D0E33">
        <w:t>)</w:t>
      </w:r>
    </w:p>
    <w:p w14:paraId="6A9F29E4" w14:textId="77777777" w:rsidR="008F1A97" w:rsidRPr="006D0E33" w:rsidRDefault="008F1A97" w:rsidP="008C3E6B">
      <w:pPr>
        <w:pStyle w:val="m1579887606026175441gmail-newparagraph"/>
        <w:shd w:val="clear" w:color="auto" w:fill="FFFFFF"/>
        <w:spacing w:before="0" w:beforeAutospacing="0" w:after="0" w:afterAutospacing="0" w:line="360" w:lineRule="auto"/>
        <w:ind w:left="720" w:firstLine="60"/>
        <w:jc w:val="both"/>
      </w:pPr>
    </w:p>
    <w:p w14:paraId="7F0BA6B0" w14:textId="4F4FC68C" w:rsidR="00B14A96" w:rsidRPr="006D0E33" w:rsidRDefault="00BD31FA" w:rsidP="008C3E6B">
      <w:pPr>
        <w:spacing w:line="360" w:lineRule="auto"/>
        <w:ind w:left="720"/>
        <w:jc w:val="both"/>
      </w:pPr>
      <w:r w:rsidRPr="006D0E33">
        <w:t>I feel that both my subject knowledge in terms of light and investigative skills have improved. (Trainee B)</w:t>
      </w:r>
    </w:p>
    <w:p w14:paraId="45BF7862" w14:textId="5D7A0EB5" w:rsidR="00363443" w:rsidRPr="006D0E33" w:rsidRDefault="00363443" w:rsidP="008C3E6B">
      <w:pPr>
        <w:spacing w:line="360" w:lineRule="auto"/>
        <w:jc w:val="both"/>
      </w:pPr>
    </w:p>
    <w:p w14:paraId="693E5D74" w14:textId="1240A12C" w:rsidR="00363443" w:rsidRPr="006D0E33" w:rsidRDefault="00363443" w:rsidP="008C3E6B">
      <w:pPr>
        <w:spacing w:line="360" w:lineRule="auto"/>
        <w:ind w:left="720"/>
        <w:jc w:val="both"/>
      </w:pPr>
      <w:r w:rsidRPr="006D0E33">
        <w:t>It was beneficial for me because I've been finding different ways in which to teach different investigating approaches as well as being able to get fully in depth in the topic of light. (Trainee C)</w:t>
      </w:r>
    </w:p>
    <w:p w14:paraId="2E931E0E" w14:textId="77777777" w:rsidR="00363443" w:rsidRPr="006D0E33" w:rsidRDefault="00363443" w:rsidP="008C3E6B">
      <w:pPr>
        <w:spacing w:line="240" w:lineRule="auto"/>
        <w:ind w:left="1440"/>
        <w:jc w:val="both"/>
      </w:pPr>
    </w:p>
    <w:p w14:paraId="73F7F372" w14:textId="40382B7F" w:rsidR="009E3825" w:rsidRPr="006D0E33" w:rsidRDefault="009E3825" w:rsidP="00DD52B6">
      <w:pPr>
        <w:pStyle w:val="m1579887606026175441gmail-newparagraph"/>
        <w:shd w:val="clear" w:color="auto" w:fill="FFFFFF"/>
        <w:spacing w:before="0" w:beforeAutospacing="0" w:after="0" w:afterAutospacing="0" w:line="480" w:lineRule="atLeast"/>
        <w:ind w:firstLine="720"/>
        <w:jc w:val="both"/>
      </w:pPr>
      <w:r w:rsidRPr="006D0E33">
        <w:t>All the trainees reported that their confidence to teach science ha</w:t>
      </w:r>
      <w:r w:rsidR="00C87A5F" w:rsidRPr="006D0E33">
        <w:t>d</w:t>
      </w:r>
      <w:r w:rsidRPr="006D0E33">
        <w:t xml:space="preserve"> been improved. </w:t>
      </w:r>
      <w:r w:rsidR="008F1A97" w:rsidRPr="006D0E33">
        <w:t xml:space="preserve">In all but one case the trainee </w:t>
      </w:r>
      <w:proofErr w:type="gramStart"/>
      <w:r w:rsidR="008F1A97" w:rsidRPr="006D0E33">
        <w:t>post</w:t>
      </w:r>
      <w:proofErr w:type="gramEnd"/>
      <w:r w:rsidR="008F1A97" w:rsidRPr="006D0E33">
        <w:t xml:space="preserve"> self-efficacy data indicated a positive shift in their ability to teach a science concept and their ability to engage their pupils with appropriately challenging science activities. </w:t>
      </w:r>
      <w:r w:rsidRPr="006D0E33">
        <w:t xml:space="preserve">This trainee, already confident in their knowledge of the subject, had not been so confident in teaching </w:t>
      </w:r>
      <w:r w:rsidR="004E7E55" w:rsidRPr="006D0E33">
        <w:t xml:space="preserve">science. </w:t>
      </w:r>
      <w:r w:rsidRPr="006D0E33">
        <w:t xml:space="preserve">She recognised how she had improved her pedagogic knowledge, and that she was now using more ambitious approaches that matched her teaching more closely to the </w:t>
      </w:r>
      <w:r w:rsidR="00BD31FA" w:rsidRPr="006D0E33">
        <w:t>pupils’</w:t>
      </w:r>
      <w:r w:rsidRPr="006D0E33">
        <w:t xml:space="preserve"> learning needs. </w:t>
      </w:r>
    </w:p>
    <w:p w14:paraId="10DB6921" w14:textId="77777777" w:rsidR="00BC710D" w:rsidRPr="006D0E33" w:rsidRDefault="00BC710D" w:rsidP="00DD52B6">
      <w:pPr>
        <w:pStyle w:val="m1579887606026175441gmail-newparagraph"/>
        <w:shd w:val="clear" w:color="auto" w:fill="FFFFFF"/>
        <w:spacing w:before="0" w:beforeAutospacing="0" w:after="0" w:afterAutospacing="0" w:line="480" w:lineRule="atLeast"/>
        <w:ind w:firstLine="720"/>
        <w:jc w:val="both"/>
      </w:pPr>
    </w:p>
    <w:p w14:paraId="0F9E1210" w14:textId="77777777" w:rsidR="00BC710D" w:rsidRPr="006D0E33" w:rsidRDefault="009E3825" w:rsidP="00DD52B6">
      <w:pPr>
        <w:pStyle w:val="m1579887606026175441gmail-newparagraph"/>
        <w:shd w:val="clear" w:color="auto" w:fill="FFFFFF"/>
        <w:spacing w:before="0" w:beforeAutospacing="0" w:after="0" w:afterAutospacing="0" w:line="480" w:lineRule="atLeast"/>
        <w:ind w:left="720"/>
        <w:jc w:val="both"/>
      </w:pPr>
      <w:r w:rsidRPr="006D0E33">
        <w:t>My subject knowledge was my strength, but my confidence in actually teaching – especially matching teaching to the specific needs of the pupils</w:t>
      </w:r>
      <w:r w:rsidR="00BD31FA" w:rsidRPr="006D0E33">
        <w:t xml:space="preserve"> -</w:t>
      </w:r>
      <w:r w:rsidRPr="006D0E33">
        <w:t xml:space="preserve"> was low as I had not taught science before. (Trainee </w:t>
      </w:r>
      <w:r w:rsidR="00363443" w:rsidRPr="006D0E33">
        <w:t>D</w:t>
      </w:r>
      <w:r w:rsidRPr="006D0E33">
        <w:t xml:space="preserve">) </w:t>
      </w:r>
    </w:p>
    <w:p w14:paraId="5142B964" w14:textId="6552276B" w:rsidR="009E3825" w:rsidRPr="006D0E33" w:rsidRDefault="009E3825" w:rsidP="008C3E6B">
      <w:pPr>
        <w:pStyle w:val="m1579887606026175441gmail-newparagraph"/>
        <w:shd w:val="clear" w:color="auto" w:fill="FFFFFF"/>
        <w:spacing w:before="0" w:beforeAutospacing="0" w:after="0" w:afterAutospacing="0" w:line="480" w:lineRule="atLeast"/>
        <w:ind w:left="720"/>
        <w:jc w:val="both"/>
      </w:pPr>
    </w:p>
    <w:p w14:paraId="0200C0AA" w14:textId="4C5CC811" w:rsidR="00C7308A" w:rsidRPr="006D0E33" w:rsidRDefault="009E3825" w:rsidP="008C3E6B">
      <w:pPr>
        <w:pStyle w:val="m1579887606026175441gmail-newparagraph"/>
        <w:shd w:val="clear" w:color="auto" w:fill="FFFFFF"/>
        <w:spacing w:before="0" w:beforeAutospacing="0" w:after="0" w:afterAutospacing="0" w:line="480" w:lineRule="atLeast"/>
        <w:jc w:val="both"/>
      </w:pPr>
      <w:r w:rsidRPr="006D0E33">
        <w:t>As their knowledge and confidence increased trainees recognised that their expectations of what they could achieve with pupils had also increased</w:t>
      </w:r>
      <w:r w:rsidR="00C7308A" w:rsidRPr="006D0E33">
        <w:t>:</w:t>
      </w:r>
    </w:p>
    <w:p w14:paraId="1E740D0B" w14:textId="77777777" w:rsidR="00BC710D" w:rsidRPr="006D0E33" w:rsidRDefault="00BC710D" w:rsidP="008C3E6B">
      <w:pPr>
        <w:pStyle w:val="m1579887606026175441gmail-newparagraph"/>
        <w:shd w:val="clear" w:color="auto" w:fill="FFFFFF"/>
        <w:spacing w:before="0" w:beforeAutospacing="0" w:after="0" w:afterAutospacing="0" w:line="480" w:lineRule="atLeast"/>
        <w:jc w:val="both"/>
      </w:pPr>
    </w:p>
    <w:p w14:paraId="78B3440F" w14:textId="652522CE" w:rsidR="00C7308A" w:rsidRPr="006D0E33" w:rsidRDefault="00C7308A" w:rsidP="008C3E6B">
      <w:pPr>
        <w:pStyle w:val="m1579887606026175441gmail-newparagraph"/>
        <w:shd w:val="clear" w:color="auto" w:fill="FFFFFF"/>
        <w:spacing w:before="0" w:beforeAutospacing="0" w:after="0" w:afterAutospacing="0" w:line="480" w:lineRule="atLeast"/>
        <w:ind w:left="720"/>
        <w:jc w:val="both"/>
      </w:pPr>
      <w:r w:rsidRPr="006D0E33">
        <w:t>I also learnt that children develop their own skills through independent learning rather than being told what to do. (Trainee B)</w:t>
      </w:r>
    </w:p>
    <w:p w14:paraId="5CB5216F" w14:textId="77777777" w:rsidR="00BC710D" w:rsidRPr="006D0E33" w:rsidRDefault="00BC710D" w:rsidP="008C3E6B">
      <w:pPr>
        <w:pStyle w:val="m1579887606026175441gmail-newparagraph"/>
        <w:shd w:val="clear" w:color="auto" w:fill="FFFFFF"/>
        <w:spacing w:before="0" w:beforeAutospacing="0" w:after="0" w:afterAutospacing="0" w:line="480" w:lineRule="atLeast"/>
        <w:ind w:left="720"/>
        <w:jc w:val="both"/>
      </w:pPr>
    </w:p>
    <w:p w14:paraId="491F31AE" w14:textId="2BD08F0B" w:rsidR="002612BA" w:rsidRPr="006D0E33" w:rsidRDefault="008C5C83" w:rsidP="008C3E6B">
      <w:pPr>
        <w:pStyle w:val="m1579887606026175441gmail-newparagraph"/>
        <w:shd w:val="clear" w:color="auto" w:fill="FFFFFF"/>
        <w:spacing w:before="0" w:beforeAutospacing="0" w:after="0" w:afterAutospacing="0" w:line="480" w:lineRule="atLeast"/>
        <w:jc w:val="both"/>
      </w:pPr>
      <w:r w:rsidRPr="006D0E33">
        <w:t>Post project data from two</w:t>
      </w:r>
      <w:r w:rsidR="00717343" w:rsidRPr="006D0E33">
        <w:t xml:space="preserve"> of the trainees </w:t>
      </w:r>
      <w:r w:rsidRPr="006D0E33">
        <w:t xml:space="preserve">revealed increased confidence to go off </w:t>
      </w:r>
      <w:proofErr w:type="spellStart"/>
      <w:r w:rsidRPr="006D0E33">
        <w:t>piste</w:t>
      </w:r>
      <w:proofErr w:type="spellEnd"/>
      <w:r w:rsidRPr="006D0E33">
        <w:t xml:space="preserve"> in their science teaching. They stated they would</w:t>
      </w:r>
      <w:r w:rsidR="00C7308A" w:rsidRPr="006D0E33">
        <w:t xml:space="preserve"> now</w:t>
      </w:r>
      <w:r w:rsidRPr="006D0E33">
        <w:t xml:space="preserve"> ‘not be afraid to take risks in science</w:t>
      </w:r>
      <w:r w:rsidR="00BD31FA" w:rsidRPr="006D0E33">
        <w:t>’</w:t>
      </w:r>
      <w:r w:rsidRPr="006D0E33">
        <w:t xml:space="preserve"> (Trainee </w:t>
      </w:r>
      <w:r w:rsidR="00363443" w:rsidRPr="006D0E33">
        <w:t>E</w:t>
      </w:r>
      <w:r w:rsidRPr="006D0E33">
        <w:t>)</w:t>
      </w:r>
      <w:r w:rsidR="00BD31FA" w:rsidRPr="006D0E33">
        <w:t>, be</w:t>
      </w:r>
      <w:r w:rsidR="00B14A96" w:rsidRPr="006D0E33">
        <w:t xml:space="preserve"> </w:t>
      </w:r>
      <w:r w:rsidRPr="006D0E33">
        <w:t>‘less afraid to be creative in science</w:t>
      </w:r>
      <w:proofErr w:type="gramStart"/>
      <w:r w:rsidRPr="006D0E33">
        <w:t>’(</w:t>
      </w:r>
      <w:proofErr w:type="gramEnd"/>
      <w:r w:rsidRPr="006D0E33">
        <w:t xml:space="preserve">Trainee </w:t>
      </w:r>
      <w:r w:rsidR="00363443" w:rsidRPr="006D0E33">
        <w:t>D</w:t>
      </w:r>
      <w:r w:rsidRPr="006D0E33">
        <w:t>)</w:t>
      </w:r>
      <w:r w:rsidR="00B14A96" w:rsidRPr="006D0E33">
        <w:t>.</w:t>
      </w:r>
      <w:r w:rsidR="002612BA" w:rsidRPr="006D0E33">
        <w:t xml:space="preserve"> All the trainees reported that they had gained valuable insights into the realities of teaching primary science in an urban school facing a complex overlay of challenges. They had gained a greater </w:t>
      </w:r>
      <w:r w:rsidR="002612BA" w:rsidRPr="006D0E33">
        <w:lastRenderedPageBreak/>
        <w:t>understanding of the impact of context on the general pedagogic approaches and how to generate appropriate learning spaces for the pupils. </w:t>
      </w:r>
    </w:p>
    <w:p w14:paraId="4CC1AF8F" w14:textId="77777777" w:rsidR="002612BA" w:rsidRPr="006D0E33" w:rsidRDefault="002612BA" w:rsidP="008C3E6B">
      <w:pPr>
        <w:spacing w:line="240" w:lineRule="auto"/>
        <w:jc w:val="both"/>
      </w:pPr>
    </w:p>
    <w:p w14:paraId="3D78E880" w14:textId="77777777" w:rsidR="002612BA" w:rsidRPr="006D0E33" w:rsidRDefault="002612BA" w:rsidP="008C3E6B">
      <w:pPr>
        <w:ind w:left="720"/>
        <w:jc w:val="both"/>
      </w:pPr>
      <w:r w:rsidRPr="006D0E33">
        <w:t>This has helped me to think about matching teaching to the specific needs of pupils in a different school (to my placement school) (Trainee A)</w:t>
      </w:r>
    </w:p>
    <w:p w14:paraId="627C5163" w14:textId="77777777" w:rsidR="002612BA" w:rsidRPr="006D0E33" w:rsidRDefault="002612BA" w:rsidP="008C3E6B">
      <w:pPr>
        <w:ind w:left="720"/>
        <w:jc w:val="both"/>
      </w:pPr>
    </w:p>
    <w:p w14:paraId="1AB67E23" w14:textId="4F413792" w:rsidR="002612BA" w:rsidRPr="006D0E33" w:rsidRDefault="002612BA" w:rsidP="0075518A">
      <w:pPr>
        <w:ind w:left="720"/>
        <w:jc w:val="both"/>
      </w:pPr>
      <w:r w:rsidRPr="006D0E33">
        <w:t>I had no experience of teaching science in a school like this so this has allowed me to understand the steps that need to be taken to plan lessons for these children. (Trainee C)</w:t>
      </w:r>
    </w:p>
    <w:p w14:paraId="54775792" w14:textId="13CCB1F7" w:rsidR="002612BA" w:rsidRPr="006D0E33" w:rsidRDefault="002612BA" w:rsidP="008C3E6B">
      <w:pPr>
        <w:ind w:left="720"/>
        <w:jc w:val="both"/>
      </w:pPr>
      <w:r w:rsidRPr="006D0E33">
        <w:t>I think that I underestimated how much work and preparation would go into the science sessions.  I expected that the children would have some knowledge of light and how to record data, but this was an area that was lacking with my group I know I have to think about that more now…. I think I have developed my pedagogical skills to be able to deliver science teaching in a way that children can explore for themselves.   (Trainee D)</w:t>
      </w:r>
    </w:p>
    <w:p w14:paraId="4750ADE4" w14:textId="77777777" w:rsidR="002612BA" w:rsidRPr="006D0E33" w:rsidRDefault="002612BA" w:rsidP="00DD52B6">
      <w:pPr>
        <w:pStyle w:val="m1579887606026175441gmail-newparagraph"/>
        <w:shd w:val="clear" w:color="auto" w:fill="FFFFFF"/>
        <w:spacing w:before="0" w:beforeAutospacing="0" w:after="0" w:afterAutospacing="0" w:line="480" w:lineRule="auto"/>
        <w:jc w:val="both"/>
      </w:pPr>
    </w:p>
    <w:p w14:paraId="5A9A0258" w14:textId="6EBFD94D" w:rsidR="009E3825" w:rsidRPr="006D0E33" w:rsidRDefault="009E3825" w:rsidP="00DD52B6">
      <w:pPr>
        <w:pStyle w:val="Newparagraph"/>
        <w:ind w:firstLine="709"/>
        <w:jc w:val="both"/>
      </w:pPr>
      <w:r w:rsidRPr="006D0E33">
        <w:t>The immediacy of discussions and reflections on the science concepts and pupils’ engagement and understanding embedded within the HCM</w:t>
      </w:r>
      <w:r w:rsidR="002612BA" w:rsidRPr="006D0E33">
        <w:t xml:space="preserve"> cycles</w:t>
      </w:r>
      <w:r w:rsidRPr="006D0E33">
        <w:t xml:space="preserve"> created spaces for trainees to capture and amplify the learning gains from </w:t>
      </w:r>
      <w:r w:rsidR="002612BA" w:rsidRPr="006D0E33">
        <w:t xml:space="preserve">one </w:t>
      </w:r>
      <w:r w:rsidRPr="006D0E33">
        <w:t>session and build on th</w:t>
      </w:r>
      <w:r w:rsidR="002612BA" w:rsidRPr="006D0E33">
        <w:t xml:space="preserve">is </w:t>
      </w:r>
      <w:r w:rsidRPr="006D0E33">
        <w:t xml:space="preserve">during the </w:t>
      </w:r>
      <w:r w:rsidR="002612BA" w:rsidRPr="006D0E33">
        <w:t>next</w:t>
      </w:r>
      <w:r w:rsidRPr="006D0E33">
        <w:t xml:space="preserve">. Trainee B reported how </w:t>
      </w:r>
      <w:r w:rsidR="002612BA" w:rsidRPr="006D0E33">
        <w:t>they</w:t>
      </w:r>
      <w:r w:rsidRPr="006D0E33">
        <w:t xml:space="preserve"> had developed </w:t>
      </w:r>
      <w:r w:rsidR="002612BA" w:rsidRPr="006D0E33">
        <w:t>their</w:t>
      </w:r>
      <w:r w:rsidRPr="006D0E33">
        <w:t xml:space="preserve"> understanding of assessment from a summative approach to a formative one, one that helped </w:t>
      </w:r>
      <w:r w:rsidR="002612BA" w:rsidRPr="006D0E33">
        <w:t>them</w:t>
      </w:r>
      <w:r w:rsidRPr="006D0E33">
        <w:t xml:space="preserve"> build progression into their teaching.</w:t>
      </w:r>
    </w:p>
    <w:p w14:paraId="6158E347" w14:textId="77777777" w:rsidR="009E3825" w:rsidRPr="006D0E33" w:rsidRDefault="009E3825" w:rsidP="00DD52B6">
      <w:pPr>
        <w:pStyle w:val="Displayedquotation"/>
        <w:jc w:val="both"/>
        <w:rPr>
          <w:sz w:val="24"/>
        </w:rPr>
      </w:pPr>
      <w:r w:rsidRPr="006D0E33">
        <w:rPr>
          <w:sz w:val="24"/>
        </w:rPr>
        <w:t>Assessment was a complete mystery, but I now have a good understanding of assessment techniques which can be used, and the progression of skills in working scientifically! (Trainees B)</w:t>
      </w:r>
    </w:p>
    <w:p w14:paraId="5AA2590F" w14:textId="13FDCCE2" w:rsidR="002612BA" w:rsidRPr="006D0E33" w:rsidRDefault="009E3825" w:rsidP="008C3E6B">
      <w:pPr>
        <w:pStyle w:val="Newparagraph"/>
        <w:ind w:firstLine="0"/>
        <w:jc w:val="both"/>
      </w:pPr>
      <w:r w:rsidRPr="006D0E33">
        <w:lastRenderedPageBreak/>
        <w:t>Having the confidence to respond to pupils’ questions and lines of emerging scientific enquiry</w:t>
      </w:r>
      <w:r w:rsidR="002612BA" w:rsidRPr="006D0E33">
        <w:t>, and to use this</w:t>
      </w:r>
      <w:r w:rsidR="00FA5C5B" w:rsidRPr="006D0E33">
        <w:t xml:space="preserve"> to plan for progression</w:t>
      </w:r>
      <w:r w:rsidRPr="006D0E33">
        <w:t xml:space="preserve"> is </w:t>
      </w:r>
      <w:r w:rsidR="00FA5C5B" w:rsidRPr="006D0E33">
        <w:t>part of developing</w:t>
      </w:r>
      <w:r w:rsidRPr="006D0E33">
        <w:t xml:space="preserve"> the trainees’ level of secure understanding of a given subject and its related pedagogy. This is a key strand of ambitious teaching. </w:t>
      </w:r>
    </w:p>
    <w:p w14:paraId="6EE291D4" w14:textId="59DD28F6" w:rsidR="009E3825" w:rsidRPr="006D0E33" w:rsidRDefault="002612BA" w:rsidP="008C3E6B">
      <w:pPr>
        <w:jc w:val="both"/>
      </w:pPr>
      <w:r w:rsidRPr="006D0E33">
        <w:tab/>
      </w:r>
      <w:r w:rsidR="002E40E8" w:rsidRPr="006D0E33">
        <w:t>T</w:t>
      </w:r>
      <w:r w:rsidR="009E3825" w:rsidRPr="006D0E33">
        <w:t>rainees discussed how being involved in the HC project had increased their levels of confidence and competency in the teaching of science</w:t>
      </w:r>
      <w:r w:rsidRPr="006D0E33">
        <w:t xml:space="preserve"> and how</w:t>
      </w:r>
      <w:r w:rsidR="009E3825" w:rsidRPr="006D0E33">
        <w:t xml:space="preserve"> that would be supportive when applying for their first posts. When interviewed after the project this trainee recounted how </w:t>
      </w:r>
      <w:r w:rsidRPr="006D0E33">
        <w:t>they</w:t>
      </w:r>
      <w:r w:rsidR="009E3825" w:rsidRPr="006D0E33">
        <w:t xml:space="preserve"> had used what they had learnt in their job interview</w:t>
      </w:r>
    </w:p>
    <w:p w14:paraId="0501687B" w14:textId="7B642D04" w:rsidR="009E3825" w:rsidRPr="006D0E33" w:rsidRDefault="009E3825" w:rsidP="00DD52B6">
      <w:pPr>
        <w:pStyle w:val="Displayedquotation"/>
        <w:jc w:val="both"/>
        <w:rPr>
          <w:sz w:val="24"/>
        </w:rPr>
      </w:pPr>
      <w:r w:rsidRPr="006D0E33">
        <w:rPr>
          <w:sz w:val="24"/>
        </w:rPr>
        <w:t>The HC Project helped me to be more employable. I have used it in interview on how I made an impact. In the interview presentation I was able to answer all questions…more confidently, because the project I did was around science and new concepts of science.</w:t>
      </w:r>
      <w:r w:rsidR="00134B95" w:rsidRPr="006D0E33">
        <w:rPr>
          <w:sz w:val="24"/>
        </w:rPr>
        <w:t>.</w:t>
      </w:r>
      <w:r w:rsidRPr="006D0E33">
        <w:rPr>
          <w:sz w:val="24"/>
        </w:rPr>
        <w:t>.I feel it has developed my employability, as I had to be reflective and adaptable. [The] project gave me more experience of this in a supportive manner. I think the teamwork skills</w:t>
      </w:r>
      <w:r w:rsidR="00A167A1" w:rsidRPr="006D0E33">
        <w:rPr>
          <w:sz w:val="24"/>
        </w:rPr>
        <w:t xml:space="preserve"> [during the project]</w:t>
      </w:r>
      <w:r w:rsidRPr="006D0E33">
        <w:rPr>
          <w:sz w:val="24"/>
        </w:rPr>
        <w:t xml:space="preserve"> are transferable to lots of other school situations, so it was very useful. (Trainee C)</w:t>
      </w:r>
    </w:p>
    <w:p w14:paraId="2C69825F" w14:textId="29E3E116" w:rsidR="001D1A9F" w:rsidRPr="006D0E33" w:rsidRDefault="009E3825" w:rsidP="008C3E6B">
      <w:pPr>
        <w:jc w:val="both"/>
      </w:pPr>
      <w:r w:rsidRPr="006D0E33">
        <w:t>For some trainees their involvement had encouraged them to consider applying to schools they would have originally considered too challenging for a first post. This data is important as increasing applications and ultimately employability in these types of school was a hoped-for outcome of the HCM</w:t>
      </w:r>
      <w:r w:rsidR="00A167A1" w:rsidRPr="006D0E33">
        <w:t>.</w:t>
      </w:r>
    </w:p>
    <w:p w14:paraId="266CC427" w14:textId="2F426F5F" w:rsidR="009E3825" w:rsidRPr="006D0E33" w:rsidRDefault="001D1A9F" w:rsidP="008C3E6B">
      <w:pPr>
        <w:ind w:left="720"/>
        <w:jc w:val="both"/>
      </w:pPr>
      <w:r w:rsidRPr="006D0E33">
        <w:t>I</w:t>
      </w:r>
      <w:r w:rsidR="00A167A1" w:rsidRPr="006D0E33">
        <w:t>’</w:t>
      </w:r>
      <w:r w:rsidRPr="006D0E33">
        <w:t xml:space="preserve">m more confident of applying to these schools </w:t>
      </w:r>
      <w:r w:rsidR="00134B95" w:rsidRPr="006D0E33">
        <w:t>[</w:t>
      </w:r>
      <w:r w:rsidRPr="006D0E33">
        <w:t>facing challenge</w:t>
      </w:r>
      <w:r w:rsidR="00134B95" w:rsidRPr="006D0E33">
        <w:t>]</w:t>
      </w:r>
      <w:r w:rsidRPr="006D0E33">
        <w:t xml:space="preserve">. I intend to take elements of this </w:t>
      </w:r>
      <w:r w:rsidR="00A167A1" w:rsidRPr="006D0E33">
        <w:t>[</w:t>
      </w:r>
      <w:r w:rsidRPr="006D0E33">
        <w:t>HC project</w:t>
      </w:r>
      <w:r w:rsidR="00A167A1" w:rsidRPr="006D0E33">
        <w:t>]</w:t>
      </w:r>
      <w:r w:rsidRPr="006D0E33">
        <w:t xml:space="preserve"> into my professional career (Trainee A)</w:t>
      </w:r>
    </w:p>
    <w:p w14:paraId="35ADD4D9" w14:textId="77777777" w:rsidR="009E3825" w:rsidRPr="006D0E33" w:rsidRDefault="009E3825" w:rsidP="00DD52B6">
      <w:pPr>
        <w:pStyle w:val="Heading3"/>
        <w:ind w:firstLine="720"/>
        <w:jc w:val="both"/>
        <w:rPr>
          <w:szCs w:val="24"/>
        </w:rPr>
      </w:pPr>
      <w:r w:rsidRPr="006D0E33">
        <w:rPr>
          <w:szCs w:val="24"/>
        </w:rPr>
        <w:t>School-based staff</w:t>
      </w:r>
      <w:r w:rsidRPr="006D0E33">
        <w:rPr>
          <w:szCs w:val="24"/>
        </w:rPr>
        <w:tab/>
      </w:r>
    </w:p>
    <w:p w14:paraId="5EAEE57B" w14:textId="0AA9C2B6" w:rsidR="009E3825" w:rsidRPr="006D0E33" w:rsidRDefault="009E3825" w:rsidP="00DD52B6">
      <w:pPr>
        <w:pStyle w:val="Newparagraph"/>
        <w:ind w:firstLine="0"/>
        <w:jc w:val="both"/>
      </w:pPr>
      <w:r w:rsidRPr="006D0E33">
        <w:t xml:space="preserve">Whilst the aim of the HC project had been the need to find ways for developing more ambitious science teachers for the future, this research revealed that it had a direct impact on the school-based staff taking part in the project. Initial interviews with participating </w:t>
      </w:r>
      <w:r w:rsidRPr="006D0E33">
        <w:lastRenderedPageBreak/>
        <w:t>staff indicated they felt that they lacked skills and resources in teaching science. This led to a lack of confidence and a dissatisfaction in their own practice. They felt they did not know how to develop active science lessons in a way that would engage their pupils. The science coordinator, a non-specialist, said:</w:t>
      </w:r>
    </w:p>
    <w:p w14:paraId="76A68B34" w14:textId="77777777" w:rsidR="009E3825" w:rsidRPr="006D0E33" w:rsidRDefault="009E3825" w:rsidP="00DD52B6">
      <w:pPr>
        <w:pStyle w:val="Displayedquotation"/>
        <w:jc w:val="both"/>
        <w:rPr>
          <w:sz w:val="24"/>
        </w:rPr>
      </w:pPr>
      <w:r w:rsidRPr="006D0E33">
        <w:rPr>
          <w:sz w:val="24"/>
        </w:rPr>
        <w:t>As science co-ordinator, I felt that we needed support both for myself and colleagues to improve scientific investigation and my own approaches. I needed a framework to enable the children to work independently and raise their own questions (Science Coordinator)</w:t>
      </w:r>
    </w:p>
    <w:p w14:paraId="5825836E" w14:textId="75ABB493" w:rsidR="009E3825" w:rsidRPr="006D0E33" w:rsidRDefault="009E3825" w:rsidP="008C3E6B">
      <w:pPr>
        <w:pStyle w:val="m1579887606026175441gmail-newparagraph"/>
        <w:shd w:val="clear" w:color="auto" w:fill="FFFFFF"/>
        <w:spacing w:before="0" w:beforeAutospacing="0" w:after="0" w:afterAutospacing="0" w:line="480" w:lineRule="atLeast"/>
        <w:ind w:firstLine="720"/>
        <w:jc w:val="both"/>
      </w:pPr>
      <w:r w:rsidRPr="006D0E33">
        <w:t xml:space="preserve">By the end of the project </w:t>
      </w:r>
      <w:r w:rsidR="00134B95" w:rsidRPr="006D0E33">
        <w:t xml:space="preserve">school-based </w:t>
      </w:r>
      <w:r w:rsidRPr="006D0E33">
        <w:t xml:space="preserve">staff were not only equipped with greater resources but also had new ideas about how to enable </w:t>
      </w:r>
      <w:r w:rsidR="00134B95" w:rsidRPr="006D0E33">
        <w:t>pupils</w:t>
      </w:r>
      <w:r w:rsidRPr="006D0E33">
        <w:t xml:space="preserve"> to work independently and raise their own science questions – to become active learners. The</w:t>
      </w:r>
      <w:r w:rsidR="00134B95" w:rsidRPr="006D0E33">
        <w:t xml:space="preserve"> close engagement with the TE and trainees provided opportunities to learn </w:t>
      </w:r>
      <w:r w:rsidRPr="006D0E33">
        <w:t>new practical strategies underpinned by relevant theoretical frameworks. They gained confidence and were inspired to be more ambitious in their own science teaching. In particular, the confidence of the science co-ordinator to teach and plan future teaching had increased. Being part of the HCM had helped her revisit her own ideas about planning and</w:t>
      </w:r>
      <w:r w:rsidR="00134B95" w:rsidRPr="006D0E33">
        <w:t xml:space="preserve"> using</w:t>
      </w:r>
      <w:r w:rsidRPr="006D0E33">
        <w:t xml:space="preserve"> investigative approaches</w:t>
      </w:r>
      <w:r w:rsidR="00134B95" w:rsidRPr="006D0E33">
        <w:t>. It</w:t>
      </w:r>
      <w:r w:rsidRPr="006D0E33">
        <w:t xml:space="preserve"> gave her ‘a bank of ideas for thinking about my own planning and raised awareness of how children's ideas can be used to inform planning’ (Science </w:t>
      </w:r>
      <w:proofErr w:type="gramStart"/>
      <w:r w:rsidRPr="006D0E33">
        <w:t xml:space="preserve">Coordinator)   </w:t>
      </w:r>
      <w:proofErr w:type="gramEnd"/>
      <w:r w:rsidRPr="006D0E33">
        <w:t>This</w:t>
      </w:r>
      <w:r w:rsidR="00134B95" w:rsidRPr="006D0E33">
        <w:t xml:space="preserve"> new found ability and confidence</w:t>
      </w:r>
      <w:r w:rsidRPr="006D0E33">
        <w:t xml:space="preserve"> was recognised by the head of the school who, when commenting on the impact of the HCM</w:t>
      </w:r>
      <w:r w:rsidR="00134B95" w:rsidRPr="006D0E33">
        <w:t>,</w:t>
      </w:r>
      <w:r w:rsidRPr="006D0E33">
        <w:t xml:space="preserve"> specifically identified the more ambitious teaching found in the school</w:t>
      </w:r>
      <w:r w:rsidR="00C87A5F" w:rsidRPr="006D0E33">
        <w:t>.</w:t>
      </w:r>
    </w:p>
    <w:p w14:paraId="573B52F4" w14:textId="77777777" w:rsidR="00C87A5F" w:rsidRPr="006D0E33" w:rsidRDefault="00C87A5F" w:rsidP="008C3E6B">
      <w:pPr>
        <w:pStyle w:val="m1579887606026175441gmail-newparagraph"/>
        <w:shd w:val="clear" w:color="auto" w:fill="FFFFFF"/>
        <w:spacing w:before="0" w:beforeAutospacing="0" w:after="0" w:afterAutospacing="0" w:line="480" w:lineRule="atLeast"/>
        <w:ind w:firstLine="720"/>
        <w:jc w:val="both"/>
      </w:pPr>
    </w:p>
    <w:p w14:paraId="322FFAE3" w14:textId="36B9B3CA" w:rsidR="009E3825" w:rsidRPr="006D0E33" w:rsidRDefault="009E3825" w:rsidP="0075518A">
      <w:pPr>
        <w:pStyle w:val="Displayedquotation"/>
        <w:spacing w:before="0" w:after="0"/>
        <w:jc w:val="both"/>
        <w:rPr>
          <w:sz w:val="24"/>
        </w:rPr>
      </w:pPr>
      <w:r w:rsidRPr="006D0E33">
        <w:rPr>
          <w:sz w:val="24"/>
        </w:rPr>
        <w:t xml:space="preserve">I think that our teachers have grown. It's helped the science co-ordinator to roll-out working scientifically with the staff, it's had a planned time. The trainees have had to do lots of research to be able to come and take those sessions, but our staff have grown as well. So that I think has been a really true partnership… the level of planning that our teachers are now doing for science is massively different from where it was two years ago, because two </w:t>
      </w:r>
      <w:r w:rsidRPr="006D0E33">
        <w:rPr>
          <w:sz w:val="24"/>
        </w:rPr>
        <w:lastRenderedPageBreak/>
        <w:t>years ago these children weren't actually working scientifically, they were just filling in worksheets, and now everything about the planning is about experimenting, researching, testing new materials, and that is evident in the planning, so we have grown tremendously in that time.</w:t>
      </w:r>
      <w:r w:rsidR="00BC710D" w:rsidRPr="006D0E33">
        <w:rPr>
          <w:sz w:val="24"/>
        </w:rPr>
        <w:t xml:space="preserve"> (Head Teacher)</w:t>
      </w:r>
    </w:p>
    <w:p w14:paraId="0273809C" w14:textId="491A2249" w:rsidR="00BC710D" w:rsidRPr="006D0E33" w:rsidRDefault="009E3825" w:rsidP="0075518A">
      <w:pPr>
        <w:pStyle w:val="m1579887606026175441gmail-newparagraph"/>
        <w:shd w:val="clear" w:color="auto" w:fill="FFFFFF"/>
        <w:spacing w:before="0" w:beforeAutospacing="0" w:after="0" w:afterAutospacing="0" w:line="480" w:lineRule="atLeast"/>
        <w:jc w:val="both"/>
      </w:pPr>
      <w:r w:rsidRPr="006D0E33">
        <w:t>The class teacher involved in the project reported increased confidence in her use of practical activities and scientific resources such as data loggers for measuring light, and improvements in her scientific pedagogic knowledge</w:t>
      </w:r>
      <w:r w:rsidR="00C87A5F" w:rsidRPr="006D0E33">
        <w:t>.</w:t>
      </w:r>
    </w:p>
    <w:p w14:paraId="75B8ADD4" w14:textId="67FEF17D" w:rsidR="009E3825" w:rsidRPr="006D0E33" w:rsidRDefault="009E3825" w:rsidP="0075518A">
      <w:pPr>
        <w:pStyle w:val="m1579887606026175441gmail-newparagraph"/>
        <w:shd w:val="clear" w:color="auto" w:fill="FFFFFF"/>
        <w:spacing w:before="0" w:beforeAutospacing="0" w:after="0" w:afterAutospacing="0" w:line="480" w:lineRule="atLeast"/>
        <w:ind w:left="720" w:firstLine="60"/>
        <w:jc w:val="both"/>
      </w:pPr>
      <w:r w:rsidRPr="006D0E33">
        <w:t xml:space="preserve">The project gave excellent opportunities of how to structure a scientific enquiry with a small group of children, which could be transferred to whole class teaching (Class Teacher).  </w:t>
      </w:r>
    </w:p>
    <w:p w14:paraId="69B41563" w14:textId="77777777" w:rsidR="00A152C3" w:rsidRPr="006D0E33" w:rsidRDefault="00A152C3" w:rsidP="008C3E6B">
      <w:pPr>
        <w:pStyle w:val="m1579887606026175441gmail-newparagraph"/>
        <w:shd w:val="clear" w:color="auto" w:fill="FFFFFF"/>
        <w:spacing w:before="0" w:beforeAutospacing="0" w:after="0" w:afterAutospacing="0" w:line="480" w:lineRule="atLeast"/>
        <w:jc w:val="both"/>
      </w:pPr>
    </w:p>
    <w:p w14:paraId="48F19646" w14:textId="014C5DB8" w:rsidR="009E3825" w:rsidRPr="006D0E33" w:rsidRDefault="009E3825" w:rsidP="008C3E6B">
      <w:pPr>
        <w:pStyle w:val="m1579887606026175441gmail-newparagraph"/>
        <w:shd w:val="clear" w:color="auto" w:fill="FFFFFF"/>
        <w:spacing w:before="0" w:beforeAutospacing="0" w:after="0" w:afterAutospacing="0" w:line="480" w:lineRule="atLeast"/>
        <w:jc w:val="both"/>
      </w:pPr>
      <w:r w:rsidRPr="006D0E33">
        <w:t>The collaborative process of developing trainees’ expertise within the school had become a form of continuing professional development (CPD) for staff.  Increased class</w:t>
      </w:r>
      <w:r w:rsidR="00AC67B9" w:rsidRPr="006D0E33">
        <w:t>-t</w:t>
      </w:r>
      <w:r w:rsidRPr="006D0E33">
        <w:t>eacher confidence and knowledge was observed</w:t>
      </w:r>
      <w:r w:rsidR="00AC67B9" w:rsidRPr="006D0E33">
        <w:t>, not only in those directly involved with the JCM, but</w:t>
      </w:r>
      <w:r w:rsidRPr="006D0E33">
        <w:t xml:space="preserve"> across the school</w:t>
      </w:r>
      <w:r w:rsidR="00AC67B9" w:rsidRPr="006D0E33">
        <w:t>.</w:t>
      </w:r>
    </w:p>
    <w:p w14:paraId="771EE9CC" w14:textId="77777777" w:rsidR="009E3825" w:rsidRPr="006D0E33" w:rsidRDefault="009E3825" w:rsidP="00DD52B6">
      <w:pPr>
        <w:pStyle w:val="Displayedquotation"/>
        <w:jc w:val="both"/>
        <w:rPr>
          <w:sz w:val="24"/>
        </w:rPr>
      </w:pPr>
      <w:r w:rsidRPr="006D0E33">
        <w:rPr>
          <w:sz w:val="24"/>
        </w:rPr>
        <w:t>The progression in the way science is now taught is evident from the Early Years and Foundation Stage through to Year 6, with teachers expressing increased confidence and enjoyment in the teaching of science and pupils showing increased attainment in deeper understanding of scientific concepts. (Science Coordinator)</w:t>
      </w:r>
    </w:p>
    <w:p w14:paraId="77FC264D" w14:textId="2F6FF903" w:rsidR="009E3825" w:rsidRPr="006D0E33" w:rsidRDefault="009E3825" w:rsidP="00DD52B6">
      <w:pPr>
        <w:pStyle w:val="Newparagraph"/>
        <w:ind w:firstLine="0"/>
        <w:jc w:val="both"/>
      </w:pPr>
      <w:r w:rsidRPr="006D0E33">
        <w:t xml:space="preserve">The science coordinator </w:t>
      </w:r>
      <w:r w:rsidR="00AC67B9" w:rsidRPr="006D0E33">
        <w:t>gained</w:t>
      </w:r>
      <w:r w:rsidRPr="006D0E33">
        <w:t xml:space="preserve"> confidence in her role of facilitator of science practices, confidence to lead other staff in the school and run CPD for colleagues, not only with in her school, but also establish a network for science teachers across other primary schools in the area. </w:t>
      </w:r>
    </w:p>
    <w:p w14:paraId="1F564718" w14:textId="77777777" w:rsidR="009E3825" w:rsidRPr="006D0E33" w:rsidRDefault="009E3825" w:rsidP="00DD52B6">
      <w:pPr>
        <w:pStyle w:val="Displayedquotation"/>
        <w:jc w:val="both"/>
        <w:rPr>
          <w:sz w:val="24"/>
        </w:rPr>
      </w:pPr>
      <w:r w:rsidRPr="006D0E33">
        <w:rPr>
          <w:sz w:val="24"/>
        </w:rPr>
        <w:t xml:space="preserve">As a result of this [engaging in the HCM], our school is now part of a hub of lead science schools based at Liverpool Hope University, who meet regularly to plan and share learning opportunities in order to continually reflect and raise standards. Being part of this hub has provided me with access to CPD </w:t>
      </w:r>
      <w:r w:rsidRPr="006D0E33">
        <w:rPr>
          <w:sz w:val="24"/>
        </w:rPr>
        <w:lastRenderedPageBreak/>
        <w:t>opportunities to support staff throughout the school, in the teaching of science. (Science coordinator)</w:t>
      </w:r>
    </w:p>
    <w:p w14:paraId="4BF22595" w14:textId="77777777" w:rsidR="009E3825" w:rsidRPr="006D0E33" w:rsidRDefault="009E3825" w:rsidP="00DD52B6">
      <w:pPr>
        <w:pStyle w:val="Displayedquotation"/>
        <w:jc w:val="both"/>
        <w:rPr>
          <w:sz w:val="24"/>
        </w:rPr>
      </w:pPr>
    </w:p>
    <w:p w14:paraId="23989202" w14:textId="309DC387" w:rsidR="009E3825" w:rsidRPr="006D0E33" w:rsidRDefault="009E3825" w:rsidP="0075518A">
      <w:pPr>
        <w:pStyle w:val="Displayedquotation"/>
        <w:spacing w:before="0" w:after="0" w:line="480" w:lineRule="auto"/>
        <w:ind w:left="0"/>
        <w:jc w:val="both"/>
        <w:rPr>
          <w:sz w:val="24"/>
        </w:rPr>
      </w:pPr>
      <w:r w:rsidRPr="006D0E33">
        <w:rPr>
          <w:sz w:val="24"/>
        </w:rPr>
        <w:t>Professional respect shown by the TE with regard to the knowledge of the science coordinator, the processes of joint working and reflection and the introduction of new resources, influenced the science coordinator’s professional growth. With renewed enthusiasm, confidence and optimism she became engaged, with the TE, in an application for the Primary Science Quality Mark Award (PSQM) for the school</w:t>
      </w:r>
      <w:r w:rsidRPr="006D0E33">
        <w:rPr>
          <w:rStyle w:val="FootnoteReference"/>
          <w:sz w:val="24"/>
        </w:rPr>
        <w:footnoteReference w:id="5"/>
      </w:r>
      <w:r w:rsidRPr="006D0E33">
        <w:rPr>
          <w:sz w:val="24"/>
        </w:rPr>
        <w:t>. This is a powerful and profound legacy of the HCM project in the school</w:t>
      </w:r>
      <w:r w:rsidR="00AC67B9" w:rsidRPr="006D0E33">
        <w:rPr>
          <w:sz w:val="24"/>
        </w:rPr>
        <w:t>, especially given the complex social and educational challenges it faces daily.</w:t>
      </w:r>
      <w:r w:rsidRPr="006D0E33">
        <w:rPr>
          <w:sz w:val="24"/>
        </w:rPr>
        <w:t xml:space="preserve"> </w:t>
      </w:r>
      <w:r w:rsidR="00FE61D9" w:rsidRPr="006D0E33">
        <w:rPr>
          <w:sz w:val="24"/>
        </w:rPr>
        <w:t>I</w:t>
      </w:r>
      <w:r w:rsidRPr="006D0E33">
        <w:rPr>
          <w:sz w:val="24"/>
        </w:rPr>
        <w:t xml:space="preserve">t demonstrates the ways in which TEs working closely in increasingly democratic ways with school colleagues </w:t>
      </w:r>
      <w:r w:rsidR="00AC67B9" w:rsidRPr="006D0E33">
        <w:rPr>
          <w:sz w:val="24"/>
        </w:rPr>
        <w:t>can</w:t>
      </w:r>
      <w:r w:rsidRPr="006D0E33">
        <w:rPr>
          <w:sz w:val="24"/>
        </w:rPr>
        <w:t xml:space="preserve"> contribute to narrowing academic inequities</w:t>
      </w:r>
      <w:r w:rsidR="00AC67B9" w:rsidRPr="006D0E33">
        <w:rPr>
          <w:sz w:val="24"/>
        </w:rPr>
        <w:t xml:space="preserve"> for teachers and their pupils</w:t>
      </w:r>
      <w:r w:rsidRPr="006D0E33">
        <w:rPr>
          <w:sz w:val="24"/>
        </w:rPr>
        <w:t>.</w:t>
      </w:r>
    </w:p>
    <w:p w14:paraId="2F261824" w14:textId="77777777" w:rsidR="009E3825" w:rsidRPr="006D0E33" w:rsidRDefault="009E3825" w:rsidP="0075518A">
      <w:pPr>
        <w:pStyle w:val="Heading3"/>
        <w:spacing w:before="0" w:after="0"/>
        <w:ind w:firstLine="720"/>
        <w:jc w:val="both"/>
        <w:rPr>
          <w:szCs w:val="24"/>
        </w:rPr>
      </w:pPr>
      <w:r w:rsidRPr="006D0E33">
        <w:rPr>
          <w:szCs w:val="24"/>
        </w:rPr>
        <w:t xml:space="preserve">Pupils </w:t>
      </w:r>
    </w:p>
    <w:p w14:paraId="7D1C7DD4" w14:textId="2F62DCF9" w:rsidR="00FE61D9" w:rsidRPr="006D0E33" w:rsidRDefault="009E3825" w:rsidP="0075518A">
      <w:pPr>
        <w:pStyle w:val="Displayedquotation"/>
        <w:spacing w:before="0" w:after="0" w:line="480" w:lineRule="auto"/>
        <w:ind w:left="0"/>
        <w:jc w:val="both"/>
        <w:rPr>
          <w:sz w:val="24"/>
        </w:rPr>
      </w:pPr>
      <w:r w:rsidRPr="006D0E33">
        <w:rPr>
          <w:sz w:val="24"/>
        </w:rPr>
        <w:t xml:space="preserve">It was not the intention of this project to report on the impact on the pupils. During the HCM however, in discussion, much was said about the noticeable change in the way pupils responded towards science lessons which we consider worthy of mention here. Teachers talked about noticeable </w:t>
      </w:r>
      <w:r w:rsidR="004C4D72" w:rsidRPr="006D0E33">
        <w:rPr>
          <w:sz w:val="24"/>
        </w:rPr>
        <w:t>changes</w:t>
      </w:r>
      <w:r w:rsidRPr="006D0E33">
        <w:rPr>
          <w:sz w:val="24"/>
        </w:rPr>
        <w:t xml:space="preserve"> in pupil attitudes, confidence and enjoyment</w:t>
      </w:r>
      <w:r w:rsidR="00C81B3E" w:rsidRPr="006D0E33">
        <w:rPr>
          <w:sz w:val="24"/>
        </w:rPr>
        <w:t>. P</w:t>
      </w:r>
      <w:r w:rsidRPr="006D0E33">
        <w:rPr>
          <w:sz w:val="24"/>
        </w:rPr>
        <w:t>upils</w:t>
      </w:r>
      <w:r w:rsidR="00C81B3E" w:rsidRPr="006D0E33">
        <w:rPr>
          <w:sz w:val="24"/>
        </w:rPr>
        <w:t xml:space="preserve"> now</w:t>
      </w:r>
      <w:r w:rsidRPr="006D0E33">
        <w:rPr>
          <w:sz w:val="24"/>
        </w:rPr>
        <w:t xml:space="preserve"> actively look</w:t>
      </w:r>
      <w:r w:rsidR="00C81B3E" w:rsidRPr="006D0E33">
        <w:rPr>
          <w:sz w:val="24"/>
        </w:rPr>
        <w:t>ed</w:t>
      </w:r>
      <w:r w:rsidRPr="006D0E33">
        <w:rPr>
          <w:sz w:val="24"/>
        </w:rPr>
        <w:t xml:space="preserve"> forward to taking part in science-based activities.  The science coordinator noted that </w:t>
      </w:r>
      <w:r w:rsidR="00C81B3E" w:rsidRPr="006D0E33">
        <w:rPr>
          <w:sz w:val="24"/>
        </w:rPr>
        <w:t xml:space="preserve">pupils </w:t>
      </w:r>
      <w:r w:rsidRPr="006D0E33">
        <w:rPr>
          <w:sz w:val="24"/>
        </w:rPr>
        <w:t xml:space="preserve">had progressed from being passive learners (accessing information </w:t>
      </w:r>
      <w:r w:rsidR="00C81B3E" w:rsidRPr="006D0E33">
        <w:rPr>
          <w:sz w:val="24"/>
        </w:rPr>
        <w:t>using</w:t>
      </w:r>
      <w:r w:rsidRPr="006D0E33">
        <w:rPr>
          <w:sz w:val="24"/>
        </w:rPr>
        <w:t xml:space="preserve"> visuals and worksheets) towards self-motivated learners with the skills to create their own scientific enquiry questions and record and draw their own scientific conclusions. </w:t>
      </w:r>
      <w:r w:rsidR="00C81B3E" w:rsidRPr="006D0E33">
        <w:rPr>
          <w:sz w:val="24"/>
        </w:rPr>
        <w:t>She saw this as</w:t>
      </w:r>
      <w:r w:rsidRPr="006D0E33">
        <w:rPr>
          <w:sz w:val="24"/>
        </w:rPr>
        <w:t xml:space="preserve"> an indicator of more ambitious teaching nurtured through the HCM. She also noted that positive outcomes </w:t>
      </w:r>
      <w:r w:rsidRPr="006D0E33">
        <w:rPr>
          <w:sz w:val="24"/>
        </w:rPr>
        <w:lastRenderedPageBreak/>
        <w:t>for pupils directly involved in the HCM had engendered a ripple effect beyond the original Y3 and Y4 pupils as resources and pedagogic approaches, developed with pupils in the HCM, were transferred and adapted for other year groups by other interested staff.</w:t>
      </w:r>
    </w:p>
    <w:p w14:paraId="7EC40881" w14:textId="1260AC83" w:rsidR="00FE61D9" w:rsidRPr="006D0E33" w:rsidRDefault="00FE61D9" w:rsidP="0075518A">
      <w:pPr>
        <w:pStyle w:val="Heading3"/>
        <w:spacing w:before="0" w:after="0"/>
        <w:ind w:firstLine="720"/>
        <w:jc w:val="both"/>
        <w:rPr>
          <w:szCs w:val="24"/>
        </w:rPr>
      </w:pPr>
      <w:r w:rsidRPr="006D0E33">
        <w:rPr>
          <w:szCs w:val="24"/>
        </w:rPr>
        <w:t>Broader impact</w:t>
      </w:r>
    </w:p>
    <w:p w14:paraId="09A20410" w14:textId="4FE0EC42" w:rsidR="006163B6" w:rsidRPr="006D0E33" w:rsidRDefault="00FE61D9" w:rsidP="0075518A">
      <w:pPr>
        <w:pStyle w:val="Paragraph"/>
        <w:spacing w:before="0"/>
        <w:jc w:val="both"/>
      </w:pPr>
      <w:r w:rsidRPr="006D0E33">
        <w:t>Again, whilst this was not originally a focus for the research questions, the deeper engagement with the school the HCM facilitated offered further insights into the impact this had made beyond the trainees.  The reach of the HC</w:t>
      </w:r>
      <w:r w:rsidR="006163B6" w:rsidRPr="006D0E33">
        <w:t xml:space="preserve"> project</w:t>
      </w:r>
      <w:r w:rsidRPr="006D0E33">
        <w:t xml:space="preserve"> was summarised by the science coordinator</w:t>
      </w:r>
      <w:r w:rsidR="006163B6" w:rsidRPr="006D0E33">
        <w:t xml:space="preserve"> in a joint presentation with </w:t>
      </w:r>
      <w:r w:rsidR="005D1712" w:rsidRPr="006D0E33">
        <w:t>a university educator (not the TE of the project)</w:t>
      </w:r>
      <w:r w:rsidRPr="006D0E33">
        <w:t xml:space="preserve"> at the national </w:t>
      </w:r>
      <w:bookmarkStart w:id="3" w:name="_Hlk47016879"/>
      <w:r w:rsidRPr="006D0E33">
        <w:t>Association for Partnership in Teacher Education</w:t>
      </w:r>
      <w:bookmarkEnd w:id="3"/>
      <w:r w:rsidRPr="006D0E33">
        <w:t xml:space="preserve"> (APTE) conference. The diagram she produced (</w:t>
      </w:r>
      <w:r w:rsidR="007A13DC" w:rsidRPr="006D0E33">
        <w:t xml:space="preserve">Figure </w:t>
      </w:r>
      <w:r w:rsidRPr="006D0E33">
        <w:t xml:space="preserve">1) showcased the success of the project from the perspective of the school. </w:t>
      </w:r>
    </w:p>
    <w:p w14:paraId="00B7ACD1" w14:textId="09568D73" w:rsidR="006163B6" w:rsidRPr="006D0E33" w:rsidRDefault="006163B6" w:rsidP="008C3E6B">
      <w:pPr>
        <w:jc w:val="both"/>
        <w:rPr>
          <w:b/>
          <w:bCs/>
        </w:rPr>
      </w:pPr>
      <w:r w:rsidRPr="006D0E33">
        <w:t xml:space="preserve">Insert </w:t>
      </w:r>
      <w:r w:rsidR="007A13DC" w:rsidRPr="006D0E33">
        <w:t>Figure</w:t>
      </w:r>
      <w:r w:rsidRPr="006D0E33">
        <w:t xml:space="preserve"> 1: </w:t>
      </w:r>
      <w:r w:rsidR="00000FF8" w:rsidRPr="006D0E33">
        <w:rPr>
          <w:b/>
          <w:bCs/>
        </w:rPr>
        <w:t xml:space="preserve">What does Hope Challenge </w:t>
      </w:r>
      <w:r w:rsidR="007A13DC" w:rsidRPr="006D0E33">
        <w:rPr>
          <w:b/>
          <w:bCs/>
        </w:rPr>
        <w:t>mean</w:t>
      </w:r>
      <w:r w:rsidR="00000FF8" w:rsidRPr="006D0E33">
        <w:rPr>
          <w:b/>
          <w:bCs/>
        </w:rPr>
        <w:t xml:space="preserve">…. </w:t>
      </w:r>
    </w:p>
    <w:p w14:paraId="036B68CE" w14:textId="060ECF99" w:rsidR="00FE61D9" w:rsidRPr="006D0E33" w:rsidRDefault="006163B6" w:rsidP="008C3E6B">
      <w:pPr>
        <w:pStyle w:val="Paragraph"/>
        <w:jc w:val="both"/>
      </w:pPr>
      <w:r w:rsidRPr="006D0E33">
        <w:t xml:space="preserve">The </w:t>
      </w:r>
      <w:r w:rsidR="00FE61D9" w:rsidRPr="006D0E33">
        <w:t xml:space="preserve">science coordinator subsequently </w:t>
      </w:r>
      <w:r w:rsidRPr="006D0E33">
        <w:t>expressed</w:t>
      </w:r>
      <w:r w:rsidR="00FE61D9" w:rsidRPr="006D0E33">
        <w:t xml:space="preserve"> the significance of the event for her personally and professionally in terms of developing her</w:t>
      </w:r>
      <w:r w:rsidRPr="006D0E33">
        <w:t xml:space="preserve"> own</w:t>
      </w:r>
      <w:r w:rsidR="00FE61D9" w:rsidRPr="006D0E33">
        <w:t xml:space="preserve"> confidence </w:t>
      </w:r>
      <w:r w:rsidRPr="006D0E33">
        <w:t xml:space="preserve">to present at such a forum </w:t>
      </w:r>
      <w:r w:rsidR="00FE61D9" w:rsidRPr="006D0E33">
        <w:t xml:space="preserve">and providing a degree of validation in </w:t>
      </w:r>
      <w:r w:rsidRPr="006D0E33">
        <w:t>having</w:t>
      </w:r>
      <w:r w:rsidR="00FE61D9" w:rsidRPr="006D0E33">
        <w:t xml:space="preserve"> her voice heard in an academic arena. From the university perspective this was an additional outcome as it contributed to positive reframing by the school of the potential of partnership work with university teacher educators. </w:t>
      </w:r>
    </w:p>
    <w:p w14:paraId="51A7D1D6" w14:textId="2BCDAF90" w:rsidR="00BE2D2C" w:rsidRPr="006D0E33" w:rsidRDefault="00BE2D2C" w:rsidP="00D9436C">
      <w:pPr>
        <w:pStyle w:val="m1579887606026175441gmail-newparagraph"/>
        <w:numPr>
          <w:ilvl w:val="0"/>
          <w:numId w:val="52"/>
        </w:numPr>
        <w:shd w:val="clear" w:color="auto" w:fill="FFFFFF"/>
        <w:spacing w:before="0" w:beforeAutospacing="0" w:after="0" w:afterAutospacing="0" w:line="480" w:lineRule="atLeast"/>
        <w:jc w:val="both"/>
        <w:rPr>
          <w:b/>
          <w:bCs/>
          <w:i/>
          <w:iCs/>
        </w:rPr>
      </w:pPr>
      <w:bookmarkStart w:id="4" w:name="_Hlk530473305"/>
      <w:r w:rsidRPr="006D0E33">
        <w:rPr>
          <w:b/>
          <w:bCs/>
          <w:i/>
          <w:iCs/>
        </w:rPr>
        <w:t>Conditions</w:t>
      </w:r>
      <w:r w:rsidR="004C4D72" w:rsidRPr="006D0E33">
        <w:rPr>
          <w:b/>
          <w:bCs/>
          <w:i/>
          <w:iCs/>
        </w:rPr>
        <w:t xml:space="preserve"> and mechanisms</w:t>
      </w:r>
      <w:r w:rsidRPr="006D0E33">
        <w:rPr>
          <w:b/>
          <w:bCs/>
          <w:i/>
          <w:iCs/>
        </w:rPr>
        <w:t xml:space="preserve"> for change</w:t>
      </w:r>
    </w:p>
    <w:p w14:paraId="0CD4E53F" w14:textId="77777777" w:rsidR="00D9436C" w:rsidRPr="006D0E33" w:rsidRDefault="00D9436C" w:rsidP="00D9436C">
      <w:pPr>
        <w:pStyle w:val="m1579887606026175441gmail-newparagraph"/>
        <w:shd w:val="clear" w:color="auto" w:fill="FFFFFF"/>
        <w:spacing w:before="0" w:beforeAutospacing="0" w:after="0" w:afterAutospacing="0" w:line="480" w:lineRule="atLeast"/>
        <w:ind w:left="720"/>
        <w:jc w:val="both"/>
        <w:rPr>
          <w:b/>
          <w:bCs/>
          <w:i/>
          <w:iCs/>
        </w:rPr>
      </w:pPr>
    </w:p>
    <w:p w14:paraId="2E29D9B5" w14:textId="1857C266" w:rsidR="00BE2D2C" w:rsidRPr="006D0E33" w:rsidRDefault="00BE2D2C" w:rsidP="0075518A">
      <w:pPr>
        <w:pStyle w:val="Newparagraph"/>
        <w:ind w:firstLine="0"/>
        <w:jc w:val="both"/>
      </w:pPr>
      <w:r w:rsidRPr="006D0E33">
        <w:t>To be able to generate positive outcomes when rolling out an innovative programme such as the HCM it is important to unearth the underlying characteristics that facilitated change. Data analysis identified activities that produce</w:t>
      </w:r>
      <w:r w:rsidR="002E40E8" w:rsidRPr="006D0E33">
        <w:t>d</w:t>
      </w:r>
      <w:r w:rsidRPr="006D0E33">
        <w:t xml:space="preserve"> change and</w:t>
      </w:r>
      <w:r w:rsidR="005170E0" w:rsidRPr="006D0E33">
        <w:t xml:space="preserve"> the</w:t>
      </w:r>
      <w:r w:rsidRPr="006D0E33">
        <w:t xml:space="preserve"> ‘social-cultural resources … necessary to sustain the change’ </w:t>
      </w:r>
      <w:r w:rsidRPr="006D0E33">
        <w:rPr>
          <w:noProof/>
        </w:rPr>
        <w:t>(Pawson and Tilley, 1997, 85)</w:t>
      </w:r>
      <w:r w:rsidRPr="006D0E33">
        <w:t xml:space="preserve">. </w:t>
      </w:r>
      <w:r w:rsidR="004C4D72" w:rsidRPr="006D0E33">
        <w:t>The</w:t>
      </w:r>
      <w:r w:rsidRPr="006D0E33">
        <w:t xml:space="preserve"> </w:t>
      </w:r>
      <w:r w:rsidRPr="006D0E33">
        <w:lastRenderedPageBreak/>
        <w:t>particular form of partnership</w:t>
      </w:r>
      <w:r w:rsidR="002E40E8" w:rsidRPr="006D0E33">
        <w:t xml:space="preserve"> framed by the HCM</w:t>
      </w:r>
      <w:r w:rsidR="005170E0" w:rsidRPr="006D0E33">
        <w:t xml:space="preserve"> surfaced as being </w:t>
      </w:r>
      <w:r w:rsidRPr="006D0E33">
        <w:t xml:space="preserve">central to the </w:t>
      </w:r>
      <w:r w:rsidR="002E40E8" w:rsidRPr="006D0E33">
        <w:t>development of more ambitious science teaching</w:t>
      </w:r>
      <w:r w:rsidRPr="006D0E33">
        <w:t xml:space="preserve">. </w:t>
      </w:r>
      <w:r w:rsidR="004C4D72" w:rsidRPr="006D0E33">
        <w:t>Fostering</w:t>
      </w:r>
      <w:r w:rsidR="002E40E8" w:rsidRPr="006D0E33">
        <w:t xml:space="preserve"> </w:t>
      </w:r>
      <w:r w:rsidRPr="006D0E33">
        <w:t>mutual respect</w:t>
      </w:r>
      <w:r w:rsidR="002E40E8" w:rsidRPr="006D0E33">
        <w:t xml:space="preserve"> through the valuing of different knowl</w:t>
      </w:r>
      <w:r w:rsidR="00B14A96" w:rsidRPr="006D0E33">
        <w:t>e</w:t>
      </w:r>
      <w:r w:rsidR="002E40E8" w:rsidRPr="006D0E33">
        <w:t>dges</w:t>
      </w:r>
      <w:r w:rsidR="005170E0" w:rsidRPr="006D0E33">
        <w:t>,</w:t>
      </w:r>
      <w:r w:rsidR="002E40E8" w:rsidRPr="006D0E33">
        <w:t xml:space="preserve"> </w:t>
      </w:r>
      <w:r w:rsidR="004C4D72" w:rsidRPr="006D0E33">
        <w:t>the</w:t>
      </w:r>
      <w:r w:rsidR="002E40E8" w:rsidRPr="006D0E33">
        <w:t xml:space="preserve"> co-construction</w:t>
      </w:r>
      <w:r w:rsidR="004C4D72" w:rsidRPr="006D0E33">
        <w:t xml:space="preserve"> of</w:t>
      </w:r>
      <w:r w:rsidR="002E40E8" w:rsidRPr="006D0E33">
        <w:t xml:space="preserve"> new ways</w:t>
      </w:r>
      <w:r w:rsidR="005170E0" w:rsidRPr="006D0E33">
        <w:t xml:space="preserve"> of </w:t>
      </w:r>
      <w:r w:rsidR="0075518A" w:rsidRPr="006D0E33">
        <w:t>understanding, thinking</w:t>
      </w:r>
      <w:r w:rsidR="002E40E8" w:rsidRPr="006D0E33">
        <w:t xml:space="preserve"> and acting </w:t>
      </w:r>
      <w:r w:rsidR="005170E0" w:rsidRPr="006D0E33">
        <w:t>became</w:t>
      </w:r>
      <w:r w:rsidR="002E40E8" w:rsidRPr="006D0E33">
        <w:t xml:space="preserve"> the </w:t>
      </w:r>
      <w:r w:rsidR="004C4D72" w:rsidRPr="006D0E33">
        <w:t>foundation</w:t>
      </w:r>
      <w:r w:rsidRPr="006D0E33">
        <w:t xml:space="preserve"> for building</w:t>
      </w:r>
      <w:r w:rsidR="002E40E8" w:rsidRPr="006D0E33">
        <w:t xml:space="preserve"> confidence and shaping </w:t>
      </w:r>
      <w:r w:rsidRPr="006D0E33">
        <w:t xml:space="preserve">ambitious science teaching. </w:t>
      </w:r>
    </w:p>
    <w:p w14:paraId="6FE0CF38" w14:textId="4F3F915A" w:rsidR="00BE2D2C" w:rsidRPr="006D0E33" w:rsidRDefault="00BE2D2C" w:rsidP="0075518A">
      <w:pPr>
        <w:pStyle w:val="Heading3"/>
        <w:spacing w:before="0" w:after="0"/>
        <w:ind w:firstLine="720"/>
        <w:jc w:val="both"/>
        <w:rPr>
          <w:szCs w:val="24"/>
        </w:rPr>
      </w:pPr>
      <w:r w:rsidRPr="006D0E33">
        <w:rPr>
          <w:szCs w:val="24"/>
        </w:rPr>
        <w:t xml:space="preserve">Mutually respectful partnerships </w:t>
      </w:r>
    </w:p>
    <w:p w14:paraId="3D653CCC" w14:textId="56C12262" w:rsidR="00A152C3" w:rsidRPr="006D0E33" w:rsidRDefault="00BE2D2C" w:rsidP="008C3E6B">
      <w:pPr>
        <w:pStyle w:val="Newparagraph"/>
        <w:ind w:firstLine="0"/>
        <w:jc w:val="both"/>
      </w:pPr>
      <w:r w:rsidRPr="006D0E33">
        <w:t xml:space="preserve">The outcome of the </w:t>
      </w:r>
      <w:r w:rsidR="004C4D72" w:rsidRPr="006D0E33">
        <w:t xml:space="preserve">previous </w:t>
      </w:r>
      <w:r w:rsidRPr="006D0E33">
        <w:t>Ofsted inspection for this school had been ‘Requires Improvement’.</w:t>
      </w:r>
      <w:r w:rsidRPr="006D0E33">
        <w:rPr>
          <w:bCs/>
        </w:rPr>
        <w:t xml:space="preserve"> </w:t>
      </w:r>
      <w:r w:rsidRPr="006D0E33">
        <w:t xml:space="preserve">The impact on staff of such a public judgement </w:t>
      </w:r>
      <w:r w:rsidR="004C4D72" w:rsidRPr="006D0E33">
        <w:t>affected individual</w:t>
      </w:r>
      <w:r w:rsidRPr="006D0E33">
        <w:t xml:space="preserve"> and collective professional esteem. </w:t>
      </w:r>
      <w:r w:rsidR="004C4D72" w:rsidRPr="006D0E33">
        <w:t xml:space="preserve">The headteacher was keen that work undertaken through the HCM should </w:t>
      </w:r>
      <w:r w:rsidR="00912365" w:rsidRPr="006D0E33">
        <w:t xml:space="preserve">be a collaboration that </w:t>
      </w:r>
      <w:r w:rsidR="004C4D72" w:rsidRPr="006D0E33">
        <w:t>buil</w:t>
      </w:r>
      <w:r w:rsidR="00912365" w:rsidRPr="006D0E33">
        <w:t xml:space="preserve">t on both university and </w:t>
      </w:r>
      <w:r w:rsidR="004C4D72" w:rsidRPr="006D0E33">
        <w:t>school-based knowledge</w:t>
      </w:r>
      <w:r w:rsidR="00912365" w:rsidRPr="006D0E33">
        <w:t xml:space="preserve">. </w:t>
      </w:r>
      <w:r w:rsidR="004C4D72" w:rsidRPr="006D0E33">
        <w:t xml:space="preserve"> </w:t>
      </w:r>
      <w:r w:rsidR="00912365" w:rsidRPr="006D0E33">
        <w:t xml:space="preserve">This held the potential to </w:t>
      </w:r>
      <w:r w:rsidR="004C4D72" w:rsidRPr="006D0E33">
        <w:t xml:space="preserve">raise the confidence of school-based staff. </w:t>
      </w:r>
      <w:r w:rsidR="00582B42" w:rsidRPr="006D0E33">
        <w:t>‘</w:t>
      </w:r>
      <w:r w:rsidR="00912365" w:rsidRPr="006D0E33">
        <w:rPr>
          <w:lang w:val="en-US"/>
        </w:rPr>
        <w:t xml:space="preserve">You don't want somebody to just walk in and say ‘“we're going to do it like this”, it's got to be shared’ (Headteacher).  </w:t>
      </w:r>
      <w:r w:rsidRPr="006D0E33">
        <w:t>T</w:t>
      </w:r>
      <w:r w:rsidR="00912365" w:rsidRPr="006D0E33">
        <w:t>he data showed</w:t>
      </w:r>
      <w:r w:rsidR="00F6754E" w:rsidRPr="006D0E33">
        <w:t xml:space="preserve"> how working in partnership rather than coming in to do something ‘to’ the school was important and powerful and that the</w:t>
      </w:r>
      <w:r w:rsidRPr="006D0E33">
        <w:t xml:space="preserve"> recognition of existing expertise and experience within the school by the university was fundamental to building a strong working relationship</w:t>
      </w:r>
      <w:r w:rsidR="005170E0" w:rsidRPr="006D0E33">
        <w:t>s and self-belief</w:t>
      </w:r>
      <w:r w:rsidRPr="006D0E33">
        <w:t>.</w:t>
      </w:r>
      <w:r w:rsidR="0058664F" w:rsidRPr="006D0E33">
        <w:t xml:space="preserve"> </w:t>
      </w:r>
      <w:r w:rsidR="00582B42" w:rsidRPr="006D0E33">
        <w:t xml:space="preserve">Ensuring the school </w:t>
      </w:r>
      <w:r w:rsidR="005170E0" w:rsidRPr="006D0E33">
        <w:t xml:space="preserve">recognised the importance of what </w:t>
      </w:r>
      <w:r w:rsidR="00582B42" w:rsidRPr="006D0E33">
        <w:t xml:space="preserve">they </w:t>
      </w:r>
      <w:r w:rsidR="005170E0" w:rsidRPr="006D0E33">
        <w:t>had</w:t>
      </w:r>
      <w:r w:rsidR="00582B42" w:rsidRPr="006D0E33">
        <w:t xml:space="preserve"> to contribute</w:t>
      </w:r>
      <w:r w:rsidR="005170E0" w:rsidRPr="006D0E33">
        <w:t>,</w:t>
      </w:r>
      <w:r w:rsidR="00582B42" w:rsidRPr="006D0E33">
        <w:t xml:space="preserve"> and</w:t>
      </w:r>
      <w:r w:rsidR="005170E0" w:rsidRPr="006D0E33">
        <w:t xml:space="preserve"> that it was valued,</w:t>
      </w:r>
      <w:r w:rsidR="00582B42" w:rsidRPr="006D0E33">
        <w:t xml:space="preserve"> positioned </w:t>
      </w:r>
      <w:r w:rsidR="005170E0" w:rsidRPr="006D0E33">
        <w:t xml:space="preserve">HCM approach </w:t>
      </w:r>
      <w:r w:rsidR="00582B42" w:rsidRPr="006D0E33">
        <w:t xml:space="preserve">in a different way </w:t>
      </w:r>
      <w:r w:rsidR="005170E0" w:rsidRPr="006D0E33">
        <w:t>from</w:t>
      </w:r>
      <w:r w:rsidR="00582B42" w:rsidRPr="006D0E33">
        <w:t xml:space="preserve"> m</w:t>
      </w:r>
      <w:r w:rsidR="00B14A96" w:rsidRPr="006D0E33">
        <w:t>uch of the directed support the school</w:t>
      </w:r>
      <w:r w:rsidR="00582B42" w:rsidRPr="006D0E33">
        <w:t xml:space="preserve"> </w:t>
      </w:r>
      <w:r w:rsidR="001B0679" w:rsidRPr="006D0E33">
        <w:t>received</w:t>
      </w:r>
      <w:r w:rsidR="00B14A96" w:rsidRPr="006D0E33">
        <w:t xml:space="preserve"> via the Local A</w:t>
      </w:r>
      <w:r w:rsidR="00582B42" w:rsidRPr="006D0E33">
        <w:t xml:space="preserve">uthority. </w:t>
      </w:r>
      <w:r w:rsidR="001B0679" w:rsidRPr="006D0E33">
        <w:t>The</w:t>
      </w:r>
      <w:r w:rsidR="00582B42" w:rsidRPr="006D0E33">
        <w:t xml:space="preserve"> headteacher </w:t>
      </w:r>
      <w:r w:rsidR="001B0679" w:rsidRPr="006D0E33">
        <w:t xml:space="preserve">commented on the impact of the mutuality </w:t>
      </w:r>
      <w:r w:rsidR="00C87A5F" w:rsidRPr="006D0E33">
        <w:t>of the relationship</w:t>
      </w:r>
      <w:r w:rsidR="00582B42" w:rsidRPr="006D0E33">
        <w:t xml:space="preserve"> with the university </w:t>
      </w:r>
      <w:r w:rsidR="001B0679" w:rsidRPr="006D0E33">
        <w:t>on learning opportunities</w:t>
      </w:r>
      <w:r w:rsidR="00C87A5F" w:rsidRPr="006D0E33">
        <w:t>.</w:t>
      </w:r>
    </w:p>
    <w:p w14:paraId="31260E93" w14:textId="322493AD" w:rsidR="00F6754E" w:rsidRPr="006D0E33" w:rsidRDefault="0058664F" w:rsidP="0075518A">
      <w:pPr>
        <w:ind w:left="720"/>
        <w:jc w:val="both"/>
      </w:pPr>
      <w:r w:rsidRPr="006D0E33">
        <w:t>it's about that equity and that sharing, and the view that we are on a par and can both support and help each other; and that would be important because there's nothing worse than an institution which is like, 'we're going to do things like this, and now you're going to do things like that, and we're more important than you</w:t>
      </w:r>
      <w:r w:rsidR="00582B42" w:rsidRPr="006D0E33">
        <w:t xml:space="preserve"> (Headteacher)</w:t>
      </w:r>
    </w:p>
    <w:p w14:paraId="1E7A918E" w14:textId="4C40AFBC" w:rsidR="00BE2D2C" w:rsidRPr="006D0E33" w:rsidRDefault="00BE2D2C" w:rsidP="00DD52B6">
      <w:pPr>
        <w:pStyle w:val="Newparagraph"/>
        <w:ind w:firstLine="0"/>
        <w:jc w:val="both"/>
      </w:pPr>
      <w:r w:rsidRPr="006D0E33">
        <w:lastRenderedPageBreak/>
        <w:t xml:space="preserve">Mutual respect for what could be brought to the practice of science teaching provided a wider array of resources and pedagogical approaches to learn from. </w:t>
      </w:r>
      <w:r w:rsidR="00F6754E" w:rsidRPr="006D0E33">
        <w:t>The</w:t>
      </w:r>
      <w:r w:rsidRPr="006D0E33">
        <w:t xml:space="preserve"> safe </w:t>
      </w:r>
      <w:proofErr w:type="gramStart"/>
      <w:r w:rsidRPr="006D0E33">
        <w:t xml:space="preserve">spaces  </w:t>
      </w:r>
      <w:r w:rsidR="00F6754E" w:rsidRPr="006D0E33">
        <w:t>for</w:t>
      </w:r>
      <w:proofErr w:type="gramEnd"/>
      <w:r w:rsidR="00F6754E" w:rsidRPr="006D0E33">
        <w:t xml:space="preserve"> collaborative critical</w:t>
      </w:r>
      <w:r w:rsidRPr="006D0E33">
        <w:t xml:space="preserve"> reflect</w:t>
      </w:r>
      <w:r w:rsidR="00F6754E" w:rsidRPr="006D0E33">
        <w:t>ion</w:t>
      </w:r>
      <w:r w:rsidRPr="006D0E33">
        <w:t xml:space="preserve"> harness</w:t>
      </w:r>
      <w:r w:rsidR="00F6754E" w:rsidRPr="006D0E33">
        <w:t>ed</w:t>
      </w:r>
      <w:r w:rsidRPr="006D0E33">
        <w:t xml:space="preserve"> the</w:t>
      </w:r>
      <w:r w:rsidR="00875A27" w:rsidRPr="006D0E33">
        <w:t xml:space="preserve"> collective</w:t>
      </w:r>
      <w:r w:rsidRPr="006D0E33">
        <w:t xml:space="preserve"> power of</w:t>
      </w:r>
      <w:r w:rsidR="00F6754E" w:rsidRPr="006D0E33">
        <w:t xml:space="preserve"> those involved to shape strong</w:t>
      </w:r>
      <w:r w:rsidRPr="006D0E33">
        <w:t xml:space="preserve"> professional learning communities</w:t>
      </w:r>
      <w:r w:rsidR="00F6754E" w:rsidRPr="006D0E33">
        <w:t xml:space="preserve"> for ambitious teaching</w:t>
      </w:r>
      <w:r w:rsidRPr="006D0E33">
        <w:t xml:space="preserve">. Following the HCM project the school’s Ofsted Inspection report specifically commented on the partnership between the school and university as an influential and positive approach for developing ambitious teaching in science. </w:t>
      </w:r>
    </w:p>
    <w:p w14:paraId="5F2EB1F3" w14:textId="77777777" w:rsidR="00BE2D2C" w:rsidRPr="006D0E33" w:rsidRDefault="00BE2D2C" w:rsidP="00DD52B6">
      <w:pPr>
        <w:pStyle w:val="Displayedquotation"/>
        <w:jc w:val="both"/>
        <w:rPr>
          <w:sz w:val="24"/>
        </w:rPr>
      </w:pPr>
      <w:r w:rsidRPr="006D0E33">
        <w:rPr>
          <w:sz w:val="24"/>
        </w:rPr>
        <w:t xml:space="preserve">The school’s partnership with Hope University has been influential in increasing expectations and the level of challenge in lessons. For example, during the inspection, </w:t>
      </w:r>
      <w:proofErr w:type="gramStart"/>
      <w:r w:rsidRPr="006D0E33">
        <w:rPr>
          <w:sz w:val="24"/>
        </w:rPr>
        <w:t>trainees</w:t>
      </w:r>
      <w:proofErr w:type="gramEnd"/>
      <w:r w:rsidRPr="006D0E33">
        <w:rPr>
          <w:sz w:val="24"/>
        </w:rPr>
        <w:t xml:space="preserve"> teachers and class teachers were observed teaching pupils about electricity and simple circuits. Pupils were utterly captivated and eagerly set about applying this knowledge. (School Ofsted Inspection Report, 2015)</w:t>
      </w:r>
    </w:p>
    <w:p w14:paraId="13C8EB02" w14:textId="4042212D" w:rsidR="00BE2D2C" w:rsidRPr="006D0E33" w:rsidRDefault="00BE2D2C" w:rsidP="0075518A">
      <w:pPr>
        <w:pStyle w:val="Heading3"/>
        <w:ind w:firstLine="709"/>
        <w:jc w:val="both"/>
        <w:rPr>
          <w:szCs w:val="24"/>
        </w:rPr>
      </w:pPr>
      <w:r w:rsidRPr="006D0E33">
        <w:rPr>
          <w:szCs w:val="24"/>
        </w:rPr>
        <w:t xml:space="preserve">Modelling: </w:t>
      </w:r>
    </w:p>
    <w:p w14:paraId="5E93CB77" w14:textId="4F4E34AA" w:rsidR="00BE2D2C" w:rsidRPr="006D0E33" w:rsidRDefault="00BE2D2C" w:rsidP="008C3E6B">
      <w:pPr>
        <w:pStyle w:val="Newparagraph"/>
        <w:ind w:firstLine="0"/>
        <w:jc w:val="both"/>
      </w:pPr>
      <w:r w:rsidRPr="006D0E33">
        <w:t>Central to the HCM was the modelling of practice</w:t>
      </w:r>
      <w:r w:rsidR="001B0679" w:rsidRPr="006D0E33">
        <w:t xml:space="preserve"> and that, whilst initiated by the TE, it was also undertaken by school-based staff</w:t>
      </w:r>
      <w:r w:rsidRPr="006D0E33">
        <w:t xml:space="preserve">. Trainees were keen to learn how to apply knowledge modelled </w:t>
      </w:r>
      <w:r w:rsidR="001B0679" w:rsidRPr="006D0E33">
        <w:t>both</w:t>
      </w:r>
      <w:r w:rsidRPr="006D0E33">
        <w:t xml:space="preserve">. Being in the school gave </w:t>
      </w:r>
      <w:r w:rsidR="001B0679" w:rsidRPr="006D0E33">
        <w:t xml:space="preserve">trainees </w:t>
      </w:r>
      <w:r w:rsidRPr="006D0E33">
        <w:t xml:space="preserve">a genuine respect for the knowledge and strategies staff demonstrated, particularly when working with pupils who displayed complex behaviours. This, in turn, had a positive impact on the staff who saw their knowledge valued and how it could make a difference to future teachers. </w:t>
      </w:r>
    </w:p>
    <w:p w14:paraId="66F18632" w14:textId="0647490F" w:rsidR="00BE2D2C" w:rsidRPr="006D0E33" w:rsidRDefault="00BE2D2C" w:rsidP="008C3E6B">
      <w:pPr>
        <w:pStyle w:val="Displayedquotation"/>
        <w:jc w:val="both"/>
        <w:rPr>
          <w:sz w:val="24"/>
        </w:rPr>
      </w:pPr>
      <w:r w:rsidRPr="006D0E33">
        <w:rPr>
          <w:sz w:val="24"/>
        </w:rPr>
        <w:t>When I’ve modelled, you know - getting down and modelling some teaching alongside students - and then you walk away and see the impact of that, it’s really powerful and it’s... a great opportunity, you know these young people are going to be teachers of the future, and you want to give your best to it. (Teacher A)</w:t>
      </w:r>
    </w:p>
    <w:p w14:paraId="3D51E2DE" w14:textId="1AF7E2E5" w:rsidR="00962334" w:rsidRPr="006D0E33" w:rsidRDefault="00962334" w:rsidP="008C3E6B">
      <w:pPr>
        <w:pStyle w:val="Newparagraph"/>
        <w:ind w:firstLine="0"/>
        <w:jc w:val="both"/>
      </w:pPr>
      <w:r w:rsidRPr="006D0E33">
        <w:lastRenderedPageBreak/>
        <w:t>The Local Authority school improvement officer who had been part of the initiating of HCM in this school, noted how modelling by the</w:t>
      </w:r>
      <w:r w:rsidR="00582B42" w:rsidRPr="006D0E33">
        <w:t xml:space="preserve"> </w:t>
      </w:r>
      <w:r w:rsidRPr="006D0E33">
        <w:t>TE acquainted trainees</w:t>
      </w:r>
      <w:r w:rsidR="001B0679" w:rsidRPr="006D0E33">
        <w:t xml:space="preserve"> and school-based teachers</w:t>
      </w:r>
      <w:r w:rsidRPr="006D0E33">
        <w:t xml:space="preserve"> with up to date practices for teaching science in a way that energised pupils. </w:t>
      </w:r>
    </w:p>
    <w:p w14:paraId="1DDE6E81" w14:textId="187F24A9" w:rsidR="00962334" w:rsidRPr="006D0E33" w:rsidRDefault="00962334" w:rsidP="0075518A">
      <w:pPr>
        <w:pStyle w:val="Displayedquotation"/>
        <w:spacing w:before="0" w:after="0"/>
        <w:jc w:val="both"/>
        <w:rPr>
          <w:sz w:val="24"/>
        </w:rPr>
      </w:pPr>
      <w:r w:rsidRPr="006D0E33">
        <w:rPr>
          <w:sz w:val="24"/>
        </w:rPr>
        <w:t xml:space="preserve">Modelling by the tutors has been really helpful… that expertise of the tutors to be able to work it – model it and do it –has been probably one of the biggest impacts for schools.  (Local Authority School Improvement Officer) </w:t>
      </w:r>
    </w:p>
    <w:p w14:paraId="7DEB09CF" w14:textId="77777777" w:rsidR="0075518A" w:rsidRPr="006D0E33" w:rsidRDefault="001B0679" w:rsidP="0075518A">
      <w:pPr>
        <w:pStyle w:val="Newparagraph"/>
        <w:ind w:firstLine="709"/>
        <w:jc w:val="both"/>
        <w:rPr>
          <w:i/>
          <w:iCs/>
        </w:rPr>
      </w:pPr>
      <w:r w:rsidRPr="006D0E33">
        <w:rPr>
          <w:i/>
          <w:iCs/>
        </w:rPr>
        <w:t>Discursive reflection</w:t>
      </w:r>
    </w:p>
    <w:p w14:paraId="749FECC8" w14:textId="02CFEE06" w:rsidR="002B389D" w:rsidRPr="006D0E33" w:rsidRDefault="00962334" w:rsidP="0075518A">
      <w:pPr>
        <w:pStyle w:val="Newparagraph"/>
        <w:ind w:firstLine="709"/>
        <w:jc w:val="both"/>
        <w:rPr>
          <w:i/>
          <w:iCs/>
        </w:rPr>
      </w:pPr>
      <w:r w:rsidRPr="006D0E33">
        <w:t>The c</w:t>
      </w:r>
      <w:r w:rsidR="002B389D" w:rsidRPr="006D0E33">
        <w:t>ollaborative and reflective</w:t>
      </w:r>
      <w:r w:rsidRPr="006D0E33">
        <w:t xml:space="preserve"> processes of the HCM were </w:t>
      </w:r>
      <w:r w:rsidR="002B389D" w:rsidRPr="006D0E33">
        <w:t xml:space="preserve">identified by trainees as significant </w:t>
      </w:r>
      <w:r w:rsidR="00953127" w:rsidRPr="006D0E33">
        <w:t>in</w:t>
      </w:r>
      <w:r w:rsidR="002B389D" w:rsidRPr="006D0E33">
        <w:t xml:space="preserve"> their learning experience. Sharing interactions and reflections with </w:t>
      </w:r>
      <w:r w:rsidR="00953127" w:rsidRPr="006D0E33">
        <w:t>their</w:t>
      </w:r>
      <w:r w:rsidR="002B389D" w:rsidRPr="006D0E33">
        <w:t xml:space="preserve"> peers and as well as the </w:t>
      </w:r>
      <w:r w:rsidR="00953127" w:rsidRPr="006D0E33">
        <w:t xml:space="preserve">school-based </w:t>
      </w:r>
      <w:r w:rsidR="002B389D" w:rsidRPr="006D0E33">
        <w:t>teachers created spaces for subject pedagogical development</w:t>
      </w:r>
      <w:r w:rsidR="00953127" w:rsidRPr="006D0E33">
        <w:t xml:space="preserve"> and wider learning</w:t>
      </w:r>
      <w:r w:rsidR="002B389D" w:rsidRPr="006D0E33">
        <w:t>.</w:t>
      </w:r>
    </w:p>
    <w:p w14:paraId="364BBD8D" w14:textId="77777777" w:rsidR="002B389D" w:rsidRPr="006D0E33" w:rsidRDefault="002B389D" w:rsidP="008C3E6B">
      <w:pPr>
        <w:pStyle w:val="Newparagraph"/>
        <w:ind w:left="720" w:firstLine="0"/>
        <w:jc w:val="both"/>
      </w:pPr>
      <w:r w:rsidRPr="006D0E33">
        <w:t>The model of working as part of a team with the university teacher-educators in school was a strength…[it] improved my subject knowledge and I learnt a lot through the collaborative preparation sessions. (Trainee A)</w:t>
      </w:r>
    </w:p>
    <w:p w14:paraId="0CD06533" w14:textId="03F605C8" w:rsidR="002D6900" w:rsidRPr="006D0E33" w:rsidRDefault="00BE2D2C" w:rsidP="008C3E6B">
      <w:pPr>
        <w:pStyle w:val="Newparagraph"/>
        <w:ind w:firstLine="0"/>
        <w:jc w:val="both"/>
      </w:pPr>
      <w:r w:rsidRPr="006D0E33">
        <w:t xml:space="preserve">The process of observing the trainees working with the pupils gave school-based staff the rare opportunity to </w:t>
      </w:r>
      <w:r w:rsidR="00962334" w:rsidRPr="006D0E33">
        <w:t xml:space="preserve">see </w:t>
      </w:r>
      <w:r w:rsidRPr="006D0E33">
        <w:t>how their pupils interacted with the trainees and</w:t>
      </w:r>
      <w:r w:rsidR="00962334" w:rsidRPr="006D0E33">
        <w:t xml:space="preserve"> the</w:t>
      </w:r>
      <w:r w:rsidRPr="006D0E33">
        <w:t xml:space="preserve"> new learning materials. It gave them space to watch, rather than do; to think rather than to react</w:t>
      </w:r>
      <w:r w:rsidR="00962334" w:rsidRPr="006D0E33">
        <w:t>; to develop their practice and be more ambitious</w:t>
      </w:r>
      <w:r w:rsidRPr="006D0E33">
        <w:t xml:space="preserve">. </w:t>
      </w:r>
      <w:r w:rsidR="00962334" w:rsidRPr="006D0E33">
        <w:t xml:space="preserve"> </w:t>
      </w:r>
      <w:r w:rsidR="002D6900" w:rsidRPr="006D0E33">
        <w:t>This was identified by school-based staff as vital for their own pedagogical practices and their expectations of pupil achievement.</w:t>
      </w:r>
    </w:p>
    <w:p w14:paraId="31C713B8" w14:textId="77777777" w:rsidR="002D6900" w:rsidRPr="006D0E33" w:rsidRDefault="002D6900" w:rsidP="008C3E6B">
      <w:pPr>
        <w:pStyle w:val="Displayedquotation"/>
        <w:jc w:val="both"/>
        <w:rPr>
          <w:sz w:val="24"/>
        </w:rPr>
      </w:pPr>
      <w:r w:rsidRPr="006D0E33">
        <w:rPr>
          <w:sz w:val="24"/>
        </w:rPr>
        <w:t>The resources and the imagination they [trainees] brought to it gave the teachers a new lease of life. Because I think schools get stale. I think if you’re churning it out as a teacher all the time, to think about actually what inspires children are the magical moments. (School teacher A)</w:t>
      </w:r>
    </w:p>
    <w:p w14:paraId="5AB61091" w14:textId="1AD6B364" w:rsidR="00BE2D2C" w:rsidRPr="006D0E33" w:rsidRDefault="002D6900" w:rsidP="008C3E6B">
      <w:pPr>
        <w:pStyle w:val="Newparagraph"/>
        <w:ind w:firstLine="0"/>
        <w:jc w:val="both"/>
      </w:pPr>
      <w:r w:rsidRPr="006D0E33">
        <w:t xml:space="preserve">The TE, observing the process, also identified spaces </w:t>
      </w:r>
      <w:r w:rsidR="00E20CBD" w:rsidRPr="006D0E33">
        <w:t>for</w:t>
      </w:r>
      <w:r w:rsidRPr="006D0E33">
        <w:t xml:space="preserve"> </w:t>
      </w:r>
      <w:r w:rsidR="008E78DC" w:rsidRPr="006D0E33">
        <w:t>reflection</w:t>
      </w:r>
      <w:r w:rsidRPr="006D0E33">
        <w:t xml:space="preserve"> as key to creating </w:t>
      </w:r>
      <w:r w:rsidR="00053121" w:rsidRPr="006D0E33">
        <w:t>ambitious</w:t>
      </w:r>
      <w:r w:rsidR="008E78DC" w:rsidRPr="006D0E33">
        <w:t xml:space="preserve"> teaching with</w:t>
      </w:r>
      <w:r w:rsidRPr="006D0E33">
        <w:t xml:space="preserve">in the school and the trainees.  </w:t>
      </w:r>
    </w:p>
    <w:p w14:paraId="15A673CE" w14:textId="28DE150A" w:rsidR="00BE2D2C" w:rsidRPr="006D0E33" w:rsidRDefault="00BE2D2C" w:rsidP="008C3E6B">
      <w:pPr>
        <w:pStyle w:val="Displayedquotation"/>
        <w:jc w:val="both"/>
        <w:rPr>
          <w:sz w:val="24"/>
        </w:rPr>
      </w:pPr>
      <w:r w:rsidRPr="006D0E33">
        <w:rPr>
          <w:sz w:val="24"/>
        </w:rPr>
        <w:lastRenderedPageBreak/>
        <w:t xml:space="preserve">I think that the biggest thing has been reflection. …enabling them </w:t>
      </w:r>
      <w:r w:rsidR="00E20CBD" w:rsidRPr="006D0E33">
        <w:rPr>
          <w:sz w:val="24"/>
        </w:rPr>
        <w:t>[</w:t>
      </w:r>
      <w:r w:rsidRPr="006D0E33">
        <w:rPr>
          <w:sz w:val="24"/>
        </w:rPr>
        <w:t>school-based staff</w:t>
      </w:r>
      <w:r w:rsidR="00E20CBD" w:rsidRPr="006D0E33">
        <w:rPr>
          <w:sz w:val="24"/>
        </w:rPr>
        <w:t>]</w:t>
      </w:r>
      <w:r w:rsidRPr="006D0E33">
        <w:rPr>
          <w:sz w:val="24"/>
        </w:rPr>
        <w:t xml:space="preserve"> to reflect on their class as the trainees are working</w:t>
      </w:r>
      <w:r w:rsidR="00962334" w:rsidRPr="006D0E33">
        <w:rPr>
          <w:sz w:val="24"/>
        </w:rPr>
        <w:t>…</w:t>
      </w:r>
      <w:r w:rsidRPr="006D0E33">
        <w:rPr>
          <w:sz w:val="24"/>
        </w:rPr>
        <w:t xml:space="preserve">. They’re able to look at the class and to see </w:t>
      </w:r>
      <w:r w:rsidR="00962334" w:rsidRPr="006D0E33">
        <w:rPr>
          <w:sz w:val="24"/>
        </w:rPr>
        <w:t>them</w:t>
      </w:r>
      <w:r w:rsidR="00D77052" w:rsidRPr="006D0E33">
        <w:rPr>
          <w:sz w:val="24"/>
        </w:rPr>
        <w:t>…</w:t>
      </w:r>
      <w:r w:rsidRPr="006D0E33">
        <w:rPr>
          <w:sz w:val="24"/>
        </w:rPr>
        <w:t>and they’re [school-based staff] feeding back</w:t>
      </w:r>
      <w:r w:rsidR="00D77052" w:rsidRPr="006D0E33">
        <w:rPr>
          <w:sz w:val="24"/>
        </w:rPr>
        <w:t xml:space="preserve"> [to trainees]</w:t>
      </w:r>
      <w:r w:rsidRPr="006D0E33">
        <w:rPr>
          <w:sz w:val="24"/>
        </w:rPr>
        <w:t xml:space="preserve"> about the children</w:t>
      </w:r>
      <w:r w:rsidR="00962334" w:rsidRPr="006D0E33">
        <w:rPr>
          <w:sz w:val="24"/>
        </w:rPr>
        <w:t>.</w:t>
      </w:r>
      <w:r w:rsidRPr="006D0E33">
        <w:rPr>
          <w:sz w:val="24"/>
        </w:rPr>
        <w:t xml:space="preserve"> </w:t>
      </w:r>
      <w:r w:rsidR="00962334" w:rsidRPr="006D0E33">
        <w:rPr>
          <w:sz w:val="24"/>
        </w:rPr>
        <w:t>A</w:t>
      </w:r>
      <w:r w:rsidRPr="006D0E33">
        <w:rPr>
          <w:sz w:val="24"/>
        </w:rPr>
        <w:t>nd their interpretation of the learning and the questioning has been quite powerful</w:t>
      </w:r>
      <w:r w:rsidR="00962334" w:rsidRPr="006D0E33">
        <w:rPr>
          <w:sz w:val="24"/>
        </w:rPr>
        <w:t>.</w:t>
      </w:r>
      <w:r w:rsidRPr="006D0E33">
        <w:rPr>
          <w:sz w:val="24"/>
        </w:rPr>
        <w:t xml:space="preserve"> (TE)</w:t>
      </w:r>
    </w:p>
    <w:p w14:paraId="51353409" w14:textId="77777777" w:rsidR="00E20CBD" w:rsidRPr="006D0E33" w:rsidRDefault="00E20CBD" w:rsidP="008C3E6B">
      <w:pPr>
        <w:pStyle w:val="Newparagraph"/>
        <w:jc w:val="both"/>
      </w:pPr>
      <w:r w:rsidRPr="006D0E33">
        <w:t xml:space="preserve">The combination of modelling and reflection at the heart of the HCM emerged as central to the success of the project, the change mechanism.  It </w:t>
      </w:r>
      <w:proofErr w:type="gramStart"/>
      <w:r w:rsidRPr="006D0E33">
        <w:t>extended  the</w:t>
      </w:r>
      <w:proofErr w:type="gramEnd"/>
      <w:r w:rsidRPr="006D0E33">
        <w:t xml:space="preserve"> reach of the HCM beyond the trainees to school-staff and their wider networks.   By creating </w:t>
      </w:r>
      <w:proofErr w:type="gramStart"/>
      <w:r w:rsidRPr="006D0E33">
        <w:t>spaces  for</w:t>
      </w:r>
      <w:proofErr w:type="gramEnd"/>
      <w:r w:rsidRPr="006D0E33">
        <w:t xml:space="preserve"> the surfacing of new ideas from the expertise of those involved, it created the potential for ripple effects that might have not been captured by research projects more strictly bounded and contained by specific, pre-determined research questions</w:t>
      </w:r>
      <w:r w:rsidRPr="006D0E33">
        <w:rPr>
          <w:bCs/>
        </w:rPr>
        <w:t xml:space="preserve">. </w:t>
      </w:r>
    </w:p>
    <w:p w14:paraId="77DB38A4" w14:textId="10B394C9" w:rsidR="00BE2D2C" w:rsidRPr="006D0E33" w:rsidRDefault="00BE2D2C" w:rsidP="008C3E6B">
      <w:pPr>
        <w:pStyle w:val="Newparagraph"/>
        <w:jc w:val="both"/>
      </w:pPr>
      <w:r w:rsidRPr="006D0E33">
        <w:t xml:space="preserve">Being invited to reflect together on </w:t>
      </w:r>
      <w:r w:rsidR="00E20CBD" w:rsidRPr="006D0E33">
        <w:t xml:space="preserve">TE </w:t>
      </w:r>
      <w:r w:rsidRPr="006D0E33">
        <w:t>modelling and trainees</w:t>
      </w:r>
      <w:r w:rsidR="00E20CBD" w:rsidRPr="006D0E33">
        <w:t>’</w:t>
      </w:r>
      <w:r w:rsidRPr="006D0E33">
        <w:t xml:space="preserve"> </w:t>
      </w:r>
      <w:r w:rsidR="009950A8" w:rsidRPr="006D0E33">
        <w:t xml:space="preserve">teaching </w:t>
      </w:r>
      <w:r w:rsidRPr="006D0E33">
        <w:t xml:space="preserve">approaches </w:t>
      </w:r>
      <w:r w:rsidR="00E20CBD" w:rsidRPr="006D0E33">
        <w:t>invigorated</w:t>
      </w:r>
      <w:r w:rsidRPr="006D0E33">
        <w:t xml:space="preserve"> school staff who, by the very nature of their work, sometimes felt isolated from access to the ways of other teachers. Rather than being passive recipients of knowledge, each person in the partnership was an active contributor to shaping curricular activities for science. This created spaces for authentic learning across all those who participated</w:t>
      </w:r>
      <w:r w:rsidR="00E20CBD" w:rsidRPr="006D0E33">
        <w:t>.</w:t>
      </w:r>
    </w:p>
    <w:p w14:paraId="7221BFE6" w14:textId="39ACB23C" w:rsidR="002D6900" w:rsidRPr="006D0E33" w:rsidRDefault="00BE2D2C" w:rsidP="0075518A">
      <w:pPr>
        <w:pStyle w:val="Newparagraph"/>
        <w:ind w:left="720" w:firstLine="0"/>
        <w:jc w:val="both"/>
      </w:pPr>
      <w:r w:rsidRPr="006D0E33">
        <w:t>The support of working as a team during the project has been incredibly beneficial as there has always been someone to discuss ideas and challenges with, in order to find a resolution. (Trainee D)</w:t>
      </w:r>
    </w:p>
    <w:p w14:paraId="486A7A32" w14:textId="29D52CBB" w:rsidR="00BE2D2C" w:rsidRPr="006D0E33" w:rsidRDefault="00BE2D2C" w:rsidP="00D9436C">
      <w:pPr>
        <w:pStyle w:val="Heading1"/>
        <w:jc w:val="both"/>
        <w:rPr>
          <w:szCs w:val="24"/>
        </w:rPr>
      </w:pPr>
      <w:r w:rsidRPr="006D0E33">
        <w:rPr>
          <w:szCs w:val="24"/>
        </w:rPr>
        <w:t xml:space="preserve">Discussion </w:t>
      </w:r>
    </w:p>
    <w:p w14:paraId="613E51B5" w14:textId="5D98757D" w:rsidR="005D1712" w:rsidRPr="006D0E33" w:rsidRDefault="005D1712" w:rsidP="00DD52B6">
      <w:pPr>
        <w:jc w:val="both"/>
      </w:pPr>
      <w:r w:rsidRPr="006D0E33">
        <w:t xml:space="preserve">The thick description offered of this </w:t>
      </w:r>
      <w:r w:rsidR="007E246A" w:rsidRPr="006D0E33">
        <w:t xml:space="preserve">case study </w:t>
      </w:r>
      <w:r w:rsidR="00D659E1" w:rsidRPr="006D0E33">
        <w:t>revealed</w:t>
      </w:r>
      <w:r w:rsidR="007E246A" w:rsidRPr="006D0E33">
        <w:t xml:space="preserve"> how</w:t>
      </w:r>
      <w:r w:rsidR="00805122" w:rsidRPr="006D0E33">
        <w:t xml:space="preserve"> the HCM </w:t>
      </w:r>
      <w:r w:rsidR="007E246A" w:rsidRPr="006D0E33">
        <w:t xml:space="preserve">can </w:t>
      </w:r>
      <w:r w:rsidR="00805122" w:rsidRPr="006D0E33">
        <w:t>support</w:t>
      </w:r>
      <w:r w:rsidR="002D6900" w:rsidRPr="006D0E33">
        <w:t xml:space="preserve"> trainee</w:t>
      </w:r>
      <w:r w:rsidRPr="006D0E33">
        <w:t>s</w:t>
      </w:r>
      <w:r w:rsidR="007E246A" w:rsidRPr="006D0E33">
        <w:t xml:space="preserve"> </w:t>
      </w:r>
      <w:r w:rsidR="002D6900" w:rsidRPr="006D0E33">
        <w:t>to develop their confidence to teach science</w:t>
      </w:r>
      <w:r w:rsidR="007E246A" w:rsidRPr="006D0E33">
        <w:t>,</w:t>
      </w:r>
      <w:r w:rsidR="002D6900" w:rsidRPr="006D0E33">
        <w:t xml:space="preserve"> and to do this in a school identified as being in challenging circumstances. </w:t>
      </w:r>
      <w:r w:rsidR="00805122" w:rsidRPr="006D0E33">
        <w:t xml:space="preserve">These positive shifts were </w:t>
      </w:r>
      <w:r w:rsidR="007E246A" w:rsidRPr="006D0E33">
        <w:t>seen in</w:t>
      </w:r>
      <w:r w:rsidR="00805122" w:rsidRPr="006D0E33">
        <w:t xml:space="preserve"> t</w:t>
      </w:r>
      <w:r w:rsidR="00D009FB" w:rsidRPr="006D0E33">
        <w:t>rainees who had not had</w:t>
      </w:r>
      <w:r w:rsidRPr="006D0E33">
        <w:t>, and were unlikely to have,</w:t>
      </w:r>
      <w:r w:rsidR="00D009FB" w:rsidRPr="006D0E33">
        <w:t xml:space="preserve"> an opportunity in their school placements to teach </w:t>
      </w:r>
      <w:r w:rsidR="00D009FB" w:rsidRPr="006D0E33">
        <w:lastRenderedPageBreak/>
        <w:t>science</w:t>
      </w:r>
      <w:r w:rsidR="007E246A" w:rsidRPr="006D0E33">
        <w:t xml:space="preserve"> or to work in schools where </w:t>
      </w:r>
      <w:r w:rsidR="00F47585" w:rsidRPr="006D0E33">
        <w:t>pupils live in complex socio-economic circumstances.</w:t>
      </w:r>
      <w:r w:rsidR="00805122" w:rsidRPr="006D0E33">
        <w:t xml:space="preserve"> </w:t>
      </w:r>
      <w:r w:rsidRPr="006D0E33">
        <w:t>Recognising</w:t>
      </w:r>
      <w:r w:rsidR="00F47585" w:rsidRPr="006D0E33">
        <w:t xml:space="preserve"> that there was</w:t>
      </w:r>
      <w:r w:rsidR="00805122" w:rsidRPr="006D0E33">
        <w:t xml:space="preserve"> both a </w:t>
      </w:r>
      <w:r w:rsidR="00B35BA8" w:rsidRPr="006D0E33">
        <w:t>reluctance</w:t>
      </w:r>
      <w:r w:rsidR="00805122" w:rsidRPr="006D0E33">
        <w:t xml:space="preserve"> on behalf of the university to ‘risk’ trainees losing their confidence by not being able to cope in such schools, and schools that ‘require improvement’ feeling unable to cope with what they see as the additional burden of hosting trainees</w:t>
      </w:r>
      <w:r w:rsidRPr="006D0E33">
        <w:t>,</w:t>
      </w:r>
      <w:r w:rsidR="00805122" w:rsidRPr="006D0E33">
        <w:t xml:space="preserve"> </w:t>
      </w:r>
      <w:r w:rsidRPr="006D0E33">
        <w:t>t</w:t>
      </w:r>
      <w:r w:rsidR="00B35BA8" w:rsidRPr="006D0E33">
        <w:t>he HC</w:t>
      </w:r>
      <w:r w:rsidR="00F47585" w:rsidRPr="006D0E33">
        <w:t>M</w:t>
      </w:r>
      <w:r w:rsidR="00B35BA8" w:rsidRPr="006D0E33">
        <w:t xml:space="preserve"> approach</w:t>
      </w:r>
      <w:r w:rsidRPr="006D0E33">
        <w:t xml:space="preserve"> was designed to</w:t>
      </w:r>
      <w:r w:rsidR="00B35BA8" w:rsidRPr="006D0E33">
        <w:t xml:space="preserve"> bridge that gap</w:t>
      </w:r>
      <w:r w:rsidRPr="006D0E33">
        <w:t>.</w:t>
      </w:r>
      <w:r w:rsidR="00F47585" w:rsidRPr="006D0E33">
        <w:t xml:space="preserve"> </w:t>
      </w:r>
      <w:r w:rsidRPr="006D0E33">
        <w:t>P</w:t>
      </w:r>
      <w:r w:rsidR="00F47585" w:rsidRPr="006D0E33">
        <w:t>roviding unassessed placements directly supported by the presence of the TE in school</w:t>
      </w:r>
      <w:r w:rsidRPr="006D0E33">
        <w:t xml:space="preserve"> gave both trainees and school the confidence to engage</w:t>
      </w:r>
      <w:r w:rsidR="00F47585" w:rsidRPr="006D0E33">
        <w:t xml:space="preserve">. </w:t>
      </w:r>
    </w:p>
    <w:p w14:paraId="40F2F88A" w14:textId="7F276BF4" w:rsidR="00BF3ABA" w:rsidRPr="006D0E33" w:rsidRDefault="00504C46" w:rsidP="008C3E6B">
      <w:pPr>
        <w:ind w:firstLine="720"/>
        <w:jc w:val="both"/>
      </w:pPr>
      <w:r w:rsidRPr="006D0E33">
        <w:t>T</w:t>
      </w:r>
      <w:r w:rsidR="00B35BA8" w:rsidRPr="006D0E33">
        <w:t>his action research project demonstrated</w:t>
      </w:r>
      <w:r w:rsidR="005D1712" w:rsidRPr="006D0E33">
        <w:t xml:space="preserve"> </w:t>
      </w:r>
      <w:r w:rsidR="00B35BA8" w:rsidRPr="006D0E33">
        <w:t xml:space="preserve">that it </w:t>
      </w:r>
      <w:r w:rsidR="00D659E1" w:rsidRPr="006D0E33">
        <w:t>was</w:t>
      </w:r>
      <w:r w:rsidR="005D1712" w:rsidRPr="006D0E33">
        <w:t>, however,</w:t>
      </w:r>
      <w:r w:rsidR="00B35BA8" w:rsidRPr="006D0E33">
        <w:t xml:space="preserve"> more than just being in</w:t>
      </w:r>
      <w:r w:rsidR="0073485E" w:rsidRPr="006D0E33">
        <w:t xml:space="preserve"> the</w:t>
      </w:r>
      <w:r w:rsidR="00B35BA8" w:rsidRPr="006D0E33">
        <w:t xml:space="preserve"> school that enable</w:t>
      </w:r>
      <w:r w:rsidR="00D659E1" w:rsidRPr="006D0E33">
        <w:t xml:space="preserve">d </w:t>
      </w:r>
      <w:r w:rsidR="00B35BA8" w:rsidRPr="006D0E33">
        <w:t xml:space="preserve">trainees to flourish. </w:t>
      </w:r>
      <w:r w:rsidR="0073485E" w:rsidRPr="006D0E33">
        <w:t>Modelling</w:t>
      </w:r>
      <w:r w:rsidR="005D1712" w:rsidRPr="006D0E33">
        <w:t xml:space="preserve"> </w:t>
      </w:r>
      <w:r w:rsidR="00B35BA8" w:rsidRPr="006D0E33">
        <w:t xml:space="preserve">by both the TE and the school-based teachers </w:t>
      </w:r>
      <w:r w:rsidR="0073485E" w:rsidRPr="006D0E33">
        <w:t xml:space="preserve">played </w:t>
      </w:r>
      <w:r w:rsidR="005D1712" w:rsidRPr="006D0E33">
        <w:t xml:space="preserve">a powerful role and </w:t>
      </w:r>
      <w:r w:rsidR="0073485E" w:rsidRPr="006D0E33">
        <w:t xml:space="preserve">was </w:t>
      </w:r>
      <w:r w:rsidRPr="006D0E33">
        <w:t xml:space="preserve">a </w:t>
      </w:r>
      <w:r w:rsidR="00D659E1" w:rsidRPr="006D0E33">
        <w:t>vital</w:t>
      </w:r>
      <w:r w:rsidRPr="006D0E33">
        <w:t xml:space="preserve"> element</w:t>
      </w:r>
      <w:r w:rsidR="00D659E1" w:rsidRPr="006D0E33">
        <w:t xml:space="preserve"> enabl</w:t>
      </w:r>
      <w:r w:rsidR="005D1712" w:rsidRPr="006D0E33">
        <w:t>ing</w:t>
      </w:r>
      <w:r w:rsidR="00D659E1" w:rsidRPr="006D0E33">
        <w:t xml:space="preserve"> </w:t>
      </w:r>
      <w:r w:rsidR="0073485E" w:rsidRPr="006D0E33">
        <w:t>learning</w:t>
      </w:r>
      <w:r w:rsidR="00D659E1" w:rsidRPr="006D0E33">
        <w:t xml:space="preserve"> in situ</w:t>
      </w:r>
      <w:r w:rsidR="00D009FB" w:rsidRPr="006D0E33">
        <w:t xml:space="preserve">. </w:t>
      </w:r>
      <w:r w:rsidR="00086DB7" w:rsidRPr="006D0E33">
        <w:t xml:space="preserve"> </w:t>
      </w:r>
      <w:r w:rsidRPr="006D0E33">
        <w:t xml:space="preserve">The HCM </w:t>
      </w:r>
      <w:r w:rsidR="0073485E" w:rsidRPr="006D0E33">
        <w:t xml:space="preserve">then </w:t>
      </w:r>
      <w:r w:rsidRPr="006D0E33">
        <w:t xml:space="preserve">went beyond </w:t>
      </w:r>
      <w:r w:rsidR="00086DB7" w:rsidRPr="006D0E33">
        <w:t>modelling</w:t>
      </w:r>
      <w:r w:rsidR="005D1712" w:rsidRPr="006D0E33">
        <w:t xml:space="preserve"> to introduce collaborative observations </w:t>
      </w:r>
      <w:r w:rsidRPr="006D0E33">
        <w:t xml:space="preserve">of </w:t>
      </w:r>
      <w:r w:rsidR="005D1712" w:rsidRPr="006D0E33">
        <w:t xml:space="preserve">that </w:t>
      </w:r>
      <w:r w:rsidRPr="006D0E33">
        <w:t xml:space="preserve">modelling </w:t>
      </w:r>
      <w:r w:rsidR="0073485E" w:rsidRPr="006D0E33">
        <w:t xml:space="preserve">as </w:t>
      </w:r>
      <w:r w:rsidR="005D1712" w:rsidRPr="006D0E33">
        <w:t>an iterative</w:t>
      </w:r>
      <w:r w:rsidR="00086DB7" w:rsidRPr="006D0E33">
        <w:t xml:space="preserve"> </w:t>
      </w:r>
      <w:r w:rsidR="005D1712" w:rsidRPr="006D0E33">
        <w:t>process of</w:t>
      </w:r>
      <w:r w:rsidR="00086DB7" w:rsidRPr="006D0E33">
        <w:t xml:space="preserve"> reflection</w:t>
      </w:r>
      <w:r w:rsidR="005D1712" w:rsidRPr="006D0E33">
        <w:t xml:space="preserve"> on</w:t>
      </w:r>
      <w:r w:rsidR="0073485E" w:rsidRPr="006D0E33">
        <w:t>,</w:t>
      </w:r>
      <w:r w:rsidR="005D1712" w:rsidRPr="006D0E33">
        <w:t xml:space="preserve"> and in</w:t>
      </w:r>
      <w:r w:rsidR="0073485E" w:rsidRPr="006D0E33">
        <w:t>,</w:t>
      </w:r>
      <w:r w:rsidR="005D1712" w:rsidRPr="006D0E33">
        <w:t xml:space="preserve"> action. </w:t>
      </w:r>
      <w:r w:rsidR="0073485E" w:rsidRPr="006D0E33">
        <w:t xml:space="preserve"> Participants suggested that it was engaging in critical reflection in this way,</w:t>
      </w:r>
      <w:r w:rsidR="00D42348">
        <w:t xml:space="preserve"> </w:t>
      </w:r>
      <w:r w:rsidR="00D42348" w:rsidRPr="00487BB1">
        <w:rPr>
          <w:color w:val="000000" w:themeColor="text1"/>
        </w:rPr>
        <w:t>including reflection on the modelling,</w:t>
      </w:r>
      <w:r w:rsidR="0073485E" w:rsidRPr="00487BB1">
        <w:rPr>
          <w:color w:val="000000" w:themeColor="text1"/>
        </w:rPr>
        <w:t xml:space="preserve"> rather than being taught a particular way of teaching, that provided a basis for active change in how they taught science (school-based staff) and their confidence to do so (all participants).  This critical action research approach</w:t>
      </w:r>
      <w:r w:rsidR="00C47105" w:rsidRPr="00487BB1">
        <w:rPr>
          <w:color w:val="000000" w:themeColor="text1"/>
        </w:rPr>
        <w:t xml:space="preserve">, had </w:t>
      </w:r>
      <w:r w:rsidR="00C47105" w:rsidRPr="006D0E33">
        <w:t>partnership at its centre. Such partnerships provide a sound basis for enabling members of the group to be critical, to open up to seeing new ways for acting (Cook 2017).  This</w:t>
      </w:r>
      <w:r w:rsidR="0073485E" w:rsidRPr="006D0E33">
        <w:t xml:space="preserve"> formed a space where all </w:t>
      </w:r>
      <w:r w:rsidR="005D1712" w:rsidRPr="006D0E33">
        <w:t>those involved</w:t>
      </w:r>
      <w:r w:rsidR="00D659E1" w:rsidRPr="006D0E33">
        <w:t xml:space="preserve"> </w:t>
      </w:r>
      <w:r w:rsidR="005D1712" w:rsidRPr="006D0E33">
        <w:t xml:space="preserve">created shared </w:t>
      </w:r>
      <w:r w:rsidR="00D659E1" w:rsidRPr="006D0E33">
        <w:t>knowledge about what could be taught</w:t>
      </w:r>
      <w:r w:rsidR="00F4266D" w:rsidRPr="006D0E33">
        <w:t xml:space="preserve"> (science), how it could be taught (pedagogy)</w:t>
      </w:r>
      <w:r w:rsidR="00D659E1" w:rsidRPr="006D0E33">
        <w:t xml:space="preserve"> and how pupils responded to that teaching</w:t>
      </w:r>
      <w:r w:rsidRPr="006D0E33">
        <w:t xml:space="preserve">. </w:t>
      </w:r>
    </w:p>
    <w:p w14:paraId="400E33B2" w14:textId="313E7666" w:rsidR="00BF3ABA" w:rsidRPr="006D0E33" w:rsidRDefault="00504C46" w:rsidP="0075518A">
      <w:pPr>
        <w:ind w:firstLine="720"/>
        <w:jc w:val="both"/>
        <w:rPr>
          <w:bCs/>
          <w:sz w:val="22"/>
          <w:szCs w:val="22"/>
        </w:rPr>
      </w:pPr>
      <w:r w:rsidRPr="006D0E33">
        <w:t xml:space="preserve">This </w:t>
      </w:r>
      <w:r w:rsidR="00086DB7" w:rsidRPr="006D0E33">
        <w:t>process of learning together</w:t>
      </w:r>
      <w:r w:rsidRPr="006D0E33">
        <w:t xml:space="preserve"> </w:t>
      </w:r>
      <w:r w:rsidR="00086DB7" w:rsidRPr="006D0E33">
        <w:t>illuminat</w:t>
      </w:r>
      <w:r w:rsidR="00D659E1" w:rsidRPr="006D0E33">
        <w:t>ed the</w:t>
      </w:r>
      <w:r w:rsidR="00086DB7" w:rsidRPr="006D0E33">
        <w:t xml:space="preserve"> capabilities and possibilities for more </w:t>
      </w:r>
      <w:r w:rsidR="00B3028A" w:rsidRPr="006D0E33">
        <w:t>ambitious teaching approaches</w:t>
      </w:r>
      <w:r w:rsidRPr="006D0E33">
        <w:t xml:space="preserve"> for not only trainees</w:t>
      </w:r>
      <w:r w:rsidR="005D1712" w:rsidRPr="006D0E33">
        <w:t xml:space="preserve">, </w:t>
      </w:r>
      <w:r w:rsidRPr="006D0E33">
        <w:t>but school-based staff</w:t>
      </w:r>
      <w:r w:rsidR="005D1712" w:rsidRPr="006D0E33">
        <w:t xml:space="preserve"> with both becoming </w:t>
      </w:r>
      <w:r w:rsidRPr="006D0E33">
        <w:rPr>
          <w:bCs/>
        </w:rPr>
        <w:t xml:space="preserve">more confident as they learnt together. Such affects have been noted by other researchers. </w:t>
      </w:r>
      <w:r w:rsidRPr="006D0E33">
        <w:rPr>
          <w:bCs/>
          <w:noProof/>
        </w:rPr>
        <w:t>Levin and Rock (2003), for example,</w:t>
      </w:r>
      <w:r w:rsidRPr="006D0E33">
        <w:rPr>
          <w:bCs/>
        </w:rPr>
        <w:t xml:space="preserve"> found that </w:t>
      </w:r>
      <w:r w:rsidR="00F4266D" w:rsidRPr="006D0E33">
        <w:rPr>
          <w:bCs/>
        </w:rPr>
        <w:t xml:space="preserve">TEs </w:t>
      </w:r>
      <w:r w:rsidRPr="006D0E33">
        <w:rPr>
          <w:bCs/>
        </w:rPr>
        <w:t xml:space="preserve">involved in doing action research with preservice and experienced teachers discovered that both novice and </w:t>
      </w:r>
      <w:r w:rsidRPr="006D0E33">
        <w:rPr>
          <w:bCs/>
        </w:rPr>
        <w:lastRenderedPageBreak/>
        <w:t xml:space="preserve">experienced teachers </w:t>
      </w:r>
      <w:r w:rsidRPr="006D0E33">
        <w:rPr>
          <w:bCs/>
          <w:sz w:val="22"/>
          <w:szCs w:val="22"/>
        </w:rPr>
        <w:t>become more reflective, critical, and analytical about their classroom practice.</w:t>
      </w:r>
      <w:r w:rsidR="00F4266D" w:rsidRPr="006D0E33">
        <w:rPr>
          <w:bCs/>
          <w:sz w:val="22"/>
          <w:szCs w:val="22"/>
        </w:rPr>
        <w:t xml:space="preserve"> </w:t>
      </w:r>
      <w:r w:rsidR="00BF3ABA" w:rsidRPr="006D0E33">
        <w:rPr>
          <w:bCs/>
          <w:sz w:val="22"/>
          <w:szCs w:val="22"/>
        </w:rPr>
        <w:t xml:space="preserve">In schools labelled by Ofsted as ‘Requiring Improvement’ morale can be low and teachers can lose sight of their own knowledge and expertise. Working with the trainees and their TE to construct ways of exciting pupils about science, and seeing the outcomes of </w:t>
      </w:r>
      <w:r w:rsidR="008C3E6B" w:rsidRPr="006D0E33">
        <w:rPr>
          <w:bCs/>
          <w:sz w:val="22"/>
          <w:szCs w:val="22"/>
        </w:rPr>
        <w:t>that,</w:t>
      </w:r>
      <w:r w:rsidR="00BF3ABA" w:rsidRPr="006D0E33">
        <w:rPr>
          <w:bCs/>
          <w:sz w:val="22"/>
          <w:szCs w:val="22"/>
        </w:rPr>
        <w:t xml:space="preserve"> re-invigorated the teachers’ approach to their practice. It gave them confidence in their own work</w:t>
      </w:r>
      <w:r w:rsidR="008C3E6B" w:rsidRPr="006D0E33">
        <w:rPr>
          <w:bCs/>
          <w:sz w:val="22"/>
          <w:szCs w:val="22"/>
        </w:rPr>
        <w:t xml:space="preserve">, </w:t>
      </w:r>
      <w:r w:rsidR="00BF3ABA" w:rsidRPr="006D0E33">
        <w:rPr>
          <w:bCs/>
          <w:sz w:val="22"/>
          <w:szCs w:val="22"/>
        </w:rPr>
        <w:t>in developing that work</w:t>
      </w:r>
      <w:r w:rsidR="008C3E6B" w:rsidRPr="006D0E33">
        <w:rPr>
          <w:bCs/>
          <w:sz w:val="22"/>
          <w:szCs w:val="22"/>
        </w:rPr>
        <w:t>,</w:t>
      </w:r>
      <w:r w:rsidR="00BF3ABA" w:rsidRPr="006D0E33">
        <w:rPr>
          <w:bCs/>
          <w:sz w:val="22"/>
          <w:szCs w:val="22"/>
        </w:rPr>
        <w:t xml:space="preserve"> and to be ambitious teachers.  </w:t>
      </w:r>
    </w:p>
    <w:p w14:paraId="6537EC37" w14:textId="2608F0E4" w:rsidR="00591755" w:rsidRPr="006D0E33" w:rsidRDefault="00F4266D" w:rsidP="008C3E6B">
      <w:pPr>
        <w:ind w:firstLine="720"/>
        <w:jc w:val="both"/>
        <w:rPr>
          <w:shd w:val="clear" w:color="auto" w:fill="FFFFFF"/>
        </w:rPr>
      </w:pPr>
      <w:r w:rsidRPr="006D0E33">
        <w:rPr>
          <w:bCs/>
          <w:sz w:val="22"/>
          <w:szCs w:val="22"/>
        </w:rPr>
        <w:t>The HCM has demonstrated how an embedded AR approach can create the impetus for ambitious teaching in subjects trainees may consider need knowledge beyond their generalist experience</w:t>
      </w:r>
      <w:r w:rsidR="009F3422" w:rsidRPr="006D0E33">
        <w:rPr>
          <w:bCs/>
          <w:sz w:val="22"/>
          <w:szCs w:val="22"/>
        </w:rPr>
        <w:t>,</w:t>
      </w:r>
      <w:r w:rsidRPr="006D0E33">
        <w:rPr>
          <w:bCs/>
          <w:sz w:val="22"/>
          <w:szCs w:val="22"/>
        </w:rPr>
        <w:t xml:space="preserve"> that this can happen successfully in schools where the environment is considered challenging</w:t>
      </w:r>
      <w:r w:rsidR="009F3422" w:rsidRPr="006D0E33">
        <w:rPr>
          <w:bCs/>
          <w:sz w:val="22"/>
          <w:szCs w:val="22"/>
        </w:rPr>
        <w:t>,</w:t>
      </w:r>
      <w:r w:rsidRPr="006D0E33">
        <w:rPr>
          <w:bCs/>
          <w:sz w:val="22"/>
          <w:szCs w:val="22"/>
        </w:rPr>
        <w:t xml:space="preserve"> and</w:t>
      </w:r>
      <w:r w:rsidRPr="006D0E33">
        <w:rPr>
          <w:sz w:val="22"/>
          <w:szCs w:val="22"/>
          <w:shd w:val="clear" w:color="auto" w:fill="FFFFFF"/>
        </w:rPr>
        <w:t xml:space="preserve"> </w:t>
      </w:r>
      <w:r w:rsidRPr="006D0E33">
        <w:rPr>
          <w:shd w:val="clear" w:color="auto" w:fill="FFFFFF"/>
        </w:rPr>
        <w:t xml:space="preserve">that the HCM holds </w:t>
      </w:r>
      <w:r w:rsidR="009F3422" w:rsidRPr="006D0E33">
        <w:rPr>
          <w:shd w:val="clear" w:color="auto" w:fill="FFFFFF"/>
        </w:rPr>
        <w:t xml:space="preserve">wider </w:t>
      </w:r>
      <w:r w:rsidRPr="006D0E33">
        <w:rPr>
          <w:shd w:val="clear" w:color="auto" w:fill="FFFFFF"/>
        </w:rPr>
        <w:t xml:space="preserve">potential for supporting not only the recruitment of ambitious new teachers for schools </w:t>
      </w:r>
      <w:r w:rsidR="009F3422" w:rsidRPr="006D0E33">
        <w:rPr>
          <w:shd w:val="clear" w:color="auto" w:fill="FFFFFF"/>
        </w:rPr>
        <w:t>working in areas that challenge,</w:t>
      </w:r>
      <w:r w:rsidRPr="006D0E33">
        <w:rPr>
          <w:shd w:val="clear" w:color="auto" w:fill="FFFFFF"/>
        </w:rPr>
        <w:t xml:space="preserve"> but also the potential to illuminate and re-invigorate the knowledge and skills of teachers working in such schools. </w:t>
      </w:r>
      <w:r w:rsidRPr="006D0E33">
        <w:rPr>
          <w:bCs/>
        </w:rPr>
        <w:t>This</w:t>
      </w:r>
      <w:r w:rsidR="00504C46" w:rsidRPr="006D0E33">
        <w:rPr>
          <w:bCs/>
        </w:rPr>
        <w:t xml:space="preserve"> effect has also been reported by other HCM projects</w:t>
      </w:r>
      <w:r w:rsidR="009F2433" w:rsidRPr="006D0E33">
        <w:rPr>
          <w:bCs/>
        </w:rPr>
        <w:t xml:space="preserve"> (Poulter and Cook: 2020)</w:t>
      </w:r>
      <w:r w:rsidR="00504C46" w:rsidRPr="006D0E33">
        <w:rPr>
          <w:bCs/>
        </w:rPr>
        <w:t xml:space="preserve"> </w:t>
      </w:r>
      <w:r w:rsidR="009F2433" w:rsidRPr="006D0E33">
        <w:rPr>
          <w:bCs/>
        </w:rPr>
        <w:t xml:space="preserve">with </w:t>
      </w:r>
      <w:r w:rsidR="00B4040F" w:rsidRPr="006D0E33">
        <w:rPr>
          <w:bCs/>
        </w:rPr>
        <w:t xml:space="preserve">the findings </w:t>
      </w:r>
      <w:r w:rsidR="009F2433" w:rsidRPr="006D0E33">
        <w:rPr>
          <w:bCs/>
        </w:rPr>
        <w:t>having implications</w:t>
      </w:r>
      <w:r w:rsidR="00B4040F" w:rsidRPr="006D0E33">
        <w:rPr>
          <w:bCs/>
        </w:rPr>
        <w:t xml:space="preserve"> for future</w:t>
      </w:r>
      <w:r w:rsidR="009F2433" w:rsidRPr="006D0E33">
        <w:rPr>
          <w:bCs/>
        </w:rPr>
        <w:t xml:space="preserve"> university/school</w:t>
      </w:r>
      <w:r w:rsidR="00B4040F" w:rsidRPr="006D0E33">
        <w:rPr>
          <w:bCs/>
        </w:rPr>
        <w:t xml:space="preserve"> partnerships.</w:t>
      </w:r>
    </w:p>
    <w:p w14:paraId="53180649" w14:textId="75DC4AA5" w:rsidR="002B389D" w:rsidRPr="006D0E33" w:rsidRDefault="00747C5E" w:rsidP="00DD52B6">
      <w:pPr>
        <w:pStyle w:val="m1579887606026175441gmail-newparagraph"/>
        <w:spacing w:line="480" w:lineRule="auto"/>
        <w:ind w:firstLine="720"/>
        <w:jc w:val="both"/>
      </w:pPr>
      <w:r w:rsidRPr="006D0E33">
        <w:t>F</w:t>
      </w:r>
      <w:r w:rsidR="00777A4D" w:rsidRPr="006D0E33">
        <w:t xml:space="preserve">ollowing the HC science </w:t>
      </w:r>
      <w:r w:rsidR="00E20CBD" w:rsidRPr="006D0E33">
        <w:t>project,</w:t>
      </w:r>
      <w:r w:rsidR="00777A4D" w:rsidRPr="006D0E33">
        <w:t xml:space="preserve"> the university has reviewed its undergraduate curriculum to embed a HC project into the specialist module offered as an elective for </w:t>
      </w:r>
      <w:r w:rsidR="00F4266D" w:rsidRPr="006D0E33">
        <w:t>trainees</w:t>
      </w:r>
      <w:r w:rsidR="00777A4D" w:rsidRPr="006D0E33">
        <w:t xml:space="preserve"> interested in becoming future science coordinators. The model is seen as a powerful tool to enrich understanding of teaching primary science concepts and developing scientific reasoning in leaners. The </w:t>
      </w:r>
      <w:r w:rsidR="00DE7736" w:rsidRPr="006D0E33">
        <w:t xml:space="preserve">degree of close collaboration between the </w:t>
      </w:r>
      <w:r w:rsidR="00BF3ABA" w:rsidRPr="006D0E33">
        <w:t>school-based teachers</w:t>
      </w:r>
      <w:r w:rsidR="00DE7736" w:rsidRPr="006D0E33">
        <w:t xml:space="preserve"> and </w:t>
      </w:r>
      <w:r w:rsidR="00F4266D" w:rsidRPr="006D0E33">
        <w:t>TE</w:t>
      </w:r>
      <w:r w:rsidR="00DE7736" w:rsidRPr="006D0E33">
        <w:t xml:space="preserve"> </w:t>
      </w:r>
      <w:r w:rsidR="00F4266D" w:rsidRPr="006D0E33">
        <w:t xml:space="preserve">also </w:t>
      </w:r>
      <w:r w:rsidR="00DE7736" w:rsidRPr="006D0E33">
        <w:t>models the professional engagement and mutual respect required by the next generation of teachers.</w:t>
      </w:r>
      <w:r w:rsidR="00F4266D" w:rsidRPr="006D0E33">
        <w:t xml:space="preserve"> </w:t>
      </w:r>
    </w:p>
    <w:p w14:paraId="304F1D5F" w14:textId="66268892" w:rsidR="0075518A" w:rsidRPr="006D0E33" w:rsidRDefault="00BE2D2C" w:rsidP="00D9436C">
      <w:pPr>
        <w:pStyle w:val="Heading1"/>
        <w:jc w:val="both"/>
        <w:rPr>
          <w:szCs w:val="24"/>
        </w:rPr>
      </w:pPr>
      <w:r w:rsidRPr="006D0E33">
        <w:rPr>
          <w:szCs w:val="24"/>
        </w:rPr>
        <w:t xml:space="preserve">Conclusion </w:t>
      </w:r>
    </w:p>
    <w:p w14:paraId="3F732178" w14:textId="1E7BE268" w:rsidR="009F3422" w:rsidRPr="006D0E33" w:rsidRDefault="009F3422" w:rsidP="00C87A5F">
      <w:pPr>
        <w:pStyle w:val="Newparagraph"/>
        <w:ind w:firstLine="0"/>
        <w:jc w:val="both"/>
      </w:pPr>
      <w:r w:rsidRPr="006D0E33">
        <w:t xml:space="preserve">As TEs looking for longer-term improvements to science teaching and learning, this study reveals how the HCM ultimately holds wider implications for the preparation and </w:t>
      </w:r>
      <w:r w:rsidRPr="006D0E33">
        <w:lastRenderedPageBreak/>
        <w:t>development of ambitious teaching in all schools, but especially schools that face greater contextual challenges.</w:t>
      </w:r>
      <w:r w:rsidR="00B67C51">
        <w:t xml:space="preserve"> </w:t>
      </w:r>
      <w:r w:rsidR="00B67C51" w:rsidRPr="00487BB1">
        <w:rPr>
          <w:color w:val="000000" w:themeColor="text1"/>
        </w:rPr>
        <w:t>The university is now using knowledge drawn from carrying out the HCM to build a protocol based on this approach</w:t>
      </w:r>
      <w:r w:rsidR="00ED0EF2" w:rsidRPr="00487BB1">
        <w:rPr>
          <w:color w:val="000000" w:themeColor="text1"/>
        </w:rPr>
        <w:t>.  It will remain a non-assessed part of the curriculum for trainees and will be rolled out</w:t>
      </w:r>
      <w:r w:rsidR="00B67C51" w:rsidRPr="00487BB1">
        <w:rPr>
          <w:color w:val="000000" w:themeColor="text1"/>
        </w:rPr>
        <w:t xml:space="preserve"> with other schools in challenging circumstances and </w:t>
      </w:r>
      <w:r w:rsidR="00ED0EF2" w:rsidRPr="00487BB1">
        <w:rPr>
          <w:color w:val="000000" w:themeColor="text1"/>
        </w:rPr>
        <w:t>across</w:t>
      </w:r>
      <w:r w:rsidR="00B67C51" w:rsidRPr="00487BB1">
        <w:rPr>
          <w:color w:val="000000" w:themeColor="text1"/>
        </w:rPr>
        <w:t xml:space="preserve"> subject areas that </w:t>
      </w:r>
      <w:r w:rsidR="00ED0EF2" w:rsidRPr="00487BB1">
        <w:rPr>
          <w:color w:val="000000" w:themeColor="text1"/>
        </w:rPr>
        <w:t>have</w:t>
      </w:r>
      <w:r w:rsidR="00B67C51" w:rsidRPr="00487BB1">
        <w:rPr>
          <w:color w:val="000000" w:themeColor="text1"/>
        </w:rPr>
        <w:t xml:space="preserve"> similar</w:t>
      </w:r>
      <w:r w:rsidR="00ED0EF2" w:rsidRPr="00487BB1">
        <w:rPr>
          <w:color w:val="000000" w:themeColor="text1"/>
        </w:rPr>
        <w:t xml:space="preserve"> issues with perceptions of the </w:t>
      </w:r>
      <w:r w:rsidR="00B67C51" w:rsidRPr="00487BB1">
        <w:rPr>
          <w:color w:val="000000" w:themeColor="text1"/>
        </w:rPr>
        <w:t>‘specialist</w:t>
      </w:r>
      <w:proofErr w:type="gramStart"/>
      <w:r w:rsidR="00B67C51" w:rsidRPr="00487BB1">
        <w:rPr>
          <w:color w:val="000000" w:themeColor="text1"/>
        </w:rPr>
        <w:t xml:space="preserve">’ </w:t>
      </w:r>
      <w:r w:rsidR="00ED0EF2" w:rsidRPr="00487BB1">
        <w:rPr>
          <w:color w:val="000000" w:themeColor="text1"/>
        </w:rPr>
        <w:t>,</w:t>
      </w:r>
      <w:proofErr w:type="gramEnd"/>
      <w:r w:rsidR="00ED0EF2" w:rsidRPr="00487BB1">
        <w:rPr>
          <w:color w:val="000000" w:themeColor="text1"/>
        </w:rPr>
        <w:t xml:space="preserve"> for instance </w:t>
      </w:r>
      <w:r w:rsidR="00B67C51" w:rsidRPr="00487BB1">
        <w:rPr>
          <w:color w:val="000000" w:themeColor="text1"/>
        </w:rPr>
        <w:t xml:space="preserve"> music (Poulter and Cook 2020).  In the protocol the qualitative research processes are being strengthened</w:t>
      </w:r>
      <w:r w:rsidR="00F405A0" w:rsidRPr="00487BB1">
        <w:rPr>
          <w:color w:val="000000" w:themeColor="text1"/>
        </w:rPr>
        <w:t>. The</w:t>
      </w:r>
      <w:r w:rsidR="00B67C51" w:rsidRPr="00487BB1">
        <w:rPr>
          <w:color w:val="000000" w:themeColor="text1"/>
        </w:rPr>
        <w:t xml:space="preserve"> Self-Efficacy Scale has not been included</w:t>
      </w:r>
      <w:r w:rsidR="00F405A0" w:rsidRPr="00487BB1">
        <w:rPr>
          <w:color w:val="000000" w:themeColor="text1"/>
        </w:rPr>
        <w:t>, however,</w:t>
      </w:r>
      <w:r w:rsidR="00B67C51" w:rsidRPr="00487BB1">
        <w:rPr>
          <w:color w:val="000000" w:themeColor="text1"/>
        </w:rPr>
        <w:t xml:space="preserve"> as it added an extra layer to the process that did not appear to reap any significant new data</w:t>
      </w:r>
      <w:r w:rsidR="00F405A0" w:rsidRPr="00487BB1">
        <w:rPr>
          <w:color w:val="000000" w:themeColor="text1"/>
        </w:rPr>
        <w:t xml:space="preserve"> and was out of step with the collaborative approach to data generation in partnership fostered by the HCM</w:t>
      </w:r>
      <w:r w:rsidR="00B67C51" w:rsidRPr="00487BB1">
        <w:rPr>
          <w:color w:val="000000" w:themeColor="text1"/>
        </w:rPr>
        <w:t xml:space="preserve">. </w:t>
      </w:r>
      <w:r w:rsidRPr="00487BB1">
        <w:rPr>
          <w:color w:val="000000" w:themeColor="text1"/>
        </w:rPr>
        <w:t xml:space="preserve">The adoption of this approach by the university demonstrates the degree of confidence in using an action research approach to elevate the notion of all teachers, whether in university as </w:t>
      </w:r>
      <w:r w:rsidRPr="006D0E33">
        <w:t>TEs, trainees or school-based, being constant learners as a process for raising standards in schools.</w:t>
      </w:r>
    </w:p>
    <w:p w14:paraId="2BE9B113" w14:textId="371FACD2" w:rsidR="009F3422" w:rsidRPr="006D0E33" w:rsidRDefault="00EE6A86" w:rsidP="008C3E6B">
      <w:pPr>
        <w:ind w:firstLine="720"/>
        <w:jc w:val="both"/>
        <w:rPr>
          <w:bCs/>
        </w:rPr>
      </w:pPr>
      <w:r w:rsidRPr="006D0E33">
        <w:rPr>
          <w:shd w:val="clear" w:color="auto" w:fill="FFFFFF"/>
        </w:rPr>
        <w:t>Contextualised in collaborative partnerships that bring together knowledges and aptitudes to create uncompromising but supportive learning environments, the action research based HCM offers ways for developing ITE programmes that support trainees to gain confidence</w:t>
      </w:r>
      <w:r w:rsidR="009F2433" w:rsidRPr="006D0E33">
        <w:rPr>
          <w:shd w:val="clear" w:color="auto" w:fill="FFFFFF"/>
        </w:rPr>
        <w:t>,</w:t>
      </w:r>
      <w:r w:rsidRPr="006D0E33">
        <w:rPr>
          <w:shd w:val="clear" w:color="auto" w:fill="FFFFFF"/>
        </w:rPr>
        <w:t xml:space="preserve"> and the appropriate levels of scientific subject knowledge needed</w:t>
      </w:r>
      <w:r w:rsidR="009F2433" w:rsidRPr="006D0E33">
        <w:rPr>
          <w:shd w:val="clear" w:color="auto" w:fill="FFFFFF"/>
        </w:rPr>
        <w:t>,</w:t>
      </w:r>
      <w:r w:rsidRPr="006D0E33">
        <w:rPr>
          <w:shd w:val="clear" w:color="auto" w:fill="FFFFFF"/>
        </w:rPr>
        <w:t xml:space="preserve"> to become ambitious teachers</w:t>
      </w:r>
      <w:r w:rsidR="009F2433" w:rsidRPr="006D0E33">
        <w:rPr>
          <w:shd w:val="clear" w:color="auto" w:fill="FFFFFF"/>
        </w:rPr>
        <w:t xml:space="preserve"> in primary settings</w:t>
      </w:r>
      <w:r w:rsidRPr="006D0E33">
        <w:rPr>
          <w:shd w:val="clear" w:color="auto" w:fill="FFFFFF"/>
        </w:rPr>
        <w:t xml:space="preserve">. </w:t>
      </w:r>
      <w:r w:rsidR="00C9610E" w:rsidRPr="006D0E33">
        <w:rPr>
          <w:shd w:val="clear" w:color="auto" w:fill="FFFFFF"/>
        </w:rPr>
        <w:t xml:space="preserve"> </w:t>
      </w:r>
      <w:r w:rsidR="009F3422" w:rsidRPr="006D0E33">
        <w:rPr>
          <w:shd w:val="clear" w:color="auto" w:fill="FFFFFF"/>
        </w:rPr>
        <w:t xml:space="preserve">It </w:t>
      </w:r>
      <w:r w:rsidR="00BE2D2C" w:rsidRPr="006D0E33">
        <w:t>can create ambitious teach</w:t>
      </w:r>
      <w:r w:rsidR="00C9610E" w:rsidRPr="006D0E33">
        <w:t>ing</w:t>
      </w:r>
      <w:r w:rsidR="00BE2D2C" w:rsidRPr="006D0E33">
        <w:t xml:space="preserve"> with the potential to improve pupil outcomes</w:t>
      </w:r>
      <w:r w:rsidR="006F59DC" w:rsidRPr="006D0E33">
        <w:t xml:space="preserve"> and a</w:t>
      </w:r>
      <w:r w:rsidRPr="006D0E33">
        <w:t>dd</w:t>
      </w:r>
      <w:r w:rsidR="006F59DC" w:rsidRPr="006D0E33">
        <w:t xml:space="preserve"> value</w:t>
      </w:r>
      <w:r w:rsidR="00BE2D2C" w:rsidRPr="006D0E33">
        <w:t xml:space="preserve"> in subjects such as science, where teachers and prospective teachers may lack confidence in the substantive topic area</w:t>
      </w:r>
      <w:r w:rsidR="00BE2D2C" w:rsidRPr="006D0E33">
        <w:rPr>
          <w:shd w:val="clear" w:color="auto" w:fill="FFFFFF"/>
        </w:rPr>
        <w:t>.</w:t>
      </w:r>
      <w:r w:rsidR="009F3422" w:rsidRPr="006D0E33">
        <w:rPr>
          <w:shd w:val="clear" w:color="auto" w:fill="FFFFFF"/>
        </w:rPr>
        <w:t xml:space="preserve"> This approach was also shown to</w:t>
      </w:r>
      <w:r w:rsidR="007E246A" w:rsidRPr="006D0E33">
        <w:rPr>
          <w:shd w:val="clear" w:color="auto" w:fill="FFFFFF"/>
        </w:rPr>
        <w:t xml:space="preserve"> </w:t>
      </w:r>
      <w:r w:rsidR="007E246A" w:rsidRPr="006D0E33">
        <w:rPr>
          <w:bCs/>
        </w:rPr>
        <w:t xml:space="preserve">trigger wider systemic change, developing cultures of collaboration both within schools and between schools and universities that </w:t>
      </w:r>
      <w:r w:rsidR="009F3422" w:rsidRPr="006D0E33">
        <w:rPr>
          <w:bCs/>
        </w:rPr>
        <w:t xml:space="preserve">engender </w:t>
      </w:r>
      <w:r w:rsidR="007E246A" w:rsidRPr="006D0E33">
        <w:rPr>
          <w:bCs/>
        </w:rPr>
        <w:t>ripple effects beyond the initial target group of trainees.</w:t>
      </w:r>
      <w:r w:rsidR="009F3422" w:rsidRPr="006D0E33">
        <w:rPr>
          <w:bCs/>
        </w:rPr>
        <w:t xml:space="preserve"> This aspect of the HCM has opened up thinking about its potential and would benefit from focussed research in the future</w:t>
      </w:r>
      <w:r w:rsidR="005077B2" w:rsidRPr="006D0E33">
        <w:rPr>
          <w:bCs/>
        </w:rPr>
        <w:t>.</w:t>
      </w:r>
      <w:r w:rsidR="007E246A" w:rsidRPr="006D0E33">
        <w:rPr>
          <w:bCs/>
        </w:rPr>
        <w:t xml:space="preserve">  </w:t>
      </w:r>
    </w:p>
    <w:bookmarkEnd w:id="4"/>
    <w:p w14:paraId="07A4D38E" w14:textId="0FF224CB" w:rsidR="00BE2D2C" w:rsidRPr="006D0E33" w:rsidRDefault="00BE2D2C" w:rsidP="00BF3ABA">
      <w:pPr>
        <w:pStyle w:val="Newparagraph"/>
        <w:jc w:val="both"/>
      </w:pPr>
      <w:r w:rsidRPr="006D0E33">
        <w:rPr>
          <w:bCs/>
        </w:rPr>
        <w:lastRenderedPageBreak/>
        <w:t xml:space="preserve">This </w:t>
      </w:r>
      <w:r w:rsidR="009F3422" w:rsidRPr="006D0E33">
        <w:rPr>
          <w:bCs/>
        </w:rPr>
        <w:t xml:space="preserve">small-scale </w:t>
      </w:r>
      <w:r w:rsidRPr="006D0E33">
        <w:rPr>
          <w:bCs/>
        </w:rPr>
        <w:t>research</w:t>
      </w:r>
      <w:r w:rsidR="009F3422" w:rsidRPr="006D0E33">
        <w:rPr>
          <w:bCs/>
        </w:rPr>
        <w:t xml:space="preserve"> project</w:t>
      </w:r>
      <w:r w:rsidRPr="006D0E33">
        <w:rPr>
          <w:bCs/>
        </w:rPr>
        <w:t xml:space="preserve"> </w:t>
      </w:r>
      <w:r w:rsidR="009F3422" w:rsidRPr="006D0E33">
        <w:rPr>
          <w:bCs/>
        </w:rPr>
        <w:t xml:space="preserve">has </w:t>
      </w:r>
      <w:r w:rsidRPr="006D0E33">
        <w:rPr>
          <w:bCs/>
        </w:rPr>
        <w:t>not advance</w:t>
      </w:r>
      <w:r w:rsidR="009F3422" w:rsidRPr="006D0E33">
        <w:rPr>
          <w:bCs/>
        </w:rPr>
        <w:t>d</w:t>
      </w:r>
      <w:r w:rsidRPr="006D0E33">
        <w:rPr>
          <w:bCs/>
        </w:rPr>
        <w:t xml:space="preserve"> a set of skills and techniques for science teaching</w:t>
      </w:r>
      <w:r w:rsidR="009F3422" w:rsidRPr="006D0E33">
        <w:rPr>
          <w:bCs/>
        </w:rPr>
        <w:t xml:space="preserve">, </w:t>
      </w:r>
      <w:r w:rsidRPr="006D0E33">
        <w:rPr>
          <w:bCs/>
        </w:rPr>
        <w:t>what it has revealed are principles for practice that others, working in similar situations</w:t>
      </w:r>
      <w:r w:rsidR="00BC21FF" w:rsidRPr="006D0E33">
        <w:rPr>
          <w:bCs/>
        </w:rPr>
        <w:t xml:space="preserve"> with beginning teachers</w:t>
      </w:r>
      <w:r w:rsidRPr="006D0E33">
        <w:rPr>
          <w:bCs/>
        </w:rPr>
        <w:t>, might recognise as useful in supporting more ambitious</w:t>
      </w:r>
      <w:r w:rsidR="009F3422" w:rsidRPr="006D0E33">
        <w:rPr>
          <w:bCs/>
        </w:rPr>
        <w:t xml:space="preserve"> teaching</w:t>
      </w:r>
      <w:r w:rsidRPr="006D0E33">
        <w:rPr>
          <w:bCs/>
        </w:rPr>
        <w:t xml:space="preserve">. </w:t>
      </w:r>
      <w:r w:rsidR="009F3422" w:rsidRPr="006D0E33">
        <w:rPr>
          <w:bCs/>
        </w:rPr>
        <w:t xml:space="preserve">Hopefully it </w:t>
      </w:r>
      <w:r w:rsidRPr="006D0E33">
        <w:rPr>
          <w:bCs/>
        </w:rPr>
        <w:t xml:space="preserve">has, in Winter’s words, got </w:t>
      </w:r>
      <w:r w:rsidR="00425571" w:rsidRPr="006D0E33">
        <w:rPr>
          <w:bCs/>
        </w:rPr>
        <w:t>‘</w:t>
      </w:r>
      <w:r w:rsidRPr="006D0E33">
        <w:rPr>
          <w:bCs/>
        </w:rPr>
        <w:t>sufficiently close to its underlying structure to enable others to see potential similarities with other situations</w:t>
      </w:r>
      <w:r w:rsidR="00425571" w:rsidRPr="006D0E33">
        <w:rPr>
          <w:bCs/>
        </w:rPr>
        <w:t>’</w:t>
      </w:r>
      <w:r w:rsidRPr="006D0E33">
        <w:rPr>
          <w:bCs/>
        </w:rPr>
        <w:t xml:space="preserve"> (</w:t>
      </w:r>
      <w:r w:rsidRPr="006D0E33">
        <w:rPr>
          <w:bCs/>
          <w:noProof/>
        </w:rPr>
        <w:t>Winter, 2002,</w:t>
      </w:r>
      <w:r w:rsidR="0009153F" w:rsidRPr="006D0E33">
        <w:rPr>
          <w:bCs/>
          <w:noProof/>
        </w:rPr>
        <w:t xml:space="preserve"> </w:t>
      </w:r>
      <w:r w:rsidRPr="006D0E33">
        <w:rPr>
          <w:bCs/>
          <w:noProof/>
        </w:rPr>
        <w:t>144)</w:t>
      </w:r>
      <w:r w:rsidRPr="006D0E33">
        <w:rPr>
          <w:bCs/>
        </w:rPr>
        <w:t>.</w:t>
      </w:r>
      <w:r w:rsidRPr="006D0E33">
        <w:t xml:space="preserve"> </w:t>
      </w:r>
    </w:p>
    <w:p w14:paraId="5954A8F4" w14:textId="77777777" w:rsidR="00BE2D2C" w:rsidRPr="006D0E33" w:rsidRDefault="00BE2D2C" w:rsidP="00BF3ABA">
      <w:pPr>
        <w:pStyle w:val="Newparagraph"/>
        <w:ind w:firstLine="0"/>
        <w:jc w:val="both"/>
      </w:pPr>
    </w:p>
    <w:p w14:paraId="2227D468" w14:textId="77777777" w:rsidR="00D13A3F" w:rsidRDefault="00D13A3F" w:rsidP="00D13A3F">
      <w:pPr>
        <w:jc w:val="both"/>
      </w:pPr>
      <w:r w:rsidRPr="00501A19">
        <w:rPr>
          <w:b/>
        </w:rPr>
        <w:t>References</w:t>
      </w:r>
    </w:p>
    <w:p w14:paraId="6D0C671B" w14:textId="77777777" w:rsidR="00D13A3F" w:rsidRDefault="00D13A3F" w:rsidP="00D13A3F">
      <w:pPr>
        <w:pStyle w:val="References"/>
        <w:spacing w:before="0" w:after="240"/>
        <w:rPr>
          <w:rStyle w:val="Hyperlink"/>
        </w:rPr>
      </w:pPr>
      <w:r>
        <w:t>Allen, R. and S. Sims. 2018</w:t>
      </w:r>
      <w:r w:rsidRPr="00BF3FA1">
        <w:t xml:space="preserve">. </w:t>
      </w:r>
      <w:r w:rsidRPr="00BF3FA1">
        <w:rPr>
          <w:i/>
        </w:rPr>
        <w:t>How do shortages of maths teachers affect the within-school allocation of maths teachers to pupils?</w:t>
      </w:r>
      <w:r w:rsidRPr="00BF3FA1">
        <w:t xml:space="preserve"> Retrieved from Nuffield Foundation website: </w:t>
      </w:r>
      <w:hyperlink r:id="rId9" w:history="1">
        <w:r w:rsidRPr="009F3CAB">
          <w:rPr>
            <w:rStyle w:val="Hyperlink"/>
          </w:rPr>
          <w:t>http://www.nuffieldfoundation.org/sites/default/files/files/Within-school%20allocations%20of%20maths%20teachers%20to%20pupils_v_FINAL.pdf</w:t>
        </w:r>
      </w:hyperlink>
    </w:p>
    <w:p w14:paraId="0FDC6209" w14:textId="77777777" w:rsidR="00D13A3F" w:rsidRDefault="00D13A3F" w:rsidP="00D13A3F">
      <w:pPr>
        <w:pStyle w:val="References"/>
        <w:spacing w:before="0" w:after="240"/>
      </w:pPr>
    </w:p>
    <w:p w14:paraId="14A9A40D" w14:textId="77777777" w:rsidR="00D13A3F" w:rsidRDefault="00D13A3F" w:rsidP="00D13A3F">
      <w:pPr>
        <w:pStyle w:val="References"/>
        <w:spacing w:before="0" w:after="240"/>
        <w:rPr>
          <w:rStyle w:val="Hyperlink"/>
        </w:rPr>
      </w:pPr>
      <w:r w:rsidRPr="00BF3FA1">
        <w:t xml:space="preserve">Andrews, J., </w:t>
      </w:r>
      <w:r>
        <w:t xml:space="preserve">J. </w:t>
      </w:r>
      <w:r w:rsidRPr="00BF3FA1">
        <w:t xml:space="preserve">Hutchinson, </w:t>
      </w:r>
      <w:r>
        <w:t>and D, Robinson. 2017</w:t>
      </w:r>
      <w:r w:rsidRPr="00BF3FA1">
        <w:t xml:space="preserve">. </w:t>
      </w:r>
      <w:r w:rsidRPr="00BF3FA1">
        <w:rPr>
          <w:i/>
        </w:rPr>
        <w:t>Closing the gap? Trends in educational attainment and disadvantage</w:t>
      </w:r>
      <w:r w:rsidRPr="00BF3FA1">
        <w:t xml:space="preserve">. Retrieved from Education Policy Institute website: </w:t>
      </w:r>
      <w:hyperlink r:id="rId10" w:history="1">
        <w:r w:rsidRPr="009F3CAB">
          <w:rPr>
            <w:rStyle w:val="Hyperlink"/>
          </w:rPr>
          <w:t>https://epi.org.uk/wp-content/uploads/2017/08/Closing-the-Gap_EPI-.pdf</w:t>
        </w:r>
      </w:hyperlink>
    </w:p>
    <w:p w14:paraId="4B0743B7" w14:textId="77777777" w:rsidR="00D13A3F" w:rsidRDefault="00D13A3F" w:rsidP="00D13A3F">
      <w:pPr>
        <w:pStyle w:val="References"/>
        <w:spacing w:before="0" w:after="240"/>
      </w:pPr>
    </w:p>
    <w:p w14:paraId="70BD97C6" w14:textId="77777777" w:rsidR="00D13A3F" w:rsidRDefault="00D13A3F" w:rsidP="00D13A3F">
      <w:pPr>
        <w:pStyle w:val="References"/>
        <w:spacing w:before="0" w:after="240"/>
      </w:pPr>
      <w:r>
        <w:t>Anthony, G., and R, Hunter. 2013</w:t>
      </w:r>
      <w:r w:rsidRPr="00BF3FA1">
        <w:t>. Learning the work of ambitious mathema</w:t>
      </w:r>
      <w:r>
        <w:t>tics teaching. In</w:t>
      </w:r>
      <w:r w:rsidRPr="00BF3FA1">
        <w:t xml:space="preserve"> </w:t>
      </w:r>
      <w:r w:rsidRPr="00BF3FA1">
        <w:rPr>
          <w:i/>
        </w:rPr>
        <w:t>Mathematics education: Yesterday, today and tomorrow (</w:t>
      </w:r>
      <w:r>
        <w:rPr>
          <w:i/>
        </w:rPr>
        <w:t>P</w:t>
      </w:r>
      <w:r w:rsidRPr="00BF3FA1">
        <w:rPr>
          <w:i/>
        </w:rPr>
        <w:t xml:space="preserve">roceedings of the 36th </w:t>
      </w:r>
      <w:r>
        <w:rPr>
          <w:i/>
        </w:rPr>
        <w:t>A</w:t>
      </w:r>
      <w:r w:rsidRPr="00BF3FA1">
        <w:rPr>
          <w:i/>
        </w:rPr>
        <w:t xml:space="preserve">nnual </w:t>
      </w:r>
      <w:r>
        <w:rPr>
          <w:i/>
        </w:rPr>
        <w:t>C</w:t>
      </w:r>
      <w:r w:rsidRPr="00BF3FA1">
        <w:rPr>
          <w:i/>
        </w:rPr>
        <w:t xml:space="preserve">onference of the </w:t>
      </w:r>
      <w:r>
        <w:rPr>
          <w:i/>
        </w:rPr>
        <w:t>M</w:t>
      </w:r>
      <w:r w:rsidRPr="00BF3FA1">
        <w:rPr>
          <w:i/>
        </w:rPr>
        <w:t xml:space="preserve">athematics </w:t>
      </w:r>
      <w:r>
        <w:rPr>
          <w:i/>
        </w:rPr>
        <w:t>E</w:t>
      </w:r>
      <w:r w:rsidRPr="00BF3FA1">
        <w:rPr>
          <w:i/>
        </w:rPr>
        <w:t xml:space="preserve">ducation </w:t>
      </w:r>
      <w:r>
        <w:rPr>
          <w:i/>
        </w:rPr>
        <w:t>R</w:t>
      </w:r>
      <w:r w:rsidRPr="00BF3FA1">
        <w:rPr>
          <w:i/>
        </w:rPr>
        <w:t xml:space="preserve">esearch </w:t>
      </w:r>
      <w:r>
        <w:rPr>
          <w:i/>
        </w:rPr>
        <w:t>G</w:t>
      </w:r>
      <w:r w:rsidRPr="00BF3FA1">
        <w:rPr>
          <w:i/>
        </w:rPr>
        <w:t xml:space="preserve">roup of </w:t>
      </w:r>
      <w:r>
        <w:rPr>
          <w:i/>
        </w:rPr>
        <w:t>A</w:t>
      </w:r>
      <w:r w:rsidRPr="00BF3FA1">
        <w:rPr>
          <w:i/>
        </w:rPr>
        <w:t>ustralasia</w:t>
      </w:r>
      <w:proofErr w:type="gramStart"/>
      <w:r>
        <w:rPr>
          <w:i/>
        </w:rPr>
        <w:t xml:space="preserve">), </w:t>
      </w:r>
      <w:r w:rsidRPr="00BF3FA1">
        <w:t xml:space="preserve"> </w:t>
      </w:r>
      <w:r>
        <w:t>ed</w:t>
      </w:r>
      <w:proofErr w:type="gramEnd"/>
      <w:r>
        <w:t xml:space="preserve"> </w:t>
      </w:r>
      <w:r w:rsidRPr="00BF3FA1">
        <w:t xml:space="preserve">V. </w:t>
      </w:r>
      <w:proofErr w:type="spellStart"/>
      <w:r w:rsidRPr="00BF3FA1">
        <w:t>Steinle</w:t>
      </w:r>
      <w:proofErr w:type="spellEnd"/>
      <w:r w:rsidRPr="00BF3FA1">
        <w:t xml:space="preserve">, L. Ball </w:t>
      </w:r>
      <w:r>
        <w:t>and</w:t>
      </w:r>
      <w:r w:rsidRPr="00BF3FA1">
        <w:t xml:space="preserve"> C. </w:t>
      </w:r>
      <w:proofErr w:type="spellStart"/>
      <w:r w:rsidRPr="00BF3FA1">
        <w:t>Bardini</w:t>
      </w:r>
      <w:proofErr w:type="spellEnd"/>
      <w:r>
        <w:t>,</w:t>
      </w:r>
      <w:r w:rsidRPr="00BF3FA1">
        <w:t xml:space="preserve"> 699-702</w:t>
      </w:r>
      <w:r>
        <w:t xml:space="preserve">  </w:t>
      </w:r>
      <w:r w:rsidRPr="00BF3FA1">
        <w:t>Melbourne: MERGA.</w:t>
      </w:r>
    </w:p>
    <w:p w14:paraId="34746E08" w14:textId="77777777" w:rsidR="00D13A3F" w:rsidRDefault="00D13A3F" w:rsidP="00D13A3F">
      <w:pPr>
        <w:pStyle w:val="References"/>
        <w:spacing w:before="0" w:after="240"/>
      </w:pPr>
    </w:p>
    <w:p w14:paraId="71AE0058" w14:textId="77777777" w:rsidR="00D13A3F" w:rsidRDefault="00D13A3F" w:rsidP="00D13A3F">
      <w:pPr>
        <w:pStyle w:val="References"/>
        <w:spacing w:before="0" w:after="240"/>
      </w:pPr>
      <w:r>
        <w:t>Appleton, K. 2006</w:t>
      </w:r>
      <w:r w:rsidRPr="00BF3FA1">
        <w:t>. Science pedagogical content knowledge and elementary schoo</w:t>
      </w:r>
      <w:r>
        <w:t xml:space="preserve">l teachers. In </w:t>
      </w:r>
      <w:r w:rsidRPr="00BF3FA1">
        <w:rPr>
          <w:i/>
        </w:rPr>
        <w:t>Elementary science teacher education: International perspectives on contemporary issues and practice</w:t>
      </w:r>
      <w:r>
        <w:t>, ed K. Appleton</w:t>
      </w:r>
      <w:r w:rsidRPr="00BF3FA1">
        <w:t>. New York: Lawrence Erlbaum Associates, Inc.</w:t>
      </w:r>
    </w:p>
    <w:p w14:paraId="3B502F33" w14:textId="77777777" w:rsidR="00D13A3F" w:rsidRDefault="00D13A3F" w:rsidP="00D13A3F">
      <w:pPr>
        <w:pStyle w:val="References"/>
        <w:spacing w:before="0" w:after="240"/>
      </w:pPr>
    </w:p>
    <w:p w14:paraId="0E2F7B7E" w14:textId="77777777" w:rsidR="00D13A3F" w:rsidRDefault="00D13A3F" w:rsidP="00D13A3F">
      <w:pPr>
        <w:pStyle w:val="References"/>
        <w:spacing w:before="0" w:after="240"/>
      </w:pPr>
      <w:r>
        <w:lastRenderedPageBreak/>
        <w:t>Bailey, J., and M. Taylor. 2015</w:t>
      </w:r>
      <w:r w:rsidRPr="00BF3FA1">
        <w:t xml:space="preserve">. Experiencing a mathematical problem-solving teaching approach: Opportunities to identify ambitious teaching practices. </w:t>
      </w:r>
      <w:r w:rsidRPr="00BF3FA1">
        <w:rPr>
          <w:i/>
        </w:rPr>
        <w:t>Mathematics Teacher Education and Development, 17</w:t>
      </w:r>
      <w:r>
        <w:rPr>
          <w:i/>
        </w:rPr>
        <w:t xml:space="preserve"> </w:t>
      </w:r>
      <w:r>
        <w:t>no. 2:</w:t>
      </w:r>
      <w:r w:rsidRPr="00BF3FA1">
        <w:t xml:space="preserve"> 111-124. </w:t>
      </w:r>
    </w:p>
    <w:p w14:paraId="4EA13A95" w14:textId="77777777" w:rsidR="00D13A3F" w:rsidRDefault="00D13A3F" w:rsidP="00D13A3F">
      <w:pPr>
        <w:pStyle w:val="References"/>
        <w:spacing w:before="0" w:after="240"/>
      </w:pPr>
    </w:p>
    <w:p w14:paraId="1A514D9C" w14:textId="77777777" w:rsidR="00D13A3F" w:rsidRDefault="00D13A3F" w:rsidP="00D13A3F">
      <w:pPr>
        <w:pStyle w:val="References"/>
        <w:spacing w:before="0" w:after="240"/>
      </w:pPr>
      <w:r>
        <w:t xml:space="preserve">Baker. G. 2017. Teacher development through professional partnership: harnessing the power of professional learning communities. In </w:t>
      </w:r>
      <w:r w:rsidRPr="00550BAC">
        <w:rPr>
          <w:i/>
        </w:rPr>
        <w:t>Teacher Education in Challenging Times: lessons for professionalism, partnership and practice</w:t>
      </w:r>
      <w:r>
        <w:rPr>
          <w:i/>
        </w:rPr>
        <w:t>,</w:t>
      </w:r>
      <w:r>
        <w:t xml:space="preserve"> ed P. M Bamber and J. C Moore.105-114.Oxon: Routledge.</w:t>
      </w:r>
    </w:p>
    <w:p w14:paraId="3C1B073B" w14:textId="77777777" w:rsidR="00D13A3F" w:rsidRPr="00BF3FA1" w:rsidRDefault="00D13A3F" w:rsidP="00D13A3F">
      <w:pPr>
        <w:pStyle w:val="References"/>
        <w:spacing w:before="0" w:after="240"/>
      </w:pPr>
    </w:p>
    <w:p w14:paraId="73F126B1" w14:textId="77777777" w:rsidR="00D13A3F" w:rsidRDefault="00D13A3F" w:rsidP="00D13A3F">
      <w:pPr>
        <w:pStyle w:val="References"/>
        <w:spacing w:before="0" w:after="240"/>
      </w:pPr>
      <w:r>
        <w:t>Ball, D. L., and F.M. Forzani. 2009</w:t>
      </w:r>
      <w:r w:rsidRPr="00BF3FA1">
        <w:t xml:space="preserve">. The work of teaching and the challenge for teacher education. </w:t>
      </w:r>
      <w:r w:rsidRPr="00BF3FA1">
        <w:rPr>
          <w:i/>
        </w:rPr>
        <w:t>Journal of Teacher Education, 60</w:t>
      </w:r>
      <w:r>
        <w:t xml:space="preserve"> no. </w:t>
      </w:r>
      <w:r w:rsidRPr="00BF3FA1">
        <w:t>5</w:t>
      </w:r>
      <w:r>
        <w:t>:</w:t>
      </w:r>
      <w:r w:rsidRPr="00BF3FA1">
        <w:t xml:space="preserve"> 497-511. </w:t>
      </w:r>
    </w:p>
    <w:p w14:paraId="0566405A" w14:textId="77777777" w:rsidR="00D13A3F" w:rsidRDefault="00D13A3F" w:rsidP="00D13A3F">
      <w:pPr>
        <w:pStyle w:val="References"/>
        <w:spacing w:before="0" w:after="240"/>
      </w:pPr>
    </w:p>
    <w:p w14:paraId="3EBF6D79" w14:textId="77777777" w:rsidR="00D13A3F" w:rsidRDefault="00D13A3F" w:rsidP="00D13A3F">
      <w:pPr>
        <w:pStyle w:val="References"/>
        <w:spacing w:before="0" w:after="240"/>
      </w:pPr>
      <w:r>
        <w:t>Cook, T. 2006</w:t>
      </w:r>
      <w:r w:rsidRPr="00BF3FA1">
        <w:t xml:space="preserve">. Collaborative action research within developmental evaluation: Learning to see or the road to myopia? </w:t>
      </w:r>
      <w:r w:rsidRPr="00BF3FA1">
        <w:rPr>
          <w:i/>
        </w:rPr>
        <w:t>Evaluation, 12</w:t>
      </w:r>
      <w:r>
        <w:t xml:space="preserve"> no. </w:t>
      </w:r>
      <w:r w:rsidRPr="00BF3FA1">
        <w:t>4</w:t>
      </w:r>
      <w:r>
        <w:t>:</w:t>
      </w:r>
      <w:r w:rsidRPr="00BF3FA1">
        <w:t xml:space="preserve"> 418-436. </w:t>
      </w:r>
    </w:p>
    <w:p w14:paraId="50D79E50" w14:textId="77777777" w:rsidR="00D13A3F" w:rsidRDefault="00D13A3F" w:rsidP="00D13A3F">
      <w:pPr>
        <w:pStyle w:val="References"/>
        <w:spacing w:before="0" w:after="240"/>
      </w:pPr>
    </w:p>
    <w:p w14:paraId="7AE1375B" w14:textId="77777777" w:rsidR="00D13A3F" w:rsidRDefault="00D13A3F" w:rsidP="00D13A3F">
      <w:pPr>
        <w:pStyle w:val="References"/>
        <w:spacing w:before="0" w:after="240"/>
      </w:pPr>
      <w:r>
        <w:t xml:space="preserve">Cook, T. 2017. Working at the intersection: partnerships as participatory mechanisms for disruption. In </w:t>
      </w:r>
      <w:r w:rsidRPr="00550BAC">
        <w:rPr>
          <w:i/>
        </w:rPr>
        <w:t>Teacher Education in Challenging Times: lessons for professionalism, partnership and practice</w:t>
      </w:r>
      <w:r>
        <w:rPr>
          <w:i/>
        </w:rPr>
        <w:t>,</w:t>
      </w:r>
      <w:r>
        <w:t xml:space="preserve"> </w:t>
      </w:r>
      <w:proofErr w:type="gramStart"/>
      <w:r>
        <w:t>ed  P.</w:t>
      </w:r>
      <w:proofErr w:type="gramEnd"/>
      <w:r>
        <w:t xml:space="preserve"> M Bamber and J. C Moore, 83-93.Oxon: Routledge.</w:t>
      </w:r>
    </w:p>
    <w:p w14:paraId="2D158529" w14:textId="77777777" w:rsidR="00D13A3F" w:rsidRDefault="00D13A3F" w:rsidP="00D13A3F">
      <w:pPr>
        <w:pStyle w:val="References"/>
        <w:spacing w:before="0" w:after="240"/>
      </w:pPr>
    </w:p>
    <w:p w14:paraId="2DA24D56" w14:textId="77777777" w:rsidR="00D13A3F" w:rsidRDefault="00D13A3F" w:rsidP="00D13A3F">
      <w:pPr>
        <w:pStyle w:val="References"/>
        <w:spacing w:before="0" w:after="240"/>
      </w:pPr>
      <w:r>
        <w:t>Driver, R. 1989</w:t>
      </w:r>
      <w:r w:rsidRPr="00BF3FA1">
        <w:t xml:space="preserve">. The construction of science knowledge in school classrooms. In </w:t>
      </w:r>
      <w:r w:rsidRPr="00BF3FA1">
        <w:rPr>
          <w:i/>
        </w:rPr>
        <w:t>Doing science: Images in science education</w:t>
      </w:r>
      <w:r>
        <w:t xml:space="preserve">, ed </w:t>
      </w:r>
      <w:r w:rsidRPr="00BF3FA1">
        <w:t>R. Millar</w:t>
      </w:r>
      <w:r>
        <w:t>, 40-41</w:t>
      </w:r>
      <w:r w:rsidRPr="00BF3FA1">
        <w:t>. New York: Falmer.</w:t>
      </w:r>
    </w:p>
    <w:p w14:paraId="467DB51B" w14:textId="77777777" w:rsidR="00D13A3F" w:rsidRDefault="00D13A3F" w:rsidP="00D13A3F">
      <w:pPr>
        <w:pStyle w:val="References"/>
        <w:spacing w:before="0" w:after="240"/>
      </w:pPr>
    </w:p>
    <w:p w14:paraId="5F99B6FB" w14:textId="77777777" w:rsidR="00D13A3F" w:rsidRDefault="00D13A3F" w:rsidP="00D13A3F">
      <w:pPr>
        <w:pStyle w:val="References"/>
        <w:spacing w:before="0" w:after="240"/>
      </w:pPr>
      <w:proofErr w:type="spellStart"/>
      <w:r w:rsidRPr="00BF3FA1">
        <w:t>Feiman-Nemser</w:t>
      </w:r>
      <w:proofErr w:type="spellEnd"/>
      <w:r w:rsidRPr="00BF3FA1">
        <w:t xml:space="preserve">, S., </w:t>
      </w:r>
      <w:r>
        <w:t xml:space="preserve">E. </w:t>
      </w:r>
      <w:r w:rsidRPr="00BF3FA1">
        <w:t>Ta</w:t>
      </w:r>
      <w:r>
        <w:t xml:space="preserve">mir, and K. </w:t>
      </w:r>
      <w:proofErr w:type="spellStart"/>
      <w:r>
        <w:t>Hammerness</w:t>
      </w:r>
      <w:proofErr w:type="spellEnd"/>
      <w:r>
        <w:t>. 2014</w:t>
      </w:r>
      <w:r w:rsidRPr="00BF3FA1">
        <w:t xml:space="preserve">. </w:t>
      </w:r>
      <w:r w:rsidRPr="00EE33DC">
        <w:rPr>
          <w:i/>
        </w:rPr>
        <w:t>Inspiring teaching: Preparing teachers to succeed in mission-driven schools</w:t>
      </w:r>
      <w:r w:rsidRPr="002A113B">
        <w:t>.</w:t>
      </w:r>
      <w:r w:rsidRPr="00BF3FA1">
        <w:t xml:space="preserve"> Cambridge: Harvard Education Press.</w:t>
      </w:r>
    </w:p>
    <w:p w14:paraId="270DA3C9" w14:textId="77777777" w:rsidR="00D13A3F" w:rsidRDefault="00D13A3F" w:rsidP="00D13A3F">
      <w:pPr>
        <w:pStyle w:val="References"/>
        <w:spacing w:before="0" w:after="240"/>
      </w:pPr>
    </w:p>
    <w:p w14:paraId="51511F60" w14:textId="77777777" w:rsidR="00D13A3F" w:rsidRDefault="00D13A3F" w:rsidP="00D13A3F">
      <w:pPr>
        <w:pStyle w:val="References"/>
        <w:spacing w:before="0" w:after="240"/>
      </w:pPr>
      <w:r w:rsidRPr="00BF3FA1">
        <w:t xml:space="preserve">Grossman, P., </w:t>
      </w:r>
      <w:r>
        <w:t xml:space="preserve">K. </w:t>
      </w:r>
      <w:proofErr w:type="spellStart"/>
      <w:r w:rsidRPr="00BF3FA1">
        <w:t>Hammerness</w:t>
      </w:r>
      <w:proofErr w:type="spellEnd"/>
      <w:r w:rsidRPr="00BF3FA1">
        <w:t xml:space="preserve">, </w:t>
      </w:r>
      <w:r>
        <w:t>and M. McDonald. 2009</w:t>
      </w:r>
      <w:r w:rsidRPr="00BF3FA1">
        <w:t xml:space="preserve">. Redefining teaching, re-imagining teacher education. </w:t>
      </w:r>
      <w:r w:rsidRPr="00BF3FA1">
        <w:rPr>
          <w:i/>
        </w:rPr>
        <w:t>Teachers and Teaching: Theory and Practice, 15</w:t>
      </w:r>
      <w:r>
        <w:t xml:space="preserve"> no. </w:t>
      </w:r>
      <w:r w:rsidRPr="00BF3FA1">
        <w:t>2</w:t>
      </w:r>
      <w:r>
        <w:t xml:space="preserve">: </w:t>
      </w:r>
      <w:r w:rsidRPr="00BF3FA1">
        <w:t xml:space="preserve">273-289. </w:t>
      </w:r>
    </w:p>
    <w:p w14:paraId="302D790C" w14:textId="77777777" w:rsidR="00D13A3F" w:rsidRDefault="00D13A3F" w:rsidP="00D13A3F">
      <w:pPr>
        <w:pStyle w:val="References"/>
        <w:spacing w:before="0" w:after="240"/>
      </w:pPr>
    </w:p>
    <w:p w14:paraId="5B898CA9" w14:textId="77777777" w:rsidR="00D13A3F" w:rsidRDefault="00D13A3F" w:rsidP="00D13A3F">
      <w:pPr>
        <w:pStyle w:val="References"/>
        <w:spacing w:before="0" w:after="240"/>
      </w:pPr>
      <w:r>
        <w:t>Hollins, E. R. 2012</w:t>
      </w:r>
      <w:r w:rsidRPr="00BF3FA1">
        <w:t>.</w:t>
      </w:r>
      <w:r w:rsidRPr="002A113B">
        <w:t xml:space="preserve"> </w:t>
      </w:r>
      <w:r w:rsidRPr="00EE33DC">
        <w:rPr>
          <w:i/>
        </w:rPr>
        <w:t xml:space="preserve">Learning to teach in urban schools: The transition from preparation to practice. </w:t>
      </w:r>
      <w:r w:rsidRPr="00BF3FA1">
        <w:t>New York: Routledge.</w:t>
      </w:r>
    </w:p>
    <w:p w14:paraId="46E61E4A" w14:textId="77777777" w:rsidR="00D13A3F" w:rsidRDefault="00D13A3F" w:rsidP="00D13A3F">
      <w:pPr>
        <w:ind w:left="709" w:hanging="709"/>
      </w:pPr>
      <w:proofErr w:type="spellStart"/>
      <w:r>
        <w:lastRenderedPageBreak/>
        <w:t>Hruscka</w:t>
      </w:r>
      <w:proofErr w:type="spellEnd"/>
      <w:r>
        <w:t xml:space="preserve">, D. J., D. Schwartz, D. St Cobb, E. </w:t>
      </w:r>
      <w:proofErr w:type="spellStart"/>
      <w:r>
        <w:t>Picone-Decaro</w:t>
      </w:r>
      <w:proofErr w:type="spellEnd"/>
      <w:r>
        <w:t>, R.A Jenkins, and J.W. Carey.          2004.</w:t>
      </w:r>
      <w:r w:rsidRPr="005D2FAA">
        <w:t xml:space="preserve"> </w:t>
      </w:r>
      <w:r>
        <w:t xml:space="preserve">Reliability in coding open-ended data: lessons learned from HIV behavioural research. </w:t>
      </w:r>
      <w:r w:rsidRPr="002A113B">
        <w:rPr>
          <w:i/>
        </w:rPr>
        <w:t>Field Methods</w:t>
      </w:r>
      <w:r>
        <w:t xml:space="preserve">, </w:t>
      </w:r>
      <w:proofErr w:type="gramStart"/>
      <w:r w:rsidRPr="00E04EDC">
        <w:rPr>
          <w:i/>
        </w:rPr>
        <w:t>16</w:t>
      </w:r>
      <w:r>
        <w:t xml:space="preserve">  no.</w:t>
      </w:r>
      <w:proofErr w:type="gramEnd"/>
      <w:r>
        <w:t>3 :307–331</w:t>
      </w:r>
    </w:p>
    <w:p w14:paraId="0524D022" w14:textId="77777777" w:rsidR="00D13A3F" w:rsidRDefault="00D13A3F" w:rsidP="00D13A3F">
      <w:pPr>
        <w:pStyle w:val="References"/>
        <w:spacing w:before="0" w:after="240"/>
        <w:ind w:left="0" w:firstLine="0"/>
      </w:pPr>
    </w:p>
    <w:p w14:paraId="70515442" w14:textId="77777777" w:rsidR="00D13A3F" w:rsidRDefault="00D13A3F" w:rsidP="00D13A3F">
      <w:pPr>
        <w:pStyle w:val="References"/>
        <w:spacing w:before="0" w:after="240"/>
      </w:pPr>
      <w:proofErr w:type="spellStart"/>
      <w:r w:rsidRPr="00BF3FA1">
        <w:t>Kazemi</w:t>
      </w:r>
      <w:proofErr w:type="spellEnd"/>
      <w:r w:rsidRPr="00BF3FA1">
        <w:t xml:space="preserve">, E., &amp; A. </w:t>
      </w:r>
      <w:r>
        <w:t>Hubbard.</w:t>
      </w:r>
      <w:r w:rsidRPr="00BF3FA1">
        <w:t xml:space="preserve"> </w:t>
      </w:r>
      <w:r>
        <w:t>2008</w:t>
      </w:r>
      <w:r w:rsidRPr="00BF3FA1">
        <w:t xml:space="preserve">. New directions for the design and study of professional development: Attending to the coevolution of teachers' participation across contexts. </w:t>
      </w:r>
      <w:r w:rsidRPr="00BF3FA1">
        <w:rPr>
          <w:i/>
        </w:rPr>
        <w:t>Journal of Teacher Education, 59</w:t>
      </w:r>
      <w:r>
        <w:rPr>
          <w:i/>
        </w:rPr>
        <w:t xml:space="preserve"> </w:t>
      </w:r>
      <w:r>
        <w:t xml:space="preserve">no. 5: </w:t>
      </w:r>
      <w:r w:rsidRPr="00BF3FA1">
        <w:t xml:space="preserve">428-441. </w:t>
      </w:r>
    </w:p>
    <w:p w14:paraId="7B1A52BF" w14:textId="77777777" w:rsidR="00D13A3F" w:rsidRDefault="00D13A3F" w:rsidP="00D13A3F">
      <w:pPr>
        <w:pStyle w:val="References"/>
        <w:spacing w:before="0" w:after="240"/>
      </w:pPr>
    </w:p>
    <w:p w14:paraId="3BE56372" w14:textId="77777777" w:rsidR="00D13A3F" w:rsidRDefault="00D13A3F" w:rsidP="00D13A3F">
      <w:pPr>
        <w:pStyle w:val="References"/>
        <w:spacing w:before="0" w:after="240"/>
      </w:pPr>
      <w:r w:rsidRPr="00BF3FA1">
        <w:t>Korthagen, F</w:t>
      </w:r>
      <w:r>
        <w:t>., J. Loughran, and T. Russell. 2006</w:t>
      </w:r>
      <w:r w:rsidRPr="00BF3FA1">
        <w:t xml:space="preserve">. Developing fundamental principles for teacher education programs and practices. </w:t>
      </w:r>
      <w:r>
        <w:rPr>
          <w:i/>
        </w:rPr>
        <w:t>Teaching and Teacher E</w:t>
      </w:r>
      <w:r w:rsidRPr="00BF3FA1">
        <w:rPr>
          <w:i/>
        </w:rPr>
        <w:t>ducation, 22</w:t>
      </w:r>
      <w:r>
        <w:rPr>
          <w:i/>
        </w:rPr>
        <w:t xml:space="preserve"> </w:t>
      </w:r>
      <w:r>
        <w:t xml:space="preserve">no 8: </w:t>
      </w:r>
      <w:r w:rsidRPr="00BF3FA1">
        <w:t xml:space="preserve"> 1020-1041. </w:t>
      </w:r>
    </w:p>
    <w:p w14:paraId="6A24E234" w14:textId="77777777" w:rsidR="00D13A3F" w:rsidRDefault="00D13A3F" w:rsidP="00D13A3F">
      <w:pPr>
        <w:pStyle w:val="References"/>
        <w:spacing w:before="0" w:after="240"/>
      </w:pPr>
    </w:p>
    <w:p w14:paraId="2406E445" w14:textId="77777777" w:rsidR="00D13A3F" w:rsidRDefault="00D13A3F" w:rsidP="00D13A3F">
      <w:pPr>
        <w:pStyle w:val="References"/>
        <w:spacing w:before="0" w:after="240"/>
      </w:pPr>
      <w:r>
        <w:t>Lampert, M. 2010</w:t>
      </w:r>
      <w:r w:rsidRPr="00BF3FA1">
        <w:t xml:space="preserve">. Learning teaching in, from, and for practice: What do we mean? </w:t>
      </w:r>
      <w:r w:rsidRPr="00BF3FA1">
        <w:rPr>
          <w:i/>
        </w:rPr>
        <w:t>Journal of Teacher Education, 61</w:t>
      </w:r>
      <w:r>
        <w:t xml:space="preserve"> no 21:</w:t>
      </w:r>
      <w:r w:rsidRPr="00BF3FA1">
        <w:t xml:space="preserve"> 21-34. </w:t>
      </w:r>
    </w:p>
    <w:p w14:paraId="376FFCD0" w14:textId="77777777" w:rsidR="00D13A3F" w:rsidRDefault="00D13A3F" w:rsidP="00D13A3F">
      <w:pPr>
        <w:pStyle w:val="References"/>
        <w:spacing w:before="0" w:after="240"/>
      </w:pPr>
    </w:p>
    <w:p w14:paraId="5E4297EB" w14:textId="77777777" w:rsidR="00D13A3F" w:rsidRDefault="00D13A3F" w:rsidP="00D13A3F">
      <w:pPr>
        <w:pStyle w:val="References"/>
        <w:spacing w:before="0" w:after="240"/>
      </w:pPr>
      <w:r w:rsidRPr="00BF3FA1">
        <w:t>Lampert, M.,</w:t>
      </w:r>
      <w:r>
        <w:t xml:space="preserve"> T. A. </w:t>
      </w:r>
      <w:proofErr w:type="spellStart"/>
      <w:r>
        <w:t>Boerst</w:t>
      </w:r>
      <w:proofErr w:type="spellEnd"/>
      <w:r>
        <w:t>, and F. Graziani, 2011.</w:t>
      </w:r>
      <w:r w:rsidRPr="00BF3FA1">
        <w:t xml:space="preserve"> Organizational resources in the service of school-wide ambitious teaching practice. </w:t>
      </w:r>
      <w:r w:rsidRPr="00BF3FA1">
        <w:rPr>
          <w:i/>
        </w:rPr>
        <w:t>Teachers College Record, 113</w:t>
      </w:r>
      <w:r>
        <w:t xml:space="preserve"> no7: </w:t>
      </w:r>
      <w:r w:rsidRPr="00BF3FA1">
        <w:t xml:space="preserve">1361-1400. </w:t>
      </w:r>
    </w:p>
    <w:p w14:paraId="3BCB02D7" w14:textId="77777777" w:rsidR="00D13A3F" w:rsidRDefault="00D13A3F" w:rsidP="00D13A3F">
      <w:pPr>
        <w:pStyle w:val="References"/>
        <w:spacing w:before="0" w:after="240"/>
      </w:pPr>
    </w:p>
    <w:p w14:paraId="7638BE3B" w14:textId="77777777" w:rsidR="00D13A3F" w:rsidRDefault="00D13A3F" w:rsidP="00D13A3F">
      <w:pPr>
        <w:pStyle w:val="References"/>
        <w:spacing w:before="0" w:after="240"/>
      </w:pPr>
      <w:r w:rsidRPr="00BF3FA1">
        <w:t>Lampert, M., M. L</w:t>
      </w:r>
      <w:r>
        <w:t>.</w:t>
      </w:r>
      <w:r w:rsidRPr="00BF3FA1">
        <w:t xml:space="preserve"> </w:t>
      </w:r>
      <w:r>
        <w:t>Franke</w:t>
      </w:r>
      <w:r w:rsidRPr="00BF3FA1">
        <w:t xml:space="preserve">, </w:t>
      </w:r>
      <w:r>
        <w:t>E.</w:t>
      </w:r>
      <w:r w:rsidRPr="00BF3FA1">
        <w:t xml:space="preserve"> </w:t>
      </w:r>
      <w:proofErr w:type="spellStart"/>
      <w:r w:rsidRPr="00BF3FA1">
        <w:t>Kazemi</w:t>
      </w:r>
      <w:proofErr w:type="spellEnd"/>
      <w:r w:rsidRPr="00BF3FA1">
        <w:t xml:space="preserve">, </w:t>
      </w:r>
      <w:r>
        <w:t xml:space="preserve">H. </w:t>
      </w:r>
      <w:proofErr w:type="spellStart"/>
      <w:r w:rsidRPr="00BF3FA1">
        <w:t>Ghousseini</w:t>
      </w:r>
      <w:proofErr w:type="spellEnd"/>
      <w:r w:rsidRPr="00BF3FA1">
        <w:t xml:space="preserve">, </w:t>
      </w:r>
      <w:r>
        <w:t xml:space="preserve">A. </w:t>
      </w:r>
      <w:proofErr w:type="spellStart"/>
      <w:proofErr w:type="gramStart"/>
      <w:r>
        <w:t>C.</w:t>
      </w:r>
      <w:r w:rsidRPr="00BF3FA1">
        <w:t>Turrou</w:t>
      </w:r>
      <w:proofErr w:type="spellEnd"/>
      <w:proofErr w:type="gramEnd"/>
      <w:r w:rsidRPr="00BF3FA1">
        <w:t xml:space="preserve">, </w:t>
      </w:r>
      <w:proofErr w:type="spellStart"/>
      <w:r>
        <w:t>H.Beasley</w:t>
      </w:r>
      <w:proofErr w:type="spellEnd"/>
      <w:r>
        <w:t>, and</w:t>
      </w:r>
      <w:r w:rsidRPr="00BF3FA1">
        <w:t xml:space="preserve"> K. Crowe, </w:t>
      </w:r>
      <w:r>
        <w:t>2013</w:t>
      </w:r>
      <w:r w:rsidRPr="00BF3FA1">
        <w:t xml:space="preserve">. Keeping it complex: Using rehearsals to support novice teacher learning of ambitious teaching. </w:t>
      </w:r>
      <w:r w:rsidRPr="00BF3FA1">
        <w:rPr>
          <w:i/>
        </w:rPr>
        <w:t>Journal of Teacher Education, 64</w:t>
      </w:r>
      <w:r>
        <w:rPr>
          <w:i/>
        </w:rPr>
        <w:t xml:space="preserve"> </w:t>
      </w:r>
      <w:r>
        <w:t>no 3:</w:t>
      </w:r>
      <w:r w:rsidRPr="00BF3FA1">
        <w:t xml:space="preserve"> 226-243. </w:t>
      </w:r>
    </w:p>
    <w:p w14:paraId="79E6CC40" w14:textId="77777777" w:rsidR="00D13A3F" w:rsidRDefault="00D13A3F" w:rsidP="00D13A3F">
      <w:pPr>
        <w:pStyle w:val="References"/>
        <w:spacing w:before="0" w:after="240"/>
      </w:pPr>
    </w:p>
    <w:p w14:paraId="2636A5F8" w14:textId="77777777" w:rsidR="00D13A3F" w:rsidRDefault="00D13A3F" w:rsidP="00D13A3F">
      <w:pPr>
        <w:pStyle w:val="References"/>
        <w:spacing w:before="0" w:after="240"/>
      </w:pPr>
      <w:r w:rsidRPr="00BF3FA1">
        <w:t xml:space="preserve">Leonardi, S., </w:t>
      </w:r>
      <w:r>
        <w:t xml:space="preserve">H. </w:t>
      </w:r>
      <w:r w:rsidRPr="00BF3FA1">
        <w:t>Lamb,</w:t>
      </w:r>
      <w:r>
        <w:t xml:space="preserve"> </w:t>
      </w:r>
      <w:proofErr w:type="spellStart"/>
      <w:proofErr w:type="gramStart"/>
      <w:r>
        <w:t>P.Howe</w:t>
      </w:r>
      <w:proofErr w:type="spellEnd"/>
      <w:proofErr w:type="gramEnd"/>
      <w:r>
        <w:t xml:space="preserve">, and A. </w:t>
      </w:r>
      <w:proofErr w:type="spellStart"/>
      <w:r>
        <w:t>Choudoury</w:t>
      </w:r>
      <w:proofErr w:type="spellEnd"/>
      <w:r>
        <w:t>. 2017</w:t>
      </w:r>
      <w:r w:rsidRPr="00BF3FA1">
        <w:t xml:space="preserve">. </w:t>
      </w:r>
      <w:r w:rsidRPr="00BF3FA1">
        <w:rPr>
          <w:i/>
        </w:rPr>
        <w:t xml:space="preserve">State of the nation report of </w:t>
      </w:r>
      <w:r>
        <w:rPr>
          <w:i/>
        </w:rPr>
        <w:t>UK</w:t>
      </w:r>
      <w:r w:rsidRPr="00BF3FA1">
        <w:rPr>
          <w:i/>
        </w:rPr>
        <w:t xml:space="preserve"> primary science education</w:t>
      </w:r>
      <w:r w:rsidRPr="00BF3FA1">
        <w:t xml:space="preserve">. Retrieved from CFE Research for the </w:t>
      </w:r>
      <w:proofErr w:type="spellStart"/>
      <w:r w:rsidRPr="00BF3FA1">
        <w:t>Wellcome</w:t>
      </w:r>
      <w:proofErr w:type="spellEnd"/>
      <w:r w:rsidRPr="00BF3FA1">
        <w:t xml:space="preserve"> Trust website: </w:t>
      </w:r>
      <w:hyperlink r:id="rId11" w:history="1">
        <w:r w:rsidRPr="008A2582">
          <w:rPr>
            <w:rStyle w:val="Hyperlink"/>
          </w:rPr>
          <w:t>https://wellcome.ac.uk/sites/default/files/state-of-the-nation-report-of-uk-science-education.pdf</w:t>
        </w:r>
      </w:hyperlink>
    </w:p>
    <w:p w14:paraId="1989D22B" w14:textId="77777777" w:rsidR="00D13A3F" w:rsidRDefault="00D13A3F" w:rsidP="00D13A3F">
      <w:pPr>
        <w:pStyle w:val="References"/>
        <w:spacing w:before="0" w:after="240"/>
      </w:pPr>
    </w:p>
    <w:p w14:paraId="57508281" w14:textId="77777777" w:rsidR="00D13A3F" w:rsidRDefault="00D13A3F" w:rsidP="00D13A3F">
      <w:pPr>
        <w:pStyle w:val="References"/>
        <w:spacing w:before="0" w:after="240"/>
      </w:pPr>
      <w:r>
        <w:t>Levin, B. B., and T.C. Rock. 2003</w:t>
      </w:r>
      <w:r w:rsidRPr="00BF3FA1">
        <w:t xml:space="preserve">. The effects of collaborative action research on preservice and experienced teacher partners in professional development schools. </w:t>
      </w:r>
      <w:r w:rsidRPr="00BF3FA1">
        <w:rPr>
          <w:i/>
        </w:rPr>
        <w:t>Journal of Teacher Education, 54</w:t>
      </w:r>
      <w:r>
        <w:t xml:space="preserve"> no. </w:t>
      </w:r>
      <w:r w:rsidRPr="00BF3FA1">
        <w:t>2</w:t>
      </w:r>
      <w:r>
        <w:t xml:space="preserve">: </w:t>
      </w:r>
      <w:r w:rsidRPr="00BF3FA1">
        <w:t xml:space="preserve">135-149. </w:t>
      </w:r>
    </w:p>
    <w:p w14:paraId="46AB6242" w14:textId="77777777" w:rsidR="00D13A3F" w:rsidRDefault="00D13A3F" w:rsidP="00D13A3F">
      <w:pPr>
        <w:pStyle w:val="References"/>
        <w:spacing w:before="0" w:after="240"/>
      </w:pPr>
    </w:p>
    <w:p w14:paraId="37E55E2F" w14:textId="77777777" w:rsidR="00D13A3F" w:rsidRDefault="00D13A3F" w:rsidP="00D13A3F">
      <w:pPr>
        <w:pStyle w:val="References"/>
        <w:spacing w:before="0" w:after="240"/>
      </w:pPr>
      <w:r w:rsidRPr="00BF3FA1">
        <w:lastRenderedPageBreak/>
        <w:t xml:space="preserve">Lewthwaite, B. E., </w:t>
      </w:r>
      <w:r>
        <w:t xml:space="preserve">J. </w:t>
      </w:r>
      <w:r w:rsidRPr="00BF3FA1">
        <w:t xml:space="preserve">Stableford, &amp; </w:t>
      </w:r>
      <w:r>
        <w:t xml:space="preserve">D.L. </w:t>
      </w:r>
      <w:r w:rsidRPr="00BF3FA1">
        <w:t xml:space="preserve">Fisher. </w:t>
      </w:r>
      <w:r>
        <w:t xml:space="preserve"> 2001</w:t>
      </w:r>
      <w:r w:rsidRPr="00BF3FA1">
        <w:t xml:space="preserve">. Enlarging the focus on primary science education in </w:t>
      </w:r>
      <w:r>
        <w:t>N</w:t>
      </w:r>
      <w:r w:rsidRPr="00BF3FA1">
        <w:t xml:space="preserve">ew </w:t>
      </w:r>
      <w:r>
        <w:t>Z</w:t>
      </w:r>
      <w:r w:rsidRPr="00BF3FA1">
        <w:t xml:space="preserve">ealand. In </w:t>
      </w:r>
      <w:r w:rsidRPr="00BF3FA1">
        <w:rPr>
          <w:i/>
        </w:rPr>
        <w:t>Same papers 2001</w:t>
      </w:r>
      <w:r w:rsidRPr="00E04EDC">
        <w:t xml:space="preserve"> </w:t>
      </w:r>
      <w:r>
        <w:t>ed. R. K. Coll.</w:t>
      </w:r>
      <w:r w:rsidRPr="00BF3FA1">
        <w:t xml:space="preserve"> New Zealand: Centre for Science and Technology Education Research, Waikato University.</w:t>
      </w:r>
    </w:p>
    <w:p w14:paraId="755B139A" w14:textId="77777777" w:rsidR="00D13A3F" w:rsidRDefault="00D13A3F" w:rsidP="00D13A3F">
      <w:pPr>
        <w:pStyle w:val="References"/>
        <w:spacing w:before="0" w:after="240"/>
      </w:pPr>
    </w:p>
    <w:p w14:paraId="420BF5AE" w14:textId="77777777" w:rsidR="00D13A3F" w:rsidRDefault="00D13A3F" w:rsidP="00D13A3F">
      <w:pPr>
        <w:pStyle w:val="References"/>
        <w:spacing w:before="0" w:after="240"/>
        <w:rPr>
          <w:rStyle w:val="Hyperlink"/>
        </w:rPr>
      </w:pPr>
      <w:r>
        <w:t>Lewthwaite, B.,</w:t>
      </w:r>
      <w:r w:rsidRPr="00BF3FA1">
        <w:t xml:space="preserve"> </w:t>
      </w:r>
      <w:r>
        <w:t>and</w:t>
      </w:r>
      <w:r w:rsidRPr="00BF3FA1">
        <w:t xml:space="preserve"> D. </w:t>
      </w:r>
      <w:r>
        <w:t xml:space="preserve"> Fisher. 2004</w:t>
      </w:r>
      <w:r w:rsidRPr="00BF3FA1">
        <w:t xml:space="preserve">. The application of a primary science delivery evaluation questionnaire. </w:t>
      </w:r>
      <w:r w:rsidRPr="00BF3FA1">
        <w:rPr>
          <w:i/>
        </w:rPr>
        <w:t>Research in Science Education, 34</w:t>
      </w:r>
      <w:r>
        <w:t xml:space="preserve"> no.</w:t>
      </w:r>
      <w:r w:rsidRPr="00BF3FA1">
        <w:t>1</w:t>
      </w:r>
      <w:r>
        <w:t>:</w:t>
      </w:r>
      <w:r w:rsidRPr="00BF3FA1">
        <w:t xml:space="preserve"> 55-70. doi:10.1023/</w:t>
      </w:r>
      <w:proofErr w:type="gramStart"/>
      <w:r w:rsidRPr="00BF3FA1">
        <w:t>B:RISE</w:t>
      </w:r>
      <w:proofErr w:type="gramEnd"/>
      <w:r w:rsidRPr="00BF3FA1">
        <w:t xml:space="preserve">.0000020899.42419.1c Retrieved from </w:t>
      </w:r>
      <w:hyperlink r:id="rId12" w:history="1">
        <w:r w:rsidRPr="009F3CAB">
          <w:rPr>
            <w:rStyle w:val="Hyperlink"/>
          </w:rPr>
          <w:t>https://doi.org/10.1023/B:RISE.0000020899.42419.1c</w:t>
        </w:r>
      </w:hyperlink>
    </w:p>
    <w:p w14:paraId="5FDCDC11" w14:textId="77777777" w:rsidR="00D13A3F" w:rsidRDefault="00D13A3F" w:rsidP="00D13A3F">
      <w:pPr>
        <w:pStyle w:val="References"/>
        <w:spacing w:before="0" w:after="240"/>
      </w:pPr>
    </w:p>
    <w:p w14:paraId="36F3596F" w14:textId="77777777" w:rsidR="00D13A3F" w:rsidRDefault="00D13A3F" w:rsidP="00D13A3F">
      <w:pPr>
        <w:pStyle w:val="References"/>
        <w:spacing w:before="0" w:after="240"/>
      </w:pPr>
      <w:r w:rsidRPr="00BF3FA1">
        <w:t xml:space="preserve">McDonald, M., </w:t>
      </w:r>
      <w:r>
        <w:t>E.</w:t>
      </w:r>
      <w:r w:rsidRPr="00BF3FA1">
        <w:t xml:space="preserve"> </w:t>
      </w:r>
      <w:proofErr w:type="spellStart"/>
      <w:r w:rsidRPr="00BF3FA1">
        <w:t>Kazemi</w:t>
      </w:r>
      <w:proofErr w:type="spellEnd"/>
      <w:r w:rsidRPr="00BF3FA1">
        <w:t xml:space="preserve">, </w:t>
      </w:r>
      <w:r>
        <w:t>and</w:t>
      </w:r>
      <w:r w:rsidRPr="00BF3FA1">
        <w:t xml:space="preserve"> S. </w:t>
      </w:r>
      <w:r>
        <w:t>Kavanagh. 2013</w:t>
      </w:r>
      <w:r w:rsidRPr="00BF3FA1">
        <w:t xml:space="preserve">. Core practices and pedagogies of teacher education: A call for a common language and collective activity. </w:t>
      </w:r>
      <w:r w:rsidRPr="00BF3FA1">
        <w:rPr>
          <w:i/>
        </w:rPr>
        <w:t>Journal of Teacher Education, 64</w:t>
      </w:r>
      <w:r>
        <w:t xml:space="preserve"> no.</w:t>
      </w:r>
      <w:r w:rsidRPr="00BF3FA1">
        <w:t>5</w:t>
      </w:r>
      <w:r>
        <w:t>:</w:t>
      </w:r>
      <w:r w:rsidRPr="00BF3FA1">
        <w:t xml:space="preserve"> 378-386. </w:t>
      </w:r>
    </w:p>
    <w:p w14:paraId="30BAC853" w14:textId="77777777" w:rsidR="00D13A3F" w:rsidRDefault="00D13A3F" w:rsidP="00D13A3F">
      <w:pPr>
        <w:pStyle w:val="References"/>
        <w:spacing w:before="0" w:after="240"/>
      </w:pPr>
    </w:p>
    <w:p w14:paraId="08A3D932" w14:textId="77777777" w:rsidR="00D13A3F" w:rsidRDefault="00D13A3F" w:rsidP="00D13A3F">
      <w:pPr>
        <w:pStyle w:val="References"/>
        <w:spacing w:before="0" w:after="240"/>
        <w:rPr>
          <w:rStyle w:val="Hyperlink"/>
        </w:rPr>
      </w:pPr>
      <w:r w:rsidRPr="00BF3FA1">
        <w:t xml:space="preserve">OECD Publishing. </w:t>
      </w:r>
      <w:r>
        <w:t xml:space="preserve"> 2018</w:t>
      </w:r>
      <w:r w:rsidRPr="00BF3FA1">
        <w:t xml:space="preserve">. </w:t>
      </w:r>
      <w:r w:rsidRPr="00BF3FA1">
        <w:rPr>
          <w:i/>
        </w:rPr>
        <w:t xml:space="preserve">Effective teacher policies: Insights from </w:t>
      </w:r>
      <w:r>
        <w:rPr>
          <w:i/>
        </w:rPr>
        <w:t>PISA</w:t>
      </w:r>
      <w:r w:rsidRPr="00BF3FA1">
        <w:t xml:space="preserve">. Retrieved from OECD website: </w:t>
      </w:r>
      <w:hyperlink r:id="rId13" w:history="1">
        <w:r w:rsidRPr="009F3CAB">
          <w:rPr>
            <w:rStyle w:val="Hyperlink"/>
          </w:rPr>
          <w:t>http://dx.doi.org/10.1787/9789264301603-en</w:t>
        </w:r>
      </w:hyperlink>
    </w:p>
    <w:p w14:paraId="10CFF9C1" w14:textId="77777777" w:rsidR="00D13A3F" w:rsidRDefault="00D13A3F" w:rsidP="00D13A3F">
      <w:pPr>
        <w:pStyle w:val="References"/>
        <w:spacing w:before="0" w:after="240"/>
      </w:pPr>
    </w:p>
    <w:p w14:paraId="15AD297F" w14:textId="77777777" w:rsidR="00D13A3F" w:rsidRDefault="00D13A3F" w:rsidP="00D13A3F">
      <w:pPr>
        <w:pStyle w:val="References"/>
        <w:spacing w:before="0" w:after="240"/>
      </w:pPr>
      <w:r>
        <w:t xml:space="preserve">Ofsted School Report. 2015. </w:t>
      </w:r>
      <w:r w:rsidRPr="00EE33DC">
        <w:rPr>
          <w:i/>
        </w:rPr>
        <w:t xml:space="preserve">Our Lady and Saint </w:t>
      </w:r>
      <w:proofErr w:type="spellStart"/>
      <w:r w:rsidRPr="00EE33DC">
        <w:rPr>
          <w:i/>
        </w:rPr>
        <w:t>Swithin’s</w:t>
      </w:r>
      <w:proofErr w:type="spellEnd"/>
      <w:r w:rsidRPr="00EE33DC">
        <w:rPr>
          <w:i/>
        </w:rPr>
        <w:t xml:space="preserve"> Catholic Primary School</w:t>
      </w:r>
      <w:r>
        <w:t xml:space="preserve">. Retrieved from </w:t>
      </w:r>
      <w:hyperlink r:id="rId14" w:history="1">
        <w:r w:rsidRPr="005D4B77">
          <w:rPr>
            <w:rStyle w:val="Hyperlink"/>
          </w:rPr>
          <w:t>https://files.api.ofsted.gov.uk/v1/file/2535178</w:t>
        </w:r>
      </w:hyperlink>
    </w:p>
    <w:p w14:paraId="2F1DB272" w14:textId="77777777" w:rsidR="00D13A3F" w:rsidRDefault="00D13A3F" w:rsidP="00D13A3F">
      <w:pPr>
        <w:pStyle w:val="References"/>
        <w:spacing w:before="0" w:after="240"/>
      </w:pPr>
    </w:p>
    <w:p w14:paraId="215399EE" w14:textId="77777777" w:rsidR="00D13A3F" w:rsidRDefault="00D13A3F" w:rsidP="00D13A3F">
      <w:pPr>
        <w:pStyle w:val="References"/>
        <w:spacing w:before="0" w:after="240"/>
      </w:pPr>
      <w:r>
        <w:t>Pawson, R., and N. Tilley.1997</w:t>
      </w:r>
      <w:r w:rsidRPr="00702FB4">
        <w:t xml:space="preserve">. An introduction to scientific realist evaluation. In </w:t>
      </w:r>
      <w:r w:rsidRPr="00702FB4">
        <w:rPr>
          <w:i/>
          <w:iCs/>
        </w:rPr>
        <w:t>Evaluation for the 21st century: A handbook</w:t>
      </w:r>
      <w:r w:rsidRPr="00702FB4">
        <w:t xml:space="preserve"> </w:t>
      </w:r>
      <w:r>
        <w:t xml:space="preserve">ed. </w:t>
      </w:r>
      <w:r w:rsidRPr="00702FB4">
        <w:t xml:space="preserve">E. </w:t>
      </w:r>
      <w:proofErr w:type="spellStart"/>
      <w:r w:rsidRPr="00702FB4">
        <w:t>Chelimsky</w:t>
      </w:r>
      <w:proofErr w:type="spellEnd"/>
      <w:r w:rsidRPr="00702FB4">
        <w:t xml:space="preserve"> </w:t>
      </w:r>
      <w:proofErr w:type="gramStart"/>
      <w:r>
        <w:t xml:space="preserve">and </w:t>
      </w:r>
      <w:r w:rsidRPr="00702FB4">
        <w:t xml:space="preserve"> W.</w:t>
      </w:r>
      <w:proofErr w:type="gramEnd"/>
      <w:r w:rsidRPr="00702FB4">
        <w:t xml:space="preserve"> R. </w:t>
      </w:r>
      <w:proofErr w:type="spellStart"/>
      <w:r w:rsidRPr="00702FB4">
        <w:t>Shadish</w:t>
      </w:r>
      <w:proofErr w:type="spellEnd"/>
      <w:r>
        <w:t>. 405-418</w:t>
      </w:r>
      <w:r w:rsidRPr="00702FB4">
        <w:t>. California: Sage.</w:t>
      </w:r>
    </w:p>
    <w:p w14:paraId="1F450320" w14:textId="77777777" w:rsidR="00D13A3F" w:rsidRDefault="00D13A3F" w:rsidP="00D13A3F">
      <w:pPr>
        <w:pStyle w:val="References"/>
        <w:spacing w:before="0" w:after="240"/>
      </w:pPr>
    </w:p>
    <w:p w14:paraId="359596ED" w14:textId="77777777" w:rsidR="00D13A3F" w:rsidRDefault="00D13A3F" w:rsidP="00D13A3F">
      <w:pPr>
        <w:pStyle w:val="References"/>
        <w:spacing w:before="0" w:after="240"/>
        <w:rPr>
          <w:rStyle w:val="Hyperlink"/>
        </w:rPr>
      </w:pPr>
      <w:r w:rsidRPr="00BF3FA1">
        <w:t>Pete</w:t>
      </w:r>
      <w:r>
        <w:t xml:space="preserve">rsen, J. E., and D. F. </w:t>
      </w:r>
      <w:proofErr w:type="spellStart"/>
      <w:r>
        <w:t>Treagust</w:t>
      </w:r>
      <w:proofErr w:type="spellEnd"/>
      <w:r>
        <w:t>, 2014</w:t>
      </w:r>
      <w:r w:rsidRPr="00BF3FA1">
        <w:t xml:space="preserve">. School and university partnerships: The role of teacher education institutions and primary schools in the development of preservice teachers’ science teaching efficacy. </w:t>
      </w:r>
      <w:r w:rsidRPr="00BF3FA1">
        <w:rPr>
          <w:i/>
        </w:rPr>
        <w:t>Australian Journal of Teacher Education, 39</w:t>
      </w:r>
      <w:r>
        <w:rPr>
          <w:i/>
        </w:rPr>
        <w:t xml:space="preserve"> </w:t>
      </w:r>
      <w:r>
        <w:t>no.</w:t>
      </w:r>
      <w:r w:rsidRPr="00BF3FA1">
        <w:t>9</w:t>
      </w:r>
      <w:r>
        <w:t xml:space="preserve">. </w:t>
      </w:r>
      <w:r w:rsidRPr="00BF3FA1">
        <w:t xml:space="preserve">Retrieved from </w:t>
      </w:r>
      <w:hyperlink r:id="rId15" w:history="1">
        <w:r w:rsidRPr="009F3CAB">
          <w:rPr>
            <w:rStyle w:val="Hyperlink"/>
          </w:rPr>
          <w:t>https://files.eric.ed.gov/fulltext/EJ1038100.pdf</w:t>
        </w:r>
      </w:hyperlink>
    </w:p>
    <w:p w14:paraId="46CBD3B2" w14:textId="77777777" w:rsidR="00D13A3F" w:rsidRDefault="00D13A3F" w:rsidP="00D13A3F">
      <w:pPr>
        <w:pStyle w:val="References"/>
        <w:spacing w:before="0" w:after="240"/>
      </w:pPr>
    </w:p>
    <w:p w14:paraId="14852617" w14:textId="77777777" w:rsidR="00D13A3F" w:rsidRDefault="00D13A3F" w:rsidP="00D13A3F">
      <w:pPr>
        <w:pStyle w:val="References"/>
        <w:spacing w:before="0" w:after="240"/>
      </w:pPr>
      <w:proofErr w:type="spellStart"/>
      <w:r w:rsidRPr="00BF3FA1">
        <w:t>Seimears</w:t>
      </w:r>
      <w:proofErr w:type="spellEnd"/>
      <w:r w:rsidRPr="00BF3FA1">
        <w:t xml:space="preserve">, C. M., </w:t>
      </w:r>
      <w:r>
        <w:t xml:space="preserve">E. </w:t>
      </w:r>
      <w:r w:rsidRPr="00BF3FA1">
        <w:t xml:space="preserve">Graves, </w:t>
      </w:r>
      <w:r>
        <w:t xml:space="preserve">M. </w:t>
      </w:r>
      <w:proofErr w:type="spellStart"/>
      <w:proofErr w:type="gramStart"/>
      <w:r>
        <w:t>G.</w:t>
      </w:r>
      <w:r w:rsidRPr="00BF3FA1">
        <w:t>Schroyer</w:t>
      </w:r>
      <w:proofErr w:type="spellEnd"/>
      <w:proofErr w:type="gramEnd"/>
      <w:r w:rsidRPr="00BF3FA1">
        <w:t xml:space="preserve">, </w:t>
      </w:r>
      <w:r>
        <w:t xml:space="preserve">and </w:t>
      </w:r>
      <w:proofErr w:type="spellStart"/>
      <w:r>
        <w:t>J.</w:t>
      </w:r>
      <w:r w:rsidRPr="00BF3FA1">
        <w:t>Staver</w:t>
      </w:r>
      <w:proofErr w:type="spellEnd"/>
      <w:r>
        <w:t>. 2012</w:t>
      </w:r>
      <w:r w:rsidRPr="00BF3FA1">
        <w:t xml:space="preserve">. How constructivist-based teaching influences students learning science. </w:t>
      </w:r>
      <w:r w:rsidRPr="00BF3FA1">
        <w:rPr>
          <w:i/>
        </w:rPr>
        <w:t>The Educational Forum, 76</w:t>
      </w:r>
      <w:r>
        <w:t xml:space="preserve"> no.2:</w:t>
      </w:r>
      <w:r w:rsidRPr="00BF3FA1">
        <w:t xml:space="preserve"> 265-271. </w:t>
      </w:r>
    </w:p>
    <w:p w14:paraId="5312EC56" w14:textId="77777777" w:rsidR="00D13A3F" w:rsidRDefault="00D13A3F" w:rsidP="00D13A3F">
      <w:pPr>
        <w:pStyle w:val="References"/>
        <w:spacing w:before="0" w:after="240"/>
      </w:pPr>
    </w:p>
    <w:p w14:paraId="180190FC" w14:textId="77777777" w:rsidR="00D13A3F" w:rsidRDefault="00D13A3F" w:rsidP="00D13A3F">
      <w:pPr>
        <w:pStyle w:val="References"/>
        <w:spacing w:before="0" w:after="240"/>
      </w:pPr>
      <w:r w:rsidRPr="00BF3FA1">
        <w:t xml:space="preserve">Shields, C. M., </w:t>
      </w:r>
      <w:r>
        <w:t xml:space="preserve">R. </w:t>
      </w:r>
      <w:r w:rsidRPr="00BF3FA1">
        <w:t xml:space="preserve">Bishop, </w:t>
      </w:r>
      <w:r>
        <w:t>and A.E.</w:t>
      </w:r>
      <w:r w:rsidRPr="00BF3FA1">
        <w:t xml:space="preserve"> </w:t>
      </w:r>
      <w:proofErr w:type="spellStart"/>
      <w:r w:rsidRPr="00BF3FA1">
        <w:t>Mazawi</w:t>
      </w:r>
      <w:proofErr w:type="spellEnd"/>
      <w:r>
        <w:t>. 2005</w:t>
      </w:r>
      <w:r w:rsidRPr="00BF3FA1">
        <w:t xml:space="preserve">. </w:t>
      </w:r>
      <w:r w:rsidRPr="00BF3FA1">
        <w:rPr>
          <w:i/>
        </w:rPr>
        <w:t>Pathologizing practices</w:t>
      </w:r>
      <w:r w:rsidRPr="00BF3FA1">
        <w:t>: Peter Lang.</w:t>
      </w:r>
    </w:p>
    <w:p w14:paraId="0F23E30D" w14:textId="77777777" w:rsidR="00D13A3F" w:rsidRDefault="00D13A3F" w:rsidP="00D13A3F">
      <w:r>
        <w:t xml:space="preserve">Srivastava, A. and S. B. Thomson, 2009. Framework Analysis: A Qualitative Methodology for Applied Policy Research. </w:t>
      </w:r>
      <w:r w:rsidRPr="002D7465">
        <w:rPr>
          <w:i/>
        </w:rPr>
        <w:t>Journal of Administration &amp; Governance</w:t>
      </w:r>
    </w:p>
    <w:p w14:paraId="6ECA127B" w14:textId="77777777" w:rsidR="00D13A3F" w:rsidRDefault="00D13A3F" w:rsidP="00D13A3F">
      <w:pPr>
        <w:pStyle w:val="References"/>
        <w:spacing w:before="0" w:after="240"/>
      </w:pPr>
    </w:p>
    <w:p w14:paraId="5933F1B1" w14:textId="77777777" w:rsidR="00D13A3F" w:rsidRPr="002D7465" w:rsidRDefault="00D13A3F" w:rsidP="00D13A3F">
      <w:pPr>
        <w:pStyle w:val="References"/>
        <w:spacing w:before="0" w:after="240"/>
        <w:rPr>
          <w:rStyle w:val="Hyperlink"/>
        </w:rPr>
      </w:pPr>
      <w:proofErr w:type="spellStart"/>
      <w:r>
        <w:t>Ullucci</w:t>
      </w:r>
      <w:proofErr w:type="spellEnd"/>
      <w:r>
        <w:t>, K., and T. Howard. 2015</w:t>
      </w:r>
      <w:r w:rsidRPr="00BF3FA1">
        <w:t xml:space="preserve">. Pathologizing the poor: Implications for preparing teachers to work in high-poverty schools. </w:t>
      </w:r>
      <w:r w:rsidRPr="00BF3FA1">
        <w:rPr>
          <w:i/>
        </w:rPr>
        <w:t>Urban Education, 50</w:t>
      </w:r>
      <w:r>
        <w:t xml:space="preserve"> no2:</w:t>
      </w:r>
      <w:r w:rsidRPr="00BF3FA1">
        <w:t xml:space="preserve"> 170-193. </w:t>
      </w:r>
    </w:p>
    <w:p w14:paraId="38CBFAA1" w14:textId="77777777" w:rsidR="00D13A3F" w:rsidRDefault="00D13A3F" w:rsidP="00D13A3F">
      <w:pPr>
        <w:pStyle w:val="References"/>
        <w:spacing w:before="0" w:after="240"/>
      </w:pPr>
    </w:p>
    <w:p w14:paraId="045AB87A" w14:textId="77777777" w:rsidR="00D13A3F" w:rsidRDefault="00D13A3F" w:rsidP="00D13A3F">
      <w:pPr>
        <w:pStyle w:val="References"/>
        <w:spacing w:before="0" w:after="240"/>
      </w:pPr>
      <w:r>
        <w:t xml:space="preserve">Van </w:t>
      </w:r>
      <w:proofErr w:type="spellStart"/>
      <w:r>
        <w:t>Manen</w:t>
      </w:r>
      <w:proofErr w:type="spellEnd"/>
      <w:r>
        <w:t>, M. 1991</w:t>
      </w:r>
      <w:r w:rsidRPr="00BF3FA1">
        <w:t xml:space="preserve">. </w:t>
      </w:r>
      <w:r w:rsidRPr="00EE33DC">
        <w:rPr>
          <w:i/>
        </w:rPr>
        <w:t>The tact of teaching: The meaning of pedagogical thoughtfulness.</w:t>
      </w:r>
      <w:r>
        <w:t xml:space="preserve"> </w:t>
      </w:r>
      <w:r w:rsidRPr="00BF3FA1">
        <w:t>New York: State University of New York.</w:t>
      </w:r>
    </w:p>
    <w:p w14:paraId="2763C676" w14:textId="77777777" w:rsidR="00D13A3F" w:rsidRDefault="00D13A3F" w:rsidP="00D13A3F">
      <w:pPr>
        <w:pStyle w:val="References"/>
        <w:spacing w:before="0" w:after="240"/>
      </w:pPr>
    </w:p>
    <w:p w14:paraId="39C161CD" w14:textId="77777777" w:rsidR="00D13A3F" w:rsidRDefault="00D13A3F" w:rsidP="00D13A3F">
      <w:pPr>
        <w:pStyle w:val="References"/>
        <w:spacing w:before="0" w:after="240"/>
        <w:rPr>
          <w:rStyle w:val="Hyperlink"/>
        </w:rPr>
      </w:pPr>
      <w:proofErr w:type="spellStart"/>
      <w:r>
        <w:t>Wellcome</w:t>
      </w:r>
      <w:proofErr w:type="spellEnd"/>
      <w:r>
        <w:t xml:space="preserve"> Foundation. </w:t>
      </w:r>
      <w:r w:rsidRPr="00BF3FA1">
        <w:t xml:space="preserve">2014. </w:t>
      </w:r>
      <w:r w:rsidRPr="00EE33DC">
        <w:rPr>
          <w:i/>
        </w:rPr>
        <w:t>Primary science, is it missing out? Recommendations for reviewing primary science.</w:t>
      </w:r>
      <w:r w:rsidRPr="00BF3FA1">
        <w:t xml:space="preserve"> Retrieved from The </w:t>
      </w:r>
      <w:proofErr w:type="spellStart"/>
      <w:r w:rsidRPr="00BF3FA1">
        <w:t>Wellcome</w:t>
      </w:r>
      <w:proofErr w:type="spellEnd"/>
      <w:r w:rsidRPr="00BF3FA1">
        <w:t xml:space="preserve"> Trust website: </w:t>
      </w:r>
      <w:hyperlink r:id="rId16" w:history="1">
        <w:r w:rsidRPr="009F3CAB">
          <w:rPr>
            <w:rStyle w:val="Hyperlink"/>
          </w:rPr>
          <w:t>https://wellcome.ac.uk/sites/default/files/primary-science-is-it-missing-out-wellcome-sep14.pdf</w:t>
        </w:r>
      </w:hyperlink>
    </w:p>
    <w:p w14:paraId="4AD1D382" w14:textId="77777777" w:rsidR="00D13A3F" w:rsidRDefault="00D13A3F" w:rsidP="00D13A3F">
      <w:pPr>
        <w:pStyle w:val="References"/>
        <w:spacing w:before="0" w:after="240"/>
      </w:pPr>
    </w:p>
    <w:p w14:paraId="6EABFA7D" w14:textId="77777777" w:rsidR="00D13A3F" w:rsidRDefault="00D13A3F" w:rsidP="00D13A3F">
      <w:pPr>
        <w:pStyle w:val="References"/>
        <w:spacing w:before="0" w:after="240"/>
      </w:pPr>
      <w:r w:rsidRPr="00BF3FA1">
        <w:t>Williamson</w:t>
      </w:r>
      <w:r>
        <w:t xml:space="preserve">, P., X. </w:t>
      </w:r>
      <w:proofErr w:type="spellStart"/>
      <w:r>
        <w:t>Apedoe</w:t>
      </w:r>
      <w:proofErr w:type="spellEnd"/>
      <w:r>
        <w:t xml:space="preserve">, and </w:t>
      </w:r>
      <w:proofErr w:type="spellStart"/>
      <w:proofErr w:type="gramStart"/>
      <w:r>
        <w:t>C.Thomas</w:t>
      </w:r>
      <w:proofErr w:type="spellEnd"/>
      <w:proofErr w:type="gramEnd"/>
      <w:r>
        <w:t>. 2016</w:t>
      </w:r>
      <w:r w:rsidRPr="00BF3FA1">
        <w:t xml:space="preserve">. Context as content in urban teacher education: Learning to teach in and for </w:t>
      </w:r>
      <w:r>
        <w:t>San F</w:t>
      </w:r>
      <w:r w:rsidRPr="00BF3FA1">
        <w:t xml:space="preserve">rancisco. </w:t>
      </w:r>
      <w:r w:rsidRPr="00BF3FA1">
        <w:rPr>
          <w:i/>
        </w:rPr>
        <w:t>Urban Education, 51</w:t>
      </w:r>
      <w:r>
        <w:rPr>
          <w:i/>
        </w:rPr>
        <w:t xml:space="preserve"> </w:t>
      </w:r>
      <w:r>
        <w:t>no.10:</w:t>
      </w:r>
      <w:r w:rsidRPr="00BF3FA1">
        <w:t xml:space="preserve"> 1170-1197. </w:t>
      </w:r>
    </w:p>
    <w:p w14:paraId="56B58C90" w14:textId="77777777" w:rsidR="00D13A3F" w:rsidRDefault="00D13A3F" w:rsidP="00D13A3F">
      <w:pPr>
        <w:pStyle w:val="References"/>
        <w:spacing w:before="0" w:after="240"/>
      </w:pPr>
    </w:p>
    <w:p w14:paraId="0DDE5399" w14:textId="77777777" w:rsidR="00D13A3F" w:rsidRPr="002D7465" w:rsidRDefault="00D13A3F" w:rsidP="00D13A3F">
      <w:pPr>
        <w:pStyle w:val="References"/>
        <w:spacing w:before="0" w:after="240"/>
      </w:pPr>
      <w:r>
        <w:t xml:space="preserve">Wilshaw, M. </w:t>
      </w:r>
      <w:r w:rsidRPr="00BF3FA1">
        <w:t>201</w:t>
      </w:r>
      <w:r>
        <w:t xml:space="preserve">3. </w:t>
      </w:r>
      <w:r w:rsidRPr="002D7465">
        <w:rPr>
          <w:rStyle w:val="Emphasis"/>
          <w:i w:val="0"/>
          <w:color w:val="1A1A1A"/>
          <w:shd w:val="clear" w:color="auto" w:fill="FFFFFC"/>
        </w:rPr>
        <w:t xml:space="preserve">HMCI's annual report 2012/13 speech. </w:t>
      </w:r>
      <w:r w:rsidRPr="00EE33DC">
        <w:rPr>
          <w:i/>
        </w:rPr>
        <w:t>The Unlucky Child.</w:t>
      </w:r>
      <w:r w:rsidRPr="002D7465">
        <w:t xml:space="preserve"> Retrieved from </w:t>
      </w:r>
      <w:hyperlink r:id="rId17" w:history="1">
        <w:r w:rsidRPr="002D7465">
          <w:rPr>
            <w:rStyle w:val="Hyperlink"/>
          </w:rPr>
          <w:t>https://dera.ioe.ac.uk/18984/</w:t>
        </w:r>
      </w:hyperlink>
    </w:p>
    <w:p w14:paraId="2539BB8C" w14:textId="77777777" w:rsidR="00D13A3F" w:rsidRDefault="00D13A3F" w:rsidP="00D13A3F">
      <w:pPr>
        <w:pStyle w:val="References"/>
        <w:spacing w:before="0" w:after="240"/>
      </w:pPr>
      <w:r>
        <w:t xml:space="preserve"> </w:t>
      </w:r>
    </w:p>
    <w:p w14:paraId="32DCAEB8" w14:textId="77777777" w:rsidR="00D13A3F" w:rsidRDefault="00D13A3F" w:rsidP="00D13A3F">
      <w:pPr>
        <w:pStyle w:val="References"/>
        <w:spacing w:before="0" w:after="240"/>
      </w:pPr>
      <w:r>
        <w:t>Wilshaw, M. 2016</w:t>
      </w:r>
      <w:r w:rsidRPr="00BF3FA1">
        <w:t xml:space="preserve">. </w:t>
      </w:r>
      <w:r w:rsidRPr="00EE33DC">
        <w:rPr>
          <w:i/>
        </w:rPr>
        <w:t>HMCI's commentary: Science and foreign languages in primary school</w:t>
      </w:r>
      <w:r w:rsidRPr="00BF3FA1">
        <w:t xml:space="preserve">. Retrieved from </w:t>
      </w:r>
      <w:hyperlink r:id="rId18" w:history="1">
        <w:r w:rsidRPr="009F3CAB">
          <w:rPr>
            <w:rStyle w:val="Hyperlink"/>
          </w:rPr>
          <w:t>https://www.gov.uk/government/speeches/hmcis-monthly-commentary-may-2016</w:t>
        </w:r>
      </w:hyperlink>
      <w:r w:rsidRPr="00BF3FA1">
        <w:t>.</w:t>
      </w:r>
    </w:p>
    <w:p w14:paraId="57279FE9" w14:textId="77777777" w:rsidR="00D13A3F" w:rsidRDefault="00D13A3F" w:rsidP="00D13A3F">
      <w:pPr>
        <w:pStyle w:val="References"/>
        <w:spacing w:before="0" w:after="240"/>
      </w:pPr>
    </w:p>
    <w:p w14:paraId="262E8A08" w14:textId="77777777" w:rsidR="00D13A3F" w:rsidRDefault="00D13A3F" w:rsidP="00D13A3F">
      <w:pPr>
        <w:pStyle w:val="References"/>
        <w:spacing w:before="0" w:after="240"/>
      </w:pPr>
      <w:r>
        <w:t xml:space="preserve">Winter, R. </w:t>
      </w:r>
      <w:r w:rsidRPr="00BF3FA1">
        <w:t xml:space="preserve">2002a. Managers, spectators and citizens: Where does “theory” come from in action research? In </w:t>
      </w:r>
      <w:r w:rsidRPr="00BF3FA1">
        <w:rPr>
          <w:i/>
        </w:rPr>
        <w:t>Theory and practice in action research: Some international perspectives</w:t>
      </w:r>
      <w:r>
        <w:rPr>
          <w:i/>
        </w:rPr>
        <w:t xml:space="preserve">. </w:t>
      </w:r>
      <w:r>
        <w:t>ed</w:t>
      </w:r>
      <w:r>
        <w:rPr>
          <w:i/>
        </w:rPr>
        <w:t>.</w:t>
      </w:r>
      <w:r w:rsidRPr="00BF3FA1">
        <w:t xml:space="preserve"> C. Day, J.</w:t>
      </w:r>
      <w:r>
        <w:t xml:space="preserve"> Elliott, B. </w:t>
      </w:r>
      <w:proofErr w:type="spellStart"/>
      <w:r>
        <w:t>Somekh</w:t>
      </w:r>
      <w:proofErr w:type="spellEnd"/>
      <w:r>
        <w:t xml:space="preserve"> &amp; R. Winter.</w:t>
      </w:r>
      <w:r w:rsidRPr="00BF3FA1">
        <w:t xml:space="preserve"> </w:t>
      </w:r>
      <w:r>
        <w:t>27-44</w:t>
      </w:r>
      <w:r w:rsidRPr="00BF3FA1">
        <w:t>. Oxford: Symposium Books Ltd.</w:t>
      </w:r>
    </w:p>
    <w:p w14:paraId="62722D52" w14:textId="77777777" w:rsidR="00D13A3F" w:rsidRDefault="00D13A3F" w:rsidP="00D13A3F">
      <w:pPr>
        <w:pStyle w:val="References"/>
        <w:spacing w:before="0" w:after="240"/>
      </w:pPr>
    </w:p>
    <w:p w14:paraId="51418984" w14:textId="77777777" w:rsidR="00D13A3F" w:rsidRDefault="00D13A3F" w:rsidP="00D13A3F">
      <w:pPr>
        <w:pStyle w:val="References"/>
        <w:spacing w:before="0" w:after="240"/>
      </w:pPr>
      <w:r>
        <w:t>Winter, R. 2002b</w:t>
      </w:r>
      <w:r w:rsidRPr="00BF3FA1">
        <w:t xml:space="preserve">. Truth or fiction: Problems of validity and authenticity in narratives of action research. </w:t>
      </w:r>
      <w:r w:rsidRPr="00BF3FA1">
        <w:rPr>
          <w:i/>
        </w:rPr>
        <w:t>Educational Action Research, 10</w:t>
      </w:r>
      <w:r>
        <w:t xml:space="preserve"> no1:</w:t>
      </w:r>
      <w:r w:rsidRPr="00BF3FA1">
        <w:t xml:space="preserve"> 143-154. </w:t>
      </w:r>
    </w:p>
    <w:p w14:paraId="5A4567EA" w14:textId="77777777" w:rsidR="00D13A3F" w:rsidRDefault="00D13A3F" w:rsidP="00D13A3F">
      <w:pPr>
        <w:pStyle w:val="References"/>
        <w:spacing w:before="0" w:after="240"/>
      </w:pPr>
    </w:p>
    <w:p w14:paraId="33B0697B" w14:textId="77777777" w:rsidR="00D13A3F" w:rsidRPr="00BF3FA1" w:rsidRDefault="00D13A3F" w:rsidP="00D13A3F">
      <w:pPr>
        <w:pStyle w:val="References"/>
        <w:spacing w:before="0" w:after="240"/>
      </w:pPr>
      <w:proofErr w:type="spellStart"/>
      <w:r>
        <w:t>Zeichner</w:t>
      </w:r>
      <w:proofErr w:type="spellEnd"/>
      <w:r>
        <w:t>, K. 2010</w:t>
      </w:r>
      <w:r w:rsidRPr="00BF3FA1">
        <w:t xml:space="preserve">. Rethinking the connections between campus courses and field experiences in college-and university-based teacher education. </w:t>
      </w:r>
      <w:r w:rsidRPr="00BF3FA1">
        <w:rPr>
          <w:i/>
        </w:rPr>
        <w:t>Journal of Teacher Education, 61</w:t>
      </w:r>
      <w:r>
        <w:t xml:space="preserve"> no.1:</w:t>
      </w:r>
      <w:r w:rsidRPr="00BF3FA1">
        <w:t xml:space="preserve"> 89-99. </w:t>
      </w:r>
    </w:p>
    <w:p w14:paraId="11CB55A0" w14:textId="77777777" w:rsidR="00D13A3F" w:rsidRDefault="00D13A3F" w:rsidP="00D13A3F">
      <w:pPr>
        <w:pStyle w:val="References"/>
        <w:spacing w:before="0" w:after="240"/>
      </w:pPr>
    </w:p>
    <w:p w14:paraId="40A0889B" w14:textId="77777777" w:rsidR="00D13A3F" w:rsidRDefault="00D13A3F" w:rsidP="00D13A3F">
      <w:pPr>
        <w:pStyle w:val="References"/>
        <w:spacing w:before="0" w:after="240"/>
      </w:pPr>
      <w:r w:rsidRPr="00BF3FA1">
        <w:t xml:space="preserve">Lampert, M. (2010). Learning teaching in, from, and for practice: What do we mean? </w:t>
      </w:r>
      <w:r w:rsidRPr="00BF3FA1">
        <w:rPr>
          <w:i/>
        </w:rPr>
        <w:t>Journal of Teacher Education, 61</w:t>
      </w:r>
      <w:r w:rsidRPr="00BF3FA1">
        <w:t>(1-2), pp. 21-22), p</w:t>
      </w:r>
      <w:r>
        <w:t>p</w:t>
      </w:r>
      <w:r w:rsidRPr="00BF3FA1">
        <w:t xml:space="preserve">.21-34. </w:t>
      </w:r>
    </w:p>
    <w:p w14:paraId="69A585F6" w14:textId="77777777" w:rsidR="00D13A3F" w:rsidRDefault="00D13A3F" w:rsidP="00D13A3F">
      <w:pPr>
        <w:pStyle w:val="References"/>
        <w:spacing w:before="0" w:after="240"/>
      </w:pPr>
    </w:p>
    <w:p w14:paraId="0E111E8A" w14:textId="77777777" w:rsidR="00D13A3F" w:rsidRDefault="00D13A3F" w:rsidP="00D13A3F">
      <w:pPr>
        <w:pStyle w:val="References"/>
        <w:spacing w:before="0" w:after="240"/>
      </w:pPr>
      <w:r w:rsidRPr="00BF3FA1">
        <w:t xml:space="preserve">Lampert, M., </w:t>
      </w:r>
      <w:proofErr w:type="spellStart"/>
      <w:r w:rsidRPr="00BF3FA1">
        <w:t>Boerst</w:t>
      </w:r>
      <w:proofErr w:type="spellEnd"/>
      <w:r w:rsidRPr="00BF3FA1">
        <w:t xml:space="preserve">, T. A., &amp; Graziani, F. (2011). Organizational resources in the service of school-wide ambitious teaching practice. </w:t>
      </w:r>
      <w:r w:rsidRPr="00BF3FA1">
        <w:rPr>
          <w:i/>
        </w:rPr>
        <w:t>Teachers College Record, 113</w:t>
      </w:r>
      <w:r w:rsidRPr="00BF3FA1">
        <w:t xml:space="preserve">(7), pp. 1361-1400. </w:t>
      </w:r>
    </w:p>
    <w:p w14:paraId="41CD4463" w14:textId="77777777" w:rsidR="00D13A3F" w:rsidRDefault="00D13A3F" w:rsidP="00D13A3F">
      <w:pPr>
        <w:pStyle w:val="References"/>
        <w:spacing w:before="0" w:after="240"/>
      </w:pPr>
    </w:p>
    <w:p w14:paraId="7AC562E7" w14:textId="77777777" w:rsidR="00D13A3F" w:rsidRDefault="00D13A3F" w:rsidP="00D13A3F">
      <w:pPr>
        <w:pStyle w:val="References"/>
        <w:spacing w:before="0" w:after="240"/>
      </w:pPr>
      <w:r w:rsidRPr="00BF3FA1">
        <w:t xml:space="preserve">Lampert, M., Franke, M. L., </w:t>
      </w:r>
      <w:proofErr w:type="spellStart"/>
      <w:r w:rsidRPr="00BF3FA1">
        <w:t>Kazemi</w:t>
      </w:r>
      <w:proofErr w:type="spellEnd"/>
      <w:r w:rsidRPr="00BF3FA1">
        <w:t xml:space="preserve">, E., </w:t>
      </w:r>
      <w:proofErr w:type="spellStart"/>
      <w:r w:rsidRPr="00BF3FA1">
        <w:t>Ghousseini</w:t>
      </w:r>
      <w:proofErr w:type="spellEnd"/>
      <w:r w:rsidRPr="00BF3FA1">
        <w:t xml:space="preserve">, H., </w:t>
      </w:r>
      <w:proofErr w:type="spellStart"/>
      <w:r w:rsidRPr="00BF3FA1">
        <w:t>Turrou</w:t>
      </w:r>
      <w:proofErr w:type="spellEnd"/>
      <w:r w:rsidRPr="00BF3FA1">
        <w:t xml:space="preserve">, A. C., </w:t>
      </w:r>
      <w:r>
        <w:t>Beasley, H.</w:t>
      </w:r>
      <w:proofErr w:type="gramStart"/>
      <w:r>
        <w:t xml:space="preserve">, </w:t>
      </w:r>
      <w:r w:rsidRPr="00BF3FA1">
        <w:t xml:space="preserve"> Crowe</w:t>
      </w:r>
      <w:proofErr w:type="gramEnd"/>
      <w:r w:rsidRPr="00BF3FA1">
        <w:t xml:space="preserve">, K. (2013). Keeping it complex: Using rehearsals to support novice teacher learning of ambitious teaching. </w:t>
      </w:r>
      <w:r w:rsidRPr="00BF3FA1">
        <w:rPr>
          <w:i/>
        </w:rPr>
        <w:t>Journal of Teacher Education, 64</w:t>
      </w:r>
      <w:r w:rsidRPr="00BF3FA1">
        <w:t xml:space="preserve">(3), pp. 226-243. </w:t>
      </w:r>
    </w:p>
    <w:p w14:paraId="01702910" w14:textId="77777777" w:rsidR="00D13A3F" w:rsidRDefault="00D13A3F" w:rsidP="00D13A3F">
      <w:pPr>
        <w:pStyle w:val="References"/>
        <w:spacing w:before="0" w:after="240"/>
      </w:pPr>
    </w:p>
    <w:p w14:paraId="46E40914" w14:textId="77777777" w:rsidR="00D13A3F" w:rsidRDefault="00D13A3F" w:rsidP="00D13A3F">
      <w:pPr>
        <w:pStyle w:val="References"/>
        <w:spacing w:before="0" w:after="240"/>
      </w:pPr>
      <w:r w:rsidRPr="00BF3FA1">
        <w:t xml:space="preserve">Leonardi, S., Lamb, H., Howe, P., &amp; </w:t>
      </w:r>
      <w:proofErr w:type="spellStart"/>
      <w:r w:rsidRPr="00BF3FA1">
        <w:t>Choudoury</w:t>
      </w:r>
      <w:proofErr w:type="spellEnd"/>
      <w:r w:rsidRPr="00BF3FA1">
        <w:t xml:space="preserve">, A. (2017). </w:t>
      </w:r>
      <w:r w:rsidRPr="00BF3FA1">
        <w:rPr>
          <w:i/>
        </w:rPr>
        <w:t xml:space="preserve">State of the nation report of </w:t>
      </w:r>
      <w:r>
        <w:rPr>
          <w:i/>
        </w:rPr>
        <w:t>UK</w:t>
      </w:r>
      <w:r w:rsidRPr="00BF3FA1">
        <w:rPr>
          <w:i/>
        </w:rPr>
        <w:t xml:space="preserve"> primary science education</w:t>
      </w:r>
      <w:r w:rsidRPr="00BF3FA1">
        <w:t xml:space="preserve">. Retrieved from CFE Research for the </w:t>
      </w:r>
      <w:proofErr w:type="spellStart"/>
      <w:r w:rsidRPr="00BF3FA1">
        <w:t>Wellcome</w:t>
      </w:r>
      <w:proofErr w:type="spellEnd"/>
      <w:r w:rsidRPr="00BF3FA1">
        <w:t xml:space="preserve"> Trust website: </w:t>
      </w:r>
      <w:hyperlink r:id="rId19" w:history="1">
        <w:r w:rsidRPr="008A2582">
          <w:rPr>
            <w:rStyle w:val="Hyperlink"/>
          </w:rPr>
          <w:t>https://wellcome.ac.uk/sites/default/files/state-of-the-nation-report-of-uk-science-education.pdf</w:t>
        </w:r>
      </w:hyperlink>
    </w:p>
    <w:p w14:paraId="353D1BEF" w14:textId="77777777" w:rsidR="00D13A3F" w:rsidRDefault="00D13A3F" w:rsidP="00D13A3F">
      <w:pPr>
        <w:pStyle w:val="References"/>
        <w:spacing w:before="0" w:after="240"/>
      </w:pPr>
    </w:p>
    <w:p w14:paraId="046572B3" w14:textId="77777777" w:rsidR="00D13A3F" w:rsidRDefault="00D13A3F" w:rsidP="00D13A3F">
      <w:pPr>
        <w:pStyle w:val="References"/>
        <w:spacing w:before="0" w:after="240"/>
      </w:pPr>
      <w:r w:rsidRPr="00BF3FA1">
        <w:t xml:space="preserve">Levin, B. B., &amp; Rock, T. C. (2003). The effects of collaborative action research on preservice and experienced teacher partners in professional development schools. </w:t>
      </w:r>
      <w:r w:rsidRPr="00BF3FA1">
        <w:rPr>
          <w:i/>
        </w:rPr>
        <w:t>Journal of Teacher Education, 54</w:t>
      </w:r>
      <w:r w:rsidRPr="00BF3FA1">
        <w:t xml:space="preserve">(2), pp. 135-149. </w:t>
      </w:r>
    </w:p>
    <w:p w14:paraId="42EDEC75" w14:textId="77777777" w:rsidR="00D13A3F" w:rsidRDefault="00D13A3F" w:rsidP="00D13A3F">
      <w:pPr>
        <w:pStyle w:val="References"/>
        <w:spacing w:before="0" w:after="240"/>
      </w:pPr>
    </w:p>
    <w:p w14:paraId="3C951D85" w14:textId="77777777" w:rsidR="00D13A3F" w:rsidRDefault="00D13A3F" w:rsidP="00D13A3F">
      <w:pPr>
        <w:pStyle w:val="References"/>
        <w:spacing w:before="0" w:after="240"/>
      </w:pPr>
      <w:r w:rsidRPr="00BF3FA1">
        <w:t xml:space="preserve">Lewthwaite, B. E., Stableford, J., &amp; Fisher, D. L. (2001). Enlarging the focus on primary science education in </w:t>
      </w:r>
      <w:r>
        <w:t>N</w:t>
      </w:r>
      <w:r w:rsidRPr="00BF3FA1">
        <w:t xml:space="preserve">ew </w:t>
      </w:r>
      <w:r>
        <w:t>Z</w:t>
      </w:r>
      <w:r w:rsidRPr="00BF3FA1">
        <w:t xml:space="preserve">ealand. In R. K. Coll (Ed.), </w:t>
      </w:r>
      <w:r w:rsidRPr="00BF3FA1">
        <w:rPr>
          <w:i/>
        </w:rPr>
        <w:t>Same papers 2001</w:t>
      </w:r>
      <w:r w:rsidRPr="00BF3FA1">
        <w:t>. New Zealand: Centre for Science and Technology Education Research, Waikato University.</w:t>
      </w:r>
    </w:p>
    <w:p w14:paraId="3F9A4910" w14:textId="77777777" w:rsidR="00D13A3F" w:rsidRDefault="00D13A3F" w:rsidP="00D13A3F">
      <w:pPr>
        <w:pStyle w:val="References"/>
        <w:spacing w:before="0" w:after="240"/>
      </w:pPr>
    </w:p>
    <w:p w14:paraId="1CF1CB2C" w14:textId="77777777" w:rsidR="00D13A3F" w:rsidRDefault="00D13A3F" w:rsidP="00D13A3F">
      <w:pPr>
        <w:pStyle w:val="References"/>
        <w:spacing w:before="0" w:after="240"/>
        <w:rPr>
          <w:rStyle w:val="Hyperlink"/>
        </w:rPr>
      </w:pPr>
      <w:r w:rsidRPr="00BF3FA1">
        <w:t xml:space="preserve">Lewthwaite, B., &amp; Fisher, D. (2004). The application of a primary science delivery evaluation questionnaire. </w:t>
      </w:r>
      <w:r w:rsidRPr="00BF3FA1">
        <w:rPr>
          <w:i/>
        </w:rPr>
        <w:t>Research in Science Education, 34</w:t>
      </w:r>
      <w:r w:rsidRPr="00BF3FA1">
        <w:t>(1), pp. 55-70. doi:10.1023/</w:t>
      </w:r>
      <w:proofErr w:type="gramStart"/>
      <w:r w:rsidRPr="00BF3FA1">
        <w:t>B:RISE</w:t>
      </w:r>
      <w:proofErr w:type="gramEnd"/>
      <w:r w:rsidRPr="00BF3FA1">
        <w:t xml:space="preserve">.0000020899.42419.1c Retrieved from </w:t>
      </w:r>
      <w:hyperlink r:id="rId20" w:history="1">
        <w:r w:rsidRPr="009F3CAB">
          <w:rPr>
            <w:rStyle w:val="Hyperlink"/>
          </w:rPr>
          <w:t>https://doi.org/10.1023/B:RISE.0000020899.42419.1c</w:t>
        </w:r>
      </w:hyperlink>
    </w:p>
    <w:p w14:paraId="030C2118" w14:textId="77777777" w:rsidR="00D13A3F" w:rsidRDefault="00D13A3F" w:rsidP="00D13A3F">
      <w:pPr>
        <w:pStyle w:val="References"/>
        <w:spacing w:before="0" w:after="240"/>
      </w:pPr>
    </w:p>
    <w:p w14:paraId="035E3B7D" w14:textId="77777777" w:rsidR="00D13A3F" w:rsidRDefault="00D13A3F" w:rsidP="00D13A3F">
      <w:pPr>
        <w:pStyle w:val="References"/>
        <w:spacing w:before="0" w:after="240"/>
      </w:pPr>
      <w:r w:rsidRPr="00BF3FA1">
        <w:t xml:space="preserve">McDonald, M., </w:t>
      </w:r>
      <w:proofErr w:type="spellStart"/>
      <w:r w:rsidRPr="00BF3FA1">
        <w:t>Kazemi</w:t>
      </w:r>
      <w:proofErr w:type="spellEnd"/>
      <w:r w:rsidRPr="00BF3FA1">
        <w:t xml:space="preserve">, E., &amp; Kavanagh, S. S. (2013). Core practices and pedagogies of teacher education: A call for a common language and collective activity. </w:t>
      </w:r>
      <w:r w:rsidRPr="00BF3FA1">
        <w:rPr>
          <w:i/>
        </w:rPr>
        <w:t>Journal of Teacher Education, 64</w:t>
      </w:r>
      <w:r w:rsidRPr="00BF3FA1">
        <w:t xml:space="preserve">(5), pp. 378-386. </w:t>
      </w:r>
    </w:p>
    <w:p w14:paraId="511CCC81" w14:textId="77777777" w:rsidR="00D13A3F" w:rsidRDefault="00D13A3F" w:rsidP="00D13A3F">
      <w:pPr>
        <w:pStyle w:val="References"/>
        <w:spacing w:before="0" w:after="240"/>
      </w:pPr>
    </w:p>
    <w:p w14:paraId="58DE5422" w14:textId="77777777" w:rsidR="00D13A3F" w:rsidRDefault="00D13A3F" w:rsidP="00D13A3F">
      <w:pPr>
        <w:pStyle w:val="References"/>
        <w:spacing w:before="0" w:after="240"/>
        <w:rPr>
          <w:rStyle w:val="Hyperlink"/>
        </w:rPr>
      </w:pPr>
      <w:r w:rsidRPr="00BF3FA1">
        <w:t xml:space="preserve">OECD Publishing. (2018). </w:t>
      </w:r>
      <w:r w:rsidRPr="00BF3FA1">
        <w:rPr>
          <w:i/>
        </w:rPr>
        <w:t xml:space="preserve">Effective teacher policies: Insights from </w:t>
      </w:r>
      <w:r>
        <w:rPr>
          <w:i/>
        </w:rPr>
        <w:t>PISA</w:t>
      </w:r>
      <w:r w:rsidRPr="00BF3FA1">
        <w:t xml:space="preserve">. Retrieved from OECD website: </w:t>
      </w:r>
      <w:hyperlink r:id="rId21" w:history="1">
        <w:r w:rsidRPr="009F3CAB">
          <w:rPr>
            <w:rStyle w:val="Hyperlink"/>
          </w:rPr>
          <w:t>http://dx.doi.org/10.1787/9789264301603-en</w:t>
        </w:r>
      </w:hyperlink>
    </w:p>
    <w:p w14:paraId="644E80C1" w14:textId="77777777" w:rsidR="00D13A3F" w:rsidRDefault="00D13A3F" w:rsidP="00D13A3F">
      <w:pPr>
        <w:pStyle w:val="References"/>
        <w:spacing w:before="0" w:after="240"/>
      </w:pPr>
    </w:p>
    <w:p w14:paraId="32AE553D" w14:textId="77777777" w:rsidR="00D13A3F" w:rsidRDefault="00D13A3F" w:rsidP="00D13A3F">
      <w:pPr>
        <w:pStyle w:val="References"/>
        <w:spacing w:before="0" w:after="240"/>
      </w:pPr>
      <w:r>
        <w:t xml:space="preserve">Ofsted School Report (2015) Our Lady and Saint </w:t>
      </w:r>
      <w:proofErr w:type="spellStart"/>
      <w:r>
        <w:t>Swithin’s</w:t>
      </w:r>
      <w:proofErr w:type="spellEnd"/>
      <w:r>
        <w:t xml:space="preserve"> Catholic Primary School. Retrieved from </w:t>
      </w:r>
      <w:hyperlink r:id="rId22" w:history="1">
        <w:r w:rsidRPr="005D4B77">
          <w:rPr>
            <w:rStyle w:val="Hyperlink"/>
          </w:rPr>
          <w:t>https://files.api.ofsted.gov.uk/v1/file/2535178</w:t>
        </w:r>
      </w:hyperlink>
    </w:p>
    <w:p w14:paraId="6508D8EE" w14:textId="77777777" w:rsidR="00D13A3F" w:rsidRDefault="00D13A3F" w:rsidP="00D13A3F">
      <w:pPr>
        <w:pStyle w:val="References"/>
        <w:spacing w:before="0" w:after="240"/>
      </w:pPr>
    </w:p>
    <w:p w14:paraId="1F76FF26" w14:textId="77777777" w:rsidR="00D13A3F" w:rsidRDefault="00D13A3F" w:rsidP="00D13A3F">
      <w:pPr>
        <w:pStyle w:val="References"/>
        <w:spacing w:before="0" w:after="240"/>
      </w:pPr>
      <w:r w:rsidRPr="00702FB4">
        <w:t xml:space="preserve">Pawson, R., &amp; Tilley, N. (1997). An introduction to scientific realist evaluation. In E. </w:t>
      </w:r>
      <w:proofErr w:type="spellStart"/>
      <w:r w:rsidRPr="00702FB4">
        <w:t>Chelimsky</w:t>
      </w:r>
      <w:proofErr w:type="spellEnd"/>
      <w:r w:rsidRPr="00702FB4">
        <w:t xml:space="preserve"> &amp; W. R. </w:t>
      </w:r>
      <w:proofErr w:type="spellStart"/>
      <w:r w:rsidRPr="00702FB4">
        <w:t>Shadish</w:t>
      </w:r>
      <w:proofErr w:type="spellEnd"/>
      <w:r w:rsidRPr="00702FB4">
        <w:t xml:space="preserve"> (Eds.), </w:t>
      </w:r>
      <w:r w:rsidRPr="00702FB4">
        <w:rPr>
          <w:i/>
          <w:iCs/>
        </w:rPr>
        <w:t>Evaluation for the 21st century: A handbook</w:t>
      </w:r>
      <w:r w:rsidRPr="00702FB4">
        <w:t xml:space="preserve"> (pp. 405-418). California: Sage.</w:t>
      </w:r>
    </w:p>
    <w:p w14:paraId="332722BB" w14:textId="77777777" w:rsidR="00D13A3F" w:rsidRDefault="00D13A3F" w:rsidP="00D13A3F">
      <w:pPr>
        <w:pStyle w:val="References"/>
        <w:spacing w:before="0" w:after="240"/>
      </w:pPr>
    </w:p>
    <w:p w14:paraId="7F6C362C" w14:textId="77777777" w:rsidR="00D13A3F" w:rsidRDefault="00D13A3F" w:rsidP="00D13A3F">
      <w:pPr>
        <w:pStyle w:val="References"/>
        <w:spacing w:before="0" w:after="240"/>
      </w:pPr>
      <w:r w:rsidRPr="00BF3FA1">
        <w:t xml:space="preserve">Petersen, J. E., &amp; </w:t>
      </w:r>
      <w:proofErr w:type="spellStart"/>
      <w:r w:rsidRPr="00BF3FA1">
        <w:t>Treagust</w:t>
      </w:r>
      <w:proofErr w:type="spellEnd"/>
      <w:r w:rsidRPr="00BF3FA1">
        <w:t xml:space="preserve">, D. F. (2014). School and university partnerships: The role of teacher education institutions and primary schools in the development of preservice teachers’ science teaching efficacy. </w:t>
      </w:r>
      <w:r w:rsidRPr="00BF3FA1">
        <w:rPr>
          <w:i/>
        </w:rPr>
        <w:t>Australian Journal of Teacher Education, 39</w:t>
      </w:r>
      <w:r w:rsidRPr="00BF3FA1">
        <w:t>(9)</w:t>
      </w:r>
      <w:r>
        <w:t xml:space="preserve"> </w:t>
      </w:r>
      <w:r w:rsidRPr="00BF3FA1">
        <w:t xml:space="preserve">Retrieved from </w:t>
      </w:r>
      <w:hyperlink r:id="rId23" w:history="1">
        <w:r w:rsidRPr="009F3CAB">
          <w:rPr>
            <w:rStyle w:val="Hyperlink"/>
          </w:rPr>
          <w:t>https://files.eric.ed.gov/fulltext/EJ1038100.pdf</w:t>
        </w:r>
      </w:hyperlink>
    </w:p>
    <w:p w14:paraId="756738CE" w14:textId="77777777" w:rsidR="00D13A3F" w:rsidRDefault="00D13A3F" w:rsidP="00D13A3F">
      <w:pPr>
        <w:pStyle w:val="References"/>
        <w:spacing w:before="0" w:after="240"/>
      </w:pPr>
      <w:proofErr w:type="spellStart"/>
      <w:r w:rsidRPr="00BF3FA1">
        <w:t>Seimears</w:t>
      </w:r>
      <w:proofErr w:type="spellEnd"/>
      <w:r w:rsidRPr="00BF3FA1">
        <w:t xml:space="preserve">, C. M., Graves, E., </w:t>
      </w:r>
      <w:proofErr w:type="spellStart"/>
      <w:r w:rsidRPr="00BF3FA1">
        <w:t>Schroyer</w:t>
      </w:r>
      <w:proofErr w:type="spellEnd"/>
      <w:r w:rsidRPr="00BF3FA1">
        <w:t xml:space="preserve">, M. G., &amp; </w:t>
      </w:r>
      <w:proofErr w:type="spellStart"/>
      <w:r w:rsidRPr="00BF3FA1">
        <w:t>Staver</w:t>
      </w:r>
      <w:proofErr w:type="spellEnd"/>
      <w:r w:rsidRPr="00BF3FA1">
        <w:t xml:space="preserve">, J. (2012). How constructivist-based teaching influences students learning science. </w:t>
      </w:r>
      <w:r w:rsidRPr="00BF3FA1">
        <w:rPr>
          <w:i/>
        </w:rPr>
        <w:t>The Educational Forum, 76</w:t>
      </w:r>
      <w:r w:rsidRPr="00BF3FA1">
        <w:t xml:space="preserve">(2), pp. 265-271. </w:t>
      </w:r>
    </w:p>
    <w:p w14:paraId="13FB3CBC" w14:textId="77777777" w:rsidR="00D13A3F" w:rsidRDefault="00D13A3F" w:rsidP="00D13A3F">
      <w:pPr>
        <w:pStyle w:val="References"/>
        <w:spacing w:before="0" w:after="240"/>
      </w:pPr>
    </w:p>
    <w:p w14:paraId="2855C28D" w14:textId="77777777" w:rsidR="00D13A3F" w:rsidRDefault="00D13A3F" w:rsidP="00D13A3F">
      <w:pPr>
        <w:pStyle w:val="References"/>
        <w:spacing w:before="0" w:after="240"/>
      </w:pPr>
      <w:r w:rsidRPr="00BF3FA1">
        <w:t xml:space="preserve">Shields, C. M., Bishop, R., &amp; </w:t>
      </w:r>
      <w:proofErr w:type="spellStart"/>
      <w:r w:rsidRPr="00BF3FA1">
        <w:t>Mazawi</w:t>
      </w:r>
      <w:proofErr w:type="spellEnd"/>
      <w:r w:rsidRPr="00BF3FA1">
        <w:t xml:space="preserve">, A. E. (2005). </w:t>
      </w:r>
      <w:r w:rsidRPr="00BF3FA1">
        <w:rPr>
          <w:i/>
        </w:rPr>
        <w:t>Pathologizing practices</w:t>
      </w:r>
      <w:r w:rsidRPr="00BF3FA1">
        <w:t>: Peter Lang.</w:t>
      </w:r>
    </w:p>
    <w:p w14:paraId="7D157548" w14:textId="77777777" w:rsidR="00D13A3F" w:rsidRDefault="00D13A3F" w:rsidP="00D13A3F">
      <w:pPr>
        <w:pStyle w:val="References"/>
        <w:spacing w:before="0" w:after="240"/>
      </w:pPr>
    </w:p>
    <w:p w14:paraId="3B415819" w14:textId="77777777" w:rsidR="00D13A3F" w:rsidRDefault="00D13A3F" w:rsidP="00D13A3F">
      <w:pPr>
        <w:pStyle w:val="References"/>
        <w:spacing w:before="0" w:after="240"/>
        <w:rPr>
          <w:rStyle w:val="Hyperlink"/>
        </w:rPr>
      </w:pPr>
      <w:proofErr w:type="spellStart"/>
      <w:r w:rsidRPr="00BF3FA1">
        <w:t>Ullucci</w:t>
      </w:r>
      <w:proofErr w:type="spellEnd"/>
      <w:r w:rsidRPr="00BF3FA1">
        <w:t xml:space="preserve">, K., &amp; Howard, T. (2015). Pathologizing the poor: Implications for preparing teachers to work in high-poverty schools. </w:t>
      </w:r>
      <w:r w:rsidRPr="00BF3FA1">
        <w:rPr>
          <w:i/>
        </w:rPr>
        <w:t>Urban Education, 50</w:t>
      </w:r>
      <w:r w:rsidRPr="00BF3FA1">
        <w:t xml:space="preserve">(2), pp. 170-193. </w:t>
      </w:r>
    </w:p>
    <w:p w14:paraId="54DD842F" w14:textId="77777777" w:rsidR="00D13A3F" w:rsidRDefault="00D13A3F" w:rsidP="00D13A3F">
      <w:pPr>
        <w:pStyle w:val="References"/>
        <w:spacing w:before="0" w:after="240"/>
      </w:pPr>
    </w:p>
    <w:p w14:paraId="5124D564" w14:textId="77777777" w:rsidR="00D13A3F" w:rsidRDefault="00D13A3F" w:rsidP="00D13A3F">
      <w:pPr>
        <w:pStyle w:val="References"/>
        <w:spacing w:before="0" w:after="240"/>
      </w:pPr>
      <w:r w:rsidRPr="00BF3FA1">
        <w:t xml:space="preserve">Van </w:t>
      </w:r>
      <w:proofErr w:type="spellStart"/>
      <w:r w:rsidRPr="00BF3FA1">
        <w:t>Manen</w:t>
      </w:r>
      <w:proofErr w:type="spellEnd"/>
      <w:r w:rsidRPr="00BF3FA1">
        <w:t xml:space="preserve">, M. (1991). </w:t>
      </w:r>
      <w:r w:rsidRPr="00BF3FA1">
        <w:rPr>
          <w:i/>
        </w:rPr>
        <w:t>The tact of teaching: The meaning of pedagogical thoughtfulness</w:t>
      </w:r>
      <w:r w:rsidRPr="00BF3FA1">
        <w:t xml:space="preserve"> New York: State University of New York.</w:t>
      </w:r>
    </w:p>
    <w:p w14:paraId="0D1B40C3" w14:textId="77777777" w:rsidR="00D13A3F" w:rsidRDefault="00D13A3F" w:rsidP="00D13A3F">
      <w:pPr>
        <w:pStyle w:val="References"/>
        <w:spacing w:before="0" w:after="240"/>
      </w:pPr>
    </w:p>
    <w:p w14:paraId="69902DBD" w14:textId="77777777" w:rsidR="00D13A3F" w:rsidRDefault="00D13A3F" w:rsidP="00D13A3F">
      <w:pPr>
        <w:pStyle w:val="References"/>
        <w:spacing w:before="0" w:after="240"/>
        <w:rPr>
          <w:rStyle w:val="Hyperlink"/>
        </w:rPr>
      </w:pPr>
      <w:proofErr w:type="spellStart"/>
      <w:r w:rsidRPr="00BF3FA1">
        <w:t>Wellcome</w:t>
      </w:r>
      <w:proofErr w:type="spellEnd"/>
      <w:r w:rsidRPr="00BF3FA1">
        <w:t xml:space="preserve"> Foundation. (2014). </w:t>
      </w:r>
      <w:r w:rsidRPr="00BF3FA1">
        <w:rPr>
          <w:i/>
        </w:rPr>
        <w:t>Primary science, is it missing out? Recommendations for reviewing primary science.</w:t>
      </w:r>
      <w:r w:rsidRPr="00BF3FA1">
        <w:t xml:space="preserve"> Retrieved from The </w:t>
      </w:r>
      <w:proofErr w:type="spellStart"/>
      <w:r w:rsidRPr="00BF3FA1">
        <w:t>Wellcome</w:t>
      </w:r>
      <w:proofErr w:type="spellEnd"/>
      <w:r w:rsidRPr="00BF3FA1">
        <w:t xml:space="preserve"> Trust website: </w:t>
      </w:r>
      <w:hyperlink r:id="rId24" w:history="1">
        <w:r w:rsidRPr="009F3CAB">
          <w:rPr>
            <w:rStyle w:val="Hyperlink"/>
          </w:rPr>
          <w:t>https://wellcome.ac.uk/sites/default/files/primary-science-is-it-missing-out-wellcome-sep14.pdf</w:t>
        </w:r>
      </w:hyperlink>
    </w:p>
    <w:p w14:paraId="5B378EA4" w14:textId="77777777" w:rsidR="00D13A3F" w:rsidRDefault="00D13A3F" w:rsidP="00D13A3F">
      <w:pPr>
        <w:pStyle w:val="References"/>
        <w:spacing w:before="0" w:after="240"/>
      </w:pPr>
    </w:p>
    <w:p w14:paraId="7D680164" w14:textId="77777777" w:rsidR="00D13A3F" w:rsidRDefault="00D13A3F" w:rsidP="00D13A3F">
      <w:pPr>
        <w:pStyle w:val="References"/>
        <w:spacing w:before="0" w:after="240"/>
      </w:pPr>
      <w:r w:rsidRPr="00BF3FA1">
        <w:t xml:space="preserve">Williamson, P., </w:t>
      </w:r>
      <w:proofErr w:type="spellStart"/>
      <w:r w:rsidRPr="00BF3FA1">
        <w:t>Apedoe</w:t>
      </w:r>
      <w:proofErr w:type="spellEnd"/>
      <w:r w:rsidRPr="00BF3FA1">
        <w:t xml:space="preserve">, X., &amp; Thomas, C. (2016). Context as content in urban teacher education: Learning to teach in and for san </w:t>
      </w:r>
      <w:proofErr w:type="spellStart"/>
      <w:r w:rsidRPr="00BF3FA1">
        <w:t>francisco</w:t>
      </w:r>
      <w:proofErr w:type="spellEnd"/>
      <w:r w:rsidRPr="00BF3FA1">
        <w:t xml:space="preserve">. </w:t>
      </w:r>
      <w:r w:rsidRPr="00BF3FA1">
        <w:rPr>
          <w:i/>
        </w:rPr>
        <w:t>Urban Education, 51</w:t>
      </w:r>
      <w:r w:rsidRPr="00BF3FA1">
        <w:t xml:space="preserve">(10), pp. 1170-1197. </w:t>
      </w:r>
    </w:p>
    <w:p w14:paraId="1A0A550A" w14:textId="77777777" w:rsidR="00D13A3F" w:rsidRDefault="00D13A3F" w:rsidP="00D13A3F">
      <w:pPr>
        <w:pStyle w:val="References"/>
        <w:spacing w:before="0" w:after="240"/>
      </w:pPr>
    </w:p>
    <w:p w14:paraId="196D0FEA" w14:textId="77777777" w:rsidR="00D13A3F" w:rsidRDefault="00D13A3F" w:rsidP="00D13A3F">
      <w:pPr>
        <w:pStyle w:val="References"/>
        <w:spacing w:before="0" w:after="240"/>
      </w:pPr>
      <w:r w:rsidRPr="00BF3FA1">
        <w:t>Wilshaw, M. (201</w:t>
      </w:r>
      <w:r>
        <w:t>3</w:t>
      </w:r>
      <w:r w:rsidRPr="00BF3FA1">
        <w:t>).</w:t>
      </w:r>
      <w:r>
        <w:t xml:space="preserve"> </w:t>
      </w:r>
      <w:r w:rsidRPr="00666E8D">
        <w:rPr>
          <w:rStyle w:val="Emphasis"/>
          <w:rFonts w:ascii="Verdana" w:hAnsi="Verdana"/>
          <w:i w:val="0"/>
          <w:color w:val="1A1A1A"/>
          <w:sz w:val="19"/>
          <w:szCs w:val="19"/>
          <w:shd w:val="clear" w:color="auto" w:fill="FFFFFC"/>
        </w:rPr>
        <w:t>HMCI's annual report 2012/13 speech.</w:t>
      </w:r>
      <w:r>
        <w:rPr>
          <w:rStyle w:val="Emphasis"/>
          <w:rFonts w:ascii="Verdana" w:hAnsi="Verdana"/>
          <w:i w:val="0"/>
          <w:color w:val="1A1A1A"/>
          <w:sz w:val="19"/>
          <w:szCs w:val="19"/>
          <w:shd w:val="clear" w:color="auto" w:fill="FFFFFC"/>
        </w:rPr>
        <w:t xml:space="preserve"> </w:t>
      </w:r>
      <w:r>
        <w:t xml:space="preserve">The Unlucky Child. Retrieved from </w:t>
      </w:r>
      <w:hyperlink r:id="rId25" w:history="1">
        <w:r w:rsidRPr="005D4B77">
          <w:rPr>
            <w:rStyle w:val="Hyperlink"/>
          </w:rPr>
          <w:t>https://dera.ioe.ac.uk/18984/</w:t>
        </w:r>
      </w:hyperlink>
    </w:p>
    <w:p w14:paraId="08084F17" w14:textId="77777777" w:rsidR="00D13A3F" w:rsidRDefault="00D13A3F" w:rsidP="00D13A3F">
      <w:pPr>
        <w:pStyle w:val="References"/>
        <w:spacing w:before="0" w:after="240"/>
      </w:pPr>
      <w:r>
        <w:t xml:space="preserve"> </w:t>
      </w:r>
    </w:p>
    <w:p w14:paraId="41CED8FB" w14:textId="77777777" w:rsidR="00D13A3F" w:rsidRDefault="00D13A3F" w:rsidP="00D13A3F">
      <w:pPr>
        <w:pStyle w:val="References"/>
        <w:spacing w:before="0" w:after="240"/>
      </w:pPr>
      <w:r w:rsidRPr="00BF3FA1">
        <w:t>Wilshaw, M. (2016). H</w:t>
      </w:r>
      <w:r>
        <w:t>MCI</w:t>
      </w:r>
      <w:r w:rsidRPr="00BF3FA1">
        <w:t xml:space="preserve">'s commentary: Science and foreign languages in primary school. Retrieved from </w:t>
      </w:r>
      <w:hyperlink r:id="rId26" w:history="1">
        <w:r w:rsidRPr="009F3CAB">
          <w:rPr>
            <w:rStyle w:val="Hyperlink"/>
          </w:rPr>
          <w:t>https://www.gov.uk/government/speeches/hmcis-monthly-commentary-may-2016</w:t>
        </w:r>
      </w:hyperlink>
      <w:r w:rsidRPr="00BF3FA1">
        <w:t>.</w:t>
      </w:r>
    </w:p>
    <w:p w14:paraId="3766F4CB" w14:textId="77777777" w:rsidR="00D13A3F" w:rsidRDefault="00D13A3F" w:rsidP="00D13A3F">
      <w:pPr>
        <w:pStyle w:val="References"/>
        <w:spacing w:before="0" w:after="240"/>
      </w:pPr>
    </w:p>
    <w:p w14:paraId="03C9E0E6" w14:textId="77777777" w:rsidR="00D13A3F" w:rsidRDefault="00D13A3F" w:rsidP="00D13A3F">
      <w:pPr>
        <w:pStyle w:val="References"/>
        <w:spacing w:before="0" w:after="240"/>
      </w:pPr>
      <w:r w:rsidRPr="00BF3FA1">
        <w:t xml:space="preserve">Winter, R. (2002a). Managers, spectators and citizens: Where does “theory” come from in action research? In C. Day, J. Elliott, B. </w:t>
      </w:r>
      <w:proofErr w:type="spellStart"/>
      <w:r w:rsidRPr="00BF3FA1">
        <w:t>Somekh</w:t>
      </w:r>
      <w:proofErr w:type="spellEnd"/>
      <w:r w:rsidRPr="00BF3FA1">
        <w:t xml:space="preserve"> &amp; R. Winter (Eds.), </w:t>
      </w:r>
      <w:r w:rsidRPr="00BF3FA1">
        <w:rPr>
          <w:i/>
        </w:rPr>
        <w:t>Theory and practice in action research: Some international perspectives</w:t>
      </w:r>
      <w:r w:rsidRPr="00BF3FA1">
        <w:t xml:space="preserve"> (pp. 27-44). Oxford: Symposium Books Ltd.</w:t>
      </w:r>
    </w:p>
    <w:p w14:paraId="72C5802A" w14:textId="77777777" w:rsidR="00D13A3F" w:rsidRDefault="00D13A3F" w:rsidP="00D13A3F">
      <w:pPr>
        <w:pStyle w:val="References"/>
        <w:spacing w:before="0" w:after="240"/>
      </w:pPr>
    </w:p>
    <w:p w14:paraId="1DD2B655" w14:textId="77777777" w:rsidR="00D13A3F" w:rsidRDefault="00D13A3F" w:rsidP="00D13A3F">
      <w:pPr>
        <w:pStyle w:val="References"/>
        <w:spacing w:before="0" w:after="240"/>
      </w:pPr>
      <w:r w:rsidRPr="00BF3FA1">
        <w:t xml:space="preserve">Winter, R. (2002b). Truth or fiction: Problems of validity and authenticity in narratives of action research. </w:t>
      </w:r>
      <w:r w:rsidRPr="00BF3FA1">
        <w:rPr>
          <w:i/>
        </w:rPr>
        <w:t>Educational Action Research, 10</w:t>
      </w:r>
      <w:r w:rsidRPr="00BF3FA1">
        <w:t xml:space="preserve">(1), pp. 143-154. </w:t>
      </w:r>
    </w:p>
    <w:p w14:paraId="37A9A416" w14:textId="77777777" w:rsidR="00D13A3F" w:rsidRDefault="00D13A3F" w:rsidP="00D13A3F">
      <w:pPr>
        <w:pStyle w:val="References"/>
        <w:spacing w:before="0" w:after="240"/>
      </w:pPr>
    </w:p>
    <w:p w14:paraId="0208A53B" w14:textId="77777777" w:rsidR="00D13A3F" w:rsidRPr="00BF3FA1" w:rsidRDefault="00D13A3F" w:rsidP="00D13A3F">
      <w:pPr>
        <w:pStyle w:val="References"/>
        <w:spacing w:before="0" w:after="240"/>
      </w:pPr>
      <w:proofErr w:type="spellStart"/>
      <w:r w:rsidRPr="00BF3FA1">
        <w:t>Zeichner</w:t>
      </w:r>
      <w:proofErr w:type="spellEnd"/>
      <w:r w:rsidRPr="00BF3FA1">
        <w:t xml:space="preserve">, K. (2010). Rethinking the connections between campus courses and field experiences in college-and university-based teacher education. </w:t>
      </w:r>
      <w:r w:rsidRPr="00BF3FA1">
        <w:rPr>
          <w:i/>
        </w:rPr>
        <w:t>Journal of Teacher Education, 61</w:t>
      </w:r>
      <w:r w:rsidRPr="00BF3FA1">
        <w:t xml:space="preserve">(1-2), pp. 89-99. </w:t>
      </w:r>
    </w:p>
    <w:p w14:paraId="20B7759E" w14:textId="77777777" w:rsidR="00D13A3F" w:rsidRPr="000162D8" w:rsidRDefault="00D13A3F" w:rsidP="00D13A3F"/>
    <w:p w14:paraId="3927F62F" w14:textId="77777777" w:rsidR="00D13A3F" w:rsidRDefault="00D13A3F" w:rsidP="00D13A3F"/>
    <w:p w14:paraId="1FE28597" w14:textId="77777777" w:rsidR="00BE2D2C" w:rsidRPr="006D0E33" w:rsidRDefault="00BE2D2C" w:rsidP="008C3E6B">
      <w:pPr>
        <w:pStyle w:val="Newparagraph"/>
        <w:jc w:val="both"/>
      </w:pPr>
    </w:p>
    <w:p w14:paraId="502BA960" w14:textId="77777777" w:rsidR="00BE2D2C" w:rsidRPr="006D0E33" w:rsidRDefault="00BE2D2C" w:rsidP="008C3E6B">
      <w:pPr>
        <w:pStyle w:val="Heading2"/>
        <w:shd w:val="clear" w:color="auto" w:fill="FFFFFF"/>
        <w:spacing w:line="360" w:lineRule="atLeast"/>
        <w:jc w:val="both"/>
        <w:rPr>
          <w:b w:val="0"/>
          <w:szCs w:val="24"/>
        </w:rPr>
      </w:pPr>
      <w:r w:rsidRPr="006D0E33">
        <w:rPr>
          <w:szCs w:val="24"/>
        </w:rPr>
        <w:br w:type="page"/>
      </w:r>
    </w:p>
    <w:p w14:paraId="360DB891" w14:textId="77777777" w:rsidR="00BE2D2C" w:rsidRPr="006D0E33" w:rsidRDefault="00BE2D2C" w:rsidP="008C3E6B">
      <w:pPr>
        <w:jc w:val="both"/>
      </w:pPr>
      <w:r w:rsidRPr="006D0E33">
        <w:rPr>
          <w:b/>
        </w:rPr>
        <w:lastRenderedPageBreak/>
        <w:t>References</w:t>
      </w:r>
    </w:p>
    <w:p w14:paraId="7359C935" w14:textId="77777777" w:rsidR="00BE2D2C" w:rsidRPr="006D0E33" w:rsidRDefault="00BE2D2C" w:rsidP="00C47105">
      <w:pPr>
        <w:pStyle w:val="References"/>
        <w:spacing w:before="0" w:after="240"/>
        <w:ind w:left="0" w:firstLine="0"/>
        <w:jc w:val="both"/>
      </w:pPr>
    </w:p>
    <w:p w14:paraId="5688EA04" w14:textId="77777777" w:rsidR="00BE2D2C" w:rsidRPr="006D0E33" w:rsidRDefault="00BE2D2C" w:rsidP="008C3E6B">
      <w:pPr>
        <w:pStyle w:val="References"/>
        <w:spacing w:before="0" w:after="240"/>
        <w:jc w:val="both"/>
        <w:rPr>
          <w:rStyle w:val="Hyperlink"/>
          <w:color w:val="auto"/>
        </w:rPr>
      </w:pPr>
      <w:r w:rsidRPr="006D0E33">
        <w:t xml:space="preserve">Andrews, J., J. Hutchinson, and D, Robinson. 2017. </w:t>
      </w:r>
      <w:r w:rsidRPr="006D0E33">
        <w:rPr>
          <w:i/>
        </w:rPr>
        <w:t>Closing the gap? Trends in educational attainment and disadvantage</w:t>
      </w:r>
      <w:r w:rsidRPr="006D0E33">
        <w:t xml:space="preserve">. Retrieved from Education Policy Institute website: </w:t>
      </w:r>
      <w:hyperlink r:id="rId27" w:history="1">
        <w:r w:rsidRPr="006D0E33">
          <w:rPr>
            <w:rStyle w:val="Hyperlink"/>
            <w:color w:val="auto"/>
          </w:rPr>
          <w:t>https://epi.org.uk/wp-content/uploads/2017/08/Closing-the-Gap_EPI-.pdf</w:t>
        </w:r>
      </w:hyperlink>
    </w:p>
    <w:p w14:paraId="5D868DB8" w14:textId="77777777" w:rsidR="00BE2D2C" w:rsidRPr="006D0E33" w:rsidRDefault="00BE2D2C" w:rsidP="008C3E6B">
      <w:pPr>
        <w:pStyle w:val="References"/>
        <w:spacing w:before="0" w:after="240"/>
        <w:jc w:val="both"/>
      </w:pPr>
    </w:p>
    <w:p w14:paraId="0DF7A5C3" w14:textId="77777777" w:rsidR="00BE2D2C" w:rsidRPr="006D0E33" w:rsidRDefault="00BE2D2C" w:rsidP="008C3E6B">
      <w:pPr>
        <w:pStyle w:val="References"/>
        <w:spacing w:before="0" w:after="240"/>
        <w:jc w:val="both"/>
      </w:pPr>
      <w:r w:rsidRPr="006D0E33">
        <w:t xml:space="preserve">Anthony, G., and R, Hunter. 2013. Learning the work of ambitious mathematics teaching. In </w:t>
      </w:r>
      <w:r w:rsidRPr="006D0E33">
        <w:rPr>
          <w:i/>
        </w:rPr>
        <w:t>Mathematics education: Yesterday, today and tomorrow (Proceedings of the 36th Annual Conference of the Mathematics Education Research Group of Australasia</w:t>
      </w:r>
      <w:proofErr w:type="gramStart"/>
      <w:r w:rsidRPr="006D0E33">
        <w:rPr>
          <w:i/>
        </w:rPr>
        <w:t xml:space="preserve">), </w:t>
      </w:r>
      <w:r w:rsidRPr="006D0E33">
        <w:t xml:space="preserve"> ed</w:t>
      </w:r>
      <w:proofErr w:type="gramEnd"/>
      <w:r w:rsidRPr="006D0E33">
        <w:t xml:space="preserve"> V. </w:t>
      </w:r>
      <w:proofErr w:type="spellStart"/>
      <w:r w:rsidRPr="006D0E33">
        <w:t>Steinle</w:t>
      </w:r>
      <w:proofErr w:type="spellEnd"/>
      <w:r w:rsidRPr="006D0E33">
        <w:t xml:space="preserve">, L. Ball and C. </w:t>
      </w:r>
      <w:proofErr w:type="spellStart"/>
      <w:r w:rsidRPr="006D0E33">
        <w:t>Bardini</w:t>
      </w:r>
      <w:proofErr w:type="spellEnd"/>
      <w:r w:rsidRPr="006D0E33">
        <w:t>, 699-702  Melbourne: MERGA.</w:t>
      </w:r>
    </w:p>
    <w:p w14:paraId="709EDC1D" w14:textId="77777777" w:rsidR="00BE2D2C" w:rsidRPr="006D0E33" w:rsidRDefault="00BE2D2C" w:rsidP="008C3E6B">
      <w:pPr>
        <w:pStyle w:val="References"/>
        <w:spacing w:before="0" w:after="240"/>
        <w:jc w:val="both"/>
      </w:pPr>
    </w:p>
    <w:p w14:paraId="196F402B" w14:textId="77777777" w:rsidR="00BE2D2C" w:rsidRPr="006D0E33" w:rsidRDefault="00BE2D2C" w:rsidP="008C3E6B">
      <w:pPr>
        <w:pStyle w:val="References"/>
        <w:spacing w:before="0" w:after="240"/>
        <w:jc w:val="both"/>
      </w:pPr>
      <w:r w:rsidRPr="006D0E33">
        <w:t xml:space="preserve">Appleton, K. 2006. Science pedagogical content knowledge and elementary school teachers. In </w:t>
      </w:r>
      <w:r w:rsidRPr="006D0E33">
        <w:rPr>
          <w:i/>
        </w:rPr>
        <w:t>Elementary science teacher education: International perspectives on contemporary issues and practice</w:t>
      </w:r>
      <w:r w:rsidRPr="006D0E33">
        <w:t>, ed K. Appleton. New York: Lawrence Erlbaum Associates, Inc.</w:t>
      </w:r>
    </w:p>
    <w:p w14:paraId="5BFD805F" w14:textId="77777777" w:rsidR="00BE2D2C" w:rsidRPr="006D0E33" w:rsidRDefault="00BE2D2C" w:rsidP="008C3E6B">
      <w:pPr>
        <w:pStyle w:val="References"/>
        <w:spacing w:before="0" w:after="240"/>
        <w:jc w:val="both"/>
      </w:pPr>
    </w:p>
    <w:p w14:paraId="5A31F2B4" w14:textId="0F637E2F" w:rsidR="00BE2D2C" w:rsidRPr="006D0E33" w:rsidRDefault="00BE2D2C" w:rsidP="00C47105">
      <w:pPr>
        <w:pStyle w:val="References"/>
        <w:spacing w:before="0" w:after="240"/>
        <w:jc w:val="both"/>
      </w:pPr>
      <w:r w:rsidRPr="006D0E33">
        <w:t xml:space="preserve">Bailey, J., and M. Taylor. 2015. Experiencing a mathematical problem-solving teaching approach: Opportunities to identify ambitious teaching practices. </w:t>
      </w:r>
      <w:r w:rsidRPr="006D0E33">
        <w:rPr>
          <w:i/>
        </w:rPr>
        <w:t xml:space="preserve">Mathematics Teacher Education and Development, 17 </w:t>
      </w:r>
      <w:r w:rsidRPr="006D0E33">
        <w:t xml:space="preserve">no. 2: 111-124. </w:t>
      </w:r>
    </w:p>
    <w:p w14:paraId="2233216D" w14:textId="77777777" w:rsidR="00BE2D2C" w:rsidRPr="006D0E33" w:rsidRDefault="00BE2D2C" w:rsidP="00C47105">
      <w:pPr>
        <w:pStyle w:val="References"/>
        <w:spacing w:before="0" w:after="240"/>
        <w:ind w:left="0" w:firstLine="0"/>
        <w:jc w:val="both"/>
      </w:pPr>
    </w:p>
    <w:p w14:paraId="1E960B19" w14:textId="77777777" w:rsidR="00BE2D2C" w:rsidRPr="006D0E33" w:rsidRDefault="00BE2D2C" w:rsidP="008C3E6B">
      <w:pPr>
        <w:pStyle w:val="References"/>
        <w:spacing w:before="0" w:after="240"/>
        <w:jc w:val="both"/>
      </w:pPr>
      <w:r w:rsidRPr="006D0E33">
        <w:t xml:space="preserve">Ball, D. L., and F.M. Forzani. 2009. The work of teaching and the challenge for teacher education. </w:t>
      </w:r>
      <w:r w:rsidRPr="006D0E33">
        <w:rPr>
          <w:i/>
        </w:rPr>
        <w:t>Journal of Teacher Education, 60</w:t>
      </w:r>
      <w:r w:rsidRPr="006D0E33">
        <w:t xml:space="preserve"> no. 5: 497-511. </w:t>
      </w:r>
    </w:p>
    <w:p w14:paraId="7D346FE8" w14:textId="77777777" w:rsidR="00BE2D2C" w:rsidRPr="006D0E33" w:rsidRDefault="00BE2D2C" w:rsidP="008C3E6B">
      <w:pPr>
        <w:pStyle w:val="References"/>
        <w:spacing w:before="0" w:after="240"/>
        <w:jc w:val="both"/>
      </w:pPr>
    </w:p>
    <w:p w14:paraId="5FB60F77" w14:textId="77777777" w:rsidR="00BE2D2C" w:rsidRPr="006D0E33" w:rsidRDefault="00BE2D2C" w:rsidP="008C3E6B">
      <w:pPr>
        <w:pStyle w:val="References"/>
        <w:spacing w:before="0" w:after="240"/>
        <w:jc w:val="both"/>
      </w:pPr>
      <w:r w:rsidRPr="006D0E33">
        <w:t xml:space="preserve">Cook, T. 2006. Collaborative action research within developmental evaluation: Learning to see or the road to myopia? </w:t>
      </w:r>
      <w:r w:rsidRPr="006D0E33">
        <w:rPr>
          <w:i/>
        </w:rPr>
        <w:t>Evaluation, 12</w:t>
      </w:r>
      <w:r w:rsidRPr="006D0E33">
        <w:t xml:space="preserve"> no. 4: 418-436. </w:t>
      </w:r>
    </w:p>
    <w:p w14:paraId="667C2F8E" w14:textId="77777777" w:rsidR="00BE2D2C" w:rsidRPr="006D0E33" w:rsidRDefault="00BE2D2C" w:rsidP="008C3E6B">
      <w:pPr>
        <w:pStyle w:val="References"/>
        <w:spacing w:before="0" w:after="240"/>
        <w:jc w:val="both"/>
      </w:pPr>
    </w:p>
    <w:p w14:paraId="0FAF2EE1" w14:textId="77777777" w:rsidR="00075F7B" w:rsidRPr="006D0E33" w:rsidRDefault="00BE2D2C" w:rsidP="00075F7B">
      <w:pPr>
        <w:pStyle w:val="References"/>
        <w:spacing w:before="0" w:after="240"/>
        <w:jc w:val="both"/>
      </w:pPr>
      <w:r w:rsidRPr="006D0E33">
        <w:t xml:space="preserve">Cook, T. 2017. Working at the intersection: partnerships as participatory mechanisms for disruption. In </w:t>
      </w:r>
      <w:r w:rsidRPr="006D0E33">
        <w:rPr>
          <w:i/>
        </w:rPr>
        <w:t>Teacher Education in Challenging Times: lessons for professionalism, partnership and practice,</w:t>
      </w:r>
      <w:r w:rsidRPr="006D0E33">
        <w:t xml:space="preserve"> </w:t>
      </w:r>
      <w:proofErr w:type="gramStart"/>
      <w:r w:rsidRPr="006D0E33">
        <w:t>ed  P.</w:t>
      </w:r>
      <w:proofErr w:type="gramEnd"/>
      <w:r w:rsidRPr="006D0E33">
        <w:t xml:space="preserve"> M Bamber and J. C Moore, 83-93.Oxon: Routledge.</w:t>
      </w:r>
    </w:p>
    <w:p w14:paraId="632A1D7C" w14:textId="7266E004" w:rsidR="00075F7B" w:rsidRPr="00AA1B84" w:rsidRDefault="00075F7B" w:rsidP="00075F7B">
      <w:pPr>
        <w:pStyle w:val="References"/>
        <w:spacing w:before="0" w:after="240"/>
        <w:jc w:val="both"/>
        <w:rPr>
          <w:color w:val="FF0000"/>
        </w:rPr>
      </w:pPr>
      <w:r w:rsidRPr="00AA1B84">
        <w:rPr>
          <w:color w:val="FF0000"/>
        </w:rPr>
        <w:lastRenderedPageBreak/>
        <w:t xml:space="preserve">Cook T, Brandon T, </w:t>
      </w:r>
      <w:proofErr w:type="spellStart"/>
      <w:r w:rsidRPr="00AA1B84">
        <w:rPr>
          <w:color w:val="FF0000"/>
        </w:rPr>
        <w:t>Zonouzi</w:t>
      </w:r>
      <w:proofErr w:type="spellEnd"/>
      <w:r w:rsidRPr="00AA1B84">
        <w:rPr>
          <w:color w:val="FF0000"/>
        </w:rPr>
        <w:t xml:space="preserve"> M</w:t>
      </w:r>
      <w:r w:rsidR="00AA1B84">
        <w:rPr>
          <w:color w:val="FF0000"/>
        </w:rPr>
        <w:t>.</w:t>
      </w:r>
      <w:r w:rsidRPr="00AA1B84">
        <w:rPr>
          <w:color w:val="FF0000"/>
        </w:rPr>
        <w:t xml:space="preserve"> &amp; Thomson L 2019</w:t>
      </w:r>
      <w:r w:rsidR="00AA1B84">
        <w:rPr>
          <w:color w:val="FF0000"/>
        </w:rPr>
        <w:t>.</w:t>
      </w:r>
      <w:r w:rsidRPr="00AA1B84">
        <w:rPr>
          <w:color w:val="FF0000"/>
        </w:rPr>
        <w:t xml:space="preserve"> Destabilising Equilibriums: harnessing the power of disruption in participatory action research </w:t>
      </w:r>
      <w:r w:rsidRPr="00AA1B84">
        <w:rPr>
          <w:i/>
          <w:iCs/>
          <w:color w:val="FF0000"/>
        </w:rPr>
        <w:t>Educational Action Research</w:t>
      </w:r>
      <w:r w:rsidRPr="00AA1B84">
        <w:rPr>
          <w:color w:val="FF0000"/>
        </w:rPr>
        <w:t>, 27:3, 379-395, DOI: 10.1080/09650792.2019.1618721</w:t>
      </w:r>
    </w:p>
    <w:p w14:paraId="4B627E93" w14:textId="77777777" w:rsidR="00075F7B" w:rsidRPr="006D0E33" w:rsidRDefault="00075F7B" w:rsidP="008C3E6B">
      <w:pPr>
        <w:pStyle w:val="References"/>
        <w:spacing w:before="0" w:after="240"/>
        <w:jc w:val="both"/>
      </w:pPr>
    </w:p>
    <w:p w14:paraId="0FB65A74" w14:textId="378A300F" w:rsidR="00BE2D2C" w:rsidRPr="006D0E33" w:rsidRDefault="00BE2D2C" w:rsidP="008C3E6B">
      <w:pPr>
        <w:pStyle w:val="References"/>
        <w:spacing w:before="0" w:after="240"/>
        <w:jc w:val="both"/>
      </w:pPr>
      <w:r w:rsidRPr="006D0E33">
        <w:t xml:space="preserve">Driver, R. 1989. The construction of science knowledge in school classrooms. In </w:t>
      </w:r>
      <w:r w:rsidRPr="006D0E33">
        <w:rPr>
          <w:i/>
        </w:rPr>
        <w:t>Doing science: Images in science education</w:t>
      </w:r>
      <w:r w:rsidRPr="006D0E33">
        <w:t>, ed R. Millar, 40-41. New York: Falmer.</w:t>
      </w:r>
    </w:p>
    <w:p w14:paraId="61B8CBD0" w14:textId="77777777" w:rsidR="00BE2D2C" w:rsidRPr="006D0E33" w:rsidRDefault="00BE2D2C" w:rsidP="008C3E6B">
      <w:pPr>
        <w:pStyle w:val="References"/>
        <w:spacing w:before="0" w:after="240"/>
        <w:jc w:val="both"/>
      </w:pPr>
    </w:p>
    <w:p w14:paraId="096FC2D5" w14:textId="77777777" w:rsidR="00BE2D2C" w:rsidRPr="006D0E33" w:rsidRDefault="00BE2D2C" w:rsidP="008C3E6B">
      <w:pPr>
        <w:pStyle w:val="References"/>
        <w:spacing w:before="0" w:after="240"/>
        <w:jc w:val="both"/>
      </w:pPr>
      <w:proofErr w:type="spellStart"/>
      <w:r w:rsidRPr="006D0E33">
        <w:t>Feiman-Nemser</w:t>
      </w:r>
      <w:proofErr w:type="spellEnd"/>
      <w:r w:rsidRPr="006D0E33">
        <w:t xml:space="preserve">, S., E. Tamir, and K. </w:t>
      </w:r>
      <w:proofErr w:type="spellStart"/>
      <w:r w:rsidRPr="006D0E33">
        <w:t>Hammerness</w:t>
      </w:r>
      <w:proofErr w:type="spellEnd"/>
      <w:r w:rsidRPr="006D0E33">
        <w:t xml:space="preserve">. 2014. </w:t>
      </w:r>
      <w:r w:rsidRPr="006D0E33">
        <w:rPr>
          <w:i/>
        </w:rPr>
        <w:t>Inspiring teaching: Preparing teachers to succeed in mission-driven schools</w:t>
      </w:r>
      <w:r w:rsidRPr="006D0E33">
        <w:t>. Cambridge: Harvard Education Press.</w:t>
      </w:r>
    </w:p>
    <w:p w14:paraId="1F9217CF" w14:textId="77777777" w:rsidR="00BE2D2C" w:rsidRPr="006D0E33" w:rsidRDefault="00BE2D2C" w:rsidP="008C3E6B">
      <w:pPr>
        <w:pStyle w:val="References"/>
        <w:spacing w:before="0" w:after="240"/>
        <w:jc w:val="both"/>
      </w:pPr>
    </w:p>
    <w:p w14:paraId="42A81D0B" w14:textId="58D1D6CA" w:rsidR="00BE2D2C" w:rsidRPr="006D0E33" w:rsidRDefault="00BE2D2C" w:rsidP="008C3E6B">
      <w:pPr>
        <w:pStyle w:val="References"/>
        <w:spacing w:before="0" w:after="240"/>
        <w:jc w:val="both"/>
      </w:pPr>
      <w:r w:rsidRPr="006D0E33">
        <w:t>Grossman</w:t>
      </w:r>
      <w:r w:rsidR="00AA1B84">
        <w:t>,</w:t>
      </w:r>
      <w:r w:rsidRPr="006D0E33">
        <w:t xml:space="preserve"> P. K. </w:t>
      </w:r>
      <w:proofErr w:type="spellStart"/>
      <w:r w:rsidRPr="006D0E33">
        <w:t>Hammerness</w:t>
      </w:r>
      <w:proofErr w:type="spellEnd"/>
      <w:r w:rsidRPr="006D0E33">
        <w:t xml:space="preserve">, and M. McDonald. 2009. Redefining teaching, re-imagining teacher education. </w:t>
      </w:r>
      <w:r w:rsidRPr="006D0E33">
        <w:rPr>
          <w:i/>
        </w:rPr>
        <w:t>Teachers and Teaching: Theory and Practice, 15</w:t>
      </w:r>
      <w:r w:rsidRPr="006D0E33">
        <w:t xml:space="preserve"> no. 2: 273-289. </w:t>
      </w:r>
    </w:p>
    <w:p w14:paraId="466EF55B" w14:textId="77777777" w:rsidR="00BE2D2C" w:rsidRPr="006D0E33" w:rsidRDefault="00BE2D2C" w:rsidP="008C3E6B">
      <w:pPr>
        <w:pStyle w:val="References"/>
        <w:spacing w:before="0" w:after="240"/>
        <w:jc w:val="both"/>
      </w:pPr>
    </w:p>
    <w:p w14:paraId="6AB61579" w14:textId="2CFF71A4" w:rsidR="003852C4" w:rsidRPr="006D0E33" w:rsidRDefault="003852C4" w:rsidP="008C3E6B">
      <w:pPr>
        <w:pStyle w:val="References"/>
        <w:spacing w:before="0" w:after="240"/>
        <w:jc w:val="both"/>
      </w:pPr>
      <w:r w:rsidRPr="006D0E33">
        <w:t xml:space="preserve">Guba, E., &amp; Lincoln, Y. 1981. </w:t>
      </w:r>
      <w:r w:rsidRPr="006D0E33">
        <w:rPr>
          <w:i/>
          <w:iCs/>
        </w:rPr>
        <w:t>Effective evaluation</w:t>
      </w:r>
      <w:r w:rsidRPr="006D0E33">
        <w:t xml:space="preserve">. San Francisco: Jossey-Bass. </w:t>
      </w:r>
    </w:p>
    <w:p w14:paraId="70D28805" w14:textId="77777777" w:rsidR="003852C4" w:rsidRPr="006D0E33" w:rsidRDefault="003852C4" w:rsidP="008C3E6B">
      <w:pPr>
        <w:pStyle w:val="References"/>
        <w:spacing w:before="0" w:after="240"/>
        <w:jc w:val="both"/>
      </w:pPr>
    </w:p>
    <w:p w14:paraId="29C76D0A" w14:textId="39BEBCA8" w:rsidR="00BE2D2C" w:rsidRPr="006D0E33" w:rsidRDefault="00BE2D2C" w:rsidP="008C3E6B">
      <w:pPr>
        <w:pStyle w:val="References"/>
        <w:spacing w:before="0" w:after="240"/>
        <w:jc w:val="both"/>
      </w:pPr>
      <w:r w:rsidRPr="006D0E33">
        <w:t xml:space="preserve">Hollins, E. R. 2012. </w:t>
      </w:r>
      <w:r w:rsidRPr="006D0E33">
        <w:rPr>
          <w:i/>
        </w:rPr>
        <w:t xml:space="preserve">Learning to teach in urban schools: The transition from preparation to practice. </w:t>
      </w:r>
      <w:r w:rsidRPr="006D0E33">
        <w:t>New York: Routledge.</w:t>
      </w:r>
    </w:p>
    <w:p w14:paraId="65585544" w14:textId="77777777" w:rsidR="00C47105" w:rsidRPr="006D0E33" w:rsidRDefault="00C47105" w:rsidP="008C3E6B">
      <w:pPr>
        <w:pStyle w:val="References"/>
        <w:spacing w:before="0" w:after="240"/>
        <w:jc w:val="both"/>
      </w:pPr>
    </w:p>
    <w:p w14:paraId="00134A50" w14:textId="1121BF42" w:rsidR="00940D2A" w:rsidRPr="006D0E33" w:rsidRDefault="00940D2A" w:rsidP="008C3E6B">
      <w:pPr>
        <w:pStyle w:val="References"/>
        <w:spacing w:before="0" w:after="240"/>
        <w:jc w:val="both"/>
      </w:pPr>
      <w:proofErr w:type="spellStart"/>
      <w:r w:rsidRPr="006D0E33">
        <w:t>Kemmis</w:t>
      </w:r>
      <w:proofErr w:type="spellEnd"/>
      <w:r w:rsidRPr="006D0E33">
        <w:t>, S (2006) Participatory action research and the public sphere</w:t>
      </w:r>
      <w:r w:rsidR="003852C4" w:rsidRPr="006D0E33">
        <w:t>.</w:t>
      </w:r>
      <w:r w:rsidRPr="006D0E33">
        <w:t xml:space="preserve">  </w:t>
      </w:r>
      <w:r w:rsidRPr="006D0E33">
        <w:rPr>
          <w:i/>
          <w:iCs/>
        </w:rPr>
        <w:t>Educational Action Research</w:t>
      </w:r>
      <w:r w:rsidRPr="006D0E33">
        <w:t xml:space="preserve"> Vol. 14, No. 4, 2006, pp. 459–476</w:t>
      </w:r>
    </w:p>
    <w:p w14:paraId="7B0081B2" w14:textId="77777777" w:rsidR="00940D2A" w:rsidRPr="006D0E33" w:rsidRDefault="00940D2A" w:rsidP="008C3E6B">
      <w:pPr>
        <w:pStyle w:val="References"/>
        <w:spacing w:before="0" w:after="240"/>
        <w:jc w:val="both"/>
      </w:pPr>
    </w:p>
    <w:p w14:paraId="6C20230F" w14:textId="1E8C1BCD" w:rsidR="00BE2D2C" w:rsidRPr="006D0E33" w:rsidRDefault="00BE2D2C" w:rsidP="008C3E6B">
      <w:pPr>
        <w:pStyle w:val="References"/>
        <w:spacing w:before="0" w:after="240"/>
        <w:jc w:val="both"/>
      </w:pPr>
      <w:r w:rsidRPr="006D0E33">
        <w:t xml:space="preserve">Korthagen, F., J. Loughran, and T. Russell. 2006. Developing fundamental principles for teacher education programs and practices. </w:t>
      </w:r>
      <w:r w:rsidRPr="006D0E33">
        <w:rPr>
          <w:i/>
        </w:rPr>
        <w:t xml:space="preserve">Teaching and Teacher Education, 22 </w:t>
      </w:r>
      <w:proofErr w:type="gramStart"/>
      <w:r w:rsidRPr="006D0E33">
        <w:t>no</w:t>
      </w:r>
      <w:proofErr w:type="gramEnd"/>
      <w:r w:rsidRPr="006D0E33">
        <w:t xml:space="preserve">, 8:  1020-1041. </w:t>
      </w:r>
    </w:p>
    <w:p w14:paraId="27EDE379" w14:textId="77777777" w:rsidR="00BE2D2C" w:rsidRPr="006D0E33" w:rsidRDefault="00BE2D2C" w:rsidP="008C3E6B">
      <w:pPr>
        <w:pStyle w:val="References"/>
        <w:spacing w:before="0" w:after="240"/>
        <w:jc w:val="both"/>
      </w:pPr>
    </w:p>
    <w:p w14:paraId="6C3C5785" w14:textId="77777777" w:rsidR="00BE2D2C" w:rsidRPr="006D0E33" w:rsidRDefault="00BE2D2C" w:rsidP="008C3E6B">
      <w:pPr>
        <w:pStyle w:val="References"/>
        <w:spacing w:before="0" w:after="240"/>
        <w:jc w:val="both"/>
      </w:pPr>
      <w:r w:rsidRPr="006D0E33">
        <w:t xml:space="preserve">Lampert, M. 2010. Learning teaching in, from, and for practice: What do we mean? </w:t>
      </w:r>
      <w:r w:rsidRPr="006D0E33">
        <w:rPr>
          <w:i/>
        </w:rPr>
        <w:t>Journal of Teacher Education, 61</w:t>
      </w:r>
      <w:r w:rsidRPr="006D0E33">
        <w:t xml:space="preserve"> </w:t>
      </w:r>
      <w:proofErr w:type="gramStart"/>
      <w:r w:rsidRPr="006D0E33">
        <w:t>no</w:t>
      </w:r>
      <w:proofErr w:type="gramEnd"/>
      <w:r w:rsidRPr="006D0E33">
        <w:t xml:space="preserve">, 21: 21-34. </w:t>
      </w:r>
    </w:p>
    <w:p w14:paraId="61F67CDB" w14:textId="77777777" w:rsidR="00BE2D2C" w:rsidRPr="006D0E33" w:rsidRDefault="00BE2D2C" w:rsidP="008C3E6B">
      <w:pPr>
        <w:pStyle w:val="References"/>
        <w:spacing w:before="0" w:after="240"/>
        <w:jc w:val="both"/>
      </w:pPr>
    </w:p>
    <w:p w14:paraId="4820BAFE" w14:textId="77777777" w:rsidR="00BE2D2C" w:rsidRPr="006D0E33" w:rsidRDefault="00BE2D2C" w:rsidP="008C3E6B">
      <w:pPr>
        <w:pStyle w:val="References"/>
        <w:spacing w:before="0" w:after="240"/>
        <w:jc w:val="both"/>
      </w:pPr>
      <w:r w:rsidRPr="006D0E33">
        <w:t xml:space="preserve">Lampert, M., T. A. </w:t>
      </w:r>
      <w:proofErr w:type="spellStart"/>
      <w:r w:rsidRPr="006D0E33">
        <w:t>Boerst</w:t>
      </w:r>
      <w:proofErr w:type="spellEnd"/>
      <w:r w:rsidRPr="006D0E33">
        <w:t xml:space="preserve">, and F. Graziani, 2011. Organizational resources in the service of school-wide ambitious teaching practice. </w:t>
      </w:r>
      <w:r w:rsidRPr="006D0E33">
        <w:rPr>
          <w:i/>
        </w:rPr>
        <w:t>Teachers College Record, 113</w:t>
      </w:r>
      <w:r w:rsidRPr="006D0E33">
        <w:t xml:space="preserve"> no7: 1361-1400. </w:t>
      </w:r>
    </w:p>
    <w:p w14:paraId="2AB28F85" w14:textId="77777777" w:rsidR="00BE2D2C" w:rsidRPr="006D0E33" w:rsidRDefault="00BE2D2C" w:rsidP="008C3E6B">
      <w:pPr>
        <w:pStyle w:val="References"/>
        <w:spacing w:before="0" w:after="240"/>
        <w:jc w:val="both"/>
      </w:pPr>
    </w:p>
    <w:p w14:paraId="1F38B4B7" w14:textId="77777777" w:rsidR="00BE2D2C" w:rsidRPr="006D0E33" w:rsidRDefault="00BE2D2C" w:rsidP="008C3E6B">
      <w:pPr>
        <w:pStyle w:val="References"/>
        <w:spacing w:before="0" w:after="240"/>
        <w:jc w:val="both"/>
      </w:pPr>
      <w:r w:rsidRPr="006D0E33">
        <w:t xml:space="preserve">Lampert, M., M. L. Franke, E. </w:t>
      </w:r>
      <w:proofErr w:type="spellStart"/>
      <w:r w:rsidRPr="006D0E33">
        <w:t>Kazemi</w:t>
      </w:r>
      <w:proofErr w:type="spellEnd"/>
      <w:r w:rsidRPr="006D0E33">
        <w:t xml:space="preserve">, H. </w:t>
      </w:r>
      <w:proofErr w:type="spellStart"/>
      <w:r w:rsidRPr="006D0E33">
        <w:t>Ghousseini</w:t>
      </w:r>
      <w:proofErr w:type="spellEnd"/>
      <w:r w:rsidRPr="006D0E33">
        <w:t xml:space="preserve">, A. </w:t>
      </w:r>
      <w:proofErr w:type="spellStart"/>
      <w:proofErr w:type="gramStart"/>
      <w:r w:rsidRPr="006D0E33">
        <w:t>C.Turrou</w:t>
      </w:r>
      <w:proofErr w:type="spellEnd"/>
      <w:proofErr w:type="gramEnd"/>
      <w:r w:rsidRPr="006D0E33">
        <w:t xml:space="preserve">, </w:t>
      </w:r>
      <w:proofErr w:type="spellStart"/>
      <w:r w:rsidRPr="006D0E33">
        <w:t>H.Beasley</w:t>
      </w:r>
      <w:proofErr w:type="spellEnd"/>
      <w:r w:rsidRPr="006D0E33">
        <w:t xml:space="preserve">, and K. Crowe, 2013. Keeping it complex: Using rehearsals to support novice teacher learning of ambitious teaching. </w:t>
      </w:r>
      <w:r w:rsidRPr="006D0E33">
        <w:rPr>
          <w:i/>
        </w:rPr>
        <w:t xml:space="preserve">Journal of Teacher Education, 64 </w:t>
      </w:r>
      <w:proofErr w:type="gramStart"/>
      <w:r w:rsidRPr="006D0E33">
        <w:t>no</w:t>
      </w:r>
      <w:proofErr w:type="gramEnd"/>
      <w:r w:rsidRPr="006D0E33">
        <w:t xml:space="preserve">, 3: 226-243. </w:t>
      </w:r>
    </w:p>
    <w:p w14:paraId="5D798A53" w14:textId="77777777" w:rsidR="00BE2D2C" w:rsidRPr="006D0E33" w:rsidRDefault="00BE2D2C" w:rsidP="008C3E6B">
      <w:pPr>
        <w:pStyle w:val="References"/>
        <w:spacing w:before="0" w:after="240"/>
        <w:jc w:val="both"/>
      </w:pPr>
    </w:p>
    <w:p w14:paraId="62FE26A8" w14:textId="5E186DA8" w:rsidR="00A90552" w:rsidRPr="006D0E33" w:rsidRDefault="00A90552" w:rsidP="008C3E6B">
      <w:pPr>
        <w:pStyle w:val="References"/>
        <w:spacing w:before="0" w:after="240"/>
        <w:jc w:val="both"/>
      </w:pPr>
      <w:r w:rsidRPr="006D0E33">
        <w:t xml:space="preserve">Lather, P. 1986. Issues of validity in openly ideological research: Between a rock and a soft place Interchange 17, 63–84 </w:t>
      </w:r>
      <w:hyperlink r:id="rId28" w:history="1">
        <w:r w:rsidRPr="006D0E33">
          <w:rPr>
            <w:rStyle w:val="Hyperlink"/>
            <w:color w:val="auto"/>
          </w:rPr>
          <w:t>https://doi.org/10.1007/BF01807017</w:t>
        </w:r>
      </w:hyperlink>
    </w:p>
    <w:p w14:paraId="14261681" w14:textId="77777777" w:rsidR="00A90552" w:rsidRPr="006D0E33" w:rsidRDefault="00A90552" w:rsidP="008C3E6B">
      <w:pPr>
        <w:pStyle w:val="References"/>
        <w:spacing w:before="0" w:after="240"/>
        <w:jc w:val="both"/>
        <w:rPr>
          <w:b/>
          <w:bCs/>
        </w:rPr>
      </w:pPr>
    </w:p>
    <w:p w14:paraId="1ABC74B0" w14:textId="6A33B48C" w:rsidR="00BE2D2C" w:rsidRPr="006D0E33" w:rsidRDefault="00BE2D2C" w:rsidP="008C3E6B">
      <w:pPr>
        <w:pStyle w:val="References"/>
        <w:spacing w:before="0" w:after="240"/>
        <w:jc w:val="both"/>
      </w:pPr>
      <w:r w:rsidRPr="006D0E33">
        <w:t>Leonardi, S., H. Lamb, P.</w:t>
      </w:r>
      <w:r w:rsidR="00A90552" w:rsidRPr="006D0E33">
        <w:t xml:space="preserve"> </w:t>
      </w:r>
      <w:r w:rsidRPr="006D0E33">
        <w:t xml:space="preserve">Howe, and A. </w:t>
      </w:r>
      <w:proofErr w:type="spellStart"/>
      <w:r w:rsidRPr="006D0E33">
        <w:t>Choudoury</w:t>
      </w:r>
      <w:proofErr w:type="spellEnd"/>
      <w:r w:rsidRPr="006D0E33">
        <w:t xml:space="preserve">. 2017. State of the nation report of UK primary science education. Retrieved from CFE Research for the </w:t>
      </w:r>
      <w:proofErr w:type="spellStart"/>
      <w:r w:rsidRPr="006D0E33">
        <w:t>Wellcome</w:t>
      </w:r>
      <w:proofErr w:type="spellEnd"/>
      <w:r w:rsidRPr="006D0E33">
        <w:t xml:space="preserve"> Trust website: </w:t>
      </w:r>
      <w:hyperlink r:id="rId29" w:history="1">
        <w:r w:rsidRPr="006D0E33">
          <w:t>https://wellcome.ac.uk/sites/default/files/state-of-the-nation-report-of-uk-science-education.pdf</w:t>
        </w:r>
      </w:hyperlink>
    </w:p>
    <w:p w14:paraId="4AD531F1" w14:textId="77777777" w:rsidR="00BE2D2C" w:rsidRPr="006D0E33" w:rsidRDefault="00BE2D2C" w:rsidP="008C3E6B">
      <w:pPr>
        <w:pStyle w:val="References"/>
        <w:spacing w:before="0" w:after="240"/>
        <w:jc w:val="both"/>
      </w:pPr>
    </w:p>
    <w:p w14:paraId="6FE9D89E" w14:textId="77777777" w:rsidR="00BE2D2C" w:rsidRPr="006D0E33" w:rsidRDefault="00BE2D2C" w:rsidP="008C3E6B">
      <w:pPr>
        <w:pStyle w:val="References"/>
        <w:spacing w:before="0" w:after="240"/>
        <w:jc w:val="both"/>
      </w:pPr>
      <w:r w:rsidRPr="006D0E33">
        <w:t xml:space="preserve">Levin, B. B., and T.C. Rock. 2003. The effects of collaborative action research on preservice and experienced teacher partners in professional development schools. </w:t>
      </w:r>
      <w:r w:rsidRPr="006D0E33">
        <w:rPr>
          <w:i/>
        </w:rPr>
        <w:t>Journal of Teacher Education, 54</w:t>
      </w:r>
      <w:r w:rsidRPr="006D0E33">
        <w:t xml:space="preserve"> no. 2: 135-149. </w:t>
      </w:r>
    </w:p>
    <w:p w14:paraId="79281F14" w14:textId="77777777" w:rsidR="00BE2D2C" w:rsidRPr="006D0E33" w:rsidRDefault="00BE2D2C" w:rsidP="008C3E6B">
      <w:pPr>
        <w:pStyle w:val="References"/>
        <w:spacing w:before="0" w:after="240"/>
        <w:jc w:val="both"/>
      </w:pPr>
    </w:p>
    <w:p w14:paraId="133D41DF" w14:textId="77777777" w:rsidR="00BE2D2C" w:rsidRPr="006D0E33" w:rsidRDefault="00BE2D2C" w:rsidP="008C3E6B">
      <w:pPr>
        <w:pStyle w:val="References"/>
        <w:spacing w:before="0" w:after="240"/>
        <w:jc w:val="both"/>
      </w:pPr>
      <w:r w:rsidRPr="006D0E33">
        <w:t xml:space="preserve">Lewthwaite, B. E., J. Stableford, &amp; D.L. Fisher.  2001. Enlarging the focus on primary science education in New Zealand. In </w:t>
      </w:r>
      <w:r w:rsidRPr="006D0E33">
        <w:rPr>
          <w:i/>
        </w:rPr>
        <w:t>Same papers 2001</w:t>
      </w:r>
      <w:r w:rsidRPr="006D0E33">
        <w:t xml:space="preserve"> ed. R. K. Coll. New Zealand: Centre for Science and Technology Education Research, Waikato University.</w:t>
      </w:r>
    </w:p>
    <w:p w14:paraId="3014C860" w14:textId="77777777" w:rsidR="00BE2D2C" w:rsidRPr="006D0E33" w:rsidRDefault="00BE2D2C" w:rsidP="008C3E6B">
      <w:pPr>
        <w:pStyle w:val="References"/>
        <w:spacing w:before="0" w:after="240"/>
        <w:jc w:val="both"/>
      </w:pPr>
    </w:p>
    <w:p w14:paraId="2857E5D7" w14:textId="77777777" w:rsidR="00BE2D2C" w:rsidRPr="006D0E33" w:rsidRDefault="00BE2D2C" w:rsidP="008C3E6B">
      <w:pPr>
        <w:pStyle w:val="References"/>
        <w:spacing w:before="0" w:after="240"/>
        <w:jc w:val="both"/>
        <w:rPr>
          <w:rStyle w:val="Hyperlink"/>
          <w:color w:val="auto"/>
        </w:rPr>
      </w:pPr>
      <w:r w:rsidRPr="006D0E33">
        <w:t xml:space="preserve">Lewthwaite, B., and D.  Fisher. 2004. The application of a primary science delivery evaluation questionnaire. </w:t>
      </w:r>
      <w:r w:rsidRPr="006D0E33">
        <w:rPr>
          <w:i/>
        </w:rPr>
        <w:t>Research in Science Education, 34</w:t>
      </w:r>
      <w:r w:rsidRPr="006D0E33">
        <w:t xml:space="preserve"> no.1: 55-70. doi:10.1023/</w:t>
      </w:r>
      <w:proofErr w:type="gramStart"/>
      <w:r w:rsidRPr="006D0E33">
        <w:t>B:RISE</w:t>
      </w:r>
      <w:proofErr w:type="gramEnd"/>
      <w:r w:rsidRPr="006D0E33">
        <w:t xml:space="preserve">.0000020899.42419.1c Retrieved from </w:t>
      </w:r>
      <w:hyperlink r:id="rId30" w:history="1">
        <w:r w:rsidRPr="006D0E33">
          <w:rPr>
            <w:rStyle w:val="Hyperlink"/>
            <w:color w:val="auto"/>
          </w:rPr>
          <w:t>https://doi.org/10.1023/B:RISE.0000020899.42419.1c</w:t>
        </w:r>
      </w:hyperlink>
    </w:p>
    <w:p w14:paraId="4F193036" w14:textId="77777777" w:rsidR="00BE2D2C" w:rsidRPr="006D0E33" w:rsidRDefault="00BE2D2C" w:rsidP="008C3E6B">
      <w:pPr>
        <w:pStyle w:val="References"/>
        <w:spacing w:before="0" w:after="240"/>
        <w:jc w:val="both"/>
      </w:pPr>
    </w:p>
    <w:p w14:paraId="145B6FEC" w14:textId="77777777" w:rsidR="00BE2D2C" w:rsidRPr="006D0E33" w:rsidRDefault="00BE2D2C" w:rsidP="008C3E6B">
      <w:pPr>
        <w:pStyle w:val="References"/>
        <w:spacing w:before="0" w:after="240"/>
        <w:jc w:val="both"/>
      </w:pPr>
      <w:r w:rsidRPr="006D0E33">
        <w:t xml:space="preserve">McDonald, M., E. </w:t>
      </w:r>
      <w:proofErr w:type="spellStart"/>
      <w:r w:rsidRPr="006D0E33">
        <w:t>Kazemi</w:t>
      </w:r>
      <w:proofErr w:type="spellEnd"/>
      <w:r w:rsidRPr="006D0E33">
        <w:t xml:space="preserve">, and S. Kavanagh. 2013. Core practices and pedagogies of teacher education: A call for a common language and collective activity. </w:t>
      </w:r>
      <w:r w:rsidRPr="006D0E33">
        <w:rPr>
          <w:i/>
        </w:rPr>
        <w:t>Journal of Teacher Education, 64</w:t>
      </w:r>
      <w:r w:rsidRPr="006D0E33">
        <w:t xml:space="preserve"> no.5: 378-386. </w:t>
      </w:r>
    </w:p>
    <w:p w14:paraId="12E15E38" w14:textId="77777777" w:rsidR="00BE2D2C" w:rsidRPr="006D0E33" w:rsidRDefault="008213C5" w:rsidP="008C3E6B">
      <w:pPr>
        <w:jc w:val="both"/>
      </w:pPr>
      <w:hyperlink r:id="rId31" w:tooltip="OECD" w:history="1">
        <w:r w:rsidR="00BE2D2C" w:rsidRPr="006D0E33">
          <w:rPr>
            <w:u w:val="single"/>
            <w:shd w:val="clear" w:color="auto" w:fill="FFFFFF"/>
          </w:rPr>
          <w:t>OECD</w:t>
        </w:r>
      </w:hyperlink>
      <w:r w:rsidR="00BE2D2C" w:rsidRPr="006D0E33">
        <w:rPr>
          <w:shd w:val="clear" w:color="auto" w:fill="FFFFFF"/>
        </w:rPr>
        <w:t> (2017). </w:t>
      </w:r>
      <w:r w:rsidR="00BE2D2C" w:rsidRPr="006D0E33">
        <w:rPr>
          <w:iCs/>
          <w:u w:val="single"/>
          <w:shd w:val="clear" w:color="auto" w:fill="FFFFFF"/>
        </w:rPr>
        <w:t>Effective Teacher Policies. Insights from PISA</w:t>
      </w:r>
      <w:r w:rsidR="00BE2D2C" w:rsidRPr="006D0E33">
        <w:rPr>
          <w:shd w:val="clear" w:color="auto" w:fill="FFFFFF"/>
        </w:rPr>
        <w:t xml:space="preserve">. Paris: </w:t>
      </w:r>
      <w:r w:rsidR="00BE2D2C" w:rsidRPr="006D0E33">
        <w:rPr>
          <w:i/>
          <w:shd w:val="clear" w:color="auto" w:fill="FFFFFF"/>
        </w:rPr>
        <w:t>OECD Publishing</w:t>
      </w:r>
      <w:r w:rsidR="00BE2D2C" w:rsidRPr="006D0E33">
        <w:rPr>
          <w:shd w:val="clear" w:color="auto" w:fill="FFFFFF"/>
        </w:rPr>
        <w:t>. Retrieved August 28, 2018 from </w:t>
      </w:r>
      <w:hyperlink r:id="rId32" w:history="1">
        <w:r w:rsidR="00BE2D2C" w:rsidRPr="006D0E33">
          <w:rPr>
            <w:u w:val="single"/>
            <w:shd w:val="clear" w:color="auto" w:fill="FFFFFF"/>
          </w:rPr>
          <w:t>http://dx.doi.org/10.1787/9789264301603-en</w:t>
        </w:r>
      </w:hyperlink>
    </w:p>
    <w:p w14:paraId="6AE847A2" w14:textId="77777777" w:rsidR="00BE2D2C" w:rsidRPr="006D0E33" w:rsidRDefault="00BE2D2C" w:rsidP="00DD52B6">
      <w:pPr>
        <w:pStyle w:val="References"/>
        <w:spacing w:before="0" w:after="240"/>
        <w:ind w:left="0" w:firstLine="0"/>
        <w:jc w:val="both"/>
      </w:pPr>
    </w:p>
    <w:p w14:paraId="6C110204" w14:textId="77777777" w:rsidR="00BE2D2C" w:rsidRPr="006D0E33" w:rsidRDefault="00BE2D2C" w:rsidP="00DD52B6">
      <w:pPr>
        <w:pStyle w:val="References"/>
        <w:spacing w:before="0" w:after="240"/>
        <w:jc w:val="both"/>
      </w:pPr>
      <w:r w:rsidRPr="006D0E33">
        <w:t xml:space="preserve">Ofsted School Report. 2015. </w:t>
      </w:r>
      <w:r w:rsidRPr="006D0E33">
        <w:rPr>
          <w:i/>
        </w:rPr>
        <w:t xml:space="preserve">Our Lady and Saint </w:t>
      </w:r>
      <w:proofErr w:type="spellStart"/>
      <w:r w:rsidRPr="006D0E33">
        <w:rPr>
          <w:i/>
        </w:rPr>
        <w:t>Swithin’s</w:t>
      </w:r>
      <w:proofErr w:type="spellEnd"/>
      <w:r w:rsidRPr="006D0E33">
        <w:rPr>
          <w:i/>
        </w:rPr>
        <w:t xml:space="preserve"> Catholic Primary School</w:t>
      </w:r>
      <w:r w:rsidRPr="006D0E33">
        <w:t xml:space="preserve">. Retrieved from </w:t>
      </w:r>
      <w:hyperlink r:id="rId33" w:history="1">
        <w:r w:rsidRPr="006D0E33">
          <w:rPr>
            <w:rStyle w:val="Hyperlink"/>
            <w:color w:val="auto"/>
          </w:rPr>
          <w:t>https://files.api.ofsted.gov.uk/v1/file/2535178</w:t>
        </w:r>
      </w:hyperlink>
    </w:p>
    <w:p w14:paraId="63875082" w14:textId="77777777" w:rsidR="00BE2D2C" w:rsidRPr="006D0E33" w:rsidRDefault="00BE2D2C" w:rsidP="00DD52B6">
      <w:pPr>
        <w:pStyle w:val="References"/>
        <w:spacing w:before="0" w:after="240"/>
        <w:jc w:val="both"/>
      </w:pPr>
    </w:p>
    <w:p w14:paraId="59286B35" w14:textId="77777777" w:rsidR="00BE2D2C" w:rsidRPr="006D0E33" w:rsidRDefault="00BE2D2C" w:rsidP="00BF3ABA">
      <w:pPr>
        <w:pStyle w:val="References"/>
        <w:spacing w:before="0" w:after="240"/>
        <w:jc w:val="both"/>
      </w:pPr>
      <w:r w:rsidRPr="006D0E33">
        <w:t xml:space="preserve">Pawson, R., and N. Tilley.1997. An introduction to scientific realist evaluation. In </w:t>
      </w:r>
      <w:r w:rsidRPr="006D0E33">
        <w:rPr>
          <w:i/>
          <w:iCs/>
        </w:rPr>
        <w:t>Evaluation for the 21st century: A handbook</w:t>
      </w:r>
      <w:r w:rsidRPr="006D0E33">
        <w:t xml:space="preserve"> ed. E. </w:t>
      </w:r>
      <w:proofErr w:type="spellStart"/>
      <w:r w:rsidRPr="006D0E33">
        <w:t>Chelimsky</w:t>
      </w:r>
      <w:proofErr w:type="spellEnd"/>
      <w:r w:rsidRPr="006D0E33">
        <w:t xml:space="preserve"> </w:t>
      </w:r>
      <w:proofErr w:type="gramStart"/>
      <w:r w:rsidRPr="006D0E33">
        <w:t>and  W.</w:t>
      </w:r>
      <w:proofErr w:type="gramEnd"/>
      <w:r w:rsidRPr="006D0E33">
        <w:t xml:space="preserve"> R. </w:t>
      </w:r>
      <w:proofErr w:type="spellStart"/>
      <w:r w:rsidRPr="006D0E33">
        <w:t>Shadish</w:t>
      </w:r>
      <w:proofErr w:type="spellEnd"/>
      <w:r w:rsidRPr="006D0E33">
        <w:t>. 405-418. California: Sage.</w:t>
      </w:r>
    </w:p>
    <w:p w14:paraId="7EA5C43D" w14:textId="77777777" w:rsidR="00BE2D2C" w:rsidRPr="006D0E33" w:rsidRDefault="00BE2D2C" w:rsidP="00BF3ABA">
      <w:pPr>
        <w:pStyle w:val="References"/>
        <w:spacing w:before="0" w:after="240"/>
        <w:jc w:val="both"/>
      </w:pPr>
    </w:p>
    <w:p w14:paraId="38665F42" w14:textId="635094FB" w:rsidR="00BE2D2C" w:rsidRPr="006D0E33" w:rsidRDefault="00BE2D2C" w:rsidP="00BF3ABA">
      <w:pPr>
        <w:pStyle w:val="References"/>
        <w:spacing w:before="0" w:after="240"/>
        <w:jc w:val="both"/>
        <w:rPr>
          <w:rStyle w:val="Hyperlink"/>
          <w:color w:val="auto"/>
        </w:rPr>
      </w:pPr>
      <w:r w:rsidRPr="006D0E33">
        <w:t xml:space="preserve">Petersen, J. E., and D. F. </w:t>
      </w:r>
      <w:proofErr w:type="spellStart"/>
      <w:r w:rsidRPr="006D0E33">
        <w:t>Treagust</w:t>
      </w:r>
      <w:proofErr w:type="spellEnd"/>
      <w:r w:rsidRPr="006D0E33">
        <w:t xml:space="preserve">, 2014. School and university partnerships: The role of teacher education institutions and primary schools in the development of preservice teachers’ science teaching efficacy. </w:t>
      </w:r>
      <w:r w:rsidRPr="006D0E33">
        <w:rPr>
          <w:i/>
        </w:rPr>
        <w:t xml:space="preserve">Australian Journal of Teacher Education, 39 </w:t>
      </w:r>
      <w:r w:rsidRPr="006D0E33">
        <w:t xml:space="preserve">no.9. Retrieved from </w:t>
      </w:r>
      <w:hyperlink r:id="rId34" w:history="1">
        <w:r w:rsidRPr="006D0E33">
          <w:rPr>
            <w:rStyle w:val="Hyperlink"/>
            <w:color w:val="auto"/>
          </w:rPr>
          <w:t>https://files.eric.ed.gov/fulltext/EJ1038100.pdf</w:t>
        </w:r>
      </w:hyperlink>
    </w:p>
    <w:p w14:paraId="4A612DA2" w14:textId="577A279B" w:rsidR="00BE2D2C" w:rsidRPr="006D0E33" w:rsidRDefault="009F2433" w:rsidP="008C3E6B">
      <w:pPr>
        <w:pStyle w:val="References"/>
        <w:spacing w:before="0" w:after="240"/>
        <w:jc w:val="both"/>
      </w:pPr>
      <w:r w:rsidRPr="006D0E33">
        <w:t>Poulter</w:t>
      </w:r>
      <w:r w:rsidR="006428D2" w:rsidRPr="006D0E33">
        <w:t xml:space="preserve">, V. and T. </w:t>
      </w:r>
      <w:r w:rsidRPr="006D0E33">
        <w:t>Cook</w:t>
      </w:r>
      <w:r w:rsidR="006428D2" w:rsidRPr="006D0E33">
        <w:t xml:space="preserve">, </w:t>
      </w:r>
      <w:r w:rsidRPr="006D0E33">
        <w:t>2020 Teaching music in the early years in schools in challenging circumstances: developing student teacher competence and confidence through cycles of enactment, Educational Action Research, DOI: </w:t>
      </w:r>
      <w:hyperlink r:id="rId35" w:history="1">
        <w:r w:rsidRPr="006D0E33">
          <w:t>10.1080/09650792.2020.1765185</w:t>
        </w:r>
      </w:hyperlink>
    </w:p>
    <w:p w14:paraId="0D2084B5" w14:textId="5773C780" w:rsidR="00BE2D2C" w:rsidRPr="006D0E33" w:rsidRDefault="00BE2D2C" w:rsidP="008C3E6B">
      <w:pPr>
        <w:pStyle w:val="References"/>
        <w:spacing w:before="0" w:after="240"/>
        <w:jc w:val="both"/>
      </w:pPr>
      <w:proofErr w:type="spellStart"/>
      <w:r w:rsidRPr="006D0E33">
        <w:t>Seimears</w:t>
      </w:r>
      <w:proofErr w:type="spellEnd"/>
      <w:r w:rsidRPr="006D0E33">
        <w:t>, C. M., E. Graves, M. G.</w:t>
      </w:r>
      <w:r w:rsidR="006428D2" w:rsidRPr="006D0E33">
        <w:t xml:space="preserve"> </w:t>
      </w:r>
      <w:proofErr w:type="spellStart"/>
      <w:r w:rsidRPr="006D0E33">
        <w:t>Schroyer</w:t>
      </w:r>
      <w:proofErr w:type="spellEnd"/>
      <w:r w:rsidRPr="006D0E33">
        <w:t>, and J.</w:t>
      </w:r>
      <w:r w:rsidR="006428D2" w:rsidRPr="006D0E33">
        <w:t xml:space="preserve"> </w:t>
      </w:r>
      <w:proofErr w:type="spellStart"/>
      <w:r w:rsidRPr="006D0E33">
        <w:t>Staver</w:t>
      </w:r>
      <w:proofErr w:type="spellEnd"/>
      <w:r w:rsidRPr="006D0E33">
        <w:t xml:space="preserve">. 2012. How constructivist-based teaching influences students learning science. </w:t>
      </w:r>
      <w:r w:rsidRPr="006D0E33">
        <w:rPr>
          <w:i/>
        </w:rPr>
        <w:t>The Educational Forum, 76</w:t>
      </w:r>
      <w:r w:rsidRPr="006D0E33">
        <w:t xml:space="preserve"> no.2: 265-271. </w:t>
      </w:r>
    </w:p>
    <w:p w14:paraId="7496F1DC" w14:textId="77777777" w:rsidR="00BE2D2C" w:rsidRPr="006D0E33" w:rsidRDefault="00BE2D2C" w:rsidP="008C3E6B">
      <w:pPr>
        <w:pStyle w:val="References"/>
        <w:spacing w:before="0" w:after="240"/>
        <w:jc w:val="both"/>
      </w:pPr>
    </w:p>
    <w:p w14:paraId="5DC98A71" w14:textId="77777777" w:rsidR="00BE2D2C" w:rsidRPr="006D0E33" w:rsidRDefault="00BE2D2C" w:rsidP="008C3E6B">
      <w:pPr>
        <w:pStyle w:val="References"/>
        <w:spacing w:before="0" w:after="240"/>
        <w:jc w:val="both"/>
      </w:pPr>
      <w:r w:rsidRPr="006D0E33">
        <w:t xml:space="preserve">Srivastava, A. and S. B. Thomson, 2009. Framework Analysis: A Qualitative Methodology for Applied Policy Research. </w:t>
      </w:r>
      <w:r w:rsidRPr="006D0E33">
        <w:rPr>
          <w:i/>
        </w:rPr>
        <w:t xml:space="preserve">Journal of Administration &amp; Governance, </w:t>
      </w:r>
      <w:r w:rsidRPr="006D0E33">
        <w:t>4 no.2: 72-79</w:t>
      </w:r>
    </w:p>
    <w:p w14:paraId="17D10544" w14:textId="77777777" w:rsidR="00BE2D2C" w:rsidRPr="006D0E33" w:rsidRDefault="00BE2D2C" w:rsidP="008C3E6B">
      <w:pPr>
        <w:pStyle w:val="References"/>
        <w:spacing w:before="0" w:after="240"/>
        <w:jc w:val="both"/>
      </w:pPr>
    </w:p>
    <w:p w14:paraId="509AD17E" w14:textId="162DB080" w:rsidR="00594782" w:rsidRPr="006D0E33" w:rsidRDefault="00594782" w:rsidP="008C3E6B">
      <w:pPr>
        <w:pStyle w:val="References"/>
        <w:spacing w:before="0" w:after="240"/>
        <w:jc w:val="both"/>
      </w:pPr>
      <w:proofErr w:type="spellStart"/>
      <w:r w:rsidRPr="006D0E33">
        <w:t>Tschannen</w:t>
      </w:r>
      <w:proofErr w:type="spellEnd"/>
      <w:r w:rsidRPr="006D0E33">
        <w:t>-Moran, M., &amp; Woolfolk Hoy, A. (2001). Teacher efficacy: Capturing and elusive construct. Teaching and Teacher Education, 17, 783-805</w:t>
      </w:r>
    </w:p>
    <w:p w14:paraId="71D8EF1F" w14:textId="77777777" w:rsidR="00940D2A" w:rsidRPr="006D0E33" w:rsidRDefault="00940D2A" w:rsidP="008C3E6B">
      <w:pPr>
        <w:pStyle w:val="References"/>
        <w:spacing w:before="0" w:after="240"/>
        <w:jc w:val="both"/>
      </w:pPr>
    </w:p>
    <w:p w14:paraId="48C3D0FA" w14:textId="6FCAC2A9" w:rsidR="00BE2D2C" w:rsidRPr="006D0E33" w:rsidRDefault="00BE2D2C" w:rsidP="008C3E6B">
      <w:pPr>
        <w:pStyle w:val="References"/>
        <w:spacing w:before="0" w:after="240"/>
        <w:jc w:val="both"/>
        <w:rPr>
          <w:rStyle w:val="Hyperlink"/>
          <w:color w:val="auto"/>
        </w:rPr>
      </w:pPr>
      <w:proofErr w:type="spellStart"/>
      <w:r w:rsidRPr="006D0E33">
        <w:t>Ullucci</w:t>
      </w:r>
      <w:proofErr w:type="spellEnd"/>
      <w:r w:rsidRPr="006D0E33">
        <w:t xml:space="preserve">, K., and T. Howard. 2015. Pathologizing the poor: Implications for preparing teachers to work in high-poverty schools. </w:t>
      </w:r>
      <w:r w:rsidRPr="006D0E33">
        <w:rPr>
          <w:i/>
        </w:rPr>
        <w:t>Urban Education, 50</w:t>
      </w:r>
      <w:r w:rsidRPr="006D0E33">
        <w:t xml:space="preserve"> no.2: 170-193. </w:t>
      </w:r>
    </w:p>
    <w:p w14:paraId="1B34E768" w14:textId="77777777" w:rsidR="00BE2D2C" w:rsidRPr="006D0E33" w:rsidRDefault="00BE2D2C" w:rsidP="008C3E6B">
      <w:pPr>
        <w:pStyle w:val="References"/>
        <w:spacing w:before="0" w:after="240"/>
        <w:jc w:val="both"/>
      </w:pPr>
    </w:p>
    <w:p w14:paraId="579E396D" w14:textId="77777777" w:rsidR="00BE2D2C" w:rsidRPr="006D0E33" w:rsidRDefault="00BE2D2C" w:rsidP="008C3E6B">
      <w:pPr>
        <w:pStyle w:val="References"/>
        <w:spacing w:before="0" w:after="240"/>
        <w:jc w:val="both"/>
      </w:pPr>
      <w:r w:rsidRPr="006D0E33">
        <w:t xml:space="preserve">Van </w:t>
      </w:r>
      <w:proofErr w:type="spellStart"/>
      <w:r w:rsidRPr="006D0E33">
        <w:t>Manen</w:t>
      </w:r>
      <w:proofErr w:type="spellEnd"/>
      <w:r w:rsidRPr="006D0E33">
        <w:t xml:space="preserve">, M. 1991. </w:t>
      </w:r>
      <w:r w:rsidRPr="006D0E33">
        <w:rPr>
          <w:i/>
        </w:rPr>
        <w:t>The tact of teaching: The meaning of pedagogical thoughtfulness.</w:t>
      </w:r>
      <w:r w:rsidRPr="006D0E33">
        <w:t xml:space="preserve"> New York: State University of New York.</w:t>
      </w:r>
    </w:p>
    <w:p w14:paraId="6C0DF0B9" w14:textId="77777777" w:rsidR="00BE2D2C" w:rsidRPr="006D0E33" w:rsidRDefault="00BE2D2C" w:rsidP="008C3E6B">
      <w:pPr>
        <w:pStyle w:val="References"/>
        <w:spacing w:before="0" w:after="240"/>
        <w:jc w:val="both"/>
      </w:pPr>
    </w:p>
    <w:p w14:paraId="6DD8D926" w14:textId="77777777" w:rsidR="00BE2D2C" w:rsidRPr="006D0E33" w:rsidRDefault="00BE2D2C" w:rsidP="008C3E6B">
      <w:pPr>
        <w:pStyle w:val="References"/>
        <w:spacing w:before="0" w:after="240"/>
        <w:jc w:val="both"/>
        <w:rPr>
          <w:rStyle w:val="Hyperlink"/>
          <w:color w:val="auto"/>
        </w:rPr>
      </w:pPr>
      <w:proofErr w:type="spellStart"/>
      <w:r w:rsidRPr="006D0E33">
        <w:t>Wellcome</w:t>
      </w:r>
      <w:proofErr w:type="spellEnd"/>
      <w:r w:rsidRPr="006D0E33">
        <w:t xml:space="preserve"> Foundation. 2014. </w:t>
      </w:r>
      <w:r w:rsidRPr="006D0E33">
        <w:rPr>
          <w:i/>
        </w:rPr>
        <w:t>Primary science, is it missing out? Recommendations for reviewing primary science.</w:t>
      </w:r>
      <w:r w:rsidRPr="006D0E33">
        <w:t xml:space="preserve"> Retrieved from The </w:t>
      </w:r>
      <w:proofErr w:type="spellStart"/>
      <w:r w:rsidRPr="006D0E33">
        <w:t>Wellcome</w:t>
      </w:r>
      <w:proofErr w:type="spellEnd"/>
      <w:r w:rsidRPr="006D0E33">
        <w:t xml:space="preserve"> Trust website: </w:t>
      </w:r>
      <w:hyperlink r:id="rId36" w:history="1">
        <w:r w:rsidRPr="006D0E33">
          <w:rPr>
            <w:rStyle w:val="Hyperlink"/>
            <w:color w:val="auto"/>
          </w:rPr>
          <w:t>https://wellcome.ac.uk/sites/default/files/primary-science-is-it-missing-out-wellcome-sep14.pdf</w:t>
        </w:r>
      </w:hyperlink>
    </w:p>
    <w:p w14:paraId="502E8A4D" w14:textId="77777777" w:rsidR="00BE2D2C" w:rsidRPr="006D0E33" w:rsidRDefault="00BE2D2C" w:rsidP="00272142">
      <w:pPr>
        <w:pStyle w:val="References"/>
        <w:spacing w:before="0" w:after="240"/>
        <w:ind w:left="0" w:firstLine="0"/>
        <w:jc w:val="both"/>
      </w:pPr>
    </w:p>
    <w:p w14:paraId="247C97CC" w14:textId="77777777" w:rsidR="00BE2D2C" w:rsidRPr="006D0E33" w:rsidRDefault="00BE2D2C" w:rsidP="008C3E6B">
      <w:pPr>
        <w:pStyle w:val="References"/>
        <w:spacing w:before="0" w:after="240"/>
        <w:jc w:val="both"/>
      </w:pPr>
      <w:r w:rsidRPr="006D0E33">
        <w:t xml:space="preserve">Wilshaw, M. 2013. </w:t>
      </w:r>
      <w:r w:rsidRPr="006D0E33">
        <w:rPr>
          <w:rStyle w:val="Emphasis"/>
          <w:i w:val="0"/>
          <w:shd w:val="clear" w:color="auto" w:fill="FFFFFC"/>
        </w:rPr>
        <w:t xml:space="preserve">HMCI's annual report 2012/13 speech. </w:t>
      </w:r>
      <w:r w:rsidRPr="006D0E33">
        <w:rPr>
          <w:i/>
        </w:rPr>
        <w:t>The Unlucky Child.</w:t>
      </w:r>
      <w:r w:rsidRPr="006D0E33">
        <w:t xml:space="preserve"> Retrieved from </w:t>
      </w:r>
      <w:hyperlink r:id="rId37" w:history="1">
        <w:r w:rsidRPr="006D0E33">
          <w:rPr>
            <w:rStyle w:val="Hyperlink"/>
            <w:color w:val="auto"/>
          </w:rPr>
          <w:t>https://dera.ioe.ac.uk/18984/</w:t>
        </w:r>
      </w:hyperlink>
    </w:p>
    <w:p w14:paraId="5AD82F32" w14:textId="77777777" w:rsidR="00BE2D2C" w:rsidRPr="006D0E33" w:rsidRDefault="00BE2D2C" w:rsidP="008C3E6B">
      <w:pPr>
        <w:pStyle w:val="References"/>
        <w:spacing w:before="0" w:after="240"/>
        <w:jc w:val="both"/>
      </w:pPr>
      <w:r w:rsidRPr="006D0E33">
        <w:t xml:space="preserve"> </w:t>
      </w:r>
    </w:p>
    <w:p w14:paraId="329772F2" w14:textId="77777777" w:rsidR="00BE2D2C" w:rsidRPr="006D0E33" w:rsidRDefault="00BE2D2C" w:rsidP="008C3E6B">
      <w:pPr>
        <w:pStyle w:val="References"/>
        <w:spacing w:before="0" w:after="240"/>
        <w:jc w:val="both"/>
      </w:pPr>
      <w:r w:rsidRPr="006D0E33">
        <w:t xml:space="preserve">Wilshaw, M. 2016. </w:t>
      </w:r>
      <w:r w:rsidRPr="006D0E33">
        <w:rPr>
          <w:i/>
        </w:rPr>
        <w:t>HMCI's commentary: Science and foreign languages in primary school</w:t>
      </w:r>
      <w:r w:rsidRPr="006D0E33">
        <w:t xml:space="preserve">. Retrieved from </w:t>
      </w:r>
      <w:hyperlink r:id="rId38" w:history="1">
        <w:r w:rsidRPr="006D0E33">
          <w:rPr>
            <w:rStyle w:val="Hyperlink"/>
            <w:color w:val="auto"/>
          </w:rPr>
          <w:t>https://www.gov.uk/government/speeches/hmcis-monthly-commentary-may-2016</w:t>
        </w:r>
      </w:hyperlink>
      <w:r w:rsidRPr="006D0E33">
        <w:t>.</w:t>
      </w:r>
    </w:p>
    <w:p w14:paraId="3A275030" w14:textId="77777777" w:rsidR="00BE2D2C" w:rsidRPr="006D0E33" w:rsidRDefault="00BE2D2C" w:rsidP="008C3E6B">
      <w:pPr>
        <w:pStyle w:val="References"/>
        <w:spacing w:before="0" w:after="240"/>
        <w:jc w:val="both"/>
      </w:pPr>
    </w:p>
    <w:p w14:paraId="243D665C" w14:textId="21D16CF6" w:rsidR="00B66856" w:rsidRPr="006D0E33" w:rsidRDefault="00BE2D2C" w:rsidP="008C3E6B">
      <w:pPr>
        <w:pStyle w:val="References"/>
        <w:spacing w:before="0" w:after="240"/>
        <w:jc w:val="both"/>
      </w:pPr>
      <w:r w:rsidRPr="006D0E33">
        <w:t xml:space="preserve">Winter, R. 2002. Truth or fiction: Problems of validity and authenticity in narratives of action research. </w:t>
      </w:r>
      <w:r w:rsidRPr="006D0E33">
        <w:rPr>
          <w:i/>
        </w:rPr>
        <w:t>Educational Action Research, 10</w:t>
      </w:r>
      <w:r w:rsidRPr="006D0E33">
        <w:t xml:space="preserve"> no.1: 143-154. </w:t>
      </w:r>
    </w:p>
    <w:p w14:paraId="4A6ADEE7" w14:textId="77777777" w:rsidR="00BE2D2C" w:rsidRPr="006D0E33" w:rsidRDefault="00BE2D2C" w:rsidP="008C3E6B">
      <w:pPr>
        <w:pStyle w:val="References"/>
        <w:spacing w:before="0" w:after="240"/>
        <w:jc w:val="both"/>
      </w:pPr>
    </w:p>
    <w:p w14:paraId="00F62BEC" w14:textId="77777777" w:rsidR="00BE2D2C" w:rsidRPr="006D0E33" w:rsidRDefault="00BE2D2C" w:rsidP="008C3E6B">
      <w:pPr>
        <w:pStyle w:val="References"/>
        <w:spacing w:before="0" w:after="240"/>
        <w:jc w:val="both"/>
      </w:pPr>
      <w:proofErr w:type="spellStart"/>
      <w:r w:rsidRPr="006D0E33">
        <w:t>Zeichner</w:t>
      </w:r>
      <w:proofErr w:type="spellEnd"/>
      <w:r w:rsidRPr="006D0E33">
        <w:t xml:space="preserve">, K. 2010. Rethinking the connections between campus courses and field experiences in college-and university-based teacher education. </w:t>
      </w:r>
      <w:r w:rsidRPr="006D0E33">
        <w:rPr>
          <w:i/>
        </w:rPr>
        <w:t>Journal of Teacher Education, 61</w:t>
      </w:r>
      <w:r w:rsidRPr="006D0E33">
        <w:t xml:space="preserve"> no.1: 89-99. </w:t>
      </w:r>
    </w:p>
    <w:p w14:paraId="7EFFB4B4" w14:textId="77777777" w:rsidR="00BE2D2C" w:rsidRPr="006D0E33" w:rsidRDefault="00BE2D2C" w:rsidP="008C3E6B">
      <w:pPr>
        <w:pStyle w:val="References"/>
        <w:spacing w:before="0" w:after="240"/>
        <w:jc w:val="both"/>
      </w:pPr>
    </w:p>
    <w:p w14:paraId="32C45188" w14:textId="77777777" w:rsidR="00BE2D2C" w:rsidRPr="006D0E33" w:rsidRDefault="00BE2D2C" w:rsidP="008C3E6B">
      <w:pPr>
        <w:jc w:val="both"/>
      </w:pPr>
    </w:p>
    <w:p w14:paraId="3078A241" w14:textId="77777777" w:rsidR="00BE2D2C" w:rsidRPr="006D0E33" w:rsidRDefault="00BE2D2C" w:rsidP="008C3E6B">
      <w:pPr>
        <w:jc w:val="both"/>
      </w:pPr>
    </w:p>
    <w:p w14:paraId="1EF554E8" w14:textId="77777777" w:rsidR="00BE2D2C" w:rsidRPr="006D0E33" w:rsidRDefault="00BE2D2C" w:rsidP="008C3E6B">
      <w:pPr>
        <w:pStyle w:val="Paragraph"/>
        <w:jc w:val="both"/>
      </w:pPr>
    </w:p>
    <w:sectPr w:rsidR="00BE2D2C" w:rsidRPr="006D0E33" w:rsidSect="00074B81">
      <w:footerReference w:type="default" r:id="rId3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9527E" w14:textId="77777777" w:rsidR="008213C5" w:rsidRDefault="008213C5" w:rsidP="00AF2C92">
      <w:r>
        <w:separator/>
      </w:r>
    </w:p>
  </w:endnote>
  <w:endnote w:type="continuationSeparator" w:id="0">
    <w:p w14:paraId="4642E9F7" w14:textId="77777777" w:rsidR="008213C5" w:rsidRDefault="008213C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una">
    <w:altName w:val="Arial"/>
    <w:charset w:val="00"/>
    <w:family w:val="roman"/>
    <w:pitch w:val="default"/>
    <w:sig w:usb0="00000003" w:usb1="00000000" w:usb2="00000000" w:usb3="00000000" w:csb0="00000001" w:csb1="00000000"/>
  </w:font>
  <w:font w:name="ヒラギノ角ゴ ProN W3">
    <w:panose1 w:val="00000000000000000000"/>
    <w:charset w:val="80"/>
    <w:family w:val="roman"/>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FE8BB" w14:textId="77777777" w:rsidR="00FE61D9" w:rsidRDefault="00FE61D9">
    <w:pPr>
      <w:pStyle w:val="Footer"/>
    </w:pPr>
    <w:r>
      <w:fldChar w:fldCharType="begin"/>
    </w:r>
    <w:r>
      <w:instrText xml:space="preserve"> PAGE   \* MERGEFORMAT </w:instrText>
    </w:r>
    <w:r>
      <w:fldChar w:fldCharType="separate"/>
    </w:r>
    <w:r>
      <w:rPr>
        <w:noProof/>
      </w:rPr>
      <w:t>2</w:t>
    </w:r>
    <w:r>
      <w:rPr>
        <w:noProof/>
      </w:rPr>
      <w:fldChar w:fldCharType="end"/>
    </w:r>
  </w:p>
  <w:p w14:paraId="70502D17" w14:textId="77777777" w:rsidR="00FE61D9" w:rsidRDefault="00FE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6A460" w14:textId="77777777" w:rsidR="008213C5" w:rsidRDefault="008213C5" w:rsidP="00AF2C92">
      <w:r>
        <w:separator/>
      </w:r>
    </w:p>
  </w:footnote>
  <w:footnote w:type="continuationSeparator" w:id="0">
    <w:p w14:paraId="54AA9B58" w14:textId="77777777" w:rsidR="008213C5" w:rsidRDefault="008213C5" w:rsidP="00AF2C92">
      <w:r>
        <w:continuationSeparator/>
      </w:r>
    </w:p>
  </w:footnote>
  <w:footnote w:id="1">
    <w:p w14:paraId="1B1C47AD" w14:textId="77777777" w:rsidR="00FE61D9" w:rsidRPr="00735017" w:rsidRDefault="00FE61D9" w:rsidP="00283C0A">
      <w:pPr>
        <w:pStyle w:val="FootnoteText"/>
      </w:pPr>
      <w:r>
        <w:rPr>
          <w:rStyle w:val="FootnoteReference"/>
        </w:rPr>
        <w:footnoteRef/>
      </w:r>
      <w:r>
        <w:t xml:space="preserve"> </w:t>
      </w:r>
      <w:r w:rsidRPr="00735017">
        <w:t>Student teachers would be our preferred term, however, colloquially they are known as ‘trainees’ and from henceforth, for clarity, we use this term.</w:t>
      </w:r>
    </w:p>
  </w:footnote>
  <w:footnote w:id="2">
    <w:p w14:paraId="0FCB9744" w14:textId="77777777" w:rsidR="00FE61D9" w:rsidRPr="0040731C" w:rsidRDefault="00FE61D9" w:rsidP="00541F6A">
      <w:pPr>
        <w:pStyle w:val="FootnoteText"/>
      </w:pPr>
      <w:r>
        <w:rPr>
          <w:rStyle w:val="FootnoteReference"/>
        </w:rPr>
        <w:footnoteRef/>
      </w:r>
      <w:r>
        <w:t xml:space="preserve"> </w:t>
      </w:r>
      <w:r w:rsidRPr="0040731C">
        <w:t>Identified using the % of pupils eligible for Free School Meals (nationally recognised criteria)</w:t>
      </w:r>
    </w:p>
  </w:footnote>
  <w:footnote w:id="3">
    <w:p w14:paraId="15E5309D" w14:textId="286BD827" w:rsidR="00634522" w:rsidRDefault="00634522">
      <w:pPr>
        <w:pStyle w:val="FootnoteText"/>
      </w:pPr>
      <w:r>
        <w:rPr>
          <w:rStyle w:val="FootnoteReference"/>
        </w:rPr>
        <w:footnoteRef/>
      </w:r>
      <w:r>
        <w:t xml:space="preserve"> </w:t>
      </w:r>
      <w:r>
        <w:rPr>
          <w:rFonts w:ascii="Arial" w:hAnsi="Arial" w:cs="Arial"/>
          <w:color w:val="202124"/>
          <w:shd w:val="clear" w:color="auto" w:fill="FFFFFF"/>
        </w:rPr>
        <w:t>a high school qualification studied in </w:t>
      </w:r>
      <w:r w:rsidRPr="00634522">
        <w:rPr>
          <w:rFonts w:ascii="Arial" w:hAnsi="Arial" w:cs="Arial"/>
          <w:color w:val="202124"/>
          <w:shd w:val="clear" w:color="auto" w:fill="FFFFFF"/>
        </w:rPr>
        <w:t>England,</w:t>
      </w:r>
      <w:r>
        <w:rPr>
          <w:rFonts w:ascii="Arial" w:hAnsi="Arial" w:cs="Arial"/>
          <w:color w:val="202124"/>
          <w:shd w:val="clear" w:color="auto" w:fill="FFFFFF"/>
        </w:rPr>
        <w:t xml:space="preserve"> Wales and Northern Ireland by pre-university students and used as entry qualifications for University courses.</w:t>
      </w:r>
    </w:p>
  </w:footnote>
  <w:footnote w:id="4">
    <w:p w14:paraId="2863C8F2" w14:textId="74E6BBCF" w:rsidR="00FE61D9" w:rsidRDefault="00FE61D9">
      <w:pPr>
        <w:pStyle w:val="FootnoteText"/>
      </w:pPr>
      <w:r>
        <w:rPr>
          <w:rStyle w:val="FootnoteReference"/>
        </w:rPr>
        <w:footnoteRef/>
      </w:r>
      <w:r>
        <w:t xml:space="preserve"> </w:t>
      </w:r>
      <w:r>
        <w:t>7-9 year olds</w:t>
      </w:r>
    </w:p>
  </w:footnote>
  <w:footnote w:id="5">
    <w:p w14:paraId="30B633BF" w14:textId="77777777" w:rsidR="00FE61D9" w:rsidRDefault="00FE61D9" w:rsidP="009E3825">
      <w:pPr>
        <w:pStyle w:val="FootnoteText"/>
      </w:pPr>
      <w:r>
        <w:rPr>
          <w:rStyle w:val="FootnoteReference"/>
        </w:rPr>
        <w:footnoteRef/>
      </w:r>
      <w:r>
        <w:t xml:space="preserve"> </w:t>
      </w:r>
      <w:r w:rsidRPr="008C437A">
        <w:rPr>
          <w:sz w:val="20"/>
        </w:rPr>
        <w:t>The PSQM is a UK based award programme for the development and celebration the profile of science teaching, learning and leadership in primary schools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276DCE"/>
    <w:multiLevelType w:val="multilevel"/>
    <w:tmpl w:val="AEB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104ABD"/>
    <w:multiLevelType w:val="multilevel"/>
    <w:tmpl w:val="016E5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D00F07"/>
    <w:multiLevelType w:val="hybridMultilevel"/>
    <w:tmpl w:val="2BC8F1FA"/>
    <w:lvl w:ilvl="0" w:tplc="99B2B1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560C76"/>
    <w:multiLevelType w:val="hybridMultilevel"/>
    <w:tmpl w:val="91701762"/>
    <w:lvl w:ilvl="0" w:tplc="4E243674">
      <w:start w:val="1"/>
      <w:numFmt w:val="bullet"/>
      <w:lvlText w:val="•"/>
      <w:lvlJc w:val="left"/>
      <w:pPr>
        <w:tabs>
          <w:tab w:val="num" w:pos="720"/>
        </w:tabs>
        <w:ind w:left="720" w:hanging="360"/>
      </w:pPr>
      <w:rPr>
        <w:rFonts w:ascii="Arial" w:hAnsi="Arial" w:hint="default"/>
      </w:rPr>
    </w:lvl>
    <w:lvl w:ilvl="1" w:tplc="8076C824" w:tentative="1">
      <w:start w:val="1"/>
      <w:numFmt w:val="bullet"/>
      <w:lvlText w:val="•"/>
      <w:lvlJc w:val="left"/>
      <w:pPr>
        <w:tabs>
          <w:tab w:val="num" w:pos="1440"/>
        </w:tabs>
        <w:ind w:left="1440" w:hanging="360"/>
      </w:pPr>
      <w:rPr>
        <w:rFonts w:ascii="Arial" w:hAnsi="Arial" w:hint="default"/>
      </w:rPr>
    </w:lvl>
    <w:lvl w:ilvl="2" w:tplc="80A82BA8" w:tentative="1">
      <w:start w:val="1"/>
      <w:numFmt w:val="bullet"/>
      <w:lvlText w:val="•"/>
      <w:lvlJc w:val="left"/>
      <w:pPr>
        <w:tabs>
          <w:tab w:val="num" w:pos="2160"/>
        </w:tabs>
        <w:ind w:left="2160" w:hanging="360"/>
      </w:pPr>
      <w:rPr>
        <w:rFonts w:ascii="Arial" w:hAnsi="Arial" w:hint="default"/>
      </w:rPr>
    </w:lvl>
    <w:lvl w:ilvl="3" w:tplc="1540BC76" w:tentative="1">
      <w:start w:val="1"/>
      <w:numFmt w:val="bullet"/>
      <w:lvlText w:val="•"/>
      <w:lvlJc w:val="left"/>
      <w:pPr>
        <w:tabs>
          <w:tab w:val="num" w:pos="2880"/>
        </w:tabs>
        <w:ind w:left="2880" w:hanging="360"/>
      </w:pPr>
      <w:rPr>
        <w:rFonts w:ascii="Arial" w:hAnsi="Arial" w:hint="default"/>
      </w:rPr>
    </w:lvl>
    <w:lvl w:ilvl="4" w:tplc="8E92FA50" w:tentative="1">
      <w:start w:val="1"/>
      <w:numFmt w:val="bullet"/>
      <w:lvlText w:val="•"/>
      <w:lvlJc w:val="left"/>
      <w:pPr>
        <w:tabs>
          <w:tab w:val="num" w:pos="3600"/>
        </w:tabs>
        <w:ind w:left="3600" w:hanging="360"/>
      </w:pPr>
      <w:rPr>
        <w:rFonts w:ascii="Arial" w:hAnsi="Arial" w:hint="default"/>
      </w:rPr>
    </w:lvl>
    <w:lvl w:ilvl="5" w:tplc="6CE03532" w:tentative="1">
      <w:start w:val="1"/>
      <w:numFmt w:val="bullet"/>
      <w:lvlText w:val="•"/>
      <w:lvlJc w:val="left"/>
      <w:pPr>
        <w:tabs>
          <w:tab w:val="num" w:pos="4320"/>
        </w:tabs>
        <w:ind w:left="4320" w:hanging="360"/>
      </w:pPr>
      <w:rPr>
        <w:rFonts w:ascii="Arial" w:hAnsi="Arial" w:hint="default"/>
      </w:rPr>
    </w:lvl>
    <w:lvl w:ilvl="6" w:tplc="0ADE3AE0" w:tentative="1">
      <w:start w:val="1"/>
      <w:numFmt w:val="bullet"/>
      <w:lvlText w:val="•"/>
      <w:lvlJc w:val="left"/>
      <w:pPr>
        <w:tabs>
          <w:tab w:val="num" w:pos="5040"/>
        </w:tabs>
        <w:ind w:left="5040" w:hanging="360"/>
      </w:pPr>
      <w:rPr>
        <w:rFonts w:ascii="Arial" w:hAnsi="Arial" w:hint="default"/>
      </w:rPr>
    </w:lvl>
    <w:lvl w:ilvl="7" w:tplc="0DE2E012" w:tentative="1">
      <w:start w:val="1"/>
      <w:numFmt w:val="bullet"/>
      <w:lvlText w:val="•"/>
      <w:lvlJc w:val="left"/>
      <w:pPr>
        <w:tabs>
          <w:tab w:val="num" w:pos="5760"/>
        </w:tabs>
        <w:ind w:left="5760" w:hanging="360"/>
      </w:pPr>
      <w:rPr>
        <w:rFonts w:ascii="Arial" w:hAnsi="Arial" w:hint="default"/>
      </w:rPr>
    </w:lvl>
    <w:lvl w:ilvl="8" w:tplc="9C029E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C364868"/>
    <w:multiLevelType w:val="hybridMultilevel"/>
    <w:tmpl w:val="1C264E26"/>
    <w:lvl w:ilvl="0" w:tplc="9CC245D2">
      <w:start w:val="1"/>
      <w:numFmt w:val="bullet"/>
      <w:lvlText w:val="•"/>
      <w:lvlJc w:val="left"/>
      <w:pPr>
        <w:tabs>
          <w:tab w:val="num" w:pos="720"/>
        </w:tabs>
        <w:ind w:left="720" w:hanging="360"/>
      </w:pPr>
      <w:rPr>
        <w:rFonts w:ascii="Arial" w:hAnsi="Arial" w:hint="default"/>
      </w:rPr>
    </w:lvl>
    <w:lvl w:ilvl="1" w:tplc="E3E8FAC6" w:tentative="1">
      <w:start w:val="1"/>
      <w:numFmt w:val="bullet"/>
      <w:lvlText w:val="•"/>
      <w:lvlJc w:val="left"/>
      <w:pPr>
        <w:tabs>
          <w:tab w:val="num" w:pos="1440"/>
        </w:tabs>
        <w:ind w:left="1440" w:hanging="360"/>
      </w:pPr>
      <w:rPr>
        <w:rFonts w:ascii="Arial" w:hAnsi="Arial" w:hint="default"/>
      </w:rPr>
    </w:lvl>
    <w:lvl w:ilvl="2" w:tplc="4B28D256" w:tentative="1">
      <w:start w:val="1"/>
      <w:numFmt w:val="bullet"/>
      <w:lvlText w:val="•"/>
      <w:lvlJc w:val="left"/>
      <w:pPr>
        <w:tabs>
          <w:tab w:val="num" w:pos="2160"/>
        </w:tabs>
        <w:ind w:left="2160" w:hanging="360"/>
      </w:pPr>
      <w:rPr>
        <w:rFonts w:ascii="Arial" w:hAnsi="Arial" w:hint="default"/>
      </w:rPr>
    </w:lvl>
    <w:lvl w:ilvl="3" w:tplc="C952C288" w:tentative="1">
      <w:start w:val="1"/>
      <w:numFmt w:val="bullet"/>
      <w:lvlText w:val="•"/>
      <w:lvlJc w:val="left"/>
      <w:pPr>
        <w:tabs>
          <w:tab w:val="num" w:pos="2880"/>
        </w:tabs>
        <w:ind w:left="2880" w:hanging="360"/>
      </w:pPr>
      <w:rPr>
        <w:rFonts w:ascii="Arial" w:hAnsi="Arial" w:hint="default"/>
      </w:rPr>
    </w:lvl>
    <w:lvl w:ilvl="4" w:tplc="7F8A436C" w:tentative="1">
      <w:start w:val="1"/>
      <w:numFmt w:val="bullet"/>
      <w:lvlText w:val="•"/>
      <w:lvlJc w:val="left"/>
      <w:pPr>
        <w:tabs>
          <w:tab w:val="num" w:pos="3600"/>
        </w:tabs>
        <w:ind w:left="3600" w:hanging="360"/>
      </w:pPr>
      <w:rPr>
        <w:rFonts w:ascii="Arial" w:hAnsi="Arial" w:hint="default"/>
      </w:rPr>
    </w:lvl>
    <w:lvl w:ilvl="5" w:tplc="F33E5274" w:tentative="1">
      <w:start w:val="1"/>
      <w:numFmt w:val="bullet"/>
      <w:lvlText w:val="•"/>
      <w:lvlJc w:val="left"/>
      <w:pPr>
        <w:tabs>
          <w:tab w:val="num" w:pos="4320"/>
        </w:tabs>
        <w:ind w:left="4320" w:hanging="360"/>
      </w:pPr>
      <w:rPr>
        <w:rFonts w:ascii="Arial" w:hAnsi="Arial" w:hint="default"/>
      </w:rPr>
    </w:lvl>
    <w:lvl w:ilvl="6" w:tplc="C77A47EC" w:tentative="1">
      <w:start w:val="1"/>
      <w:numFmt w:val="bullet"/>
      <w:lvlText w:val="•"/>
      <w:lvlJc w:val="left"/>
      <w:pPr>
        <w:tabs>
          <w:tab w:val="num" w:pos="5040"/>
        </w:tabs>
        <w:ind w:left="5040" w:hanging="360"/>
      </w:pPr>
      <w:rPr>
        <w:rFonts w:ascii="Arial" w:hAnsi="Arial" w:hint="default"/>
      </w:rPr>
    </w:lvl>
    <w:lvl w:ilvl="7" w:tplc="B0E829B4" w:tentative="1">
      <w:start w:val="1"/>
      <w:numFmt w:val="bullet"/>
      <w:lvlText w:val="•"/>
      <w:lvlJc w:val="left"/>
      <w:pPr>
        <w:tabs>
          <w:tab w:val="num" w:pos="5760"/>
        </w:tabs>
        <w:ind w:left="5760" w:hanging="360"/>
      </w:pPr>
      <w:rPr>
        <w:rFonts w:ascii="Arial" w:hAnsi="Arial" w:hint="default"/>
      </w:rPr>
    </w:lvl>
    <w:lvl w:ilvl="8" w:tplc="69763A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ED1817"/>
    <w:multiLevelType w:val="hybridMultilevel"/>
    <w:tmpl w:val="E40AE154"/>
    <w:lvl w:ilvl="0" w:tplc="0A1AEC98">
      <w:start w:val="1"/>
      <w:numFmt w:val="bullet"/>
      <w:lvlText w:val="•"/>
      <w:lvlJc w:val="left"/>
      <w:pPr>
        <w:tabs>
          <w:tab w:val="num" w:pos="720"/>
        </w:tabs>
        <w:ind w:left="720" w:hanging="360"/>
      </w:pPr>
      <w:rPr>
        <w:rFonts w:ascii="Arial" w:hAnsi="Arial" w:hint="default"/>
      </w:rPr>
    </w:lvl>
    <w:lvl w:ilvl="1" w:tplc="0C9E6954" w:tentative="1">
      <w:start w:val="1"/>
      <w:numFmt w:val="bullet"/>
      <w:lvlText w:val="•"/>
      <w:lvlJc w:val="left"/>
      <w:pPr>
        <w:tabs>
          <w:tab w:val="num" w:pos="1440"/>
        </w:tabs>
        <w:ind w:left="1440" w:hanging="360"/>
      </w:pPr>
      <w:rPr>
        <w:rFonts w:ascii="Arial" w:hAnsi="Arial" w:hint="default"/>
      </w:rPr>
    </w:lvl>
    <w:lvl w:ilvl="2" w:tplc="16D07676" w:tentative="1">
      <w:start w:val="1"/>
      <w:numFmt w:val="bullet"/>
      <w:lvlText w:val="•"/>
      <w:lvlJc w:val="left"/>
      <w:pPr>
        <w:tabs>
          <w:tab w:val="num" w:pos="2160"/>
        </w:tabs>
        <w:ind w:left="2160" w:hanging="360"/>
      </w:pPr>
      <w:rPr>
        <w:rFonts w:ascii="Arial" w:hAnsi="Arial" w:hint="default"/>
      </w:rPr>
    </w:lvl>
    <w:lvl w:ilvl="3" w:tplc="FD5E893C" w:tentative="1">
      <w:start w:val="1"/>
      <w:numFmt w:val="bullet"/>
      <w:lvlText w:val="•"/>
      <w:lvlJc w:val="left"/>
      <w:pPr>
        <w:tabs>
          <w:tab w:val="num" w:pos="2880"/>
        </w:tabs>
        <w:ind w:left="2880" w:hanging="360"/>
      </w:pPr>
      <w:rPr>
        <w:rFonts w:ascii="Arial" w:hAnsi="Arial" w:hint="default"/>
      </w:rPr>
    </w:lvl>
    <w:lvl w:ilvl="4" w:tplc="35020210" w:tentative="1">
      <w:start w:val="1"/>
      <w:numFmt w:val="bullet"/>
      <w:lvlText w:val="•"/>
      <w:lvlJc w:val="left"/>
      <w:pPr>
        <w:tabs>
          <w:tab w:val="num" w:pos="3600"/>
        </w:tabs>
        <w:ind w:left="3600" w:hanging="360"/>
      </w:pPr>
      <w:rPr>
        <w:rFonts w:ascii="Arial" w:hAnsi="Arial" w:hint="default"/>
      </w:rPr>
    </w:lvl>
    <w:lvl w:ilvl="5" w:tplc="9B54607A" w:tentative="1">
      <w:start w:val="1"/>
      <w:numFmt w:val="bullet"/>
      <w:lvlText w:val="•"/>
      <w:lvlJc w:val="left"/>
      <w:pPr>
        <w:tabs>
          <w:tab w:val="num" w:pos="4320"/>
        </w:tabs>
        <w:ind w:left="4320" w:hanging="360"/>
      </w:pPr>
      <w:rPr>
        <w:rFonts w:ascii="Arial" w:hAnsi="Arial" w:hint="default"/>
      </w:rPr>
    </w:lvl>
    <w:lvl w:ilvl="6" w:tplc="9F46CED4" w:tentative="1">
      <w:start w:val="1"/>
      <w:numFmt w:val="bullet"/>
      <w:lvlText w:val="•"/>
      <w:lvlJc w:val="left"/>
      <w:pPr>
        <w:tabs>
          <w:tab w:val="num" w:pos="5040"/>
        </w:tabs>
        <w:ind w:left="5040" w:hanging="360"/>
      </w:pPr>
      <w:rPr>
        <w:rFonts w:ascii="Arial" w:hAnsi="Arial" w:hint="default"/>
      </w:rPr>
    </w:lvl>
    <w:lvl w:ilvl="7" w:tplc="1EF0462A" w:tentative="1">
      <w:start w:val="1"/>
      <w:numFmt w:val="bullet"/>
      <w:lvlText w:val="•"/>
      <w:lvlJc w:val="left"/>
      <w:pPr>
        <w:tabs>
          <w:tab w:val="num" w:pos="5760"/>
        </w:tabs>
        <w:ind w:left="5760" w:hanging="360"/>
      </w:pPr>
      <w:rPr>
        <w:rFonts w:ascii="Arial" w:hAnsi="Arial" w:hint="default"/>
      </w:rPr>
    </w:lvl>
    <w:lvl w:ilvl="8" w:tplc="1230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F34E7C"/>
    <w:multiLevelType w:val="hybridMultilevel"/>
    <w:tmpl w:val="49104466"/>
    <w:lvl w:ilvl="0" w:tplc="69A0AEBC">
      <w:start w:val="1"/>
      <w:numFmt w:val="bullet"/>
      <w:lvlText w:val="•"/>
      <w:lvlJc w:val="left"/>
      <w:pPr>
        <w:tabs>
          <w:tab w:val="num" w:pos="720"/>
        </w:tabs>
        <w:ind w:left="720" w:hanging="360"/>
      </w:pPr>
      <w:rPr>
        <w:rFonts w:ascii="Arial" w:hAnsi="Arial" w:hint="default"/>
      </w:rPr>
    </w:lvl>
    <w:lvl w:ilvl="1" w:tplc="D8723244" w:tentative="1">
      <w:start w:val="1"/>
      <w:numFmt w:val="bullet"/>
      <w:lvlText w:val="•"/>
      <w:lvlJc w:val="left"/>
      <w:pPr>
        <w:tabs>
          <w:tab w:val="num" w:pos="1440"/>
        </w:tabs>
        <w:ind w:left="1440" w:hanging="360"/>
      </w:pPr>
      <w:rPr>
        <w:rFonts w:ascii="Arial" w:hAnsi="Arial" w:hint="default"/>
      </w:rPr>
    </w:lvl>
    <w:lvl w:ilvl="2" w:tplc="E056085E" w:tentative="1">
      <w:start w:val="1"/>
      <w:numFmt w:val="bullet"/>
      <w:lvlText w:val="•"/>
      <w:lvlJc w:val="left"/>
      <w:pPr>
        <w:tabs>
          <w:tab w:val="num" w:pos="2160"/>
        </w:tabs>
        <w:ind w:left="2160" w:hanging="360"/>
      </w:pPr>
      <w:rPr>
        <w:rFonts w:ascii="Arial" w:hAnsi="Arial" w:hint="default"/>
      </w:rPr>
    </w:lvl>
    <w:lvl w:ilvl="3" w:tplc="81F8858E" w:tentative="1">
      <w:start w:val="1"/>
      <w:numFmt w:val="bullet"/>
      <w:lvlText w:val="•"/>
      <w:lvlJc w:val="left"/>
      <w:pPr>
        <w:tabs>
          <w:tab w:val="num" w:pos="2880"/>
        </w:tabs>
        <w:ind w:left="2880" w:hanging="360"/>
      </w:pPr>
      <w:rPr>
        <w:rFonts w:ascii="Arial" w:hAnsi="Arial" w:hint="default"/>
      </w:rPr>
    </w:lvl>
    <w:lvl w:ilvl="4" w:tplc="0ACEEDEC" w:tentative="1">
      <w:start w:val="1"/>
      <w:numFmt w:val="bullet"/>
      <w:lvlText w:val="•"/>
      <w:lvlJc w:val="left"/>
      <w:pPr>
        <w:tabs>
          <w:tab w:val="num" w:pos="3600"/>
        </w:tabs>
        <w:ind w:left="3600" w:hanging="360"/>
      </w:pPr>
      <w:rPr>
        <w:rFonts w:ascii="Arial" w:hAnsi="Arial" w:hint="default"/>
      </w:rPr>
    </w:lvl>
    <w:lvl w:ilvl="5" w:tplc="26F61610" w:tentative="1">
      <w:start w:val="1"/>
      <w:numFmt w:val="bullet"/>
      <w:lvlText w:val="•"/>
      <w:lvlJc w:val="left"/>
      <w:pPr>
        <w:tabs>
          <w:tab w:val="num" w:pos="4320"/>
        </w:tabs>
        <w:ind w:left="4320" w:hanging="360"/>
      </w:pPr>
      <w:rPr>
        <w:rFonts w:ascii="Arial" w:hAnsi="Arial" w:hint="default"/>
      </w:rPr>
    </w:lvl>
    <w:lvl w:ilvl="6" w:tplc="A70CF3CC" w:tentative="1">
      <w:start w:val="1"/>
      <w:numFmt w:val="bullet"/>
      <w:lvlText w:val="•"/>
      <w:lvlJc w:val="left"/>
      <w:pPr>
        <w:tabs>
          <w:tab w:val="num" w:pos="5040"/>
        </w:tabs>
        <w:ind w:left="5040" w:hanging="360"/>
      </w:pPr>
      <w:rPr>
        <w:rFonts w:ascii="Arial" w:hAnsi="Arial" w:hint="default"/>
      </w:rPr>
    </w:lvl>
    <w:lvl w:ilvl="7" w:tplc="6FACA0AC" w:tentative="1">
      <w:start w:val="1"/>
      <w:numFmt w:val="bullet"/>
      <w:lvlText w:val="•"/>
      <w:lvlJc w:val="left"/>
      <w:pPr>
        <w:tabs>
          <w:tab w:val="num" w:pos="5760"/>
        </w:tabs>
        <w:ind w:left="5760" w:hanging="360"/>
      </w:pPr>
      <w:rPr>
        <w:rFonts w:ascii="Arial" w:hAnsi="Arial" w:hint="default"/>
      </w:rPr>
    </w:lvl>
    <w:lvl w:ilvl="8" w:tplc="8048BA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27D1C43"/>
    <w:multiLevelType w:val="hybridMultilevel"/>
    <w:tmpl w:val="C1B2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76BB7"/>
    <w:multiLevelType w:val="hybridMultilevel"/>
    <w:tmpl w:val="220C68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852D64"/>
    <w:multiLevelType w:val="hybridMultilevel"/>
    <w:tmpl w:val="2ACAF0DA"/>
    <w:lvl w:ilvl="0" w:tplc="6B7CF9E8">
      <w:start w:val="1"/>
      <w:numFmt w:val="bullet"/>
      <w:lvlText w:val="•"/>
      <w:lvlJc w:val="left"/>
      <w:pPr>
        <w:tabs>
          <w:tab w:val="num" w:pos="360"/>
        </w:tabs>
        <w:ind w:left="360" w:hanging="360"/>
      </w:pPr>
      <w:rPr>
        <w:rFonts w:ascii="Arial" w:hAnsi="Arial" w:hint="default"/>
      </w:rPr>
    </w:lvl>
    <w:lvl w:ilvl="1" w:tplc="035E6ABE" w:tentative="1">
      <w:start w:val="1"/>
      <w:numFmt w:val="bullet"/>
      <w:lvlText w:val="•"/>
      <w:lvlJc w:val="left"/>
      <w:pPr>
        <w:tabs>
          <w:tab w:val="num" w:pos="1080"/>
        </w:tabs>
        <w:ind w:left="1080" w:hanging="360"/>
      </w:pPr>
      <w:rPr>
        <w:rFonts w:ascii="Arial" w:hAnsi="Arial" w:hint="default"/>
      </w:rPr>
    </w:lvl>
    <w:lvl w:ilvl="2" w:tplc="6BEE10EA" w:tentative="1">
      <w:start w:val="1"/>
      <w:numFmt w:val="bullet"/>
      <w:lvlText w:val="•"/>
      <w:lvlJc w:val="left"/>
      <w:pPr>
        <w:tabs>
          <w:tab w:val="num" w:pos="1800"/>
        </w:tabs>
        <w:ind w:left="1800" w:hanging="360"/>
      </w:pPr>
      <w:rPr>
        <w:rFonts w:ascii="Arial" w:hAnsi="Arial" w:hint="default"/>
      </w:rPr>
    </w:lvl>
    <w:lvl w:ilvl="3" w:tplc="5E869E34" w:tentative="1">
      <w:start w:val="1"/>
      <w:numFmt w:val="bullet"/>
      <w:lvlText w:val="•"/>
      <w:lvlJc w:val="left"/>
      <w:pPr>
        <w:tabs>
          <w:tab w:val="num" w:pos="2520"/>
        </w:tabs>
        <w:ind w:left="2520" w:hanging="360"/>
      </w:pPr>
      <w:rPr>
        <w:rFonts w:ascii="Arial" w:hAnsi="Arial" w:hint="default"/>
      </w:rPr>
    </w:lvl>
    <w:lvl w:ilvl="4" w:tplc="A1E44F2A" w:tentative="1">
      <w:start w:val="1"/>
      <w:numFmt w:val="bullet"/>
      <w:lvlText w:val="•"/>
      <w:lvlJc w:val="left"/>
      <w:pPr>
        <w:tabs>
          <w:tab w:val="num" w:pos="3240"/>
        </w:tabs>
        <w:ind w:left="3240" w:hanging="360"/>
      </w:pPr>
      <w:rPr>
        <w:rFonts w:ascii="Arial" w:hAnsi="Arial" w:hint="default"/>
      </w:rPr>
    </w:lvl>
    <w:lvl w:ilvl="5" w:tplc="83E69AC2" w:tentative="1">
      <w:start w:val="1"/>
      <w:numFmt w:val="bullet"/>
      <w:lvlText w:val="•"/>
      <w:lvlJc w:val="left"/>
      <w:pPr>
        <w:tabs>
          <w:tab w:val="num" w:pos="3960"/>
        </w:tabs>
        <w:ind w:left="3960" w:hanging="360"/>
      </w:pPr>
      <w:rPr>
        <w:rFonts w:ascii="Arial" w:hAnsi="Arial" w:hint="default"/>
      </w:rPr>
    </w:lvl>
    <w:lvl w:ilvl="6" w:tplc="9FA8612C" w:tentative="1">
      <w:start w:val="1"/>
      <w:numFmt w:val="bullet"/>
      <w:lvlText w:val="•"/>
      <w:lvlJc w:val="left"/>
      <w:pPr>
        <w:tabs>
          <w:tab w:val="num" w:pos="4680"/>
        </w:tabs>
        <w:ind w:left="4680" w:hanging="360"/>
      </w:pPr>
      <w:rPr>
        <w:rFonts w:ascii="Arial" w:hAnsi="Arial" w:hint="default"/>
      </w:rPr>
    </w:lvl>
    <w:lvl w:ilvl="7" w:tplc="60088108" w:tentative="1">
      <w:start w:val="1"/>
      <w:numFmt w:val="bullet"/>
      <w:lvlText w:val="•"/>
      <w:lvlJc w:val="left"/>
      <w:pPr>
        <w:tabs>
          <w:tab w:val="num" w:pos="5400"/>
        </w:tabs>
        <w:ind w:left="5400" w:hanging="360"/>
      </w:pPr>
      <w:rPr>
        <w:rFonts w:ascii="Arial" w:hAnsi="Arial" w:hint="default"/>
      </w:rPr>
    </w:lvl>
    <w:lvl w:ilvl="8" w:tplc="9AD08AB8"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F3737E"/>
    <w:multiLevelType w:val="hybridMultilevel"/>
    <w:tmpl w:val="54D4A8E2"/>
    <w:lvl w:ilvl="0" w:tplc="7ECE4BFE">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EF23CF"/>
    <w:multiLevelType w:val="hybridMultilevel"/>
    <w:tmpl w:val="6ECC0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F21B5"/>
    <w:multiLevelType w:val="hybridMultilevel"/>
    <w:tmpl w:val="D6AACC0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E16559D"/>
    <w:multiLevelType w:val="hybridMultilevel"/>
    <w:tmpl w:val="52701FFC"/>
    <w:lvl w:ilvl="0" w:tplc="7EA03336">
      <w:start w:val="1"/>
      <w:numFmt w:val="bullet"/>
      <w:lvlText w:val="•"/>
      <w:lvlJc w:val="left"/>
      <w:pPr>
        <w:tabs>
          <w:tab w:val="num" w:pos="720"/>
        </w:tabs>
        <w:ind w:left="720" w:hanging="360"/>
      </w:pPr>
      <w:rPr>
        <w:rFonts w:ascii="Arial" w:hAnsi="Arial" w:hint="default"/>
      </w:rPr>
    </w:lvl>
    <w:lvl w:ilvl="1" w:tplc="EE746792" w:tentative="1">
      <w:start w:val="1"/>
      <w:numFmt w:val="bullet"/>
      <w:lvlText w:val="•"/>
      <w:lvlJc w:val="left"/>
      <w:pPr>
        <w:tabs>
          <w:tab w:val="num" w:pos="1440"/>
        </w:tabs>
        <w:ind w:left="1440" w:hanging="360"/>
      </w:pPr>
      <w:rPr>
        <w:rFonts w:ascii="Arial" w:hAnsi="Arial" w:hint="default"/>
      </w:rPr>
    </w:lvl>
    <w:lvl w:ilvl="2" w:tplc="D2AA81BC" w:tentative="1">
      <w:start w:val="1"/>
      <w:numFmt w:val="bullet"/>
      <w:lvlText w:val="•"/>
      <w:lvlJc w:val="left"/>
      <w:pPr>
        <w:tabs>
          <w:tab w:val="num" w:pos="2160"/>
        </w:tabs>
        <w:ind w:left="2160" w:hanging="360"/>
      </w:pPr>
      <w:rPr>
        <w:rFonts w:ascii="Arial" w:hAnsi="Arial" w:hint="default"/>
      </w:rPr>
    </w:lvl>
    <w:lvl w:ilvl="3" w:tplc="9D2E798C" w:tentative="1">
      <w:start w:val="1"/>
      <w:numFmt w:val="bullet"/>
      <w:lvlText w:val="•"/>
      <w:lvlJc w:val="left"/>
      <w:pPr>
        <w:tabs>
          <w:tab w:val="num" w:pos="2880"/>
        </w:tabs>
        <w:ind w:left="2880" w:hanging="360"/>
      </w:pPr>
      <w:rPr>
        <w:rFonts w:ascii="Arial" w:hAnsi="Arial" w:hint="default"/>
      </w:rPr>
    </w:lvl>
    <w:lvl w:ilvl="4" w:tplc="794E04E4" w:tentative="1">
      <w:start w:val="1"/>
      <w:numFmt w:val="bullet"/>
      <w:lvlText w:val="•"/>
      <w:lvlJc w:val="left"/>
      <w:pPr>
        <w:tabs>
          <w:tab w:val="num" w:pos="3600"/>
        </w:tabs>
        <w:ind w:left="3600" w:hanging="360"/>
      </w:pPr>
      <w:rPr>
        <w:rFonts w:ascii="Arial" w:hAnsi="Arial" w:hint="default"/>
      </w:rPr>
    </w:lvl>
    <w:lvl w:ilvl="5" w:tplc="0F687B94" w:tentative="1">
      <w:start w:val="1"/>
      <w:numFmt w:val="bullet"/>
      <w:lvlText w:val="•"/>
      <w:lvlJc w:val="left"/>
      <w:pPr>
        <w:tabs>
          <w:tab w:val="num" w:pos="4320"/>
        </w:tabs>
        <w:ind w:left="4320" w:hanging="360"/>
      </w:pPr>
      <w:rPr>
        <w:rFonts w:ascii="Arial" w:hAnsi="Arial" w:hint="default"/>
      </w:rPr>
    </w:lvl>
    <w:lvl w:ilvl="6" w:tplc="59A2302C" w:tentative="1">
      <w:start w:val="1"/>
      <w:numFmt w:val="bullet"/>
      <w:lvlText w:val="•"/>
      <w:lvlJc w:val="left"/>
      <w:pPr>
        <w:tabs>
          <w:tab w:val="num" w:pos="5040"/>
        </w:tabs>
        <w:ind w:left="5040" w:hanging="360"/>
      </w:pPr>
      <w:rPr>
        <w:rFonts w:ascii="Arial" w:hAnsi="Arial" w:hint="default"/>
      </w:rPr>
    </w:lvl>
    <w:lvl w:ilvl="7" w:tplc="4CEA0B72" w:tentative="1">
      <w:start w:val="1"/>
      <w:numFmt w:val="bullet"/>
      <w:lvlText w:val="•"/>
      <w:lvlJc w:val="left"/>
      <w:pPr>
        <w:tabs>
          <w:tab w:val="num" w:pos="5760"/>
        </w:tabs>
        <w:ind w:left="5760" w:hanging="360"/>
      </w:pPr>
      <w:rPr>
        <w:rFonts w:ascii="Arial" w:hAnsi="Arial" w:hint="default"/>
      </w:rPr>
    </w:lvl>
    <w:lvl w:ilvl="8" w:tplc="555C0B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C91DB9"/>
    <w:multiLevelType w:val="hybridMultilevel"/>
    <w:tmpl w:val="5A6C57F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6FE2410"/>
    <w:multiLevelType w:val="hybridMultilevel"/>
    <w:tmpl w:val="8BA26E8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345A78"/>
    <w:multiLevelType w:val="hybridMultilevel"/>
    <w:tmpl w:val="041A9ECC"/>
    <w:lvl w:ilvl="0" w:tplc="17EAE51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522EDC"/>
    <w:multiLevelType w:val="hybridMultilevel"/>
    <w:tmpl w:val="E51884E6"/>
    <w:lvl w:ilvl="0" w:tplc="D958C1CA">
      <w:start w:val="1"/>
      <w:numFmt w:val="bullet"/>
      <w:lvlText w:val="•"/>
      <w:lvlJc w:val="left"/>
      <w:pPr>
        <w:tabs>
          <w:tab w:val="num" w:pos="720"/>
        </w:tabs>
        <w:ind w:left="720" w:hanging="360"/>
      </w:pPr>
      <w:rPr>
        <w:rFonts w:ascii="Arial" w:hAnsi="Arial" w:hint="default"/>
      </w:rPr>
    </w:lvl>
    <w:lvl w:ilvl="1" w:tplc="F3967450" w:tentative="1">
      <w:start w:val="1"/>
      <w:numFmt w:val="bullet"/>
      <w:lvlText w:val="•"/>
      <w:lvlJc w:val="left"/>
      <w:pPr>
        <w:tabs>
          <w:tab w:val="num" w:pos="1440"/>
        </w:tabs>
        <w:ind w:left="1440" w:hanging="360"/>
      </w:pPr>
      <w:rPr>
        <w:rFonts w:ascii="Arial" w:hAnsi="Arial" w:hint="default"/>
      </w:rPr>
    </w:lvl>
    <w:lvl w:ilvl="2" w:tplc="A20630FC" w:tentative="1">
      <w:start w:val="1"/>
      <w:numFmt w:val="bullet"/>
      <w:lvlText w:val="•"/>
      <w:lvlJc w:val="left"/>
      <w:pPr>
        <w:tabs>
          <w:tab w:val="num" w:pos="2160"/>
        </w:tabs>
        <w:ind w:left="2160" w:hanging="360"/>
      </w:pPr>
      <w:rPr>
        <w:rFonts w:ascii="Arial" w:hAnsi="Arial" w:hint="default"/>
      </w:rPr>
    </w:lvl>
    <w:lvl w:ilvl="3" w:tplc="810E7F3A" w:tentative="1">
      <w:start w:val="1"/>
      <w:numFmt w:val="bullet"/>
      <w:lvlText w:val="•"/>
      <w:lvlJc w:val="left"/>
      <w:pPr>
        <w:tabs>
          <w:tab w:val="num" w:pos="2880"/>
        </w:tabs>
        <w:ind w:left="2880" w:hanging="360"/>
      </w:pPr>
      <w:rPr>
        <w:rFonts w:ascii="Arial" w:hAnsi="Arial" w:hint="default"/>
      </w:rPr>
    </w:lvl>
    <w:lvl w:ilvl="4" w:tplc="503228A4" w:tentative="1">
      <w:start w:val="1"/>
      <w:numFmt w:val="bullet"/>
      <w:lvlText w:val="•"/>
      <w:lvlJc w:val="left"/>
      <w:pPr>
        <w:tabs>
          <w:tab w:val="num" w:pos="3600"/>
        </w:tabs>
        <w:ind w:left="3600" w:hanging="360"/>
      </w:pPr>
      <w:rPr>
        <w:rFonts w:ascii="Arial" w:hAnsi="Arial" w:hint="default"/>
      </w:rPr>
    </w:lvl>
    <w:lvl w:ilvl="5" w:tplc="6588A4D2" w:tentative="1">
      <w:start w:val="1"/>
      <w:numFmt w:val="bullet"/>
      <w:lvlText w:val="•"/>
      <w:lvlJc w:val="left"/>
      <w:pPr>
        <w:tabs>
          <w:tab w:val="num" w:pos="4320"/>
        </w:tabs>
        <w:ind w:left="4320" w:hanging="360"/>
      </w:pPr>
      <w:rPr>
        <w:rFonts w:ascii="Arial" w:hAnsi="Arial" w:hint="default"/>
      </w:rPr>
    </w:lvl>
    <w:lvl w:ilvl="6" w:tplc="B7EC5A44" w:tentative="1">
      <w:start w:val="1"/>
      <w:numFmt w:val="bullet"/>
      <w:lvlText w:val="•"/>
      <w:lvlJc w:val="left"/>
      <w:pPr>
        <w:tabs>
          <w:tab w:val="num" w:pos="5040"/>
        </w:tabs>
        <w:ind w:left="5040" w:hanging="360"/>
      </w:pPr>
      <w:rPr>
        <w:rFonts w:ascii="Arial" w:hAnsi="Arial" w:hint="default"/>
      </w:rPr>
    </w:lvl>
    <w:lvl w:ilvl="7" w:tplc="426C77A4" w:tentative="1">
      <w:start w:val="1"/>
      <w:numFmt w:val="bullet"/>
      <w:lvlText w:val="•"/>
      <w:lvlJc w:val="left"/>
      <w:pPr>
        <w:tabs>
          <w:tab w:val="num" w:pos="5760"/>
        </w:tabs>
        <w:ind w:left="5760" w:hanging="360"/>
      </w:pPr>
      <w:rPr>
        <w:rFonts w:ascii="Arial" w:hAnsi="Arial" w:hint="default"/>
      </w:rPr>
    </w:lvl>
    <w:lvl w:ilvl="8" w:tplc="4CB67BA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BB72024"/>
    <w:multiLevelType w:val="hybridMultilevel"/>
    <w:tmpl w:val="5994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061A25"/>
    <w:multiLevelType w:val="hybridMultilevel"/>
    <w:tmpl w:val="9C38A810"/>
    <w:lvl w:ilvl="0" w:tplc="4E707810">
      <w:start w:val="1"/>
      <w:numFmt w:val="lowerRoman"/>
      <w:lvlText w:val="%1."/>
      <w:lvlJc w:val="left"/>
      <w:pPr>
        <w:ind w:left="2080" w:hanging="720"/>
      </w:pPr>
      <w:rPr>
        <w:rFonts w:hint="default"/>
        <w:i w:val="0"/>
        <w:color w:val="222222"/>
      </w:rPr>
    </w:lvl>
    <w:lvl w:ilvl="1" w:tplc="08090019" w:tentative="1">
      <w:start w:val="1"/>
      <w:numFmt w:val="lowerLetter"/>
      <w:lvlText w:val="%2."/>
      <w:lvlJc w:val="left"/>
      <w:pPr>
        <w:ind w:left="2440" w:hanging="360"/>
      </w:pPr>
    </w:lvl>
    <w:lvl w:ilvl="2" w:tplc="0809001B" w:tentative="1">
      <w:start w:val="1"/>
      <w:numFmt w:val="lowerRoman"/>
      <w:lvlText w:val="%3."/>
      <w:lvlJc w:val="right"/>
      <w:pPr>
        <w:ind w:left="3160" w:hanging="180"/>
      </w:pPr>
    </w:lvl>
    <w:lvl w:ilvl="3" w:tplc="0809000F" w:tentative="1">
      <w:start w:val="1"/>
      <w:numFmt w:val="decimal"/>
      <w:lvlText w:val="%4."/>
      <w:lvlJc w:val="left"/>
      <w:pPr>
        <w:ind w:left="3880" w:hanging="360"/>
      </w:pPr>
    </w:lvl>
    <w:lvl w:ilvl="4" w:tplc="08090019" w:tentative="1">
      <w:start w:val="1"/>
      <w:numFmt w:val="lowerLetter"/>
      <w:lvlText w:val="%5."/>
      <w:lvlJc w:val="left"/>
      <w:pPr>
        <w:ind w:left="4600" w:hanging="360"/>
      </w:pPr>
    </w:lvl>
    <w:lvl w:ilvl="5" w:tplc="0809001B" w:tentative="1">
      <w:start w:val="1"/>
      <w:numFmt w:val="lowerRoman"/>
      <w:lvlText w:val="%6."/>
      <w:lvlJc w:val="right"/>
      <w:pPr>
        <w:ind w:left="5320" w:hanging="180"/>
      </w:pPr>
    </w:lvl>
    <w:lvl w:ilvl="6" w:tplc="0809000F" w:tentative="1">
      <w:start w:val="1"/>
      <w:numFmt w:val="decimal"/>
      <w:lvlText w:val="%7."/>
      <w:lvlJc w:val="left"/>
      <w:pPr>
        <w:ind w:left="6040" w:hanging="360"/>
      </w:pPr>
    </w:lvl>
    <w:lvl w:ilvl="7" w:tplc="08090019" w:tentative="1">
      <w:start w:val="1"/>
      <w:numFmt w:val="lowerLetter"/>
      <w:lvlText w:val="%8."/>
      <w:lvlJc w:val="left"/>
      <w:pPr>
        <w:ind w:left="6760" w:hanging="360"/>
      </w:pPr>
    </w:lvl>
    <w:lvl w:ilvl="8" w:tplc="0809001B" w:tentative="1">
      <w:start w:val="1"/>
      <w:numFmt w:val="lowerRoman"/>
      <w:lvlText w:val="%9."/>
      <w:lvlJc w:val="right"/>
      <w:pPr>
        <w:ind w:left="7480" w:hanging="180"/>
      </w:pPr>
    </w:lvl>
  </w:abstractNum>
  <w:abstractNum w:abstractNumId="44" w15:restartNumberingAfterBreak="0">
    <w:nsid w:val="723F3970"/>
    <w:multiLevelType w:val="hybridMultilevel"/>
    <w:tmpl w:val="703C1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E94F07"/>
    <w:multiLevelType w:val="hybridMultilevel"/>
    <w:tmpl w:val="FEC46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8"/>
  </w:num>
  <w:num w:numId="14">
    <w:abstractNumId w:val="36"/>
  </w:num>
  <w:num w:numId="15">
    <w:abstractNumId w:val="18"/>
  </w:num>
  <w:num w:numId="16">
    <w:abstractNumId w:val="26"/>
  </w:num>
  <w:num w:numId="17">
    <w:abstractNumId w:val="12"/>
  </w:num>
  <w:num w:numId="18">
    <w:abstractNumId w:val="0"/>
  </w:num>
  <w:num w:numId="19">
    <w:abstractNumId w:val="14"/>
  </w:num>
  <w:num w:numId="20">
    <w:abstractNumId w:val="36"/>
  </w:num>
  <w:num w:numId="21">
    <w:abstractNumId w:val="36"/>
  </w:num>
  <w:num w:numId="22">
    <w:abstractNumId w:val="36"/>
  </w:num>
  <w:num w:numId="23">
    <w:abstractNumId w:val="36"/>
  </w:num>
  <w:num w:numId="24">
    <w:abstractNumId w:val="28"/>
  </w:num>
  <w:num w:numId="25">
    <w:abstractNumId w:val="29"/>
  </w:num>
  <w:num w:numId="26">
    <w:abstractNumId w:val="37"/>
  </w:num>
  <w:num w:numId="27">
    <w:abstractNumId w:val="38"/>
  </w:num>
  <w:num w:numId="28">
    <w:abstractNumId w:val="36"/>
  </w:num>
  <w:num w:numId="29">
    <w:abstractNumId w:val="17"/>
  </w:num>
  <w:num w:numId="30">
    <w:abstractNumId w:val="42"/>
  </w:num>
  <w:num w:numId="31">
    <w:abstractNumId w:val="13"/>
  </w:num>
  <w:num w:numId="32">
    <w:abstractNumId w:val="41"/>
  </w:num>
  <w:num w:numId="33">
    <w:abstractNumId w:val="23"/>
  </w:num>
  <w:num w:numId="34">
    <w:abstractNumId w:val="45"/>
  </w:num>
  <w:num w:numId="35">
    <w:abstractNumId w:val="30"/>
  </w:num>
  <w:num w:numId="36">
    <w:abstractNumId w:val="25"/>
  </w:num>
  <w:num w:numId="37">
    <w:abstractNumId w:val="21"/>
  </w:num>
  <w:num w:numId="38">
    <w:abstractNumId w:val="22"/>
  </w:num>
  <w:num w:numId="39">
    <w:abstractNumId w:val="16"/>
  </w:num>
  <w:num w:numId="40">
    <w:abstractNumId w:val="32"/>
  </w:num>
  <w:num w:numId="41">
    <w:abstractNumId w:val="40"/>
  </w:num>
  <w:num w:numId="42">
    <w:abstractNumId w:val="20"/>
  </w:num>
  <w:num w:numId="43">
    <w:abstractNumId w:val="44"/>
  </w:num>
  <w:num w:numId="44">
    <w:abstractNumId w:val="11"/>
  </w:num>
  <w:num w:numId="45">
    <w:abstractNumId w:val="15"/>
  </w:num>
  <w:num w:numId="46">
    <w:abstractNumId w:val="27"/>
  </w:num>
  <w:num w:numId="47">
    <w:abstractNumId w:val="24"/>
  </w:num>
  <w:num w:numId="48">
    <w:abstractNumId w:val="33"/>
  </w:num>
  <w:num w:numId="49">
    <w:abstractNumId w:val="43"/>
  </w:num>
  <w:num w:numId="50">
    <w:abstractNumId w:val="31"/>
  </w:num>
  <w:num w:numId="51">
    <w:abstractNumId w:val="34"/>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2C"/>
    <w:rsid w:val="00000FF8"/>
    <w:rsid w:val="00001899"/>
    <w:rsid w:val="00001ED6"/>
    <w:rsid w:val="000049AD"/>
    <w:rsid w:val="00005C87"/>
    <w:rsid w:val="0000681B"/>
    <w:rsid w:val="00010834"/>
    <w:rsid w:val="000133C0"/>
    <w:rsid w:val="00014C4E"/>
    <w:rsid w:val="00017107"/>
    <w:rsid w:val="000202E2"/>
    <w:rsid w:val="00022441"/>
    <w:rsid w:val="0002261E"/>
    <w:rsid w:val="00024839"/>
    <w:rsid w:val="00026871"/>
    <w:rsid w:val="00037A98"/>
    <w:rsid w:val="000408C4"/>
    <w:rsid w:val="000427FB"/>
    <w:rsid w:val="0004455E"/>
    <w:rsid w:val="00047CB5"/>
    <w:rsid w:val="00051FAA"/>
    <w:rsid w:val="00053121"/>
    <w:rsid w:val="0005398F"/>
    <w:rsid w:val="00053B1F"/>
    <w:rsid w:val="00054668"/>
    <w:rsid w:val="000572A9"/>
    <w:rsid w:val="00057388"/>
    <w:rsid w:val="000608F6"/>
    <w:rsid w:val="00061325"/>
    <w:rsid w:val="000733AC"/>
    <w:rsid w:val="00074B81"/>
    <w:rsid w:val="00074D22"/>
    <w:rsid w:val="00075081"/>
    <w:rsid w:val="0007528A"/>
    <w:rsid w:val="00075F7B"/>
    <w:rsid w:val="000764BC"/>
    <w:rsid w:val="000811AB"/>
    <w:rsid w:val="00081C1E"/>
    <w:rsid w:val="00083C5F"/>
    <w:rsid w:val="00086DB7"/>
    <w:rsid w:val="0009153F"/>
    <w:rsid w:val="0009172C"/>
    <w:rsid w:val="00091C8C"/>
    <w:rsid w:val="000930EC"/>
    <w:rsid w:val="00095E61"/>
    <w:rsid w:val="000962F5"/>
    <w:rsid w:val="000966C1"/>
    <w:rsid w:val="000970AC"/>
    <w:rsid w:val="000A1167"/>
    <w:rsid w:val="000A4428"/>
    <w:rsid w:val="000A6D40"/>
    <w:rsid w:val="000A7BC3"/>
    <w:rsid w:val="000B1661"/>
    <w:rsid w:val="000B2E88"/>
    <w:rsid w:val="000B4603"/>
    <w:rsid w:val="000C09BE"/>
    <w:rsid w:val="000C1380"/>
    <w:rsid w:val="000C21D3"/>
    <w:rsid w:val="000C554F"/>
    <w:rsid w:val="000D0DC5"/>
    <w:rsid w:val="000D15FF"/>
    <w:rsid w:val="000D25D0"/>
    <w:rsid w:val="000D28DF"/>
    <w:rsid w:val="000D488B"/>
    <w:rsid w:val="000D5CE0"/>
    <w:rsid w:val="000D68DF"/>
    <w:rsid w:val="000E138D"/>
    <w:rsid w:val="000E187A"/>
    <w:rsid w:val="000E2D61"/>
    <w:rsid w:val="000E450E"/>
    <w:rsid w:val="000E6259"/>
    <w:rsid w:val="000F4677"/>
    <w:rsid w:val="000F5BE0"/>
    <w:rsid w:val="00100587"/>
    <w:rsid w:val="001018FE"/>
    <w:rsid w:val="0010284E"/>
    <w:rsid w:val="00103122"/>
    <w:rsid w:val="0010336A"/>
    <w:rsid w:val="001050F1"/>
    <w:rsid w:val="00105AEA"/>
    <w:rsid w:val="00106DAF"/>
    <w:rsid w:val="0010787C"/>
    <w:rsid w:val="00114ABE"/>
    <w:rsid w:val="00116023"/>
    <w:rsid w:val="0013280E"/>
    <w:rsid w:val="00134A51"/>
    <w:rsid w:val="00134B95"/>
    <w:rsid w:val="0013682C"/>
    <w:rsid w:val="00140727"/>
    <w:rsid w:val="00145BFF"/>
    <w:rsid w:val="00160628"/>
    <w:rsid w:val="00161344"/>
    <w:rsid w:val="00162195"/>
    <w:rsid w:val="0016322A"/>
    <w:rsid w:val="00165A21"/>
    <w:rsid w:val="001705CE"/>
    <w:rsid w:val="0017714B"/>
    <w:rsid w:val="001804DF"/>
    <w:rsid w:val="00181BDC"/>
    <w:rsid w:val="00181DB0"/>
    <w:rsid w:val="001829E3"/>
    <w:rsid w:val="00183F11"/>
    <w:rsid w:val="001924C0"/>
    <w:rsid w:val="0019731E"/>
    <w:rsid w:val="001A09FE"/>
    <w:rsid w:val="001A67C9"/>
    <w:rsid w:val="001A69DE"/>
    <w:rsid w:val="001A713C"/>
    <w:rsid w:val="001A78B8"/>
    <w:rsid w:val="001B0679"/>
    <w:rsid w:val="001B11A8"/>
    <w:rsid w:val="001B1C7C"/>
    <w:rsid w:val="001B2C46"/>
    <w:rsid w:val="001B398F"/>
    <w:rsid w:val="001B46C6"/>
    <w:rsid w:val="001B4B48"/>
    <w:rsid w:val="001B4D1F"/>
    <w:rsid w:val="001B54C2"/>
    <w:rsid w:val="001B6CF4"/>
    <w:rsid w:val="001B7681"/>
    <w:rsid w:val="001B7CAE"/>
    <w:rsid w:val="001C0772"/>
    <w:rsid w:val="001C0D4F"/>
    <w:rsid w:val="001C1BA3"/>
    <w:rsid w:val="001C1DEC"/>
    <w:rsid w:val="001C4BF7"/>
    <w:rsid w:val="001C4C79"/>
    <w:rsid w:val="001C5736"/>
    <w:rsid w:val="001D1A9F"/>
    <w:rsid w:val="001D647F"/>
    <w:rsid w:val="001D6857"/>
    <w:rsid w:val="001E0572"/>
    <w:rsid w:val="001E0A67"/>
    <w:rsid w:val="001E1028"/>
    <w:rsid w:val="001E14E2"/>
    <w:rsid w:val="001E6302"/>
    <w:rsid w:val="001E7DCB"/>
    <w:rsid w:val="001F3411"/>
    <w:rsid w:val="001F4287"/>
    <w:rsid w:val="001F4DBA"/>
    <w:rsid w:val="001F684D"/>
    <w:rsid w:val="001F73C1"/>
    <w:rsid w:val="0020415E"/>
    <w:rsid w:val="00204FF4"/>
    <w:rsid w:val="00205BC2"/>
    <w:rsid w:val="0021056E"/>
    <w:rsid w:val="0021075D"/>
    <w:rsid w:val="0021165A"/>
    <w:rsid w:val="00211BC9"/>
    <w:rsid w:val="0021620C"/>
    <w:rsid w:val="00216E78"/>
    <w:rsid w:val="00217275"/>
    <w:rsid w:val="0022386A"/>
    <w:rsid w:val="00236F4B"/>
    <w:rsid w:val="00242B0D"/>
    <w:rsid w:val="00242DC4"/>
    <w:rsid w:val="002467C6"/>
    <w:rsid w:val="0024692A"/>
    <w:rsid w:val="002478D9"/>
    <w:rsid w:val="00252BBA"/>
    <w:rsid w:val="00253123"/>
    <w:rsid w:val="00256E6B"/>
    <w:rsid w:val="00260370"/>
    <w:rsid w:val="002612BA"/>
    <w:rsid w:val="002620BD"/>
    <w:rsid w:val="00264001"/>
    <w:rsid w:val="00266354"/>
    <w:rsid w:val="00267A18"/>
    <w:rsid w:val="00272142"/>
    <w:rsid w:val="00273462"/>
    <w:rsid w:val="0027395B"/>
    <w:rsid w:val="002745ED"/>
    <w:rsid w:val="00275854"/>
    <w:rsid w:val="00283B41"/>
    <w:rsid w:val="00283C0A"/>
    <w:rsid w:val="00285F28"/>
    <w:rsid w:val="00286398"/>
    <w:rsid w:val="002A3C42"/>
    <w:rsid w:val="002A5D75"/>
    <w:rsid w:val="002A75B9"/>
    <w:rsid w:val="002B1B1A"/>
    <w:rsid w:val="002B31FB"/>
    <w:rsid w:val="002B389D"/>
    <w:rsid w:val="002B7228"/>
    <w:rsid w:val="002C420B"/>
    <w:rsid w:val="002C53EE"/>
    <w:rsid w:val="002D24F7"/>
    <w:rsid w:val="002D2799"/>
    <w:rsid w:val="002D2CD7"/>
    <w:rsid w:val="002D4B88"/>
    <w:rsid w:val="002D4DDC"/>
    <w:rsid w:val="002D4F75"/>
    <w:rsid w:val="002D6493"/>
    <w:rsid w:val="002D6900"/>
    <w:rsid w:val="002D6E4B"/>
    <w:rsid w:val="002D7AB6"/>
    <w:rsid w:val="002E06D0"/>
    <w:rsid w:val="002E3C27"/>
    <w:rsid w:val="002E403A"/>
    <w:rsid w:val="002E40E8"/>
    <w:rsid w:val="002E7F3A"/>
    <w:rsid w:val="002F25D6"/>
    <w:rsid w:val="002F4EDB"/>
    <w:rsid w:val="002F6054"/>
    <w:rsid w:val="00311320"/>
    <w:rsid w:val="00315713"/>
    <w:rsid w:val="0031686C"/>
    <w:rsid w:val="00316FE0"/>
    <w:rsid w:val="003204D2"/>
    <w:rsid w:val="0032605E"/>
    <w:rsid w:val="003275D1"/>
    <w:rsid w:val="003307A8"/>
    <w:rsid w:val="00330B2A"/>
    <w:rsid w:val="00331BE2"/>
    <w:rsid w:val="00331E17"/>
    <w:rsid w:val="0033294D"/>
    <w:rsid w:val="00333063"/>
    <w:rsid w:val="003408E3"/>
    <w:rsid w:val="003427C7"/>
    <w:rsid w:val="00343480"/>
    <w:rsid w:val="003449C7"/>
    <w:rsid w:val="00345E89"/>
    <w:rsid w:val="00351812"/>
    <w:rsid w:val="003522A1"/>
    <w:rsid w:val="0035254B"/>
    <w:rsid w:val="00353555"/>
    <w:rsid w:val="003565D4"/>
    <w:rsid w:val="0036026B"/>
    <w:rsid w:val="003607FB"/>
    <w:rsid w:val="00360FD5"/>
    <w:rsid w:val="00361A62"/>
    <w:rsid w:val="0036340D"/>
    <w:rsid w:val="00363443"/>
    <w:rsid w:val="003634A5"/>
    <w:rsid w:val="00366868"/>
    <w:rsid w:val="00367506"/>
    <w:rsid w:val="00370085"/>
    <w:rsid w:val="00372683"/>
    <w:rsid w:val="003744A7"/>
    <w:rsid w:val="00376235"/>
    <w:rsid w:val="0037745F"/>
    <w:rsid w:val="00381FB6"/>
    <w:rsid w:val="003836D3"/>
    <w:rsid w:val="00383A52"/>
    <w:rsid w:val="003852C4"/>
    <w:rsid w:val="00391652"/>
    <w:rsid w:val="00394349"/>
    <w:rsid w:val="0039507F"/>
    <w:rsid w:val="003A1260"/>
    <w:rsid w:val="003A295F"/>
    <w:rsid w:val="003A41DD"/>
    <w:rsid w:val="003A7033"/>
    <w:rsid w:val="003A77E4"/>
    <w:rsid w:val="003B47FE"/>
    <w:rsid w:val="003B5673"/>
    <w:rsid w:val="003B62C9"/>
    <w:rsid w:val="003C0DA6"/>
    <w:rsid w:val="003C7176"/>
    <w:rsid w:val="003D0929"/>
    <w:rsid w:val="003D4729"/>
    <w:rsid w:val="003D7DD6"/>
    <w:rsid w:val="003E3296"/>
    <w:rsid w:val="003E3539"/>
    <w:rsid w:val="003E5AAF"/>
    <w:rsid w:val="003E600D"/>
    <w:rsid w:val="003E64DF"/>
    <w:rsid w:val="003E6A5D"/>
    <w:rsid w:val="003F05D8"/>
    <w:rsid w:val="003F193A"/>
    <w:rsid w:val="003F2B61"/>
    <w:rsid w:val="003F4207"/>
    <w:rsid w:val="003F5C46"/>
    <w:rsid w:val="003F7CBB"/>
    <w:rsid w:val="003F7D34"/>
    <w:rsid w:val="00404C31"/>
    <w:rsid w:val="0040731C"/>
    <w:rsid w:val="00407482"/>
    <w:rsid w:val="004102F0"/>
    <w:rsid w:val="00412C8E"/>
    <w:rsid w:val="0041518D"/>
    <w:rsid w:val="0042221D"/>
    <w:rsid w:val="00424DD3"/>
    <w:rsid w:val="00425571"/>
    <w:rsid w:val="004269C5"/>
    <w:rsid w:val="00435939"/>
    <w:rsid w:val="00437CC7"/>
    <w:rsid w:val="00442B9C"/>
    <w:rsid w:val="00443126"/>
    <w:rsid w:val="00445EFA"/>
    <w:rsid w:val="0044738A"/>
    <w:rsid w:val="004473D3"/>
    <w:rsid w:val="00452231"/>
    <w:rsid w:val="00460C13"/>
    <w:rsid w:val="00463228"/>
    <w:rsid w:val="00463782"/>
    <w:rsid w:val="004667E0"/>
    <w:rsid w:val="0046760E"/>
    <w:rsid w:val="00470E10"/>
    <w:rsid w:val="004747DD"/>
    <w:rsid w:val="00477A97"/>
    <w:rsid w:val="00481343"/>
    <w:rsid w:val="0048549E"/>
    <w:rsid w:val="00487BB1"/>
    <w:rsid w:val="00493347"/>
    <w:rsid w:val="004941FF"/>
    <w:rsid w:val="00494981"/>
    <w:rsid w:val="00496092"/>
    <w:rsid w:val="004A08DB"/>
    <w:rsid w:val="004A25D0"/>
    <w:rsid w:val="004A37E8"/>
    <w:rsid w:val="004A3946"/>
    <w:rsid w:val="004A7549"/>
    <w:rsid w:val="004B09D4"/>
    <w:rsid w:val="004B309D"/>
    <w:rsid w:val="004B330A"/>
    <w:rsid w:val="004B5893"/>
    <w:rsid w:val="004B7C8E"/>
    <w:rsid w:val="004C17E5"/>
    <w:rsid w:val="004C2893"/>
    <w:rsid w:val="004C3D3C"/>
    <w:rsid w:val="004C4D72"/>
    <w:rsid w:val="004D0EDC"/>
    <w:rsid w:val="004D1220"/>
    <w:rsid w:val="004D14B3"/>
    <w:rsid w:val="004D1529"/>
    <w:rsid w:val="004D2253"/>
    <w:rsid w:val="004D5514"/>
    <w:rsid w:val="004D56C3"/>
    <w:rsid w:val="004E0338"/>
    <w:rsid w:val="004E4301"/>
    <w:rsid w:val="004E4FF3"/>
    <w:rsid w:val="004E56A8"/>
    <w:rsid w:val="004E7E55"/>
    <w:rsid w:val="004F3B55"/>
    <w:rsid w:val="004F4E46"/>
    <w:rsid w:val="004F6489"/>
    <w:rsid w:val="004F6B7D"/>
    <w:rsid w:val="005015F6"/>
    <w:rsid w:val="005030C4"/>
    <w:rsid w:val="005031C5"/>
    <w:rsid w:val="00504C46"/>
    <w:rsid w:val="00504FDC"/>
    <w:rsid w:val="005077B2"/>
    <w:rsid w:val="005120CC"/>
    <w:rsid w:val="00512B7B"/>
    <w:rsid w:val="00514EA1"/>
    <w:rsid w:val="005170E0"/>
    <w:rsid w:val="0051798B"/>
    <w:rsid w:val="00521F5A"/>
    <w:rsid w:val="00525E06"/>
    <w:rsid w:val="00526454"/>
    <w:rsid w:val="00531823"/>
    <w:rsid w:val="00534ECC"/>
    <w:rsid w:val="005362C3"/>
    <w:rsid w:val="0053720D"/>
    <w:rsid w:val="00540EF5"/>
    <w:rsid w:val="00541BF3"/>
    <w:rsid w:val="00541CD3"/>
    <w:rsid w:val="00541F6A"/>
    <w:rsid w:val="005442F5"/>
    <w:rsid w:val="005476FA"/>
    <w:rsid w:val="0055595E"/>
    <w:rsid w:val="00557988"/>
    <w:rsid w:val="005617DF"/>
    <w:rsid w:val="00562C49"/>
    <w:rsid w:val="00562DEF"/>
    <w:rsid w:val="0056321A"/>
    <w:rsid w:val="00563A35"/>
    <w:rsid w:val="00566596"/>
    <w:rsid w:val="005741E9"/>
    <w:rsid w:val="005748CF"/>
    <w:rsid w:val="00582B42"/>
    <w:rsid w:val="00584270"/>
    <w:rsid w:val="00584738"/>
    <w:rsid w:val="0058664F"/>
    <w:rsid w:val="00591755"/>
    <w:rsid w:val="005920B0"/>
    <w:rsid w:val="0059380D"/>
    <w:rsid w:val="00594782"/>
    <w:rsid w:val="00595A8F"/>
    <w:rsid w:val="005977C2"/>
    <w:rsid w:val="00597BF2"/>
    <w:rsid w:val="005A1FE2"/>
    <w:rsid w:val="005A30E5"/>
    <w:rsid w:val="005A6C75"/>
    <w:rsid w:val="005B134E"/>
    <w:rsid w:val="005B2039"/>
    <w:rsid w:val="005B344F"/>
    <w:rsid w:val="005B3FBA"/>
    <w:rsid w:val="005B4A1D"/>
    <w:rsid w:val="005B674D"/>
    <w:rsid w:val="005C0B7F"/>
    <w:rsid w:val="005C0CBE"/>
    <w:rsid w:val="005C1FCF"/>
    <w:rsid w:val="005D1712"/>
    <w:rsid w:val="005D1885"/>
    <w:rsid w:val="005D19A0"/>
    <w:rsid w:val="005D4A38"/>
    <w:rsid w:val="005E2EEA"/>
    <w:rsid w:val="005E3708"/>
    <w:rsid w:val="005E3CCD"/>
    <w:rsid w:val="005E3D6B"/>
    <w:rsid w:val="005E5B55"/>
    <w:rsid w:val="005E5E4A"/>
    <w:rsid w:val="005E693D"/>
    <w:rsid w:val="005E75BF"/>
    <w:rsid w:val="005F57BA"/>
    <w:rsid w:val="005F61E6"/>
    <w:rsid w:val="005F6C45"/>
    <w:rsid w:val="006049C1"/>
    <w:rsid w:val="00605A69"/>
    <w:rsid w:val="00606496"/>
    <w:rsid w:val="006064FC"/>
    <w:rsid w:val="00606C54"/>
    <w:rsid w:val="00614375"/>
    <w:rsid w:val="00615B0A"/>
    <w:rsid w:val="006163B6"/>
    <w:rsid w:val="006168CF"/>
    <w:rsid w:val="0062011B"/>
    <w:rsid w:val="00624C2A"/>
    <w:rsid w:val="00626144"/>
    <w:rsid w:val="00626DE0"/>
    <w:rsid w:val="00627CAF"/>
    <w:rsid w:val="00627E06"/>
    <w:rsid w:val="00630901"/>
    <w:rsid w:val="00631F8E"/>
    <w:rsid w:val="00634522"/>
    <w:rsid w:val="00636EE9"/>
    <w:rsid w:val="00640950"/>
    <w:rsid w:val="00641AE7"/>
    <w:rsid w:val="00642629"/>
    <w:rsid w:val="006428D2"/>
    <w:rsid w:val="006432FF"/>
    <w:rsid w:val="00651551"/>
    <w:rsid w:val="0065293D"/>
    <w:rsid w:val="00653EFC"/>
    <w:rsid w:val="00654021"/>
    <w:rsid w:val="00661045"/>
    <w:rsid w:val="006623DB"/>
    <w:rsid w:val="006639E5"/>
    <w:rsid w:val="00666DA8"/>
    <w:rsid w:val="00671057"/>
    <w:rsid w:val="00675AAF"/>
    <w:rsid w:val="00675D0B"/>
    <w:rsid w:val="0068031A"/>
    <w:rsid w:val="00681B2F"/>
    <w:rsid w:val="0068335F"/>
    <w:rsid w:val="00687217"/>
    <w:rsid w:val="00693302"/>
    <w:rsid w:val="0069640B"/>
    <w:rsid w:val="006A1B83"/>
    <w:rsid w:val="006A21CD"/>
    <w:rsid w:val="006A5918"/>
    <w:rsid w:val="006B21B2"/>
    <w:rsid w:val="006B4A4A"/>
    <w:rsid w:val="006C19B2"/>
    <w:rsid w:val="006C5BB8"/>
    <w:rsid w:val="006C6936"/>
    <w:rsid w:val="006C7B01"/>
    <w:rsid w:val="006D0E33"/>
    <w:rsid w:val="006D0FE8"/>
    <w:rsid w:val="006D2467"/>
    <w:rsid w:val="006D4B2B"/>
    <w:rsid w:val="006D4F3C"/>
    <w:rsid w:val="006D5C66"/>
    <w:rsid w:val="006E1B3C"/>
    <w:rsid w:val="006E23FB"/>
    <w:rsid w:val="006E325A"/>
    <w:rsid w:val="006E33EC"/>
    <w:rsid w:val="006E3802"/>
    <w:rsid w:val="006E6C02"/>
    <w:rsid w:val="006F0C31"/>
    <w:rsid w:val="006F231A"/>
    <w:rsid w:val="006F59DC"/>
    <w:rsid w:val="006F6B55"/>
    <w:rsid w:val="006F788D"/>
    <w:rsid w:val="006F78E1"/>
    <w:rsid w:val="006F7FCF"/>
    <w:rsid w:val="00701072"/>
    <w:rsid w:val="00702054"/>
    <w:rsid w:val="007035A4"/>
    <w:rsid w:val="00711799"/>
    <w:rsid w:val="00712B78"/>
    <w:rsid w:val="0071393B"/>
    <w:rsid w:val="00713EE2"/>
    <w:rsid w:val="00717343"/>
    <w:rsid w:val="007177FC"/>
    <w:rsid w:val="00720C5E"/>
    <w:rsid w:val="00721701"/>
    <w:rsid w:val="00724864"/>
    <w:rsid w:val="00727AE6"/>
    <w:rsid w:val="00731835"/>
    <w:rsid w:val="007341F8"/>
    <w:rsid w:val="00734372"/>
    <w:rsid w:val="0073485E"/>
    <w:rsid w:val="00734EB8"/>
    <w:rsid w:val="00735998"/>
    <w:rsid w:val="00735F8B"/>
    <w:rsid w:val="00742423"/>
    <w:rsid w:val="00742D1F"/>
    <w:rsid w:val="00743EBA"/>
    <w:rsid w:val="00744C8E"/>
    <w:rsid w:val="007468B8"/>
    <w:rsid w:val="0074707E"/>
    <w:rsid w:val="00747C5E"/>
    <w:rsid w:val="007516DC"/>
    <w:rsid w:val="00754B80"/>
    <w:rsid w:val="0075518A"/>
    <w:rsid w:val="00761918"/>
    <w:rsid w:val="00762F03"/>
    <w:rsid w:val="0076413B"/>
    <w:rsid w:val="007648AE"/>
    <w:rsid w:val="00764BF8"/>
    <w:rsid w:val="0076514D"/>
    <w:rsid w:val="0076613A"/>
    <w:rsid w:val="00771E63"/>
    <w:rsid w:val="00773D59"/>
    <w:rsid w:val="00777A4D"/>
    <w:rsid w:val="00781003"/>
    <w:rsid w:val="007818AB"/>
    <w:rsid w:val="007911FD"/>
    <w:rsid w:val="00793930"/>
    <w:rsid w:val="00793DD1"/>
    <w:rsid w:val="00794FEC"/>
    <w:rsid w:val="00797E53"/>
    <w:rsid w:val="007A003E"/>
    <w:rsid w:val="007A13DC"/>
    <w:rsid w:val="007A1965"/>
    <w:rsid w:val="007A2ED1"/>
    <w:rsid w:val="007A4BE6"/>
    <w:rsid w:val="007B0DC6"/>
    <w:rsid w:val="007B1094"/>
    <w:rsid w:val="007B1762"/>
    <w:rsid w:val="007B3320"/>
    <w:rsid w:val="007B4C16"/>
    <w:rsid w:val="007B7CEA"/>
    <w:rsid w:val="007C29CB"/>
    <w:rsid w:val="007C301F"/>
    <w:rsid w:val="007C4540"/>
    <w:rsid w:val="007C65AF"/>
    <w:rsid w:val="007D135D"/>
    <w:rsid w:val="007D4EA9"/>
    <w:rsid w:val="007D730F"/>
    <w:rsid w:val="007D7CD8"/>
    <w:rsid w:val="007E0DC2"/>
    <w:rsid w:val="007E246A"/>
    <w:rsid w:val="007E3AA7"/>
    <w:rsid w:val="007E7D15"/>
    <w:rsid w:val="007F737D"/>
    <w:rsid w:val="0080308E"/>
    <w:rsid w:val="00805122"/>
    <w:rsid w:val="00805303"/>
    <w:rsid w:val="00806705"/>
    <w:rsid w:val="00806738"/>
    <w:rsid w:val="008213C5"/>
    <w:rsid w:val="008216D5"/>
    <w:rsid w:val="008249CE"/>
    <w:rsid w:val="00831A50"/>
    <w:rsid w:val="00831B3C"/>
    <w:rsid w:val="00831C89"/>
    <w:rsid w:val="008320D0"/>
    <w:rsid w:val="00832114"/>
    <w:rsid w:val="008337F4"/>
    <w:rsid w:val="00834C46"/>
    <w:rsid w:val="00835ACD"/>
    <w:rsid w:val="008363DC"/>
    <w:rsid w:val="0084093E"/>
    <w:rsid w:val="00841CE1"/>
    <w:rsid w:val="008473D8"/>
    <w:rsid w:val="008528DC"/>
    <w:rsid w:val="00852B8C"/>
    <w:rsid w:val="00852C8B"/>
    <w:rsid w:val="00854981"/>
    <w:rsid w:val="00864B2E"/>
    <w:rsid w:val="00865963"/>
    <w:rsid w:val="00867CB2"/>
    <w:rsid w:val="00871C1D"/>
    <w:rsid w:val="0087450E"/>
    <w:rsid w:val="00875A27"/>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1F37"/>
    <w:rsid w:val="008B20D8"/>
    <w:rsid w:val="008B345D"/>
    <w:rsid w:val="008C0D1E"/>
    <w:rsid w:val="008C167A"/>
    <w:rsid w:val="008C1FC2"/>
    <w:rsid w:val="008C2980"/>
    <w:rsid w:val="008C3E6B"/>
    <w:rsid w:val="008C4DD6"/>
    <w:rsid w:val="008C5AFB"/>
    <w:rsid w:val="008C5BD1"/>
    <w:rsid w:val="008C5C83"/>
    <w:rsid w:val="008D07FB"/>
    <w:rsid w:val="008D0C02"/>
    <w:rsid w:val="008D357D"/>
    <w:rsid w:val="008D435A"/>
    <w:rsid w:val="008E387B"/>
    <w:rsid w:val="008E3F02"/>
    <w:rsid w:val="008E6087"/>
    <w:rsid w:val="008E758D"/>
    <w:rsid w:val="008E78DC"/>
    <w:rsid w:val="008F10A7"/>
    <w:rsid w:val="008F1A97"/>
    <w:rsid w:val="008F755D"/>
    <w:rsid w:val="008F7A39"/>
    <w:rsid w:val="009021E8"/>
    <w:rsid w:val="00904677"/>
    <w:rsid w:val="00905EE2"/>
    <w:rsid w:val="00911440"/>
    <w:rsid w:val="00911712"/>
    <w:rsid w:val="00911B27"/>
    <w:rsid w:val="00912365"/>
    <w:rsid w:val="009170BE"/>
    <w:rsid w:val="00920B55"/>
    <w:rsid w:val="00922C53"/>
    <w:rsid w:val="009262C9"/>
    <w:rsid w:val="00930EB9"/>
    <w:rsid w:val="00933DC7"/>
    <w:rsid w:val="00933E86"/>
    <w:rsid w:val="00940D2A"/>
    <w:rsid w:val="009418F4"/>
    <w:rsid w:val="00942BBC"/>
    <w:rsid w:val="00944180"/>
    <w:rsid w:val="00944AA0"/>
    <w:rsid w:val="00947DA2"/>
    <w:rsid w:val="0095116C"/>
    <w:rsid w:val="00951177"/>
    <w:rsid w:val="00953127"/>
    <w:rsid w:val="00962334"/>
    <w:rsid w:val="009673E8"/>
    <w:rsid w:val="00973270"/>
    <w:rsid w:val="00974DB8"/>
    <w:rsid w:val="00980401"/>
    <w:rsid w:val="00980661"/>
    <w:rsid w:val="0098093B"/>
    <w:rsid w:val="009843DF"/>
    <w:rsid w:val="009876D4"/>
    <w:rsid w:val="009914A5"/>
    <w:rsid w:val="009950A8"/>
    <w:rsid w:val="0099548E"/>
    <w:rsid w:val="009959AE"/>
    <w:rsid w:val="00996456"/>
    <w:rsid w:val="00996A12"/>
    <w:rsid w:val="00997B0F"/>
    <w:rsid w:val="009A1CAD"/>
    <w:rsid w:val="009A3440"/>
    <w:rsid w:val="009A5832"/>
    <w:rsid w:val="009A6838"/>
    <w:rsid w:val="009A6A42"/>
    <w:rsid w:val="009A74C4"/>
    <w:rsid w:val="009B24B5"/>
    <w:rsid w:val="009B4EBC"/>
    <w:rsid w:val="009B5ABB"/>
    <w:rsid w:val="009B73CE"/>
    <w:rsid w:val="009C2461"/>
    <w:rsid w:val="009C6FE2"/>
    <w:rsid w:val="009C7674"/>
    <w:rsid w:val="009D004A"/>
    <w:rsid w:val="009D30FB"/>
    <w:rsid w:val="009D5880"/>
    <w:rsid w:val="009D6D44"/>
    <w:rsid w:val="009E1FD4"/>
    <w:rsid w:val="009E3825"/>
    <w:rsid w:val="009E3B07"/>
    <w:rsid w:val="009E51D1"/>
    <w:rsid w:val="009E5531"/>
    <w:rsid w:val="009E7C86"/>
    <w:rsid w:val="009F171E"/>
    <w:rsid w:val="009F2433"/>
    <w:rsid w:val="009F3422"/>
    <w:rsid w:val="009F3D2F"/>
    <w:rsid w:val="009F4A00"/>
    <w:rsid w:val="009F7052"/>
    <w:rsid w:val="00A01198"/>
    <w:rsid w:val="00A0206E"/>
    <w:rsid w:val="00A02668"/>
    <w:rsid w:val="00A02801"/>
    <w:rsid w:val="00A04384"/>
    <w:rsid w:val="00A06A39"/>
    <w:rsid w:val="00A07F58"/>
    <w:rsid w:val="00A102EB"/>
    <w:rsid w:val="00A114DD"/>
    <w:rsid w:val="00A131CB"/>
    <w:rsid w:val="00A14847"/>
    <w:rsid w:val="00A152C3"/>
    <w:rsid w:val="00A167A1"/>
    <w:rsid w:val="00A16D6D"/>
    <w:rsid w:val="00A21383"/>
    <w:rsid w:val="00A2199F"/>
    <w:rsid w:val="00A21B31"/>
    <w:rsid w:val="00A2360E"/>
    <w:rsid w:val="00A26E0C"/>
    <w:rsid w:val="00A26F39"/>
    <w:rsid w:val="00A31E5D"/>
    <w:rsid w:val="00A32FCB"/>
    <w:rsid w:val="00A34C25"/>
    <w:rsid w:val="00A3507D"/>
    <w:rsid w:val="00A3717A"/>
    <w:rsid w:val="00A4088C"/>
    <w:rsid w:val="00A4456B"/>
    <w:rsid w:val="00A448D4"/>
    <w:rsid w:val="00A452E0"/>
    <w:rsid w:val="00A4612C"/>
    <w:rsid w:val="00A51EA5"/>
    <w:rsid w:val="00A53742"/>
    <w:rsid w:val="00A557A1"/>
    <w:rsid w:val="00A6238F"/>
    <w:rsid w:val="00A63059"/>
    <w:rsid w:val="00A63AE3"/>
    <w:rsid w:val="00A651A4"/>
    <w:rsid w:val="00A65A24"/>
    <w:rsid w:val="00A66C9A"/>
    <w:rsid w:val="00A71361"/>
    <w:rsid w:val="00A746E2"/>
    <w:rsid w:val="00A772E6"/>
    <w:rsid w:val="00A81FF2"/>
    <w:rsid w:val="00A83904"/>
    <w:rsid w:val="00A83C82"/>
    <w:rsid w:val="00A90552"/>
    <w:rsid w:val="00A90A79"/>
    <w:rsid w:val="00A96B30"/>
    <w:rsid w:val="00AA1B84"/>
    <w:rsid w:val="00AA5920"/>
    <w:rsid w:val="00AA59B5"/>
    <w:rsid w:val="00AA7777"/>
    <w:rsid w:val="00AA7B84"/>
    <w:rsid w:val="00AB520A"/>
    <w:rsid w:val="00AC0B4C"/>
    <w:rsid w:val="00AC1164"/>
    <w:rsid w:val="00AC11FA"/>
    <w:rsid w:val="00AC2296"/>
    <w:rsid w:val="00AC2754"/>
    <w:rsid w:val="00AC48B0"/>
    <w:rsid w:val="00AC4ACD"/>
    <w:rsid w:val="00AC5DFB"/>
    <w:rsid w:val="00AC67B9"/>
    <w:rsid w:val="00AD13DC"/>
    <w:rsid w:val="00AD358E"/>
    <w:rsid w:val="00AD6DE2"/>
    <w:rsid w:val="00AE0A40"/>
    <w:rsid w:val="00AE1ED4"/>
    <w:rsid w:val="00AE21E1"/>
    <w:rsid w:val="00AE2F8D"/>
    <w:rsid w:val="00AE3BAE"/>
    <w:rsid w:val="00AE6A21"/>
    <w:rsid w:val="00AF1C8F"/>
    <w:rsid w:val="00AF2B68"/>
    <w:rsid w:val="00AF2C92"/>
    <w:rsid w:val="00AF300E"/>
    <w:rsid w:val="00AF3EC1"/>
    <w:rsid w:val="00AF5025"/>
    <w:rsid w:val="00AF519F"/>
    <w:rsid w:val="00AF5387"/>
    <w:rsid w:val="00AF55F5"/>
    <w:rsid w:val="00AF7942"/>
    <w:rsid w:val="00AF7E86"/>
    <w:rsid w:val="00B024B9"/>
    <w:rsid w:val="00B077FA"/>
    <w:rsid w:val="00B102E0"/>
    <w:rsid w:val="00B119D8"/>
    <w:rsid w:val="00B127D7"/>
    <w:rsid w:val="00B13B0C"/>
    <w:rsid w:val="00B1453A"/>
    <w:rsid w:val="00B14A96"/>
    <w:rsid w:val="00B17EC1"/>
    <w:rsid w:val="00B20F82"/>
    <w:rsid w:val="00B23CA4"/>
    <w:rsid w:val="00B24CA5"/>
    <w:rsid w:val="00B25BD5"/>
    <w:rsid w:val="00B26641"/>
    <w:rsid w:val="00B3028A"/>
    <w:rsid w:val="00B34079"/>
    <w:rsid w:val="00B35BA8"/>
    <w:rsid w:val="00B3793A"/>
    <w:rsid w:val="00B401BA"/>
    <w:rsid w:val="00B4040F"/>
    <w:rsid w:val="00B407E4"/>
    <w:rsid w:val="00B425B6"/>
    <w:rsid w:val="00B42A72"/>
    <w:rsid w:val="00B441AE"/>
    <w:rsid w:val="00B45A65"/>
    <w:rsid w:val="00B45F33"/>
    <w:rsid w:val="00B46D50"/>
    <w:rsid w:val="00B51F7D"/>
    <w:rsid w:val="00B53170"/>
    <w:rsid w:val="00B548B9"/>
    <w:rsid w:val="00B56DBE"/>
    <w:rsid w:val="00B623D0"/>
    <w:rsid w:val="00B62999"/>
    <w:rsid w:val="00B63BE3"/>
    <w:rsid w:val="00B64885"/>
    <w:rsid w:val="00B65B10"/>
    <w:rsid w:val="00B66810"/>
    <w:rsid w:val="00B66856"/>
    <w:rsid w:val="00B67C51"/>
    <w:rsid w:val="00B72BE3"/>
    <w:rsid w:val="00B735FA"/>
    <w:rsid w:val="00B73B80"/>
    <w:rsid w:val="00B770C7"/>
    <w:rsid w:val="00B80F26"/>
    <w:rsid w:val="00B822BD"/>
    <w:rsid w:val="00B842F4"/>
    <w:rsid w:val="00B91A7B"/>
    <w:rsid w:val="00B929DD"/>
    <w:rsid w:val="00B93AF6"/>
    <w:rsid w:val="00B95405"/>
    <w:rsid w:val="00B963F1"/>
    <w:rsid w:val="00BA020A"/>
    <w:rsid w:val="00BB02A4"/>
    <w:rsid w:val="00BB1270"/>
    <w:rsid w:val="00BB14CC"/>
    <w:rsid w:val="00BB1E44"/>
    <w:rsid w:val="00BB2572"/>
    <w:rsid w:val="00BB5267"/>
    <w:rsid w:val="00BB52B8"/>
    <w:rsid w:val="00BB59D8"/>
    <w:rsid w:val="00BB7E69"/>
    <w:rsid w:val="00BC0E51"/>
    <w:rsid w:val="00BC21FF"/>
    <w:rsid w:val="00BC3C1F"/>
    <w:rsid w:val="00BC564A"/>
    <w:rsid w:val="00BC710D"/>
    <w:rsid w:val="00BC7CE7"/>
    <w:rsid w:val="00BD295E"/>
    <w:rsid w:val="00BD31FA"/>
    <w:rsid w:val="00BD3ED2"/>
    <w:rsid w:val="00BD4664"/>
    <w:rsid w:val="00BE02ED"/>
    <w:rsid w:val="00BE1193"/>
    <w:rsid w:val="00BE17AC"/>
    <w:rsid w:val="00BE2D2C"/>
    <w:rsid w:val="00BF3ABA"/>
    <w:rsid w:val="00BF4849"/>
    <w:rsid w:val="00BF4EA7"/>
    <w:rsid w:val="00C00817"/>
    <w:rsid w:val="00C00EDB"/>
    <w:rsid w:val="00C02863"/>
    <w:rsid w:val="00C02DCC"/>
    <w:rsid w:val="00C0362B"/>
    <w:rsid w:val="00C0383A"/>
    <w:rsid w:val="00C03F85"/>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641"/>
    <w:rsid w:val="00C41ADC"/>
    <w:rsid w:val="00C44149"/>
    <w:rsid w:val="00C44410"/>
    <w:rsid w:val="00C44A15"/>
    <w:rsid w:val="00C4630A"/>
    <w:rsid w:val="00C47105"/>
    <w:rsid w:val="00C523F0"/>
    <w:rsid w:val="00C526D2"/>
    <w:rsid w:val="00C53A91"/>
    <w:rsid w:val="00C5794E"/>
    <w:rsid w:val="00C60968"/>
    <w:rsid w:val="00C63D39"/>
    <w:rsid w:val="00C63EDD"/>
    <w:rsid w:val="00C6471D"/>
    <w:rsid w:val="00C65B36"/>
    <w:rsid w:val="00C7292E"/>
    <w:rsid w:val="00C7308A"/>
    <w:rsid w:val="00C74E88"/>
    <w:rsid w:val="00C80924"/>
    <w:rsid w:val="00C81B3E"/>
    <w:rsid w:val="00C8286B"/>
    <w:rsid w:val="00C87A5F"/>
    <w:rsid w:val="00C87BFC"/>
    <w:rsid w:val="00C947F8"/>
    <w:rsid w:val="00C9515F"/>
    <w:rsid w:val="00C9610E"/>
    <w:rsid w:val="00C963C5"/>
    <w:rsid w:val="00CA030C"/>
    <w:rsid w:val="00CA1F41"/>
    <w:rsid w:val="00CA32EE"/>
    <w:rsid w:val="00CA5771"/>
    <w:rsid w:val="00CA6A1A"/>
    <w:rsid w:val="00CB2EC2"/>
    <w:rsid w:val="00CC1E75"/>
    <w:rsid w:val="00CC2E0E"/>
    <w:rsid w:val="00CC361C"/>
    <w:rsid w:val="00CC474B"/>
    <w:rsid w:val="00CC658C"/>
    <w:rsid w:val="00CC67BF"/>
    <w:rsid w:val="00CD0843"/>
    <w:rsid w:val="00CD5A78"/>
    <w:rsid w:val="00CD7345"/>
    <w:rsid w:val="00CE372E"/>
    <w:rsid w:val="00CE5694"/>
    <w:rsid w:val="00CE60AE"/>
    <w:rsid w:val="00CE693F"/>
    <w:rsid w:val="00CE764D"/>
    <w:rsid w:val="00CF0A1B"/>
    <w:rsid w:val="00CF19F6"/>
    <w:rsid w:val="00CF2F4F"/>
    <w:rsid w:val="00CF536D"/>
    <w:rsid w:val="00D009FB"/>
    <w:rsid w:val="00D02E9D"/>
    <w:rsid w:val="00D10CB8"/>
    <w:rsid w:val="00D12806"/>
    <w:rsid w:val="00D12D44"/>
    <w:rsid w:val="00D12D8C"/>
    <w:rsid w:val="00D13A3F"/>
    <w:rsid w:val="00D15018"/>
    <w:rsid w:val="00D158AC"/>
    <w:rsid w:val="00D1694C"/>
    <w:rsid w:val="00D20F5E"/>
    <w:rsid w:val="00D23B76"/>
    <w:rsid w:val="00D24B4A"/>
    <w:rsid w:val="00D379A3"/>
    <w:rsid w:val="00D42348"/>
    <w:rsid w:val="00D44485"/>
    <w:rsid w:val="00D447E8"/>
    <w:rsid w:val="00D45FF3"/>
    <w:rsid w:val="00D512CF"/>
    <w:rsid w:val="00D528B9"/>
    <w:rsid w:val="00D53186"/>
    <w:rsid w:val="00D5487D"/>
    <w:rsid w:val="00D60140"/>
    <w:rsid w:val="00D6024A"/>
    <w:rsid w:val="00D608B5"/>
    <w:rsid w:val="00D64739"/>
    <w:rsid w:val="00D659E1"/>
    <w:rsid w:val="00D71F99"/>
    <w:rsid w:val="00D73CA4"/>
    <w:rsid w:val="00D73D71"/>
    <w:rsid w:val="00D74396"/>
    <w:rsid w:val="00D76E37"/>
    <w:rsid w:val="00D77052"/>
    <w:rsid w:val="00D80284"/>
    <w:rsid w:val="00D819C9"/>
    <w:rsid w:val="00D81F71"/>
    <w:rsid w:val="00D8642D"/>
    <w:rsid w:val="00D87C68"/>
    <w:rsid w:val="00D90A5E"/>
    <w:rsid w:val="00D91A68"/>
    <w:rsid w:val="00D9436C"/>
    <w:rsid w:val="00D95A68"/>
    <w:rsid w:val="00DA17C7"/>
    <w:rsid w:val="00DA6A9A"/>
    <w:rsid w:val="00DB0065"/>
    <w:rsid w:val="00DB1EFD"/>
    <w:rsid w:val="00DB329B"/>
    <w:rsid w:val="00DB3EAF"/>
    <w:rsid w:val="00DB4436"/>
    <w:rsid w:val="00DB46C6"/>
    <w:rsid w:val="00DC3203"/>
    <w:rsid w:val="00DC3C99"/>
    <w:rsid w:val="00DC52F5"/>
    <w:rsid w:val="00DC5FD0"/>
    <w:rsid w:val="00DC6960"/>
    <w:rsid w:val="00DD0354"/>
    <w:rsid w:val="00DD27D7"/>
    <w:rsid w:val="00DD458C"/>
    <w:rsid w:val="00DD52B6"/>
    <w:rsid w:val="00DD72E9"/>
    <w:rsid w:val="00DD7605"/>
    <w:rsid w:val="00DE1029"/>
    <w:rsid w:val="00DE2020"/>
    <w:rsid w:val="00DE3476"/>
    <w:rsid w:val="00DE7736"/>
    <w:rsid w:val="00DE7BEA"/>
    <w:rsid w:val="00DF5B84"/>
    <w:rsid w:val="00DF6D5B"/>
    <w:rsid w:val="00DF771B"/>
    <w:rsid w:val="00DF7EE2"/>
    <w:rsid w:val="00E01BAA"/>
    <w:rsid w:val="00E0282A"/>
    <w:rsid w:val="00E02F9B"/>
    <w:rsid w:val="00E056EE"/>
    <w:rsid w:val="00E07E14"/>
    <w:rsid w:val="00E10DE8"/>
    <w:rsid w:val="00E1291F"/>
    <w:rsid w:val="00E14F94"/>
    <w:rsid w:val="00E17336"/>
    <w:rsid w:val="00E17D15"/>
    <w:rsid w:val="00E20CBD"/>
    <w:rsid w:val="00E22B95"/>
    <w:rsid w:val="00E30331"/>
    <w:rsid w:val="00E30BB8"/>
    <w:rsid w:val="00E31F9C"/>
    <w:rsid w:val="00E333E3"/>
    <w:rsid w:val="00E40488"/>
    <w:rsid w:val="00E45EDE"/>
    <w:rsid w:val="00E50367"/>
    <w:rsid w:val="00E51ABA"/>
    <w:rsid w:val="00E524CB"/>
    <w:rsid w:val="00E5265D"/>
    <w:rsid w:val="00E6324A"/>
    <w:rsid w:val="00E636D4"/>
    <w:rsid w:val="00E65456"/>
    <w:rsid w:val="00E65A91"/>
    <w:rsid w:val="00E66188"/>
    <w:rsid w:val="00E664FB"/>
    <w:rsid w:val="00E672F0"/>
    <w:rsid w:val="00E700D5"/>
    <w:rsid w:val="00E70373"/>
    <w:rsid w:val="00E72E40"/>
    <w:rsid w:val="00E73665"/>
    <w:rsid w:val="00E73999"/>
    <w:rsid w:val="00E73BDC"/>
    <w:rsid w:val="00E73E9E"/>
    <w:rsid w:val="00E81660"/>
    <w:rsid w:val="00E832E5"/>
    <w:rsid w:val="00E854FE"/>
    <w:rsid w:val="00E906CC"/>
    <w:rsid w:val="00E92595"/>
    <w:rsid w:val="00E939A0"/>
    <w:rsid w:val="00E97E4E"/>
    <w:rsid w:val="00EA085B"/>
    <w:rsid w:val="00EA1CC2"/>
    <w:rsid w:val="00EA2D76"/>
    <w:rsid w:val="00EA2D7F"/>
    <w:rsid w:val="00EA3B29"/>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0EF2"/>
    <w:rsid w:val="00ED1DE9"/>
    <w:rsid w:val="00ED23D4"/>
    <w:rsid w:val="00ED5E0B"/>
    <w:rsid w:val="00EE37B6"/>
    <w:rsid w:val="00EE4A2F"/>
    <w:rsid w:val="00EE6A86"/>
    <w:rsid w:val="00EF0F45"/>
    <w:rsid w:val="00EF7463"/>
    <w:rsid w:val="00EF7971"/>
    <w:rsid w:val="00F002EF"/>
    <w:rsid w:val="00F01BFC"/>
    <w:rsid w:val="00F01EE9"/>
    <w:rsid w:val="00F04900"/>
    <w:rsid w:val="00F065A4"/>
    <w:rsid w:val="00F126B9"/>
    <w:rsid w:val="00F12715"/>
    <w:rsid w:val="00F144D5"/>
    <w:rsid w:val="00F146F0"/>
    <w:rsid w:val="00F14730"/>
    <w:rsid w:val="00F15039"/>
    <w:rsid w:val="00F20FF3"/>
    <w:rsid w:val="00F2190B"/>
    <w:rsid w:val="00F228B5"/>
    <w:rsid w:val="00F2389C"/>
    <w:rsid w:val="00F23B91"/>
    <w:rsid w:val="00F25C67"/>
    <w:rsid w:val="00F30DFF"/>
    <w:rsid w:val="00F32B80"/>
    <w:rsid w:val="00F340EB"/>
    <w:rsid w:val="00F35285"/>
    <w:rsid w:val="00F379FC"/>
    <w:rsid w:val="00F405A0"/>
    <w:rsid w:val="00F4266D"/>
    <w:rsid w:val="00F43B9D"/>
    <w:rsid w:val="00F44D5E"/>
    <w:rsid w:val="00F47585"/>
    <w:rsid w:val="00F53A35"/>
    <w:rsid w:val="00F55A3D"/>
    <w:rsid w:val="00F5744B"/>
    <w:rsid w:val="00F61209"/>
    <w:rsid w:val="00F6259E"/>
    <w:rsid w:val="00F65DD4"/>
    <w:rsid w:val="00F672B2"/>
    <w:rsid w:val="00F6754E"/>
    <w:rsid w:val="00F71704"/>
    <w:rsid w:val="00F72DB3"/>
    <w:rsid w:val="00F77AAD"/>
    <w:rsid w:val="00F83973"/>
    <w:rsid w:val="00F87FA3"/>
    <w:rsid w:val="00F93D8C"/>
    <w:rsid w:val="00F97401"/>
    <w:rsid w:val="00FA1F00"/>
    <w:rsid w:val="00FA3102"/>
    <w:rsid w:val="00FA48D4"/>
    <w:rsid w:val="00FA54FA"/>
    <w:rsid w:val="00FA5C5B"/>
    <w:rsid w:val="00FA6D39"/>
    <w:rsid w:val="00FB227E"/>
    <w:rsid w:val="00FB3D61"/>
    <w:rsid w:val="00FB44CE"/>
    <w:rsid w:val="00FB5009"/>
    <w:rsid w:val="00FB76AB"/>
    <w:rsid w:val="00FD03FE"/>
    <w:rsid w:val="00FD126E"/>
    <w:rsid w:val="00FD3C36"/>
    <w:rsid w:val="00FD44A2"/>
    <w:rsid w:val="00FD4D81"/>
    <w:rsid w:val="00FD7498"/>
    <w:rsid w:val="00FD7FB3"/>
    <w:rsid w:val="00FE0585"/>
    <w:rsid w:val="00FE3956"/>
    <w:rsid w:val="00FE4713"/>
    <w:rsid w:val="00FE61D9"/>
    <w:rsid w:val="00FE684E"/>
    <w:rsid w:val="00FF040D"/>
    <w:rsid w:val="00FF1F44"/>
    <w:rsid w:val="00FF225E"/>
    <w:rsid w:val="00FF3482"/>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6A7B"/>
  <w15:docId w15:val="{826F81E6-BFB2-41F8-8338-2B87E956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283C0A"/>
    <w:pPr>
      <w:spacing w:line="240" w:lineRule="auto"/>
      <w:ind w:left="284" w:hanging="284"/>
    </w:pPr>
    <w:rPr>
      <w:sz w:val="22"/>
      <w:szCs w:val="20"/>
    </w:rPr>
  </w:style>
  <w:style w:type="character" w:customStyle="1" w:styleId="FootnoteTextChar">
    <w:name w:val="Footnote Text Char"/>
    <w:link w:val="FootnoteText"/>
    <w:rsid w:val="00283C0A"/>
    <w:rPr>
      <w:sz w:val="22"/>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alloonText">
    <w:name w:val="Balloon Text"/>
    <w:basedOn w:val="Normal"/>
    <w:link w:val="BalloonTextChar"/>
    <w:uiPriority w:val="99"/>
    <w:rsid w:val="00BE2D2C"/>
    <w:pPr>
      <w:spacing w:line="240" w:lineRule="auto"/>
    </w:pPr>
    <w:rPr>
      <w:rFonts w:ascii="Segoe UI" w:hAnsi="Segoe UI" w:cs="Segoe UI"/>
      <w:sz w:val="18"/>
      <w:szCs w:val="18"/>
    </w:rPr>
  </w:style>
  <w:style w:type="character" w:customStyle="1" w:styleId="BalloonTextChar">
    <w:name w:val="Balloon Text Char"/>
    <w:link w:val="BalloonText"/>
    <w:uiPriority w:val="99"/>
    <w:rsid w:val="00BE2D2C"/>
    <w:rPr>
      <w:rFonts w:ascii="Segoe UI" w:hAnsi="Segoe UI" w:cs="Segoe UI"/>
      <w:sz w:val="18"/>
      <w:szCs w:val="18"/>
    </w:rPr>
  </w:style>
  <w:style w:type="paragraph" w:styleId="NormalWeb">
    <w:name w:val="Normal (Web)"/>
    <w:basedOn w:val="Normal"/>
    <w:uiPriority w:val="99"/>
    <w:unhideWhenUsed/>
    <w:rsid w:val="00BE2D2C"/>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BE2D2C"/>
    <w:pPr>
      <w:ind w:left="720"/>
      <w:contextualSpacing/>
    </w:pPr>
    <w:rPr>
      <w:rFonts w:ascii="Calibri" w:hAnsi="Calibri"/>
      <w:lang w:eastAsia="en-US"/>
    </w:rPr>
  </w:style>
  <w:style w:type="character" w:styleId="CommentReference">
    <w:name w:val="annotation reference"/>
    <w:uiPriority w:val="99"/>
    <w:semiHidden/>
    <w:unhideWhenUsed/>
    <w:rsid w:val="00BE2D2C"/>
    <w:rPr>
      <w:sz w:val="16"/>
      <w:szCs w:val="16"/>
    </w:rPr>
  </w:style>
  <w:style w:type="paragraph" w:styleId="CommentText">
    <w:name w:val="annotation text"/>
    <w:basedOn w:val="Normal"/>
    <w:link w:val="CommentTextChar"/>
    <w:uiPriority w:val="99"/>
    <w:unhideWhenUsed/>
    <w:rsid w:val="00BE2D2C"/>
    <w:rPr>
      <w:rFonts w:ascii="Calibri" w:hAnsi="Calibri"/>
      <w:sz w:val="20"/>
      <w:szCs w:val="20"/>
      <w:lang w:eastAsia="en-US"/>
    </w:rPr>
  </w:style>
  <w:style w:type="character" w:customStyle="1" w:styleId="CommentTextChar">
    <w:name w:val="Comment Text Char"/>
    <w:link w:val="CommentText"/>
    <w:uiPriority w:val="99"/>
    <w:rsid w:val="00BE2D2C"/>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BE2D2C"/>
    <w:rPr>
      <w:b/>
      <w:bCs/>
    </w:rPr>
  </w:style>
  <w:style w:type="character" w:customStyle="1" w:styleId="CommentSubjectChar">
    <w:name w:val="Comment Subject Char"/>
    <w:link w:val="CommentSubject"/>
    <w:uiPriority w:val="99"/>
    <w:semiHidden/>
    <w:rsid w:val="00BE2D2C"/>
    <w:rPr>
      <w:rFonts w:ascii="Calibri" w:hAnsi="Calibri"/>
      <w:b/>
      <w:bCs/>
      <w:lang w:eastAsia="en-US"/>
    </w:rPr>
  </w:style>
  <w:style w:type="paragraph" w:customStyle="1" w:styleId="Default">
    <w:name w:val="Default"/>
    <w:rsid w:val="00BE2D2C"/>
    <w:pPr>
      <w:autoSpaceDE w:val="0"/>
      <w:autoSpaceDN w:val="0"/>
      <w:adjustRightInd w:val="0"/>
    </w:pPr>
    <w:rPr>
      <w:rFonts w:ascii="Tahoma" w:hAnsi="Tahoma" w:cs="Tahoma"/>
      <w:color w:val="000000"/>
      <w:sz w:val="24"/>
      <w:szCs w:val="24"/>
      <w:lang w:eastAsia="en-US"/>
    </w:rPr>
  </w:style>
  <w:style w:type="character" w:styleId="Hyperlink">
    <w:name w:val="Hyperlink"/>
    <w:uiPriority w:val="99"/>
    <w:unhideWhenUsed/>
    <w:rsid w:val="00BE2D2C"/>
    <w:rPr>
      <w:color w:val="0563C1"/>
      <w:u w:val="single"/>
    </w:rPr>
  </w:style>
  <w:style w:type="paragraph" w:customStyle="1" w:styleId="Pa1">
    <w:name w:val="Pa1"/>
    <w:basedOn w:val="Default"/>
    <w:next w:val="Default"/>
    <w:uiPriority w:val="99"/>
    <w:rsid w:val="00BE2D2C"/>
    <w:pPr>
      <w:spacing w:line="481" w:lineRule="atLeast"/>
    </w:pPr>
    <w:rPr>
      <w:rFonts w:ascii="Calluna" w:hAnsi="Calluna" w:cs="Times New Roman"/>
      <w:color w:val="auto"/>
    </w:rPr>
  </w:style>
  <w:style w:type="character" w:customStyle="1" w:styleId="A1">
    <w:name w:val="A1"/>
    <w:uiPriority w:val="99"/>
    <w:rsid w:val="00BE2D2C"/>
    <w:rPr>
      <w:rFonts w:cs="Calluna"/>
      <w:color w:val="000000"/>
      <w:sz w:val="60"/>
      <w:szCs w:val="60"/>
    </w:rPr>
  </w:style>
  <w:style w:type="character" w:customStyle="1" w:styleId="A2">
    <w:name w:val="A2"/>
    <w:uiPriority w:val="99"/>
    <w:rsid w:val="00BE2D2C"/>
    <w:rPr>
      <w:rFonts w:cs="Calluna"/>
      <w:color w:val="000000"/>
      <w:sz w:val="40"/>
      <w:szCs w:val="40"/>
    </w:rPr>
  </w:style>
  <w:style w:type="character" w:customStyle="1" w:styleId="A4">
    <w:name w:val="A4"/>
    <w:uiPriority w:val="99"/>
    <w:rsid w:val="00BE2D2C"/>
    <w:rPr>
      <w:rFonts w:cs="Calluna"/>
      <w:color w:val="000000"/>
      <w:sz w:val="20"/>
      <w:szCs w:val="20"/>
    </w:rPr>
  </w:style>
  <w:style w:type="paragraph" w:styleId="Bibliography">
    <w:name w:val="Bibliography"/>
    <w:basedOn w:val="Normal"/>
    <w:next w:val="Normal"/>
    <w:uiPriority w:val="37"/>
    <w:unhideWhenUsed/>
    <w:rsid w:val="00BE2D2C"/>
    <w:rPr>
      <w:rFonts w:ascii="Calibri" w:hAnsi="Calibri"/>
      <w:lang w:eastAsia="en-US"/>
    </w:rPr>
  </w:style>
  <w:style w:type="character" w:styleId="FollowedHyperlink">
    <w:name w:val="FollowedHyperlink"/>
    <w:uiPriority w:val="99"/>
    <w:semiHidden/>
    <w:unhideWhenUsed/>
    <w:rsid w:val="00BE2D2C"/>
    <w:rPr>
      <w:color w:val="954F72"/>
      <w:u w:val="single"/>
    </w:rPr>
  </w:style>
  <w:style w:type="character" w:customStyle="1" w:styleId="apple-converted-space">
    <w:name w:val="apple-converted-space"/>
    <w:rsid w:val="00BE2D2C"/>
  </w:style>
  <w:style w:type="character" w:styleId="Strong">
    <w:name w:val="Strong"/>
    <w:uiPriority w:val="22"/>
    <w:qFormat/>
    <w:rsid w:val="00BE2D2C"/>
    <w:rPr>
      <w:b/>
      <w:bCs/>
    </w:rPr>
  </w:style>
  <w:style w:type="paragraph" w:styleId="Revision">
    <w:name w:val="Revision"/>
    <w:hidden/>
    <w:uiPriority w:val="99"/>
    <w:semiHidden/>
    <w:rsid w:val="00BE2D2C"/>
    <w:rPr>
      <w:sz w:val="24"/>
      <w:szCs w:val="24"/>
    </w:rPr>
  </w:style>
  <w:style w:type="character" w:customStyle="1" w:styleId="nlmyear">
    <w:name w:val="nlm_year"/>
    <w:rsid w:val="00BE2D2C"/>
  </w:style>
  <w:style w:type="character" w:customStyle="1" w:styleId="nlmarticle-title">
    <w:name w:val="nlm_article-title"/>
    <w:rsid w:val="00BE2D2C"/>
  </w:style>
  <w:style w:type="character" w:customStyle="1" w:styleId="nlmfpage">
    <w:name w:val="nlm_fpage"/>
    <w:rsid w:val="00BE2D2C"/>
  </w:style>
  <w:style w:type="character" w:customStyle="1" w:styleId="nlmlpage">
    <w:name w:val="nlm_lpage"/>
    <w:rsid w:val="00BE2D2C"/>
  </w:style>
  <w:style w:type="character" w:customStyle="1" w:styleId="nlmpublisher-loc">
    <w:name w:val="nlm_publisher-loc"/>
    <w:rsid w:val="00BE2D2C"/>
  </w:style>
  <w:style w:type="character" w:customStyle="1" w:styleId="nlmpublisher-name">
    <w:name w:val="nlm_publisher-name"/>
    <w:rsid w:val="00BE2D2C"/>
  </w:style>
  <w:style w:type="character" w:styleId="SubtleEmphasis">
    <w:name w:val="Subtle Emphasis"/>
    <w:uiPriority w:val="19"/>
    <w:qFormat/>
    <w:rsid w:val="00BE2D2C"/>
    <w:rPr>
      <w:i/>
      <w:iCs/>
      <w:color w:val="404040"/>
    </w:rPr>
  </w:style>
  <w:style w:type="character" w:customStyle="1" w:styleId="UnresolvedMention1">
    <w:name w:val="Unresolved Mention1"/>
    <w:uiPriority w:val="99"/>
    <w:semiHidden/>
    <w:unhideWhenUsed/>
    <w:rsid w:val="00BE2D2C"/>
    <w:rPr>
      <w:color w:val="808080"/>
      <w:shd w:val="clear" w:color="auto" w:fill="E6E6E6"/>
    </w:rPr>
  </w:style>
  <w:style w:type="paragraph" w:customStyle="1" w:styleId="EndNoteBibliographyTitle">
    <w:name w:val="EndNote Bibliography Title"/>
    <w:basedOn w:val="Normal"/>
    <w:link w:val="EndNoteBibliographyTitleChar"/>
    <w:rsid w:val="00BE2D2C"/>
    <w:pPr>
      <w:jc w:val="center"/>
    </w:pPr>
    <w:rPr>
      <w:noProof/>
    </w:rPr>
  </w:style>
  <w:style w:type="character" w:customStyle="1" w:styleId="EndNoteBibliographyTitleChar">
    <w:name w:val="EndNote Bibliography Title Char"/>
    <w:link w:val="EndNoteBibliographyTitle"/>
    <w:rsid w:val="00BE2D2C"/>
    <w:rPr>
      <w:noProof/>
      <w:sz w:val="24"/>
      <w:szCs w:val="24"/>
    </w:rPr>
  </w:style>
  <w:style w:type="paragraph" w:customStyle="1" w:styleId="EndNoteBibliography">
    <w:name w:val="EndNote Bibliography"/>
    <w:basedOn w:val="Normal"/>
    <w:link w:val="EndNoteBibliographyChar"/>
    <w:rsid w:val="00BE2D2C"/>
    <w:rPr>
      <w:noProof/>
    </w:rPr>
  </w:style>
  <w:style w:type="character" w:customStyle="1" w:styleId="EndNoteBibliographyChar">
    <w:name w:val="EndNote Bibliography Char"/>
    <w:link w:val="EndNoteBibliography"/>
    <w:rsid w:val="00BE2D2C"/>
    <w:rPr>
      <w:noProof/>
      <w:sz w:val="24"/>
      <w:szCs w:val="24"/>
    </w:rPr>
  </w:style>
  <w:style w:type="character" w:styleId="Emphasis">
    <w:name w:val="Emphasis"/>
    <w:uiPriority w:val="20"/>
    <w:qFormat/>
    <w:rsid w:val="00BE2D2C"/>
    <w:rPr>
      <w:i/>
      <w:iCs/>
    </w:rPr>
  </w:style>
  <w:style w:type="paragraph" w:customStyle="1" w:styleId="m1579887606026175441gmail-newparagraph">
    <w:name w:val="m_1579887606026175441gmail-newparagraph"/>
    <w:basedOn w:val="Normal"/>
    <w:rsid w:val="00BE2D2C"/>
    <w:pPr>
      <w:spacing w:before="100" w:beforeAutospacing="1" w:after="100" w:afterAutospacing="1" w:line="240" w:lineRule="auto"/>
    </w:pPr>
  </w:style>
  <w:style w:type="paragraph" w:customStyle="1" w:styleId="m1579887606026175441gmail-paragraph">
    <w:name w:val="m_1579887606026175441gmail-paragraph"/>
    <w:basedOn w:val="Normal"/>
    <w:rsid w:val="00BE2D2C"/>
    <w:pPr>
      <w:spacing w:before="100" w:beforeAutospacing="1" w:after="100" w:afterAutospacing="1" w:line="240" w:lineRule="auto"/>
    </w:pPr>
  </w:style>
  <w:style w:type="table" w:styleId="TableGrid">
    <w:name w:val="Table Grid"/>
    <w:basedOn w:val="TableNormal"/>
    <w:uiPriority w:val="39"/>
    <w:rsid w:val="00B65B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9F2433"/>
  </w:style>
  <w:style w:type="character" w:customStyle="1" w:styleId="Date1">
    <w:name w:val="Date1"/>
    <w:basedOn w:val="DefaultParagraphFont"/>
    <w:rsid w:val="009F2433"/>
  </w:style>
  <w:style w:type="character" w:customStyle="1" w:styleId="arttitle">
    <w:name w:val="art_title"/>
    <w:basedOn w:val="DefaultParagraphFont"/>
    <w:rsid w:val="009F2433"/>
  </w:style>
  <w:style w:type="character" w:customStyle="1" w:styleId="serialtitle">
    <w:name w:val="serial_title"/>
    <w:basedOn w:val="DefaultParagraphFont"/>
    <w:rsid w:val="009F2433"/>
  </w:style>
  <w:style w:type="character" w:customStyle="1" w:styleId="doilink">
    <w:name w:val="doi_link"/>
    <w:basedOn w:val="DefaultParagraphFont"/>
    <w:rsid w:val="009F2433"/>
  </w:style>
  <w:style w:type="character" w:customStyle="1" w:styleId="aaj">
    <w:name w:val="aaj"/>
    <w:basedOn w:val="DefaultParagraphFont"/>
    <w:rsid w:val="0013280E"/>
  </w:style>
  <w:style w:type="character" w:styleId="UnresolvedMention">
    <w:name w:val="Unresolved Mention"/>
    <w:basedOn w:val="DefaultParagraphFont"/>
    <w:uiPriority w:val="99"/>
    <w:semiHidden/>
    <w:unhideWhenUsed/>
    <w:rsid w:val="00A9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3835">
      <w:bodyDiv w:val="1"/>
      <w:marLeft w:val="0"/>
      <w:marRight w:val="0"/>
      <w:marTop w:val="0"/>
      <w:marBottom w:val="0"/>
      <w:divBdr>
        <w:top w:val="none" w:sz="0" w:space="0" w:color="auto"/>
        <w:left w:val="none" w:sz="0" w:space="0" w:color="auto"/>
        <w:bottom w:val="none" w:sz="0" w:space="0" w:color="auto"/>
        <w:right w:val="none" w:sz="0" w:space="0" w:color="auto"/>
      </w:divBdr>
    </w:div>
    <w:div w:id="372315481">
      <w:bodyDiv w:val="1"/>
      <w:marLeft w:val="0"/>
      <w:marRight w:val="0"/>
      <w:marTop w:val="0"/>
      <w:marBottom w:val="0"/>
      <w:divBdr>
        <w:top w:val="none" w:sz="0" w:space="0" w:color="auto"/>
        <w:left w:val="none" w:sz="0" w:space="0" w:color="auto"/>
        <w:bottom w:val="none" w:sz="0" w:space="0" w:color="auto"/>
        <w:right w:val="none" w:sz="0" w:space="0" w:color="auto"/>
      </w:divBdr>
    </w:div>
    <w:div w:id="429279529">
      <w:bodyDiv w:val="1"/>
      <w:marLeft w:val="0"/>
      <w:marRight w:val="0"/>
      <w:marTop w:val="0"/>
      <w:marBottom w:val="0"/>
      <w:divBdr>
        <w:top w:val="none" w:sz="0" w:space="0" w:color="auto"/>
        <w:left w:val="none" w:sz="0" w:space="0" w:color="auto"/>
        <w:bottom w:val="none" w:sz="0" w:space="0" w:color="auto"/>
        <w:right w:val="none" w:sz="0" w:space="0" w:color="auto"/>
      </w:divBdr>
    </w:div>
    <w:div w:id="545290762">
      <w:bodyDiv w:val="1"/>
      <w:marLeft w:val="0"/>
      <w:marRight w:val="0"/>
      <w:marTop w:val="0"/>
      <w:marBottom w:val="0"/>
      <w:divBdr>
        <w:top w:val="none" w:sz="0" w:space="0" w:color="auto"/>
        <w:left w:val="none" w:sz="0" w:space="0" w:color="auto"/>
        <w:bottom w:val="none" w:sz="0" w:space="0" w:color="auto"/>
        <w:right w:val="none" w:sz="0" w:space="0" w:color="auto"/>
      </w:divBdr>
    </w:div>
    <w:div w:id="560943118">
      <w:bodyDiv w:val="1"/>
      <w:marLeft w:val="0"/>
      <w:marRight w:val="0"/>
      <w:marTop w:val="0"/>
      <w:marBottom w:val="0"/>
      <w:divBdr>
        <w:top w:val="none" w:sz="0" w:space="0" w:color="auto"/>
        <w:left w:val="none" w:sz="0" w:space="0" w:color="auto"/>
        <w:bottom w:val="none" w:sz="0" w:space="0" w:color="auto"/>
        <w:right w:val="none" w:sz="0" w:space="0" w:color="auto"/>
      </w:divBdr>
    </w:div>
    <w:div w:id="575747467">
      <w:bodyDiv w:val="1"/>
      <w:marLeft w:val="0"/>
      <w:marRight w:val="0"/>
      <w:marTop w:val="0"/>
      <w:marBottom w:val="0"/>
      <w:divBdr>
        <w:top w:val="none" w:sz="0" w:space="0" w:color="auto"/>
        <w:left w:val="none" w:sz="0" w:space="0" w:color="auto"/>
        <w:bottom w:val="none" w:sz="0" w:space="0" w:color="auto"/>
        <w:right w:val="none" w:sz="0" w:space="0" w:color="auto"/>
      </w:divBdr>
    </w:div>
    <w:div w:id="582420249">
      <w:bodyDiv w:val="1"/>
      <w:marLeft w:val="0"/>
      <w:marRight w:val="0"/>
      <w:marTop w:val="0"/>
      <w:marBottom w:val="0"/>
      <w:divBdr>
        <w:top w:val="none" w:sz="0" w:space="0" w:color="auto"/>
        <w:left w:val="none" w:sz="0" w:space="0" w:color="auto"/>
        <w:bottom w:val="none" w:sz="0" w:space="0" w:color="auto"/>
        <w:right w:val="none" w:sz="0" w:space="0" w:color="auto"/>
      </w:divBdr>
    </w:div>
    <w:div w:id="705444923">
      <w:bodyDiv w:val="1"/>
      <w:marLeft w:val="0"/>
      <w:marRight w:val="0"/>
      <w:marTop w:val="0"/>
      <w:marBottom w:val="0"/>
      <w:divBdr>
        <w:top w:val="none" w:sz="0" w:space="0" w:color="auto"/>
        <w:left w:val="none" w:sz="0" w:space="0" w:color="auto"/>
        <w:bottom w:val="none" w:sz="0" w:space="0" w:color="auto"/>
        <w:right w:val="none" w:sz="0" w:space="0" w:color="auto"/>
      </w:divBdr>
    </w:div>
    <w:div w:id="722631476">
      <w:bodyDiv w:val="1"/>
      <w:marLeft w:val="0"/>
      <w:marRight w:val="0"/>
      <w:marTop w:val="0"/>
      <w:marBottom w:val="0"/>
      <w:divBdr>
        <w:top w:val="none" w:sz="0" w:space="0" w:color="auto"/>
        <w:left w:val="none" w:sz="0" w:space="0" w:color="auto"/>
        <w:bottom w:val="none" w:sz="0" w:space="0" w:color="auto"/>
        <w:right w:val="none" w:sz="0" w:space="0" w:color="auto"/>
      </w:divBdr>
    </w:div>
    <w:div w:id="73971462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09278219">
      <w:bodyDiv w:val="1"/>
      <w:marLeft w:val="0"/>
      <w:marRight w:val="0"/>
      <w:marTop w:val="0"/>
      <w:marBottom w:val="0"/>
      <w:divBdr>
        <w:top w:val="none" w:sz="0" w:space="0" w:color="auto"/>
        <w:left w:val="none" w:sz="0" w:space="0" w:color="auto"/>
        <w:bottom w:val="none" w:sz="0" w:space="0" w:color="auto"/>
        <w:right w:val="none" w:sz="0" w:space="0" w:color="auto"/>
      </w:divBdr>
    </w:div>
    <w:div w:id="1110007367">
      <w:bodyDiv w:val="1"/>
      <w:marLeft w:val="0"/>
      <w:marRight w:val="0"/>
      <w:marTop w:val="0"/>
      <w:marBottom w:val="0"/>
      <w:divBdr>
        <w:top w:val="none" w:sz="0" w:space="0" w:color="auto"/>
        <w:left w:val="none" w:sz="0" w:space="0" w:color="auto"/>
        <w:bottom w:val="none" w:sz="0" w:space="0" w:color="auto"/>
        <w:right w:val="none" w:sz="0" w:space="0" w:color="auto"/>
      </w:divBdr>
    </w:div>
    <w:div w:id="1193374608">
      <w:bodyDiv w:val="1"/>
      <w:marLeft w:val="0"/>
      <w:marRight w:val="0"/>
      <w:marTop w:val="0"/>
      <w:marBottom w:val="0"/>
      <w:divBdr>
        <w:top w:val="none" w:sz="0" w:space="0" w:color="auto"/>
        <w:left w:val="none" w:sz="0" w:space="0" w:color="auto"/>
        <w:bottom w:val="none" w:sz="0" w:space="0" w:color="auto"/>
        <w:right w:val="none" w:sz="0" w:space="0" w:color="auto"/>
      </w:divBdr>
    </w:div>
    <w:div w:id="1302883193">
      <w:bodyDiv w:val="1"/>
      <w:marLeft w:val="0"/>
      <w:marRight w:val="0"/>
      <w:marTop w:val="0"/>
      <w:marBottom w:val="0"/>
      <w:divBdr>
        <w:top w:val="none" w:sz="0" w:space="0" w:color="auto"/>
        <w:left w:val="none" w:sz="0" w:space="0" w:color="auto"/>
        <w:bottom w:val="none" w:sz="0" w:space="0" w:color="auto"/>
        <w:right w:val="none" w:sz="0" w:space="0" w:color="auto"/>
      </w:divBdr>
    </w:div>
    <w:div w:id="1349138650">
      <w:bodyDiv w:val="1"/>
      <w:marLeft w:val="0"/>
      <w:marRight w:val="0"/>
      <w:marTop w:val="0"/>
      <w:marBottom w:val="0"/>
      <w:divBdr>
        <w:top w:val="none" w:sz="0" w:space="0" w:color="auto"/>
        <w:left w:val="none" w:sz="0" w:space="0" w:color="auto"/>
        <w:bottom w:val="none" w:sz="0" w:space="0" w:color="auto"/>
        <w:right w:val="none" w:sz="0" w:space="0" w:color="auto"/>
      </w:divBdr>
    </w:div>
    <w:div w:id="1398698554">
      <w:bodyDiv w:val="1"/>
      <w:marLeft w:val="0"/>
      <w:marRight w:val="0"/>
      <w:marTop w:val="0"/>
      <w:marBottom w:val="0"/>
      <w:divBdr>
        <w:top w:val="none" w:sz="0" w:space="0" w:color="auto"/>
        <w:left w:val="none" w:sz="0" w:space="0" w:color="auto"/>
        <w:bottom w:val="none" w:sz="0" w:space="0" w:color="auto"/>
        <w:right w:val="none" w:sz="0" w:space="0" w:color="auto"/>
      </w:divBdr>
    </w:div>
    <w:div w:id="1552113834">
      <w:bodyDiv w:val="1"/>
      <w:marLeft w:val="0"/>
      <w:marRight w:val="0"/>
      <w:marTop w:val="0"/>
      <w:marBottom w:val="0"/>
      <w:divBdr>
        <w:top w:val="none" w:sz="0" w:space="0" w:color="auto"/>
        <w:left w:val="none" w:sz="0" w:space="0" w:color="auto"/>
        <w:bottom w:val="none" w:sz="0" w:space="0" w:color="auto"/>
        <w:right w:val="none" w:sz="0" w:space="0" w:color="auto"/>
      </w:divBdr>
    </w:div>
    <w:div w:id="1568035549">
      <w:bodyDiv w:val="1"/>
      <w:marLeft w:val="0"/>
      <w:marRight w:val="0"/>
      <w:marTop w:val="0"/>
      <w:marBottom w:val="0"/>
      <w:divBdr>
        <w:top w:val="none" w:sz="0" w:space="0" w:color="auto"/>
        <w:left w:val="none" w:sz="0" w:space="0" w:color="auto"/>
        <w:bottom w:val="none" w:sz="0" w:space="0" w:color="auto"/>
        <w:right w:val="none" w:sz="0" w:space="0" w:color="auto"/>
      </w:divBdr>
    </w:div>
    <w:div w:id="1588033854">
      <w:bodyDiv w:val="1"/>
      <w:marLeft w:val="0"/>
      <w:marRight w:val="0"/>
      <w:marTop w:val="0"/>
      <w:marBottom w:val="0"/>
      <w:divBdr>
        <w:top w:val="none" w:sz="0" w:space="0" w:color="auto"/>
        <w:left w:val="none" w:sz="0" w:space="0" w:color="auto"/>
        <w:bottom w:val="none" w:sz="0" w:space="0" w:color="auto"/>
        <w:right w:val="none" w:sz="0" w:space="0" w:color="auto"/>
      </w:divBdr>
    </w:div>
    <w:div w:id="1647390258">
      <w:bodyDiv w:val="1"/>
      <w:marLeft w:val="0"/>
      <w:marRight w:val="0"/>
      <w:marTop w:val="0"/>
      <w:marBottom w:val="0"/>
      <w:divBdr>
        <w:top w:val="none" w:sz="0" w:space="0" w:color="auto"/>
        <w:left w:val="none" w:sz="0" w:space="0" w:color="auto"/>
        <w:bottom w:val="none" w:sz="0" w:space="0" w:color="auto"/>
        <w:right w:val="none" w:sz="0" w:space="0" w:color="auto"/>
      </w:divBdr>
    </w:div>
    <w:div w:id="1729302618">
      <w:bodyDiv w:val="1"/>
      <w:marLeft w:val="0"/>
      <w:marRight w:val="0"/>
      <w:marTop w:val="0"/>
      <w:marBottom w:val="0"/>
      <w:divBdr>
        <w:top w:val="none" w:sz="0" w:space="0" w:color="auto"/>
        <w:left w:val="none" w:sz="0" w:space="0" w:color="auto"/>
        <w:bottom w:val="none" w:sz="0" w:space="0" w:color="auto"/>
        <w:right w:val="none" w:sz="0" w:space="0" w:color="auto"/>
      </w:divBdr>
    </w:div>
    <w:div w:id="2045397606">
      <w:bodyDiv w:val="1"/>
      <w:marLeft w:val="0"/>
      <w:marRight w:val="0"/>
      <w:marTop w:val="0"/>
      <w:marBottom w:val="0"/>
      <w:divBdr>
        <w:top w:val="none" w:sz="0" w:space="0" w:color="auto"/>
        <w:left w:val="none" w:sz="0" w:space="0" w:color="auto"/>
        <w:bottom w:val="none" w:sz="0" w:space="0" w:color="auto"/>
        <w:right w:val="none" w:sz="0" w:space="0" w:color="auto"/>
      </w:divBdr>
    </w:div>
    <w:div w:id="20492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nins@hope.ac.uk" TargetMode="External"/><Relationship Id="rId13" Type="http://schemas.openxmlformats.org/officeDocument/2006/relationships/hyperlink" Target="http://dx.doi.org/10.1787/9789264301603-en" TargetMode="External"/><Relationship Id="rId18" Type="http://schemas.openxmlformats.org/officeDocument/2006/relationships/hyperlink" Target="https://www.gov.uk/government/speeches/hmcis-monthly-commentary-may-2016" TargetMode="External"/><Relationship Id="rId26" Type="http://schemas.openxmlformats.org/officeDocument/2006/relationships/hyperlink" Target="https://www.gov.uk/government/speeches/hmcis-monthly-commentary-may-2016"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x.doi.org/10.1787/9789264301603-en" TargetMode="External"/><Relationship Id="rId34" Type="http://schemas.openxmlformats.org/officeDocument/2006/relationships/hyperlink" Target="https://files.eric.ed.gov/fulltext/EJ1038100.pdf" TargetMode="External"/><Relationship Id="rId7" Type="http://schemas.openxmlformats.org/officeDocument/2006/relationships/endnotes" Target="endnotes.xml"/><Relationship Id="rId12" Type="http://schemas.openxmlformats.org/officeDocument/2006/relationships/hyperlink" Target="https://doi.org/10.1023/B:RISE.0000020899.42419.1c" TargetMode="External"/><Relationship Id="rId17" Type="http://schemas.openxmlformats.org/officeDocument/2006/relationships/hyperlink" Target="https://dera.ioe.ac.uk/18984/" TargetMode="External"/><Relationship Id="rId25" Type="http://schemas.openxmlformats.org/officeDocument/2006/relationships/hyperlink" Target="https://dera.ioe.ac.uk/18984/" TargetMode="External"/><Relationship Id="rId33" Type="http://schemas.openxmlformats.org/officeDocument/2006/relationships/hyperlink" Target="https://files.api.ofsted.gov.uk/v1/file/2535178" TargetMode="External"/><Relationship Id="rId38" Type="http://schemas.openxmlformats.org/officeDocument/2006/relationships/hyperlink" Target="https://www.gov.uk/government/speeches/hmcis-monthly-commentary-may-2016" TargetMode="External"/><Relationship Id="rId2" Type="http://schemas.openxmlformats.org/officeDocument/2006/relationships/numbering" Target="numbering.xml"/><Relationship Id="rId16" Type="http://schemas.openxmlformats.org/officeDocument/2006/relationships/hyperlink" Target="https://wellcome.ac.uk/sites/default/files/primary-science-is-it-missing-out-wellcome-sep14.pdf" TargetMode="External"/><Relationship Id="rId20" Type="http://schemas.openxmlformats.org/officeDocument/2006/relationships/hyperlink" Target="https://doi.org/10.1023/B:RISE.0000020899.42419.1c" TargetMode="External"/><Relationship Id="rId29" Type="http://schemas.openxmlformats.org/officeDocument/2006/relationships/hyperlink" Target="https://wellcome.ac.uk/sites/default/files/state-of-the-nation-report-of-uk-science-educatio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llcome.ac.uk/sites/default/files/state-of-the-nation-report-of-uk-science-education.pdf" TargetMode="External"/><Relationship Id="rId24" Type="http://schemas.openxmlformats.org/officeDocument/2006/relationships/hyperlink" Target="https://wellcome.ac.uk/sites/default/files/primary-science-is-it-missing-out-wellcome-sep14.pdf" TargetMode="External"/><Relationship Id="rId32" Type="http://schemas.openxmlformats.org/officeDocument/2006/relationships/hyperlink" Target="http://dx.doi.org/10.1787/9789264301603-en" TargetMode="External"/><Relationship Id="rId37" Type="http://schemas.openxmlformats.org/officeDocument/2006/relationships/hyperlink" Target="https://dera.ioe.ac.uk/1898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les.eric.ed.gov/fulltext/EJ1038100.pdf" TargetMode="External"/><Relationship Id="rId23" Type="http://schemas.openxmlformats.org/officeDocument/2006/relationships/hyperlink" Target="https://files.eric.ed.gov/fulltext/EJ1038100.pdf" TargetMode="External"/><Relationship Id="rId28" Type="http://schemas.openxmlformats.org/officeDocument/2006/relationships/hyperlink" Target="https://doi.org/10.1007/BF01807017" TargetMode="External"/><Relationship Id="rId36" Type="http://schemas.openxmlformats.org/officeDocument/2006/relationships/hyperlink" Target="https://wellcome.ac.uk/sites/default/files/primary-science-is-it-missing-out-wellcome-sep14.pdf" TargetMode="External"/><Relationship Id="rId10" Type="http://schemas.openxmlformats.org/officeDocument/2006/relationships/hyperlink" Target="https://epi.org.uk/wp-content/uploads/2017/08/Closing-the-Gap_EPI-.pdf" TargetMode="External"/><Relationship Id="rId19" Type="http://schemas.openxmlformats.org/officeDocument/2006/relationships/hyperlink" Target="https://wellcome.ac.uk/sites/default/files/state-of-the-nation-report-of-uk-science-education.pdf" TargetMode="External"/><Relationship Id="rId31" Type="http://schemas.openxmlformats.org/officeDocument/2006/relationships/hyperlink" Target="https://ictlogy.net/bibliography/reports/contacts.php?idc=108" TargetMode="External"/><Relationship Id="rId4" Type="http://schemas.openxmlformats.org/officeDocument/2006/relationships/settings" Target="settings.xml"/><Relationship Id="rId9" Type="http://schemas.openxmlformats.org/officeDocument/2006/relationships/hyperlink" Target="http://www.nuffieldfoundation.org/sites/default/files/files/Within-school%20allocations%20of%20maths%20teachers%20to%20pupils_v_FINAL.pdf" TargetMode="External"/><Relationship Id="rId14" Type="http://schemas.openxmlformats.org/officeDocument/2006/relationships/hyperlink" Target="https://files.api.ofsted.gov.uk/v1/file/2535178" TargetMode="External"/><Relationship Id="rId22" Type="http://schemas.openxmlformats.org/officeDocument/2006/relationships/hyperlink" Target="https://files.api.ofsted.gov.uk/v1/file/2535178" TargetMode="External"/><Relationship Id="rId27" Type="http://schemas.openxmlformats.org/officeDocument/2006/relationships/hyperlink" Target="https://epi.org.uk/wp-content/uploads/2017/08/Closing-the-Gap_EPI-.pdf" TargetMode="External"/><Relationship Id="rId30" Type="http://schemas.openxmlformats.org/officeDocument/2006/relationships/hyperlink" Target="https://doi.org/10.1023/B:RISE.0000020899.42419.1c" TargetMode="External"/><Relationship Id="rId35" Type="http://schemas.openxmlformats.org/officeDocument/2006/relationships/hyperlink" Target="https://doi.org/10.1080/09650792.2020.17651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ok\Documents\Publications%20in%20Prep\Hope%20Challenge\Science%20paper\EARJ%20submission%20copies\TF_Template_Word_Windows_2010\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6BCE-15DE-47E5-A1C3-611D16BF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TF_Template_Word_Windows_2010.dotx</Template>
  <TotalTime>0</TotalTime>
  <Pages>43</Pages>
  <Words>11526</Words>
  <Characters>65703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77075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subject/>
  <dc:creator>Tina Cook</dc:creator>
  <cp:keywords/>
  <dc:description/>
  <cp:lastModifiedBy>Philippa Williams </cp:lastModifiedBy>
  <cp:revision>2</cp:revision>
  <cp:lastPrinted>2020-06-10T15:14:00Z</cp:lastPrinted>
  <dcterms:created xsi:type="dcterms:W3CDTF">2021-10-27T10:59:00Z</dcterms:created>
  <dcterms:modified xsi:type="dcterms:W3CDTF">2021-10-27T10:59:00Z</dcterms:modified>
</cp:coreProperties>
</file>