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CA7D" w14:textId="730FB912" w:rsidR="00783A69" w:rsidRDefault="0039344F" w:rsidP="00AE6CB9">
      <w:pPr>
        <w:spacing w:line="360" w:lineRule="auto"/>
        <w:jc w:val="center"/>
        <w:rPr>
          <w:b/>
          <w:sz w:val="28"/>
          <w:szCs w:val="28"/>
        </w:rPr>
      </w:pPr>
      <w:r>
        <w:rPr>
          <w:b/>
          <w:sz w:val="28"/>
          <w:szCs w:val="28"/>
        </w:rPr>
        <w:t>The Administration of Justice in Victorian Cheshire, 1840-</w:t>
      </w:r>
      <w:r w:rsidR="008A6514">
        <w:rPr>
          <w:b/>
          <w:sz w:val="28"/>
          <w:szCs w:val="28"/>
        </w:rPr>
        <w:t>9</w:t>
      </w:r>
      <w:r>
        <w:rPr>
          <w:b/>
          <w:sz w:val="28"/>
          <w:szCs w:val="28"/>
        </w:rPr>
        <w:t>0</w:t>
      </w:r>
      <w:r w:rsidR="00783A69">
        <w:rPr>
          <w:b/>
          <w:sz w:val="28"/>
          <w:szCs w:val="28"/>
        </w:rPr>
        <w:t xml:space="preserve">: </w:t>
      </w:r>
    </w:p>
    <w:p w14:paraId="076CBB76" w14:textId="53F4BB73" w:rsidR="00AE6CB9" w:rsidRDefault="00783A69" w:rsidP="00AE6CB9">
      <w:pPr>
        <w:spacing w:line="360" w:lineRule="auto"/>
        <w:jc w:val="center"/>
        <w:rPr>
          <w:b/>
          <w:sz w:val="28"/>
          <w:szCs w:val="28"/>
        </w:rPr>
      </w:pPr>
      <w:r>
        <w:rPr>
          <w:b/>
          <w:sz w:val="28"/>
          <w:szCs w:val="28"/>
        </w:rPr>
        <w:t>A Quantitative Survey</w:t>
      </w:r>
      <w:r w:rsidR="00303CD7">
        <w:rPr>
          <w:b/>
          <w:sz w:val="28"/>
          <w:szCs w:val="28"/>
        </w:rPr>
        <w:t xml:space="preserve"> </w:t>
      </w:r>
    </w:p>
    <w:p w14:paraId="1A06B580" w14:textId="6490F103" w:rsidR="0039344F" w:rsidRDefault="0039344F" w:rsidP="00AE6CB9">
      <w:pPr>
        <w:spacing w:line="360" w:lineRule="auto"/>
        <w:rPr>
          <w:sz w:val="28"/>
          <w:szCs w:val="28"/>
        </w:rPr>
      </w:pPr>
    </w:p>
    <w:p w14:paraId="277ADA88" w14:textId="2F1E5019" w:rsidR="004C1742" w:rsidRDefault="004C1742" w:rsidP="00AE6CB9">
      <w:pPr>
        <w:spacing w:line="360" w:lineRule="auto"/>
        <w:rPr>
          <w:sz w:val="28"/>
          <w:szCs w:val="28"/>
        </w:rPr>
      </w:pPr>
    </w:p>
    <w:p w14:paraId="38F3ADDE" w14:textId="1459B11A" w:rsidR="004C1742" w:rsidRPr="004C1742" w:rsidRDefault="004C1742" w:rsidP="00AE6CB9">
      <w:pPr>
        <w:spacing w:line="360" w:lineRule="auto"/>
        <w:rPr>
          <w:b/>
          <w:bCs/>
          <w:color w:val="FF0000"/>
          <w:sz w:val="28"/>
          <w:szCs w:val="28"/>
        </w:rPr>
      </w:pPr>
      <w:r w:rsidRPr="004C1742">
        <w:rPr>
          <w:b/>
          <w:bCs/>
          <w:color w:val="FF0000"/>
          <w:sz w:val="28"/>
          <w:szCs w:val="28"/>
        </w:rPr>
        <w:t xml:space="preserve">John </w:t>
      </w:r>
      <w:proofErr w:type="spellStart"/>
      <w:r w:rsidRPr="004C1742">
        <w:rPr>
          <w:b/>
          <w:bCs/>
          <w:color w:val="FF0000"/>
          <w:sz w:val="28"/>
          <w:szCs w:val="28"/>
        </w:rPr>
        <w:t>Walliss</w:t>
      </w:r>
      <w:proofErr w:type="spellEnd"/>
    </w:p>
    <w:p w14:paraId="4FEBE865" w14:textId="283F3C24" w:rsidR="004C1742" w:rsidRDefault="004C1742" w:rsidP="00AE6CB9">
      <w:pPr>
        <w:spacing w:line="360" w:lineRule="auto"/>
        <w:rPr>
          <w:sz w:val="28"/>
          <w:szCs w:val="28"/>
        </w:rPr>
      </w:pPr>
    </w:p>
    <w:p w14:paraId="1CF2F591" w14:textId="77777777" w:rsidR="004C1742" w:rsidRDefault="004C1742" w:rsidP="00AE6CB9">
      <w:pPr>
        <w:spacing w:line="360" w:lineRule="auto"/>
        <w:rPr>
          <w:sz w:val="28"/>
          <w:szCs w:val="28"/>
        </w:rPr>
      </w:pPr>
    </w:p>
    <w:p w14:paraId="4DBFCF94" w14:textId="4F37E20B" w:rsidR="00303CD7" w:rsidRDefault="006D6FEF" w:rsidP="00AE6CB9">
      <w:pPr>
        <w:spacing w:line="360" w:lineRule="auto"/>
        <w:rPr>
          <w:b/>
          <w:sz w:val="28"/>
          <w:szCs w:val="28"/>
        </w:rPr>
      </w:pPr>
      <w:r>
        <w:rPr>
          <w:b/>
          <w:sz w:val="28"/>
          <w:szCs w:val="28"/>
        </w:rPr>
        <w:t>Abstract</w:t>
      </w:r>
    </w:p>
    <w:p w14:paraId="6D2F5B72" w14:textId="0149B79A" w:rsidR="00EC39E0" w:rsidRDefault="000F1179" w:rsidP="00EC39E0">
      <w:pPr>
        <w:spacing w:line="360" w:lineRule="auto"/>
        <w:jc w:val="both"/>
      </w:pPr>
      <w:r w:rsidRPr="000F1179">
        <w:rPr>
          <w:color w:val="FF0000"/>
        </w:rPr>
        <w:t xml:space="preserve">This article </w:t>
      </w:r>
      <w:r w:rsidR="00EC39E0" w:rsidRPr="000F1179">
        <w:rPr>
          <w:color w:val="FF0000"/>
        </w:rPr>
        <w:t>present</w:t>
      </w:r>
      <w:r w:rsidRPr="000F1179">
        <w:rPr>
          <w:color w:val="FF0000"/>
        </w:rPr>
        <w:t>s</w:t>
      </w:r>
      <w:r w:rsidR="00EC39E0" w:rsidRPr="000F1179">
        <w:rPr>
          <w:color w:val="FF0000"/>
        </w:rPr>
        <w:t xml:space="preserve"> </w:t>
      </w:r>
      <w:r w:rsidR="00EC39E0">
        <w:t xml:space="preserve">a quantitative survey of the administration of justice in Cheshire between 1840 and 1890. Drawing on a sample of 33,000 cases from assizes and quarter sessions as well as more infrequent </w:t>
      </w:r>
      <w:r w:rsidR="0049322D" w:rsidRPr="0049322D">
        <w:rPr>
          <w:color w:val="FF0000"/>
        </w:rPr>
        <w:t>quarter</w:t>
      </w:r>
      <w:r w:rsidR="0049322D">
        <w:t xml:space="preserve"> </w:t>
      </w:r>
      <w:r w:rsidR="00EC39E0">
        <w:t xml:space="preserve">sessions across the county, </w:t>
      </w:r>
      <w:r w:rsidRPr="000F1179">
        <w:rPr>
          <w:color w:val="FF0000"/>
        </w:rPr>
        <w:t xml:space="preserve">it </w:t>
      </w:r>
      <w:r w:rsidR="00EC39E0" w:rsidRPr="000F1179">
        <w:rPr>
          <w:color w:val="FF0000"/>
        </w:rPr>
        <w:t>explore</w:t>
      </w:r>
      <w:r w:rsidRPr="000F1179">
        <w:rPr>
          <w:color w:val="FF0000"/>
        </w:rPr>
        <w:t>s</w:t>
      </w:r>
      <w:r w:rsidR="00EC39E0" w:rsidRPr="000F1179">
        <w:rPr>
          <w:color w:val="FF0000"/>
        </w:rPr>
        <w:t xml:space="preserve"> </w:t>
      </w:r>
      <w:r w:rsidR="00EC39E0">
        <w:t xml:space="preserve">broad patterns in committals, prosecutions and sentencing over the fifty-year period. To this end, the article will be structured so as to follow defendants’ route through the criminal justice process, from committal through prosecution to sentencing. </w:t>
      </w:r>
      <w:r w:rsidRPr="000F1179">
        <w:rPr>
          <w:color w:val="FF0000"/>
        </w:rPr>
        <w:t xml:space="preserve">The final section of the article will then </w:t>
      </w:r>
      <w:r w:rsidR="00EC39E0">
        <w:t xml:space="preserve">explore the differing patterns of each as it pertained to the sex of the accused. </w:t>
      </w:r>
    </w:p>
    <w:p w14:paraId="32E5406C" w14:textId="77777777" w:rsidR="00EC39E0" w:rsidRDefault="00EC39E0" w:rsidP="00AE6CB9">
      <w:pPr>
        <w:spacing w:line="360" w:lineRule="auto"/>
        <w:rPr>
          <w:b/>
          <w:sz w:val="28"/>
          <w:szCs w:val="28"/>
        </w:rPr>
      </w:pPr>
    </w:p>
    <w:p w14:paraId="1FE52C87" w14:textId="77777777" w:rsidR="00EC39E0" w:rsidRDefault="00EC39E0" w:rsidP="00AE6CB9">
      <w:pPr>
        <w:spacing w:line="360" w:lineRule="auto"/>
        <w:rPr>
          <w:b/>
          <w:sz w:val="28"/>
          <w:szCs w:val="28"/>
        </w:rPr>
      </w:pPr>
    </w:p>
    <w:p w14:paraId="35EA00D9" w14:textId="77777777" w:rsidR="00EC39E0" w:rsidRDefault="00EC39E0" w:rsidP="00AE6CB9">
      <w:pPr>
        <w:spacing w:line="360" w:lineRule="auto"/>
        <w:rPr>
          <w:b/>
          <w:sz w:val="28"/>
          <w:szCs w:val="28"/>
        </w:rPr>
      </w:pPr>
    </w:p>
    <w:p w14:paraId="359506DC" w14:textId="77777777" w:rsidR="006D6FEF" w:rsidRDefault="006D6FEF" w:rsidP="006D6FEF">
      <w:pPr>
        <w:spacing w:line="360" w:lineRule="auto"/>
        <w:jc w:val="both"/>
        <w:rPr>
          <w:b/>
          <w:sz w:val="28"/>
          <w:szCs w:val="28"/>
        </w:rPr>
      </w:pPr>
      <w:r>
        <w:rPr>
          <w:b/>
          <w:sz w:val="28"/>
          <w:szCs w:val="28"/>
        </w:rPr>
        <w:t>Brief Biography</w:t>
      </w:r>
    </w:p>
    <w:p w14:paraId="2AD163B9" w14:textId="55F4B3A9" w:rsidR="006D6FEF" w:rsidRPr="006D6FEF" w:rsidRDefault="006D6FEF" w:rsidP="006D6FEF">
      <w:pPr>
        <w:spacing w:line="360" w:lineRule="auto"/>
        <w:jc w:val="both"/>
        <w:rPr>
          <w:sz w:val="28"/>
          <w:szCs w:val="28"/>
        </w:rPr>
      </w:pPr>
      <w:r w:rsidRPr="006D6FEF">
        <w:t xml:space="preserve">Dr John </w:t>
      </w:r>
      <w:proofErr w:type="spellStart"/>
      <w:r w:rsidRPr="006D6FEF">
        <w:t>Walliss</w:t>
      </w:r>
      <w:proofErr w:type="spellEnd"/>
      <w:r w:rsidRPr="006D6FEF">
        <w:t xml:space="preserve"> is senior lecturer in Criminology, Liverpool Hope University.</w:t>
      </w:r>
      <w:r w:rsidRPr="006D6FEF">
        <w:rPr>
          <w:sz w:val="28"/>
          <w:szCs w:val="28"/>
        </w:rPr>
        <w:t xml:space="preserve"> </w:t>
      </w:r>
    </w:p>
    <w:p w14:paraId="58CF2697" w14:textId="77777777" w:rsidR="006D6FEF" w:rsidRDefault="006D6FEF">
      <w:pPr>
        <w:rPr>
          <w:b/>
          <w:sz w:val="28"/>
          <w:szCs w:val="28"/>
        </w:rPr>
      </w:pPr>
      <w:r>
        <w:rPr>
          <w:b/>
          <w:sz w:val="28"/>
          <w:szCs w:val="28"/>
        </w:rPr>
        <w:br w:type="page"/>
      </w:r>
    </w:p>
    <w:p w14:paraId="5BA61116" w14:textId="77777777" w:rsidR="006D6FEF" w:rsidRDefault="006D6FEF" w:rsidP="006D6FEF">
      <w:pPr>
        <w:spacing w:line="360" w:lineRule="auto"/>
        <w:jc w:val="center"/>
        <w:rPr>
          <w:b/>
          <w:sz w:val="28"/>
          <w:szCs w:val="28"/>
        </w:rPr>
      </w:pPr>
      <w:r>
        <w:rPr>
          <w:b/>
          <w:sz w:val="28"/>
          <w:szCs w:val="28"/>
        </w:rPr>
        <w:lastRenderedPageBreak/>
        <w:t xml:space="preserve">The Administration of Justice in Victorian Cheshire, 1840-90: </w:t>
      </w:r>
    </w:p>
    <w:p w14:paraId="0CEA57C8" w14:textId="77777777" w:rsidR="006D6FEF" w:rsidRDefault="006D6FEF" w:rsidP="006D6FEF">
      <w:pPr>
        <w:spacing w:line="360" w:lineRule="auto"/>
        <w:jc w:val="center"/>
        <w:rPr>
          <w:b/>
          <w:sz w:val="28"/>
          <w:szCs w:val="28"/>
        </w:rPr>
      </w:pPr>
      <w:r>
        <w:rPr>
          <w:b/>
          <w:sz w:val="28"/>
          <w:szCs w:val="28"/>
        </w:rPr>
        <w:t xml:space="preserve">A Quantitative Survey </w:t>
      </w:r>
    </w:p>
    <w:p w14:paraId="793404B8" w14:textId="2FC36FE7" w:rsidR="006D6FEF" w:rsidRDefault="006D6FEF" w:rsidP="00AE6CB9">
      <w:pPr>
        <w:spacing w:line="360" w:lineRule="auto"/>
        <w:rPr>
          <w:b/>
          <w:sz w:val="28"/>
          <w:szCs w:val="28"/>
        </w:rPr>
      </w:pPr>
    </w:p>
    <w:p w14:paraId="77A8BB8B" w14:textId="1F2FC067" w:rsidR="004C1742" w:rsidRDefault="004C1742" w:rsidP="00AE6CB9">
      <w:pPr>
        <w:spacing w:line="360" w:lineRule="auto"/>
        <w:rPr>
          <w:b/>
          <w:sz w:val="28"/>
          <w:szCs w:val="28"/>
        </w:rPr>
      </w:pPr>
    </w:p>
    <w:p w14:paraId="05F50178" w14:textId="09CFB4CA" w:rsidR="004C1742" w:rsidRPr="004C1742" w:rsidRDefault="004C1742" w:rsidP="00AE6CB9">
      <w:pPr>
        <w:spacing w:line="360" w:lineRule="auto"/>
        <w:rPr>
          <w:b/>
          <w:color w:val="FF0000"/>
          <w:sz w:val="28"/>
          <w:szCs w:val="28"/>
        </w:rPr>
      </w:pPr>
      <w:r w:rsidRPr="004C1742">
        <w:rPr>
          <w:b/>
          <w:color w:val="FF0000"/>
          <w:sz w:val="28"/>
          <w:szCs w:val="28"/>
        </w:rPr>
        <w:t xml:space="preserve">John </w:t>
      </w:r>
      <w:proofErr w:type="spellStart"/>
      <w:r w:rsidRPr="004C1742">
        <w:rPr>
          <w:b/>
          <w:color w:val="FF0000"/>
          <w:sz w:val="28"/>
          <w:szCs w:val="28"/>
        </w:rPr>
        <w:t>Walliss</w:t>
      </w:r>
      <w:proofErr w:type="spellEnd"/>
    </w:p>
    <w:p w14:paraId="15363E85" w14:textId="0057596B" w:rsidR="006D6FEF" w:rsidRDefault="006D6FEF" w:rsidP="00AE6CB9">
      <w:pPr>
        <w:spacing w:line="360" w:lineRule="auto"/>
        <w:rPr>
          <w:b/>
          <w:sz w:val="28"/>
          <w:szCs w:val="28"/>
        </w:rPr>
      </w:pPr>
    </w:p>
    <w:p w14:paraId="320DFB8B" w14:textId="77777777" w:rsidR="004C1742" w:rsidRDefault="004C1742" w:rsidP="00AE6CB9">
      <w:pPr>
        <w:spacing w:line="360" w:lineRule="auto"/>
        <w:rPr>
          <w:b/>
          <w:sz w:val="28"/>
          <w:szCs w:val="28"/>
        </w:rPr>
      </w:pPr>
    </w:p>
    <w:p w14:paraId="2435B24B" w14:textId="279D4E3C" w:rsidR="0039344F" w:rsidRDefault="0039344F" w:rsidP="00AE6CB9">
      <w:pPr>
        <w:spacing w:line="360" w:lineRule="auto"/>
        <w:rPr>
          <w:b/>
          <w:sz w:val="28"/>
          <w:szCs w:val="28"/>
        </w:rPr>
      </w:pPr>
      <w:r>
        <w:rPr>
          <w:b/>
          <w:sz w:val="28"/>
          <w:szCs w:val="28"/>
        </w:rPr>
        <w:t>Introduction</w:t>
      </w:r>
    </w:p>
    <w:p w14:paraId="28AEC800" w14:textId="77777777" w:rsidR="000D4B04" w:rsidRDefault="000D4B04" w:rsidP="00AE6CB9">
      <w:pPr>
        <w:spacing w:line="360" w:lineRule="auto"/>
      </w:pPr>
    </w:p>
    <w:p w14:paraId="1B634F81" w14:textId="0038FC85" w:rsidR="00CA2084" w:rsidRPr="00CE065E" w:rsidRDefault="00681EB1" w:rsidP="00904D87">
      <w:pPr>
        <w:spacing w:line="360" w:lineRule="auto"/>
        <w:jc w:val="both"/>
        <w:rPr>
          <w:color w:val="FF0000"/>
        </w:rPr>
      </w:pPr>
      <w:r>
        <w:t xml:space="preserve">In a recent article published in this journal, </w:t>
      </w:r>
      <w:r w:rsidR="00087B72" w:rsidRPr="00087B72">
        <w:rPr>
          <w:color w:val="FF0000"/>
        </w:rPr>
        <w:t>the author</w:t>
      </w:r>
      <w:r w:rsidRPr="00087B72">
        <w:rPr>
          <w:color w:val="FF0000"/>
        </w:rPr>
        <w:t xml:space="preserve"> </w:t>
      </w:r>
      <w:r>
        <w:t>explored the administration of justice in Cheshire during the first three decades of the nineteenth century.</w:t>
      </w:r>
      <w:r w:rsidR="00CA2084">
        <w:rPr>
          <w:rStyle w:val="FootnoteReference"/>
        </w:rPr>
        <w:footnoteReference w:id="1"/>
      </w:r>
      <w:r w:rsidR="00CA2084">
        <w:t xml:space="preserve"> Focusing on the Chester Court of Great Sessions</w:t>
      </w:r>
      <w:r w:rsidR="007B0583">
        <w:t xml:space="preserve"> </w:t>
      </w:r>
      <w:r w:rsidR="007B0583" w:rsidRPr="007B0583">
        <w:rPr>
          <w:color w:val="FF0000"/>
        </w:rPr>
        <w:t>(the equivalent of the assize court in other English counties)</w:t>
      </w:r>
      <w:r w:rsidR="00CA2084">
        <w:t xml:space="preserve">, </w:t>
      </w:r>
      <w:r w:rsidR="00087B72" w:rsidRPr="00087B72">
        <w:rPr>
          <w:color w:val="FF0000"/>
        </w:rPr>
        <w:t xml:space="preserve">the article </w:t>
      </w:r>
      <w:r w:rsidR="00CA2084">
        <w:t xml:space="preserve">outlined the broad trends in what </w:t>
      </w:r>
      <w:r w:rsidR="00B31E30" w:rsidRPr="00B31E30">
        <w:rPr>
          <w:color w:val="FF0000"/>
        </w:rPr>
        <w:t>were</w:t>
      </w:r>
      <w:r w:rsidR="00B31E30">
        <w:t xml:space="preserve"> </w:t>
      </w:r>
      <w:r w:rsidR="00CA2084">
        <w:t xml:space="preserve">the final decades of the so-called Bloody Code of the long eighteenth century. </w:t>
      </w:r>
      <w:r w:rsidR="00087B72" w:rsidRPr="00087B72">
        <w:rPr>
          <w:color w:val="FF0000"/>
        </w:rPr>
        <w:t xml:space="preserve">The intention of the present article is to extend </w:t>
      </w:r>
      <w:r w:rsidR="00C73875">
        <w:rPr>
          <w:color w:val="FF0000"/>
        </w:rPr>
        <w:t>this analysis</w:t>
      </w:r>
      <w:r w:rsidR="00087B72" w:rsidRPr="00087B72">
        <w:rPr>
          <w:color w:val="FF0000"/>
        </w:rPr>
        <w:t xml:space="preserve"> by</w:t>
      </w:r>
      <w:r w:rsidR="00087B72">
        <w:t xml:space="preserve"> </w:t>
      </w:r>
      <w:r w:rsidR="00CA2084">
        <w:t xml:space="preserve">presenting a quantitative </w:t>
      </w:r>
      <w:r w:rsidR="007B0583" w:rsidRPr="007B0583">
        <w:rPr>
          <w:color w:val="FF0000"/>
        </w:rPr>
        <w:t xml:space="preserve">and comparative </w:t>
      </w:r>
      <w:r w:rsidR="00CA2084">
        <w:t>survey of the administration of justice in Victorian Cheshire</w:t>
      </w:r>
      <w:r w:rsidR="00C73875">
        <w:t xml:space="preserve"> </w:t>
      </w:r>
      <w:r w:rsidR="00C73875" w:rsidRPr="00C73875">
        <w:rPr>
          <w:color w:val="FF0000"/>
        </w:rPr>
        <w:t>(1840-90)</w:t>
      </w:r>
      <w:r w:rsidR="00CA2084">
        <w:t>. To date, crime, criminality and the administration of justice in Victorian Cheshire are relatively neglected areas of scholarly interest. Whereas a small number of monographs and articles have focused on the early modern and Georgian periods, comparatively little has been published on the second half of the nineteenth century.</w:t>
      </w:r>
      <w:r w:rsidR="00CA2084">
        <w:rPr>
          <w:rStyle w:val="FootnoteReference"/>
        </w:rPr>
        <w:footnoteReference w:id="2"/>
      </w:r>
      <w:r w:rsidR="00CA2084">
        <w:t xml:space="preserve"> Maryse Tennant has published an article on the </w:t>
      </w:r>
      <w:r w:rsidR="00CA2084">
        <w:lastRenderedPageBreak/>
        <w:t>development of policing in the county (based on her 2010 PhD thesis</w:t>
      </w:r>
      <w:r w:rsidR="00CA2084" w:rsidRPr="00122F24">
        <w:t>), while Barry Godfrey and his colleagues have published two monographs</w:t>
      </w:r>
      <w:r w:rsidR="00A87D4A">
        <w:t xml:space="preserve">, </w:t>
      </w:r>
      <w:r w:rsidR="00A87D4A" w:rsidRPr="00A87D4A">
        <w:rPr>
          <w:color w:val="FF0000"/>
        </w:rPr>
        <w:t xml:space="preserve">one of which focuses </w:t>
      </w:r>
      <w:r w:rsidR="00A87D4A">
        <w:rPr>
          <w:color w:val="FF0000"/>
        </w:rPr>
        <w:t xml:space="preserve">on a cohort of offenders who appeared before the Crewe petty sessions from the </w:t>
      </w:r>
      <w:r w:rsidR="00A87D4A" w:rsidRPr="00A87D4A">
        <w:rPr>
          <w:color w:val="FF0000"/>
        </w:rPr>
        <w:t xml:space="preserve">late-nineteenth to mid-twentieth centuries, while the other </w:t>
      </w:r>
      <w:r w:rsidR="00CE065E">
        <w:rPr>
          <w:color w:val="FF0000"/>
        </w:rPr>
        <w:t>focuses on habitual criminals in the north-west of England more broadly from the mid-nineteenth to the mid-twentieth century</w:t>
      </w:r>
      <w:r w:rsidR="00CA2084" w:rsidRPr="00122F24">
        <w:t>.</w:t>
      </w:r>
      <w:r w:rsidR="00CA2084" w:rsidRPr="00122F24">
        <w:rPr>
          <w:rStyle w:val="FootnoteReference"/>
        </w:rPr>
        <w:footnoteReference w:id="3"/>
      </w:r>
      <w:r w:rsidR="00CA2084" w:rsidRPr="00122F24">
        <w:t xml:space="preserve"> </w:t>
      </w:r>
    </w:p>
    <w:p w14:paraId="133964CE" w14:textId="77777777" w:rsidR="00CA2084" w:rsidRDefault="00CA2084" w:rsidP="00AE6CB9">
      <w:pPr>
        <w:spacing w:line="360" w:lineRule="auto"/>
      </w:pPr>
    </w:p>
    <w:p w14:paraId="035E17D4" w14:textId="695D2CF6" w:rsidR="00CA2084" w:rsidRDefault="00CA2084" w:rsidP="00AE5C91">
      <w:pPr>
        <w:spacing w:line="360" w:lineRule="auto"/>
        <w:jc w:val="both"/>
      </w:pPr>
      <w:r>
        <w:tab/>
      </w:r>
      <w:r w:rsidRPr="00CE065E">
        <w:rPr>
          <w:color w:val="FF0000"/>
        </w:rPr>
        <w:t xml:space="preserve">Whereas </w:t>
      </w:r>
      <w:r w:rsidR="00CE065E" w:rsidRPr="00CE065E">
        <w:rPr>
          <w:color w:val="FF0000"/>
        </w:rPr>
        <w:t xml:space="preserve">the earlier article focused exclusively on the Chester Court of Great Sessions, </w:t>
      </w:r>
      <w:r w:rsidR="00C73875">
        <w:rPr>
          <w:color w:val="FF0000"/>
        </w:rPr>
        <w:t>this article</w:t>
      </w:r>
      <w:r w:rsidR="00CE065E" w:rsidRPr="00CE065E">
        <w:rPr>
          <w:color w:val="FF0000"/>
        </w:rPr>
        <w:t xml:space="preserve"> will </w:t>
      </w:r>
      <w:r w:rsidR="00CE065E">
        <w:t xml:space="preserve">explore </w:t>
      </w:r>
      <w:r>
        <w:t xml:space="preserve">the administration of justice in </w:t>
      </w:r>
      <w:r w:rsidR="00B31E30" w:rsidRPr="00B31E30">
        <w:rPr>
          <w:color w:val="FF0000"/>
        </w:rPr>
        <w:t>both</w:t>
      </w:r>
      <w:r w:rsidR="00B31E30">
        <w:t xml:space="preserve"> </w:t>
      </w:r>
      <w:r>
        <w:t>the county assizes that replaced them in 1830</w:t>
      </w:r>
      <w:r w:rsidR="00B31E30">
        <w:t xml:space="preserve"> </w:t>
      </w:r>
      <w:r w:rsidR="00B31E30" w:rsidRPr="00B31E30">
        <w:rPr>
          <w:color w:val="FF0000"/>
        </w:rPr>
        <w:t>and</w:t>
      </w:r>
      <w:r>
        <w:t xml:space="preserve"> county</w:t>
      </w:r>
      <w:r w:rsidR="00CE065E">
        <w:t xml:space="preserve"> and </w:t>
      </w:r>
      <w:r>
        <w:t xml:space="preserve">city quarter sessions </w:t>
      </w:r>
      <w:r w:rsidR="00CE065E" w:rsidRPr="00CE065E">
        <w:rPr>
          <w:color w:val="FF0000"/>
        </w:rPr>
        <w:t>(as well as more infrequent sessions such as the 1842 Special Session and Birkenhead Quarter Sessions from 1882 onwards)</w:t>
      </w:r>
      <w:r w:rsidR="00CE065E">
        <w:t xml:space="preserve">. </w:t>
      </w:r>
      <w:r w:rsidR="00AE5C91" w:rsidRPr="00AE5C91">
        <w:rPr>
          <w:color w:val="FF0000"/>
        </w:rPr>
        <w:t xml:space="preserve">However, it’s approach will be similar: that is to say, </w:t>
      </w:r>
      <w:r>
        <w:t>quantitative in nature</w:t>
      </w:r>
      <w:r w:rsidR="007B0583">
        <w:t xml:space="preserve"> </w:t>
      </w:r>
      <w:r w:rsidR="007B0583" w:rsidRPr="007B0583">
        <w:rPr>
          <w:color w:val="FF0000"/>
        </w:rPr>
        <w:t>and comparative in scope</w:t>
      </w:r>
      <w:r>
        <w:t xml:space="preserve">, focusing on broad patterns in committals, prosecutions and sentencing over the fifty-year period. To this end, the article will again be structured so as to follow </w:t>
      </w:r>
      <w:r w:rsidR="00C73875" w:rsidRPr="00C73875">
        <w:rPr>
          <w:color w:val="FF0000"/>
        </w:rPr>
        <w:t>accused</w:t>
      </w:r>
      <w:r w:rsidRPr="00C73875">
        <w:rPr>
          <w:color w:val="FF0000"/>
        </w:rPr>
        <w:t>’</w:t>
      </w:r>
      <w:r w:rsidR="00C73875" w:rsidRPr="00C73875">
        <w:rPr>
          <w:color w:val="FF0000"/>
        </w:rPr>
        <w:t>s</w:t>
      </w:r>
      <w:r>
        <w:t xml:space="preserve"> route through the criminal justice process. </w:t>
      </w:r>
      <w:r w:rsidR="00AE5C91" w:rsidRPr="00AE5C91">
        <w:rPr>
          <w:color w:val="FF0000"/>
        </w:rPr>
        <w:t xml:space="preserve">The first section will explore </w:t>
      </w:r>
      <w:r>
        <w:t xml:space="preserve">the pattern of commitments over the period, focusing on how a combination of socio-cultural factors and changes in the administration of justice affected the number </w:t>
      </w:r>
      <w:r>
        <w:lastRenderedPageBreak/>
        <w:t xml:space="preserve">of persons committed for trial. </w:t>
      </w:r>
      <w:r w:rsidR="004F5E67" w:rsidRPr="004F5E67">
        <w:rPr>
          <w:color w:val="FF0000"/>
        </w:rPr>
        <w:t xml:space="preserve">The article will then </w:t>
      </w:r>
      <w:r>
        <w:t xml:space="preserve">discuss the types of offences for which men and women found themselves on trial and the outcomes of the trials: the verdicts handed down and sentences passed on those found guilty. Having outlined the broad patterns in committals, prosecution and sentencing, </w:t>
      </w:r>
      <w:r w:rsidR="004F5E67" w:rsidRPr="004F5E67">
        <w:rPr>
          <w:color w:val="FF0000"/>
        </w:rPr>
        <w:t xml:space="preserve">the article will then </w:t>
      </w:r>
      <w:r>
        <w:t xml:space="preserve">finally, explore the differing patterns of each as it pertained to the sex of the accused. </w:t>
      </w:r>
    </w:p>
    <w:p w14:paraId="5D8FF832" w14:textId="77777777" w:rsidR="00CA2084" w:rsidRDefault="00CA2084" w:rsidP="006A60F8">
      <w:pPr>
        <w:spacing w:line="360" w:lineRule="auto"/>
        <w:jc w:val="both"/>
      </w:pPr>
    </w:p>
    <w:p w14:paraId="5B258668" w14:textId="11BB6C9F" w:rsidR="00CA2084" w:rsidRDefault="00CA2084" w:rsidP="00A00612">
      <w:pPr>
        <w:spacing w:line="360" w:lineRule="auto"/>
        <w:jc w:val="both"/>
      </w:pPr>
      <w:r>
        <w:tab/>
        <w:t xml:space="preserve">As </w:t>
      </w:r>
      <w:r w:rsidR="00B31E30" w:rsidRPr="00B31E30">
        <w:rPr>
          <w:color w:val="FF0000"/>
        </w:rPr>
        <w:t>in the earlier article</w:t>
      </w:r>
      <w:r>
        <w:t>, t</w:t>
      </w:r>
      <w:r w:rsidRPr="003A45F5">
        <w:t xml:space="preserve">he </w:t>
      </w:r>
      <w:r>
        <w:t>sources</w:t>
      </w:r>
      <w:r w:rsidRPr="003A45F5">
        <w:t xml:space="preserve"> that form the basis of </w:t>
      </w:r>
      <w:r w:rsidR="00B31E30" w:rsidRPr="00B31E30">
        <w:rPr>
          <w:color w:val="FF0000"/>
        </w:rPr>
        <w:t>the</w:t>
      </w:r>
      <w:r w:rsidR="00B31E30">
        <w:t xml:space="preserve"> </w:t>
      </w:r>
      <w:r w:rsidRPr="003A45F5">
        <w:t xml:space="preserve">analysis are the Criminal Registers for the </w:t>
      </w:r>
      <w:r>
        <w:t>Cheshire courts for the years 1840 to 1890.</w:t>
      </w:r>
      <w:r>
        <w:rPr>
          <w:rStyle w:val="FootnoteReference"/>
        </w:rPr>
        <w:footnoteReference w:id="4"/>
      </w:r>
      <w:r>
        <w:t xml:space="preserve"> </w:t>
      </w:r>
      <w:r w:rsidRPr="003A45F5">
        <w:t>Historians have long cautioned against</w:t>
      </w:r>
      <w:r>
        <w:t xml:space="preserve"> </w:t>
      </w:r>
      <w:r w:rsidRPr="003A45F5">
        <w:t>both the uncritical reading of judicial records as a measure of crime in the past, as well</w:t>
      </w:r>
      <w:r>
        <w:t xml:space="preserve"> </w:t>
      </w:r>
      <w:r w:rsidRPr="003A45F5">
        <w:t>as highlighting problems with the accuracy and reliability of some of the information</w:t>
      </w:r>
      <w:r>
        <w:t xml:space="preserve"> that they contain.</w:t>
      </w:r>
      <w:r>
        <w:rPr>
          <w:rStyle w:val="FootnoteReference"/>
        </w:rPr>
        <w:footnoteReference w:id="5"/>
      </w:r>
      <w:r>
        <w:t xml:space="preserve"> Mindful of this, </w:t>
      </w:r>
      <w:r w:rsidR="004F5E67" w:rsidRPr="004F5E67">
        <w:rPr>
          <w:color w:val="FF0000"/>
        </w:rPr>
        <w:t xml:space="preserve">the present article </w:t>
      </w:r>
      <w:r w:rsidR="004F5E67">
        <w:t xml:space="preserve">will </w:t>
      </w:r>
      <w:r>
        <w:t xml:space="preserve">again restrict </w:t>
      </w:r>
      <w:r w:rsidR="004F5E67" w:rsidRPr="004F5E67">
        <w:rPr>
          <w:color w:val="FF0000"/>
        </w:rPr>
        <w:t>its</w:t>
      </w:r>
      <w:r>
        <w:t xml:space="preserve"> discussion </w:t>
      </w:r>
      <w:r w:rsidR="000C5B4C">
        <w:t xml:space="preserve">to </w:t>
      </w:r>
      <w:r>
        <w:t xml:space="preserve">what the about Criminal Registers reveal about the administration of justice and make no claims about levels of crime in Cheshire during the period: </w:t>
      </w:r>
      <w:r w:rsidRPr="00A00612">
        <w:t xml:space="preserve">namely the year in which the trial took place, the </w:t>
      </w:r>
      <w:r>
        <w:t>sex</w:t>
      </w:r>
      <w:r w:rsidRPr="00A00612">
        <w:t xml:space="preserve"> of the convict, the </w:t>
      </w:r>
      <w:r>
        <w:t>offence</w:t>
      </w:r>
      <w:r w:rsidRPr="00A00612">
        <w:t xml:space="preserve"> for</w:t>
      </w:r>
      <w:r>
        <w:t xml:space="preserve"> </w:t>
      </w:r>
      <w:r w:rsidRPr="00A00612">
        <w:t>which they were tried, the verdict</w:t>
      </w:r>
      <w:r>
        <w:t xml:space="preserve"> handed down</w:t>
      </w:r>
      <w:r w:rsidRPr="00A00612">
        <w:t xml:space="preserve">, and </w:t>
      </w:r>
      <w:r>
        <w:t>the sentence passed.</w:t>
      </w:r>
    </w:p>
    <w:p w14:paraId="2A09D51E" w14:textId="77777777" w:rsidR="00CA2084" w:rsidRDefault="00CA2084" w:rsidP="00AE6CB9">
      <w:pPr>
        <w:spacing w:line="360" w:lineRule="auto"/>
      </w:pPr>
    </w:p>
    <w:p w14:paraId="6E955232" w14:textId="77777777" w:rsidR="00CA2084" w:rsidRDefault="00CA2084" w:rsidP="00AE6CB9">
      <w:pPr>
        <w:spacing w:line="360" w:lineRule="auto"/>
        <w:rPr>
          <w:b/>
          <w:sz w:val="28"/>
          <w:szCs w:val="28"/>
        </w:rPr>
      </w:pPr>
    </w:p>
    <w:p w14:paraId="19A32EEE" w14:textId="77777777" w:rsidR="00CA2084" w:rsidRPr="003C3DC5" w:rsidRDefault="00CA2084" w:rsidP="00AE6CB9">
      <w:pPr>
        <w:spacing w:line="360" w:lineRule="auto"/>
        <w:rPr>
          <w:b/>
          <w:sz w:val="28"/>
          <w:szCs w:val="28"/>
        </w:rPr>
      </w:pPr>
      <w:r w:rsidRPr="003C3DC5">
        <w:rPr>
          <w:b/>
          <w:sz w:val="28"/>
          <w:szCs w:val="28"/>
        </w:rPr>
        <w:t>Analysis</w:t>
      </w:r>
    </w:p>
    <w:p w14:paraId="244C0D1F" w14:textId="77777777" w:rsidR="00CA2084" w:rsidRDefault="00CA2084" w:rsidP="00AE6CB9">
      <w:pPr>
        <w:spacing w:line="360" w:lineRule="auto"/>
      </w:pPr>
    </w:p>
    <w:p w14:paraId="0CF52C8A" w14:textId="6D0D76B0" w:rsidR="00CA2084" w:rsidRPr="000147E8" w:rsidRDefault="00CA2084" w:rsidP="00AE6CB9">
      <w:pPr>
        <w:spacing w:line="360" w:lineRule="auto"/>
        <w:rPr>
          <w:b/>
        </w:rPr>
      </w:pPr>
      <w:r w:rsidRPr="000147E8">
        <w:rPr>
          <w:b/>
        </w:rPr>
        <w:t>Pattern of Committals</w:t>
      </w:r>
    </w:p>
    <w:p w14:paraId="34BA604F" w14:textId="77777777" w:rsidR="00CA2084" w:rsidRDefault="00CA2084" w:rsidP="00AE6CB9">
      <w:pPr>
        <w:spacing w:line="360" w:lineRule="auto"/>
      </w:pPr>
    </w:p>
    <w:p w14:paraId="14A01BA2" w14:textId="09730FA4" w:rsidR="00CA2084" w:rsidRDefault="00CA2084" w:rsidP="00AE6CB9">
      <w:pPr>
        <w:spacing w:line="360" w:lineRule="auto"/>
        <w:jc w:val="both"/>
      </w:pPr>
      <w:r>
        <w:lastRenderedPageBreak/>
        <w:t>Between 1840 and 1890, some 33,000 persons were committed for trial at Assizes and Quarter Sessions in Cheshire</w:t>
      </w:r>
      <w:r w:rsidR="007A54C4">
        <w:t xml:space="preserve"> </w:t>
      </w:r>
      <w:r w:rsidR="007A54C4" w:rsidRPr="007A54C4">
        <w:rPr>
          <w:color w:val="FF0000"/>
        </w:rPr>
        <w:t>(figure 1)</w:t>
      </w:r>
      <w:r>
        <w:t>:</w:t>
      </w:r>
      <w:r>
        <w:rPr>
          <w:rStyle w:val="FootnoteReference"/>
        </w:rPr>
        <w:footnoteReference w:id="6"/>
      </w:r>
    </w:p>
    <w:p w14:paraId="5D50C042" w14:textId="77777777" w:rsidR="00CA2084" w:rsidRDefault="00CA2084" w:rsidP="00AE6CB9">
      <w:pPr>
        <w:spacing w:line="360" w:lineRule="auto"/>
      </w:pPr>
    </w:p>
    <w:p w14:paraId="76D620CA" w14:textId="77777777" w:rsidR="00CA2084" w:rsidRDefault="00CA2084" w:rsidP="00225D5D">
      <w:r>
        <w:rPr>
          <w:noProof/>
        </w:rPr>
        <w:drawing>
          <wp:inline distT="0" distB="0" distL="0" distR="0" wp14:anchorId="260CE8F4" wp14:editId="58519E79">
            <wp:extent cx="5270500" cy="3074670"/>
            <wp:effectExtent l="0" t="0" r="12700"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B4CC43" w14:textId="77777777" w:rsidR="00CA2084" w:rsidRDefault="00CA2084" w:rsidP="00225D5D">
      <w:pPr>
        <w:jc w:val="both"/>
      </w:pPr>
      <w:r w:rsidRPr="00764CBC">
        <w:rPr>
          <w:b/>
        </w:rPr>
        <w:t>Figure 1:</w:t>
      </w:r>
      <w:r w:rsidRPr="00764CBC">
        <w:t xml:space="preserve"> The number of persons committed for trial at Assizes and Quarter Sessions in Cheshire, 1840-90.</w:t>
      </w:r>
      <w:r w:rsidRPr="00764CBC">
        <w:rPr>
          <w:rStyle w:val="FootnoteReference"/>
        </w:rPr>
        <w:footnoteReference w:id="7"/>
      </w:r>
    </w:p>
    <w:p w14:paraId="1734E1B5" w14:textId="7BABCC6F" w:rsidR="00CA2084" w:rsidRDefault="00CA2084" w:rsidP="003C3DC5">
      <w:pPr>
        <w:jc w:val="both"/>
      </w:pPr>
    </w:p>
    <w:p w14:paraId="6FB254EF" w14:textId="77A8407D" w:rsidR="00CA2084" w:rsidRPr="009E68F4" w:rsidRDefault="00CA2084" w:rsidP="00165F40">
      <w:pPr>
        <w:spacing w:line="360" w:lineRule="auto"/>
        <w:jc w:val="both"/>
        <w:rPr>
          <w:color w:val="FF0000"/>
          <w:lang w:val="en-GB"/>
        </w:rPr>
      </w:pPr>
      <w:r>
        <w:t xml:space="preserve">The number of persons committed for trial in Cheshire declined by 74% from just over a thousand (1002) in 1840 to 263 in 1889. During the first half of the 1840s, the number of persons committed declined rapidly, before increasing again for almost a decade – reaching a peak of 1124 committals in 1853. Then, the number of persons declined until the end of the period, albeit with slight increases in 1863, 1868 and 1883. This pattern was not unique to Cheshire alone, but was, rather, part of a broader pattern across England and Wales. Between 1840 and 1890, the number of persons committed for trial across England </w:t>
      </w:r>
      <w:r w:rsidRPr="0075094C">
        <w:t>and Wales</w:t>
      </w:r>
      <w:r>
        <w:rPr>
          <w:color w:val="FF0000"/>
        </w:rPr>
        <w:t xml:space="preserve"> </w:t>
      </w:r>
      <w:r>
        <w:t xml:space="preserve">declined by over </w:t>
      </w:r>
      <w:r>
        <w:lastRenderedPageBreak/>
        <w:t>half</w:t>
      </w:r>
      <w:r w:rsidR="00C73875">
        <w:t xml:space="preserve">, </w:t>
      </w:r>
      <w:r>
        <w:t>from 27,187 to 12,099 (55%).</w:t>
      </w:r>
      <w:r>
        <w:rPr>
          <w:rStyle w:val="FootnoteReference"/>
        </w:rPr>
        <w:footnoteReference w:id="8"/>
      </w:r>
      <w:r>
        <w:t xml:space="preserve"> </w:t>
      </w:r>
      <w:r w:rsidRPr="00CA6920">
        <w:t xml:space="preserve">What is particularly notable is that this decline occurred during a period of rapid population growth across Cheshire and England and Wales more broadly. </w:t>
      </w:r>
      <w:r w:rsidRPr="00457A73">
        <w:t xml:space="preserve">Between 1841 and 1881, the population of England and Wales increased by 63%, from </w:t>
      </w:r>
      <w:r w:rsidRPr="00457A73">
        <w:rPr>
          <w:lang w:val="en-GB"/>
        </w:rPr>
        <w:t>15,916,388 to 25,974,439,</w:t>
      </w:r>
      <w:r w:rsidRPr="009E68F4">
        <w:rPr>
          <w:color w:val="FF0000"/>
          <w:lang w:val="en-GB"/>
        </w:rPr>
        <w:t xml:space="preserve"> </w:t>
      </w:r>
      <w:r w:rsidRPr="005247EB">
        <w:rPr>
          <w:lang w:val="en-GB"/>
        </w:rPr>
        <w:t xml:space="preserve">while that of Cheshire increased by </w:t>
      </w:r>
      <w:r w:rsidR="00C73875">
        <w:rPr>
          <w:lang w:val="en-GB"/>
        </w:rPr>
        <w:t>69%</w:t>
      </w:r>
      <w:r w:rsidRPr="005247EB">
        <w:rPr>
          <w:lang w:val="en-GB"/>
        </w:rPr>
        <w:t xml:space="preserve"> (from 368,400 to 622,365).</w:t>
      </w:r>
      <w:r w:rsidRPr="005247EB">
        <w:rPr>
          <w:rStyle w:val="FootnoteReference"/>
          <w:lang w:val="en-GB"/>
        </w:rPr>
        <w:footnoteReference w:id="9"/>
      </w:r>
      <w:r w:rsidRPr="009E68F4">
        <w:rPr>
          <w:color w:val="FF0000"/>
          <w:lang w:val="en-GB"/>
        </w:rPr>
        <w:t xml:space="preserve"> </w:t>
      </w:r>
      <w:r w:rsidRPr="009A4208">
        <w:rPr>
          <w:lang w:val="en-GB"/>
        </w:rPr>
        <w:t>Over the same period (1840 to 1889), the mean annual number of persons committed for trial across England and Wales declined by just over half from 28,077 between 1840 and 18</w:t>
      </w:r>
      <w:r w:rsidR="000C5B4C">
        <w:rPr>
          <w:lang w:val="en-GB"/>
        </w:rPr>
        <w:t>4</w:t>
      </w:r>
      <w:r w:rsidRPr="009A4208">
        <w:rPr>
          <w:lang w:val="en-GB"/>
        </w:rPr>
        <w:t xml:space="preserve">4 to 13,340 between 1885 and 1889 (52%). Put another way, the mean annual number of persons committed for trial across England and Wales declined by 71% from 176 per 100,000 population during the 1840s to just 51 per 100,000 population during the 1880s. </w:t>
      </w:r>
      <w:r w:rsidRPr="006D5E78">
        <w:rPr>
          <w:lang w:val="en-GB"/>
        </w:rPr>
        <w:t>Over the same period in Cheshire, the mean annual number of persons committed for trial declined by 82% from 266 per 100,000 population to 49 per 100,000.</w:t>
      </w:r>
      <w:r w:rsidRPr="006D5E78">
        <w:rPr>
          <w:rStyle w:val="FootnoteReference"/>
          <w:lang w:val="en-GB"/>
        </w:rPr>
        <w:footnoteReference w:id="10"/>
      </w:r>
      <w:r w:rsidRPr="006D5E78">
        <w:rPr>
          <w:lang w:val="en-GB"/>
        </w:rPr>
        <w:t xml:space="preserve"> </w:t>
      </w:r>
    </w:p>
    <w:p w14:paraId="484D73AB" w14:textId="77777777" w:rsidR="00CA2084" w:rsidRDefault="00CA2084" w:rsidP="00165F40">
      <w:pPr>
        <w:spacing w:line="360" w:lineRule="auto"/>
        <w:jc w:val="both"/>
        <w:rPr>
          <w:color w:val="FF0000"/>
          <w:lang w:val="en-GB"/>
        </w:rPr>
      </w:pPr>
    </w:p>
    <w:p w14:paraId="255DA9DC" w14:textId="41C5CED2" w:rsidR="00CA2084" w:rsidRPr="008047BA" w:rsidRDefault="00CA2084" w:rsidP="00165F40">
      <w:pPr>
        <w:spacing w:line="360" w:lineRule="auto"/>
        <w:jc w:val="both"/>
        <w:rPr>
          <w:color w:val="FF0000"/>
          <w:lang w:val="en-GB"/>
        </w:rPr>
      </w:pPr>
      <w:r>
        <w:rPr>
          <w:color w:val="FF0000"/>
          <w:lang w:val="en-GB"/>
        </w:rPr>
        <w:tab/>
      </w:r>
      <w:r w:rsidRPr="00AC2990">
        <w:rPr>
          <w:lang w:val="en-GB"/>
        </w:rPr>
        <w:t xml:space="preserve">As figure 2 </w:t>
      </w:r>
      <w:r>
        <w:rPr>
          <w:lang w:val="en-GB"/>
        </w:rPr>
        <w:t>shows</w:t>
      </w:r>
      <w:r w:rsidRPr="00AC2990">
        <w:rPr>
          <w:lang w:val="en-GB"/>
        </w:rPr>
        <w:t xml:space="preserve">, this decline in the number of committals </w:t>
      </w:r>
      <w:r>
        <w:rPr>
          <w:lang w:val="en-GB"/>
        </w:rPr>
        <w:t xml:space="preserve">varied </w:t>
      </w:r>
      <w:r w:rsidRPr="00AC2990">
        <w:rPr>
          <w:lang w:val="en-GB"/>
        </w:rPr>
        <w:t xml:space="preserve">across </w:t>
      </w:r>
      <w:r>
        <w:rPr>
          <w:lang w:val="en-GB"/>
        </w:rPr>
        <w:t>classes of offences</w:t>
      </w:r>
      <w:r w:rsidRPr="00AC2990">
        <w:rPr>
          <w:lang w:val="en-GB"/>
        </w:rPr>
        <w:t>:</w:t>
      </w:r>
      <w:r>
        <w:rPr>
          <w:lang w:val="en-GB"/>
        </w:rPr>
        <w:t xml:space="preserve"> </w:t>
      </w:r>
    </w:p>
    <w:p w14:paraId="2B8C2B92" w14:textId="77777777" w:rsidR="00CA2084" w:rsidRDefault="00CA2084" w:rsidP="00165F40">
      <w:pPr>
        <w:spacing w:line="360" w:lineRule="auto"/>
        <w:jc w:val="both"/>
        <w:rPr>
          <w:color w:val="FF0000"/>
          <w:lang w:val="en-GB"/>
        </w:rPr>
      </w:pPr>
    </w:p>
    <w:p w14:paraId="0C13FD05" w14:textId="77777777" w:rsidR="00CA2084" w:rsidRPr="00DA1D1D" w:rsidRDefault="00CA2084" w:rsidP="00225D5D">
      <w:pPr>
        <w:jc w:val="both"/>
        <w:rPr>
          <w:color w:val="FF0000"/>
          <w:lang w:val="en-GB"/>
        </w:rPr>
      </w:pPr>
      <w:r>
        <w:rPr>
          <w:noProof/>
          <w:color w:val="FF0000"/>
        </w:rPr>
        <w:drawing>
          <wp:inline distT="0" distB="0" distL="0" distR="0" wp14:anchorId="70E31FC2" wp14:editId="57970CAB">
            <wp:extent cx="5372100" cy="4324350"/>
            <wp:effectExtent l="0" t="0" r="1270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64CBC">
        <w:rPr>
          <w:b/>
          <w:lang w:val="en-GB"/>
        </w:rPr>
        <w:t>Figure 2:</w:t>
      </w:r>
      <w:r w:rsidRPr="00764CBC">
        <w:rPr>
          <w:lang w:val="en-GB"/>
        </w:rPr>
        <w:t xml:space="preserve"> The number of persons committed for trial </w:t>
      </w:r>
      <w:r w:rsidRPr="00764CBC">
        <w:t xml:space="preserve">at Assizes and Quarter Sessions in Cheshire, 1840-90 </w:t>
      </w:r>
      <w:r w:rsidRPr="00764CBC">
        <w:rPr>
          <w:lang w:val="en-GB"/>
        </w:rPr>
        <w:t>by class of offence.</w:t>
      </w:r>
    </w:p>
    <w:p w14:paraId="41AE2E68" w14:textId="77777777" w:rsidR="00CA2084" w:rsidRDefault="00CA2084" w:rsidP="00CA2084"/>
    <w:p w14:paraId="27EAE9A4" w14:textId="73344901" w:rsidR="00CA2084" w:rsidRPr="007C0C65" w:rsidRDefault="00CA2084" w:rsidP="00CA2084">
      <w:pPr>
        <w:spacing w:line="360" w:lineRule="auto"/>
        <w:jc w:val="both"/>
        <w:rPr>
          <w:lang w:val="en-GB"/>
        </w:rPr>
      </w:pPr>
      <w:r w:rsidRPr="00A86DBB">
        <w:rPr>
          <w:lang w:val="en-GB"/>
        </w:rPr>
        <w:t xml:space="preserve">Between 1840 and 1890, the number of persons committed </w:t>
      </w:r>
      <w:r>
        <w:rPr>
          <w:lang w:val="en-GB"/>
        </w:rPr>
        <w:t>for</w:t>
      </w:r>
      <w:r w:rsidRPr="00A86DBB">
        <w:rPr>
          <w:lang w:val="en-GB"/>
        </w:rPr>
        <w:t xml:space="preserve"> trial for the four major </w:t>
      </w:r>
      <w:r>
        <w:rPr>
          <w:lang w:val="en-GB"/>
        </w:rPr>
        <w:t>classes of offences</w:t>
      </w:r>
      <w:r w:rsidRPr="00A86DBB">
        <w:rPr>
          <w:lang w:val="en-GB"/>
        </w:rPr>
        <w:t xml:space="preserve"> declined to varying degrees. The largest decline was witnessed in the number committed </w:t>
      </w:r>
      <w:r>
        <w:rPr>
          <w:lang w:val="en-GB"/>
        </w:rPr>
        <w:t>for</w:t>
      </w:r>
      <w:r w:rsidRPr="00A86DBB">
        <w:rPr>
          <w:lang w:val="en-GB"/>
        </w:rPr>
        <w:t xml:space="preserve"> trial for offences against property that did not involve violence; from 802 in 1840 to 144 in 1889 (82%</w:t>
      </w:r>
      <w:r>
        <w:rPr>
          <w:lang w:val="en-GB"/>
        </w:rPr>
        <w:t>,</w:t>
      </w:r>
      <w:r w:rsidRPr="005247EB">
        <w:rPr>
          <w:lang w:val="en-GB"/>
        </w:rPr>
        <w:t xml:space="preserve"> or from 218 per 100,000 population to just 23). </w:t>
      </w:r>
      <w:r w:rsidR="00C73875" w:rsidRPr="00C73875">
        <w:rPr>
          <w:color w:val="FF0000"/>
          <w:lang w:val="en-GB"/>
        </w:rPr>
        <w:t>Both the years 1842-5 and 1854-8 witnessed large falls in the number of committals (</w:t>
      </w:r>
      <w:r w:rsidR="00C73875" w:rsidRPr="00C73875">
        <w:rPr>
          <w:color w:val="FF0000"/>
          <w:lang w:val="en-GB"/>
        </w:rPr>
        <w:t>from 837 to 491, or 41%</w:t>
      </w:r>
      <w:r w:rsidR="00C73875" w:rsidRPr="00C73875">
        <w:rPr>
          <w:color w:val="FF0000"/>
          <w:lang w:val="en-GB"/>
        </w:rPr>
        <w:t xml:space="preserve"> and </w:t>
      </w:r>
      <w:r w:rsidR="00C73875" w:rsidRPr="00C73875">
        <w:rPr>
          <w:color w:val="FF0000"/>
          <w:lang w:val="en-GB"/>
        </w:rPr>
        <w:t>from 926 to 441, or 52%</w:t>
      </w:r>
      <w:r w:rsidR="00C73875" w:rsidRPr="00C73875">
        <w:rPr>
          <w:color w:val="FF0000"/>
          <w:lang w:val="en-GB"/>
        </w:rPr>
        <w:t xml:space="preserve"> respectively).</w:t>
      </w:r>
      <w:r w:rsidR="007C0C65">
        <w:rPr>
          <w:lang w:val="en-GB"/>
        </w:rPr>
        <w:t xml:space="preserve"> </w:t>
      </w:r>
      <w:r w:rsidRPr="005247EB">
        <w:rPr>
          <w:lang w:val="en-GB"/>
        </w:rPr>
        <w:t xml:space="preserve">This echoed a 22% fall in committals across England and </w:t>
      </w:r>
      <w:r w:rsidRPr="005247EB">
        <w:rPr>
          <w:lang w:val="en-GB"/>
        </w:rPr>
        <w:lastRenderedPageBreak/>
        <w:t xml:space="preserve">Wales during the same period (from 31,309 </w:t>
      </w:r>
      <w:r w:rsidR="007C0C65" w:rsidRPr="007C0C65">
        <w:rPr>
          <w:color w:val="FF0000"/>
          <w:lang w:val="en-GB"/>
        </w:rPr>
        <w:t xml:space="preserve">in 1842 </w:t>
      </w:r>
      <w:r w:rsidRPr="005247EB">
        <w:rPr>
          <w:lang w:val="en-GB"/>
        </w:rPr>
        <w:t>to 24,303</w:t>
      </w:r>
      <w:r w:rsidR="007C0C65">
        <w:rPr>
          <w:lang w:val="en-GB"/>
        </w:rPr>
        <w:t xml:space="preserve"> </w:t>
      </w:r>
      <w:r w:rsidR="007C0C65" w:rsidRPr="007C0C65">
        <w:rPr>
          <w:color w:val="FF0000"/>
          <w:lang w:val="en-GB"/>
        </w:rPr>
        <w:t>in 1845</w:t>
      </w:r>
      <w:r w:rsidRPr="005247EB">
        <w:rPr>
          <w:lang w:val="en-GB"/>
        </w:rPr>
        <w:t>); a fall probably explained by rising prosperity after the trough in the trade cycle in 1842.</w:t>
      </w:r>
      <w:r w:rsidRPr="005247EB">
        <w:rPr>
          <w:rStyle w:val="FootnoteReference"/>
          <w:lang w:val="en-GB"/>
        </w:rPr>
        <w:footnoteReference w:id="11"/>
      </w:r>
      <w:r w:rsidRPr="005247EB">
        <w:rPr>
          <w:lang w:val="en-GB"/>
        </w:rPr>
        <w:t xml:space="preserve"> </w:t>
      </w:r>
      <w:r w:rsidRPr="00B90CA4">
        <w:rPr>
          <w:lang w:val="en-GB"/>
        </w:rPr>
        <w:t>Similarly, the number committed for trial for offences against property involving violence declined by almost half over the period, from 62 persons in 1840 to 33 in 1889.</w:t>
      </w:r>
      <w:r>
        <w:rPr>
          <w:color w:val="FF0000"/>
          <w:lang w:val="en-GB"/>
        </w:rPr>
        <w:t xml:space="preserve"> </w:t>
      </w:r>
      <w:r w:rsidRPr="00A86DBB">
        <w:rPr>
          <w:lang w:val="en-GB"/>
        </w:rPr>
        <w:t xml:space="preserve">In contrast, the number of persons committed for trial for offences against the person and offences against the currency remained relatively stable over the period, </w:t>
      </w:r>
      <w:r>
        <w:rPr>
          <w:lang w:val="en-GB"/>
        </w:rPr>
        <w:t>either declining slightly or remaining static.</w:t>
      </w:r>
    </w:p>
    <w:p w14:paraId="445B24B1" w14:textId="77777777" w:rsidR="00CA2084" w:rsidRDefault="00CA2084" w:rsidP="00CA2084">
      <w:pPr>
        <w:spacing w:line="360" w:lineRule="auto"/>
        <w:jc w:val="both"/>
        <w:rPr>
          <w:lang w:val="en-GB"/>
        </w:rPr>
      </w:pPr>
    </w:p>
    <w:p w14:paraId="3DB6D457" w14:textId="0DB81073" w:rsidR="00CA2084" w:rsidRPr="007F27E1" w:rsidRDefault="00CA2084" w:rsidP="00165F40">
      <w:pPr>
        <w:spacing w:line="360" w:lineRule="auto"/>
        <w:jc w:val="both"/>
        <w:rPr>
          <w:lang w:val="en-GB"/>
        </w:rPr>
      </w:pPr>
      <w:r>
        <w:rPr>
          <w:lang w:val="en-GB"/>
        </w:rPr>
        <w:tab/>
        <w:t xml:space="preserve">Again, these trends echoed patterns found across England and Wales more generally. </w:t>
      </w:r>
      <w:r w:rsidRPr="007F27E1">
        <w:rPr>
          <w:lang w:val="en-GB"/>
        </w:rPr>
        <w:t>The mean annual number of persons committed for trial across England and Wales for offences against property that did not involve violence declined by 80%, from 137 per 100,000 population between 1840-5 to just 28 between 1885-9. Over the same period, the mean annual number committed for</w:t>
      </w:r>
      <w:r w:rsidR="00720236">
        <w:rPr>
          <w:lang w:val="en-GB"/>
        </w:rPr>
        <w:t xml:space="preserve"> </w:t>
      </w:r>
      <w:r w:rsidRPr="007F27E1">
        <w:rPr>
          <w:lang w:val="en-GB"/>
        </w:rPr>
        <w:t xml:space="preserve">property offences involving violence and offences against the person also declined, albeit by a much smaller amount, from 10 and 14 per 100,000 population to 7 and 10 respectively. </w:t>
      </w:r>
      <w:r w:rsidRPr="007F27E1">
        <w:rPr>
          <w:rStyle w:val="FootnoteReference"/>
          <w:lang w:val="en-GB"/>
        </w:rPr>
        <w:footnoteReference w:id="12"/>
      </w:r>
    </w:p>
    <w:p w14:paraId="15BA709C" w14:textId="77777777" w:rsidR="00CA2084" w:rsidRDefault="00CA2084" w:rsidP="00960EC0">
      <w:pPr>
        <w:spacing w:line="360" w:lineRule="auto"/>
        <w:jc w:val="both"/>
        <w:rPr>
          <w:color w:val="FF0000"/>
          <w:lang w:val="en-GB"/>
        </w:rPr>
      </w:pPr>
    </w:p>
    <w:p w14:paraId="561E914A" w14:textId="756E5B6B" w:rsidR="00CA2084" w:rsidRDefault="00CA2084" w:rsidP="0035180A">
      <w:pPr>
        <w:spacing w:line="360" w:lineRule="auto"/>
        <w:ind w:firstLine="720"/>
        <w:jc w:val="both"/>
        <w:rPr>
          <w:lang w:val="en-GB"/>
        </w:rPr>
      </w:pPr>
      <w:r w:rsidRPr="00E325B7">
        <w:rPr>
          <w:lang w:val="en-GB"/>
        </w:rPr>
        <w:t xml:space="preserve">Historians have </w:t>
      </w:r>
      <w:r>
        <w:rPr>
          <w:lang w:val="en-GB"/>
        </w:rPr>
        <w:t xml:space="preserve">highlighted several key interlinked factors to explain this decline in the number of committals </w:t>
      </w:r>
      <w:r w:rsidR="00E37557" w:rsidRPr="00E37557">
        <w:rPr>
          <w:color w:val="FF0000"/>
          <w:lang w:val="en-GB"/>
        </w:rPr>
        <w:t xml:space="preserve">for property offences </w:t>
      </w:r>
      <w:r>
        <w:rPr>
          <w:lang w:val="en-GB"/>
        </w:rPr>
        <w:t xml:space="preserve">across England and Wales in the second half </w:t>
      </w:r>
      <w:r w:rsidRPr="007F7D24">
        <w:rPr>
          <w:lang w:val="en-GB"/>
        </w:rPr>
        <w:t>of the nineteenth century.</w:t>
      </w:r>
      <w:r>
        <w:rPr>
          <w:lang w:val="en-GB"/>
        </w:rPr>
        <w:t xml:space="preserve"> Primarily, they argue that the period saw the lot of working people improve through a combination of increasing wages and declining food prices. Whereas economic slumps during the early nineteenth century had often been accompanied by high food prices, from the middle of the century not only were these fluctuations less severe but, perhaps </w:t>
      </w:r>
      <w:r>
        <w:rPr>
          <w:lang w:val="en-GB"/>
        </w:rPr>
        <w:lastRenderedPageBreak/>
        <w:t>more importantly, food prices were either stable or declining. Consequently, from the middle of the century onwards, property crime became increasingly ‘prosperity-induced’ rather than ‘poverty-induced’; criminals stole, not because they had been pushed into economic hardship, but because there was more to steal in an increasingly prosperous society. In addition, the establishment and increasing professionalization of the New Police over the period also acted as a break on criminal activity, both by deterring would-be criminals and arresting and prosecuting those who had committed criminal acts.</w:t>
      </w:r>
      <w:r>
        <w:rPr>
          <w:rStyle w:val="FootnoteReference"/>
          <w:lang w:val="en-GB"/>
        </w:rPr>
        <w:footnoteReference w:id="13"/>
      </w:r>
    </w:p>
    <w:p w14:paraId="37D0B4FF" w14:textId="77777777" w:rsidR="00CA2084" w:rsidRDefault="00CA2084" w:rsidP="0035180A">
      <w:pPr>
        <w:spacing w:line="360" w:lineRule="auto"/>
        <w:ind w:firstLine="720"/>
        <w:jc w:val="both"/>
        <w:rPr>
          <w:lang w:val="en-GB"/>
        </w:rPr>
      </w:pPr>
    </w:p>
    <w:p w14:paraId="3BEB3247" w14:textId="6103BBD3" w:rsidR="00CA2084" w:rsidRDefault="00CA2084" w:rsidP="00BB301B">
      <w:pPr>
        <w:spacing w:line="360" w:lineRule="auto"/>
        <w:ind w:firstLine="720"/>
        <w:jc w:val="both"/>
        <w:rPr>
          <w:lang w:val="en-GB"/>
        </w:rPr>
      </w:pPr>
      <w:r>
        <w:rPr>
          <w:lang w:val="en-GB"/>
        </w:rPr>
        <w:t>The relative influence of these different socio-economic factors is, of course, difficult to disentangle analytically.</w:t>
      </w:r>
      <w:r>
        <w:rPr>
          <w:rStyle w:val="FootnoteReference"/>
          <w:lang w:val="en-GB"/>
        </w:rPr>
        <w:footnoteReference w:id="14"/>
      </w:r>
      <w:r>
        <w:rPr>
          <w:lang w:val="en-GB"/>
        </w:rPr>
        <w:t xml:space="preserve"> However, statistical analysis of the Cheshire court records indicates that the number of persons committed for trial across the county over the period for property offences was strongly correlated with both real wages and the cost of living. </w:t>
      </w:r>
      <w:r w:rsidRPr="009B1EC1">
        <w:rPr>
          <w:lang w:val="en-GB"/>
        </w:rPr>
        <w:t>Between 1840 and 1889, the number of persons committed for trial for all property offences</w:t>
      </w:r>
      <w:r w:rsidRPr="00CA6920">
        <w:rPr>
          <w:color w:val="FF0000"/>
          <w:lang w:val="en-GB"/>
        </w:rPr>
        <w:t xml:space="preserve"> </w:t>
      </w:r>
      <w:r w:rsidRPr="009B1EC1">
        <w:rPr>
          <w:lang w:val="en-GB"/>
        </w:rPr>
        <w:t>and larceny declined from 864 and 644 to 177 and 99 respectively (or 80% and 85%. See Figure 4).</w:t>
      </w:r>
      <w:r>
        <w:rPr>
          <w:lang w:val="en-GB"/>
        </w:rPr>
        <w:t xml:space="preserve"> Over the same period, the daily wage for a building labourer in England </w:t>
      </w:r>
      <w:r w:rsidR="00E51657" w:rsidRPr="00E51657">
        <w:rPr>
          <w:color w:val="FF0000"/>
          <w:lang w:val="en-GB"/>
        </w:rPr>
        <w:t>more than doubled</w:t>
      </w:r>
      <w:r w:rsidRPr="00E51657">
        <w:rPr>
          <w:color w:val="FF0000"/>
          <w:lang w:val="en-GB"/>
        </w:rPr>
        <w:t xml:space="preserve"> </w:t>
      </w:r>
      <w:r>
        <w:rPr>
          <w:lang w:val="en-GB"/>
        </w:rPr>
        <w:t>from just over 12d to 31d, while the cost of living index declined from 99.6 (1840-</w:t>
      </w:r>
      <w:r>
        <w:rPr>
          <w:lang w:val="en-GB"/>
        </w:rPr>
        <w:lastRenderedPageBreak/>
        <w:t>9) to 88.5 (1880-9).</w:t>
      </w:r>
      <w:r>
        <w:rPr>
          <w:rStyle w:val="FootnoteReference"/>
          <w:lang w:val="en-GB"/>
        </w:rPr>
        <w:footnoteReference w:id="15"/>
      </w:r>
      <w:r>
        <w:rPr>
          <w:lang w:val="en-GB"/>
        </w:rPr>
        <w:t xml:space="preserve"> Pearson R statistical tests indicated that there was a strong negative correlation between the daily wage for a building labourer and the annual number of persons committed for trial </w:t>
      </w:r>
      <w:r w:rsidR="00F767E8" w:rsidRPr="00F767E8">
        <w:rPr>
          <w:color w:val="FF0000"/>
          <w:lang w:val="en-GB"/>
        </w:rPr>
        <w:t xml:space="preserve">for property offences </w:t>
      </w:r>
      <w:r>
        <w:rPr>
          <w:lang w:val="en-GB"/>
        </w:rPr>
        <w:t xml:space="preserve">across Cheshire between 1840-89. As the daily wage increased year on year, the number of persons committed for trial for </w:t>
      </w:r>
      <w:r w:rsidR="00E51657" w:rsidRPr="00E51657">
        <w:rPr>
          <w:color w:val="FF0000"/>
          <w:lang w:val="en-GB"/>
        </w:rPr>
        <w:t>property offences</w:t>
      </w:r>
      <w:r w:rsidRPr="00E51657">
        <w:rPr>
          <w:color w:val="FF0000"/>
          <w:lang w:val="en-GB"/>
        </w:rPr>
        <w:t xml:space="preserve"> </w:t>
      </w:r>
      <w:r>
        <w:rPr>
          <w:lang w:val="en-GB"/>
        </w:rPr>
        <w:t>declined. The correlation was strongest in the case of larceny and offences against property not involving violence; the types of offences to which a person may have turned during hard times.</w:t>
      </w:r>
      <w:r>
        <w:rPr>
          <w:rStyle w:val="FootnoteReference"/>
          <w:lang w:val="en-GB"/>
        </w:rPr>
        <w:footnoteReference w:id="16"/>
      </w:r>
      <w:r>
        <w:rPr>
          <w:lang w:val="en-GB"/>
        </w:rPr>
        <w:t xml:space="preserve"> Pearson R tests </w:t>
      </w:r>
      <w:r w:rsidR="00C71CA1">
        <w:rPr>
          <w:lang w:val="en-GB"/>
        </w:rPr>
        <w:t xml:space="preserve">also </w:t>
      </w:r>
      <w:r>
        <w:rPr>
          <w:lang w:val="en-GB"/>
        </w:rPr>
        <w:t xml:space="preserve">indicated that there was </w:t>
      </w:r>
      <w:r w:rsidR="00C71CA1">
        <w:rPr>
          <w:color w:val="FF0000"/>
          <w:lang w:val="en-GB"/>
        </w:rPr>
        <w:t>a positive</w:t>
      </w:r>
      <w:r>
        <w:rPr>
          <w:lang w:val="en-GB"/>
        </w:rPr>
        <w:t xml:space="preserve"> correlation between Clark’s cost of living index and all property offences, property offences not involving violence, larceny but not property offences involving violence. As the cost of living index declined, the number of persons committed for trial for these offences also declined.</w:t>
      </w:r>
      <w:r>
        <w:rPr>
          <w:rStyle w:val="FootnoteReference"/>
          <w:lang w:val="en-GB"/>
        </w:rPr>
        <w:footnoteReference w:id="17"/>
      </w:r>
    </w:p>
    <w:p w14:paraId="5F4AE29E" w14:textId="77777777" w:rsidR="00CA2084" w:rsidRDefault="00CA2084" w:rsidP="00BB301B">
      <w:pPr>
        <w:spacing w:line="360" w:lineRule="auto"/>
        <w:ind w:firstLine="720"/>
        <w:jc w:val="both"/>
        <w:rPr>
          <w:lang w:val="en-GB"/>
        </w:rPr>
      </w:pPr>
    </w:p>
    <w:p w14:paraId="4EA76A81" w14:textId="3D5B39E2" w:rsidR="00CA2084" w:rsidRPr="00D761D3" w:rsidRDefault="00CA2084" w:rsidP="00D761D3">
      <w:pPr>
        <w:spacing w:line="360" w:lineRule="auto"/>
        <w:ind w:firstLine="720"/>
        <w:jc w:val="both"/>
      </w:pPr>
      <w:r>
        <w:rPr>
          <w:lang w:val="en-GB"/>
        </w:rPr>
        <w:t>However, as the number of those committed for trial declined across England and Wales during the second half of the nineteenth-century, those who appeared before the courts had increasingly been previously convicted of a felony. Such persons were also typically older and, in the face of increasing literacy rates, more likely to be illiterate</w:t>
      </w:r>
      <w:r w:rsidR="00D761D3">
        <w:rPr>
          <w:lang w:val="en-GB"/>
        </w:rPr>
        <w:t xml:space="preserve">, </w:t>
      </w:r>
      <w:r>
        <w:rPr>
          <w:lang w:val="en-GB"/>
        </w:rPr>
        <w:t>suggesting strongly that they represented a class of ‘left behind’ hardened professional criminals</w:t>
      </w:r>
      <w:r w:rsidR="00D761D3">
        <w:rPr>
          <w:lang w:val="en-GB"/>
        </w:rPr>
        <w:t xml:space="preserve"> </w:t>
      </w:r>
      <w:r w:rsidR="00D761D3" w:rsidRPr="00D761D3">
        <w:rPr>
          <w:color w:val="FF0000"/>
          <w:lang w:val="en-GB"/>
        </w:rPr>
        <w:t xml:space="preserve">(or, at least, members of an under-educated and ageing population </w:t>
      </w:r>
      <w:r w:rsidR="00D761D3" w:rsidRPr="00D761D3">
        <w:rPr>
          <w:color w:val="FF0000"/>
        </w:rPr>
        <w:t xml:space="preserve">that found it harder to gain employment in an increasingly </w:t>
      </w:r>
      <w:proofErr w:type="spellStart"/>
      <w:r w:rsidR="00D761D3" w:rsidRPr="00D761D3">
        <w:rPr>
          <w:color w:val="FF0000"/>
        </w:rPr>
        <w:t>professionalised</w:t>
      </w:r>
      <w:proofErr w:type="spellEnd"/>
      <w:r w:rsidR="00D761D3" w:rsidRPr="00D761D3">
        <w:rPr>
          <w:color w:val="FF0000"/>
        </w:rPr>
        <w:t xml:space="preserve"> and </w:t>
      </w:r>
      <w:proofErr w:type="spellStart"/>
      <w:r w:rsidR="00D761D3" w:rsidRPr="00D761D3">
        <w:rPr>
          <w:color w:val="FF0000"/>
        </w:rPr>
        <w:t>urbanised</w:t>
      </w:r>
      <w:proofErr w:type="spellEnd"/>
      <w:r w:rsidR="00D761D3" w:rsidRPr="00D761D3">
        <w:rPr>
          <w:color w:val="FF0000"/>
        </w:rPr>
        <w:t xml:space="preserve"> workforce</w:t>
      </w:r>
      <w:r w:rsidR="00D761D3" w:rsidRPr="00D761D3">
        <w:rPr>
          <w:color w:val="FF0000"/>
        </w:rPr>
        <w:t>)</w:t>
      </w:r>
      <w:r>
        <w:rPr>
          <w:lang w:val="en-GB"/>
        </w:rPr>
        <w:t xml:space="preserve">, rather that individuals </w:t>
      </w:r>
      <w:r>
        <w:rPr>
          <w:lang w:val="en-GB"/>
        </w:rPr>
        <w:lastRenderedPageBreak/>
        <w:t>pushed into crime because of temporary misfortune.</w:t>
      </w:r>
      <w:r>
        <w:rPr>
          <w:rStyle w:val="FootnoteReference"/>
          <w:lang w:val="en-GB"/>
        </w:rPr>
        <w:footnoteReference w:id="18"/>
      </w:r>
      <w:r>
        <w:rPr>
          <w:lang w:val="en-GB"/>
        </w:rPr>
        <w:t xml:space="preserve"> </w:t>
      </w:r>
      <w:r w:rsidRPr="00E040BB">
        <w:rPr>
          <w:lang w:val="en-GB"/>
        </w:rPr>
        <w:t xml:space="preserve">Between 1860 and 1889, for example, the number of those committed to </w:t>
      </w:r>
      <w:r w:rsidR="00735646">
        <w:rPr>
          <w:lang w:val="en-GB"/>
        </w:rPr>
        <w:t>trial</w:t>
      </w:r>
      <w:r w:rsidRPr="00E040BB">
        <w:rPr>
          <w:lang w:val="en-GB"/>
        </w:rPr>
        <w:t xml:space="preserve"> who had been previously committed increased from just under a third (30.4%) to half (50.1%). Indeed, over the same period, the number of males and females who had been committed more than ten times increased from 3.7% and 19.8% to 13% and 34.2% respectively. Figure 3 shows the percentage of those wh</w:t>
      </w:r>
      <w:r>
        <w:rPr>
          <w:lang w:val="en-GB"/>
        </w:rPr>
        <w:t>o were committed for trial across Cheshire for property offences over the period who had previously been convicted of a felony:</w:t>
      </w:r>
    </w:p>
    <w:p w14:paraId="03CFF12D" w14:textId="77777777" w:rsidR="00CA2084" w:rsidRDefault="00CA2084" w:rsidP="00C93497">
      <w:pPr>
        <w:spacing w:line="360" w:lineRule="auto"/>
        <w:ind w:firstLine="720"/>
        <w:jc w:val="both"/>
        <w:rPr>
          <w:lang w:val="en-GB"/>
        </w:rPr>
      </w:pPr>
    </w:p>
    <w:p w14:paraId="65A875A6" w14:textId="77777777" w:rsidR="00CA2084" w:rsidRPr="00993BEB" w:rsidRDefault="00CA2084" w:rsidP="00225D5D">
      <w:r w:rsidRPr="00993BEB">
        <w:rPr>
          <w:noProof/>
        </w:rPr>
        <w:drawing>
          <wp:inline distT="0" distB="0" distL="0" distR="0" wp14:anchorId="0DA5B97E" wp14:editId="29C9DE2F">
            <wp:extent cx="5270500" cy="3980392"/>
            <wp:effectExtent l="0" t="0" r="12700" b="330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B645F0" w14:textId="77777777" w:rsidR="00CA2084" w:rsidRPr="00993BEB" w:rsidRDefault="00CA2084" w:rsidP="00E51657">
      <w:pPr>
        <w:jc w:val="both"/>
      </w:pPr>
      <w:r w:rsidRPr="00993BEB">
        <w:rPr>
          <w:b/>
        </w:rPr>
        <w:t>Figure 3:</w:t>
      </w:r>
      <w:r w:rsidRPr="00993BEB">
        <w:t xml:space="preserve"> The Percentage of persons committed for trial</w:t>
      </w:r>
      <w:r w:rsidRPr="00993BEB">
        <w:rPr>
          <w:lang w:val="en-GB"/>
        </w:rPr>
        <w:t xml:space="preserve"> at </w:t>
      </w:r>
      <w:r w:rsidRPr="00993BEB">
        <w:t xml:space="preserve">Assizes and Quarter Sessions in Cheshire </w:t>
      </w:r>
      <w:r w:rsidRPr="00993BEB">
        <w:rPr>
          <w:lang w:val="en-GB"/>
        </w:rPr>
        <w:t>for different offences who had been previously convicted of a felony, 1840-90</w:t>
      </w:r>
      <w:r w:rsidRPr="00993BEB">
        <w:t xml:space="preserve"> </w:t>
      </w:r>
    </w:p>
    <w:p w14:paraId="589F544A" w14:textId="77777777" w:rsidR="00CA2084" w:rsidRDefault="00CA2084" w:rsidP="002F67B6">
      <w:pPr>
        <w:spacing w:line="360" w:lineRule="auto"/>
        <w:jc w:val="both"/>
        <w:rPr>
          <w:color w:val="FF0000"/>
        </w:rPr>
      </w:pPr>
    </w:p>
    <w:p w14:paraId="1C3240EF" w14:textId="2EEE4897" w:rsidR="00CA2084" w:rsidRDefault="00CA2084" w:rsidP="002F67B6">
      <w:pPr>
        <w:spacing w:line="360" w:lineRule="auto"/>
        <w:jc w:val="both"/>
      </w:pPr>
      <w:r>
        <w:t>Between 1840 and 1890</w:t>
      </w:r>
      <w:r w:rsidRPr="002F67B6">
        <w:t>, the percentage of persons committed for tr</w:t>
      </w:r>
      <w:r>
        <w:t>ial</w:t>
      </w:r>
      <w:r w:rsidRPr="002F67B6">
        <w:t xml:space="preserve"> at </w:t>
      </w:r>
      <w:r w:rsidR="000C5B4C">
        <w:t xml:space="preserve">Cheshire </w:t>
      </w:r>
      <w:r w:rsidRPr="002F67B6">
        <w:t xml:space="preserve">assizes and quarter sessions who had previously been convicted of a felony increased </w:t>
      </w:r>
      <w:r>
        <w:t xml:space="preserve">from just under one in ten to just under a third. The </w:t>
      </w:r>
      <w:r w:rsidR="00F767E8" w:rsidRPr="00F767E8">
        <w:rPr>
          <w:color w:val="FF0000"/>
        </w:rPr>
        <w:t>percentage</w:t>
      </w:r>
      <w:r w:rsidRPr="00F767E8">
        <w:rPr>
          <w:color w:val="FF0000"/>
        </w:rPr>
        <w:t xml:space="preserve"> </w:t>
      </w:r>
      <w:r>
        <w:t xml:space="preserve">committed for trial for property offences without violence who had previously </w:t>
      </w:r>
      <w:r>
        <w:lastRenderedPageBreak/>
        <w:t xml:space="preserve">been convicted of a felony increased from 11% to 46%, while the percentage of those committed for larceny increased from 13% to 62%. Offences against property involving violence also witnessed a large increase: from 7% to 49%. In contrast, few of those who were committed for trial for an offence against the person had previously been convicted of a felony (less than half a percent over the period). Pearson R tests indicated that there were significant negative correlations between the number of persons committed for trial for property offences with and without violence and larceny and the percentage of those who had previously been convicted of a felony. As fewer and fewer persons were committed for trial for these offences, more and more of them had a previous </w:t>
      </w:r>
      <w:r w:rsidR="00F767E8" w:rsidRPr="00F767E8">
        <w:rPr>
          <w:color w:val="FF0000"/>
        </w:rPr>
        <w:t>felony</w:t>
      </w:r>
      <w:r w:rsidR="00F767E8">
        <w:t xml:space="preserve"> </w:t>
      </w:r>
      <w:r>
        <w:t>conviction.</w:t>
      </w:r>
      <w:r>
        <w:rPr>
          <w:rStyle w:val="FootnoteReference"/>
        </w:rPr>
        <w:footnoteReference w:id="19"/>
      </w:r>
      <w:r>
        <w:t xml:space="preserve"> Those with prior convictions were more likely to be convicted (88% compared with 74% of those with no prior conviction) and also less likely to have the indictment against them dismissed by a Grand Jury (2.3% compared with 5%).</w:t>
      </w:r>
      <w:r w:rsidR="000A6F02">
        <w:rPr>
          <w:rStyle w:val="FootnoteReference"/>
        </w:rPr>
        <w:footnoteReference w:id="20"/>
      </w:r>
    </w:p>
    <w:p w14:paraId="2928C0B9" w14:textId="77777777" w:rsidR="00CA2084" w:rsidRDefault="00CA2084" w:rsidP="00F80C86">
      <w:pPr>
        <w:spacing w:line="360" w:lineRule="auto"/>
        <w:jc w:val="both"/>
        <w:rPr>
          <w:lang w:val="en-GB"/>
        </w:rPr>
      </w:pPr>
    </w:p>
    <w:p w14:paraId="5E156183" w14:textId="7577C6DB" w:rsidR="00CA2084" w:rsidRDefault="00CA2084" w:rsidP="00F80C86">
      <w:pPr>
        <w:spacing w:line="360" w:lineRule="auto"/>
        <w:jc w:val="both"/>
        <w:rPr>
          <w:lang w:val="en-GB"/>
        </w:rPr>
      </w:pPr>
      <w:r>
        <w:rPr>
          <w:lang w:val="en-GB"/>
        </w:rPr>
        <w:tab/>
        <w:t xml:space="preserve">Another factor that explains the decline in the number of persons committed for trial across Cheshire in the latter half of the nineteenth century is the growth of summary jurisdiction in the English and Welsh courts during the period. Between 1847 and 1879 a series of Acts removed forms of larceny from the assizes and quarter sessions and placed them within summary jurisdiction. The 1847 and 1850 Juvenile Offenders Acts allowed for the summary trial of </w:t>
      </w:r>
      <w:r>
        <w:rPr>
          <w:lang w:val="en-GB"/>
        </w:rPr>
        <w:lastRenderedPageBreak/>
        <w:t xml:space="preserve">juveniles (aged fourteen and then sixteen years of age) accused of larceny, restricting the maximum sentence that could be passed to three months imprisonment. The 1855 and 1879 Criminal Justice Acts extended summary jurisdiction to, among other offences, larcenies involving property valued under five shillings, all simple thefts if the accused pleaded guilty, and almost all offences committed by children under the age of twelve. </w:t>
      </w:r>
      <w:r w:rsidRPr="00714079">
        <w:rPr>
          <w:lang w:val="en-GB"/>
        </w:rPr>
        <w:t>The impact of these changes on the Victorian criminal justice system was immense: between 1854 and 1856, the number of persons committed for trial for indictable offences across England and Wales declined by almost 40%, from 25,677 to 15,928 (38%), and by the end of the nineteenth century, almost 90% of offences against property without violence (and almost 80% of all previously indictable offences) were being tried summarily.</w:t>
      </w:r>
      <w:r w:rsidRPr="00714079">
        <w:rPr>
          <w:rStyle w:val="FootnoteReference"/>
          <w:lang w:val="en-GB"/>
        </w:rPr>
        <w:footnoteReference w:id="21"/>
      </w:r>
      <w:r w:rsidRPr="00E3327B">
        <w:rPr>
          <w:color w:val="FF0000"/>
          <w:lang w:val="en-GB"/>
        </w:rPr>
        <w:t xml:space="preserve"> </w:t>
      </w:r>
      <w:r w:rsidRPr="00714079">
        <w:rPr>
          <w:lang w:val="en-GB"/>
        </w:rPr>
        <w:t>However, over the same period (1858-99), the number of persons tried summarily almost doubled from 404.034</w:t>
      </w:r>
      <w:r w:rsidRPr="00714079">
        <w:rPr>
          <w:color w:val="FF0000"/>
          <w:lang w:val="en-GB"/>
        </w:rPr>
        <w:t xml:space="preserve"> </w:t>
      </w:r>
      <w:r w:rsidRPr="00C2197E">
        <w:rPr>
          <w:lang w:val="en-GB"/>
        </w:rPr>
        <w:t>to 800,914.</w:t>
      </w:r>
      <w:r w:rsidRPr="00714079">
        <w:rPr>
          <w:color w:val="FF0000"/>
          <w:lang w:val="en-GB"/>
        </w:rPr>
        <w:t xml:space="preserve"> </w:t>
      </w:r>
      <w:r>
        <w:rPr>
          <w:lang w:val="en-GB"/>
        </w:rPr>
        <w:t xml:space="preserve">Thus, while it is indeed true that the number of persons committed for trial at assizes and quarter sessions declined over the period, this decline was counterbalanced by the rapid growth in the number of persons tried under summary jurisdiction. </w:t>
      </w:r>
    </w:p>
    <w:p w14:paraId="0D8CA3A2" w14:textId="77777777" w:rsidR="00CA2084" w:rsidRDefault="00CA2084" w:rsidP="00F80C86">
      <w:pPr>
        <w:spacing w:line="360" w:lineRule="auto"/>
        <w:jc w:val="both"/>
        <w:rPr>
          <w:lang w:val="en-GB"/>
        </w:rPr>
      </w:pPr>
    </w:p>
    <w:p w14:paraId="64822309" w14:textId="77777777" w:rsidR="00CA2084" w:rsidRDefault="00CA2084" w:rsidP="00225D5D">
      <w:pPr>
        <w:jc w:val="both"/>
        <w:rPr>
          <w:b/>
          <w:lang w:val="en-GB"/>
        </w:rPr>
      </w:pPr>
      <w:r>
        <w:rPr>
          <w:b/>
          <w:noProof/>
        </w:rPr>
        <w:drawing>
          <wp:inline distT="0" distB="0" distL="0" distR="0" wp14:anchorId="2ABB0D33" wp14:editId="5C1DA467">
            <wp:extent cx="5270500" cy="3074670"/>
            <wp:effectExtent l="0" t="0" r="12700"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870AED" w14:textId="77777777" w:rsidR="00CA2084" w:rsidRPr="00764CBC" w:rsidRDefault="00CA2084" w:rsidP="00225D5D">
      <w:pPr>
        <w:jc w:val="both"/>
        <w:rPr>
          <w:lang w:val="en-GB"/>
        </w:rPr>
      </w:pPr>
      <w:r w:rsidRPr="00764CBC">
        <w:rPr>
          <w:b/>
          <w:lang w:val="en-GB"/>
        </w:rPr>
        <w:t>Figure 4:</w:t>
      </w:r>
      <w:r w:rsidRPr="00764CBC">
        <w:rPr>
          <w:lang w:val="en-GB"/>
        </w:rPr>
        <w:t xml:space="preserve"> The number of persons committed for trial at </w:t>
      </w:r>
      <w:r w:rsidRPr="00764CBC">
        <w:t xml:space="preserve">Assizes and Quarter Sessions in Cheshire </w:t>
      </w:r>
      <w:r w:rsidRPr="00764CBC">
        <w:rPr>
          <w:lang w:val="en-GB"/>
        </w:rPr>
        <w:t xml:space="preserve">for all property offences, offences against property not </w:t>
      </w:r>
      <w:r w:rsidRPr="00764CBC">
        <w:rPr>
          <w:lang w:val="en-GB"/>
        </w:rPr>
        <w:lastRenderedPageBreak/>
        <w:t>involving violence, and larceny, 1840-90. Also shown is the number of persons tried for larcenies under summary jurisdiction in Cheshire, 1857-90.</w:t>
      </w:r>
      <w:r w:rsidRPr="00764CBC">
        <w:rPr>
          <w:rStyle w:val="FootnoteReference"/>
          <w:lang w:val="en-GB"/>
        </w:rPr>
        <w:footnoteReference w:id="22"/>
      </w:r>
    </w:p>
    <w:p w14:paraId="5BC42DD7" w14:textId="77777777" w:rsidR="00CA2084" w:rsidRDefault="00CA2084" w:rsidP="003C3DC5">
      <w:pPr>
        <w:jc w:val="both"/>
      </w:pPr>
    </w:p>
    <w:p w14:paraId="169531CE" w14:textId="2ADC74D3" w:rsidR="00CA2084" w:rsidRDefault="00CA2084" w:rsidP="000C51A5">
      <w:pPr>
        <w:spacing w:line="360" w:lineRule="auto"/>
        <w:jc w:val="both"/>
      </w:pPr>
      <w:r>
        <w:t>Over the period, the number of persons committed for trial across Cheshire for all forms of property offences, property offences not involving violence and larceny declined rapidly</w:t>
      </w:r>
      <w:r w:rsidR="00545818">
        <w:t xml:space="preserve"> </w:t>
      </w:r>
      <w:r w:rsidR="00545818" w:rsidRPr="00545818">
        <w:rPr>
          <w:color w:val="FF0000"/>
        </w:rPr>
        <w:t>(figure 4)</w:t>
      </w:r>
      <w:r>
        <w:t>. Whereas just over 800 persons were committed for trial in 1840 across the county for property offences not involving violence, by 1889 this had fallen to just 144. Indeed, by 1889, those committed for trial for larceny could just about be counted in double-digits (99 persons). However, between 1858 and 1889, the number of persons tried under the various summary jurisdiction Acts increased by over 50%, from 667 to 1022 (53%). Put another way, by 1890 only around 10% of those tried across Cheshire for larceny were being tried at the county assizes and quarter sessions.</w:t>
      </w:r>
    </w:p>
    <w:p w14:paraId="0494E6DE" w14:textId="77777777" w:rsidR="00CA2084" w:rsidRDefault="00CA2084" w:rsidP="000C51A5">
      <w:pPr>
        <w:spacing w:line="360" w:lineRule="auto"/>
        <w:jc w:val="both"/>
      </w:pPr>
    </w:p>
    <w:p w14:paraId="35B71F36" w14:textId="6A577028" w:rsidR="00CA2084" w:rsidRDefault="00CA2084" w:rsidP="00B01579">
      <w:pPr>
        <w:spacing w:line="360" w:lineRule="auto"/>
        <w:jc w:val="both"/>
      </w:pPr>
      <w:r>
        <w:tab/>
        <w:t>Figure 5 shows the different offences for which men and women were committed for trial across Cheshire over the period:</w:t>
      </w:r>
    </w:p>
    <w:p w14:paraId="057108C4" w14:textId="77777777" w:rsidR="00CA2084" w:rsidRDefault="00CA2084" w:rsidP="00B01579">
      <w:pPr>
        <w:spacing w:line="360" w:lineRule="auto"/>
        <w:jc w:val="both"/>
      </w:pPr>
    </w:p>
    <w:tbl>
      <w:tblPr>
        <w:tblStyle w:val="TableGrid"/>
        <w:tblW w:w="0" w:type="auto"/>
        <w:tblLook w:val="04A0" w:firstRow="1" w:lastRow="0" w:firstColumn="1" w:lastColumn="0" w:noHBand="0" w:noVBand="1"/>
      </w:tblPr>
      <w:tblGrid>
        <w:gridCol w:w="2562"/>
        <w:gridCol w:w="1253"/>
        <w:gridCol w:w="3314"/>
        <w:gridCol w:w="1161"/>
      </w:tblGrid>
      <w:tr w:rsidR="00CA2084" w14:paraId="21ACABBC" w14:textId="77777777" w:rsidTr="0049322D">
        <w:tc>
          <w:tcPr>
            <w:tcW w:w="2660" w:type="dxa"/>
          </w:tcPr>
          <w:p w14:paraId="11E5776A" w14:textId="77777777" w:rsidR="00CA2084" w:rsidRPr="00276FB6" w:rsidRDefault="00CA2084" w:rsidP="0049322D">
            <w:pPr>
              <w:jc w:val="center"/>
              <w:rPr>
                <w:b/>
              </w:rPr>
            </w:pPr>
            <w:r>
              <w:rPr>
                <w:b/>
              </w:rPr>
              <w:t>Class of Offences</w:t>
            </w:r>
          </w:p>
        </w:tc>
        <w:tc>
          <w:tcPr>
            <w:tcW w:w="1276" w:type="dxa"/>
          </w:tcPr>
          <w:p w14:paraId="2B22CF30" w14:textId="77777777" w:rsidR="00CA2084" w:rsidRPr="00276FB6" w:rsidRDefault="00CA2084" w:rsidP="0049322D">
            <w:pPr>
              <w:jc w:val="center"/>
              <w:rPr>
                <w:b/>
              </w:rPr>
            </w:pPr>
            <w:r w:rsidRPr="00276FB6">
              <w:rPr>
                <w:b/>
              </w:rPr>
              <w:t>No &amp; %</w:t>
            </w:r>
          </w:p>
        </w:tc>
        <w:tc>
          <w:tcPr>
            <w:tcW w:w="3402" w:type="dxa"/>
          </w:tcPr>
          <w:p w14:paraId="71732852" w14:textId="77777777" w:rsidR="00CA2084" w:rsidRPr="00276FB6" w:rsidRDefault="00CA2084" w:rsidP="0049322D">
            <w:pPr>
              <w:jc w:val="center"/>
              <w:rPr>
                <w:b/>
              </w:rPr>
            </w:pPr>
            <w:r>
              <w:rPr>
                <w:b/>
              </w:rPr>
              <w:t>Offence</w:t>
            </w:r>
          </w:p>
        </w:tc>
        <w:tc>
          <w:tcPr>
            <w:tcW w:w="1178" w:type="dxa"/>
          </w:tcPr>
          <w:p w14:paraId="69DEC15B" w14:textId="77777777" w:rsidR="00CA2084" w:rsidRPr="00276FB6" w:rsidRDefault="00CA2084" w:rsidP="0049322D">
            <w:pPr>
              <w:jc w:val="center"/>
              <w:rPr>
                <w:b/>
              </w:rPr>
            </w:pPr>
            <w:r w:rsidRPr="00276FB6">
              <w:rPr>
                <w:b/>
              </w:rPr>
              <w:t>No &amp; %</w:t>
            </w:r>
          </w:p>
        </w:tc>
      </w:tr>
      <w:tr w:rsidR="00CA2084" w14:paraId="5FCDE4BE" w14:textId="77777777" w:rsidTr="0049322D">
        <w:tc>
          <w:tcPr>
            <w:tcW w:w="2660" w:type="dxa"/>
            <w:vMerge w:val="restart"/>
          </w:tcPr>
          <w:p w14:paraId="7844FF72" w14:textId="77777777" w:rsidR="00CA2084" w:rsidRDefault="00CA2084" w:rsidP="0049322D">
            <w:pPr>
              <w:jc w:val="center"/>
            </w:pPr>
            <w:r>
              <w:t>Offences against the person</w:t>
            </w:r>
          </w:p>
        </w:tc>
        <w:tc>
          <w:tcPr>
            <w:tcW w:w="1276" w:type="dxa"/>
            <w:vMerge w:val="restart"/>
          </w:tcPr>
          <w:p w14:paraId="0A08A271" w14:textId="77777777" w:rsidR="00CA2084" w:rsidRDefault="00CA2084" w:rsidP="0049322D">
            <w:pPr>
              <w:jc w:val="center"/>
            </w:pPr>
            <w:r>
              <w:t>3,824</w:t>
            </w:r>
            <w:r>
              <w:br/>
              <w:t>(12%)</w:t>
            </w:r>
          </w:p>
        </w:tc>
        <w:tc>
          <w:tcPr>
            <w:tcW w:w="3402" w:type="dxa"/>
          </w:tcPr>
          <w:p w14:paraId="084C7D6E" w14:textId="77777777" w:rsidR="00CA2084" w:rsidRDefault="00CA2084" w:rsidP="0049322D">
            <w:pPr>
              <w:jc w:val="center"/>
            </w:pPr>
            <w:r>
              <w:t>Wounding and assault</w:t>
            </w:r>
          </w:p>
        </w:tc>
        <w:tc>
          <w:tcPr>
            <w:tcW w:w="1178" w:type="dxa"/>
          </w:tcPr>
          <w:p w14:paraId="79749729" w14:textId="77777777" w:rsidR="00CA2084" w:rsidRDefault="00CA2084" w:rsidP="0049322D">
            <w:pPr>
              <w:jc w:val="center"/>
            </w:pPr>
            <w:r>
              <w:t>1,538</w:t>
            </w:r>
          </w:p>
          <w:p w14:paraId="08D7F490" w14:textId="77777777" w:rsidR="00CA2084" w:rsidRDefault="00CA2084" w:rsidP="0049322D">
            <w:pPr>
              <w:jc w:val="center"/>
            </w:pPr>
            <w:r>
              <w:t>(5%)</w:t>
            </w:r>
          </w:p>
        </w:tc>
      </w:tr>
      <w:tr w:rsidR="00CA2084" w14:paraId="2E304F92" w14:textId="77777777" w:rsidTr="0049322D">
        <w:tc>
          <w:tcPr>
            <w:tcW w:w="2660" w:type="dxa"/>
            <w:vMerge/>
          </w:tcPr>
          <w:p w14:paraId="78CD4235" w14:textId="77777777" w:rsidR="00CA2084" w:rsidRDefault="00CA2084" w:rsidP="0049322D">
            <w:pPr>
              <w:jc w:val="center"/>
            </w:pPr>
          </w:p>
        </w:tc>
        <w:tc>
          <w:tcPr>
            <w:tcW w:w="1276" w:type="dxa"/>
            <w:vMerge/>
          </w:tcPr>
          <w:p w14:paraId="7571EEC0" w14:textId="77777777" w:rsidR="00CA2084" w:rsidRDefault="00CA2084" w:rsidP="0049322D">
            <w:pPr>
              <w:jc w:val="center"/>
            </w:pPr>
          </w:p>
        </w:tc>
        <w:tc>
          <w:tcPr>
            <w:tcW w:w="3402" w:type="dxa"/>
          </w:tcPr>
          <w:p w14:paraId="2EE13390" w14:textId="77777777" w:rsidR="00CA2084" w:rsidRDefault="00CA2084" w:rsidP="0049322D">
            <w:pPr>
              <w:jc w:val="center"/>
            </w:pPr>
            <w:r>
              <w:t>Indecent assault, attempted rape etc.</w:t>
            </w:r>
          </w:p>
        </w:tc>
        <w:tc>
          <w:tcPr>
            <w:tcW w:w="1178" w:type="dxa"/>
          </w:tcPr>
          <w:p w14:paraId="1083DFE0" w14:textId="77777777" w:rsidR="00CA2084" w:rsidRDefault="00CA2084" w:rsidP="0049322D">
            <w:pPr>
              <w:jc w:val="center"/>
            </w:pPr>
            <w:r>
              <w:t>481</w:t>
            </w:r>
            <w:r>
              <w:br/>
              <w:t>(1%)</w:t>
            </w:r>
          </w:p>
        </w:tc>
      </w:tr>
      <w:tr w:rsidR="00CA2084" w14:paraId="66265D0F" w14:textId="77777777" w:rsidTr="0049322D">
        <w:tc>
          <w:tcPr>
            <w:tcW w:w="2660" w:type="dxa"/>
            <w:vMerge/>
          </w:tcPr>
          <w:p w14:paraId="0E695A8D" w14:textId="77777777" w:rsidR="00CA2084" w:rsidRDefault="00CA2084" w:rsidP="0049322D">
            <w:pPr>
              <w:jc w:val="center"/>
            </w:pPr>
          </w:p>
        </w:tc>
        <w:tc>
          <w:tcPr>
            <w:tcW w:w="1276" w:type="dxa"/>
            <w:vMerge/>
          </w:tcPr>
          <w:p w14:paraId="7AC383C6" w14:textId="77777777" w:rsidR="00CA2084" w:rsidRDefault="00CA2084" w:rsidP="0049322D">
            <w:pPr>
              <w:jc w:val="center"/>
            </w:pPr>
          </w:p>
        </w:tc>
        <w:tc>
          <w:tcPr>
            <w:tcW w:w="3402" w:type="dxa"/>
          </w:tcPr>
          <w:p w14:paraId="39A337BE" w14:textId="77777777" w:rsidR="00CA2084" w:rsidRDefault="00CA2084" w:rsidP="0049322D">
            <w:pPr>
              <w:jc w:val="center"/>
            </w:pPr>
            <w:r>
              <w:t>Manslaughter</w:t>
            </w:r>
          </w:p>
        </w:tc>
        <w:tc>
          <w:tcPr>
            <w:tcW w:w="1178" w:type="dxa"/>
          </w:tcPr>
          <w:p w14:paraId="459E54C1" w14:textId="77777777" w:rsidR="00CA2084" w:rsidRDefault="00CA2084" w:rsidP="0049322D">
            <w:pPr>
              <w:jc w:val="center"/>
            </w:pPr>
            <w:r>
              <w:t>356</w:t>
            </w:r>
            <w:r>
              <w:br/>
              <w:t>(1%)</w:t>
            </w:r>
          </w:p>
        </w:tc>
      </w:tr>
      <w:tr w:rsidR="00CA2084" w14:paraId="62D24130" w14:textId="77777777" w:rsidTr="0049322D">
        <w:tc>
          <w:tcPr>
            <w:tcW w:w="2660" w:type="dxa"/>
            <w:vMerge/>
          </w:tcPr>
          <w:p w14:paraId="68CCE655" w14:textId="77777777" w:rsidR="00CA2084" w:rsidRDefault="00CA2084" w:rsidP="0049322D">
            <w:pPr>
              <w:jc w:val="center"/>
            </w:pPr>
          </w:p>
        </w:tc>
        <w:tc>
          <w:tcPr>
            <w:tcW w:w="1276" w:type="dxa"/>
            <w:vMerge/>
          </w:tcPr>
          <w:p w14:paraId="17AD3B93" w14:textId="77777777" w:rsidR="00CA2084" w:rsidRDefault="00CA2084" w:rsidP="0049322D">
            <w:pPr>
              <w:jc w:val="center"/>
            </w:pPr>
          </w:p>
        </w:tc>
        <w:tc>
          <w:tcPr>
            <w:tcW w:w="3402" w:type="dxa"/>
          </w:tcPr>
          <w:p w14:paraId="6BD33112" w14:textId="77777777" w:rsidR="00CA2084" w:rsidRDefault="00CA2084" w:rsidP="0049322D">
            <w:pPr>
              <w:jc w:val="center"/>
            </w:pPr>
            <w:r>
              <w:t>Assault on a police officer</w:t>
            </w:r>
          </w:p>
        </w:tc>
        <w:tc>
          <w:tcPr>
            <w:tcW w:w="1178" w:type="dxa"/>
          </w:tcPr>
          <w:p w14:paraId="200E61FF" w14:textId="77777777" w:rsidR="00CA2084" w:rsidRDefault="00CA2084" w:rsidP="0049322D">
            <w:pPr>
              <w:jc w:val="center"/>
            </w:pPr>
            <w:r>
              <w:t>348</w:t>
            </w:r>
            <w:r>
              <w:br/>
              <w:t>(1%)</w:t>
            </w:r>
          </w:p>
        </w:tc>
      </w:tr>
      <w:tr w:rsidR="00CA2084" w14:paraId="0C5C6A4C" w14:textId="77777777" w:rsidTr="0049322D">
        <w:tc>
          <w:tcPr>
            <w:tcW w:w="2660" w:type="dxa"/>
            <w:vMerge/>
          </w:tcPr>
          <w:p w14:paraId="371BA834" w14:textId="77777777" w:rsidR="00CA2084" w:rsidRDefault="00CA2084" w:rsidP="0049322D">
            <w:pPr>
              <w:jc w:val="center"/>
            </w:pPr>
          </w:p>
        </w:tc>
        <w:tc>
          <w:tcPr>
            <w:tcW w:w="1276" w:type="dxa"/>
            <w:vMerge/>
          </w:tcPr>
          <w:p w14:paraId="3B109D98" w14:textId="77777777" w:rsidR="00CA2084" w:rsidRDefault="00CA2084" w:rsidP="0049322D">
            <w:pPr>
              <w:jc w:val="center"/>
            </w:pPr>
          </w:p>
        </w:tc>
        <w:tc>
          <w:tcPr>
            <w:tcW w:w="3402" w:type="dxa"/>
          </w:tcPr>
          <w:p w14:paraId="077AADBC" w14:textId="77777777" w:rsidR="00CA2084" w:rsidRDefault="00CA2084" w:rsidP="0049322D">
            <w:pPr>
              <w:jc w:val="center"/>
            </w:pPr>
            <w:r>
              <w:t>Bigamy (inc. aiding)</w:t>
            </w:r>
          </w:p>
        </w:tc>
        <w:tc>
          <w:tcPr>
            <w:tcW w:w="1178" w:type="dxa"/>
          </w:tcPr>
          <w:p w14:paraId="0867ACCA" w14:textId="77777777" w:rsidR="00CA2084" w:rsidRDefault="00CA2084" w:rsidP="0049322D">
            <w:pPr>
              <w:jc w:val="center"/>
            </w:pPr>
            <w:r>
              <w:t>210</w:t>
            </w:r>
            <w:r>
              <w:br/>
              <w:t>(1%)</w:t>
            </w:r>
          </w:p>
        </w:tc>
      </w:tr>
      <w:tr w:rsidR="00CA2084" w14:paraId="1DFADADF" w14:textId="77777777" w:rsidTr="0049322D">
        <w:tc>
          <w:tcPr>
            <w:tcW w:w="2660" w:type="dxa"/>
            <w:vMerge/>
          </w:tcPr>
          <w:p w14:paraId="50669FD4" w14:textId="77777777" w:rsidR="00CA2084" w:rsidRDefault="00CA2084" w:rsidP="0049322D">
            <w:pPr>
              <w:jc w:val="center"/>
            </w:pPr>
          </w:p>
        </w:tc>
        <w:tc>
          <w:tcPr>
            <w:tcW w:w="1276" w:type="dxa"/>
            <w:vMerge/>
          </w:tcPr>
          <w:p w14:paraId="0C0E6707" w14:textId="77777777" w:rsidR="00CA2084" w:rsidRDefault="00CA2084" w:rsidP="0049322D">
            <w:pPr>
              <w:jc w:val="center"/>
            </w:pPr>
          </w:p>
        </w:tc>
        <w:tc>
          <w:tcPr>
            <w:tcW w:w="3402" w:type="dxa"/>
          </w:tcPr>
          <w:p w14:paraId="1F93374F" w14:textId="77777777" w:rsidR="00CA2084" w:rsidRDefault="00CA2084" w:rsidP="0049322D">
            <w:pPr>
              <w:jc w:val="center"/>
            </w:pPr>
            <w:r>
              <w:t>Rape</w:t>
            </w:r>
          </w:p>
        </w:tc>
        <w:tc>
          <w:tcPr>
            <w:tcW w:w="1178" w:type="dxa"/>
          </w:tcPr>
          <w:p w14:paraId="6DBD9B47" w14:textId="77777777" w:rsidR="00CA2084" w:rsidRDefault="00CA2084" w:rsidP="0049322D">
            <w:pPr>
              <w:jc w:val="center"/>
            </w:pPr>
            <w:r>
              <w:t>200</w:t>
            </w:r>
            <w:r>
              <w:br/>
              <w:t>(1%)</w:t>
            </w:r>
          </w:p>
        </w:tc>
      </w:tr>
      <w:tr w:rsidR="00CA2084" w14:paraId="6991440F" w14:textId="77777777" w:rsidTr="0049322D">
        <w:tc>
          <w:tcPr>
            <w:tcW w:w="2660" w:type="dxa"/>
            <w:vMerge/>
          </w:tcPr>
          <w:p w14:paraId="3BAB5C07" w14:textId="77777777" w:rsidR="00CA2084" w:rsidRDefault="00CA2084" w:rsidP="0049322D">
            <w:pPr>
              <w:jc w:val="center"/>
            </w:pPr>
          </w:p>
        </w:tc>
        <w:tc>
          <w:tcPr>
            <w:tcW w:w="1276" w:type="dxa"/>
            <w:vMerge/>
          </w:tcPr>
          <w:p w14:paraId="37F6492B" w14:textId="77777777" w:rsidR="00CA2084" w:rsidRDefault="00CA2084" w:rsidP="0049322D">
            <w:pPr>
              <w:jc w:val="center"/>
            </w:pPr>
          </w:p>
        </w:tc>
        <w:tc>
          <w:tcPr>
            <w:tcW w:w="3402" w:type="dxa"/>
          </w:tcPr>
          <w:p w14:paraId="7E61BB2D" w14:textId="77777777" w:rsidR="00CA2084" w:rsidRDefault="00CA2084" w:rsidP="0049322D">
            <w:pPr>
              <w:jc w:val="center"/>
            </w:pPr>
            <w:r>
              <w:t>Sexual assault on children</w:t>
            </w:r>
          </w:p>
        </w:tc>
        <w:tc>
          <w:tcPr>
            <w:tcW w:w="1178" w:type="dxa"/>
          </w:tcPr>
          <w:p w14:paraId="0656B545" w14:textId="77777777" w:rsidR="00CA2084" w:rsidRDefault="00CA2084" w:rsidP="0049322D">
            <w:pPr>
              <w:jc w:val="center"/>
            </w:pPr>
            <w:r>
              <w:t>167</w:t>
            </w:r>
          </w:p>
          <w:p w14:paraId="4774DEB9" w14:textId="77777777" w:rsidR="00CA2084" w:rsidRDefault="00CA2084" w:rsidP="0049322D">
            <w:pPr>
              <w:jc w:val="center"/>
            </w:pPr>
            <w:r>
              <w:t>(1%)</w:t>
            </w:r>
          </w:p>
        </w:tc>
      </w:tr>
      <w:tr w:rsidR="00CA2084" w14:paraId="2393005D" w14:textId="77777777" w:rsidTr="0049322D">
        <w:tc>
          <w:tcPr>
            <w:tcW w:w="2660" w:type="dxa"/>
            <w:vMerge/>
          </w:tcPr>
          <w:p w14:paraId="04ECE006" w14:textId="77777777" w:rsidR="00CA2084" w:rsidRDefault="00CA2084" w:rsidP="0049322D">
            <w:pPr>
              <w:jc w:val="center"/>
            </w:pPr>
          </w:p>
        </w:tc>
        <w:tc>
          <w:tcPr>
            <w:tcW w:w="1276" w:type="dxa"/>
            <w:vMerge/>
          </w:tcPr>
          <w:p w14:paraId="0E5B013A" w14:textId="77777777" w:rsidR="00CA2084" w:rsidRDefault="00CA2084" w:rsidP="0049322D">
            <w:pPr>
              <w:jc w:val="center"/>
            </w:pPr>
          </w:p>
        </w:tc>
        <w:tc>
          <w:tcPr>
            <w:tcW w:w="3402" w:type="dxa"/>
          </w:tcPr>
          <w:p w14:paraId="544AC6A4" w14:textId="77777777" w:rsidR="00CA2084" w:rsidRDefault="00CA2084" w:rsidP="0049322D">
            <w:pPr>
              <w:jc w:val="center"/>
            </w:pPr>
            <w:r>
              <w:t xml:space="preserve">Shooting, stabbing, cutting </w:t>
            </w:r>
            <w:proofErr w:type="spellStart"/>
            <w:r>
              <w:t>etc</w:t>
            </w:r>
            <w:proofErr w:type="spellEnd"/>
          </w:p>
        </w:tc>
        <w:tc>
          <w:tcPr>
            <w:tcW w:w="1178" w:type="dxa"/>
          </w:tcPr>
          <w:p w14:paraId="53B360BC" w14:textId="77777777" w:rsidR="00CA2084" w:rsidRDefault="00CA2084" w:rsidP="0049322D">
            <w:pPr>
              <w:jc w:val="center"/>
            </w:pPr>
            <w:r>
              <w:t>139</w:t>
            </w:r>
            <w:r>
              <w:br/>
              <w:t>(&lt;1%)</w:t>
            </w:r>
          </w:p>
        </w:tc>
      </w:tr>
      <w:tr w:rsidR="00CA2084" w14:paraId="3AB5A7B9" w14:textId="77777777" w:rsidTr="0049322D">
        <w:tc>
          <w:tcPr>
            <w:tcW w:w="2660" w:type="dxa"/>
            <w:vMerge/>
          </w:tcPr>
          <w:p w14:paraId="5981B11F" w14:textId="77777777" w:rsidR="00CA2084" w:rsidRDefault="00CA2084" w:rsidP="0049322D">
            <w:pPr>
              <w:jc w:val="center"/>
            </w:pPr>
          </w:p>
        </w:tc>
        <w:tc>
          <w:tcPr>
            <w:tcW w:w="1276" w:type="dxa"/>
            <w:vMerge/>
          </w:tcPr>
          <w:p w14:paraId="5F74DB16" w14:textId="77777777" w:rsidR="00CA2084" w:rsidRDefault="00CA2084" w:rsidP="0049322D">
            <w:pPr>
              <w:jc w:val="center"/>
            </w:pPr>
          </w:p>
        </w:tc>
        <w:tc>
          <w:tcPr>
            <w:tcW w:w="3402" w:type="dxa"/>
          </w:tcPr>
          <w:p w14:paraId="2105B941" w14:textId="77777777" w:rsidR="00CA2084" w:rsidRDefault="00CA2084" w:rsidP="0049322D">
            <w:pPr>
              <w:jc w:val="center"/>
            </w:pPr>
            <w:r>
              <w:t>Murder (inc. aiding &amp; being an accessory)</w:t>
            </w:r>
          </w:p>
        </w:tc>
        <w:tc>
          <w:tcPr>
            <w:tcW w:w="1178" w:type="dxa"/>
          </w:tcPr>
          <w:p w14:paraId="73A0B96B" w14:textId="77777777" w:rsidR="00CA2084" w:rsidRDefault="00CA2084" w:rsidP="0049322D">
            <w:pPr>
              <w:jc w:val="center"/>
            </w:pPr>
            <w:r>
              <w:t>118</w:t>
            </w:r>
          </w:p>
          <w:p w14:paraId="77F630A8" w14:textId="77777777" w:rsidR="00CA2084" w:rsidRDefault="00CA2084" w:rsidP="0049322D">
            <w:pPr>
              <w:jc w:val="center"/>
            </w:pPr>
            <w:r>
              <w:t>(&lt;1%)</w:t>
            </w:r>
          </w:p>
        </w:tc>
      </w:tr>
      <w:tr w:rsidR="00CA2084" w14:paraId="504C03D3" w14:textId="77777777" w:rsidTr="0049322D">
        <w:tc>
          <w:tcPr>
            <w:tcW w:w="2660" w:type="dxa"/>
            <w:vMerge/>
          </w:tcPr>
          <w:p w14:paraId="65F04670" w14:textId="77777777" w:rsidR="00CA2084" w:rsidRDefault="00CA2084" w:rsidP="0049322D">
            <w:pPr>
              <w:jc w:val="center"/>
            </w:pPr>
          </w:p>
        </w:tc>
        <w:tc>
          <w:tcPr>
            <w:tcW w:w="1276" w:type="dxa"/>
            <w:vMerge/>
          </w:tcPr>
          <w:p w14:paraId="4DCB158C" w14:textId="77777777" w:rsidR="00CA2084" w:rsidRDefault="00CA2084" w:rsidP="0049322D">
            <w:pPr>
              <w:jc w:val="center"/>
            </w:pPr>
          </w:p>
        </w:tc>
        <w:tc>
          <w:tcPr>
            <w:tcW w:w="3402" w:type="dxa"/>
          </w:tcPr>
          <w:p w14:paraId="0306740E" w14:textId="77777777" w:rsidR="00CA2084" w:rsidRDefault="00CA2084" w:rsidP="0049322D">
            <w:pPr>
              <w:jc w:val="center"/>
            </w:pPr>
            <w:r>
              <w:t>Concealing</w:t>
            </w:r>
          </w:p>
        </w:tc>
        <w:tc>
          <w:tcPr>
            <w:tcW w:w="1178" w:type="dxa"/>
          </w:tcPr>
          <w:p w14:paraId="299EE88C" w14:textId="77777777" w:rsidR="00CA2084" w:rsidRDefault="00CA2084" w:rsidP="0049322D">
            <w:pPr>
              <w:jc w:val="center"/>
            </w:pPr>
            <w:r>
              <w:t>97</w:t>
            </w:r>
            <w:r>
              <w:br/>
              <w:t>(&lt;1%)</w:t>
            </w:r>
          </w:p>
        </w:tc>
      </w:tr>
      <w:tr w:rsidR="00CA2084" w14:paraId="0991B89E" w14:textId="77777777" w:rsidTr="0049322D">
        <w:tc>
          <w:tcPr>
            <w:tcW w:w="2660" w:type="dxa"/>
            <w:vMerge/>
          </w:tcPr>
          <w:p w14:paraId="0F3B92A4" w14:textId="77777777" w:rsidR="00CA2084" w:rsidRDefault="00CA2084" w:rsidP="0049322D">
            <w:pPr>
              <w:jc w:val="center"/>
            </w:pPr>
          </w:p>
        </w:tc>
        <w:tc>
          <w:tcPr>
            <w:tcW w:w="1276" w:type="dxa"/>
            <w:vMerge/>
          </w:tcPr>
          <w:p w14:paraId="7B756103" w14:textId="77777777" w:rsidR="00CA2084" w:rsidRDefault="00CA2084" w:rsidP="0049322D">
            <w:pPr>
              <w:jc w:val="center"/>
            </w:pPr>
          </w:p>
        </w:tc>
        <w:tc>
          <w:tcPr>
            <w:tcW w:w="3402" w:type="dxa"/>
          </w:tcPr>
          <w:p w14:paraId="61179C36" w14:textId="77777777" w:rsidR="00CA2084" w:rsidRDefault="00CA2084" w:rsidP="0049322D">
            <w:pPr>
              <w:jc w:val="center"/>
            </w:pPr>
            <w:r>
              <w:t>Bestiality (inc. attempted)</w:t>
            </w:r>
          </w:p>
        </w:tc>
        <w:tc>
          <w:tcPr>
            <w:tcW w:w="1178" w:type="dxa"/>
          </w:tcPr>
          <w:p w14:paraId="61D0A1A7" w14:textId="77777777" w:rsidR="00CA2084" w:rsidRDefault="00CA2084" w:rsidP="0049322D">
            <w:pPr>
              <w:jc w:val="center"/>
            </w:pPr>
            <w:r>
              <w:t>87</w:t>
            </w:r>
          </w:p>
          <w:p w14:paraId="1BD65BF0" w14:textId="77777777" w:rsidR="00CA2084" w:rsidRDefault="00CA2084" w:rsidP="0049322D">
            <w:pPr>
              <w:jc w:val="center"/>
            </w:pPr>
            <w:r>
              <w:t>(&lt;1%)</w:t>
            </w:r>
          </w:p>
        </w:tc>
      </w:tr>
      <w:tr w:rsidR="00CA2084" w14:paraId="3417C7B0" w14:textId="77777777" w:rsidTr="0049322D">
        <w:tc>
          <w:tcPr>
            <w:tcW w:w="2660" w:type="dxa"/>
            <w:vMerge/>
          </w:tcPr>
          <w:p w14:paraId="3664423E" w14:textId="77777777" w:rsidR="00CA2084" w:rsidRDefault="00CA2084" w:rsidP="0049322D">
            <w:pPr>
              <w:jc w:val="center"/>
            </w:pPr>
          </w:p>
        </w:tc>
        <w:tc>
          <w:tcPr>
            <w:tcW w:w="1276" w:type="dxa"/>
            <w:vMerge/>
          </w:tcPr>
          <w:p w14:paraId="3F4E0AE2" w14:textId="77777777" w:rsidR="00CA2084" w:rsidRDefault="00CA2084" w:rsidP="0049322D">
            <w:pPr>
              <w:jc w:val="center"/>
            </w:pPr>
          </w:p>
        </w:tc>
        <w:tc>
          <w:tcPr>
            <w:tcW w:w="3402" w:type="dxa"/>
          </w:tcPr>
          <w:p w14:paraId="30044915" w14:textId="77777777" w:rsidR="00CA2084" w:rsidRDefault="00CA2084" w:rsidP="0049322D">
            <w:pPr>
              <w:jc w:val="center"/>
            </w:pPr>
            <w:r>
              <w:t>Sodomy/buggery</w:t>
            </w:r>
          </w:p>
        </w:tc>
        <w:tc>
          <w:tcPr>
            <w:tcW w:w="1178" w:type="dxa"/>
          </w:tcPr>
          <w:p w14:paraId="2F748153" w14:textId="77777777" w:rsidR="00CA2084" w:rsidRDefault="00CA2084" w:rsidP="0049322D">
            <w:pPr>
              <w:jc w:val="center"/>
            </w:pPr>
            <w:r>
              <w:t>49</w:t>
            </w:r>
          </w:p>
          <w:p w14:paraId="239206B3" w14:textId="77777777" w:rsidR="00CA2084" w:rsidRDefault="00CA2084" w:rsidP="0049322D">
            <w:pPr>
              <w:jc w:val="center"/>
            </w:pPr>
            <w:r>
              <w:t>(&lt;1%)</w:t>
            </w:r>
          </w:p>
        </w:tc>
      </w:tr>
      <w:tr w:rsidR="00CA2084" w14:paraId="56CDB48E" w14:textId="77777777" w:rsidTr="0049322D">
        <w:tc>
          <w:tcPr>
            <w:tcW w:w="2660" w:type="dxa"/>
            <w:vMerge/>
          </w:tcPr>
          <w:p w14:paraId="0F54696E" w14:textId="77777777" w:rsidR="00CA2084" w:rsidRDefault="00CA2084" w:rsidP="0049322D">
            <w:pPr>
              <w:jc w:val="center"/>
            </w:pPr>
          </w:p>
        </w:tc>
        <w:tc>
          <w:tcPr>
            <w:tcW w:w="1276" w:type="dxa"/>
            <w:vMerge/>
          </w:tcPr>
          <w:p w14:paraId="345D672B" w14:textId="77777777" w:rsidR="00CA2084" w:rsidRDefault="00CA2084" w:rsidP="0049322D">
            <w:pPr>
              <w:jc w:val="center"/>
            </w:pPr>
          </w:p>
        </w:tc>
        <w:tc>
          <w:tcPr>
            <w:tcW w:w="3402" w:type="dxa"/>
          </w:tcPr>
          <w:p w14:paraId="7E4BBE06" w14:textId="77777777" w:rsidR="00CA2084" w:rsidRDefault="00CA2084" w:rsidP="0049322D">
            <w:pPr>
              <w:jc w:val="center"/>
            </w:pPr>
            <w:r>
              <w:t>Attempted murder (inc. poisoning, aiding &amp; being an accessory)</w:t>
            </w:r>
          </w:p>
        </w:tc>
        <w:tc>
          <w:tcPr>
            <w:tcW w:w="1178" w:type="dxa"/>
          </w:tcPr>
          <w:p w14:paraId="3AC5F17A" w14:textId="77777777" w:rsidR="00CA2084" w:rsidRDefault="00CA2084" w:rsidP="0049322D">
            <w:pPr>
              <w:jc w:val="center"/>
            </w:pPr>
            <w:r>
              <w:t>34</w:t>
            </w:r>
            <w:r>
              <w:br/>
              <w:t>(&lt;1%)</w:t>
            </w:r>
          </w:p>
        </w:tc>
      </w:tr>
      <w:tr w:rsidR="00CA2084" w14:paraId="1A0A0B4E" w14:textId="77777777" w:rsidTr="0049322D">
        <w:tc>
          <w:tcPr>
            <w:tcW w:w="2660" w:type="dxa"/>
          </w:tcPr>
          <w:p w14:paraId="2C948042" w14:textId="77777777" w:rsidR="00CA2084" w:rsidRDefault="00CA2084" w:rsidP="0049322D">
            <w:pPr>
              <w:jc w:val="center"/>
            </w:pPr>
          </w:p>
        </w:tc>
        <w:tc>
          <w:tcPr>
            <w:tcW w:w="1276" w:type="dxa"/>
          </w:tcPr>
          <w:p w14:paraId="58092131" w14:textId="77777777" w:rsidR="00CA2084" w:rsidRDefault="00CA2084" w:rsidP="0049322D">
            <w:pPr>
              <w:jc w:val="center"/>
            </w:pPr>
          </w:p>
        </w:tc>
        <w:tc>
          <w:tcPr>
            <w:tcW w:w="3402" w:type="dxa"/>
          </w:tcPr>
          <w:p w14:paraId="714B3DFF" w14:textId="77777777" w:rsidR="00CA2084" w:rsidRDefault="00CA2084" w:rsidP="0049322D">
            <w:pPr>
              <w:jc w:val="center"/>
            </w:pPr>
          </w:p>
        </w:tc>
        <w:tc>
          <w:tcPr>
            <w:tcW w:w="1178" w:type="dxa"/>
          </w:tcPr>
          <w:p w14:paraId="6E9660BC" w14:textId="77777777" w:rsidR="00CA2084" w:rsidRDefault="00CA2084" w:rsidP="0049322D">
            <w:pPr>
              <w:jc w:val="center"/>
            </w:pPr>
          </w:p>
        </w:tc>
      </w:tr>
      <w:tr w:rsidR="00CA2084" w14:paraId="7690812D" w14:textId="77777777" w:rsidTr="0049322D">
        <w:tc>
          <w:tcPr>
            <w:tcW w:w="2660" w:type="dxa"/>
            <w:vMerge w:val="restart"/>
          </w:tcPr>
          <w:p w14:paraId="0E605E52" w14:textId="77777777" w:rsidR="00CA2084" w:rsidRDefault="00CA2084" w:rsidP="0049322D">
            <w:pPr>
              <w:jc w:val="center"/>
            </w:pPr>
            <w:r>
              <w:t>Offences against property with violence</w:t>
            </w:r>
          </w:p>
        </w:tc>
        <w:tc>
          <w:tcPr>
            <w:tcW w:w="1276" w:type="dxa"/>
            <w:vMerge w:val="restart"/>
          </w:tcPr>
          <w:p w14:paraId="220F1EFF" w14:textId="77777777" w:rsidR="00CA2084" w:rsidRDefault="00CA2084" w:rsidP="0049322D">
            <w:pPr>
              <w:jc w:val="center"/>
            </w:pPr>
            <w:r>
              <w:t>2,530</w:t>
            </w:r>
          </w:p>
          <w:p w14:paraId="3924E0BF" w14:textId="77777777" w:rsidR="00CA2084" w:rsidRDefault="00CA2084" w:rsidP="0049322D">
            <w:pPr>
              <w:jc w:val="center"/>
            </w:pPr>
            <w:r>
              <w:t>(8%)</w:t>
            </w:r>
          </w:p>
        </w:tc>
        <w:tc>
          <w:tcPr>
            <w:tcW w:w="3402" w:type="dxa"/>
          </w:tcPr>
          <w:p w14:paraId="56CEDD7F" w14:textId="77777777" w:rsidR="00CA2084" w:rsidRDefault="00CA2084" w:rsidP="0049322D">
            <w:pPr>
              <w:jc w:val="center"/>
            </w:pPr>
            <w:r>
              <w:t>Burglary (inc. having tools)</w:t>
            </w:r>
          </w:p>
        </w:tc>
        <w:tc>
          <w:tcPr>
            <w:tcW w:w="1178" w:type="dxa"/>
          </w:tcPr>
          <w:p w14:paraId="5914305F" w14:textId="77777777" w:rsidR="00CA2084" w:rsidRDefault="00CA2084" w:rsidP="0049322D">
            <w:pPr>
              <w:jc w:val="center"/>
            </w:pPr>
            <w:r>
              <w:t>829</w:t>
            </w:r>
            <w:r>
              <w:br/>
              <w:t>(3%)</w:t>
            </w:r>
          </w:p>
        </w:tc>
      </w:tr>
      <w:tr w:rsidR="00CA2084" w14:paraId="6EBAB5FB" w14:textId="77777777" w:rsidTr="0049322D">
        <w:tc>
          <w:tcPr>
            <w:tcW w:w="2660" w:type="dxa"/>
            <w:vMerge/>
          </w:tcPr>
          <w:p w14:paraId="20B8A54B" w14:textId="77777777" w:rsidR="00CA2084" w:rsidRDefault="00CA2084" w:rsidP="0049322D">
            <w:pPr>
              <w:jc w:val="center"/>
            </w:pPr>
          </w:p>
        </w:tc>
        <w:tc>
          <w:tcPr>
            <w:tcW w:w="1276" w:type="dxa"/>
            <w:vMerge/>
          </w:tcPr>
          <w:p w14:paraId="66A9F128" w14:textId="77777777" w:rsidR="00CA2084" w:rsidRDefault="00CA2084" w:rsidP="0049322D">
            <w:pPr>
              <w:jc w:val="center"/>
            </w:pPr>
          </w:p>
        </w:tc>
        <w:tc>
          <w:tcPr>
            <w:tcW w:w="3402" w:type="dxa"/>
          </w:tcPr>
          <w:p w14:paraId="20956D3D" w14:textId="77777777" w:rsidR="00CA2084" w:rsidRDefault="00CA2084" w:rsidP="0049322D">
            <w:pPr>
              <w:jc w:val="center"/>
            </w:pPr>
            <w:r>
              <w:t>Housebreaking (inc. attempt &amp; having tools)</w:t>
            </w:r>
          </w:p>
        </w:tc>
        <w:tc>
          <w:tcPr>
            <w:tcW w:w="1178" w:type="dxa"/>
          </w:tcPr>
          <w:p w14:paraId="1F8C919B" w14:textId="77777777" w:rsidR="00CA2084" w:rsidRDefault="00CA2084" w:rsidP="0049322D">
            <w:pPr>
              <w:jc w:val="center"/>
            </w:pPr>
            <w:r>
              <w:t>748</w:t>
            </w:r>
            <w:r>
              <w:br/>
              <w:t>(2%)</w:t>
            </w:r>
          </w:p>
        </w:tc>
      </w:tr>
      <w:tr w:rsidR="00CA2084" w14:paraId="53B40C67" w14:textId="77777777" w:rsidTr="0049322D">
        <w:tc>
          <w:tcPr>
            <w:tcW w:w="2660" w:type="dxa"/>
            <w:vMerge/>
          </w:tcPr>
          <w:p w14:paraId="0BE453C0" w14:textId="77777777" w:rsidR="00CA2084" w:rsidRDefault="00CA2084" w:rsidP="0049322D">
            <w:pPr>
              <w:jc w:val="center"/>
            </w:pPr>
          </w:p>
        </w:tc>
        <w:tc>
          <w:tcPr>
            <w:tcW w:w="1276" w:type="dxa"/>
            <w:vMerge/>
          </w:tcPr>
          <w:p w14:paraId="516DA013" w14:textId="77777777" w:rsidR="00CA2084" w:rsidRDefault="00CA2084" w:rsidP="0049322D">
            <w:pPr>
              <w:jc w:val="center"/>
            </w:pPr>
          </w:p>
        </w:tc>
        <w:tc>
          <w:tcPr>
            <w:tcW w:w="3402" w:type="dxa"/>
          </w:tcPr>
          <w:p w14:paraId="75A2E2FF" w14:textId="77777777" w:rsidR="00CA2084" w:rsidRDefault="00CA2084" w:rsidP="0049322D">
            <w:pPr>
              <w:jc w:val="center"/>
            </w:pPr>
            <w:r>
              <w:t>Robbery with violence (inc. being an accessory)</w:t>
            </w:r>
          </w:p>
        </w:tc>
        <w:tc>
          <w:tcPr>
            <w:tcW w:w="1178" w:type="dxa"/>
          </w:tcPr>
          <w:p w14:paraId="04EB58A3" w14:textId="77777777" w:rsidR="00CA2084" w:rsidRDefault="00CA2084" w:rsidP="0049322D">
            <w:pPr>
              <w:jc w:val="center"/>
            </w:pPr>
            <w:r>
              <w:t>467</w:t>
            </w:r>
            <w:r>
              <w:br/>
              <w:t>(1%)</w:t>
            </w:r>
          </w:p>
        </w:tc>
      </w:tr>
      <w:tr w:rsidR="00CA2084" w14:paraId="7503F035" w14:textId="77777777" w:rsidTr="0049322D">
        <w:tc>
          <w:tcPr>
            <w:tcW w:w="2660" w:type="dxa"/>
            <w:vMerge/>
          </w:tcPr>
          <w:p w14:paraId="3D4CA52F" w14:textId="77777777" w:rsidR="00CA2084" w:rsidRDefault="00CA2084" w:rsidP="0049322D">
            <w:pPr>
              <w:jc w:val="center"/>
            </w:pPr>
          </w:p>
        </w:tc>
        <w:tc>
          <w:tcPr>
            <w:tcW w:w="1276" w:type="dxa"/>
            <w:vMerge/>
          </w:tcPr>
          <w:p w14:paraId="4069C6C7" w14:textId="77777777" w:rsidR="00CA2084" w:rsidRDefault="00CA2084" w:rsidP="0049322D">
            <w:pPr>
              <w:jc w:val="center"/>
            </w:pPr>
          </w:p>
        </w:tc>
        <w:tc>
          <w:tcPr>
            <w:tcW w:w="3402" w:type="dxa"/>
          </w:tcPr>
          <w:p w14:paraId="34FB9DCE" w14:textId="77777777" w:rsidR="00CA2084" w:rsidRDefault="00CA2084" w:rsidP="0049322D">
            <w:pPr>
              <w:jc w:val="center"/>
            </w:pPr>
            <w:r>
              <w:t>Shop, warehouse, counting house etc. breaking</w:t>
            </w:r>
          </w:p>
        </w:tc>
        <w:tc>
          <w:tcPr>
            <w:tcW w:w="1178" w:type="dxa"/>
          </w:tcPr>
          <w:p w14:paraId="33E1B5B0" w14:textId="77777777" w:rsidR="00CA2084" w:rsidRDefault="00CA2084" w:rsidP="0049322D">
            <w:pPr>
              <w:jc w:val="center"/>
            </w:pPr>
            <w:r>
              <w:t>387</w:t>
            </w:r>
            <w:r>
              <w:br/>
              <w:t>(1%)</w:t>
            </w:r>
          </w:p>
        </w:tc>
      </w:tr>
      <w:tr w:rsidR="00CA2084" w14:paraId="3B70B9B5" w14:textId="77777777" w:rsidTr="0049322D">
        <w:tc>
          <w:tcPr>
            <w:tcW w:w="2660" w:type="dxa"/>
            <w:vMerge/>
          </w:tcPr>
          <w:p w14:paraId="33232833" w14:textId="77777777" w:rsidR="00CA2084" w:rsidRDefault="00CA2084" w:rsidP="0049322D">
            <w:pPr>
              <w:jc w:val="center"/>
            </w:pPr>
          </w:p>
        </w:tc>
        <w:tc>
          <w:tcPr>
            <w:tcW w:w="1276" w:type="dxa"/>
            <w:vMerge/>
          </w:tcPr>
          <w:p w14:paraId="66CA0B9C" w14:textId="77777777" w:rsidR="00CA2084" w:rsidRDefault="00CA2084" w:rsidP="0049322D">
            <w:pPr>
              <w:jc w:val="center"/>
            </w:pPr>
          </w:p>
        </w:tc>
        <w:tc>
          <w:tcPr>
            <w:tcW w:w="3402" w:type="dxa"/>
          </w:tcPr>
          <w:p w14:paraId="702C4CC4" w14:textId="77777777" w:rsidR="00CA2084" w:rsidRDefault="00CA2084" w:rsidP="0049322D">
            <w:pPr>
              <w:jc w:val="center"/>
            </w:pPr>
            <w:r>
              <w:t>Curtilage breaking</w:t>
            </w:r>
          </w:p>
        </w:tc>
        <w:tc>
          <w:tcPr>
            <w:tcW w:w="1178" w:type="dxa"/>
          </w:tcPr>
          <w:p w14:paraId="6E89E706" w14:textId="77777777" w:rsidR="00CA2084" w:rsidRDefault="00CA2084" w:rsidP="0049322D">
            <w:pPr>
              <w:jc w:val="center"/>
            </w:pPr>
            <w:r>
              <w:t>71</w:t>
            </w:r>
            <w:r>
              <w:br/>
              <w:t>(&lt;1%)</w:t>
            </w:r>
          </w:p>
        </w:tc>
      </w:tr>
      <w:tr w:rsidR="00CA2084" w14:paraId="7620D971" w14:textId="77777777" w:rsidTr="0049322D">
        <w:tc>
          <w:tcPr>
            <w:tcW w:w="2660" w:type="dxa"/>
            <w:vMerge/>
          </w:tcPr>
          <w:p w14:paraId="6E911736" w14:textId="77777777" w:rsidR="00CA2084" w:rsidRDefault="00CA2084" w:rsidP="0049322D">
            <w:pPr>
              <w:jc w:val="center"/>
            </w:pPr>
          </w:p>
        </w:tc>
        <w:tc>
          <w:tcPr>
            <w:tcW w:w="1276" w:type="dxa"/>
            <w:vMerge/>
          </w:tcPr>
          <w:p w14:paraId="4F34773D" w14:textId="77777777" w:rsidR="00CA2084" w:rsidRDefault="00CA2084" w:rsidP="0049322D">
            <w:pPr>
              <w:jc w:val="center"/>
            </w:pPr>
          </w:p>
        </w:tc>
        <w:tc>
          <w:tcPr>
            <w:tcW w:w="3402" w:type="dxa"/>
          </w:tcPr>
          <w:p w14:paraId="2ACF4C7B" w14:textId="77777777" w:rsidR="00CA2084" w:rsidRDefault="00CA2084" w:rsidP="0049322D">
            <w:pPr>
              <w:jc w:val="center"/>
            </w:pPr>
            <w:r>
              <w:t>Sacrilege</w:t>
            </w:r>
          </w:p>
        </w:tc>
        <w:tc>
          <w:tcPr>
            <w:tcW w:w="1178" w:type="dxa"/>
          </w:tcPr>
          <w:p w14:paraId="6DB5E50B" w14:textId="77777777" w:rsidR="00CA2084" w:rsidRDefault="00CA2084" w:rsidP="0049322D">
            <w:pPr>
              <w:jc w:val="center"/>
            </w:pPr>
            <w:r>
              <w:t>28</w:t>
            </w:r>
            <w:r>
              <w:br/>
              <w:t>(&lt;1%)</w:t>
            </w:r>
          </w:p>
        </w:tc>
      </w:tr>
      <w:tr w:rsidR="00CA2084" w14:paraId="155FA1FD" w14:textId="77777777" w:rsidTr="0049322D">
        <w:tc>
          <w:tcPr>
            <w:tcW w:w="2660" w:type="dxa"/>
          </w:tcPr>
          <w:p w14:paraId="6542CD64" w14:textId="77777777" w:rsidR="00CA2084" w:rsidRDefault="00CA2084" w:rsidP="0049322D">
            <w:pPr>
              <w:jc w:val="center"/>
            </w:pPr>
          </w:p>
        </w:tc>
        <w:tc>
          <w:tcPr>
            <w:tcW w:w="1276" w:type="dxa"/>
          </w:tcPr>
          <w:p w14:paraId="4ECE7395" w14:textId="77777777" w:rsidR="00CA2084" w:rsidRDefault="00CA2084" w:rsidP="0049322D">
            <w:pPr>
              <w:jc w:val="center"/>
            </w:pPr>
          </w:p>
        </w:tc>
        <w:tc>
          <w:tcPr>
            <w:tcW w:w="3402" w:type="dxa"/>
          </w:tcPr>
          <w:p w14:paraId="6134F770" w14:textId="77777777" w:rsidR="00CA2084" w:rsidRDefault="00CA2084" w:rsidP="0049322D">
            <w:pPr>
              <w:jc w:val="center"/>
            </w:pPr>
          </w:p>
        </w:tc>
        <w:tc>
          <w:tcPr>
            <w:tcW w:w="1178" w:type="dxa"/>
          </w:tcPr>
          <w:p w14:paraId="48057B7F" w14:textId="77777777" w:rsidR="00CA2084" w:rsidRDefault="00CA2084" w:rsidP="0049322D">
            <w:pPr>
              <w:jc w:val="center"/>
            </w:pPr>
          </w:p>
        </w:tc>
      </w:tr>
      <w:tr w:rsidR="00CA2084" w14:paraId="16F4EFFC" w14:textId="77777777" w:rsidTr="0049322D">
        <w:tc>
          <w:tcPr>
            <w:tcW w:w="2660" w:type="dxa"/>
            <w:vMerge w:val="restart"/>
          </w:tcPr>
          <w:p w14:paraId="10D61B23" w14:textId="77777777" w:rsidR="00CA2084" w:rsidRDefault="00CA2084" w:rsidP="0049322D">
            <w:pPr>
              <w:jc w:val="center"/>
            </w:pPr>
            <w:r>
              <w:t>Offences against property without violence</w:t>
            </w:r>
          </w:p>
        </w:tc>
        <w:tc>
          <w:tcPr>
            <w:tcW w:w="1276" w:type="dxa"/>
            <w:vMerge w:val="restart"/>
          </w:tcPr>
          <w:p w14:paraId="00DBD859" w14:textId="77777777" w:rsidR="00CA2084" w:rsidRDefault="00CA2084" w:rsidP="0049322D">
            <w:pPr>
              <w:jc w:val="center"/>
            </w:pPr>
            <w:r>
              <w:t>24,500</w:t>
            </w:r>
            <w:r>
              <w:br/>
              <w:t>(74%)</w:t>
            </w:r>
          </w:p>
        </w:tc>
        <w:tc>
          <w:tcPr>
            <w:tcW w:w="3402" w:type="dxa"/>
          </w:tcPr>
          <w:p w14:paraId="0D077E84" w14:textId="77777777" w:rsidR="00CA2084" w:rsidRDefault="00CA2084" w:rsidP="0049322D">
            <w:pPr>
              <w:jc w:val="center"/>
            </w:pPr>
            <w:r>
              <w:t>Larceny</w:t>
            </w:r>
          </w:p>
        </w:tc>
        <w:tc>
          <w:tcPr>
            <w:tcW w:w="1178" w:type="dxa"/>
          </w:tcPr>
          <w:p w14:paraId="738D398F" w14:textId="77777777" w:rsidR="00CA2084" w:rsidRDefault="00CA2084" w:rsidP="0049322D">
            <w:pPr>
              <w:jc w:val="center"/>
            </w:pPr>
            <w:r>
              <w:t>17,330</w:t>
            </w:r>
          </w:p>
          <w:p w14:paraId="0BE623B8" w14:textId="77777777" w:rsidR="00CA2084" w:rsidRDefault="00CA2084" w:rsidP="0049322D">
            <w:pPr>
              <w:jc w:val="center"/>
            </w:pPr>
            <w:r>
              <w:t>(53%)</w:t>
            </w:r>
          </w:p>
        </w:tc>
      </w:tr>
      <w:tr w:rsidR="00CA2084" w14:paraId="56BEC9C2" w14:textId="77777777" w:rsidTr="0049322D">
        <w:tc>
          <w:tcPr>
            <w:tcW w:w="2660" w:type="dxa"/>
            <w:vMerge/>
          </w:tcPr>
          <w:p w14:paraId="4DA75B7B" w14:textId="77777777" w:rsidR="00CA2084" w:rsidRDefault="00CA2084" w:rsidP="0049322D">
            <w:pPr>
              <w:jc w:val="center"/>
            </w:pPr>
          </w:p>
        </w:tc>
        <w:tc>
          <w:tcPr>
            <w:tcW w:w="1276" w:type="dxa"/>
            <w:vMerge/>
          </w:tcPr>
          <w:p w14:paraId="286D5BB8" w14:textId="77777777" w:rsidR="00CA2084" w:rsidRDefault="00CA2084" w:rsidP="0049322D">
            <w:pPr>
              <w:jc w:val="center"/>
            </w:pPr>
          </w:p>
        </w:tc>
        <w:tc>
          <w:tcPr>
            <w:tcW w:w="3402" w:type="dxa"/>
          </w:tcPr>
          <w:p w14:paraId="06647A1D" w14:textId="77777777" w:rsidR="00CA2084" w:rsidRDefault="00CA2084" w:rsidP="0049322D">
            <w:pPr>
              <w:jc w:val="center"/>
            </w:pPr>
            <w:r>
              <w:t>Larceny from the person (inc. attempt)</w:t>
            </w:r>
          </w:p>
        </w:tc>
        <w:tc>
          <w:tcPr>
            <w:tcW w:w="1178" w:type="dxa"/>
          </w:tcPr>
          <w:p w14:paraId="57AD5CF6" w14:textId="77777777" w:rsidR="00CA2084" w:rsidRDefault="00CA2084" w:rsidP="0049322D">
            <w:pPr>
              <w:jc w:val="center"/>
            </w:pPr>
            <w:r>
              <w:t>1,969</w:t>
            </w:r>
          </w:p>
          <w:p w14:paraId="30D42C93" w14:textId="77777777" w:rsidR="00CA2084" w:rsidRDefault="00CA2084" w:rsidP="0049322D">
            <w:pPr>
              <w:jc w:val="center"/>
            </w:pPr>
            <w:r>
              <w:t>(6%)</w:t>
            </w:r>
          </w:p>
        </w:tc>
      </w:tr>
      <w:tr w:rsidR="00CA2084" w14:paraId="13A82B59" w14:textId="77777777" w:rsidTr="0049322D">
        <w:tc>
          <w:tcPr>
            <w:tcW w:w="2660" w:type="dxa"/>
            <w:vMerge/>
          </w:tcPr>
          <w:p w14:paraId="704F06D1" w14:textId="77777777" w:rsidR="00CA2084" w:rsidRDefault="00CA2084" w:rsidP="0049322D">
            <w:pPr>
              <w:jc w:val="center"/>
            </w:pPr>
          </w:p>
        </w:tc>
        <w:tc>
          <w:tcPr>
            <w:tcW w:w="1276" w:type="dxa"/>
            <w:vMerge/>
          </w:tcPr>
          <w:p w14:paraId="22C57CFC" w14:textId="77777777" w:rsidR="00CA2084" w:rsidRDefault="00CA2084" w:rsidP="0049322D">
            <w:pPr>
              <w:jc w:val="center"/>
            </w:pPr>
          </w:p>
        </w:tc>
        <w:tc>
          <w:tcPr>
            <w:tcW w:w="3402" w:type="dxa"/>
          </w:tcPr>
          <w:p w14:paraId="0D58892C" w14:textId="77777777" w:rsidR="00CA2084" w:rsidRDefault="00CA2084" w:rsidP="0049322D">
            <w:pPr>
              <w:jc w:val="center"/>
            </w:pPr>
            <w:r>
              <w:t>Larceny by servant</w:t>
            </w:r>
          </w:p>
        </w:tc>
        <w:tc>
          <w:tcPr>
            <w:tcW w:w="1178" w:type="dxa"/>
          </w:tcPr>
          <w:p w14:paraId="18930440" w14:textId="77777777" w:rsidR="00CA2084" w:rsidRDefault="00CA2084" w:rsidP="0049322D">
            <w:pPr>
              <w:jc w:val="center"/>
            </w:pPr>
            <w:r>
              <w:t>1,766</w:t>
            </w:r>
          </w:p>
          <w:p w14:paraId="5B16C59E" w14:textId="77777777" w:rsidR="00CA2084" w:rsidRDefault="00CA2084" w:rsidP="0049322D">
            <w:pPr>
              <w:jc w:val="center"/>
            </w:pPr>
            <w:r>
              <w:t>(5%)</w:t>
            </w:r>
          </w:p>
        </w:tc>
      </w:tr>
      <w:tr w:rsidR="00CA2084" w14:paraId="6691C77A" w14:textId="77777777" w:rsidTr="0049322D">
        <w:tc>
          <w:tcPr>
            <w:tcW w:w="2660" w:type="dxa"/>
            <w:vMerge/>
          </w:tcPr>
          <w:p w14:paraId="3593ACDB" w14:textId="77777777" w:rsidR="00CA2084" w:rsidRDefault="00CA2084" w:rsidP="0049322D">
            <w:pPr>
              <w:jc w:val="center"/>
            </w:pPr>
          </w:p>
        </w:tc>
        <w:tc>
          <w:tcPr>
            <w:tcW w:w="1276" w:type="dxa"/>
            <w:vMerge/>
          </w:tcPr>
          <w:p w14:paraId="7D5B17E2" w14:textId="77777777" w:rsidR="00CA2084" w:rsidRDefault="00CA2084" w:rsidP="0049322D">
            <w:pPr>
              <w:jc w:val="center"/>
            </w:pPr>
          </w:p>
        </w:tc>
        <w:tc>
          <w:tcPr>
            <w:tcW w:w="3402" w:type="dxa"/>
          </w:tcPr>
          <w:p w14:paraId="2AB04080" w14:textId="77777777" w:rsidR="00CA2084" w:rsidRDefault="00CA2084" w:rsidP="0049322D">
            <w:pPr>
              <w:jc w:val="center"/>
            </w:pPr>
            <w:r>
              <w:t>Fraud and False pretences</w:t>
            </w:r>
          </w:p>
        </w:tc>
        <w:tc>
          <w:tcPr>
            <w:tcW w:w="1178" w:type="dxa"/>
          </w:tcPr>
          <w:p w14:paraId="46A72AAB" w14:textId="77777777" w:rsidR="00CA2084" w:rsidRDefault="00CA2084" w:rsidP="0049322D">
            <w:pPr>
              <w:jc w:val="center"/>
            </w:pPr>
            <w:r>
              <w:t>1,293</w:t>
            </w:r>
          </w:p>
          <w:p w14:paraId="161CB67E" w14:textId="77777777" w:rsidR="00CA2084" w:rsidRDefault="00CA2084" w:rsidP="0049322D">
            <w:pPr>
              <w:jc w:val="center"/>
            </w:pPr>
            <w:r>
              <w:t>(4%)</w:t>
            </w:r>
          </w:p>
        </w:tc>
      </w:tr>
      <w:tr w:rsidR="00CA2084" w14:paraId="69E97C78" w14:textId="77777777" w:rsidTr="0049322D">
        <w:tc>
          <w:tcPr>
            <w:tcW w:w="2660" w:type="dxa"/>
            <w:vMerge/>
          </w:tcPr>
          <w:p w14:paraId="019E8D02" w14:textId="77777777" w:rsidR="00CA2084" w:rsidRDefault="00CA2084" w:rsidP="0049322D">
            <w:pPr>
              <w:jc w:val="center"/>
            </w:pPr>
          </w:p>
        </w:tc>
        <w:tc>
          <w:tcPr>
            <w:tcW w:w="1276" w:type="dxa"/>
            <w:vMerge/>
          </w:tcPr>
          <w:p w14:paraId="3A94389B" w14:textId="77777777" w:rsidR="00CA2084" w:rsidRDefault="00CA2084" w:rsidP="0049322D">
            <w:pPr>
              <w:jc w:val="center"/>
            </w:pPr>
          </w:p>
        </w:tc>
        <w:tc>
          <w:tcPr>
            <w:tcW w:w="3402" w:type="dxa"/>
          </w:tcPr>
          <w:p w14:paraId="634C5299" w14:textId="77777777" w:rsidR="00CA2084" w:rsidRDefault="00CA2084" w:rsidP="0049322D">
            <w:pPr>
              <w:jc w:val="center"/>
            </w:pPr>
            <w:r>
              <w:t>Receiving stolen goods</w:t>
            </w:r>
          </w:p>
        </w:tc>
        <w:tc>
          <w:tcPr>
            <w:tcW w:w="1178" w:type="dxa"/>
          </w:tcPr>
          <w:p w14:paraId="0209970B" w14:textId="77777777" w:rsidR="00CA2084" w:rsidRDefault="00CA2084" w:rsidP="0049322D">
            <w:pPr>
              <w:jc w:val="center"/>
            </w:pPr>
            <w:r>
              <w:t>961</w:t>
            </w:r>
          </w:p>
          <w:p w14:paraId="44F44435" w14:textId="77777777" w:rsidR="00CA2084" w:rsidRDefault="00CA2084" w:rsidP="0049322D">
            <w:pPr>
              <w:jc w:val="center"/>
            </w:pPr>
            <w:r>
              <w:t>(3%)</w:t>
            </w:r>
          </w:p>
        </w:tc>
      </w:tr>
      <w:tr w:rsidR="00CA2084" w14:paraId="6B135EDA" w14:textId="77777777" w:rsidTr="0049322D">
        <w:tc>
          <w:tcPr>
            <w:tcW w:w="2660" w:type="dxa"/>
            <w:vMerge/>
          </w:tcPr>
          <w:p w14:paraId="3D5908EC" w14:textId="77777777" w:rsidR="00CA2084" w:rsidRDefault="00CA2084" w:rsidP="0049322D">
            <w:pPr>
              <w:jc w:val="center"/>
            </w:pPr>
          </w:p>
        </w:tc>
        <w:tc>
          <w:tcPr>
            <w:tcW w:w="1276" w:type="dxa"/>
            <w:vMerge/>
          </w:tcPr>
          <w:p w14:paraId="1BB80CD8" w14:textId="77777777" w:rsidR="00CA2084" w:rsidRDefault="00CA2084" w:rsidP="0049322D">
            <w:pPr>
              <w:jc w:val="center"/>
            </w:pPr>
          </w:p>
        </w:tc>
        <w:tc>
          <w:tcPr>
            <w:tcW w:w="3402" w:type="dxa"/>
          </w:tcPr>
          <w:p w14:paraId="7ED17C67" w14:textId="77777777" w:rsidR="00CA2084" w:rsidRDefault="00CA2084" w:rsidP="0049322D">
            <w:pPr>
              <w:jc w:val="center"/>
            </w:pPr>
            <w:r>
              <w:t>Larceny in a dwelling house (inc. attempt)</w:t>
            </w:r>
          </w:p>
        </w:tc>
        <w:tc>
          <w:tcPr>
            <w:tcW w:w="1178" w:type="dxa"/>
          </w:tcPr>
          <w:p w14:paraId="459E75A0" w14:textId="77777777" w:rsidR="00CA2084" w:rsidRDefault="00CA2084" w:rsidP="0049322D">
            <w:pPr>
              <w:jc w:val="center"/>
            </w:pPr>
            <w:r>
              <w:t>183</w:t>
            </w:r>
            <w:r>
              <w:br/>
              <w:t>(1%)</w:t>
            </w:r>
          </w:p>
        </w:tc>
      </w:tr>
      <w:tr w:rsidR="00CA2084" w14:paraId="5206C77E" w14:textId="77777777" w:rsidTr="0049322D">
        <w:tc>
          <w:tcPr>
            <w:tcW w:w="2660" w:type="dxa"/>
            <w:vMerge/>
          </w:tcPr>
          <w:p w14:paraId="612AC854" w14:textId="77777777" w:rsidR="00CA2084" w:rsidRDefault="00CA2084" w:rsidP="0049322D">
            <w:pPr>
              <w:jc w:val="center"/>
            </w:pPr>
          </w:p>
        </w:tc>
        <w:tc>
          <w:tcPr>
            <w:tcW w:w="1276" w:type="dxa"/>
            <w:vMerge/>
          </w:tcPr>
          <w:p w14:paraId="41543786" w14:textId="77777777" w:rsidR="00CA2084" w:rsidRDefault="00CA2084" w:rsidP="0049322D">
            <w:pPr>
              <w:jc w:val="center"/>
            </w:pPr>
          </w:p>
        </w:tc>
        <w:tc>
          <w:tcPr>
            <w:tcW w:w="3402" w:type="dxa"/>
          </w:tcPr>
          <w:p w14:paraId="56E2F6EE" w14:textId="77777777" w:rsidR="00CA2084" w:rsidRDefault="00CA2084" w:rsidP="0049322D">
            <w:pPr>
              <w:jc w:val="center"/>
            </w:pPr>
            <w:r>
              <w:t>Embezzlement</w:t>
            </w:r>
          </w:p>
        </w:tc>
        <w:tc>
          <w:tcPr>
            <w:tcW w:w="1178" w:type="dxa"/>
          </w:tcPr>
          <w:p w14:paraId="5C27EDD6" w14:textId="77777777" w:rsidR="00CA2084" w:rsidRDefault="00CA2084" w:rsidP="0049322D">
            <w:pPr>
              <w:jc w:val="center"/>
            </w:pPr>
            <w:r>
              <w:t>422</w:t>
            </w:r>
          </w:p>
          <w:p w14:paraId="02DC21BB" w14:textId="77777777" w:rsidR="00CA2084" w:rsidRDefault="00CA2084" w:rsidP="0049322D">
            <w:pPr>
              <w:jc w:val="center"/>
            </w:pPr>
            <w:r>
              <w:t>(1%)</w:t>
            </w:r>
          </w:p>
        </w:tc>
      </w:tr>
      <w:tr w:rsidR="00CA2084" w14:paraId="249A9200" w14:textId="77777777" w:rsidTr="0049322D">
        <w:tc>
          <w:tcPr>
            <w:tcW w:w="2660" w:type="dxa"/>
            <w:vMerge/>
          </w:tcPr>
          <w:p w14:paraId="69200E55" w14:textId="77777777" w:rsidR="00CA2084" w:rsidRDefault="00CA2084" w:rsidP="0049322D">
            <w:pPr>
              <w:jc w:val="center"/>
            </w:pPr>
          </w:p>
        </w:tc>
        <w:tc>
          <w:tcPr>
            <w:tcW w:w="1276" w:type="dxa"/>
            <w:vMerge/>
          </w:tcPr>
          <w:p w14:paraId="0DD2B065" w14:textId="77777777" w:rsidR="00CA2084" w:rsidRDefault="00CA2084" w:rsidP="0049322D">
            <w:pPr>
              <w:jc w:val="center"/>
            </w:pPr>
          </w:p>
        </w:tc>
        <w:tc>
          <w:tcPr>
            <w:tcW w:w="3402" w:type="dxa"/>
          </w:tcPr>
          <w:p w14:paraId="66C5BA2D" w14:textId="77777777" w:rsidR="00CA2084" w:rsidRDefault="00CA2084" w:rsidP="0049322D">
            <w:pPr>
              <w:jc w:val="center"/>
            </w:pPr>
            <w:r>
              <w:t>Stealing fixtures/lead affixed</w:t>
            </w:r>
          </w:p>
        </w:tc>
        <w:tc>
          <w:tcPr>
            <w:tcW w:w="1178" w:type="dxa"/>
          </w:tcPr>
          <w:p w14:paraId="4A8445FC" w14:textId="77777777" w:rsidR="00CA2084" w:rsidRDefault="00CA2084" w:rsidP="0049322D">
            <w:pPr>
              <w:jc w:val="center"/>
            </w:pPr>
            <w:r>
              <w:t>186</w:t>
            </w:r>
          </w:p>
          <w:p w14:paraId="4F7DB521" w14:textId="77777777" w:rsidR="00CA2084" w:rsidRDefault="00CA2084" w:rsidP="0049322D">
            <w:pPr>
              <w:jc w:val="center"/>
            </w:pPr>
            <w:r>
              <w:t>(1%)</w:t>
            </w:r>
          </w:p>
        </w:tc>
      </w:tr>
      <w:tr w:rsidR="00CA2084" w14:paraId="4F840DD0" w14:textId="77777777" w:rsidTr="0049322D">
        <w:tc>
          <w:tcPr>
            <w:tcW w:w="2660" w:type="dxa"/>
            <w:vMerge/>
          </w:tcPr>
          <w:p w14:paraId="58DFC9C3" w14:textId="77777777" w:rsidR="00CA2084" w:rsidRDefault="00CA2084" w:rsidP="0049322D">
            <w:pPr>
              <w:jc w:val="center"/>
            </w:pPr>
          </w:p>
        </w:tc>
        <w:tc>
          <w:tcPr>
            <w:tcW w:w="1276" w:type="dxa"/>
            <w:vMerge/>
          </w:tcPr>
          <w:p w14:paraId="1C4C2DC9" w14:textId="77777777" w:rsidR="00CA2084" w:rsidRDefault="00CA2084" w:rsidP="0049322D">
            <w:pPr>
              <w:jc w:val="center"/>
            </w:pPr>
          </w:p>
        </w:tc>
        <w:tc>
          <w:tcPr>
            <w:tcW w:w="3402" w:type="dxa"/>
          </w:tcPr>
          <w:p w14:paraId="318539BC" w14:textId="77777777" w:rsidR="00CA2084" w:rsidRDefault="00CA2084" w:rsidP="0049322D">
            <w:pPr>
              <w:jc w:val="center"/>
            </w:pPr>
            <w:r>
              <w:t>Larceny from the Post Office</w:t>
            </w:r>
          </w:p>
        </w:tc>
        <w:tc>
          <w:tcPr>
            <w:tcW w:w="1178" w:type="dxa"/>
          </w:tcPr>
          <w:p w14:paraId="5F04A03C" w14:textId="77777777" w:rsidR="00CA2084" w:rsidRDefault="00CA2084" w:rsidP="0049322D">
            <w:pPr>
              <w:jc w:val="center"/>
            </w:pPr>
            <w:r>
              <w:t>28</w:t>
            </w:r>
            <w:r>
              <w:br/>
              <w:t>(&lt;1%)</w:t>
            </w:r>
          </w:p>
        </w:tc>
      </w:tr>
      <w:tr w:rsidR="00CA2084" w14:paraId="4E6B4736" w14:textId="77777777" w:rsidTr="0049322D">
        <w:tc>
          <w:tcPr>
            <w:tcW w:w="2660" w:type="dxa"/>
            <w:vMerge/>
          </w:tcPr>
          <w:p w14:paraId="1812D39C" w14:textId="77777777" w:rsidR="00CA2084" w:rsidRDefault="00CA2084" w:rsidP="0049322D">
            <w:pPr>
              <w:jc w:val="center"/>
            </w:pPr>
          </w:p>
        </w:tc>
        <w:tc>
          <w:tcPr>
            <w:tcW w:w="1276" w:type="dxa"/>
            <w:vMerge/>
          </w:tcPr>
          <w:p w14:paraId="254CC27E" w14:textId="77777777" w:rsidR="00CA2084" w:rsidRDefault="00CA2084" w:rsidP="0049322D">
            <w:pPr>
              <w:jc w:val="center"/>
            </w:pPr>
          </w:p>
        </w:tc>
        <w:tc>
          <w:tcPr>
            <w:tcW w:w="3402" w:type="dxa"/>
          </w:tcPr>
          <w:p w14:paraId="0CCE25CE" w14:textId="77777777" w:rsidR="00CA2084" w:rsidRDefault="00CA2084" w:rsidP="0049322D">
            <w:pPr>
              <w:jc w:val="center"/>
            </w:pPr>
            <w:r>
              <w:t>Cattle stealing</w:t>
            </w:r>
          </w:p>
        </w:tc>
        <w:tc>
          <w:tcPr>
            <w:tcW w:w="1178" w:type="dxa"/>
          </w:tcPr>
          <w:p w14:paraId="5B8D14FE" w14:textId="77777777" w:rsidR="00CA2084" w:rsidRDefault="00CA2084" w:rsidP="0049322D">
            <w:pPr>
              <w:jc w:val="center"/>
            </w:pPr>
            <w:r>
              <w:t>71</w:t>
            </w:r>
            <w:r>
              <w:br/>
              <w:t>(&lt;1%)</w:t>
            </w:r>
          </w:p>
        </w:tc>
      </w:tr>
      <w:tr w:rsidR="00CA2084" w14:paraId="1EFA7F83" w14:textId="77777777" w:rsidTr="0049322D">
        <w:tc>
          <w:tcPr>
            <w:tcW w:w="2660" w:type="dxa"/>
            <w:vMerge/>
          </w:tcPr>
          <w:p w14:paraId="0497D4E3" w14:textId="77777777" w:rsidR="00CA2084" w:rsidRDefault="00CA2084" w:rsidP="0049322D">
            <w:pPr>
              <w:jc w:val="center"/>
            </w:pPr>
          </w:p>
        </w:tc>
        <w:tc>
          <w:tcPr>
            <w:tcW w:w="1276" w:type="dxa"/>
            <w:vMerge/>
          </w:tcPr>
          <w:p w14:paraId="4FCEBC04" w14:textId="77777777" w:rsidR="00CA2084" w:rsidRDefault="00CA2084" w:rsidP="0049322D">
            <w:pPr>
              <w:jc w:val="center"/>
            </w:pPr>
          </w:p>
        </w:tc>
        <w:tc>
          <w:tcPr>
            <w:tcW w:w="3402" w:type="dxa"/>
          </w:tcPr>
          <w:p w14:paraId="490FBE18" w14:textId="77777777" w:rsidR="00CA2084" w:rsidRDefault="00CA2084" w:rsidP="0049322D">
            <w:pPr>
              <w:jc w:val="center"/>
            </w:pPr>
            <w:r>
              <w:t>Sheep stealing</w:t>
            </w:r>
          </w:p>
        </w:tc>
        <w:tc>
          <w:tcPr>
            <w:tcW w:w="1178" w:type="dxa"/>
          </w:tcPr>
          <w:p w14:paraId="7BFC73FC" w14:textId="77777777" w:rsidR="00CA2084" w:rsidRDefault="00CA2084" w:rsidP="0049322D">
            <w:pPr>
              <w:jc w:val="center"/>
            </w:pPr>
            <w:r>
              <w:t>55</w:t>
            </w:r>
            <w:r>
              <w:br/>
              <w:t>(&lt;1%)</w:t>
            </w:r>
          </w:p>
        </w:tc>
      </w:tr>
      <w:tr w:rsidR="00CA2084" w14:paraId="030440BD" w14:textId="77777777" w:rsidTr="0049322D">
        <w:tc>
          <w:tcPr>
            <w:tcW w:w="2660" w:type="dxa"/>
            <w:vMerge/>
          </w:tcPr>
          <w:p w14:paraId="0AFA8CE6" w14:textId="77777777" w:rsidR="00CA2084" w:rsidRDefault="00CA2084" w:rsidP="0049322D">
            <w:pPr>
              <w:jc w:val="center"/>
            </w:pPr>
          </w:p>
        </w:tc>
        <w:tc>
          <w:tcPr>
            <w:tcW w:w="1276" w:type="dxa"/>
            <w:vMerge/>
          </w:tcPr>
          <w:p w14:paraId="48FC11E5" w14:textId="77777777" w:rsidR="00CA2084" w:rsidRDefault="00CA2084" w:rsidP="0049322D">
            <w:pPr>
              <w:jc w:val="center"/>
            </w:pPr>
          </w:p>
        </w:tc>
        <w:tc>
          <w:tcPr>
            <w:tcW w:w="3402" w:type="dxa"/>
          </w:tcPr>
          <w:p w14:paraId="09475CD4" w14:textId="77777777" w:rsidR="00CA2084" w:rsidRDefault="00CA2084" w:rsidP="0049322D">
            <w:pPr>
              <w:jc w:val="center"/>
            </w:pPr>
            <w:r>
              <w:t>Stealing from vessels</w:t>
            </w:r>
          </w:p>
        </w:tc>
        <w:tc>
          <w:tcPr>
            <w:tcW w:w="1178" w:type="dxa"/>
          </w:tcPr>
          <w:p w14:paraId="11C0F44E" w14:textId="77777777" w:rsidR="00CA2084" w:rsidRDefault="00CA2084" w:rsidP="0049322D">
            <w:pPr>
              <w:jc w:val="center"/>
            </w:pPr>
            <w:r>
              <w:t>126</w:t>
            </w:r>
          </w:p>
          <w:p w14:paraId="32690C29" w14:textId="77777777" w:rsidR="00CA2084" w:rsidRDefault="00CA2084" w:rsidP="0049322D">
            <w:pPr>
              <w:jc w:val="center"/>
            </w:pPr>
            <w:r>
              <w:t>(&lt;1%)</w:t>
            </w:r>
          </w:p>
        </w:tc>
      </w:tr>
      <w:tr w:rsidR="00CA2084" w14:paraId="140B3D22" w14:textId="77777777" w:rsidTr="0049322D">
        <w:tc>
          <w:tcPr>
            <w:tcW w:w="2660" w:type="dxa"/>
            <w:vMerge/>
          </w:tcPr>
          <w:p w14:paraId="55343CD8" w14:textId="77777777" w:rsidR="00CA2084" w:rsidRDefault="00CA2084" w:rsidP="0049322D">
            <w:pPr>
              <w:jc w:val="center"/>
            </w:pPr>
          </w:p>
        </w:tc>
        <w:tc>
          <w:tcPr>
            <w:tcW w:w="1276" w:type="dxa"/>
            <w:vMerge/>
          </w:tcPr>
          <w:p w14:paraId="500F0E6D" w14:textId="77777777" w:rsidR="00CA2084" w:rsidRDefault="00CA2084" w:rsidP="0049322D">
            <w:pPr>
              <w:jc w:val="center"/>
            </w:pPr>
          </w:p>
        </w:tc>
        <w:tc>
          <w:tcPr>
            <w:tcW w:w="3402" w:type="dxa"/>
          </w:tcPr>
          <w:p w14:paraId="6CA941EA" w14:textId="77777777" w:rsidR="00CA2084" w:rsidRDefault="00CA2084" w:rsidP="0049322D">
            <w:pPr>
              <w:jc w:val="center"/>
            </w:pPr>
            <w:r>
              <w:t>Horse stealing</w:t>
            </w:r>
          </w:p>
        </w:tc>
        <w:tc>
          <w:tcPr>
            <w:tcW w:w="1178" w:type="dxa"/>
          </w:tcPr>
          <w:p w14:paraId="34529170" w14:textId="77777777" w:rsidR="00CA2084" w:rsidRDefault="00CA2084" w:rsidP="0049322D">
            <w:pPr>
              <w:jc w:val="center"/>
            </w:pPr>
            <w:r>
              <w:t>110</w:t>
            </w:r>
          </w:p>
          <w:p w14:paraId="5EA25106" w14:textId="77777777" w:rsidR="00CA2084" w:rsidRDefault="00CA2084" w:rsidP="0049322D">
            <w:pPr>
              <w:jc w:val="center"/>
            </w:pPr>
            <w:r>
              <w:t>(&lt;1%)</w:t>
            </w:r>
          </w:p>
        </w:tc>
      </w:tr>
      <w:tr w:rsidR="00CA2084" w14:paraId="4D0C7F85" w14:textId="77777777" w:rsidTr="0049322D">
        <w:tc>
          <w:tcPr>
            <w:tcW w:w="2660" w:type="dxa"/>
          </w:tcPr>
          <w:p w14:paraId="0E34EEB0" w14:textId="77777777" w:rsidR="00CA2084" w:rsidRDefault="00CA2084" w:rsidP="0049322D">
            <w:pPr>
              <w:jc w:val="center"/>
            </w:pPr>
          </w:p>
        </w:tc>
        <w:tc>
          <w:tcPr>
            <w:tcW w:w="1276" w:type="dxa"/>
          </w:tcPr>
          <w:p w14:paraId="1FB5854B" w14:textId="77777777" w:rsidR="00CA2084" w:rsidRDefault="00CA2084" w:rsidP="0049322D">
            <w:pPr>
              <w:jc w:val="center"/>
            </w:pPr>
          </w:p>
        </w:tc>
        <w:tc>
          <w:tcPr>
            <w:tcW w:w="3402" w:type="dxa"/>
          </w:tcPr>
          <w:p w14:paraId="11C7604C" w14:textId="77777777" w:rsidR="00CA2084" w:rsidRDefault="00CA2084" w:rsidP="0049322D">
            <w:pPr>
              <w:jc w:val="center"/>
            </w:pPr>
          </w:p>
        </w:tc>
        <w:tc>
          <w:tcPr>
            <w:tcW w:w="1178" w:type="dxa"/>
          </w:tcPr>
          <w:p w14:paraId="28C5F31E" w14:textId="77777777" w:rsidR="00CA2084" w:rsidRDefault="00CA2084" w:rsidP="0049322D">
            <w:pPr>
              <w:jc w:val="center"/>
            </w:pPr>
          </w:p>
        </w:tc>
      </w:tr>
      <w:tr w:rsidR="00CA2084" w14:paraId="537ABF7D" w14:textId="77777777" w:rsidTr="0049322D">
        <w:tc>
          <w:tcPr>
            <w:tcW w:w="2660" w:type="dxa"/>
            <w:vMerge w:val="restart"/>
          </w:tcPr>
          <w:p w14:paraId="7384DEF0" w14:textId="77777777" w:rsidR="00CA2084" w:rsidRDefault="00CA2084" w:rsidP="0049322D">
            <w:pPr>
              <w:jc w:val="center"/>
            </w:pPr>
            <w:r>
              <w:lastRenderedPageBreak/>
              <w:t>Malicious offences against property</w:t>
            </w:r>
          </w:p>
        </w:tc>
        <w:tc>
          <w:tcPr>
            <w:tcW w:w="1276" w:type="dxa"/>
            <w:vMerge w:val="restart"/>
          </w:tcPr>
          <w:p w14:paraId="4B69A448" w14:textId="77777777" w:rsidR="00CA2084" w:rsidRDefault="00CA2084" w:rsidP="0049322D">
            <w:pPr>
              <w:jc w:val="center"/>
            </w:pPr>
            <w:r>
              <w:t>288</w:t>
            </w:r>
            <w:r>
              <w:br/>
              <w:t>(&lt;1%)</w:t>
            </w:r>
          </w:p>
        </w:tc>
        <w:tc>
          <w:tcPr>
            <w:tcW w:w="3402" w:type="dxa"/>
          </w:tcPr>
          <w:p w14:paraId="2ED04B2E" w14:textId="77777777" w:rsidR="00CA2084" w:rsidRDefault="00CA2084" w:rsidP="0049322D">
            <w:pPr>
              <w:jc w:val="center"/>
            </w:pPr>
            <w:r>
              <w:t>Arson (inc. attempted)</w:t>
            </w:r>
          </w:p>
        </w:tc>
        <w:tc>
          <w:tcPr>
            <w:tcW w:w="1178" w:type="dxa"/>
          </w:tcPr>
          <w:p w14:paraId="07E0E234" w14:textId="77777777" w:rsidR="00CA2084" w:rsidRDefault="00CA2084" w:rsidP="0049322D">
            <w:pPr>
              <w:jc w:val="center"/>
            </w:pPr>
            <w:r>
              <w:t>187</w:t>
            </w:r>
          </w:p>
          <w:p w14:paraId="5952AB19" w14:textId="77777777" w:rsidR="00CA2084" w:rsidRDefault="00CA2084" w:rsidP="0049322D">
            <w:pPr>
              <w:jc w:val="center"/>
            </w:pPr>
            <w:r>
              <w:t>(&lt;1%)</w:t>
            </w:r>
          </w:p>
        </w:tc>
      </w:tr>
      <w:tr w:rsidR="00CA2084" w14:paraId="43C9F00A" w14:textId="77777777" w:rsidTr="0049322D">
        <w:tc>
          <w:tcPr>
            <w:tcW w:w="2660" w:type="dxa"/>
            <w:vMerge/>
          </w:tcPr>
          <w:p w14:paraId="2710FD59" w14:textId="77777777" w:rsidR="00CA2084" w:rsidRDefault="00CA2084" w:rsidP="0049322D">
            <w:pPr>
              <w:jc w:val="center"/>
            </w:pPr>
          </w:p>
        </w:tc>
        <w:tc>
          <w:tcPr>
            <w:tcW w:w="1276" w:type="dxa"/>
            <w:vMerge/>
          </w:tcPr>
          <w:p w14:paraId="51D3F820" w14:textId="77777777" w:rsidR="00CA2084" w:rsidRDefault="00CA2084" w:rsidP="0049322D">
            <w:pPr>
              <w:jc w:val="center"/>
            </w:pPr>
          </w:p>
        </w:tc>
        <w:tc>
          <w:tcPr>
            <w:tcW w:w="3402" w:type="dxa"/>
          </w:tcPr>
          <w:p w14:paraId="4BE2D7B0" w14:textId="77777777" w:rsidR="00CA2084" w:rsidRDefault="00CA2084" w:rsidP="0049322D">
            <w:pPr>
              <w:jc w:val="center"/>
            </w:pPr>
            <w:r>
              <w:t>Damaging property (inc. killing/maiming animals)</w:t>
            </w:r>
          </w:p>
        </w:tc>
        <w:tc>
          <w:tcPr>
            <w:tcW w:w="1178" w:type="dxa"/>
          </w:tcPr>
          <w:p w14:paraId="587962A3" w14:textId="77777777" w:rsidR="00CA2084" w:rsidRDefault="00CA2084" w:rsidP="0049322D">
            <w:pPr>
              <w:jc w:val="center"/>
            </w:pPr>
            <w:r>
              <w:t>101</w:t>
            </w:r>
            <w:r>
              <w:br/>
              <w:t>(&lt;1%)</w:t>
            </w:r>
          </w:p>
        </w:tc>
      </w:tr>
      <w:tr w:rsidR="00CA2084" w14:paraId="75EFDC40" w14:textId="77777777" w:rsidTr="0049322D">
        <w:tc>
          <w:tcPr>
            <w:tcW w:w="2660" w:type="dxa"/>
          </w:tcPr>
          <w:p w14:paraId="350A8DE5" w14:textId="77777777" w:rsidR="00CA2084" w:rsidRDefault="00CA2084" w:rsidP="0049322D">
            <w:pPr>
              <w:jc w:val="center"/>
            </w:pPr>
          </w:p>
        </w:tc>
        <w:tc>
          <w:tcPr>
            <w:tcW w:w="1276" w:type="dxa"/>
          </w:tcPr>
          <w:p w14:paraId="70F250FF" w14:textId="77777777" w:rsidR="00CA2084" w:rsidRDefault="00CA2084" w:rsidP="0049322D">
            <w:pPr>
              <w:jc w:val="center"/>
            </w:pPr>
          </w:p>
        </w:tc>
        <w:tc>
          <w:tcPr>
            <w:tcW w:w="3402" w:type="dxa"/>
          </w:tcPr>
          <w:p w14:paraId="1B1A396E" w14:textId="77777777" w:rsidR="00CA2084" w:rsidRDefault="00CA2084" w:rsidP="0049322D">
            <w:pPr>
              <w:jc w:val="center"/>
            </w:pPr>
          </w:p>
        </w:tc>
        <w:tc>
          <w:tcPr>
            <w:tcW w:w="1178" w:type="dxa"/>
          </w:tcPr>
          <w:p w14:paraId="5819EEED" w14:textId="77777777" w:rsidR="00CA2084" w:rsidRDefault="00CA2084" w:rsidP="0049322D">
            <w:pPr>
              <w:jc w:val="center"/>
            </w:pPr>
          </w:p>
        </w:tc>
      </w:tr>
      <w:tr w:rsidR="00CA2084" w14:paraId="10CABD03" w14:textId="77777777" w:rsidTr="0049322D">
        <w:tc>
          <w:tcPr>
            <w:tcW w:w="2660" w:type="dxa"/>
            <w:vMerge w:val="restart"/>
          </w:tcPr>
          <w:p w14:paraId="0DE18182" w14:textId="77777777" w:rsidR="00CA2084" w:rsidRDefault="00CA2084" w:rsidP="0049322D">
            <w:pPr>
              <w:jc w:val="center"/>
            </w:pPr>
            <w:r>
              <w:t>Forgery and offences against the currency</w:t>
            </w:r>
          </w:p>
        </w:tc>
        <w:tc>
          <w:tcPr>
            <w:tcW w:w="1276" w:type="dxa"/>
            <w:vMerge w:val="restart"/>
          </w:tcPr>
          <w:p w14:paraId="1F320E41" w14:textId="77777777" w:rsidR="00CA2084" w:rsidRDefault="00CA2084" w:rsidP="0049322D">
            <w:pPr>
              <w:jc w:val="center"/>
            </w:pPr>
            <w:r>
              <w:t>552</w:t>
            </w:r>
            <w:r>
              <w:br/>
              <w:t>(2%)</w:t>
            </w:r>
          </w:p>
        </w:tc>
        <w:tc>
          <w:tcPr>
            <w:tcW w:w="3402" w:type="dxa"/>
          </w:tcPr>
          <w:p w14:paraId="5E5985AA" w14:textId="77777777" w:rsidR="00CA2084" w:rsidRDefault="00CA2084" w:rsidP="0049322D">
            <w:pPr>
              <w:jc w:val="center"/>
            </w:pPr>
            <w:r>
              <w:t>Uttering counterfeit coin</w:t>
            </w:r>
          </w:p>
        </w:tc>
        <w:tc>
          <w:tcPr>
            <w:tcW w:w="1178" w:type="dxa"/>
          </w:tcPr>
          <w:p w14:paraId="2B69B17C" w14:textId="77777777" w:rsidR="00CA2084" w:rsidRDefault="00CA2084" w:rsidP="0049322D">
            <w:pPr>
              <w:jc w:val="center"/>
            </w:pPr>
            <w:r>
              <w:t>330</w:t>
            </w:r>
            <w:r>
              <w:br/>
              <w:t>(1%)</w:t>
            </w:r>
          </w:p>
        </w:tc>
      </w:tr>
      <w:tr w:rsidR="00CA2084" w14:paraId="604E85C0" w14:textId="77777777" w:rsidTr="0049322D">
        <w:tc>
          <w:tcPr>
            <w:tcW w:w="2660" w:type="dxa"/>
            <w:vMerge/>
          </w:tcPr>
          <w:p w14:paraId="4CC1E332" w14:textId="77777777" w:rsidR="00CA2084" w:rsidRDefault="00CA2084" w:rsidP="0049322D">
            <w:pPr>
              <w:jc w:val="center"/>
            </w:pPr>
          </w:p>
        </w:tc>
        <w:tc>
          <w:tcPr>
            <w:tcW w:w="1276" w:type="dxa"/>
            <w:vMerge/>
          </w:tcPr>
          <w:p w14:paraId="4535DD77" w14:textId="77777777" w:rsidR="00CA2084" w:rsidRDefault="00CA2084" w:rsidP="0049322D">
            <w:pPr>
              <w:jc w:val="center"/>
            </w:pPr>
          </w:p>
        </w:tc>
        <w:tc>
          <w:tcPr>
            <w:tcW w:w="3402" w:type="dxa"/>
          </w:tcPr>
          <w:p w14:paraId="3E7DF213" w14:textId="77777777" w:rsidR="00CA2084" w:rsidRDefault="00CA2084" w:rsidP="0049322D">
            <w:pPr>
              <w:jc w:val="center"/>
            </w:pPr>
            <w:r>
              <w:t>Forgery</w:t>
            </w:r>
          </w:p>
        </w:tc>
        <w:tc>
          <w:tcPr>
            <w:tcW w:w="1178" w:type="dxa"/>
          </w:tcPr>
          <w:p w14:paraId="00BCA690" w14:textId="77777777" w:rsidR="00CA2084" w:rsidRDefault="00CA2084" w:rsidP="0049322D">
            <w:pPr>
              <w:jc w:val="center"/>
            </w:pPr>
            <w:r>
              <w:t>159</w:t>
            </w:r>
            <w:r>
              <w:br/>
              <w:t>(&lt;1%)</w:t>
            </w:r>
          </w:p>
        </w:tc>
      </w:tr>
      <w:tr w:rsidR="00CA2084" w14:paraId="38344944" w14:textId="77777777" w:rsidTr="0049322D">
        <w:tc>
          <w:tcPr>
            <w:tcW w:w="2660" w:type="dxa"/>
            <w:vMerge/>
          </w:tcPr>
          <w:p w14:paraId="3F6E13BB" w14:textId="77777777" w:rsidR="00CA2084" w:rsidRDefault="00CA2084" w:rsidP="0049322D">
            <w:pPr>
              <w:jc w:val="center"/>
            </w:pPr>
          </w:p>
        </w:tc>
        <w:tc>
          <w:tcPr>
            <w:tcW w:w="1276" w:type="dxa"/>
            <w:vMerge/>
          </w:tcPr>
          <w:p w14:paraId="7CF7D156" w14:textId="77777777" w:rsidR="00CA2084" w:rsidRDefault="00CA2084" w:rsidP="0049322D">
            <w:pPr>
              <w:jc w:val="center"/>
            </w:pPr>
          </w:p>
        </w:tc>
        <w:tc>
          <w:tcPr>
            <w:tcW w:w="3402" w:type="dxa"/>
          </w:tcPr>
          <w:p w14:paraId="4A26B95E" w14:textId="77777777" w:rsidR="00CA2084" w:rsidRDefault="00CA2084" w:rsidP="0049322D">
            <w:pPr>
              <w:jc w:val="center"/>
            </w:pPr>
            <w:r>
              <w:t>Having counterfeit coin</w:t>
            </w:r>
          </w:p>
        </w:tc>
        <w:tc>
          <w:tcPr>
            <w:tcW w:w="1178" w:type="dxa"/>
          </w:tcPr>
          <w:p w14:paraId="4AA21EFE" w14:textId="77777777" w:rsidR="00CA2084" w:rsidRDefault="00CA2084" w:rsidP="0049322D">
            <w:pPr>
              <w:jc w:val="center"/>
            </w:pPr>
            <w:r>
              <w:t>48</w:t>
            </w:r>
          </w:p>
          <w:p w14:paraId="488BD9EE" w14:textId="77777777" w:rsidR="00CA2084" w:rsidRDefault="00CA2084" w:rsidP="0049322D">
            <w:pPr>
              <w:jc w:val="center"/>
            </w:pPr>
            <w:r>
              <w:t>(&lt;1%)</w:t>
            </w:r>
          </w:p>
        </w:tc>
      </w:tr>
      <w:tr w:rsidR="00CA2084" w14:paraId="0F26AFB7" w14:textId="77777777" w:rsidTr="0049322D">
        <w:tc>
          <w:tcPr>
            <w:tcW w:w="2660" w:type="dxa"/>
            <w:vMerge/>
          </w:tcPr>
          <w:p w14:paraId="48EB8C52" w14:textId="77777777" w:rsidR="00CA2084" w:rsidRDefault="00CA2084" w:rsidP="0049322D">
            <w:pPr>
              <w:jc w:val="center"/>
            </w:pPr>
          </w:p>
        </w:tc>
        <w:tc>
          <w:tcPr>
            <w:tcW w:w="1276" w:type="dxa"/>
            <w:vMerge/>
          </w:tcPr>
          <w:p w14:paraId="0F72FEBB" w14:textId="77777777" w:rsidR="00CA2084" w:rsidRDefault="00CA2084" w:rsidP="0049322D">
            <w:pPr>
              <w:jc w:val="center"/>
            </w:pPr>
          </w:p>
        </w:tc>
        <w:tc>
          <w:tcPr>
            <w:tcW w:w="3402" w:type="dxa"/>
          </w:tcPr>
          <w:p w14:paraId="49A316B6" w14:textId="77777777" w:rsidR="00CA2084" w:rsidRDefault="00CA2084" w:rsidP="0049322D">
            <w:pPr>
              <w:jc w:val="center"/>
            </w:pPr>
            <w:r>
              <w:t>Having items for coining</w:t>
            </w:r>
          </w:p>
        </w:tc>
        <w:tc>
          <w:tcPr>
            <w:tcW w:w="1178" w:type="dxa"/>
          </w:tcPr>
          <w:p w14:paraId="10AB2899" w14:textId="77777777" w:rsidR="00CA2084" w:rsidRDefault="00CA2084" w:rsidP="0049322D">
            <w:pPr>
              <w:jc w:val="center"/>
            </w:pPr>
            <w:r>
              <w:t>15</w:t>
            </w:r>
          </w:p>
          <w:p w14:paraId="11413F51" w14:textId="77777777" w:rsidR="00CA2084" w:rsidRDefault="00CA2084" w:rsidP="0049322D">
            <w:pPr>
              <w:jc w:val="center"/>
            </w:pPr>
            <w:r>
              <w:t>(&lt;1%)</w:t>
            </w:r>
          </w:p>
        </w:tc>
      </w:tr>
      <w:tr w:rsidR="00CA2084" w14:paraId="606A2895" w14:textId="77777777" w:rsidTr="0049322D">
        <w:tc>
          <w:tcPr>
            <w:tcW w:w="2660" w:type="dxa"/>
          </w:tcPr>
          <w:p w14:paraId="5A2FB62D" w14:textId="77777777" w:rsidR="00CA2084" w:rsidRDefault="00CA2084" w:rsidP="0049322D">
            <w:pPr>
              <w:jc w:val="center"/>
            </w:pPr>
          </w:p>
        </w:tc>
        <w:tc>
          <w:tcPr>
            <w:tcW w:w="1276" w:type="dxa"/>
          </w:tcPr>
          <w:p w14:paraId="736CCD1D" w14:textId="77777777" w:rsidR="00CA2084" w:rsidRDefault="00CA2084" w:rsidP="0049322D">
            <w:pPr>
              <w:jc w:val="center"/>
            </w:pPr>
          </w:p>
        </w:tc>
        <w:tc>
          <w:tcPr>
            <w:tcW w:w="3402" w:type="dxa"/>
          </w:tcPr>
          <w:p w14:paraId="3005B989" w14:textId="77777777" w:rsidR="00CA2084" w:rsidRDefault="00CA2084" w:rsidP="0049322D">
            <w:pPr>
              <w:jc w:val="center"/>
            </w:pPr>
          </w:p>
        </w:tc>
        <w:tc>
          <w:tcPr>
            <w:tcW w:w="1178" w:type="dxa"/>
          </w:tcPr>
          <w:p w14:paraId="66AB9B1A" w14:textId="77777777" w:rsidR="00CA2084" w:rsidRDefault="00CA2084" w:rsidP="0049322D">
            <w:pPr>
              <w:jc w:val="center"/>
            </w:pPr>
          </w:p>
        </w:tc>
      </w:tr>
      <w:tr w:rsidR="00CA2084" w14:paraId="1B2A3397" w14:textId="77777777" w:rsidTr="0049322D">
        <w:tc>
          <w:tcPr>
            <w:tcW w:w="2660" w:type="dxa"/>
            <w:vMerge w:val="restart"/>
          </w:tcPr>
          <w:p w14:paraId="63A3CACC" w14:textId="77777777" w:rsidR="00CA2084" w:rsidRDefault="00CA2084" w:rsidP="0049322D">
            <w:pPr>
              <w:jc w:val="center"/>
            </w:pPr>
            <w:r>
              <w:t>Offences not included in the above classes</w:t>
            </w:r>
          </w:p>
        </w:tc>
        <w:tc>
          <w:tcPr>
            <w:tcW w:w="1276" w:type="dxa"/>
            <w:vMerge w:val="restart"/>
          </w:tcPr>
          <w:p w14:paraId="1DA7D8D1" w14:textId="77777777" w:rsidR="00CA2084" w:rsidRDefault="00CA2084" w:rsidP="0049322D">
            <w:pPr>
              <w:jc w:val="center"/>
            </w:pPr>
            <w:r>
              <w:t>1,306</w:t>
            </w:r>
            <w:r>
              <w:br/>
              <w:t>(4%)</w:t>
            </w:r>
          </w:p>
        </w:tc>
        <w:tc>
          <w:tcPr>
            <w:tcW w:w="3402" w:type="dxa"/>
          </w:tcPr>
          <w:p w14:paraId="4B358232" w14:textId="77777777" w:rsidR="00CA2084" w:rsidRDefault="00CA2084" w:rsidP="0049322D">
            <w:pPr>
              <w:jc w:val="center"/>
            </w:pPr>
            <w:r>
              <w:t xml:space="preserve">Riot </w:t>
            </w:r>
            <w:proofErr w:type="spellStart"/>
            <w:r>
              <w:t>etc</w:t>
            </w:r>
            <w:proofErr w:type="spellEnd"/>
          </w:p>
        </w:tc>
        <w:tc>
          <w:tcPr>
            <w:tcW w:w="1178" w:type="dxa"/>
          </w:tcPr>
          <w:p w14:paraId="5ED0A1D0" w14:textId="77777777" w:rsidR="00CA2084" w:rsidRDefault="00CA2084" w:rsidP="0049322D">
            <w:pPr>
              <w:jc w:val="center"/>
            </w:pPr>
            <w:r>
              <w:t>563</w:t>
            </w:r>
          </w:p>
          <w:p w14:paraId="04DC86C0" w14:textId="77777777" w:rsidR="00CA2084" w:rsidRDefault="00CA2084" w:rsidP="0049322D">
            <w:pPr>
              <w:jc w:val="center"/>
            </w:pPr>
            <w:r>
              <w:t>(2%)</w:t>
            </w:r>
          </w:p>
        </w:tc>
      </w:tr>
      <w:tr w:rsidR="00CA2084" w14:paraId="0051D679" w14:textId="77777777" w:rsidTr="0049322D">
        <w:tc>
          <w:tcPr>
            <w:tcW w:w="2660" w:type="dxa"/>
            <w:vMerge/>
          </w:tcPr>
          <w:p w14:paraId="3D09F867" w14:textId="77777777" w:rsidR="00CA2084" w:rsidRDefault="00CA2084" w:rsidP="0049322D">
            <w:pPr>
              <w:jc w:val="center"/>
            </w:pPr>
          </w:p>
        </w:tc>
        <w:tc>
          <w:tcPr>
            <w:tcW w:w="1276" w:type="dxa"/>
            <w:vMerge/>
          </w:tcPr>
          <w:p w14:paraId="428B6B5F" w14:textId="77777777" w:rsidR="00CA2084" w:rsidRDefault="00CA2084" w:rsidP="0049322D">
            <w:pPr>
              <w:jc w:val="center"/>
            </w:pPr>
          </w:p>
        </w:tc>
        <w:tc>
          <w:tcPr>
            <w:tcW w:w="3402" w:type="dxa"/>
          </w:tcPr>
          <w:p w14:paraId="79A30130" w14:textId="77777777" w:rsidR="00CA2084" w:rsidRDefault="00CA2084" w:rsidP="0049322D">
            <w:pPr>
              <w:jc w:val="center"/>
            </w:pPr>
            <w:r>
              <w:t>Misc.</w:t>
            </w:r>
          </w:p>
        </w:tc>
        <w:tc>
          <w:tcPr>
            <w:tcW w:w="1178" w:type="dxa"/>
          </w:tcPr>
          <w:p w14:paraId="7D717AEE" w14:textId="77777777" w:rsidR="00CA2084" w:rsidRDefault="00CA2084" w:rsidP="0049322D">
            <w:pPr>
              <w:jc w:val="center"/>
            </w:pPr>
            <w:r>
              <w:t>242</w:t>
            </w:r>
          </w:p>
          <w:p w14:paraId="0585FD44" w14:textId="77777777" w:rsidR="00CA2084" w:rsidRDefault="00CA2084" w:rsidP="0049322D">
            <w:pPr>
              <w:jc w:val="center"/>
            </w:pPr>
            <w:r>
              <w:t>(1%)</w:t>
            </w:r>
          </w:p>
        </w:tc>
      </w:tr>
      <w:tr w:rsidR="00CA2084" w14:paraId="02B4ABD3" w14:textId="77777777" w:rsidTr="0049322D">
        <w:tc>
          <w:tcPr>
            <w:tcW w:w="2660" w:type="dxa"/>
            <w:vMerge/>
          </w:tcPr>
          <w:p w14:paraId="5E9D9F58" w14:textId="77777777" w:rsidR="00CA2084" w:rsidRDefault="00CA2084" w:rsidP="0049322D">
            <w:pPr>
              <w:jc w:val="center"/>
            </w:pPr>
          </w:p>
        </w:tc>
        <w:tc>
          <w:tcPr>
            <w:tcW w:w="1276" w:type="dxa"/>
            <w:vMerge/>
          </w:tcPr>
          <w:p w14:paraId="5FF6E66F" w14:textId="77777777" w:rsidR="00CA2084" w:rsidRDefault="00CA2084" w:rsidP="0049322D">
            <w:pPr>
              <w:jc w:val="center"/>
            </w:pPr>
          </w:p>
        </w:tc>
        <w:tc>
          <w:tcPr>
            <w:tcW w:w="3402" w:type="dxa"/>
          </w:tcPr>
          <w:p w14:paraId="1DF31508" w14:textId="77777777" w:rsidR="00CA2084" w:rsidRDefault="00CA2084" w:rsidP="0049322D">
            <w:pPr>
              <w:jc w:val="center"/>
            </w:pPr>
            <w:r>
              <w:t>Poaching</w:t>
            </w:r>
          </w:p>
        </w:tc>
        <w:tc>
          <w:tcPr>
            <w:tcW w:w="1178" w:type="dxa"/>
          </w:tcPr>
          <w:p w14:paraId="117A8C2E" w14:textId="77777777" w:rsidR="00CA2084" w:rsidRDefault="00CA2084" w:rsidP="0049322D">
            <w:pPr>
              <w:jc w:val="center"/>
            </w:pPr>
            <w:r>
              <w:t>214</w:t>
            </w:r>
          </w:p>
          <w:p w14:paraId="25608400" w14:textId="77777777" w:rsidR="00CA2084" w:rsidRDefault="00CA2084" w:rsidP="0049322D">
            <w:pPr>
              <w:jc w:val="center"/>
            </w:pPr>
            <w:r>
              <w:t>(1%)</w:t>
            </w:r>
          </w:p>
        </w:tc>
      </w:tr>
      <w:tr w:rsidR="00CA2084" w14:paraId="49243A5E" w14:textId="77777777" w:rsidTr="0049322D">
        <w:tc>
          <w:tcPr>
            <w:tcW w:w="2660" w:type="dxa"/>
            <w:vMerge/>
          </w:tcPr>
          <w:p w14:paraId="68307D7D" w14:textId="77777777" w:rsidR="00CA2084" w:rsidRDefault="00CA2084" w:rsidP="0049322D">
            <w:pPr>
              <w:jc w:val="center"/>
            </w:pPr>
          </w:p>
        </w:tc>
        <w:tc>
          <w:tcPr>
            <w:tcW w:w="1276" w:type="dxa"/>
            <w:vMerge/>
          </w:tcPr>
          <w:p w14:paraId="274B1B53" w14:textId="77777777" w:rsidR="00CA2084" w:rsidRDefault="00CA2084" w:rsidP="0049322D">
            <w:pPr>
              <w:jc w:val="center"/>
            </w:pPr>
          </w:p>
        </w:tc>
        <w:tc>
          <w:tcPr>
            <w:tcW w:w="3402" w:type="dxa"/>
          </w:tcPr>
          <w:p w14:paraId="076413C0" w14:textId="77777777" w:rsidR="00CA2084" w:rsidRDefault="00CA2084" w:rsidP="0049322D">
            <w:pPr>
              <w:jc w:val="center"/>
            </w:pPr>
            <w:r>
              <w:t>Perjury</w:t>
            </w:r>
          </w:p>
        </w:tc>
        <w:tc>
          <w:tcPr>
            <w:tcW w:w="1178" w:type="dxa"/>
          </w:tcPr>
          <w:p w14:paraId="25566300" w14:textId="77777777" w:rsidR="00CA2084" w:rsidRDefault="00CA2084" w:rsidP="0049322D">
            <w:pPr>
              <w:jc w:val="center"/>
            </w:pPr>
            <w:r>
              <w:t>118</w:t>
            </w:r>
          </w:p>
          <w:p w14:paraId="7E20BDF4" w14:textId="77777777" w:rsidR="00CA2084" w:rsidRDefault="00CA2084" w:rsidP="0049322D">
            <w:pPr>
              <w:jc w:val="center"/>
            </w:pPr>
            <w:r>
              <w:t>(&lt;1%)</w:t>
            </w:r>
          </w:p>
        </w:tc>
      </w:tr>
      <w:tr w:rsidR="00CA2084" w14:paraId="5AF1F53B" w14:textId="77777777" w:rsidTr="0049322D">
        <w:tc>
          <w:tcPr>
            <w:tcW w:w="2660" w:type="dxa"/>
            <w:vMerge/>
          </w:tcPr>
          <w:p w14:paraId="0DE00463" w14:textId="77777777" w:rsidR="00CA2084" w:rsidRDefault="00CA2084" w:rsidP="0049322D">
            <w:pPr>
              <w:jc w:val="center"/>
            </w:pPr>
          </w:p>
        </w:tc>
        <w:tc>
          <w:tcPr>
            <w:tcW w:w="1276" w:type="dxa"/>
            <w:vMerge/>
          </w:tcPr>
          <w:p w14:paraId="66151471" w14:textId="77777777" w:rsidR="00CA2084" w:rsidRDefault="00CA2084" w:rsidP="0049322D">
            <w:pPr>
              <w:jc w:val="center"/>
            </w:pPr>
          </w:p>
        </w:tc>
        <w:tc>
          <w:tcPr>
            <w:tcW w:w="3402" w:type="dxa"/>
          </w:tcPr>
          <w:p w14:paraId="51BE2205" w14:textId="77777777" w:rsidR="00CA2084" w:rsidRDefault="00CA2084" w:rsidP="0049322D">
            <w:pPr>
              <w:jc w:val="center"/>
            </w:pPr>
            <w:r>
              <w:t>Attempted suicide</w:t>
            </w:r>
          </w:p>
        </w:tc>
        <w:tc>
          <w:tcPr>
            <w:tcW w:w="1178" w:type="dxa"/>
          </w:tcPr>
          <w:p w14:paraId="062BF409" w14:textId="77777777" w:rsidR="00CA2084" w:rsidRDefault="00CA2084" w:rsidP="0049322D">
            <w:pPr>
              <w:jc w:val="center"/>
            </w:pPr>
            <w:r>
              <w:t>86</w:t>
            </w:r>
          </w:p>
          <w:p w14:paraId="5F3DA50E" w14:textId="77777777" w:rsidR="00CA2084" w:rsidRDefault="00CA2084" w:rsidP="0049322D">
            <w:pPr>
              <w:jc w:val="center"/>
            </w:pPr>
            <w:r>
              <w:t>(&lt;1%)</w:t>
            </w:r>
          </w:p>
        </w:tc>
      </w:tr>
      <w:tr w:rsidR="00CA2084" w14:paraId="1F0A62CE" w14:textId="77777777" w:rsidTr="0049322D">
        <w:tc>
          <w:tcPr>
            <w:tcW w:w="2660" w:type="dxa"/>
            <w:vMerge/>
          </w:tcPr>
          <w:p w14:paraId="0F59CEE6" w14:textId="77777777" w:rsidR="00CA2084" w:rsidRDefault="00CA2084" w:rsidP="0049322D">
            <w:pPr>
              <w:jc w:val="center"/>
            </w:pPr>
          </w:p>
        </w:tc>
        <w:tc>
          <w:tcPr>
            <w:tcW w:w="1276" w:type="dxa"/>
            <w:vMerge/>
          </w:tcPr>
          <w:p w14:paraId="036307B4" w14:textId="77777777" w:rsidR="00CA2084" w:rsidRDefault="00CA2084" w:rsidP="0049322D">
            <w:pPr>
              <w:jc w:val="center"/>
            </w:pPr>
          </w:p>
        </w:tc>
        <w:tc>
          <w:tcPr>
            <w:tcW w:w="3402" w:type="dxa"/>
          </w:tcPr>
          <w:p w14:paraId="092B3612" w14:textId="77777777" w:rsidR="00CA2084" w:rsidRDefault="00CA2084" w:rsidP="0049322D">
            <w:pPr>
              <w:jc w:val="center"/>
            </w:pPr>
            <w:r>
              <w:t>Keeping a disorderly/bawdy house</w:t>
            </w:r>
          </w:p>
        </w:tc>
        <w:tc>
          <w:tcPr>
            <w:tcW w:w="1178" w:type="dxa"/>
          </w:tcPr>
          <w:p w14:paraId="59C6146C" w14:textId="77777777" w:rsidR="00CA2084" w:rsidRDefault="00CA2084" w:rsidP="0049322D">
            <w:pPr>
              <w:jc w:val="center"/>
            </w:pPr>
            <w:r>
              <w:t>83</w:t>
            </w:r>
            <w:r>
              <w:br/>
              <w:t>(&lt;1%)</w:t>
            </w:r>
          </w:p>
        </w:tc>
      </w:tr>
      <w:tr w:rsidR="00CA2084" w14:paraId="12D6B918" w14:textId="77777777" w:rsidTr="0049322D">
        <w:tc>
          <w:tcPr>
            <w:tcW w:w="2660" w:type="dxa"/>
          </w:tcPr>
          <w:p w14:paraId="6C7D3E11" w14:textId="77777777" w:rsidR="00CA2084" w:rsidRPr="00276FB6" w:rsidRDefault="00CA2084" w:rsidP="0049322D">
            <w:pPr>
              <w:jc w:val="center"/>
              <w:rPr>
                <w:b/>
              </w:rPr>
            </w:pPr>
            <w:r w:rsidRPr="00276FB6">
              <w:rPr>
                <w:b/>
              </w:rPr>
              <w:t>Total</w:t>
            </w:r>
          </w:p>
        </w:tc>
        <w:tc>
          <w:tcPr>
            <w:tcW w:w="5856" w:type="dxa"/>
            <w:gridSpan w:val="3"/>
          </w:tcPr>
          <w:p w14:paraId="1BC30C16" w14:textId="77777777" w:rsidR="00CA2084" w:rsidRDefault="00CA2084" w:rsidP="0049322D">
            <w:pPr>
              <w:jc w:val="center"/>
            </w:pPr>
            <w:r>
              <w:t>33,000</w:t>
            </w:r>
          </w:p>
          <w:p w14:paraId="24B36FDA" w14:textId="77777777" w:rsidR="00CA2084" w:rsidRDefault="00CA2084" w:rsidP="0049322D">
            <w:pPr>
              <w:jc w:val="center"/>
            </w:pPr>
            <w:r>
              <w:t>(100%)</w:t>
            </w:r>
          </w:p>
        </w:tc>
      </w:tr>
    </w:tbl>
    <w:p w14:paraId="5287785A" w14:textId="77777777" w:rsidR="00CA2084" w:rsidRPr="00764CBC" w:rsidRDefault="00CA2084" w:rsidP="00225D5D">
      <w:pPr>
        <w:jc w:val="both"/>
        <w:rPr>
          <w:rFonts w:ascii="Times New Roman" w:eastAsia="Times New Roman" w:hAnsi="Times New Roman" w:cs="Times New Roman"/>
          <w:sz w:val="20"/>
          <w:szCs w:val="20"/>
          <w:lang w:val="en-GB"/>
        </w:rPr>
      </w:pPr>
      <w:r w:rsidRPr="00764CBC">
        <w:rPr>
          <w:b/>
        </w:rPr>
        <w:t>Figure 5:</w:t>
      </w:r>
      <w:r w:rsidRPr="00764CBC">
        <w:t xml:space="preserve"> The number and percentage of persons committed for trial at Assizes and Quarter Sessions in Cheshire for different classes of offences and offences, 1840 and 1890.</w:t>
      </w:r>
    </w:p>
    <w:p w14:paraId="3B8C27B5" w14:textId="5168CED2" w:rsidR="00CA2084" w:rsidRPr="001C4836" w:rsidRDefault="00CA2084" w:rsidP="00FC3297">
      <w:pPr>
        <w:spacing w:line="360" w:lineRule="auto"/>
        <w:jc w:val="both"/>
        <w:rPr>
          <w:lang w:val="en-GB"/>
        </w:rPr>
      </w:pPr>
      <w:r>
        <w:rPr>
          <w:lang w:val="en-GB"/>
        </w:rPr>
        <w:tab/>
      </w:r>
    </w:p>
    <w:p w14:paraId="7455FC14" w14:textId="0A585E7B" w:rsidR="00CA2084" w:rsidRPr="008E5B1A" w:rsidRDefault="00CA2084" w:rsidP="00FC3297">
      <w:pPr>
        <w:spacing w:line="360" w:lineRule="auto"/>
        <w:jc w:val="both"/>
      </w:pPr>
      <w:r>
        <w:t xml:space="preserve">The vast majority of those committed for trial in Victorian England were accused of an offence against property not involving violence, chiefly larceny. </w:t>
      </w:r>
      <w:r w:rsidRPr="002B09B3">
        <w:t xml:space="preserve">Of the 485,012 persons committed for trial for indictable offences between 1841-5 and 1886-90, </w:t>
      </w:r>
      <w:r w:rsidRPr="003A0262">
        <w:t>88% were accused of a non-violent property offence (427,523).</w:t>
      </w:r>
      <w:r w:rsidRPr="002B09B3">
        <w:rPr>
          <w:color w:val="FF0000"/>
        </w:rPr>
        <w:t xml:space="preserve"> </w:t>
      </w:r>
      <w:r w:rsidRPr="003A0262">
        <w:t>In contrast only 4% (18,263) and 5% (22,995) were accused of a violent property offences or an offence against the person respectively.</w:t>
      </w:r>
      <w:r w:rsidRPr="003A0262">
        <w:rPr>
          <w:rStyle w:val="FootnoteReference"/>
        </w:rPr>
        <w:footnoteReference w:id="23"/>
      </w:r>
      <w:r w:rsidRPr="002B09B3">
        <w:rPr>
          <w:color w:val="FF0000"/>
        </w:rPr>
        <w:t xml:space="preserve"> </w:t>
      </w:r>
      <w:r w:rsidRPr="003A0262">
        <w:t xml:space="preserve">Similarly, 85% of those indicted in the Black Country between 1835 and 1860 were accused of a non-violent property offence, with 79% accused of larceny. Of these, the vast majority were accused of either simple larceny (30% of those </w:t>
      </w:r>
      <w:r w:rsidR="00F767E8">
        <w:t xml:space="preserve">committed </w:t>
      </w:r>
      <w:r w:rsidR="00F767E8" w:rsidRPr="00F767E8">
        <w:rPr>
          <w:color w:val="FF0000"/>
        </w:rPr>
        <w:t>to trial</w:t>
      </w:r>
      <w:r w:rsidRPr="003A0262">
        <w:t xml:space="preserve">) or, </w:t>
      </w:r>
      <w:r w:rsidRPr="003A0262">
        <w:lastRenderedPageBreak/>
        <w:t>reflecting the large manufacturing base in the region, industrial thefts (28%).</w:t>
      </w:r>
      <w:r w:rsidRPr="003A0262">
        <w:rPr>
          <w:color w:val="FF0000"/>
        </w:rPr>
        <w:t xml:space="preserve"> </w:t>
      </w:r>
      <w:r w:rsidRPr="008E5B1A">
        <w:t xml:space="preserve">Meanwhile, only 5.5% and 5.6% of those </w:t>
      </w:r>
      <w:r w:rsidR="00F767E8" w:rsidRPr="00F767E8">
        <w:rPr>
          <w:color w:val="FF0000"/>
        </w:rPr>
        <w:t>committed</w:t>
      </w:r>
      <w:r w:rsidRPr="008E5B1A">
        <w:t xml:space="preserve"> were accused of a violent property offence or an offence against the person; </w:t>
      </w:r>
      <w:r>
        <w:t xml:space="preserve">of the former, </w:t>
      </w:r>
      <w:r w:rsidRPr="008E5B1A">
        <w:t>23% were accused of breaking and entering.</w:t>
      </w:r>
      <w:r>
        <w:t xml:space="preserve"> Similarly, 80% of those committed for trial at Northallerton Quarter Sessions between 1835 and 1860 were accused of larceny, compared with just 3% and 2% accused of fraud or receiving and housebreaking or robbery respectively.</w:t>
      </w:r>
      <w:r w:rsidRPr="008E5B1A">
        <w:rPr>
          <w:rStyle w:val="FootnoteReference"/>
        </w:rPr>
        <w:footnoteReference w:id="24"/>
      </w:r>
      <w:r w:rsidRPr="008E5B1A">
        <w:t xml:space="preserve"> </w:t>
      </w:r>
    </w:p>
    <w:p w14:paraId="70AC1084" w14:textId="77777777" w:rsidR="00CA2084" w:rsidRDefault="00CA2084" w:rsidP="00FC3297">
      <w:pPr>
        <w:spacing w:line="360" w:lineRule="auto"/>
        <w:jc w:val="both"/>
      </w:pPr>
    </w:p>
    <w:p w14:paraId="7C2D61BB" w14:textId="689B87F3" w:rsidR="00CA2084" w:rsidRPr="008E5B1A" w:rsidRDefault="00CA2084" w:rsidP="00FC3297">
      <w:pPr>
        <w:spacing w:line="360" w:lineRule="auto"/>
        <w:jc w:val="both"/>
        <w:rPr>
          <w:color w:val="FF0000"/>
        </w:rPr>
      </w:pPr>
      <w:r>
        <w:tab/>
        <w:t xml:space="preserve">Just under three-quarters of those committed for trial across Cheshire during the period were accused of a non-violent property offence, with just over half accused of larceny. The percentage of those accused </w:t>
      </w:r>
      <w:r w:rsidRPr="00545818">
        <w:rPr>
          <w:color w:val="FF0000"/>
        </w:rPr>
        <w:t xml:space="preserve">of </w:t>
      </w:r>
      <w:r w:rsidR="00545818" w:rsidRPr="00545818">
        <w:rPr>
          <w:color w:val="FF0000"/>
        </w:rPr>
        <w:t>the latter offence remained high</w:t>
      </w:r>
      <w:r>
        <w:t xml:space="preserve"> year on year, never falling below three out of ten every </w:t>
      </w:r>
      <w:proofErr w:type="gramStart"/>
      <w:r>
        <w:t>persons</w:t>
      </w:r>
      <w:proofErr w:type="gramEnd"/>
      <w:r>
        <w:t xml:space="preserve"> committed for trial despite the growth of summary jurisdiction. Indeed, as late as 1879, just over half of those committed for trial across the county were accused of larceny (52%). </w:t>
      </w:r>
      <w:r w:rsidRPr="00DC6ED5">
        <w:t>In contrast, 12% and 8% were accused of an offence against the person or a property offence involving violence – higher percentages than those found at either the national level or in the Black Country (1835-60).</w:t>
      </w:r>
      <w:r w:rsidRPr="008E5B1A">
        <w:rPr>
          <w:color w:val="FF0000"/>
        </w:rPr>
        <w:t xml:space="preserve"> </w:t>
      </w:r>
      <w:r w:rsidRPr="00B80B23">
        <w:t>The highest percentage of those committed for violent offences (against the person and property), were accused of non-fatal assaults (24%),</w:t>
      </w:r>
      <w:r w:rsidRPr="008E5B1A">
        <w:rPr>
          <w:color w:val="FF0000"/>
        </w:rPr>
        <w:t xml:space="preserve"> </w:t>
      </w:r>
      <w:r w:rsidRPr="00B80B23">
        <w:t>burglary (13%) or housebreaking (12%).</w:t>
      </w:r>
      <w:r w:rsidRPr="008E5B1A">
        <w:rPr>
          <w:color w:val="FF0000"/>
        </w:rPr>
        <w:t xml:space="preserve"> </w:t>
      </w:r>
      <w:r w:rsidRPr="00B80B23">
        <w:t>In contrast, only 6%, 3%</w:t>
      </w:r>
      <w:r w:rsidRPr="008E5B1A">
        <w:rPr>
          <w:color w:val="FF0000"/>
        </w:rPr>
        <w:t xml:space="preserve"> </w:t>
      </w:r>
      <w:r w:rsidRPr="00B80B23">
        <w:t xml:space="preserve">and 2% were accused of manslaughter, rape and murder respectively. Indeed, looking at the table it is clear that the Cheshire courts’ main business </w:t>
      </w:r>
      <w:r w:rsidR="00F767E8" w:rsidRPr="00F767E8">
        <w:rPr>
          <w:color w:val="FF0000"/>
        </w:rPr>
        <w:t xml:space="preserve">during the period </w:t>
      </w:r>
      <w:r w:rsidRPr="00B80B23">
        <w:t>consisted of th</w:t>
      </w:r>
      <w:r w:rsidR="000C5B4C">
        <w:t>r</w:t>
      </w:r>
      <w:r w:rsidRPr="00B80B23">
        <w:t xml:space="preserve">ee main kinds of offences: varieties of non-violent larceny (simple, from the person, by a servant, or by false pretences) or the receiving of </w:t>
      </w:r>
      <w:r w:rsidR="000C5B4C">
        <w:t>these</w:t>
      </w:r>
      <w:r w:rsidRPr="00B80B23">
        <w:t xml:space="preserve"> goods (71%), forms of non-fatal assault (6%), and burglary and housebreaking (5%). </w:t>
      </w:r>
    </w:p>
    <w:p w14:paraId="27CABDB8" w14:textId="77777777" w:rsidR="00CA2084" w:rsidRDefault="00CA2084" w:rsidP="00FC3297">
      <w:pPr>
        <w:spacing w:line="360" w:lineRule="auto"/>
      </w:pPr>
    </w:p>
    <w:p w14:paraId="080F6600" w14:textId="77777777" w:rsidR="00CA2084" w:rsidRDefault="00CA2084" w:rsidP="00FC3297">
      <w:pPr>
        <w:spacing w:line="360" w:lineRule="auto"/>
      </w:pPr>
    </w:p>
    <w:p w14:paraId="39B6F56D" w14:textId="00009462" w:rsidR="00CA2084" w:rsidRDefault="00CA2084">
      <w:pPr>
        <w:rPr>
          <w:b/>
        </w:rPr>
      </w:pPr>
      <w:r w:rsidRPr="000147E8">
        <w:rPr>
          <w:b/>
        </w:rPr>
        <w:t>Pattern of Verdicts and Sentences</w:t>
      </w:r>
    </w:p>
    <w:p w14:paraId="1F14C716" w14:textId="77777777" w:rsidR="00CA2084" w:rsidRDefault="00CA2084" w:rsidP="00C34D91">
      <w:pPr>
        <w:spacing w:line="360" w:lineRule="auto"/>
        <w:rPr>
          <w:b/>
        </w:rPr>
      </w:pPr>
    </w:p>
    <w:p w14:paraId="2C46CF91" w14:textId="5FF4711D" w:rsidR="00CA2084" w:rsidRDefault="00CA2084" w:rsidP="00C34D91">
      <w:pPr>
        <w:spacing w:line="360" w:lineRule="auto"/>
        <w:jc w:val="both"/>
      </w:pPr>
      <w:r w:rsidRPr="00C81D85">
        <w:lastRenderedPageBreak/>
        <w:t>Between 1840 and 1890, 77% of those committed for trial across England and Wales were found guilty,</w:t>
      </w:r>
      <w:r w:rsidRPr="007B0178">
        <w:rPr>
          <w:color w:val="FF0000"/>
        </w:rPr>
        <w:t xml:space="preserve"> </w:t>
      </w:r>
      <w:r w:rsidRPr="00180E47">
        <w:t>while just under one in five (18%) were found not guilty. Of the remainder, 5% had the indictment against them dismissed by a grand jury and less than 1% were not prosecuted either on grounds of insanity or because their prosecutor did not attend court.</w:t>
      </w:r>
      <w:r w:rsidR="00341882">
        <w:rPr>
          <w:color w:val="FF0000"/>
        </w:rPr>
        <w:t xml:space="preserve"> </w:t>
      </w:r>
      <w:r w:rsidRPr="00180E47">
        <w:t>Over the period, the percentage of those who were successfully convicted declined slightly, from 79% between 1840-9 to 77% between 1880-9</w:t>
      </w:r>
      <w:r w:rsidR="007F13F5">
        <w:t xml:space="preserve"> (</w:t>
      </w:r>
      <w:r w:rsidR="007F13F5" w:rsidRPr="007F13F5">
        <w:rPr>
          <w:color w:val="FF0000"/>
        </w:rPr>
        <w:t>possibly</w:t>
      </w:r>
      <w:r w:rsidR="007F13F5">
        <w:t xml:space="preserve"> </w:t>
      </w:r>
      <w:r w:rsidR="00300ACB" w:rsidRPr="00300ACB">
        <w:rPr>
          <w:color w:val="FF0000"/>
        </w:rPr>
        <w:t>reflect</w:t>
      </w:r>
      <w:r w:rsidR="007F13F5">
        <w:rPr>
          <w:color w:val="FF0000"/>
        </w:rPr>
        <w:t>ing</w:t>
      </w:r>
      <w:r w:rsidR="00300ACB" w:rsidRPr="00300ACB">
        <w:rPr>
          <w:color w:val="FF0000"/>
        </w:rPr>
        <w:t xml:space="preserve"> the growing employment of professional </w:t>
      </w:r>
      <w:proofErr w:type="spellStart"/>
      <w:r w:rsidR="00300ACB" w:rsidRPr="00300ACB">
        <w:rPr>
          <w:color w:val="FF0000"/>
        </w:rPr>
        <w:t>defence</w:t>
      </w:r>
      <w:proofErr w:type="spellEnd"/>
      <w:r w:rsidR="00300ACB" w:rsidRPr="00300ACB">
        <w:rPr>
          <w:color w:val="FF0000"/>
        </w:rPr>
        <w:t xml:space="preserve"> counsels after 1836</w:t>
      </w:r>
      <w:r w:rsidR="007F13F5">
        <w:rPr>
          <w:color w:val="FF0000"/>
        </w:rPr>
        <w:t>)</w:t>
      </w:r>
      <w:r w:rsidR="00300ACB" w:rsidRPr="00300ACB">
        <w:rPr>
          <w:color w:val="FF0000"/>
        </w:rPr>
        <w:t>.</w:t>
      </w:r>
      <w:r w:rsidR="00300ACB">
        <w:rPr>
          <w:rStyle w:val="FootnoteReference"/>
          <w:color w:val="FF0000"/>
        </w:rPr>
        <w:footnoteReference w:id="25"/>
      </w:r>
      <w:r w:rsidR="00300ACB" w:rsidRPr="00300ACB">
        <w:rPr>
          <w:color w:val="FF0000"/>
        </w:rPr>
        <w:t xml:space="preserve"> </w:t>
      </w:r>
      <w:r>
        <w:t>There were regional variations to this pattern, however: the percentage successfully convicted in the Black County</w:t>
      </w:r>
      <w:r w:rsidR="007F13F5">
        <w:t xml:space="preserve"> </w:t>
      </w:r>
      <w:r w:rsidR="007F13F5" w:rsidRPr="007F13F5">
        <w:rPr>
          <w:color w:val="FF0000"/>
        </w:rPr>
        <w:t>for example</w:t>
      </w:r>
      <w:r>
        <w:t xml:space="preserve"> increased slightly, from 69% between 1841-5 to 74.5% between 1851-5.</w:t>
      </w:r>
      <w:r>
        <w:rPr>
          <w:rStyle w:val="FootnoteReference"/>
        </w:rPr>
        <w:footnoteReference w:id="26"/>
      </w:r>
      <w:r>
        <w:t xml:space="preserve"> Figures 6 and 7 show the verdicts handed down in Cheshire over the period in each court and by class of offence:   </w:t>
      </w:r>
    </w:p>
    <w:p w14:paraId="78AC052F" w14:textId="77777777" w:rsidR="00CA2084" w:rsidRDefault="00CA2084" w:rsidP="00C34D91">
      <w:pPr>
        <w:spacing w:line="360" w:lineRule="auto"/>
      </w:pPr>
    </w:p>
    <w:p w14:paraId="2ACD3DDD" w14:textId="77777777" w:rsidR="00CA2084" w:rsidRDefault="00CA2084">
      <w:r>
        <w:br w:type="page"/>
      </w:r>
    </w:p>
    <w:tbl>
      <w:tblPr>
        <w:tblStyle w:val="TableGrid"/>
        <w:tblW w:w="0" w:type="auto"/>
        <w:tblLook w:val="04A0" w:firstRow="1" w:lastRow="0" w:firstColumn="1" w:lastColumn="0" w:noHBand="0" w:noVBand="1"/>
      </w:tblPr>
      <w:tblGrid>
        <w:gridCol w:w="1547"/>
        <w:gridCol w:w="1544"/>
        <w:gridCol w:w="1541"/>
        <w:gridCol w:w="1381"/>
        <w:gridCol w:w="2277"/>
      </w:tblGrid>
      <w:tr w:rsidR="00CA2084" w:rsidRPr="00364A52" w14:paraId="063B2534" w14:textId="77777777" w:rsidTr="0049322D">
        <w:tc>
          <w:tcPr>
            <w:tcW w:w="1587" w:type="dxa"/>
          </w:tcPr>
          <w:p w14:paraId="5D772C2F" w14:textId="523733DB" w:rsidR="00CA2084" w:rsidRPr="00E16904" w:rsidRDefault="00CA2084" w:rsidP="0049322D">
            <w:pPr>
              <w:jc w:val="center"/>
              <w:rPr>
                <w:b/>
              </w:rPr>
            </w:pPr>
            <w:r w:rsidRPr="00E16904">
              <w:rPr>
                <w:b/>
              </w:rPr>
              <w:lastRenderedPageBreak/>
              <w:t>Verdict</w:t>
            </w:r>
          </w:p>
        </w:tc>
        <w:tc>
          <w:tcPr>
            <w:tcW w:w="1583" w:type="dxa"/>
          </w:tcPr>
          <w:p w14:paraId="3FE6ED47" w14:textId="77777777" w:rsidR="00CA2084" w:rsidRDefault="00CA2084" w:rsidP="0049322D">
            <w:pPr>
              <w:jc w:val="center"/>
              <w:rPr>
                <w:b/>
              </w:rPr>
            </w:pPr>
            <w:r>
              <w:rPr>
                <w:b/>
              </w:rPr>
              <w:t>County</w:t>
            </w:r>
          </w:p>
          <w:p w14:paraId="19298D58" w14:textId="77777777" w:rsidR="00CA2084" w:rsidRPr="00E16904" w:rsidRDefault="00CA2084" w:rsidP="0049322D">
            <w:pPr>
              <w:jc w:val="center"/>
              <w:rPr>
                <w:b/>
              </w:rPr>
            </w:pPr>
            <w:r w:rsidRPr="00E16904">
              <w:rPr>
                <w:b/>
              </w:rPr>
              <w:t>Assizes</w:t>
            </w:r>
          </w:p>
        </w:tc>
        <w:tc>
          <w:tcPr>
            <w:tcW w:w="1570" w:type="dxa"/>
          </w:tcPr>
          <w:p w14:paraId="6A20268F" w14:textId="77777777" w:rsidR="00CA2084" w:rsidRPr="00E16904" w:rsidRDefault="00CA2084" w:rsidP="0049322D">
            <w:pPr>
              <w:jc w:val="center"/>
              <w:rPr>
                <w:b/>
              </w:rPr>
            </w:pPr>
            <w:r w:rsidRPr="00E16904">
              <w:rPr>
                <w:b/>
              </w:rPr>
              <w:t>County Q</w:t>
            </w:r>
            <w:r>
              <w:rPr>
                <w:b/>
              </w:rPr>
              <w:t xml:space="preserve">uarter </w:t>
            </w:r>
            <w:r w:rsidRPr="00E16904">
              <w:rPr>
                <w:b/>
              </w:rPr>
              <w:t>S</w:t>
            </w:r>
            <w:r>
              <w:rPr>
                <w:b/>
              </w:rPr>
              <w:t>essions</w:t>
            </w:r>
          </w:p>
        </w:tc>
        <w:tc>
          <w:tcPr>
            <w:tcW w:w="1398" w:type="dxa"/>
          </w:tcPr>
          <w:p w14:paraId="6E7421A0" w14:textId="77777777" w:rsidR="00CA2084" w:rsidRPr="00E16904" w:rsidRDefault="00CA2084" w:rsidP="0049322D">
            <w:pPr>
              <w:jc w:val="center"/>
              <w:rPr>
                <w:b/>
              </w:rPr>
            </w:pPr>
            <w:r w:rsidRPr="00E16904">
              <w:rPr>
                <w:b/>
              </w:rPr>
              <w:t>City Q</w:t>
            </w:r>
            <w:r>
              <w:rPr>
                <w:b/>
              </w:rPr>
              <w:t xml:space="preserve">uarter </w:t>
            </w:r>
            <w:r w:rsidRPr="00E16904">
              <w:rPr>
                <w:b/>
              </w:rPr>
              <w:t>S</w:t>
            </w:r>
            <w:r>
              <w:rPr>
                <w:b/>
              </w:rPr>
              <w:t>essions</w:t>
            </w:r>
          </w:p>
        </w:tc>
        <w:tc>
          <w:tcPr>
            <w:tcW w:w="2378" w:type="dxa"/>
          </w:tcPr>
          <w:p w14:paraId="783AE39E" w14:textId="77777777" w:rsidR="00CA2084" w:rsidRPr="00E16904" w:rsidRDefault="00CA2084" w:rsidP="0049322D">
            <w:pPr>
              <w:jc w:val="center"/>
              <w:rPr>
                <w:b/>
              </w:rPr>
            </w:pPr>
            <w:r w:rsidRPr="00E16904">
              <w:rPr>
                <w:b/>
              </w:rPr>
              <w:t>Total</w:t>
            </w:r>
          </w:p>
        </w:tc>
      </w:tr>
      <w:tr w:rsidR="00CA2084" w:rsidRPr="00364A52" w14:paraId="2D9F9495" w14:textId="77777777" w:rsidTr="0049322D">
        <w:tc>
          <w:tcPr>
            <w:tcW w:w="1587" w:type="dxa"/>
          </w:tcPr>
          <w:p w14:paraId="260EF8A9" w14:textId="77777777" w:rsidR="00CA2084" w:rsidRPr="00E16904" w:rsidRDefault="00CA2084" w:rsidP="0049322D">
            <w:pPr>
              <w:jc w:val="center"/>
            </w:pPr>
            <w:r>
              <w:t>No True Bill</w:t>
            </w:r>
          </w:p>
        </w:tc>
        <w:tc>
          <w:tcPr>
            <w:tcW w:w="1583" w:type="dxa"/>
          </w:tcPr>
          <w:p w14:paraId="27662AC9" w14:textId="77777777" w:rsidR="00CA2084" w:rsidRPr="00E16904" w:rsidRDefault="00CA2084" w:rsidP="0049322D">
            <w:pPr>
              <w:jc w:val="center"/>
            </w:pPr>
            <w:r w:rsidRPr="00E16904">
              <w:t>213</w:t>
            </w:r>
            <w:r w:rsidRPr="00E16904">
              <w:br/>
              <w:t>(4%)</w:t>
            </w:r>
          </w:p>
        </w:tc>
        <w:tc>
          <w:tcPr>
            <w:tcW w:w="1570" w:type="dxa"/>
          </w:tcPr>
          <w:p w14:paraId="15842E20" w14:textId="77777777" w:rsidR="00CA2084" w:rsidRPr="00E16904" w:rsidRDefault="00CA2084" w:rsidP="0049322D">
            <w:pPr>
              <w:jc w:val="center"/>
            </w:pPr>
            <w:r w:rsidRPr="00E16904">
              <w:t>1,206</w:t>
            </w:r>
          </w:p>
          <w:p w14:paraId="0AEA3195" w14:textId="77777777" w:rsidR="00CA2084" w:rsidRPr="00E16904" w:rsidRDefault="00CA2084" w:rsidP="0049322D">
            <w:pPr>
              <w:jc w:val="center"/>
            </w:pPr>
            <w:r w:rsidRPr="00E16904">
              <w:t>(5%)</w:t>
            </w:r>
          </w:p>
        </w:tc>
        <w:tc>
          <w:tcPr>
            <w:tcW w:w="1398" w:type="dxa"/>
          </w:tcPr>
          <w:p w14:paraId="557CDE32" w14:textId="77777777" w:rsidR="00CA2084" w:rsidRPr="00E16904" w:rsidRDefault="00CA2084" w:rsidP="0049322D">
            <w:pPr>
              <w:jc w:val="center"/>
            </w:pPr>
            <w:r w:rsidRPr="00E16904">
              <w:t>40</w:t>
            </w:r>
            <w:r w:rsidRPr="00E16904">
              <w:br/>
              <w:t>(3%)</w:t>
            </w:r>
          </w:p>
        </w:tc>
        <w:tc>
          <w:tcPr>
            <w:tcW w:w="2378" w:type="dxa"/>
          </w:tcPr>
          <w:p w14:paraId="3264FF6E" w14:textId="77777777" w:rsidR="00CA2084" w:rsidRDefault="00CA2084" w:rsidP="0049322D">
            <w:pPr>
              <w:jc w:val="center"/>
            </w:pPr>
            <w:r w:rsidRPr="00E16904">
              <w:t>1,459</w:t>
            </w:r>
          </w:p>
          <w:p w14:paraId="67A7DB93" w14:textId="77777777" w:rsidR="00CA2084" w:rsidRPr="00E16904" w:rsidRDefault="00CA2084" w:rsidP="0049322D">
            <w:pPr>
              <w:jc w:val="center"/>
            </w:pPr>
            <w:r>
              <w:t>(4%)</w:t>
            </w:r>
          </w:p>
        </w:tc>
      </w:tr>
      <w:tr w:rsidR="00CA2084" w:rsidRPr="00364A52" w14:paraId="121D6937" w14:textId="77777777" w:rsidTr="0049322D">
        <w:tc>
          <w:tcPr>
            <w:tcW w:w="1587" w:type="dxa"/>
          </w:tcPr>
          <w:p w14:paraId="5E13ED79" w14:textId="77777777" w:rsidR="00CA2084" w:rsidRPr="00E16904" w:rsidRDefault="00CA2084" w:rsidP="0049322D">
            <w:pPr>
              <w:jc w:val="center"/>
            </w:pPr>
            <w:r>
              <w:t>Not Guilty</w:t>
            </w:r>
          </w:p>
        </w:tc>
        <w:tc>
          <w:tcPr>
            <w:tcW w:w="1583" w:type="dxa"/>
          </w:tcPr>
          <w:p w14:paraId="3D8A1087" w14:textId="77777777" w:rsidR="00CA2084" w:rsidRPr="00E16904" w:rsidRDefault="00CA2084" w:rsidP="0049322D">
            <w:pPr>
              <w:jc w:val="center"/>
            </w:pPr>
            <w:r w:rsidRPr="00E16904">
              <w:t>1,443</w:t>
            </w:r>
            <w:r w:rsidRPr="00E16904">
              <w:br/>
              <w:t>(27%)</w:t>
            </w:r>
          </w:p>
        </w:tc>
        <w:tc>
          <w:tcPr>
            <w:tcW w:w="1570" w:type="dxa"/>
          </w:tcPr>
          <w:p w14:paraId="74A8CF26" w14:textId="77777777" w:rsidR="00CA2084" w:rsidRPr="00E16904" w:rsidRDefault="00CA2084" w:rsidP="0049322D">
            <w:pPr>
              <w:jc w:val="center"/>
            </w:pPr>
            <w:r w:rsidRPr="00E16904">
              <w:t>4,453</w:t>
            </w:r>
            <w:r w:rsidRPr="00E16904">
              <w:br/>
              <w:t>(17%)</w:t>
            </w:r>
          </w:p>
        </w:tc>
        <w:tc>
          <w:tcPr>
            <w:tcW w:w="1398" w:type="dxa"/>
          </w:tcPr>
          <w:p w14:paraId="0B1FE948" w14:textId="77777777" w:rsidR="00CA2084" w:rsidRPr="00E16904" w:rsidRDefault="00CA2084" w:rsidP="0049322D">
            <w:pPr>
              <w:jc w:val="center"/>
            </w:pPr>
            <w:r w:rsidRPr="00E16904">
              <w:t>333</w:t>
            </w:r>
            <w:r w:rsidRPr="00E16904">
              <w:br/>
              <w:t>(22%)</w:t>
            </w:r>
          </w:p>
        </w:tc>
        <w:tc>
          <w:tcPr>
            <w:tcW w:w="2378" w:type="dxa"/>
          </w:tcPr>
          <w:p w14:paraId="62452806" w14:textId="77777777" w:rsidR="00CA2084" w:rsidRPr="00E16904" w:rsidRDefault="00CA2084" w:rsidP="0049322D">
            <w:pPr>
              <w:jc w:val="center"/>
            </w:pPr>
            <w:r w:rsidRPr="00E16904">
              <w:t>6,229</w:t>
            </w:r>
            <w:r>
              <w:br/>
              <w:t>(19%)</w:t>
            </w:r>
          </w:p>
        </w:tc>
      </w:tr>
      <w:tr w:rsidR="00CA2084" w:rsidRPr="00364A52" w14:paraId="1330DDC1" w14:textId="77777777" w:rsidTr="0049322D">
        <w:tc>
          <w:tcPr>
            <w:tcW w:w="1587" w:type="dxa"/>
          </w:tcPr>
          <w:p w14:paraId="0D5A2033" w14:textId="77777777" w:rsidR="00CA2084" w:rsidRPr="00E16904" w:rsidRDefault="00CA2084" w:rsidP="0049322D">
            <w:pPr>
              <w:jc w:val="center"/>
            </w:pPr>
            <w:r w:rsidRPr="00E16904">
              <w:t>G</w:t>
            </w:r>
            <w:r>
              <w:t>uilty</w:t>
            </w:r>
          </w:p>
        </w:tc>
        <w:tc>
          <w:tcPr>
            <w:tcW w:w="1583" w:type="dxa"/>
          </w:tcPr>
          <w:p w14:paraId="5592075D" w14:textId="77777777" w:rsidR="00CA2084" w:rsidRPr="00E16904" w:rsidRDefault="00CA2084" w:rsidP="0049322D">
            <w:pPr>
              <w:jc w:val="center"/>
            </w:pPr>
            <w:r w:rsidRPr="00E16904">
              <w:t>3,655</w:t>
            </w:r>
            <w:r w:rsidRPr="00E16904">
              <w:br/>
              <w:t>(68%)</w:t>
            </w:r>
          </w:p>
        </w:tc>
        <w:tc>
          <w:tcPr>
            <w:tcW w:w="1570" w:type="dxa"/>
          </w:tcPr>
          <w:p w14:paraId="5E315586" w14:textId="77777777" w:rsidR="00CA2084" w:rsidRPr="00E16904" w:rsidRDefault="00CA2084" w:rsidP="0049322D">
            <w:pPr>
              <w:jc w:val="center"/>
            </w:pPr>
            <w:r w:rsidRPr="00E16904">
              <w:t>19,993</w:t>
            </w:r>
            <w:r w:rsidRPr="00E16904">
              <w:br/>
              <w:t>(78%)</w:t>
            </w:r>
          </w:p>
        </w:tc>
        <w:tc>
          <w:tcPr>
            <w:tcW w:w="1398" w:type="dxa"/>
          </w:tcPr>
          <w:p w14:paraId="25AACE3F" w14:textId="77777777" w:rsidR="00CA2084" w:rsidRPr="00E16904" w:rsidRDefault="00CA2084" w:rsidP="0049322D">
            <w:pPr>
              <w:jc w:val="center"/>
            </w:pPr>
            <w:r w:rsidRPr="00E16904">
              <w:t>1,118</w:t>
            </w:r>
            <w:r w:rsidRPr="00E16904">
              <w:br/>
              <w:t>(75%)</w:t>
            </w:r>
          </w:p>
        </w:tc>
        <w:tc>
          <w:tcPr>
            <w:tcW w:w="2378" w:type="dxa"/>
          </w:tcPr>
          <w:p w14:paraId="24B71530" w14:textId="77777777" w:rsidR="00CA2084" w:rsidRDefault="00CA2084" w:rsidP="0049322D">
            <w:pPr>
              <w:jc w:val="center"/>
            </w:pPr>
            <w:r w:rsidRPr="00E16904">
              <w:t>24,766</w:t>
            </w:r>
          </w:p>
          <w:p w14:paraId="1EB4A529" w14:textId="77777777" w:rsidR="00CA2084" w:rsidRPr="00E16904" w:rsidRDefault="00CA2084" w:rsidP="0049322D">
            <w:pPr>
              <w:jc w:val="center"/>
            </w:pPr>
            <w:r>
              <w:t>(76%)</w:t>
            </w:r>
          </w:p>
        </w:tc>
      </w:tr>
      <w:tr w:rsidR="00CA2084" w:rsidRPr="00364A52" w14:paraId="479B0C89" w14:textId="77777777" w:rsidTr="0049322D">
        <w:tc>
          <w:tcPr>
            <w:tcW w:w="1587" w:type="dxa"/>
          </w:tcPr>
          <w:p w14:paraId="54B7F002" w14:textId="77777777" w:rsidR="00CA2084" w:rsidRPr="00E16904" w:rsidRDefault="00CA2084" w:rsidP="0049322D">
            <w:pPr>
              <w:jc w:val="center"/>
            </w:pPr>
            <w:r w:rsidRPr="00E16904">
              <w:t>Other</w:t>
            </w:r>
          </w:p>
        </w:tc>
        <w:tc>
          <w:tcPr>
            <w:tcW w:w="1583" w:type="dxa"/>
          </w:tcPr>
          <w:p w14:paraId="2F7F4DBA" w14:textId="77777777" w:rsidR="00CA2084" w:rsidRPr="00E16904" w:rsidRDefault="00CA2084" w:rsidP="0049322D">
            <w:pPr>
              <w:jc w:val="center"/>
            </w:pPr>
            <w:r w:rsidRPr="00E16904">
              <w:t>71</w:t>
            </w:r>
            <w:r w:rsidRPr="00E16904">
              <w:br/>
              <w:t>(1%)</w:t>
            </w:r>
          </w:p>
        </w:tc>
        <w:tc>
          <w:tcPr>
            <w:tcW w:w="1570" w:type="dxa"/>
          </w:tcPr>
          <w:p w14:paraId="41D5999C" w14:textId="77777777" w:rsidR="00CA2084" w:rsidRPr="00E16904" w:rsidRDefault="00CA2084" w:rsidP="0049322D">
            <w:pPr>
              <w:jc w:val="center"/>
            </w:pPr>
            <w:r w:rsidRPr="00E16904">
              <w:t>79</w:t>
            </w:r>
            <w:r w:rsidRPr="00E16904">
              <w:br/>
              <w:t>(&lt;1%)</w:t>
            </w:r>
          </w:p>
        </w:tc>
        <w:tc>
          <w:tcPr>
            <w:tcW w:w="1398" w:type="dxa"/>
          </w:tcPr>
          <w:p w14:paraId="3A72C2A0" w14:textId="77777777" w:rsidR="00CA2084" w:rsidRPr="00E16904" w:rsidRDefault="00CA2084" w:rsidP="0049322D">
            <w:pPr>
              <w:jc w:val="center"/>
            </w:pPr>
            <w:r w:rsidRPr="00E16904">
              <w:t>9</w:t>
            </w:r>
            <w:r w:rsidRPr="00E16904">
              <w:br/>
              <w:t>(&lt;1%)</w:t>
            </w:r>
          </w:p>
        </w:tc>
        <w:tc>
          <w:tcPr>
            <w:tcW w:w="2378" w:type="dxa"/>
          </w:tcPr>
          <w:p w14:paraId="5FA13C81" w14:textId="77777777" w:rsidR="00CA2084" w:rsidRPr="00E16904" w:rsidRDefault="00CA2084" w:rsidP="0049322D">
            <w:pPr>
              <w:jc w:val="center"/>
            </w:pPr>
            <w:r w:rsidRPr="00E16904">
              <w:t>159</w:t>
            </w:r>
            <w:r>
              <w:br/>
              <w:t>(1%)</w:t>
            </w:r>
          </w:p>
        </w:tc>
      </w:tr>
      <w:tr w:rsidR="00CA2084" w:rsidRPr="00364A52" w14:paraId="32794875" w14:textId="77777777" w:rsidTr="0049322D">
        <w:tc>
          <w:tcPr>
            <w:tcW w:w="1587" w:type="dxa"/>
          </w:tcPr>
          <w:p w14:paraId="223CBE49" w14:textId="77777777" w:rsidR="00CA2084" w:rsidRPr="00E16904" w:rsidRDefault="00CA2084" w:rsidP="0049322D">
            <w:pPr>
              <w:jc w:val="right"/>
              <w:rPr>
                <w:b/>
              </w:rPr>
            </w:pPr>
            <w:r w:rsidRPr="00E16904">
              <w:rPr>
                <w:b/>
              </w:rPr>
              <w:t>Total</w:t>
            </w:r>
          </w:p>
        </w:tc>
        <w:tc>
          <w:tcPr>
            <w:tcW w:w="1583" w:type="dxa"/>
          </w:tcPr>
          <w:p w14:paraId="0F5CBA2F" w14:textId="77777777" w:rsidR="00CA2084" w:rsidRPr="00E16904" w:rsidRDefault="00CA2084" w:rsidP="0049322D">
            <w:pPr>
              <w:jc w:val="center"/>
            </w:pPr>
            <w:r w:rsidRPr="00E16904">
              <w:t>5,382</w:t>
            </w:r>
            <w:r w:rsidRPr="00E16904">
              <w:br/>
              <w:t>(100%)</w:t>
            </w:r>
          </w:p>
        </w:tc>
        <w:tc>
          <w:tcPr>
            <w:tcW w:w="1570" w:type="dxa"/>
          </w:tcPr>
          <w:p w14:paraId="735F515F" w14:textId="77777777" w:rsidR="00CA2084" w:rsidRPr="00E16904" w:rsidRDefault="00CA2084" w:rsidP="0049322D">
            <w:pPr>
              <w:jc w:val="center"/>
            </w:pPr>
            <w:r w:rsidRPr="00E16904">
              <w:t>25,731</w:t>
            </w:r>
            <w:r w:rsidRPr="00E16904">
              <w:br/>
              <w:t>100%)</w:t>
            </w:r>
          </w:p>
        </w:tc>
        <w:tc>
          <w:tcPr>
            <w:tcW w:w="1398" w:type="dxa"/>
          </w:tcPr>
          <w:p w14:paraId="2AC1A179" w14:textId="77777777" w:rsidR="00CA2084" w:rsidRPr="00E16904" w:rsidRDefault="00CA2084" w:rsidP="0049322D">
            <w:pPr>
              <w:jc w:val="center"/>
            </w:pPr>
            <w:r w:rsidRPr="00E16904">
              <w:t>1</w:t>
            </w:r>
            <w:r>
              <w:t>,500</w:t>
            </w:r>
            <w:r w:rsidRPr="00E16904">
              <w:br/>
              <w:t>(100%)</w:t>
            </w:r>
          </w:p>
        </w:tc>
        <w:tc>
          <w:tcPr>
            <w:tcW w:w="2378" w:type="dxa"/>
          </w:tcPr>
          <w:p w14:paraId="615C7174" w14:textId="77777777" w:rsidR="00CA2084" w:rsidRPr="00E16904" w:rsidRDefault="00CA2084" w:rsidP="0049322D">
            <w:pPr>
              <w:jc w:val="center"/>
            </w:pPr>
            <w:r w:rsidRPr="00E16904">
              <w:t>32,613</w:t>
            </w:r>
          </w:p>
        </w:tc>
      </w:tr>
    </w:tbl>
    <w:p w14:paraId="71DD77C2" w14:textId="77777777" w:rsidR="00CA2084" w:rsidRPr="00834D78" w:rsidRDefault="00CA2084" w:rsidP="00225D5D">
      <w:pPr>
        <w:jc w:val="both"/>
        <w:rPr>
          <w:rFonts w:ascii="Times New Roman" w:eastAsia="Times New Roman" w:hAnsi="Times New Roman" w:cs="Times New Roman"/>
          <w:sz w:val="20"/>
          <w:szCs w:val="20"/>
          <w:lang w:val="en-GB"/>
        </w:rPr>
      </w:pPr>
      <w:r w:rsidRPr="00834D78">
        <w:rPr>
          <w:b/>
        </w:rPr>
        <w:t>Figure 6:</w:t>
      </w:r>
      <w:r w:rsidRPr="00834D78">
        <w:t xml:space="preserve"> The verdicts handed down at Cheshire County Assize and Quarter Sessions, and Chester City Quarter Sessions, 1840 and 1890.</w:t>
      </w:r>
      <w:r w:rsidRPr="00834D78">
        <w:rPr>
          <w:rStyle w:val="FootnoteReference"/>
        </w:rPr>
        <w:footnoteReference w:id="27"/>
      </w:r>
    </w:p>
    <w:p w14:paraId="584843B6" w14:textId="77777777" w:rsidR="00CA2084" w:rsidRDefault="00CA2084" w:rsidP="00225D5D"/>
    <w:p w14:paraId="675A8F3B" w14:textId="77777777" w:rsidR="00CA2084" w:rsidRDefault="00CA2084" w:rsidP="00225D5D"/>
    <w:tbl>
      <w:tblPr>
        <w:tblStyle w:val="TableGrid"/>
        <w:tblW w:w="0" w:type="auto"/>
        <w:tblLook w:val="04A0" w:firstRow="1" w:lastRow="0" w:firstColumn="1" w:lastColumn="0" w:noHBand="0" w:noVBand="1"/>
      </w:tblPr>
      <w:tblGrid>
        <w:gridCol w:w="2773"/>
        <w:gridCol w:w="1114"/>
        <w:gridCol w:w="1255"/>
        <w:gridCol w:w="1127"/>
        <w:gridCol w:w="986"/>
        <w:gridCol w:w="1035"/>
      </w:tblGrid>
      <w:tr w:rsidR="00CA2084" w14:paraId="3C657815" w14:textId="77777777" w:rsidTr="0049322D">
        <w:tc>
          <w:tcPr>
            <w:tcW w:w="2943" w:type="dxa"/>
            <w:vMerge w:val="restart"/>
          </w:tcPr>
          <w:p w14:paraId="1835BCC7" w14:textId="77777777" w:rsidR="00CA2084" w:rsidRPr="00AB5122" w:rsidRDefault="00CA2084" w:rsidP="0049322D">
            <w:pPr>
              <w:jc w:val="center"/>
              <w:rPr>
                <w:b/>
              </w:rPr>
            </w:pPr>
            <w:r w:rsidRPr="00AB5122">
              <w:rPr>
                <w:b/>
              </w:rPr>
              <w:t>Class</w:t>
            </w:r>
            <w:r>
              <w:rPr>
                <w:b/>
              </w:rPr>
              <w:t xml:space="preserve"> of Offence</w:t>
            </w:r>
          </w:p>
        </w:tc>
        <w:tc>
          <w:tcPr>
            <w:tcW w:w="5573" w:type="dxa"/>
            <w:gridSpan w:val="5"/>
          </w:tcPr>
          <w:p w14:paraId="6097D8CF" w14:textId="77777777" w:rsidR="00CA2084" w:rsidRPr="00AB5122" w:rsidRDefault="00CA2084" w:rsidP="0049322D">
            <w:pPr>
              <w:jc w:val="center"/>
              <w:rPr>
                <w:b/>
              </w:rPr>
            </w:pPr>
            <w:r w:rsidRPr="00AB5122">
              <w:rPr>
                <w:b/>
              </w:rPr>
              <w:t>Verdict</w:t>
            </w:r>
          </w:p>
        </w:tc>
      </w:tr>
      <w:tr w:rsidR="00CA2084" w14:paraId="01202A31" w14:textId="77777777" w:rsidTr="0049322D">
        <w:tc>
          <w:tcPr>
            <w:tcW w:w="2943" w:type="dxa"/>
            <w:vMerge/>
          </w:tcPr>
          <w:p w14:paraId="1BBC9346" w14:textId="77777777" w:rsidR="00CA2084" w:rsidRPr="00AB5122" w:rsidRDefault="00CA2084" w:rsidP="0049322D">
            <w:pPr>
              <w:jc w:val="center"/>
              <w:rPr>
                <w:b/>
              </w:rPr>
            </w:pPr>
          </w:p>
        </w:tc>
        <w:tc>
          <w:tcPr>
            <w:tcW w:w="1134" w:type="dxa"/>
          </w:tcPr>
          <w:p w14:paraId="2C6AAF82" w14:textId="77777777" w:rsidR="00CA2084" w:rsidRPr="00AB5122" w:rsidRDefault="00CA2084" w:rsidP="0049322D">
            <w:pPr>
              <w:jc w:val="center"/>
              <w:rPr>
                <w:b/>
              </w:rPr>
            </w:pPr>
            <w:r w:rsidRPr="00AB5122">
              <w:rPr>
                <w:b/>
              </w:rPr>
              <w:t>N</w:t>
            </w:r>
            <w:r>
              <w:rPr>
                <w:b/>
              </w:rPr>
              <w:t>o True Bill</w:t>
            </w:r>
          </w:p>
        </w:tc>
        <w:tc>
          <w:tcPr>
            <w:tcW w:w="1276" w:type="dxa"/>
          </w:tcPr>
          <w:p w14:paraId="13DBE838" w14:textId="77777777" w:rsidR="00CA2084" w:rsidRPr="00AB5122" w:rsidRDefault="00CA2084" w:rsidP="0049322D">
            <w:pPr>
              <w:jc w:val="center"/>
              <w:rPr>
                <w:b/>
              </w:rPr>
            </w:pPr>
            <w:r>
              <w:rPr>
                <w:b/>
              </w:rPr>
              <w:t>Not Guilty</w:t>
            </w:r>
          </w:p>
        </w:tc>
        <w:tc>
          <w:tcPr>
            <w:tcW w:w="1134" w:type="dxa"/>
          </w:tcPr>
          <w:p w14:paraId="76686596" w14:textId="77777777" w:rsidR="00CA2084" w:rsidRPr="00AB5122" w:rsidRDefault="00CA2084" w:rsidP="0049322D">
            <w:pPr>
              <w:jc w:val="center"/>
              <w:rPr>
                <w:b/>
              </w:rPr>
            </w:pPr>
            <w:r w:rsidRPr="00AB5122">
              <w:rPr>
                <w:b/>
              </w:rPr>
              <w:t>G</w:t>
            </w:r>
            <w:r>
              <w:rPr>
                <w:b/>
              </w:rPr>
              <w:t>uilty</w:t>
            </w:r>
          </w:p>
        </w:tc>
        <w:tc>
          <w:tcPr>
            <w:tcW w:w="992" w:type="dxa"/>
          </w:tcPr>
          <w:p w14:paraId="1E0E2301" w14:textId="77777777" w:rsidR="00CA2084" w:rsidRPr="00AB5122" w:rsidRDefault="00CA2084" w:rsidP="0049322D">
            <w:pPr>
              <w:jc w:val="center"/>
              <w:rPr>
                <w:b/>
              </w:rPr>
            </w:pPr>
            <w:r w:rsidRPr="00AB5122">
              <w:rPr>
                <w:b/>
              </w:rPr>
              <w:t>Other</w:t>
            </w:r>
          </w:p>
        </w:tc>
        <w:tc>
          <w:tcPr>
            <w:tcW w:w="1037" w:type="dxa"/>
          </w:tcPr>
          <w:p w14:paraId="1F61AC6A" w14:textId="77777777" w:rsidR="00CA2084" w:rsidRPr="00AB5122" w:rsidRDefault="00CA2084" w:rsidP="0049322D">
            <w:pPr>
              <w:jc w:val="center"/>
              <w:rPr>
                <w:b/>
              </w:rPr>
            </w:pPr>
            <w:r w:rsidRPr="00AB5122">
              <w:rPr>
                <w:b/>
              </w:rPr>
              <w:t>Total</w:t>
            </w:r>
          </w:p>
        </w:tc>
      </w:tr>
      <w:tr w:rsidR="00CA2084" w14:paraId="6048FBCD" w14:textId="77777777" w:rsidTr="0049322D">
        <w:tc>
          <w:tcPr>
            <w:tcW w:w="2943" w:type="dxa"/>
          </w:tcPr>
          <w:p w14:paraId="49FF3872" w14:textId="77777777" w:rsidR="00CA2084" w:rsidRDefault="00CA2084" w:rsidP="0049322D">
            <w:pPr>
              <w:jc w:val="center"/>
            </w:pPr>
            <w:r>
              <w:t>Offences against the person</w:t>
            </w:r>
          </w:p>
        </w:tc>
        <w:tc>
          <w:tcPr>
            <w:tcW w:w="1134" w:type="dxa"/>
          </w:tcPr>
          <w:p w14:paraId="5F25526B" w14:textId="77777777" w:rsidR="00CA2084" w:rsidRPr="00364A52" w:rsidRDefault="00CA2084" w:rsidP="0049322D">
            <w:pPr>
              <w:jc w:val="center"/>
            </w:pPr>
            <w:r w:rsidRPr="00364A52">
              <w:t>19</w:t>
            </w:r>
            <w:r>
              <w:t>2</w:t>
            </w:r>
          </w:p>
          <w:p w14:paraId="35D7B27B" w14:textId="77777777" w:rsidR="00CA2084" w:rsidRPr="00364A52" w:rsidRDefault="00CA2084" w:rsidP="0049322D">
            <w:pPr>
              <w:jc w:val="center"/>
            </w:pPr>
            <w:r w:rsidRPr="00364A52">
              <w:t>(5%)</w:t>
            </w:r>
          </w:p>
        </w:tc>
        <w:tc>
          <w:tcPr>
            <w:tcW w:w="1276" w:type="dxa"/>
          </w:tcPr>
          <w:p w14:paraId="2EE6E9D5" w14:textId="77777777" w:rsidR="00CA2084" w:rsidRPr="00364A52" w:rsidRDefault="00CA2084" w:rsidP="0049322D">
            <w:pPr>
              <w:jc w:val="center"/>
            </w:pPr>
            <w:r w:rsidRPr="00364A52">
              <w:t>1,030</w:t>
            </w:r>
          </w:p>
          <w:p w14:paraId="6BA55F5A" w14:textId="77777777" w:rsidR="00CA2084" w:rsidRPr="00364A52" w:rsidRDefault="00CA2084" w:rsidP="0049322D">
            <w:pPr>
              <w:jc w:val="center"/>
            </w:pPr>
            <w:r w:rsidRPr="00364A52">
              <w:t>(27%)</w:t>
            </w:r>
          </w:p>
        </w:tc>
        <w:tc>
          <w:tcPr>
            <w:tcW w:w="1134" w:type="dxa"/>
          </w:tcPr>
          <w:p w14:paraId="4247EAC5" w14:textId="77777777" w:rsidR="00CA2084" w:rsidRPr="00364A52" w:rsidRDefault="00CA2084" w:rsidP="0049322D">
            <w:pPr>
              <w:jc w:val="center"/>
            </w:pPr>
            <w:r w:rsidRPr="00364A52">
              <w:t>2,55</w:t>
            </w:r>
            <w:r>
              <w:t>3</w:t>
            </w:r>
            <w:r w:rsidRPr="00364A52">
              <w:br/>
              <w:t>(67%)</w:t>
            </w:r>
          </w:p>
        </w:tc>
        <w:tc>
          <w:tcPr>
            <w:tcW w:w="992" w:type="dxa"/>
          </w:tcPr>
          <w:p w14:paraId="5C0650C5" w14:textId="77777777" w:rsidR="00CA2084" w:rsidRPr="00364A52" w:rsidRDefault="00CA2084" w:rsidP="0049322D">
            <w:pPr>
              <w:jc w:val="center"/>
            </w:pPr>
            <w:r w:rsidRPr="00364A52">
              <w:t>49</w:t>
            </w:r>
            <w:r w:rsidRPr="00364A52">
              <w:br/>
              <w:t>(1%)</w:t>
            </w:r>
          </w:p>
        </w:tc>
        <w:tc>
          <w:tcPr>
            <w:tcW w:w="1037" w:type="dxa"/>
          </w:tcPr>
          <w:p w14:paraId="79558129" w14:textId="77777777" w:rsidR="00CA2084" w:rsidRPr="00364A52" w:rsidRDefault="00CA2084" w:rsidP="0049322D">
            <w:pPr>
              <w:jc w:val="center"/>
            </w:pPr>
            <w:r w:rsidRPr="00364A52">
              <w:t>3,82</w:t>
            </w:r>
            <w:r>
              <w:t>4</w:t>
            </w:r>
            <w:r w:rsidRPr="00364A52">
              <w:br/>
              <w:t>(100%)</w:t>
            </w:r>
          </w:p>
        </w:tc>
      </w:tr>
      <w:tr w:rsidR="00CA2084" w14:paraId="4A81081D" w14:textId="77777777" w:rsidTr="0049322D">
        <w:tc>
          <w:tcPr>
            <w:tcW w:w="2943" w:type="dxa"/>
          </w:tcPr>
          <w:p w14:paraId="6AF0D5B1" w14:textId="77777777" w:rsidR="00CA2084" w:rsidRDefault="00CA2084" w:rsidP="0049322D">
            <w:pPr>
              <w:jc w:val="center"/>
            </w:pPr>
            <w:r>
              <w:t>Offences against property with violence</w:t>
            </w:r>
          </w:p>
        </w:tc>
        <w:tc>
          <w:tcPr>
            <w:tcW w:w="1134" w:type="dxa"/>
          </w:tcPr>
          <w:p w14:paraId="3442C88F" w14:textId="77777777" w:rsidR="00CA2084" w:rsidRPr="00364A52" w:rsidRDefault="00CA2084" w:rsidP="0049322D">
            <w:pPr>
              <w:jc w:val="center"/>
            </w:pPr>
            <w:r w:rsidRPr="00364A52">
              <w:t>55</w:t>
            </w:r>
          </w:p>
          <w:p w14:paraId="0114E71A" w14:textId="77777777" w:rsidR="00CA2084" w:rsidRPr="00364A52" w:rsidRDefault="00CA2084" w:rsidP="0049322D">
            <w:pPr>
              <w:jc w:val="center"/>
            </w:pPr>
            <w:r w:rsidRPr="00364A52">
              <w:t>(2%)</w:t>
            </w:r>
          </w:p>
        </w:tc>
        <w:tc>
          <w:tcPr>
            <w:tcW w:w="1276" w:type="dxa"/>
          </w:tcPr>
          <w:p w14:paraId="19F2790F" w14:textId="77777777" w:rsidR="00CA2084" w:rsidRPr="00364A52" w:rsidRDefault="00CA2084" w:rsidP="0049322D">
            <w:pPr>
              <w:jc w:val="center"/>
            </w:pPr>
            <w:r w:rsidRPr="00364A52">
              <w:t>512</w:t>
            </w:r>
            <w:r w:rsidRPr="00364A52">
              <w:br/>
              <w:t>(20%)</w:t>
            </w:r>
          </w:p>
        </w:tc>
        <w:tc>
          <w:tcPr>
            <w:tcW w:w="1134" w:type="dxa"/>
          </w:tcPr>
          <w:p w14:paraId="061AF92A" w14:textId="77777777" w:rsidR="00CA2084" w:rsidRPr="00364A52" w:rsidRDefault="00CA2084" w:rsidP="0049322D">
            <w:pPr>
              <w:jc w:val="center"/>
            </w:pPr>
            <w:r w:rsidRPr="00364A52">
              <w:t>1,955</w:t>
            </w:r>
            <w:r w:rsidRPr="00364A52">
              <w:br/>
              <w:t>(77%)</w:t>
            </w:r>
          </w:p>
        </w:tc>
        <w:tc>
          <w:tcPr>
            <w:tcW w:w="992" w:type="dxa"/>
          </w:tcPr>
          <w:p w14:paraId="53D56E86" w14:textId="77777777" w:rsidR="00CA2084" w:rsidRPr="00364A52" w:rsidRDefault="00CA2084" w:rsidP="0049322D">
            <w:pPr>
              <w:jc w:val="center"/>
            </w:pPr>
            <w:r w:rsidRPr="00364A52">
              <w:t>8</w:t>
            </w:r>
            <w:r w:rsidRPr="00364A52">
              <w:br/>
              <w:t>(1%)</w:t>
            </w:r>
          </w:p>
        </w:tc>
        <w:tc>
          <w:tcPr>
            <w:tcW w:w="1037" w:type="dxa"/>
          </w:tcPr>
          <w:p w14:paraId="3DFDFDF5" w14:textId="77777777" w:rsidR="00CA2084" w:rsidRPr="00364A52" w:rsidRDefault="00CA2084" w:rsidP="0049322D">
            <w:pPr>
              <w:jc w:val="center"/>
            </w:pPr>
            <w:r w:rsidRPr="00364A52">
              <w:t>2,530</w:t>
            </w:r>
          </w:p>
          <w:p w14:paraId="5404781E" w14:textId="77777777" w:rsidR="00CA2084" w:rsidRPr="00364A52" w:rsidRDefault="00CA2084" w:rsidP="0049322D">
            <w:pPr>
              <w:jc w:val="center"/>
            </w:pPr>
            <w:r w:rsidRPr="00364A52">
              <w:t>(100%)</w:t>
            </w:r>
          </w:p>
        </w:tc>
      </w:tr>
      <w:tr w:rsidR="00CA2084" w14:paraId="2662F0A8" w14:textId="77777777" w:rsidTr="0049322D">
        <w:tc>
          <w:tcPr>
            <w:tcW w:w="2943" w:type="dxa"/>
          </w:tcPr>
          <w:p w14:paraId="53212BFB" w14:textId="77777777" w:rsidR="00CA2084" w:rsidRDefault="00CA2084" w:rsidP="0049322D">
            <w:pPr>
              <w:jc w:val="center"/>
            </w:pPr>
            <w:r>
              <w:t>Offences against property without violence</w:t>
            </w:r>
          </w:p>
        </w:tc>
        <w:tc>
          <w:tcPr>
            <w:tcW w:w="1134" w:type="dxa"/>
          </w:tcPr>
          <w:p w14:paraId="3AA12828" w14:textId="77777777" w:rsidR="00CA2084" w:rsidRPr="00364A52" w:rsidRDefault="00CA2084" w:rsidP="0049322D">
            <w:pPr>
              <w:jc w:val="center"/>
            </w:pPr>
            <w:r w:rsidRPr="00364A52">
              <w:t>1,162</w:t>
            </w:r>
          </w:p>
          <w:p w14:paraId="538E568E" w14:textId="77777777" w:rsidR="00CA2084" w:rsidRPr="00364A52" w:rsidRDefault="00CA2084" w:rsidP="0049322D">
            <w:pPr>
              <w:jc w:val="center"/>
            </w:pPr>
            <w:r w:rsidRPr="00364A52">
              <w:t>(5%)</w:t>
            </w:r>
          </w:p>
        </w:tc>
        <w:tc>
          <w:tcPr>
            <w:tcW w:w="1276" w:type="dxa"/>
          </w:tcPr>
          <w:p w14:paraId="169B5F21" w14:textId="77777777" w:rsidR="00CA2084" w:rsidRPr="00364A52" w:rsidRDefault="00CA2084" w:rsidP="0049322D">
            <w:pPr>
              <w:jc w:val="center"/>
            </w:pPr>
            <w:r w:rsidRPr="00364A52">
              <w:t>4,286</w:t>
            </w:r>
          </w:p>
          <w:p w14:paraId="619D2AC9" w14:textId="77777777" w:rsidR="00CA2084" w:rsidRPr="00364A52" w:rsidRDefault="00CA2084" w:rsidP="0049322D">
            <w:pPr>
              <w:jc w:val="center"/>
            </w:pPr>
            <w:r w:rsidRPr="00364A52">
              <w:t>(17.5%)</w:t>
            </w:r>
          </w:p>
        </w:tc>
        <w:tc>
          <w:tcPr>
            <w:tcW w:w="1134" w:type="dxa"/>
          </w:tcPr>
          <w:p w14:paraId="657F4AE4" w14:textId="77777777" w:rsidR="00CA2084" w:rsidRPr="00364A52" w:rsidRDefault="00CA2084" w:rsidP="0049322D">
            <w:pPr>
              <w:jc w:val="center"/>
            </w:pPr>
            <w:r w:rsidRPr="00364A52">
              <w:t>18,998</w:t>
            </w:r>
            <w:r w:rsidRPr="00364A52">
              <w:br/>
              <w:t>(77.5%)</w:t>
            </w:r>
          </w:p>
        </w:tc>
        <w:tc>
          <w:tcPr>
            <w:tcW w:w="992" w:type="dxa"/>
          </w:tcPr>
          <w:p w14:paraId="5F68FFEB" w14:textId="77777777" w:rsidR="00CA2084" w:rsidRPr="00364A52" w:rsidRDefault="00CA2084" w:rsidP="0049322D">
            <w:pPr>
              <w:jc w:val="center"/>
            </w:pPr>
            <w:r w:rsidRPr="00364A52">
              <w:t>54</w:t>
            </w:r>
          </w:p>
          <w:p w14:paraId="5A2EB435" w14:textId="77777777" w:rsidR="00CA2084" w:rsidRPr="00364A52" w:rsidRDefault="00CA2084" w:rsidP="0049322D">
            <w:pPr>
              <w:jc w:val="center"/>
            </w:pPr>
            <w:r w:rsidRPr="00364A52">
              <w:t>(&lt;1%)</w:t>
            </w:r>
          </w:p>
        </w:tc>
        <w:tc>
          <w:tcPr>
            <w:tcW w:w="1037" w:type="dxa"/>
          </w:tcPr>
          <w:p w14:paraId="4CC44D4A" w14:textId="77777777" w:rsidR="00CA2084" w:rsidRPr="00364A52" w:rsidRDefault="00CA2084" w:rsidP="0049322D">
            <w:pPr>
              <w:jc w:val="center"/>
            </w:pPr>
            <w:r w:rsidRPr="00364A52">
              <w:t>24,500</w:t>
            </w:r>
          </w:p>
          <w:p w14:paraId="21D5E946" w14:textId="77777777" w:rsidR="00CA2084" w:rsidRPr="00364A52" w:rsidRDefault="00CA2084" w:rsidP="0049322D">
            <w:pPr>
              <w:jc w:val="center"/>
            </w:pPr>
            <w:r w:rsidRPr="00364A52">
              <w:t>(100%)</w:t>
            </w:r>
          </w:p>
        </w:tc>
      </w:tr>
      <w:tr w:rsidR="00CA2084" w14:paraId="65E38127" w14:textId="77777777" w:rsidTr="0049322D">
        <w:tc>
          <w:tcPr>
            <w:tcW w:w="2943" w:type="dxa"/>
          </w:tcPr>
          <w:p w14:paraId="3CB728C9" w14:textId="77777777" w:rsidR="00CA2084" w:rsidRDefault="00CA2084" w:rsidP="0049322D">
            <w:pPr>
              <w:jc w:val="center"/>
            </w:pPr>
            <w:r>
              <w:t>Malicious offences against property</w:t>
            </w:r>
          </w:p>
        </w:tc>
        <w:tc>
          <w:tcPr>
            <w:tcW w:w="1134" w:type="dxa"/>
          </w:tcPr>
          <w:p w14:paraId="59A472FF" w14:textId="77777777" w:rsidR="00CA2084" w:rsidRPr="00364A52" w:rsidRDefault="00CA2084" w:rsidP="0049322D">
            <w:pPr>
              <w:jc w:val="center"/>
            </w:pPr>
            <w:r w:rsidRPr="00364A52">
              <w:t>15</w:t>
            </w:r>
            <w:r w:rsidRPr="00364A52">
              <w:br/>
              <w:t>(5%)</w:t>
            </w:r>
          </w:p>
        </w:tc>
        <w:tc>
          <w:tcPr>
            <w:tcW w:w="1276" w:type="dxa"/>
          </w:tcPr>
          <w:p w14:paraId="14DC8186" w14:textId="77777777" w:rsidR="00CA2084" w:rsidRPr="00364A52" w:rsidRDefault="00CA2084" w:rsidP="0049322D">
            <w:pPr>
              <w:jc w:val="center"/>
            </w:pPr>
            <w:r w:rsidRPr="00364A52">
              <w:t>95</w:t>
            </w:r>
            <w:r w:rsidRPr="00364A52">
              <w:br/>
              <w:t>(33%)</w:t>
            </w:r>
          </w:p>
        </w:tc>
        <w:tc>
          <w:tcPr>
            <w:tcW w:w="1134" w:type="dxa"/>
          </w:tcPr>
          <w:p w14:paraId="6A619FD5" w14:textId="77777777" w:rsidR="00CA2084" w:rsidRPr="00364A52" w:rsidRDefault="00CA2084" w:rsidP="0049322D">
            <w:pPr>
              <w:jc w:val="center"/>
            </w:pPr>
            <w:r w:rsidRPr="00364A52">
              <w:t>171</w:t>
            </w:r>
            <w:r w:rsidRPr="00364A52">
              <w:br/>
              <w:t>(59.5%)</w:t>
            </w:r>
          </w:p>
        </w:tc>
        <w:tc>
          <w:tcPr>
            <w:tcW w:w="992" w:type="dxa"/>
          </w:tcPr>
          <w:p w14:paraId="3E3DAA63" w14:textId="77777777" w:rsidR="00CA2084" w:rsidRPr="00364A52" w:rsidRDefault="00CA2084" w:rsidP="0049322D">
            <w:pPr>
              <w:jc w:val="center"/>
            </w:pPr>
            <w:r w:rsidRPr="00364A52">
              <w:t>7</w:t>
            </w:r>
            <w:r w:rsidRPr="00364A52">
              <w:br/>
              <w:t>(2.5%)</w:t>
            </w:r>
          </w:p>
        </w:tc>
        <w:tc>
          <w:tcPr>
            <w:tcW w:w="1037" w:type="dxa"/>
          </w:tcPr>
          <w:p w14:paraId="5EBE630B" w14:textId="77777777" w:rsidR="00CA2084" w:rsidRPr="00364A52" w:rsidRDefault="00CA2084" w:rsidP="0049322D">
            <w:pPr>
              <w:jc w:val="center"/>
            </w:pPr>
            <w:r w:rsidRPr="00364A52">
              <w:t>288</w:t>
            </w:r>
          </w:p>
          <w:p w14:paraId="48EA76FC" w14:textId="77777777" w:rsidR="00CA2084" w:rsidRPr="00364A52" w:rsidRDefault="00CA2084" w:rsidP="0049322D">
            <w:pPr>
              <w:jc w:val="center"/>
            </w:pPr>
            <w:r w:rsidRPr="00364A52">
              <w:t>(100%)</w:t>
            </w:r>
          </w:p>
        </w:tc>
      </w:tr>
      <w:tr w:rsidR="00CA2084" w14:paraId="73781F87" w14:textId="77777777" w:rsidTr="0049322D">
        <w:tc>
          <w:tcPr>
            <w:tcW w:w="2943" w:type="dxa"/>
          </w:tcPr>
          <w:p w14:paraId="63DEACAD" w14:textId="77777777" w:rsidR="00CA2084" w:rsidRDefault="00CA2084" w:rsidP="0049322D">
            <w:pPr>
              <w:jc w:val="center"/>
            </w:pPr>
            <w:r>
              <w:t>Forgery and offences against the currency</w:t>
            </w:r>
          </w:p>
        </w:tc>
        <w:tc>
          <w:tcPr>
            <w:tcW w:w="1134" w:type="dxa"/>
          </w:tcPr>
          <w:p w14:paraId="70935E2F" w14:textId="77777777" w:rsidR="00CA2084" w:rsidRPr="00236987" w:rsidRDefault="00CA2084" w:rsidP="0049322D">
            <w:pPr>
              <w:jc w:val="center"/>
            </w:pPr>
            <w:r w:rsidRPr="00236987">
              <w:t>7</w:t>
            </w:r>
            <w:r w:rsidRPr="00236987">
              <w:br/>
              <w:t>(1%)</w:t>
            </w:r>
          </w:p>
        </w:tc>
        <w:tc>
          <w:tcPr>
            <w:tcW w:w="1276" w:type="dxa"/>
          </w:tcPr>
          <w:p w14:paraId="60911C25" w14:textId="77777777" w:rsidR="00CA2084" w:rsidRPr="00236987" w:rsidRDefault="00CA2084" w:rsidP="0049322D">
            <w:pPr>
              <w:jc w:val="center"/>
            </w:pPr>
            <w:r w:rsidRPr="00236987">
              <w:t>74</w:t>
            </w:r>
            <w:r w:rsidRPr="00236987">
              <w:br/>
              <w:t>(13%)</w:t>
            </w:r>
          </w:p>
        </w:tc>
        <w:tc>
          <w:tcPr>
            <w:tcW w:w="1134" w:type="dxa"/>
          </w:tcPr>
          <w:p w14:paraId="39F1A703" w14:textId="77777777" w:rsidR="00CA2084" w:rsidRPr="00236987" w:rsidRDefault="00CA2084" w:rsidP="0049322D">
            <w:pPr>
              <w:jc w:val="center"/>
            </w:pPr>
            <w:r w:rsidRPr="00236987">
              <w:t>467</w:t>
            </w:r>
            <w:r w:rsidRPr="00236987">
              <w:br/>
              <w:t>(85%)</w:t>
            </w:r>
          </w:p>
        </w:tc>
        <w:tc>
          <w:tcPr>
            <w:tcW w:w="992" w:type="dxa"/>
          </w:tcPr>
          <w:p w14:paraId="06A0E354" w14:textId="77777777" w:rsidR="00CA2084" w:rsidRPr="00236987" w:rsidRDefault="00CA2084" w:rsidP="0049322D">
            <w:pPr>
              <w:jc w:val="center"/>
            </w:pPr>
            <w:r w:rsidRPr="00236987">
              <w:t>4</w:t>
            </w:r>
          </w:p>
          <w:p w14:paraId="653DBAB2" w14:textId="77777777" w:rsidR="00CA2084" w:rsidRPr="00236987" w:rsidRDefault="00CA2084" w:rsidP="0049322D">
            <w:pPr>
              <w:jc w:val="center"/>
            </w:pPr>
            <w:r w:rsidRPr="00236987">
              <w:t>(1%)</w:t>
            </w:r>
          </w:p>
        </w:tc>
        <w:tc>
          <w:tcPr>
            <w:tcW w:w="1037" w:type="dxa"/>
          </w:tcPr>
          <w:p w14:paraId="0C302CD0" w14:textId="77777777" w:rsidR="00CA2084" w:rsidRPr="00236987" w:rsidRDefault="00CA2084" w:rsidP="0049322D">
            <w:pPr>
              <w:jc w:val="center"/>
            </w:pPr>
            <w:r w:rsidRPr="00236987">
              <w:t>552</w:t>
            </w:r>
          </w:p>
          <w:p w14:paraId="2F33DB7D" w14:textId="77777777" w:rsidR="00CA2084" w:rsidRPr="00236987" w:rsidRDefault="00CA2084" w:rsidP="0049322D">
            <w:pPr>
              <w:jc w:val="center"/>
            </w:pPr>
            <w:r w:rsidRPr="00236987">
              <w:t>(100%)</w:t>
            </w:r>
          </w:p>
        </w:tc>
      </w:tr>
      <w:tr w:rsidR="00CA2084" w14:paraId="41A7C391" w14:textId="77777777" w:rsidTr="0049322D">
        <w:tc>
          <w:tcPr>
            <w:tcW w:w="2943" w:type="dxa"/>
          </w:tcPr>
          <w:p w14:paraId="625E6511" w14:textId="77777777" w:rsidR="00CA2084" w:rsidRDefault="00CA2084" w:rsidP="0049322D">
            <w:pPr>
              <w:jc w:val="center"/>
            </w:pPr>
            <w:r>
              <w:t>Offences not included in the above classes</w:t>
            </w:r>
          </w:p>
        </w:tc>
        <w:tc>
          <w:tcPr>
            <w:tcW w:w="1134" w:type="dxa"/>
          </w:tcPr>
          <w:p w14:paraId="5A583416" w14:textId="77777777" w:rsidR="00CA2084" w:rsidRPr="00236987" w:rsidRDefault="00CA2084" w:rsidP="0049322D">
            <w:pPr>
              <w:jc w:val="center"/>
            </w:pPr>
            <w:r w:rsidRPr="00236987">
              <w:t>3</w:t>
            </w:r>
            <w:r>
              <w:t>8</w:t>
            </w:r>
            <w:r w:rsidRPr="00236987">
              <w:br/>
              <w:t>(3%)</w:t>
            </w:r>
          </w:p>
        </w:tc>
        <w:tc>
          <w:tcPr>
            <w:tcW w:w="1276" w:type="dxa"/>
          </w:tcPr>
          <w:p w14:paraId="04D313F3" w14:textId="77777777" w:rsidR="00CA2084" w:rsidRPr="00236987" w:rsidRDefault="00CA2084" w:rsidP="0049322D">
            <w:pPr>
              <w:jc w:val="center"/>
            </w:pPr>
            <w:r w:rsidRPr="00236987">
              <w:t>302</w:t>
            </w:r>
            <w:r w:rsidRPr="00236987">
              <w:br/>
              <w:t>(23%)</w:t>
            </w:r>
          </w:p>
        </w:tc>
        <w:tc>
          <w:tcPr>
            <w:tcW w:w="1134" w:type="dxa"/>
          </w:tcPr>
          <w:p w14:paraId="30B11098" w14:textId="77777777" w:rsidR="00CA2084" w:rsidRPr="00236987" w:rsidRDefault="00CA2084" w:rsidP="0049322D">
            <w:pPr>
              <w:jc w:val="center"/>
            </w:pPr>
            <w:r w:rsidRPr="00236987">
              <w:t>92</w:t>
            </w:r>
            <w:r>
              <w:t>7</w:t>
            </w:r>
            <w:r w:rsidRPr="00236987">
              <w:br/>
              <w:t>(71%)</w:t>
            </w:r>
          </w:p>
        </w:tc>
        <w:tc>
          <w:tcPr>
            <w:tcW w:w="992" w:type="dxa"/>
          </w:tcPr>
          <w:p w14:paraId="13D65D5B" w14:textId="77777777" w:rsidR="00CA2084" w:rsidRPr="00236987" w:rsidRDefault="00CA2084" w:rsidP="0049322D">
            <w:pPr>
              <w:jc w:val="center"/>
            </w:pPr>
            <w:r w:rsidRPr="00236987">
              <w:t>39</w:t>
            </w:r>
            <w:r w:rsidRPr="00236987">
              <w:br/>
              <w:t>(3%)</w:t>
            </w:r>
          </w:p>
        </w:tc>
        <w:tc>
          <w:tcPr>
            <w:tcW w:w="1037" w:type="dxa"/>
          </w:tcPr>
          <w:p w14:paraId="21C82023" w14:textId="77777777" w:rsidR="00CA2084" w:rsidRPr="00236987" w:rsidRDefault="00CA2084" w:rsidP="0049322D">
            <w:pPr>
              <w:jc w:val="center"/>
            </w:pPr>
            <w:r w:rsidRPr="00236987">
              <w:t>1,30</w:t>
            </w:r>
            <w:r>
              <w:t>6</w:t>
            </w:r>
          </w:p>
          <w:p w14:paraId="15859B69" w14:textId="77777777" w:rsidR="00CA2084" w:rsidRPr="00236987" w:rsidRDefault="00CA2084" w:rsidP="0049322D">
            <w:pPr>
              <w:jc w:val="center"/>
            </w:pPr>
            <w:r w:rsidRPr="00236987">
              <w:t>(100%)</w:t>
            </w:r>
          </w:p>
        </w:tc>
      </w:tr>
      <w:tr w:rsidR="00CA2084" w14:paraId="29A017CD" w14:textId="77777777" w:rsidTr="0049322D">
        <w:tc>
          <w:tcPr>
            <w:tcW w:w="2943" w:type="dxa"/>
          </w:tcPr>
          <w:p w14:paraId="5C0662E6" w14:textId="77777777" w:rsidR="00CA2084" w:rsidRPr="00697405" w:rsidRDefault="00CA2084" w:rsidP="0049322D">
            <w:pPr>
              <w:jc w:val="right"/>
              <w:rPr>
                <w:b/>
              </w:rPr>
            </w:pPr>
            <w:r w:rsidRPr="00697405">
              <w:rPr>
                <w:b/>
              </w:rPr>
              <w:t>Total</w:t>
            </w:r>
          </w:p>
        </w:tc>
        <w:tc>
          <w:tcPr>
            <w:tcW w:w="1134" w:type="dxa"/>
          </w:tcPr>
          <w:p w14:paraId="7C0CE77E" w14:textId="77777777" w:rsidR="00CA2084" w:rsidRPr="00236987" w:rsidRDefault="00CA2084" w:rsidP="0049322D">
            <w:pPr>
              <w:jc w:val="center"/>
            </w:pPr>
            <w:r w:rsidRPr="00236987">
              <w:t>1,469</w:t>
            </w:r>
            <w:r w:rsidRPr="00236987">
              <w:br/>
              <w:t>(4.5%)</w:t>
            </w:r>
          </w:p>
        </w:tc>
        <w:tc>
          <w:tcPr>
            <w:tcW w:w="1276" w:type="dxa"/>
          </w:tcPr>
          <w:p w14:paraId="1619DA17" w14:textId="77777777" w:rsidR="00CA2084" w:rsidRPr="00236987" w:rsidRDefault="00CA2084" w:rsidP="0049322D">
            <w:pPr>
              <w:jc w:val="center"/>
            </w:pPr>
            <w:r w:rsidRPr="00236987">
              <w:t>6,299</w:t>
            </w:r>
            <w:r w:rsidRPr="00236987">
              <w:br/>
              <w:t>(19%)</w:t>
            </w:r>
          </w:p>
        </w:tc>
        <w:tc>
          <w:tcPr>
            <w:tcW w:w="1134" w:type="dxa"/>
          </w:tcPr>
          <w:p w14:paraId="78D06E02" w14:textId="77777777" w:rsidR="00CA2084" w:rsidRPr="00236987" w:rsidRDefault="00CA2084" w:rsidP="0049322D">
            <w:pPr>
              <w:jc w:val="center"/>
            </w:pPr>
            <w:r w:rsidRPr="00236987">
              <w:t>25,071</w:t>
            </w:r>
            <w:r w:rsidRPr="00236987">
              <w:br/>
              <w:t>(76%)</w:t>
            </w:r>
          </w:p>
        </w:tc>
        <w:tc>
          <w:tcPr>
            <w:tcW w:w="992" w:type="dxa"/>
          </w:tcPr>
          <w:p w14:paraId="6F1931C5" w14:textId="77777777" w:rsidR="00CA2084" w:rsidRPr="00236987" w:rsidRDefault="00CA2084" w:rsidP="0049322D">
            <w:pPr>
              <w:jc w:val="center"/>
            </w:pPr>
            <w:r w:rsidRPr="00236987">
              <w:t>161</w:t>
            </w:r>
          </w:p>
          <w:p w14:paraId="349733E6" w14:textId="77777777" w:rsidR="00CA2084" w:rsidRPr="00236987" w:rsidRDefault="00CA2084" w:rsidP="0049322D">
            <w:pPr>
              <w:jc w:val="center"/>
            </w:pPr>
            <w:r w:rsidRPr="00236987">
              <w:t>(0.5%)</w:t>
            </w:r>
          </w:p>
        </w:tc>
        <w:tc>
          <w:tcPr>
            <w:tcW w:w="1037" w:type="dxa"/>
          </w:tcPr>
          <w:p w14:paraId="27AED699" w14:textId="77777777" w:rsidR="00CA2084" w:rsidRPr="00236987" w:rsidRDefault="00CA2084" w:rsidP="0049322D">
            <w:pPr>
              <w:jc w:val="center"/>
            </w:pPr>
            <w:r w:rsidRPr="00236987">
              <w:t>33,000</w:t>
            </w:r>
          </w:p>
          <w:p w14:paraId="796B6F77" w14:textId="77777777" w:rsidR="00CA2084" w:rsidRPr="00236987" w:rsidRDefault="00CA2084" w:rsidP="0049322D">
            <w:pPr>
              <w:jc w:val="center"/>
            </w:pPr>
            <w:r w:rsidRPr="00236987">
              <w:t>(100%)</w:t>
            </w:r>
          </w:p>
        </w:tc>
      </w:tr>
    </w:tbl>
    <w:p w14:paraId="7DBDD8C7" w14:textId="77777777" w:rsidR="00CA2084" w:rsidRPr="00834D78" w:rsidRDefault="00CA2084" w:rsidP="00225D5D">
      <w:pPr>
        <w:jc w:val="both"/>
        <w:rPr>
          <w:rFonts w:ascii="Times New Roman" w:eastAsia="Times New Roman" w:hAnsi="Times New Roman" w:cs="Times New Roman"/>
          <w:sz w:val="20"/>
          <w:szCs w:val="20"/>
          <w:lang w:val="en-GB"/>
        </w:rPr>
      </w:pPr>
      <w:r w:rsidRPr="00834D78">
        <w:rPr>
          <w:b/>
        </w:rPr>
        <w:t>Figure 7:</w:t>
      </w:r>
      <w:r w:rsidRPr="00834D78">
        <w:t xml:space="preserve"> The verdicts handed down by class of offence at Assizes and Quarter Sessions in Cheshire, 1840-90.</w:t>
      </w:r>
    </w:p>
    <w:p w14:paraId="65E07EFD" w14:textId="06022040" w:rsidR="00CA2084" w:rsidRDefault="00CA2084" w:rsidP="00AA3A18">
      <w:pPr>
        <w:spacing w:line="360" w:lineRule="auto"/>
        <w:jc w:val="both"/>
      </w:pPr>
    </w:p>
    <w:p w14:paraId="79B76686" w14:textId="0B24C1E6" w:rsidR="00CA2084" w:rsidRPr="004A2761" w:rsidRDefault="00CA2084" w:rsidP="00AA3A18">
      <w:pPr>
        <w:spacing w:line="360" w:lineRule="auto"/>
        <w:jc w:val="both"/>
        <w:rPr>
          <w:color w:val="FF0000"/>
        </w:rPr>
      </w:pPr>
      <w:r>
        <w:t xml:space="preserve">As was the case at the national level, the overwhelming majority of those committed for trial across Cheshire during the period were successfully </w:t>
      </w:r>
      <w:r>
        <w:lastRenderedPageBreak/>
        <w:t>convicted.</w:t>
      </w:r>
      <w:r>
        <w:rPr>
          <w:rStyle w:val="FootnoteReference"/>
        </w:rPr>
        <w:footnoteReference w:id="28"/>
      </w:r>
      <w:r>
        <w:t xml:space="preserve"> </w:t>
      </w:r>
      <w:r w:rsidRPr="00343DF5">
        <w:t>Just over three-quarters of those committed for trial were convicted, while just under one-in-five were found not guilty.</w:t>
      </w:r>
      <w:r w:rsidRPr="004A2761">
        <w:rPr>
          <w:color w:val="FF0000"/>
        </w:rPr>
        <w:t xml:space="preserve"> </w:t>
      </w:r>
      <w:r w:rsidRPr="00343DF5">
        <w:t>Only 5% of those committed did not face trial because a grand jury failed to return an indictment or some other reason (found insane etc.). There was little real difference in the percentage of those successfully convicted across the courts, although those tried at the county quarter sessions were slightly more likely to be convicted</w:t>
      </w:r>
      <w:r w:rsidRPr="004A2761">
        <w:rPr>
          <w:color w:val="FF0000"/>
        </w:rPr>
        <w:t xml:space="preserve"> </w:t>
      </w:r>
      <w:r w:rsidRPr="00343DF5">
        <w:t>(78% compared with the average of 76%)</w:t>
      </w:r>
      <w:r w:rsidRPr="004A2761">
        <w:rPr>
          <w:color w:val="FF0000"/>
        </w:rPr>
        <w:t xml:space="preserve"> </w:t>
      </w:r>
      <w:r w:rsidRPr="00343DF5">
        <w:t>and slightly less likely to be found not guilty (17% compared with the average of 19% and the 27% at the county assizes</w:t>
      </w:r>
      <w:r w:rsidR="005A756E">
        <w:t xml:space="preserve"> </w:t>
      </w:r>
      <w:r w:rsidR="005A756E" w:rsidRPr="005A756E">
        <w:rPr>
          <w:color w:val="FF0000"/>
        </w:rPr>
        <w:t>respectively</w:t>
      </w:r>
      <w:r w:rsidRPr="00343DF5">
        <w:t>). In contrast to the national pattern, the percentage of those successfully convicted increased slightly over the period, from 76% between 1840-9 and 78% between 1880-9.</w:t>
      </w:r>
    </w:p>
    <w:p w14:paraId="6A3A51CD" w14:textId="77777777" w:rsidR="00CA2084" w:rsidRDefault="00CA2084" w:rsidP="00AA3A18">
      <w:pPr>
        <w:spacing w:line="360" w:lineRule="auto"/>
        <w:jc w:val="both"/>
      </w:pPr>
    </w:p>
    <w:p w14:paraId="27673DE3" w14:textId="7C4D87BB" w:rsidR="00CA2084" w:rsidRDefault="00CA2084" w:rsidP="00AA3A18">
      <w:pPr>
        <w:spacing w:line="360" w:lineRule="auto"/>
        <w:jc w:val="both"/>
      </w:pPr>
      <w:r>
        <w:tab/>
        <w:t xml:space="preserve">Broadly speaking, property offences were more successfully prosecuted than violent offences: 77% and 77.5% of those committed for trial for offences against the person with and without violence respectively were convicted compared with 67% of those accused to offences against the person. This arguably reflected the relative ease of demonstrating an offence where property was stolen compared to one where a person was injured in some way. </w:t>
      </w:r>
      <w:r w:rsidRPr="00526931">
        <w:rPr>
          <w:color w:val="FF0000"/>
        </w:rPr>
        <w:t xml:space="preserve">As </w:t>
      </w:r>
      <w:r w:rsidR="00526931" w:rsidRPr="00526931">
        <w:rPr>
          <w:color w:val="FF0000"/>
        </w:rPr>
        <w:t>the Criminal Registrar</w:t>
      </w:r>
      <w:r w:rsidR="00526931">
        <w:t xml:space="preserve">, </w:t>
      </w:r>
      <w:r>
        <w:t xml:space="preserve">Samuel Redgrave noted in the introduction to </w:t>
      </w:r>
      <w:r w:rsidRPr="00F624D5">
        <w:rPr>
          <w:i/>
        </w:rPr>
        <w:t xml:space="preserve">Tables showing the number of </w:t>
      </w:r>
      <w:r>
        <w:rPr>
          <w:i/>
        </w:rPr>
        <w:t>c</w:t>
      </w:r>
      <w:r w:rsidRPr="00F624D5">
        <w:rPr>
          <w:i/>
        </w:rPr>
        <w:t xml:space="preserve">riminal </w:t>
      </w:r>
      <w:r>
        <w:rPr>
          <w:i/>
        </w:rPr>
        <w:t>o</w:t>
      </w:r>
      <w:r w:rsidRPr="00F624D5">
        <w:rPr>
          <w:i/>
        </w:rPr>
        <w:t>ffenders</w:t>
      </w:r>
      <w:r>
        <w:t xml:space="preserve"> (1844), </w:t>
      </w:r>
      <w:r w:rsidR="00E428E7">
        <w:t>‘</w:t>
      </w:r>
      <w:r>
        <w:t>In Offences against Property, for instance, as distinguished from Offences against the Person, the property stolen not only frequently affords the best clue to detection, but its possession one of the chief proofs on trial</w:t>
      </w:r>
      <w:r w:rsidR="00E428E7">
        <w:t>’</w:t>
      </w:r>
      <w:r>
        <w:t xml:space="preserve">. Malicious offences against property were also, he went on, </w:t>
      </w:r>
      <w:r w:rsidR="00E428E7">
        <w:t>‘</w:t>
      </w:r>
      <w:r>
        <w:t>…attended with great difficulty of proof, and [hence] the acquittals are proportionally great…</w:t>
      </w:r>
      <w:r w:rsidR="00E428E7">
        <w:t>’</w:t>
      </w:r>
      <w:r>
        <w:t>.</w:t>
      </w:r>
      <w:r>
        <w:rPr>
          <w:rStyle w:val="FootnoteReference"/>
        </w:rPr>
        <w:footnoteReference w:id="29"/>
      </w:r>
      <w:r>
        <w:t xml:space="preserve"> It was, however, those accused of forgery and offences against the currency that were the most likely to be convicted, with only 13% of those accused of these offences being found innocent. Grand juries also only rejected 1% of the indictments for these offences compared with 5% of those </w:t>
      </w:r>
      <w:r>
        <w:lastRenderedPageBreak/>
        <w:t>concerning offences against the person and offences against the property without violence and 2% of those concerning offences against the property with violence. According to Redgrave, this relative success-rate reflected the fact that a skilled prosecutor, namely the Solicitor of the Mint, rather than an individual victim or the police, prosecuted offences against the currency.</w:t>
      </w:r>
      <w:r>
        <w:rPr>
          <w:rStyle w:val="FootnoteReference"/>
        </w:rPr>
        <w:footnoteReference w:id="30"/>
      </w:r>
      <w:r>
        <w:t xml:space="preserve">  </w:t>
      </w:r>
    </w:p>
    <w:p w14:paraId="576ABA6A" w14:textId="77777777" w:rsidR="00CA2084" w:rsidRDefault="00CA2084" w:rsidP="00AA3A18">
      <w:pPr>
        <w:spacing w:line="360" w:lineRule="auto"/>
        <w:jc w:val="both"/>
      </w:pPr>
    </w:p>
    <w:p w14:paraId="4F6C9D0B" w14:textId="18EB50CE" w:rsidR="00CA2084" w:rsidRDefault="00CA2084" w:rsidP="00AA3A18">
      <w:pPr>
        <w:spacing w:line="360" w:lineRule="auto"/>
        <w:jc w:val="both"/>
      </w:pPr>
      <w:r>
        <w:tab/>
        <w:t xml:space="preserve">This pattern can be further seen when we consider individual offences. Larceny and larceny by a servant were successfully prosecuted in just under 80% of cases, while 83% of those accused of housebreaking or stealing fixtures or lead affixed to a building were convicted. In contrast, only 27% of those accused of murder were convicted. This arguably not only reflected the relative difficulty of proving an offence against the person, but also possibly reflected juries reluctance to convict in what was, by 1840, effectively the only capital crime remaining on the statute book. Where the accused’s life was at stake, it would appear, juries demanded a higher standard of proof and were relatively reluctant to return guilty verdicts. Likewise, only 27% of those accused of rape were successfully prosecuted. Unlike murder, rape ceased to be a capital offence in 1841, nevertheless, juries were still reluctant to return guilty verdicts against those accused of this offence. Moreover, grand juries rejected 13.5% of rape indictments – significantly more than most other offences. This reflected, on one level, how stringently rape was defined in law: the prosecutrix had to prove not only that penetration had occurred, but also that there had been emission. She also had to demonstrate that consent had not been given; something impossible to prove in the absence of witnesses. Moreover, evidence (or, indeed, the assumption) that the prosecutrix either had a sexual history or had behaved in what was perceived to be an inappropriate way, could also be used by a </w:t>
      </w:r>
      <w:proofErr w:type="spellStart"/>
      <w:r>
        <w:t>defence</w:t>
      </w:r>
      <w:proofErr w:type="spellEnd"/>
      <w:r>
        <w:t xml:space="preserve"> counsel to undermine her case in the eyes of a jury.</w:t>
      </w:r>
      <w:r>
        <w:rPr>
          <w:rStyle w:val="FootnoteReference"/>
        </w:rPr>
        <w:footnoteReference w:id="31"/>
      </w:r>
      <w:r>
        <w:t xml:space="preserve"> As Carolyn A. Conley notes,</w:t>
      </w:r>
    </w:p>
    <w:p w14:paraId="3EF06E23" w14:textId="77777777" w:rsidR="00CA2084" w:rsidRDefault="00CA2084" w:rsidP="00AA3A18">
      <w:pPr>
        <w:spacing w:line="360" w:lineRule="auto"/>
        <w:jc w:val="both"/>
      </w:pPr>
    </w:p>
    <w:p w14:paraId="35FC48AF" w14:textId="4E919B56" w:rsidR="00CA2084" w:rsidRDefault="00CA2084" w:rsidP="0089147E">
      <w:pPr>
        <w:spacing w:line="360" w:lineRule="auto"/>
        <w:ind w:left="567"/>
        <w:jc w:val="both"/>
      </w:pPr>
      <w:r>
        <w:t>R</w:t>
      </w:r>
      <w:r w:rsidRPr="0089147E">
        <w:t>ape victims were suspect on at least three counts: they were female, they were temporarily outside of the supervision of male guardians (it was unthinkable that their guardians might have been their assailants), and they were publicly announcing their loss of sexual innocence. Judges and jurors frequently concluded that no man should lose his respectability, let alone his freedom, for the mere seduction of such unworthy creatures</w:t>
      </w:r>
      <w:r>
        <w:t>.</w:t>
      </w:r>
      <w:r>
        <w:rPr>
          <w:rStyle w:val="FootnoteReference"/>
        </w:rPr>
        <w:footnoteReference w:id="32"/>
      </w:r>
    </w:p>
    <w:p w14:paraId="449DF55F" w14:textId="77777777" w:rsidR="00CA2084" w:rsidRDefault="00CA2084" w:rsidP="00AA3A18">
      <w:pPr>
        <w:spacing w:line="360" w:lineRule="auto"/>
        <w:jc w:val="both"/>
      </w:pPr>
    </w:p>
    <w:p w14:paraId="5C14AA49" w14:textId="075A63AE" w:rsidR="00CA2084" w:rsidRPr="00BF7271" w:rsidRDefault="00CA2084" w:rsidP="002839A2">
      <w:pPr>
        <w:spacing w:line="360" w:lineRule="auto"/>
        <w:jc w:val="both"/>
        <w:rPr>
          <w:color w:val="FF0000"/>
        </w:rPr>
      </w:pPr>
      <w:r w:rsidRPr="002839A2">
        <w:t>The only ways in</w:t>
      </w:r>
      <w:r>
        <w:t xml:space="preserve"> which this paradox could be resolved were when the </w:t>
      </w:r>
      <w:r w:rsidRPr="002839A2">
        <w:t>prosecutrix claimed</w:t>
      </w:r>
      <w:r>
        <w:t xml:space="preserve"> </w:t>
      </w:r>
      <w:r w:rsidRPr="002839A2">
        <w:t>that she had fought off her attacker and</w:t>
      </w:r>
      <w:r>
        <w:t xml:space="preserve"> thereby preserved her chastity </w:t>
      </w:r>
      <w:r w:rsidRPr="002839A2">
        <w:t>or when the victim was a child</w:t>
      </w:r>
      <w:r>
        <w:t xml:space="preserve"> </w:t>
      </w:r>
      <w:r w:rsidRPr="002839A2">
        <w:t>and therefore too young to consent.</w:t>
      </w:r>
      <w:r>
        <w:t xml:space="preserve"> </w:t>
      </w:r>
      <w:r w:rsidRPr="006D788C">
        <w:t>Thus, whereas only 41% of those accused of rape in Kent between 1859 and 1880 were convicted, 67% and 83% of those accused of attempted rape and indecent assault respectively were thus found.</w:t>
      </w:r>
      <w:r w:rsidRPr="006D788C">
        <w:rPr>
          <w:rStyle w:val="FootnoteReference"/>
        </w:rPr>
        <w:footnoteReference w:id="33"/>
      </w:r>
      <w:r w:rsidRPr="006D788C">
        <w:t xml:space="preserve"> Similarly, in Victorian Cheshire, 74% and 66% of those committed for trial for sexual assaults against children and indecent assault respectively were convicted. Clearly, then, juries were more likely to believe a prosecutrix and return a guilty verdict if she either claimed to have fought off her attacker or was too young to consent to the sexual act that she alleged </w:t>
      </w:r>
      <w:r w:rsidR="005A756E" w:rsidRPr="005A756E">
        <w:rPr>
          <w:color w:val="FF0000"/>
        </w:rPr>
        <w:t xml:space="preserve">had taken </w:t>
      </w:r>
      <w:r w:rsidRPr="006D788C">
        <w:t>place.</w:t>
      </w:r>
      <w:r w:rsidRPr="00BF7271">
        <w:rPr>
          <w:color w:val="FF0000"/>
        </w:rPr>
        <w:t xml:space="preserve"> </w:t>
      </w:r>
    </w:p>
    <w:p w14:paraId="7D767531" w14:textId="77777777" w:rsidR="00CA2084" w:rsidRDefault="00CA2084" w:rsidP="00494C02">
      <w:pPr>
        <w:spacing w:line="360" w:lineRule="auto"/>
        <w:jc w:val="both"/>
      </w:pPr>
    </w:p>
    <w:p w14:paraId="27CC2DA0" w14:textId="27EF8872" w:rsidR="00CA2084" w:rsidRDefault="00CA2084" w:rsidP="00494C02">
      <w:pPr>
        <w:spacing w:line="360" w:lineRule="auto"/>
        <w:jc w:val="both"/>
      </w:pPr>
      <w:r>
        <w:tab/>
        <w:t>Figure 8 shows the sentences that were passed on convicted felons in Cheshire over the period:</w:t>
      </w:r>
    </w:p>
    <w:p w14:paraId="3976A94E" w14:textId="77777777" w:rsidR="00CA2084" w:rsidRDefault="00CA2084" w:rsidP="00494C02">
      <w:pPr>
        <w:spacing w:line="360" w:lineRule="auto"/>
        <w:jc w:val="both"/>
      </w:pPr>
    </w:p>
    <w:p w14:paraId="6F55B63B" w14:textId="77777777" w:rsidR="00CA2084" w:rsidRDefault="00CA2084">
      <w:r>
        <w:br w:type="page"/>
      </w:r>
    </w:p>
    <w:tbl>
      <w:tblPr>
        <w:tblStyle w:val="TableGrid"/>
        <w:tblW w:w="0" w:type="auto"/>
        <w:tblLook w:val="04A0" w:firstRow="1" w:lastRow="0" w:firstColumn="1" w:lastColumn="0" w:noHBand="0" w:noVBand="1"/>
      </w:tblPr>
      <w:tblGrid>
        <w:gridCol w:w="2400"/>
        <w:gridCol w:w="1802"/>
        <w:gridCol w:w="2187"/>
        <w:gridCol w:w="1901"/>
      </w:tblGrid>
      <w:tr w:rsidR="00CA2084" w14:paraId="20E59FED" w14:textId="77777777" w:rsidTr="0049322D">
        <w:tc>
          <w:tcPr>
            <w:tcW w:w="2444" w:type="dxa"/>
          </w:tcPr>
          <w:p w14:paraId="0F1D37C3" w14:textId="1ECB10F1" w:rsidR="00CA2084" w:rsidRPr="00F660FA" w:rsidRDefault="00CA2084" w:rsidP="0049322D">
            <w:pPr>
              <w:jc w:val="center"/>
              <w:rPr>
                <w:b/>
              </w:rPr>
            </w:pPr>
            <w:r w:rsidRPr="00F660FA">
              <w:rPr>
                <w:b/>
              </w:rPr>
              <w:lastRenderedPageBreak/>
              <w:t>Type</w:t>
            </w:r>
          </w:p>
        </w:tc>
        <w:tc>
          <w:tcPr>
            <w:tcW w:w="1864" w:type="dxa"/>
          </w:tcPr>
          <w:p w14:paraId="6EF0DE66" w14:textId="77777777" w:rsidR="00CA2084" w:rsidRDefault="00CA2084" w:rsidP="0049322D">
            <w:pPr>
              <w:jc w:val="center"/>
              <w:rPr>
                <w:b/>
              </w:rPr>
            </w:pPr>
            <w:r>
              <w:rPr>
                <w:b/>
              </w:rPr>
              <w:t>No. &amp; %</w:t>
            </w:r>
          </w:p>
        </w:tc>
        <w:tc>
          <w:tcPr>
            <w:tcW w:w="2234" w:type="dxa"/>
          </w:tcPr>
          <w:p w14:paraId="2990CF7D" w14:textId="77777777" w:rsidR="00CA2084" w:rsidRPr="00F660FA" w:rsidRDefault="00CA2084" w:rsidP="0049322D">
            <w:pPr>
              <w:jc w:val="center"/>
              <w:rPr>
                <w:b/>
              </w:rPr>
            </w:pPr>
            <w:r>
              <w:rPr>
                <w:b/>
              </w:rPr>
              <w:t>Details</w:t>
            </w:r>
          </w:p>
        </w:tc>
        <w:tc>
          <w:tcPr>
            <w:tcW w:w="1974" w:type="dxa"/>
          </w:tcPr>
          <w:p w14:paraId="3374BF8F" w14:textId="77777777" w:rsidR="00CA2084" w:rsidRPr="00F660FA" w:rsidRDefault="00CA2084" w:rsidP="0049322D">
            <w:pPr>
              <w:jc w:val="center"/>
              <w:rPr>
                <w:b/>
              </w:rPr>
            </w:pPr>
            <w:r w:rsidRPr="00F660FA">
              <w:rPr>
                <w:b/>
              </w:rPr>
              <w:t>No &amp; %</w:t>
            </w:r>
          </w:p>
        </w:tc>
      </w:tr>
      <w:tr w:rsidR="00CA2084" w14:paraId="7935FF93" w14:textId="77777777" w:rsidTr="0049322D">
        <w:tc>
          <w:tcPr>
            <w:tcW w:w="2444" w:type="dxa"/>
            <w:vMerge w:val="restart"/>
          </w:tcPr>
          <w:p w14:paraId="24350BCF" w14:textId="77777777" w:rsidR="00CA2084" w:rsidRDefault="00CA2084" w:rsidP="0049322D">
            <w:pPr>
              <w:jc w:val="center"/>
            </w:pPr>
            <w:r>
              <w:t>Death</w:t>
            </w:r>
          </w:p>
        </w:tc>
        <w:tc>
          <w:tcPr>
            <w:tcW w:w="1864" w:type="dxa"/>
            <w:vMerge w:val="restart"/>
          </w:tcPr>
          <w:p w14:paraId="2212CD55" w14:textId="77777777" w:rsidR="00CA2084" w:rsidRDefault="00CA2084" w:rsidP="0049322D">
            <w:pPr>
              <w:jc w:val="center"/>
            </w:pPr>
            <w:r>
              <w:t>55</w:t>
            </w:r>
            <w:r>
              <w:br/>
              <w:t>(&lt;1%)</w:t>
            </w:r>
          </w:p>
        </w:tc>
        <w:tc>
          <w:tcPr>
            <w:tcW w:w="2234" w:type="dxa"/>
          </w:tcPr>
          <w:p w14:paraId="465BF425" w14:textId="77777777" w:rsidR="00CA2084" w:rsidRDefault="00CA2084" w:rsidP="0049322D">
            <w:pPr>
              <w:jc w:val="center"/>
            </w:pPr>
            <w:r>
              <w:t>Executed</w:t>
            </w:r>
          </w:p>
        </w:tc>
        <w:tc>
          <w:tcPr>
            <w:tcW w:w="1974" w:type="dxa"/>
          </w:tcPr>
          <w:p w14:paraId="50B2071B" w14:textId="77777777" w:rsidR="00CA2084" w:rsidRDefault="00CA2084" w:rsidP="0049322D">
            <w:pPr>
              <w:jc w:val="center"/>
            </w:pPr>
            <w:r>
              <w:t>15</w:t>
            </w:r>
          </w:p>
          <w:p w14:paraId="58C78494" w14:textId="77777777" w:rsidR="00CA2084" w:rsidRDefault="00CA2084" w:rsidP="0049322D">
            <w:pPr>
              <w:jc w:val="center"/>
            </w:pPr>
            <w:r>
              <w:t>(27%)</w:t>
            </w:r>
          </w:p>
        </w:tc>
      </w:tr>
      <w:tr w:rsidR="00CA2084" w14:paraId="7886FDB7" w14:textId="77777777" w:rsidTr="0049322D">
        <w:tc>
          <w:tcPr>
            <w:tcW w:w="2444" w:type="dxa"/>
            <w:vMerge/>
          </w:tcPr>
          <w:p w14:paraId="279A9421" w14:textId="77777777" w:rsidR="00CA2084" w:rsidRDefault="00CA2084" w:rsidP="0049322D">
            <w:pPr>
              <w:jc w:val="center"/>
            </w:pPr>
          </w:p>
        </w:tc>
        <w:tc>
          <w:tcPr>
            <w:tcW w:w="1864" w:type="dxa"/>
            <w:vMerge/>
          </w:tcPr>
          <w:p w14:paraId="703174DA" w14:textId="77777777" w:rsidR="00CA2084" w:rsidRDefault="00CA2084" w:rsidP="0049322D">
            <w:pPr>
              <w:jc w:val="center"/>
            </w:pPr>
          </w:p>
        </w:tc>
        <w:tc>
          <w:tcPr>
            <w:tcW w:w="2234" w:type="dxa"/>
          </w:tcPr>
          <w:p w14:paraId="345CB83F" w14:textId="77777777" w:rsidR="00CA2084" w:rsidRDefault="00CA2084" w:rsidP="0049322D">
            <w:pPr>
              <w:jc w:val="center"/>
            </w:pPr>
            <w:r>
              <w:t>Pardoned</w:t>
            </w:r>
          </w:p>
        </w:tc>
        <w:tc>
          <w:tcPr>
            <w:tcW w:w="1974" w:type="dxa"/>
          </w:tcPr>
          <w:p w14:paraId="641515D6" w14:textId="77777777" w:rsidR="00CA2084" w:rsidRDefault="00CA2084" w:rsidP="0049322D">
            <w:pPr>
              <w:jc w:val="center"/>
            </w:pPr>
            <w:r>
              <w:t>40</w:t>
            </w:r>
          </w:p>
          <w:p w14:paraId="17F3A17D" w14:textId="77777777" w:rsidR="00CA2084" w:rsidRDefault="00CA2084" w:rsidP="0049322D">
            <w:pPr>
              <w:jc w:val="center"/>
            </w:pPr>
            <w:r>
              <w:t>(73%)</w:t>
            </w:r>
          </w:p>
        </w:tc>
      </w:tr>
      <w:tr w:rsidR="00CA2084" w14:paraId="3C21A7C8" w14:textId="77777777" w:rsidTr="0049322D">
        <w:tc>
          <w:tcPr>
            <w:tcW w:w="2444" w:type="dxa"/>
          </w:tcPr>
          <w:p w14:paraId="6DC0565B" w14:textId="77777777" w:rsidR="00CA2084" w:rsidRDefault="00CA2084" w:rsidP="0049322D">
            <w:pPr>
              <w:jc w:val="center"/>
            </w:pPr>
          </w:p>
        </w:tc>
        <w:tc>
          <w:tcPr>
            <w:tcW w:w="1864" w:type="dxa"/>
          </w:tcPr>
          <w:p w14:paraId="06BDCB16" w14:textId="77777777" w:rsidR="00CA2084" w:rsidRDefault="00CA2084" w:rsidP="0049322D">
            <w:pPr>
              <w:jc w:val="center"/>
            </w:pPr>
          </w:p>
        </w:tc>
        <w:tc>
          <w:tcPr>
            <w:tcW w:w="2234" w:type="dxa"/>
          </w:tcPr>
          <w:p w14:paraId="3A24BF5E" w14:textId="77777777" w:rsidR="00CA2084" w:rsidRDefault="00CA2084" w:rsidP="0049322D">
            <w:pPr>
              <w:jc w:val="center"/>
            </w:pPr>
          </w:p>
        </w:tc>
        <w:tc>
          <w:tcPr>
            <w:tcW w:w="1974" w:type="dxa"/>
          </w:tcPr>
          <w:p w14:paraId="2ECE51B7" w14:textId="77777777" w:rsidR="00CA2084" w:rsidRDefault="00CA2084" w:rsidP="0049322D">
            <w:pPr>
              <w:jc w:val="center"/>
            </w:pPr>
          </w:p>
        </w:tc>
      </w:tr>
      <w:tr w:rsidR="00CA2084" w14:paraId="55842D6E" w14:textId="77777777" w:rsidTr="0049322D">
        <w:tc>
          <w:tcPr>
            <w:tcW w:w="2444" w:type="dxa"/>
            <w:vMerge w:val="restart"/>
          </w:tcPr>
          <w:p w14:paraId="722E7660" w14:textId="77777777" w:rsidR="00CA2084" w:rsidRPr="003111F3" w:rsidRDefault="00CA2084" w:rsidP="0049322D">
            <w:pPr>
              <w:jc w:val="center"/>
            </w:pPr>
            <w:r w:rsidRPr="003111F3">
              <w:t>Transportation</w:t>
            </w:r>
            <w:r w:rsidRPr="003111F3">
              <w:br/>
              <w:t>(-1857)</w:t>
            </w:r>
          </w:p>
        </w:tc>
        <w:tc>
          <w:tcPr>
            <w:tcW w:w="1864" w:type="dxa"/>
            <w:vMerge w:val="restart"/>
          </w:tcPr>
          <w:p w14:paraId="7B802F17" w14:textId="77777777" w:rsidR="00CA2084" w:rsidRDefault="00CA2084" w:rsidP="0049322D">
            <w:pPr>
              <w:jc w:val="center"/>
            </w:pPr>
            <w:r>
              <w:t>1,260</w:t>
            </w:r>
            <w:r>
              <w:br/>
              <w:t>(5%)</w:t>
            </w:r>
          </w:p>
        </w:tc>
        <w:tc>
          <w:tcPr>
            <w:tcW w:w="2234" w:type="dxa"/>
          </w:tcPr>
          <w:p w14:paraId="7F9B8D0C" w14:textId="77777777" w:rsidR="00CA2084" w:rsidRDefault="00CA2084" w:rsidP="0049322D">
            <w:pPr>
              <w:jc w:val="center"/>
            </w:pPr>
            <w:r>
              <w:t>Life</w:t>
            </w:r>
          </w:p>
        </w:tc>
        <w:tc>
          <w:tcPr>
            <w:tcW w:w="1974" w:type="dxa"/>
          </w:tcPr>
          <w:p w14:paraId="0D7F03C4" w14:textId="77777777" w:rsidR="00CA2084" w:rsidRDefault="00CA2084" w:rsidP="0049322D">
            <w:pPr>
              <w:jc w:val="center"/>
            </w:pPr>
            <w:r>
              <w:t>36</w:t>
            </w:r>
          </w:p>
          <w:p w14:paraId="5CC03A29" w14:textId="77777777" w:rsidR="00CA2084" w:rsidRDefault="00CA2084" w:rsidP="0049322D">
            <w:pPr>
              <w:jc w:val="center"/>
            </w:pPr>
            <w:r>
              <w:t>(3%)</w:t>
            </w:r>
          </w:p>
        </w:tc>
      </w:tr>
      <w:tr w:rsidR="00CA2084" w14:paraId="7908E5C2" w14:textId="77777777" w:rsidTr="0049322D">
        <w:tc>
          <w:tcPr>
            <w:tcW w:w="2444" w:type="dxa"/>
            <w:vMerge/>
          </w:tcPr>
          <w:p w14:paraId="4ACFBC70" w14:textId="77777777" w:rsidR="00CA2084" w:rsidRPr="00CC24F5" w:rsidRDefault="00CA2084" w:rsidP="0049322D">
            <w:pPr>
              <w:jc w:val="center"/>
              <w:rPr>
                <w:color w:val="FF0000"/>
              </w:rPr>
            </w:pPr>
          </w:p>
        </w:tc>
        <w:tc>
          <w:tcPr>
            <w:tcW w:w="1864" w:type="dxa"/>
            <w:vMerge/>
          </w:tcPr>
          <w:p w14:paraId="1E7CE89C" w14:textId="77777777" w:rsidR="00CA2084" w:rsidRDefault="00CA2084" w:rsidP="0049322D">
            <w:pPr>
              <w:jc w:val="center"/>
            </w:pPr>
          </w:p>
        </w:tc>
        <w:tc>
          <w:tcPr>
            <w:tcW w:w="2234" w:type="dxa"/>
          </w:tcPr>
          <w:p w14:paraId="38F46CEF" w14:textId="77777777" w:rsidR="00CA2084" w:rsidRDefault="00CA2084" w:rsidP="0049322D">
            <w:pPr>
              <w:jc w:val="center"/>
            </w:pPr>
            <w:r>
              <w:t>Over 16 years</w:t>
            </w:r>
          </w:p>
        </w:tc>
        <w:tc>
          <w:tcPr>
            <w:tcW w:w="1974" w:type="dxa"/>
          </w:tcPr>
          <w:p w14:paraId="1403D283" w14:textId="77777777" w:rsidR="00CA2084" w:rsidRDefault="00CA2084" w:rsidP="0049322D">
            <w:pPr>
              <w:jc w:val="center"/>
            </w:pPr>
            <w:r>
              <w:t>19</w:t>
            </w:r>
          </w:p>
          <w:p w14:paraId="71AF9C37" w14:textId="77777777" w:rsidR="00CA2084" w:rsidRDefault="00CA2084" w:rsidP="0049322D">
            <w:pPr>
              <w:jc w:val="center"/>
            </w:pPr>
            <w:r>
              <w:t>(2%)</w:t>
            </w:r>
          </w:p>
        </w:tc>
      </w:tr>
      <w:tr w:rsidR="00CA2084" w14:paraId="033BA518" w14:textId="77777777" w:rsidTr="0049322D">
        <w:tc>
          <w:tcPr>
            <w:tcW w:w="2444" w:type="dxa"/>
            <w:vMerge/>
          </w:tcPr>
          <w:p w14:paraId="65634660" w14:textId="77777777" w:rsidR="00CA2084" w:rsidRPr="00CC24F5" w:rsidRDefault="00CA2084" w:rsidP="0049322D">
            <w:pPr>
              <w:jc w:val="center"/>
              <w:rPr>
                <w:color w:val="FF0000"/>
              </w:rPr>
            </w:pPr>
          </w:p>
        </w:tc>
        <w:tc>
          <w:tcPr>
            <w:tcW w:w="1864" w:type="dxa"/>
            <w:vMerge/>
          </w:tcPr>
          <w:p w14:paraId="2C8FB74E" w14:textId="77777777" w:rsidR="00CA2084" w:rsidRDefault="00CA2084" w:rsidP="0049322D">
            <w:pPr>
              <w:jc w:val="center"/>
            </w:pPr>
          </w:p>
        </w:tc>
        <w:tc>
          <w:tcPr>
            <w:tcW w:w="2234" w:type="dxa"/>
          </w:tcPr>
          <w:p w14:paraId="2077EA6E" w14:textId="77777777" w:rsidR="00CA2084" w:rsidRDefault="00CA2084" w:rsidP="0049322D">
            <w:pPr>
              <w:jc w:val="center"/>
            </w:pPr>
            <w:r>
              <w:t>10-15 years</w:t>
            </w:r>
          </w:p>
        </w:tc>
        <w:tc>
          <w:tcPr>
            <w:tcW w:w="1974" w:type="dxa"/>
          </w:tcPr>
          <w:p w14:paraId="33692F31" w14:textId="77777777" w:rsidR="00CA2084" w:rsidRDefault="00CA2084" w:rsidP="0049322D">
            <w:pPr>
              <w:jc w:val="center"/>
            </w:pPr>
            <w:r>
              <w:t>429</w:t>
            </w:r>
          </w:p>
          <w:p w14:paraId="65442B3D" w14:textId="77777777" w:rsidR="00CA2084" w:rsidRDefault="00CA2084" w:rsidP="0049322D">
            <w:pPr>
              <w:jc w:val="center"/>
            </w:pPr>
            <w:r>
              <w:t>(34%)</w:t>
            </w:r>
          </w:p>
        </w:tc>
      </w:tr>
      <w:tr w:rsidR="00CA2084" w14:paraId="5E7A9C2D" w14:textId="77777777" w:rsidTr="0049322D">
        <w:tc>
          <w:tcPr>
            <w:tcW w:w="2444" w:type="dxa"/>
            <w:vMerge/>
          </w:tcPr>
          <w:p w14:paraId="22394CB5" w14:textId="77777777" w:rsidR="00CA2084" w:rsidRPr="00CC24F5" w:rsidRDefault="00CA2084" w:rsidP="0049322D">
            <w:pPr>
              <w:jc w:val="center"/>
              <w:rPr>
                <w:color w:val="FF0000"/>
              </w:rPr>
            </w:pPr>
          </w:p>
        </w:tc>
        <w:tc>
          <w:tcPr>
            <w:tcW w:w="1864" w:type="dxa"/>
            <w:vMerge/>
          </w:tcPr>
          <w:p w14:paraId="0B407E12" w14:textId="77777777" w:rsidR="00CA2084" w:rsidRDefault="00CA2084" w:rsidP="0049322D">
            <w:pPr>
              <w:jc w:val="center"/>
            </w:pPr>
          </w:p>
        </w:tc>
        <w:tc>
          <w:tcPr>
            <w:tcW w:w="2234" w:type="dxa"/>
          </w:tcPr>
          <w:p w14:paraId="44313981" w14:textId="77777777" w:rsidR="00CA2084" w:rsidRDefault="00CA2084" w:rsidP="0049322D">
            <w:pPr>
              <w:jc w:val="center"/>
            </w:pPr>
            <w:r>
              <w:t>7 years</w:t>
            </w:r>
          </w:p>
        </w:tc>
        <w:tc>
          <w:tcPr>
            <w:tcW w:w="1974" w:type="dxa"/>
          </w:tcPr>
          <w:p w14:paraId="2F77CFD9" w14:textId="77777777" w:rsidR="00CA2084" w:rsidRDefault="00CA2084" w:rsidP="0049322D">
            <w:pPr>
              <w:jc w:val="center"/>
            </w:pPr>
            <w:r>
              <w:t>776</w:t>
            </w:r>
          </w:p>
          <w:p w14:paraId="226D8456" w14:textId="77777777" w:rsidR="00CA2084" w:rsidRDefault="00CA2084" w:rsidP="0049322D">
            <w:pPr>
              <w:jc w:val="center"/>
            </w:pPr>
            <w:r>
              <w:t>(62%)</w:t>
            </w:r>
          </w:p>
        </w:tc>
      </w:tr>
      <w:tr w:rsidR="00CA2084" w14:paraId="38D3466C" w14:textId="77777777" w:rsidTr="0049322D">
        <w:tc>
          <w:tcPr>
            <w:tcW w:w="2444" w:type="dxa"/>
          </w:tcPr>
          <w:p w14:paraId="20C64863" w14:textId="77777777" w:rsidR="00CA2084" w:rsidRPr="00CC24F5" w:rsidRDefault="00CA2084" w:rsidP="0049322D">
            <w:pPr>
              <w:jc w:val="center"/>
              <w:rPr>
                <w:color w:val="FF0000"/>
              </w:rPr>
            </w:pPr>
          </w:p>
        </w:tc>
        <w:tc>
          <w:tcPr>
            <w:tcW w:w="1864" w:type="dxa"/>
          </w:tcPr>
          <w:p w14:paraId="71D3AFDD" w14:textId="77777777" w:rsidR="00CA2084" w:rsidRDefault="00CA2084" w:rsidP="0049322D">
            <w:pPr>
              <w:jc w:val="center"/>
            </w:pPr>
          </w:p>
        </w:tc>
        <w:tc>
          <w:tcPr>
            <w:tcW w:w="2234" w:type="dxa"/>
          </w:tcPr>
          <w:p w14:paraId="610EB070" w14:textId="77777777" w:rsidR="00CA2084" w:rsidRDefault="00CA2084" w:rsidP="0049322D">
            <w:pPr>
              <w:jc w:val="center"/>
            </w:pPr>
          </w:p>
        </w:tc>
        <w:tc>
          <w:tcPr>
            <w:tcW w:w="1974" w:type="dxa"/>
          </w:tcPr>
          <w:p w14:paraId="0B939BF9" w14:textId="77777777" w:rsidR="00CA2084" w:rsidRDefault="00CA2084" w:rsidP="0049322D">
            <w:pPr>
              <w:jc w:val="center"/>
            </w:pPr>
          </w:p>
        </w:tc>
      </w:tr>
      <w:tr w:rsidR="00CA2084" w14:paraId="0126CDCE" w14:textId="77777777" w:rsidTr="0049322D">
        <w:tc>
          <w:tcPr>
            <w:tcW w:w="2444" w:type="dxa"/>
            <w:vMerge w:val="restart"/>
          </w:tcPr>
          <w:p w14:paraId="1C416219" w14:textId="77777777" w:rsidR="00CA2084" w:rsidRPr="003111F3" w:rsidRDefault="00CA2084" w:rsidP="0049322D">
            <w:pPr>
              <w:jc w:val="center"/>
            </w:pPr>
            <w:r w:rsidRPr="003111F3">
              <w:t>Penal Servitude</w:t>
            </w:r>
          </w:p>
          <w:p w14:paraId="135D09CA" w14:textId="591F9FC3" w:rsidR="00CA2084" w:rsidRPr="00CC24F5" w:rsidRDefault="00CA2084" w:rsidP="0049322D">
            <w:pPr>
              <w:jc w:val="center"/>
              <w:rPr>
                <w:color w:val="FF0000"/>
              </w:rPr>
            </w:pPr>
            <w:r w:rsidRPr="003111F3">
              <w:t>(1853-)</w:t>
            </w:r>
            <w:r w:rsidR="00CA7DBE">
              <w:rPr>
                <w:rStyle w:val="FootnoteReference"/>
              </w:rPr>
              <w:footnoteReference w:id="34"/>
            </w:r>
          </w:p>
        </w:tc>
        <w:tc>
          <w:tcPr>
            <w:tcW w:w="1864" w:type="dxa"/>
            <w:vMerge w:val="restart"/>
          </w:tcPr>
          <w:p w14:paraId="734D4067" w14:textId="77777777" w:rsidR="00CA2084" w:rsidRDefault="00CA2084" w:rsidP="0049322D">
            <w:pPr>
              <w:jc w:val="center"/>
            </w:pPr>
            <w:r>
              <w:t>1,469</w:t>
            </w:r>
            <w:r>
              <w:br/>
              <w:t>(6%)</w:t>
            </w:r>
          </w:p>
        </w:tc>
        <w:tc>
          <w:tcPr>
            <w:tcW w:w="2234" w:type="dxa"/>
          </w:tcPr>
          <w:p w14:paraId="75ACAE32" w14:textId="77777777" w:rsidR="00CA2084" w:rsidRDefault="00CA2084" w:rsidP="0049322D">
            <w:pPr>
              <w:jc w:val="center"/>
            </w:pPr>
            <w:r>
              <w:t>Life</w:t>
            </w:r>
          </w:p>
        </w:tc>
        <w:tc>
          <w:tcPr>
            <w:tcW w:w="1974" w:type="dxa"/>
          </w:tcPr>
          <w:p w14:paraId="7CA39AE3" w14:textId="77777777" w:rsidR="00CA2084" w:rsidRDefault="00CA2084" w:rsidP="0049322D">
            <w:pPr>
              <w:jc w:val="center"/>
            </w:pPr>
            <w:r>
              <w:t>16</w:t>
            </w:r>
          </w:p>
          <w:p w14:paraId="2B79F7DE" w14:textId="77777777" w:rsidR="00CA2084" w:rsidRDefault="00CA2084" w:rsidP="0049322D">
            <w:pPr>
              <w:jc w:val="center"/>
            </w:pPr>
            <w:r>
              <w:t>(1%)</w:t>
            </w:r>
          </w:p>
        </w:tc>
      </w:tr>
      <w:tr w:rsidR="00CA2084" w14:paraId="59821645" w14:textId="77777777" w:rsidTr="0049322D">
        <w:tc>
          <w:tcPr>
            <w:tcW w:w="2444" w:type="dxa"/>
            <w:vMerge/>
          </w:tcPr>
          <w:p w14:paraId="48B1F642" w14:textId="77777777" w:rsidR="00CA2084" w:rsidRDefault="00CA2084" w:rsidP="0049322D">
            <w:pPr>
              <w:jc w:val="center"/>
            </w:pPr>
          </w:p>
        </w:tc>
        <w:tc>
          <w:tcPr>
            <w:tcW w:w="1864" w:type="dxa"/>
            <w:vMerge/>
          </w:tcPr>
          <w:p w14:paraId="6E411213" w14:textId="77777777" w:rsidR="00CA2084" w:rsidRDefault="00CA2084" w:rsidP="0049322D">
            <w:pPr>
              <w:jc w:val="center"/>
            </w:pPr>
          </w:p>
        </w:tc>
        <w:tc>
          <w:tcPr>
            <w:tcW w:w="2234" w:type="dxa"/>
          </w:tcPr>
          <w:p w14:paraId="515F4EE0" w14:textId="77777777" w:rsidR="00CA2084" w:rsidRDefault="00CA2084" w:rsidP="0049322D">
            <w:pPr>
              <w:jc w:val="center"/>
            </w:pPr>
            <w:r>
              <w:t>Over 10 years</w:t>
            </w:r>
          </w:p>
        </w:tc>
        <w:tc>
          <w:tcPr>
            <w:tcW w:w="1974" w:type="dxa"/>
          </w:tcPr>
          <w:p w14:paraId="5061B779" w14:textId="77777777" w:rsidR="00CA2084" w:rsidRDefault="00CA2084" w:rsidP="0049322D">
            <w:pPr>
              <w:jc w:val="center"/>
            </w:pPr>
            <w:r>
              <w:t>42</w:t>
            </w:r>
          </w:p>
          <w:p w14:paraId="4FC87D77" w14:textId="77777777" w:rsidR="00CA2084" w:rsidRDefault="00CA2084" w:rsidP="0049322D">
            <w:pPr>
              <w:jc w:val="center"/>
            </w:pPr>
            <w:r>
              <w:t>(3%)</w:t>
            </w:r>
          </w:p>
        </w:tc>
      </w:tr>
      <w:tr w:rsidR="00CA2084" w14:paraId="6FCA4E7F" w14:textId="77777777" w:rsidTr="0049322D">
        <w:tc>
          <w:tcPr>
            <w:tcW w:w="2444" w:type="dxa"/>
            <w:vMerge/>
          </w:tcPr>
          <w:p w14:paraId="6E9D3F50" w14:textId="77777777" w:rsidR="00CA2084" w:rsidRDefault="00CA2084" w:rsidP="0049322D">
            <w:pPr>
              <w:jc w:val="center"/>
            </w:pPr>
          </w:p>
        </w:tc>
        <w:tc>
          <w:tcPr>
            <w:tcW w:w="1864" w:type="dxa"/>
            <w:vMerge/>
          </w:tcPr>
          <w:p w14:paraId="2192CFA2" w14:textId="77777777" w:rsidR="00CA2084" w:rsidRDefault="00CA2084" w:rsidP="0049322D">
            <w:pPr>
              <w:jc w:val="center"/>
            </w:pPr>
          </w:p>
        </w:tc>
        <w:tc>
          <w:tcPr>
            <w:tcW w:w="2234" w:type="dxa"/>
          </w:tcPr>
          <w:p w14:paraId="18343F2A" w14:textId="77777777" w:rsidR="00CA2084" w:rsidRDefault="00CA2084" w:rsidP="0049322D">
            <w:pPr>
              <w:jc w:val="center"/>
            </w:pPr>
            <w:r>
              <w:t>7-10 years</w:t>
            </w:r>
          </w:p>
        </w:tc>
        <w:tc>
          <w:tcPr>
            <w:tcW w:w="1974" w:type="dxa"/>
          </w:tcPr>
          <w:p w14:paraId="2767E269" w14:textId="77777777" w:rsidR="00CA2084" w:rsidRDefault="00CA2084" w:rsidP="0049322D">
            <w:pPr>
              <w:jc w:val="center"/>
            </w:pPr>
            <w:r>
              <w:t>626</w:t>
            </w:r>
          </w:p>
          <w:p w14:paraId="576599CE" w14:textId="77777777" w:rsidR="00CA2084" w:rsidRDefault="00CA2084" w:rsidP="0049322D">
            <w:pPr>
              <w:jc w:val="center"/>
            </w:pPr>
            <w:r>
              <w:t>(43%)</w:t>
            </w:r>
          </w:p>
        </w:tc>
      </w:tr>
      <w:tr w:rsidR="00CA2084" w14:paraId="7D174734" w14:textId="77777777" w:rsidTr="0049322D">
        <w:tc>
          <w:tcPr>
            <w:tcW w:w="2444" w:type="dxa"/>
            <w:vMerge/>
          </w:tcPr>
          <w:p w14:paraId="3F325619" w14:textId="77777777" w:rsidR="00CA2084" w:rsidRDefault="00CA2084" w:rsidP="0049322D">
            <w:pPr>
              <w:jc w:val="center"/>
            </w:pPr>
          </w:p>
        </w:tc>
        <w:tc>
          <w:tcPr>
            <w:tcW w:w="1864" w:type="dxa"/>
            <w:vMerge/>
          </w:tcPr>
          <w:p w14:paraId="091DCF95" w14:textId="77777777" w:rsidR="00CA2084" w:rsidRDefault="00CA2084" w:rsidP="0049322D">
            <w:pPr>
              <w:jc w:val="center"/>
            </w:pPr>
          </w:p>
        </w:tc>
        <w:tc>
          <w:tcPr>
            <w:tcW w:w="2234" w:type="dxa"/>
          </w:tcPr>
          <w:p w14:paraId="57B13A14" w14:textId="77777777" w:rsidR="00CA2084" w:rsidRDefault="00CA2084" w:rsidP="0049322D">
            <w:pPr>
              <w:jc w:val="center"/>
            </w:pPr>
            <w:r>
              <w:t>5-6 years</w:t>
            </w:r>
          </w:p>
        </w:tc>
        <w:tc>
          <w:tcPr>
            <w:tcW w:w="1974" w:type="dxa"/>
          </w:tcPr>
          <w:p w14:paraId="450DFEE3" w14:textId="77777777" w:rsidR="00CA2084" w:rsidRDefault="00CA2084" w:rsidP="0049322D">
            <w:pPr>
              <w:jc w:val="center"/>
            </w:pPr>
            <w:r>
              <w:t>380</w:t>
            </w:r>
          </w:p>
          <w:p w14:paraId="44F81A57" w14:textId="77777777" w:rsidR="00CA2084" w:rsidRDefault="00CA2084" w:rsidP="0049322D">
            <w:pPr>
              <w:jc w:val="center"/>
            </w:pPr>
            <w:r>
              <w:t>(26%)</w:t>
            </w:r>
          </w:p>
        </w:tc>
      </w:tr>
      <w:tr w:rsidR="00CA2084" w14:paraId="236FAC4E" w14:textId="77777777" w:rsidTr="0049322D">
        <w:tc>
          <w:tcPr>
            <w:tcW w:w="2444" w:type="dxa"/>
            <w:vMerge/>
          </w:tcPr>
          <w:p w14:paraId="0113A0A9" w14:textId="77777777" w:rsidR="00CA2084" w:rsidRDefault="00CA2084" w:rsidP="0049322D">
            <w:pPr>
              <w:jc w:val="center"/>
            </w:pPr>
          </w:p>
        </w:tc>
        <w:tc>
          <w:tcPr>
            <w:tcW w:w="1864" w:type="dxa"/>
            <w:vMerge/>
          </w:tcPr>
          <w:p w14:paraId="69073627" w14:textId="77777777" w:rsidR="00CA2084" w:rsidRDefault="00CA2084" w:rsidP="0049322D">
            <w:pPr>
              <w:jc w:val="center"/>
            </w:pPr>
          </w:p>
        </w:tc>
        <w:tc>
          <w:tcPr>
            <w:tcW w:w="2234" w:type="dxa"/>
          </w:tcPr>
          <w:p w14:paraId="54B5704D" w14:textId="77777777" w:rsidR="00CA2084" w:rsidRDefault="00CA2084" w:rsidP="0049322D">
            <w:pPr>
              <w:jc w:val="center"/>
            </w:pPr>
            <w:r>
              <w:t>Less than 5 years</w:t>
            </w:r>
          </w:p>
        </w:tc>
        <w:tc>
          <w:tcPr>
            <w:tcW w:w="1974" w:type="dxa"/>
          </w:tcPr>
          <w:p w14:paraId="4FA2221F" w14:textId="77777777" w:rsidR="00CA2084" w:rsidRDefault="00CA2084" w:rsidP="0049322D">
            <w:pPr>
              <w:jc w:val="center"/>
            </w:pPr>
            <w:r>
              <w:t>405</w:t>
            </w:r>
          </w:p>
          <w:p w14:paraId="1A03EB89" w14:textId="77777777" w:rsidR="00CA2084" w:rsidRDefault="00CA2084" w:rsidP="0049322D">
            <w:pPr>
              <w:jc w:val="center"/>
            </w:pPr>
            <w:r>
              <w:t>(28%)</w:t>
            </w:r>
          </w:p>
        </w:tc>
      </w:tr>
      <w:tr w:rsidR="00CA2084" w14:paraId="1F0B01C9" w14:textId="77777777" w:rsidTr="0049322D">
        <w:tc>
          <w:tcPr>
            <w:tcW w:w="2444" w:type="dxa"/>
          </w:tcPr>
          <w:p w14:paraId="0E31F565" w14:textId="77777777" w:rsidR="00CA2084" w:rsidRDefault="00CA2084" w:rsidP="0049322D">
            <w:pPr>
              <w:jc w:val="center"/>
            </w:pPr>
          </w:p>
        </w:tc>
        <w:tc>
          <w:tcPr>
            <w:tcW w:w="1864" w:type="dxa"/>
          </w:tcPr>
          <w:p w14:paraId="2D9FDAFD" w14:textId="77777777" w:rsidR="00CA2084" w:rsidRDefault="00CA2084" w:rsidP="0049322D">
            <w:pPr>
              <w:jc w:val="center"/>
            </w:pPr>
          </w:p>
        </w:tc>
        <w:tc>
          <w:tcPr>
            <w:tcW w:w="2234" w:type="dxa"/>
          </w:tcPr>
          <w:p w14:paraId="68A0F7B2" w14:textId="77777777" w:rsidR="00CA2084" w:rsidRDefault="00CA2084" w:rsidP="0049322D">
            <w:pPr>
              <w:jc w:val="center"/>
            </w:pPr>
          </w:p>
        </w:tc>
        <w:tc>
          <w:tcPr>
            <w:tcW w:w="1974" w:type="dxa"/>
          </w:tcPr>
          <w:p w14:paraId="024B5510" w14:textId="77777777" w:rsidR="00CA2084" w:rsidRDefault="00CA2084" w:rsidP="0049322D">
            <w:pPr>
              <w:jc w:val="center"/>
            </w:pPr>
          </w:p>
        </w:tc>
      </w:tr>
      <w:tr w:rsidR="00CA2084" w14:paraId="4F165468" w14:textId="77777777" w:rsidTr="0049322D">
        <w:tc>
          <w:tcPr>
            <w:tcW w:w="2444" w:type="dxa"/>
            <w:vMerge w:val="restart"/>
          </w:tcPr>
          <w:p w14:paraId="04502DA1" w14:textId="77777777" w:rsidR="00CA2084" w:rsidRDefault="00CA2084" w:rsidP="0049322D">
            <w:pPr>
              <w:jc w:val="center"/>
            </w:pPr>
            <w:r>
              <w:t>Imprisonment</w:t>
            </w:r>
          </w:p>
        </w:tc>
        <w:tc>
          <w:tcPr>
            <w:tcW w:w="1864" w:type="dxa"/>
            <w:vMerge w:val="restart"/>
          </w:tcPr>
          <w:p w14:paraId="12F3270C" w14:textId="77777777" w:rsidR="00CA2084" w:rsidRDefault="00CA2084" w:rsidP="0049322D">
            <w:pPr>
              <w:jc w:val="center"/>
            </w:pPr>
            <w:r>
              <w:t>21,641</w:t>
            </w:r>
            <w:r>
              <w:br/>
              <w:t>(86%)</w:t>
            </w:r>
          </w:p>
        </w:tc>
        <w:tc>
          <w:tcPr>
            <w:tcW w:w="2234" w:type="dxa"/>
          </w:tcPr>
          <w:p w14:paraId="152DBB9F" w14:textId="77777777" w:rsidR="00CA2084" w:rsidRDefault="00CA2084" w:rsidP="0049322D">
            <w:pPr>
              <w:jc w:val="center"/>
            </w:pPr>
            <w:r>
              <w:t>Over 24 months</w:t>
            </w:r>
          </w:p>
        </w:tc>
        <w:tc>
          <w:tcPr>
            <w:tcW w:w="1974" w:type="dxa"/>
          </w:tcPr>
          <w:p w14:paraId="16838873" w14:textId="77777777" w:rsidR="00CA2084" w:rsidRDefault="00CA2084" w:rsidP="0049322D">
            <w:pPr>
              <w:jc w:val="center"/>
            </w:pPr>
            <w:r>
              <w:t>3</w:t>
            </w:r>
            <w:r>
              <w:br/>
              <w:t>(&lt;1%)</w:t>
            </w:r>
          </w:p>
        </w:tc>
      </w:tr>
      <w:tr w:rsidR="00CA2084" w14:paraId="0D24497B" w14:textId="77777777" w:rsidTr="0049322D">
        <w:tc>
          <w:tcPr>
            <w:tcW w:w="2444" w:type="dxa"/>
            <w:vMerge/>
          </w:tcPr>
          <w:p w14:paraId="26B0EF34" w14:textId="77777777" w:rsidR="00CA2084" w:rsidRDefault="00CA2084" w:rsidP="0049322D">
            <w:pPr>
              <w:jc w:val="center"/>
            </w:pPr>
          </w:p>
        </w:tc>
        <w:tc>
          <w:tcPr>
            <w:tcW w:w="1864" w:type="dxa"/>
            <w:vMerge/>
          </w:tcPr>
          <w:p w14:paraId="6CD55410" w14:textId="77777777" w:rsidR="00CA2084" w:rsidRDefault="00CA2084" w:rsidP="0049322D">
            <w:pPr>
              <w:jc w:val="center"/>
            </w:pPr>
          </w:p>
        </w:tc>
        <w:tc>
          <w:tcPr>
            <w:tcW w:w="2234" w:type="dxa"/>
          </w:tcPr>
          <w:p w14:paraId="4F06D02A" w14:textId="77777777" w:rsidR="00CA2084" w:rsidRDefault="00CA2084" w:rsidP="0049322D">
            <w:pPr>
              <w:jc w:val="center"/>
            </w:pPr>
            <w:r>
              <w:t>13-24 months</w:t>
            </w:r>
          </w:p>
        </w:tc>
        <w:tc>
          <w:tcPr>
            <w:tcW w:w="1974" w:type="dxa"/>
          </w:tcPr>
          <w:p w14:paraId="536CB9E4" w14:textId="77777777" w:rsidR="00CA2084" w:rsidRDefault="00CA2084" w:rsidP="0049322D">
            <w:pPr>
              <w:jc w:val="center"/>
            </w:pPr>
            <w:r>
              <w:t>851</w:t>
            </w:r>
            <w:r>
              <w:br/>
              <w:t>(4%)</w:t>
            </w:r>
          </w:p>
        </w:tc>
      </w:tr>
      <w:tr w:rsidR="00CA2084" w14:paraId="6BC21192" w14:textId="77777777" w:rsidTr="0049322D">
        <w:tc>
          <w:tcPr>
            <w:tcW w:w="2444" w:type="dxa"/>
            <w:vMerge/>
          </w:tcPr>
          <w:p w14:paraId="4423AB81" w14:textId="77777777" w:rsidR="00CA2084" w:rsidRDefault="00CA2084" w:rsidP="0049322D">
            <w:pPr>
              <w:jc w:val="center"/>
            </w:pPr>
          </w:p>
        </w:tc>
        <w:tc>
          <w:tcPr>
            <w:tcW w:w="1864" w:type="dxa"/>
            <w:vMerge/>
          </w:tcPr>
          <w:p w14:paraId="27775A11" w14:textId="77777777" w:rsidR="00CA2084" w:rsidRDefault="00CA2084" w:rsidP="0049322D">
            <w:pPr>
              <w:jc w:val="center"/>
            </w:pPr>
          </w:p>
        </w:tc>
        <w:tc>
          <w:tcPr>
            <w:tcW w:w="2234" w:type="dxa"/>
          </w:tcPr>
          <w:p w14:paraId="28C70EBA" w14:textId="77777777" w:rsidR="00CA2084" w:rsidRDefault="00CA2084" w:rsidP="0049322D">
            <w:pPr>
              <w:jc w:val="center"/>
            </w:pPr>
            <w:r>
              <w:t>7-12 months</w:t>
            </w:r>
          </w:p>
        </w:tc>
        <w:tc>
          <w:tcPr>
            <w:tcW w:w="1974" w:type="dxa"/>
          </w:tcPr>
          <w:p w14:paraId="778CB329" w14:textId="77777777" w:rsidR="00CA2084" w:rsidRDefault="00CA2084" w:rsidP="0049322D">
            <w:pPr>
              <w:jc w:val="center"/>
            </w:pPr>
            <w:r>
              <w:t>3,515</w:t>
            </w:r>
            <w:r>
              <w:br/>
              <w:t>(16%)</w:t>
            </w:r>
          </w:p>
        </w:tc>
      </w:tr>
      <w:tr w:rsidR="00CA2084" w14:paraId="7703C6D6" w14:textId="77777777" w:rsidTr="0049322D">
        <w:tc>
          <w:tcPr>
            <w:tcW w:w="2444" w:type="dxa"/>
            <w:vMerge/>
          </w:tcPr>
          <w:p w14:paraId="0F28FA9D" w14:textId="77777777" w:rsidR="00CA2084" w:rsidRDefault="00CA2084" w:rsidP="0049322D">
            <w:pPr>
              <w:jc w:val="center"/>
            </w:pPr>
          </w:p>
        </w:tc>
        <w:tc>
          <w:tcPr>
            <w:tcW w:w="1864" w:type="dxa"/>
            <w:vMerge/>
          </w:tcPr>
          <w:p w14:paraId="32231428" w14:textId="77777777" w:rsidR="00CA2084" w:rsidRDefault="00CA2084" w:rsidP="0049322D">
            <w:pPr>
              <w:jc w:val="center"/>
            </w:pPr>
          </w:p>
        </w:tc>
        <w:tc>
          <w:tcPr>
            <w:tcW w:w="2234" w:type="dxa"/>
          </w:tcPr>
          <w:p w14:paraId="06C90213" w14:textId="77777777" w:rsidR="00CA2084" w:rsidRDefault="00CA2084" w:rsidP="0049322D">
            <w:pPr>
              <w:jc w:val="center"/>
            </w:pPr>
            <w:r>
              <w:t>4-6 months</w:t>
            </w:r>
          </w:p>
        </w:tc>
        <w:tc>
          <w:tcPr>
            <w:tcW w:w="1974" w:type="dxa"/>
          </w:tcPr>
          <w:p w14:paraId="68614793" w14:textId="77777777" w:rsidR="00CA2084" w:rsidRDefault="00CA2084" w:rsidP="0049322D">
            <w:pPr>
              <w:jc w:val="center"/>
            </w:pPr>
            <w:r>
              <w:t>6,765</w:t>
            </w:r>
            <w:r>
              <w:br/>
              <w:t>(31%)</w:t>
            </w:r>
          </w:p>
        </w:tc>
      </w:tr>
      <w:tr w:rsidR="00CA2084" w14:paraId="5FC1685F" w14:textId="77777777" w:rsidTr="0049322D">
        <w:tc>
          <w:tcPr>
            <w:tcW w:w="2444" w:type="dxa"/>
            <w:vMerge/>
          </w:tcPr>
          <w:p w14:paraId="66F00A48" w14:textId="77777777" w:rsidR="00CA2084" w:rsidRDefault="00CA2084" w:rsidP="0049322D">
            <w:pPr>
              <w:jc w:val="center"/>
            </w:pPr>
          </w:p>
        </w:tc>
        <w:tc>
          <w:tcPr>
            <w:tcW w:w="1864" w:type="dxa"/>
            <w:vMerge/>
          </w:tcPr>
          <w:p w14:paraId="21C766D1" w14:textId="77777777" w:rsidR="00CA2084" w:rsidRDefault="00CA2084" w:rsidP="0049322D">
            <w:pPr>
              <w:jc w:val="center"/>
            </w:pPr>
          </w:p>
        </w:tc>
        <w:tc>
          <w:tcPr>
            <w:tcW w:w="2234" w:type="dxa"/>
          </w:tcPr>
          <w:p w14:paraId="79C020A9" w14:textId="77777777" w:rsidR="00CA2084" w:rsidRDefault="00CA2084" w:rsidP="0049322D">
            <w:pPr>
              <w:jc w:val="center"/>
            </w:pPr>
            <w:r>
              <w:t>2-3 months</w:t>
            </w:r>
          </w:p>
        </w:tc>
        <w:tc>
          <w:tcPr>
            <w:tcW w:w="1974" w:type="dxa"/>
          </w:tcPr>
          <w:p w14:paraId="5AB1F133" w14:textId="77777777" w:rsidR="00CA2084" w:rsidRDefault="00CA2084" w:rsidP="0049322D">
            <w:pPr>
              <w:jc w:val="center"/>
            </w:pPr>
            <w:r>
              <w:t>6,744</w:t>
            </w:r>
          </w:p>
          <w:p w14:paraId="777F0A77" w14:textId="77777777" w:rsidR="00CA2084" w:rsidRDefault="00CA2084" w:rsidP="0049322D">
            <w:pPr>
              <w:jc w:val="center"/>
            </w:pPr>
            <w:r>
              <w:t>(31%)</w:t>
            </w:r>
          </w:p>
        </w:tc>
      </w:tr>
      <w:tr w:rsidR="00CA2084" w14:paraId="24EE88DB" w14:textId="77777777" w:rsidTr="0049322D">
        <w:tc>
          <w:tcPr>
            <w:tcW w:w="2444" w:type="dxa"/>
            <w:vMerge/>
          </w:tcPr>
          <w:p w14:paraId="19CDE925" w14:textId="77777777" w:rsidR="00CA2084" w:rsidRDefault="00CA2084" w:rsidP="0049322D">
            <w:pPr>
              <w:jc w:val="center"/>
            </w:pPr>
          </w:p>
        </w:tc>
        <w:tc>
          <w:tcPr>
            <w:tcW w:w="1864" w:type="dxa"/>
            <w:vMerge/>
          </w:tcPr>
          <w:p w14:paraId="0B75E1BF" w14:textId="77777777" w:rsidR="00CA2084" w:rsidRDefault="00CA2084" w:rsidP="0049322D">
            <w:pPr>
              <w:jc w:val="center"/>
            </w:pPr>
          </w:p>
        </w:tc>
        <w:tc>
          <w:tcPr>
            <w:tcW w:w="2234" w:type="dxa"/>
          </w:tcPr>
          <w:p w14:paraId="446223CB" w14:textId="77777777" w:rsidR="00CA2084" w:rsidRDefault="00CA2084" w:rsidP="0049322D">
            <w:pPr>
              <w:jc w:val="center"/>
            </w:pPr>
            <w:r>
              <w:t>Less than 1 month</w:t>
            </w:r>
          </w:p>
        </w:tc>
        <w:tc>
          <w:tcPr>
            <w:tcW w:w="1974" w:type="dxa"/>
          </w:tcPr>
          <w:p w14:paraId="0404008F" w14:textId="77777777" w:rsidR="00CA2084" w:rsidRDefault="00CA2084" w:rsidP="0049322D">
            <w:pPr>
              <w:jc w:val="center"/>
            </w:pPr>
            <w:r>
              <w:t>3,763</w:t>
            </w:r>
          </w:p>
          <w:p w14:paraId="28963150" w14:textId="77777777" w:rsidR="00CA2084" w:rsidRDefault="00CA2084" w:rsidP="0049322D">
            <w:pPr>
              <w:jc w:val="center"/>
            </w:pPr>
            <w:r>
              <w:t>(17%)</w:t>
            </w:r>
          </w:p>
        </w:tc>
      </w:tr>
      <w:tr w:rsidR="00CA2084" w14:paraId="4474FCA3" w14:textId="77777777" w:rsidTr="0049322D">
        <w:tc>
          <w:tcPr>
            <w:tcW w:w="2444" w:type="dxa"/>
          </w:tcPr>
          <w:p w14:paraId="6E04F546" w14:textId="77777777" w:rsidR="00CA2084" w:rsidRDefault="00CA2084" w:rsidP="0049322D">
            <w:pPr>
              <w:jc w:val="center"/>
            </w:pPr>
          </w:p>
        </w:tc>
        <w:tc>
          <w:tcPr>
            <w:tcW w:w="1864" w:type="dxa"/>
          </w:tcPr>
          <w:p w14:paraId="4F4275B7" w14:textId="77777777" w:rsidR="00CA2084" w:rsidRDefault="00CA2084" w:rsidP="0049322D">
            <w:pPr>
              <w:jc w:val="center"/>
            </w:pPr>
          </w:p>
        </w:tc>
        <w:tc>
          <w:tcPr>
            <w:tcW w:w="2234" w:type="dxa"/>
          </w:tcPr>
          <w:p w14:paraId="43AACDEA" w14:textId="77777777" w:rsidR="00CA2084" w:rsidRDefault="00CA2084" w:rsidP="0049322D">
            <w:pPr>
              <w:jc w:val="center"/>
            </w:pPr>
          </w:p>
        </w:tc>
        <w:tc>
          <w:tcPr>
            <w:tcW w:w="1974" w:type="dxa"/>
          </w:tcPr>
          <w:p w14:paraId="0AAA5B15" w14:textId="77777777" w:rsidR="00CA2084" w:rsidRDefault="00CA2084" w:rsidP="0049322D">
            <w:pPr>
              <w:jc w:val="center"/>
            </w:pPr>
          </w:p>
        </w:tc>
      </w:tr>
      <w:tr w:rsidR="00CA2084" w14:paraId="32D8465E" w14:textId="77777777" w:rsidTr="0049322D">
        <w:tc>
          <w:tcPr>
            <w:tcW w:w="2444" w:type="dxa"/>
            <w:vMerge w:val="restart"/>
          </w:tcPr>
          <w:p w14:paraId="570CC20B" w14:textId="77777777" w:rsidR="00CA2084" w:rsidRDefault="00CA2084" w:rsidP="0049322D">
            <w:pPr>
              <w:jc w:val="center"/>
            </w:pPr>
            <w:r>
              <w:t>Other</w:t>
            </w:r>
          </w:p>
        </w:tc>
        <w:tc>
          <w:tcPr>
            <w:tcW w:w="1864" w:type="dxa"/>
            <w:vMerge w:val="restart"/>
          </w:tcPr>
          <w:p w14:paraId="1F7D0F1E" w14:textId="77777777" w:rsidR="00CA2084" w:rsidRDefault="00CA2084" w:rsidP="0049322D">
            <w:pPr>
              <w:jc w:val="center"/>
            </w:pPr>
            <w:r>
              <w:t>633</w:t>
            </w:r>
            <w:r>
              <w:br/>
              <w:t>(3%)</w:t>
            </w:r>
          </w:p>
        </w:tc>
        <w:tc>
          <w:tcPr>
            <w:tcW w:w="2234" w:type="dxa"/>
          </w:tcPr>
          <w:p w14:paraId="1BB9B3B0" w14:textId="77777777" w:rsidR="00CA2084" w:rsidRDefault="00CA2084" w:rsidP="0049322D">
            <w:pPr>
              <w:jc w:val="center"/>
            </w:pPr>
            <w:r>
              <w:t>Other</w:t>
            </w:r>
          </w:p>
        </w:tc>
        <w:tc>
          <w:tcPr>
            <w:tcW w:w="1974" w:type="dxa"/>
          </w:tcPr>
          <w:p w14:paraId="3E2F2CD9" w14:textId="77777777" w:rsidR="00CA2084" w:rsidRDefault="00CA2084" w:rsidP="0049322D">
            <w:pPr>
              <w:jc w:val="center"/>
            </w:pPr>
            <w:r>
              <w:t>361</w:t>
            </w:r>
            <w:r>
              <w:br/>
              <w:t>(57%)</w:t>
            </w:r>
          </w:p>
        </w:tc>
      </w:tr>
      <w:tr w:rsidR="00CA2084" w14:paraId="4D043942" w14:textId="77777777" w:rsidTr="0049322D">
        <w:tc>
          <w:tcPr>
            <w:tcW w:w="2444" w:type="dxa"/>
            <w:vMerge/>
          </w:tcPr>
          <w:p w14:paraId="2E104D34" w14:textId="77777777" w:rsidR="00CA2084" w:rsidRDefault="00CA2084" w:rsidP="0049322D">
            <w:pPr>
              <w:jc w:val="center"/>
            </w:pPr>
          </w:p>
        </w:tc>
        <w:tc>
          <w:tcPr>
            <w:tcW w:w="1864" w:type="dxa"/>
            <w:vMerge/>
          </w:tcPr>
          <w:p w14:paraId="426EA18D" w14:textId="77777777" w:rsidR="00CA2084" w:rsidRDefault="00CA2084" w:rsidP="0049322D">
            <w:pPr>
              <w:jc w:val="center"/>
            </w:pPr>
          </w:p>
        </w:tc>
        <w:tc>
          <w:tcPr>
            <w:tcW w:w="2234" w:type="dxa"/>
          </w:tcPr>
          <w:p w14:paraId="29387A03" w14:textId="77777777" w:rsidR="00CA2084" w:rsidRPr="00D97F54" w:rsidRDefault="00CA2084" w:rsidP="0049322D">
            <w:pPr>
              <w:jc w:val="center"/>
            </w:pPr>
            <w:r w:rsidRPr="00D97F54">
              <w:t>Reformatory School</w:t>
            </w:r>
            <w:r w:rsidRPr="00D97F54">
              <w:br/>
              <w:t>(1856-)</w:t>
            </w:r>
          </w:p>
        </w:tc>
        <w:tc>
          <w:tcPr>
            <w:tcW w:w="1974" w:type="dxa"/>
          </w:tcPr>
          <w:p w14:paraId="76AD8C1E" w14:textId="77777777" w:rsidR="00CA2084" w:rsidRDefault="00CA2084" w:rsidP="0049322D">
            <w:pPr>
              <w:jc w:val="center"/>
            </w:pPr>
            <w:r>
              <w:t>272</w:t>
            </w:r>
          </w:p>
          <w:p w14:paraId="7AE56297" w14:textId="77777777" w:rsidR="00CA2084" w:rsidRDefault="00CA2084" w:rsidP="0049322D">
            <w:pPr>
              <w:jc w:val="center"/>
            </w:pPr>
            <w:r>
              <w:t>(43%)</w:t>
            </w:r>
          </w:p>
        </w:tc>
      </w:tr>
      <w:tr w:rsidR="00CA2084" w14:paraId="25E1FFEB" w14:textId="77777777" w:rsidTr="0049322D">
        <w:tc>
          <w:tcPr>
            <w:tcW w:w="2444" w:type="dxa"/>
          </w:tcPr>
          <w:p w14:paraId="3615834D" w14:textId="77777777" w:rsidR="00CA2084" w:rsidRPr="007F77BC" w:rsidRDefault="00CA2084" w:rsidP="0049322D">
            <w:pPr>
              <w:jc w:val="right"/>
              <w:rPr>
                <w:b/>
              </w:rPr>
            </w:pPr>
            <w:r w:rsidRPr="007F77BC">
              <w:rPr>
                <w:b/>
              </w:rPr>
              <w:t>Total</w:t>
            </w:r>
          </w:p>
        </w:tc>
        <w:tc>
          <w:tcPr>
            <w:tcW w:w="6072" w:type="dxa"/>
            <w:gridSpan w:val="3"/>
          </w:tcPr>
          <w:p w14:paraId="725AF125" w14:textId="77777777" w:rsidR="00CA2084" w:rsidRDefault="00CA2084" w:rsidP="0049322D">
            <w:pPr>
              <w:jc w:val="center"/>
            </w:pPr>
            <w:r>
              <w:t>25,058</w:t>
            </w:r>
            <w:r>
              <w:rPr>
                <w:rStyle w:val="FootnoteReference"/>
              </w:rPr>
              <w:footnoteReference w:id="35"/>
            </w:r>
            <w:r>
              <w:br/>
              <w:t>(100%)</w:t>
            </w:r>
          </w:p>
        </w:tc>
      </w:tr>
    </w:tbl>
    <w:p w14:paraId="6A23AE5D" w14:textId="77777777" w:rsidR="00CA2084" w:rsidRPr="00834D78" w:rsidRDefault="00CA2084" w:rsidP="00225D5D">
      <w:pPr>
        <w:jc w:val="both"/>
        <w:rPr>
          <w:rFonts w:ascii="Times New Roman" w:eastAsia="Times New Roman" w:hAnsi="Times New Roman" w:cs="Times New Roman"/>
          <w:sz w:val="20"/>
          <w:szCs w:val="20"/>
          <w:lang w:val="en-GB"/>
        </w:rPr>
      </w:pPr>
      <w:r w:rsidRPr="00834D78">
        <w:rPr>
          <w:b/>
        </w:rPr>
        <w:t>Figure 8:</w:t>
      </w:r>
      <w:r w:rsidRPr="00834D78">
        <w:t xml:space="preserve"> the sentences passed at Assizes and Quarter Sessions in Cheshire, 1840 and 1890.</w:t>
      </w:r>
      <w:r>
        <w:rPr>
          <w:rStyle w:val="FootnoteReference"/>
        </w:rPr>
        <w:footnoteReference w:id="36"/>
      </w:r>
    </w:p>
    <w:p w14:paraId="125A461A" w14:textId="77777777" w:rsidR="00CA2084" w:rsidRPr="001C4836" w:rsidRDefault="00CA2084" w:rsidP="00225D5D">
      <w:pPr>
        <w:spacing w:line="360" w:lineRule="auto"/>
        <w:rPr>
          <w:b/>
        </w:rPr>
      </w:pPr>
    </w:p>
    <w:p w14:paraId="56EAF96E" w14:textId="6B1C5AAA" w:rsidR="00CA2084" w:rsidRDefault="00CA2084" w:rsidP="00664A10">
      <w:pPr>
        <w:spacing w:line="360" w:lineRule="auto"/>
        <w:jc w:val="both"/>
      </w:pPr>
      <w:r>
        <w:t xml:space="preserve">The second half of the nineteenth century witnessed huge changes in the regime of criminal punishments in England and Wales. By the early 1840s, the so-called Bloody Code of the long eighteenth century had been rolled back, effectively leaving murder alone as the sole capital offence on the statute book. Similarly, by the late 1860s, transportation to the antipodes had been replaced by the system of penal servitude, where convicted criminals served their sentence in England working on public works before, if they had earned remission, </w:t>
      </w:r>
      <w:r w:rsidR="007F13F5">
        <w:rPr>
          <w:color w:val="FF0000"/>
        </w:rPr>
        <w:t>being</w:t>
      </w:r>
      <w:r w:rsidR="00421AC4">
        <w:t xml:space="preserve"> </w:t>
      </w:r>
      <w:r>
        <w:t>release</w:t>
      </w:r>
      <w:r w:rsidR="00421AC4" w:rsidRPr="00421AC4">
        <w:rPr>
          <w:color w:val="FF0000"/>
        </w:rPr>
        <w:t>d</w:t>
      </w:r>
      <w:r>
        <w:t xml:space="preserve"> on </w:t>
      </w:r>
      <w:proofErr w:type="spellStart"/>
      <w:r>
        <w:t>licence</w:t>
      </w:r>
      <w:proofErr w:type="spellEnd"/>
      <w:r>
        <w:t>. The 1850s and 1860s also saw the emergence of Reformatory Schools and Industrial Schools to tackle what contemporaries perceived as the growing problem of juvenile crime and delinquency. Finally, throughout the period there was growing experimentation with prison regimes – most notably the separate and silent systems – that aimed to reform, rather than just incarcerate, those who found themselves within their walls.</w:t>
      </w:r>
      <w:r>
        <w:rPr>
          <w:rStyle w:val="FootnoteReference"/>
        </w:rPr>
        <w:footnoteReference w:id="37"/>
      </w:r>
      <w:r>
        <w:t xml:space="preserve">  </w:t>
      </w:r>
    </w:p>
    <w:p w14:paraId="51302F71" w14:textId="77777777" w:rsidR="00CA2084" w:rsidRDefault="00CA2084" w:rsidP="00664A10">
      <w:pPr>
        <w:spacing w:line="360" w:lineRule="auto"/>
        <w:jc w:val="both"/>
      </w:pPr>
    </w:p>
    <w:p w14:paraId="6185D373" w14:textId="0D546CB2" w:rsidR="00CA2084" w:rsidRPr="00401455" w:rsidRDefault="00CA2084" w:rsidP="00421AC4">
      <w:pPr>
        <w:spacing w:line="360" w:lineRule="auto"/>
        <w:jc w:val="both"/>
        <w:rPr>
          <w:color w:val="FF0000"/>
        </w:rPr>
      </w:pPr>
      <w:r>
        <w:tab/>
      </w:r>
      <w:r w:rsidRPr="00010769">
        <w:t>The majority of those convicted at assizes and quarter sessions across England and Wales between 1840 and 1890 were sentenced to a period of imprisonment (78%), most commonly for less than six months (70% of those receiving a sentence of imprisonment).</w:t>
      </w:r>
      <w:r w:rsidRPr="006D788C">
        <w:rPr>
          <w:color w:val="FF0000"/>
        </w:rPr>
        <w:t xml:space="preserve"> </w:t>
      </w:r>
      <w:r w:rsidRPr="00010769">
        <w:t>Between 1840 and 1857, some 52,500 persons (6%) were sentenced to a period of transportation,</w:t>
      </w:r>
      <w:r w:rsidRPr="006D788C">
        <w:rPr>
          <w:color w:val="FF0000"/>
        </w:rPr>
        <w:t xml:space="preserve"> </w:t>
      </w:r>
      <w:r w:rsidR="0087488A">
        <w:rPr>
          <w:color w:val="FF0000"/>
        </w:rPr>
        <w:t>although</w:t>
      </w:r>
      <w:r w:rsidR="00421AC4">
        <w:rPr>
          <w:color w:val="FF0000"/>
        </w:rPr>
        <w:t>, as noted above,</w:t>
      </w:r>
      <w:r w:rsidR="0087488A">
        <w:rPr>
          <w:color w:val="FF0000"/>
        </w:rPr>
        <w:t xml:space="preserve"> by this period a significant majority </w:t>
      </w:r>
      <w:r w:rsidR="00421AC4">
        <w:rPr>
          <w:color w:val="FF0000"/>
        </w:rPr>
        <w:t xml:space="preserve">would have served part of their </w:t>
      </w:r>
      <w:r w:rsidR="00421AC4">
        <w:rPr>
          <w:color w:val="FF0000"/>
        </w:rPr>
        <w:lastRenderedPageBreak/>
        <w:t xml:space="preserve">sentence in a convict prison and part out on </w:t>
      </w:r>
      <w:proofErr w:type="spellStart"/>
      <w:r w:rsidR="00421AC4">
        <w:rPr>
          <w:color w:val="FF0000"/>
        </w:rPr>
        <w:t>licence</w:t>
      </w:r>
      <w:proofErr w:type="spellEnd"/>
      <w:r w:rsidR="0087488A">
        <w:rPr>
          <w:color w:val="FF0000"/>
        </w:rPr>
        <w:t>.</w:t>
      </w:r>
      <w:r w:rsidR="00401455">
        <w:rPr>
          <w:rStyle w:val="FootnoteReference"/>
          <w:color w:val="FF0000"/>
        </w:rPr>
        <w:footnoteReference w:id="38"/>
      </w:r>
      <w:r w:rsidR="00401455">
        <w:rPr>
          <w:color w:val="FF0000"/>
        </w:rPr>
        <w:t xml:space="preserve"> </w:t>
      </w:r>
      <w:r w:rsidRPr="00010769">
        <w:t>Some 64,969 persons were sentenced to a period of penal servitude between 1853 and the end of the period (8%),</w:t>
      </w:r>
      <w:r w:rsidRPr="006D788C">
        <w:rPr>
          <w:color w:val="FF0000"/>
        </w:rPr>
        <w:t xml:space="preserve"> </w:t>
      </w:r>
      <w:r w:rsidRPr="00010769">
        <w:t>with just under a third receiving a sentence of less than ten years (32%).</w:t>
      </w:r>
      <w:r w:rsidRPr="006D788C">
        <w:rPr>
          <w:color w:val="FF0000"/>
        </w:rPr>
        <w:t xml:space="preserve"> </w:t>
      </w:r>
      <w:r w:rsidRPr="008754EB">
        <w:t>Just over 2% of those convicted were sentenced to be whipped or fined (17,387), while fewer than one in a hundred were sent to a Reformatory School (6,760 persons) or received a death sentence (2,190 persons).</w:t>
      </w:r>
      <w:r>
        <w:t xml:space="preserve"> These patterns were largely replicated across Cheshire. Over the period, 86% of those convicted in assizes and quarter sessions received a sentence of imprisonment, again most likely for a period of six months or less (80%). Sentences of penal servitude and transportation were also passed respectively on 6% and 5% of convicted persons, while, again, fewer than one in a hundred received a death sentence (55 persons). Of those who thus convicted, only fifteen (27%) expiated for their offence on the gallows.</w:t>
      </w:r>
    </w:p>
    <w:p w14:paraId="3D1750E0" w14:textId="77777777" w:rsidR="00CA2084" w:rsidRDefault="00CA2084" w:rsidP="00E93323">
      <w:pPr>
        <w:spacing w:line="360" w:lineRule="auto"/>
        <w:jc w:val="both"/>
      </w:pPr>
    </w:p>
    <w:p w14:paraId="4EFA89B0" w14:textId="77777777" w:rsidR="00CA2084" w:rsidRDefault="00CA2084" w:rsidP="00E93323">
      <w:pPr>
        <w:spacing w:line="360" w:lineRule="auto"/>
        <w:jc w:val="both"/>
      </w:pPr>
    </w:p>
    <w:p w14:paraId="3D3A9715" w14:textId="31493012" w:rsidR="00CA2084" w:rsidRDefault="00CA2084" w:rsidP="00E93323">
      <w:pPr>
        <w:spacing w:line="360" w:lineRule="auto"/>
        <w:jc w:val="both"/>
        <w:rPr>
          <w:b/>
        </w:rPr>
      </w:pPr>
      <w:r w:rsidRPr="000147E8">
        <w:rPr>
          <w:b/>
        </w:rPr>
        <w:t>Sex, Crime and Justice</w:t>
      </w:r>
    </w:p>
    <w:p w14:paraId="14CF6CED" w14:textId="77777777" w:rsidR="00CA2084" w:rsidRPr="000147E8" w:rsidRDefault="00CA2084" w:rsidP="00E93323">
      <w:pPr>
        <w:spacing w:line="360" w:lineRule="auto"/>
        <w:jc w:val="both"/>
        <w:rPr>
          <w:b/>
        </w:rPr>
      </w:pPr>
    </w:p>
    <w:p w14:paraId="2A43BED9" w14:textId="77777777" w:rsidR="00CA2084" w:rsidRDefault="00CA2084" w:rsidP="00E93323">
      <w:pPr>
        <w:spacing w:line="360" w:lineRule="auto"/>
        <w:jc w:val="both"/>
      </w:pPr>
    </w:p>
    <w:p w14:paraId="4D18E11F" w14:textId="155E0D91" w:rsidR="00CA2084" w:rsidRDefault="00CA2084" w:rsidP="00E93323">
      <w:pPr>
        <w:spacing w:line="360" w:lineRule="auto"/>
        <w:jc w:val="both"/>
      </w:pPr>
      <w:r>
        <w:t xml:space="preserve">Not surprisingly, males comprised the majority of those committed for trial across England and Wales during the period. Between 1840 and 1890, males comprised 80% and 78% of those committed for trial nationally and in Cheshire respectively. </w:t>
      </w:r>
      <w:r w:rsidRPr="004E31CA">
        <w:t xml:space="preserve">This was slightly lower than the 86% of males committed for trial at the Old Bailey over the same period, as well as the 85% </w:t>
      </w:r>
      <w:r w:rsidR="004454BA" w:rsidRPr="004454BA">
        <w:rPr>
          <w:color w:val="FF0000"/>
        </w:rPr>
        <w:t>committed</w:t>
      </w:r>
      <w:r w:rsidR="004454BA">
        <w:t xml:space="preserve"> </w:t>
      </w:r>
      <w:r w:rsidRPr="004E31CA">
        <w:t>in Kent between 1859 and 1880.</w:t>
      </w:r>
      <w:r w:rsidRPr="00AE5204">
        <w:rPr>
          <w:color w:val="FF0000"/>
        </w:rPr>
        <w:t xml:space="preserve"> </w:t>
      </w:r>
      <w:r w:rsidRPr="00AE5204">
        <w:t>It was, however, slightly higher than the percentage committed in the Black Country between 1835 and 1860 (74%).</w:t>
      </w:r>
      <w:r w:rsidRPr="00AE5204">
        <w:rPr>
          <w:rStyle w:val="FootnoteReference"/>
        </w:rPr>
        <w:footnoteReference w:id="39"/>
      </w:r>
      <w:r>
        <w:t xml:space="preserve"> Across the county, males comprised 77% and 74% of those committed for trial at county and city quarter sessions respectively, as well as 87% of those committed for trial at county assizes. </w:t>
      </w:r>
      <w:r>
        <w:lastRenderedPageBreak/>
        <w:t xml:space="preserve">However, as can be seen in figure 9, the pattern of committals by sex changed somewhat over the period: </w:t>
      </w:r>
    </w:p>
    <w:p w14:paraId="1052BDE7" w14:textId="77777777" w:rsidR="00CA2084" w:rsidRDefault="00CA2084" w:rsidP="00E93323">
      <w:pPr>
        <w:spacing w:line="360" w:lineRule="auto"/>
        <w:jc w:val="both"/>
      </w:pPr>
    </w:p>
    <w:p w14:paraId="31131EBC" w14:textId="77777777" w:rsidR="00CA2084" w:rsidRPr="00897A4F" w:rsidRDefault="00CA2084" w:rsidP="00225D5D">
      <w:pPr>
        <w:jc w:val="both"/>
        <w:rPr>
          <w:color w:val="FF0000"/>
        </w:rPr>
      </w:pPr>
      <w:r>
        <w:rPr>
          <w:noProof/>
          <w:color w:val="FF0000"/>
        </w:rPr>
        <w:drawing>
          <wp:inline distT="0" distB="0" distL="0" distR="0" wp14:anchorId="15BE1B22" wp14:editId="3923A3D2">
            <wp:extent cx="5270500" cy="3074670"/>
            <wp:effectExtent l="0" t="0" r="12700"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8EE398" w14:textId="77777777" w:rsidR="00CA2084" w:rsidRPr="00834D78" w:rsidRDefault="00CA2084" w:rsidP="00225D5D">
      <w:pPr>
        <w:jc w:val="both"/>
      </w:pPr>
      <w:r w:rsidRPr="00834D78">
        <w:rPr>
          <w:b/>
        </w:rPr>
        <w:t>Figure 9:</w:t>
      </w:r>
      <w:r w:rsidRPr="00834D78">
        <w:t xml:space="preserve"> The percentage of females committed for trial at Assizes and Quarter Sessions in Cheshire, at the Old Bailey, and across England and Wales, 1840-90.</w:t>
      </w:r>
      <w:r w:rsidRPr="00834D78">
        <w:rPr>
          <w:rStyle w:val="FootnoteReference"/>
        </w:rPr>
        <w:footnoteReference w:id="40"/>
      </w:r>
    </w:p>
    <w:p w14:paraId="59C7D18C" w14:textId="77777777" w:rsidR="00CA2084" w:rsidRDefault="00CA2084" w:rsidP="00323834">
      <w:pPr>
        <w:spacing w:line="360" w:lineRule="auto"/>
        <w:jc w:val="both"/>
      </w:pPr>
    </w:p>
    <w:p w14:paraId="6A4BB7DA" w14:textId="7EBE5AE5" w:rsidR="00CA2084" w:rsidRDefault="00CA2084" w:rsidP="00323834">
      <w:pPr>
        <w:spacing w:line="360" w:lineRule="auto"/>
        <w:jc w:val="both"/>
      </w:pPr>
      <w:r w:rsidRPr="00323834">
        <w:t xml:space="preserve">In </w:t>
      </w:r>
      <w:r>
        <w:t xml:space="preserve">an </w:t>
      </w:r>
      <w:r w:rsidRPr="00323834">
        <w:t>article published in the early-1990s, Malcolm Feeley and Deborah</w:t>
      </w:r>
      <w:r>
        <w:t xml:space="preserve"> </w:t>
      </w:r>
      <w:r w:rsidRPr="00323834">
        <w:t>Little argued that the proportion of females involved in the criminal justice</w:t>
      </w:r>
      <w:r>
        <w:t xml:space="preserve"> </w:t>
      </w:r>
      <w:r w:rsidRPr="00323834">
        <w:t>process as both offenders and prosecutors declined significantly</w:t>
      </w:r>
      <w:r>
        <w:t xml:space="preserve"> </w:t>
      </w:r>
      <w:r w:rsidRPr="00323834">
        <w:t>from the late-seventeenth century</w:t>
      </w:r>
      <w:r w:rsidR="00114B2F">
        <w:t xml:space="preserve"> </w:t>
      </w:r>
      <w:r w:rsidR="00114B2F" w:rsidRPr="00114B2F">
        <w:rPr>
          <w:color w:val="FF0000"/>
        </w:rPr>
        <w:t>to the twentieth century</w:t>
      </w:r>
      <w:r w:rsidRPr="00323834">
        <w:t>. Whereas females comprised just over</w:t>
      </w:r>
      <w:r>
        <w:t xml:space="preserve"> </w:t>
      </w:r>
      <w:r w:rsidRPr="00323834">
        <w:t>30% of those indicted at the Old Bailey in 1687 (and over 40% of those</w:t>
      </w:r>
      <w:r>
        <w:t xml:space="preserve"> </w:t>
      </w:r>
      <w:r w:rsidRPr="00323834">
        <w:t>indicted in 1735), by 1912 this had fallen to less than 10%. Similarly,</w:t>
      </w:r>
      <w:r>
        <w:t xml:space="preserve"> </w:t>
      </w:r>
      <w:r w:rsidRPr="00323834">
        <w:t>the percentage of females indicted at the Surrey quarter sessions fell from</w:t>
      </w:r>
      <w:r>
        <w:t xml:space="preserve"> </w:t>
      </w:r>
      <w:r w:rsidRPr="00323834">
        <w:t>almost 60% in 1700 to 20% in 1850. These trends, Feeley and Little</w:t>
      </w:r>
      <w:r>
        <w:t xml:space="preserve"> </w:t>
      </w:r>
      <w:r w:rsidRPr="00323834">
        <w:t>argued, cannot be explained as a consequence of selective reporting,</w:t>
      </w:r>
      <w:r>
        <w:t xml:space="preserve"> </w:t>
      </w:r>
      <w:r w:rsidRPr="00323834">
        <w:t>policing or jurisdiction changes, but, instead, stem from changes over</w:t>
      </w:r>
      <w:r>
        <w:t xml:space="preserve"> </w:t>
      </w:r>
      <w:r w:rsidRPr="00323834">
        <w:t>the period in the social and economic worlds inhabited by females.</w:t>
      </w:r>
      <w:r>
        <w:rPr>
          <w:rStyle w:val="FootnoteReference"/>
        </w:rPr>
        <w:footnoteReference w:id="41"/>
      </w:r>
    </w:p>
    <w:p w14:paraId="07D8C6EE" w14:textId="77777777" w:rsidR="00CA2084" w:rsidRDefault="00CA2084" w:rsidP="00323834">
      <w:pPr>
        <w:spacing w:line="360" w:lineRule="auto"/>
        <w:jc w:val="both"/>
      </w:pPr>
    </w:p>
    <w:p w14:paraId="38D1B084" w14:textId="7101B81D" w:rsidR="00CA2084" w:rsidRDefault="00CA2084" w:rsidP="001D5BC6">
      <w:pPr>
        <w:spacing w:line="360" w:lineRule="auto"/>
        <w:jc w:val="both"/>
      </w:pPr>
      <w:r>
        <w:tab/>
        <w:t xml:space="preserve">Historians, however, are divided on the extent to which females ‘vanished’ from the criminal justice process, at least as offenders, over the period. </w:t>
      </w:r>
      <w:r w:rsidRPr="001D5BC6">
        <w:t>In a wide-ranging critique,</w:t>
      </w:r>
      <w:r>
        <w:t xml:space="preserve"> Peter King argued that the Old </w:t>
      </w:r>
      <w:r w:rsidRPr="001D5BC6">
        <w:t>Bailey was atypical, and that there was little evidence of a long-term</w:t>
      </w:r>
      <w:r>
        <w:t xml:space="preserve"> </w:t>
      </w:r>
      <w:r w:rsidRPr="001D5BC6">
        <w:t>decline in female offenders outside of London</w:t>
      </w:r>
      <w:r>
        <w:t xml:space="preserve"> between the mid-eighteenth and mid-nineteenth centuries</w:t>
      </w:r>
      <w:r w:rsidRPr="001D5BC6">
        <w:t>.</w:t>
      </w:r>
      <w:r>
        <w:t xml:space="preserve"> Similarly, </w:t>
      </w:r>
      <w:r w:rsidR="00F269BC" w:rsidRPr="00F269BC">
        <w:rPr>
          <w:color w:val="FF0000"/>
        </w:rPr>
        <w:t>the author</w:t>
      </w:r>
      <w:r w:rsidRPr="00F269BC">
        <w:rPr>
          <w:color w:val="FF0000"/>
        </w:rPr>
        <w:t xml:space="preserve"> </w:t>
      </w:r>
      <w:r>
        <w:t>found mixed evidence for the proportion of females declining as offenders across several English and Welsh counties between 1760 and 1830.</w:t>
      </w:r>
      <w:r>
        <w:rPr>
          <w:rStyle w:val="FootnoteReference"/>
        </w:rPr>
        <w:footnoteReference w:id="42"/>
      </w:r>
      <w:r>
        <w:t xml:space="preserve"> </w:t>
      </w:r>
      <w:r w:rsidRPr="004E31CA">
        <w:t>Conversely, Susan Elizabeth Grace found that the percentage of females committed for trial at York quarter sessions declined between 1849 and 1870 by just over 10% (from 34% 25%).</w:t>
      </w:r>
      <w:r w:rsidRPr="004E31CA">
        <w:rPr>
          <w:rStyle w:val="FootnoteReference"/>
        </w:rPr>
        <w:footnoteReference w:id="43"/>
      </w:r>
      <w:r>
        <w:t xml:space="preserve"> Others have argued that any decline can be explained by the previously discussed growth of summary jurisdiction during the period: while females may have been vanishing from assizes and quarter sessions, they were appearing in greater and greater numbers before magistrates.</w:t>
      </w:r>
      <w:r>
        <w:rPr>
          <w:rStyle w:val="FootnoteReference"/>
        </w:rPr>
        <w:footnoteReference w:id="44"/>
      </w:r>
    </w:p>
    <w:p w14:paraId="5EA0D5F6" w14:textId="77777777" w:rsidR="00CA2084" w:rsidRDefault="00CA2084" w:rsidP="001D5BC6">
      <w:pPr>
        <w:spacing w:line="360" w:lineRule="auto"/>
        <w:jc w:val="both"/>
      </w:pPr>
    </w:p>
    <w:p w14:paraId="7DF3368D" w14:textId="3B99CA4A" w:rsidR="00CA2084" w:rsidRDefault="00CA2084" w:rsidP="001D5BC6">
      <w:pPr>
        <w:spacing w:line="360" w:lineRule="auto"/>
        <w:jc w:val="both"/>
      </w:pPr>
      <w:r>
        <w:tab/>
      </w:r>
      <w:r w:rsidRPr="00555078">
        <w:t xml:space="preserve">As can be seen in figure 9, the evidence from </w:t>
      </w:r>
      <w:r w:rsidR="00F269BC" w:rsidRPr="00F269BC">
        <w:rPr>
          <w:color w:val="FF0000"/>
        </w:rPr>
        <w:t>both</w:t>
      </w:r>
      <w:r w:rsidR="00F269BC">
        <w:t xml:space="preserve"> </w:t>
      </w:r>
      <w:r w:rsidRPr="00555078">
        <w:t xml:space="preserve">Cheshire and England and Wales more broadly </w:t>
      </w:r>
      <w:r w:rsidR="00F269BC" w:rsidRPr="00F269BC">
        <w:rPr>
          <w:color w:val="FF0000"/>
        </w:rPr>
        <w:t xml:space="preserve">provides scant evidence </w:t>
      </w:r>
      <w:r w:rsidR="00F269BC">
        <w:t xml:space="preserve">for the vanishing female thesis. </w:t>
      </w:r>
      <w:r w:rsidRPr="00555078">
        <w:lastRenderedPageBreak/>
        <w:t xml:space="preserve">Between 1840-4 and 1885-9, the percentage of females committed for trial </w:t>
      </w:r>
      <w:r w:rsidR="00F269BC" w:rsidRPr="00F269BC">
        <w:rPr>
          <w:color w:val="FF0000"/>
        </w:rPr>
        <w:t>in Cheshire and England and Wales respectively</w:t>
      </w:r>
      <w:r w:rsidR="00F269BC">
        <w:t xml:space="preserve"> </w:t>
      </w:r>
      <w:r w:rsidRPr="00555078">
        <w:t xml:space="preserve">declined from 21% and 20% to </w:t>
      </w:r>
      <w:r w:rsidR="00114B2F" w:rsidRPr="00114B2F">
        <w:rPr>
          <w:color w:val="FF0000"/>
        </w:rPr>
        <w:t>just</w:t>
      </w:r>
      <w:r w:rsidR="00114B2F">
        <w:t xml:space="preserve"> </w:t>
      </w:r>
      <w:r w:rsidRPr="00555078">
        <w:t xml:space="preserve">19% and 16% respectively. In Cheshire, the percentage committed of females increased until the early 1870s, when it began to decline slightly, before peaking at just under 25% during the 1870s. </w:t>
      </w:r>
      <w:r>
        <w:t>Similarly, the percentage of females committed across and Wales peaked in the early 1870s (and late 1850s), before declining for the remainder of the period. In contrast, the percentage indicted at the Old Bailey fell by half over the period, from one-in-five in 1840-4 to one-in-ten between 1885-9. The evidence would thus point to the conclusion that any decline in the percentage of females committed for trial outside of the capital was not as rapid as that seen in the Old Bailey. While females may have ‘vanished’ as offenders from that court, across England and Wales their presence ebbed and flowed, albeit declining very slightly over the period.</w:t>
      </w:r>
    </w:p>
    <w:p w14:paraId="2AA0090E" w14:textId="77777777" w:rsidR="00CA2084" w:rsidRDefault="00CA2084" w:rsidP="001D5BC6">
      <w:pPr>
        <w:spacing w:line="360" w:lineRule="auto"/>
        <w:jc w:val="both"/>
      </w:pPr>
    </w:p>
    <w:p w14:paraId="5498E464" w14:textId="360EEDF2" w:rsidR="00CA2084" w:rsidRPr="004522BF" w:rsidRDefault="00CA2084" w:rsidP="001D5BC6">
      <w:pPr>
        <w:spacing w:line="360" w:lineRule="auto"/>
        <w:jc w:val="both"/>
      </w:pPr>
      <w:r>
        <w:tab/>
        <w:t>One area where females certainly were not vanishing was among those committed for trial with prior convictions for felony. As discussed previously, while the number of persons committed for trial declined during the second half of the nineteenth century, the proportion of those committed who had previous felony convictions grew. This growth was particularly marked among female offenders.</w:t>
      </w:r>
      <w:r w:rsidRPr="00555078">
        <w:rPr>
          <w:color w:val="FF0000"/>
        </w:rPr>
        <w:t xml:space="preserve"> </w:t>
      </w:r>
      <w:r w:rsidRPr="004522BF">
        <w:t xml:space="preserve">Between 1857 and 1880, for example, the percentage of males and females </w:t>
      </w:r>
      <w:r w:rsidR="00D94DF1" w:rsidRPr="00D94DF1">
        <w:rPr>
          <w:color w:val="FF0000"/>
        </w:rPr>
        <w:t xml:space="preserve">across England and Wales </w:t>
      </w:r>
      <w:r w:rsidRPr="004522BF">
        <w:t xml:space="preserve">committed to prison after a previous </w:t>
      </w:r>
      <w:r w:rsidR="00D94DF1" w:rsidRPr="00D94DF1">
        <w:rPr>
          <w:color w:val="FF0000"/>
        </w:rPr>
        <w:t>conviction</w:t>
      </w:r>
      <w:r w:rsidRPr="004522BF">
        <w:t xml:space="preserve"> increased from 26% and 40% to 34% and 53% respectively.</w:t>
      </w:r>
      <w:r w:rsidRPr="00555078">
        <w:rPr>
          <w:color w:val="FF0000"/>
        </w:rPr>
        <w:t xml:space="preserve"> </w:t>
      </w:r>
      <w:r w:rsidRPr="004522BF">
        <w:t xml:space="preserve">Over the same period, the percentage of males </w:t>
      </w:r>
      <w:r w:rsidR="00D94DF1" w:rsidRPr="00D94DF1">
        <w:rPr>
          <w:color w:val="FF0000"/>
        </w:rPr>
        <w:t xml:space="preserve">committed to trial </w:t>
      </w:r>
      <w:r w:rsidRPr="004522BF">
        <w:t xml:space="preserve">who had been </w:t>
      </w:r>
      <w:r w:rsidRPr="00D94DF1">
        <w:rPr>
          <w:color w:val="FF0000"/>
        </w:rPr>
        <w:t xml:space="preserve">previously </w:t>
      </w:r>
      <w:r w:rsidR="00D94DF1" w:rsidRPr="00D94DF1">
        <w:rPr>
          <w:color w:val="FF0000"/>
        </w:rPr>
        <w:t>convicted of a felony</w:t>
      </w:r>
      <w:r w:rsidRPr="00D94DF1">
        <w:rPr>
          <w:color w:val="FF0000"/>
        </w:rPr>
        <w:t xml:space="preserve"> </w:t>
      </w:r>
      <w:r w:rsidR="00D94DF1">
        <w:rPr>
          <w:color w:val="FF0000"/>
        </w:rPr>
        <w:t xml:space="preserve">on </w:t>
      </w:r>
      <w:r w:rsidRPr="004522BF">
        <w:t xml:space="preserve">more than ten </w:t>
      </w:r>
      <w:r w:rsidR="00D94DF1">
        <w:t>occasions</w:t>
      </w:r>
      <w:r w:rsidRPr="004522BF">
        <w:t xml:space="preserve"> increased from 1% to 3%, while the percentage of females increased from 5% to 15%.</w:t>
      </w:r>
      <w:r w:rsidRPr="00555078">
        <w:rPr>
          <w:color w:val="FF0000"/>
        </w:rPr>
        <w:t xml:space="preserve"> </w:t>
      </w:r>
      <w:r w:rsidRPr="004522BF">
        <w:t>Likewise, a snapshot of the convict population on May 6</w:t>
      </w:r>
      <w:r w:rsidRPr="004522BF">
        <w:rPr>
          <w:vertAlign w:val="superscript"/>
        </w:rPr>
        <w:t>th</w:t>
      </w:r>
      <w:r w:rsidRPr="004522BF">
        <w:t xml:space="preserve"> 1868 revealed that 38% of females compared to 25% of males had one or more previous sentence of penal servitude.</w:t>
      </w:r>
      <w:r w:rsidRPr="004522BF">
        <w:rPr>
          <w:rStyle w:val="FootnoteReference"/>
        </w:rPr>
        <w:footnoteReference w:id="45"/>
      </w:r>
      <w:r w:rsidRPr="004522BF">
        <w:t xml:space="preserve"> </w:t>
      </w:r>
    </w:p>
    <w:p w14:paraId="4ED63CF9" w14:textId="77777777" w:rsidR="00CA2084" w:rsidRDefault="00CA2084" w:rsidP="001D5BC6">
      <w:pPr>
        <w:spacing w:line="360" w:lineRule="auto"/>
        <w:jc w:val="both"/>
      </w:pPr>
    </w:p>
    <w:p w14:paraId="3FF7797C" w14:textId="77777777" w:rsidR="00CA2084" w:rsidRDefault="00CA2084" w:rsidP="00225D5D">
      <w:pPr>
        <w:spacing w:line="360" w:lineRule="auto"/>
        <w:jc w:val="both"/>
      </w:pPr>
      <w:r>
        <w:rPr>
          <w:noProof/>
        </w:rPr>
        <w:lastRenderedPageBreak/>
        <w:drawing>
          <wp:inline distT="0" distB="0" distL="0" distR="0" wp14:anchorId="5351BB7E" wp14:editId="0192A73F">
            <wp:extent cx="5270500" cy="3074670"/>
            <wp:effectExtent l="0" t="0" r="12700" b="241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FC5B92" w14:textId="77777777" w:rsidR="00CA2084" w:rsidRPr="00834D78" w:rsidRDefault="00CA2084" w:rsidP="00225D5D">
      <w:pPr>
        <w:jc w:val="both"/>
      </w:pPr>
      <w:r w:rsidRPr="00834D78">
        <w:rPr>
          <w:b/>
        </w:rPr>
        <w:t>Figure 10:</w:t>
      </w:r>
      <w:r w:rsidRPr="00834D78">
        <w:t xml:space="preserve"> the percentage of males and females committed for trial at Assizes and Quarter Sessions in Cheshire who had been previously convicted of a felony, 1840-90</w:t>
      </w:r>
    </w:p>
    <w:p w14:paraId="0BEE067C" w14:textId="77777777" w:rsidR="00CA2084" w:rsidRDefault="00CA2084" w:rsidP="00FD56AA">
      <w:pPr>
        <w:spacing w:line="360" w:lineRule="auto"/>
        <w:jc w:val="both"/>
      </w:pPr>
    </w:p>
    <w:p w14:paraId="46B50802" w14:textId="77777777" w:rsidR="00114B2F" w:rsidRDefault="00CA2084" w:rsidP="00D94DF1">
      <w:pPr>
        <w:spacing w:line="360" w:lineRule="auto"/>
        <w:ind w:firstLine="720"/>
        <w:jc w:val="both"/>
      </w:pPr>
      <w:r>
        <w:t xml:space="preserve">Between 1840 and 1890, 19% and 15% of females and males committed for trial across Cheshire had a previous conviction for felony. Over the period, the percentage of males and females in this position increased from 9% and 10% to 29% and 40% respectively. This is particularly notable when one notes that over the same period, the percentage of males and females committed for trial remained relatively stable: ranging between 18%, 23% 20% for females and 82%, 77%, 80% for males (1840-4, 1860-4 and 1885-9 respectively). The percentage of females committed for trial over the period who had been previously convicted of a felony thus increased in the face of both a decline in the numbers of persons committed and relatively stable patterns of committal by sex. One argument put forward by both contemporaries and historians to explain this state of affairs is that females found it more difficult than males to take advantage of the rising prosperity by securing work after a conviction. Writing in 1864, for example, </w:t>
      </w:r>
      <w:r w:rsidR="00921D89" w:rsidRPr="00921D89">
        <w:rPr>
          <w:color w:val="FF0000"/>
        </w:rPr>
        <w:t xml:space="preserve">the campaigner and daughter of the Recorder of Birmingham, </w:t>
      </w:r>
      <w:proofErr w:type="spellStart"/>
      <w:r>
        <w:t>Rosamund</w:t>
      </w:r>
      <w:proofErr w:type="spellEnd"/>
      <w:r>
        <w:t xml:space="preserve"> Hill noted how </w:t>
      </w:r>
      <w:r w:rsidR="00E428E7">
        <w:t>‘</w:t>
      </w:r>
      <w:r>
        <w:t>…women have much greater difficulty in obtaining employment than men, because they are unable to perform the rough out-door work for which no character is required</w:t>
      </w:r>
      <w:r w:rsidR="00E428E7">
        <w:t>’</w:t>
      </w:r>
      <w:r>
        <w:t xml:space="preserve">. Whereas a former male convict could secure such work without a character reference, women, in contrast, </w:t>
      </w:r>
      <w:r w:rsidR="00E428E7">
        <w:t>‘</w:t>
      </w:r>
      <w:r>
        <w:t>must be domestic servant</w:t>
      </w:r>
      <w:r w:rsidR="002E6A7C" w:rsidRPr="002E6A7C">
        <w:rPr>
          <w:color w:val="FF0000"/>
        </w:rPr>
        <w:t>s</w:t>
      </w:r>
      <w:r>
        <w:t xml:space="preserve">, or </w:t>
      </w:r>
      <w:r>
        <w:lastRenderedPageBreak/>
        <w:t>employed in factories; or if they work at home, they must be trusted with property; all three modes requiring, as we know, a good character</w:t>
      </w:r>
      <w:r w:rsidR="00E428E7">
        <w:t>’</w:t>
      </w:r>
      <w:r>
        <w:t xml:space="preserve">. Similarly, writing almost three decades later in </w:t>
      </w:r>
      <w:r w:rsidRPr="00FC6979">
        <w:rPr>
          <w:i/>
        </w:rPr>
        <w:t>Crime and its Causes</w:t>
      </w:r>
      <w:r>
        <w:t xml:space="preserve"> (1891), the criminologist William Douglas Morrison observed how </w:t>
      </w:r>
    </w:p>
    <w:p w14:paraId="04902E40" w14:textId="77777777" w:rsidR="00114B2F" w:rsidRDefault="00114B2F" w:rsidP="00D94DF1">
      <w:pPr>
        <w:spacing w:line="360" w:lineRule="auto"/>
        <w:ind w:firstLine="720"/>
        <w:jc w:val="both"/>
      </w:pPr>
    </w:p>
    <w:p w14:paraId="047AB665" w14:textId="2A4AFBC8" w:rsidR="00CA2084" w:rsidRDefault="00CA2084" w:rsidP="00114B2F">
      <w:pPr>
        <w:spacing w:line="360" w:lineRule="auto"/>
        <w:ind w:left="567"/>
        <w:jc w:val="both"/>
      </w:pPr>
      <w:r>
        <w:t>a woman’s past has a far worse effect on her future than a man’s. She incurs a far graver degree of odium from her own sex: it is much more difficult for her to get into the way of earning a</w:t>
      </w:r>
      <w:r w:rsidR="00114B2F">
        <w:t>n</w:t>
      </w:r>
      <w:r>
        <w:t xml:space="preserve"> honest livelihood</w:t>
      </w:r>
      <w:r w:rsidR="00114B2F">
        <w:t xml:space="preserve">, </w:t>
      </w:r>
      <w:r w:rsidR="00114B2F" w:rsidRPr="00114B2F">
        <w:rPr>
          <w:color w:val="FF0000"/>
        </w:rPr>
        <w:t>and a woman who has once been shut up within bolts and bars</w:t>
      </w:r>
      <w:r w:rsidR="00114B2F">
        <w:t xml:space="preserve"> </w:t>
      </w:r>
      <w:r w:rsidR="00114B2F" w:rsidRPr="00114B2F">
        <w:rPr>
          <w:color w:val="FF0000"/>
        </w:rPr>
        <w:t>is much more likely to be irretrievably lost than a man</w:t>
      </w:r>
      <w:r>
        <w:t>.</w:t>
      </w:r>
      <w:r>
        <w:rPr>
          <w:rStyle w:val="FootnoteReference"/>
        </w:rPr>
        <w:footnoteReference w:id="46"/>
      </w:r>
    </w:p>
    <w:p w14:paraId="6E0BF8F9" w14:textId="19A9F9C8" w:rsidR="00CA2084" w:rsidRDefault="00CA2084" w:rsidP="00FD56AA">
      <w:pPr>
        <w:spacing w:line="360" w:lineRule="auto"/>
        <w:jc w:val="both"/>
      </w:pPr>
    </w:p>
    <w:p w14:paraId="7F92EABD" w14:textId="3C996CD3" w:rsidR="00810372" w:rsidRPr="00810372" w:rsidRDefault="00114B2F" w:rsidP="00810372">
      <w:pPr>
        <w:spacing w:line="360" w:lineRule="auto"/>
        <w:jc w:val="both"/>
        <w:rPr>
          <w:color w:val="FF0000"/>
        </w:rPr>
      </w:pPr>
      <w:r w:rsidRPr="00810372">
        <w:rPr>
          <w:color w:val="FF0000"/>
        </w:rPr>
        <w:t>According to Morrison, this stemmed from the fact that female offenders typically began their criminal careers in their early twenties,</w:t>
      </w:r>
      <w:r w:rsidR="00810372" w:rsidRPr="00810372">
        <w:rPr>
          <w:color w:val="FF0000"/>
        </w:rPr>
        <w:t xml:space="preserve"> too late for them to be sentenced to periods within Reformatory or Industrial Schools. </w:t>
      </w:r>
      <w:r w:rsidR="003968D9">
        <w:rPr>
          <w:color w:val="FF0000"/>
        </w:rPr>
        <w:t>I</w:t>
      </w:r>
      <w:r w:rsidR="00810372" w:rsidRPr="00810372">
        <w:rPr>
          <w:color w:val="FF0000"/>
        </w:rPr>
        <w:t xml:space="preserve">f they had begun their criminal careers earlier and had been sent to one of these institutions, </w:t>
      </w:r>
    </w:p>
    <w:p w14:paraId="53E8637A" w14:textId="77777777" w:rsidR="00810372" w:rsidRPr="00810372" w:rsidRDefault="00810372" w:rsidP="00810372">
      <w:pPr>
        <w:spacing w:line="360" w:lineRule="auto"/>
        <w:ind w:left="567"/>
        <w:jc w:val="both"/>
        <w:rPr>
          <w:color w:val="FF0000"/>
        </w:rPr>
      </w:pPr>
    </w:p>
    <w:p w14:paraId="6AFEB6B6" w14:textId="4E1A818F" w:rsidR="00810372" w:rsidRPr="00810372" w:rsidRDefault="00810372" w:rsidP="00810372">
      <w:pPr>
        <w:spacing w:line="360" w:lineRule="auto"/>
        <w:ind w:left="567"/>
        <w:jc w:val="both"/>
        <w:rPr>
          <w:color w:val="FF0000"/>
        </w:rPr>
      </w:pPr>
      <w:r w:rsidRPr="00810372">
        <w:rPr>
          <w:color w:val="FF0000"/>
        </w:rPr>
        <w:t>…</w:t>
      </w:r>
      <w:r w:rsidRPr="00810372">
        <w:rPr>
          <w:color w:val="FF0000"/>
        </w:rPr>
        <w:t xml:space="preserve">a fair hope of ultimately saving them would still remain; but as this is impossible with grown-up persons, prison is the only alternative, and it is after imprisonment is over that a woman begins to </w:t>
      </w:r>
      <w:proofErr w:type="spellStart"/>
      <w:r w:rsidRPr="00810372">
        <w:rPr>
          <w:color w:val="FF0000"/>
        </w:rPr>
        <w:t>recognise</w:t>
      </w:r>
      <w:proofErr w:type="spellEnd"/>
      <w:r w:rsidRPr="00810372">
        <w:rPr>
          <w:color w:val="FF0000"/>
        </w:rPr>
        <w:t xml:space="preserve"> the terrible social penalties it has involved.</w:t>
      </w:r>
      <w:r>
        <w:rPr>
          <w:rStyle w:val="FootnoteReference"/>
          <w:color w:val="FF0000"/>
        </w:rPr>
        <w:footnoteReference w:id="47"/>
      </w:r>
    </w:p>
    <w:p w14:paraId="4344EE2A" w14:textId="77777777" w:rsidR="00114B2F" w:rsidRDefault="00114B2F" w:rsidP="00FD56AA">
      <w:pPr>
        <w:spacing w:line="360" w:lineRule="auto"/>
        <w:jc w:val="both"/>
      </w:pPr>
    </w:p>
    <w:tbl>
      <w:tblPr>
        <w:tblStyle w:val="TableGrid"/>
        <w:tblW w:w="0" w:type="auto"/>
        <w:tblLook w:val="04A0" w:firstRow="1" w:lastRow="0" w:firstColumn="1" w:lastColumn="0" w:noHBand="0" w:noVBand="1"/>
      </w:tblPr>
      <w:tblGrid>
        <w:gridCol w:w="1569"/>
        <w:gridCol w:w="1051"/>
        <w:gridCol w:w="1247"/>
        <w:gridCol w:w="2165"/>
        <w:gridCol w:w="1114"/>
        <w:gridCol w:w="1144"/>
      </w:tblGrid>
      <w:tr w:rsidR="00CA2084" w:rsidRPr="00276FB6" w14:paraId="18027427" w14:textId="77777777" w:rsidTr="0049322D">
        <w:tc>
          <w:tcPr>
            <w:tcW w:w="1657" w:type="dxa"/>
          </w:tcPr>
          <w:p w14:paraId="4369F47B" w14:textId="77777777" w:rsidR="00CA2084" w:rsidRPr="00276FB6" w:rsidRDefault="00CA2084" w:rsidP="0049322D">
            <w:pPr>
              <w:jc w:val="center"/>
              <w:rPr>
                <w:b/>
              </w:rPr>
            </w:pPr>
            <w:r>
              <w:rPr>
                <w:b/>
              </w:rPr>
              <w:t>Class of Offences</w:t>
            </w:r>
          </w:p>
        </w:tc>
        <w:tc>
          <w:tcPr>
            <w:tcW w:w="1059" w:type="dxa"/>
          </w:tcPr>
          <w:p w14:paraId="52D4E3D5" w14:textId="77777777" w:rsidR="00CA2084" w:rsidRDefault="00CA2084" w:rsidP="0049322D">
            <w:pPr>
              <w:jc w:val="center"/>
              <w:rPr>
                <w:b/>
              </w:rPr>
            </w:pPr>
            <w:r w:rsidRPr="00276FB6">
              <w:rPr>
                <w:b/>
              </w:rPr>
              <w:t>No &amp; %</w:t>
            </w:r>
          </w:p>
          <w:p w14:paraId="4C35315A" w14:textId="77777777" w:rsidR="00CA2084" w:rsidRPr="00276FB6" w:rsidRDefault="00CA2084" w:rsidP="0049322D">
            <w:pPr>
              <w:jc w:val="center"/>
              <w:rPr>
                <w:b/>
              </w:rPr>
            </w:pPr>
            <w:r>
              <w:rPr>
                <w:b/>
              </w:rPr>
              <w:t>Female</w:t>
            </w:r>
          </w:p>
        </w:tc>
        <w:tc>
          <w:tcPr>
            <w:tcW w:w="1304" w:type="dxa"/>
          </w:tcPr>
          <w:p w14:paraId="2FB334C5" w14:textId="77777777" w:rsidR="00CA2084" w:rsidRDefault="00CA2084" w:rsidP="0049322D">
            <w:pPr>
              <w:jc w:val="center"/>
              <w:rPr>
                <w:b/>
              </w:rPr>
            </w:pPr>
            <w:r w:rsidRPr="00276FB6">
              <w:rPr>
                <w:b/>
              </w:rPr>
              <w:t>No &amp; %</w:t>
            </w:r>
          </w:p>
          <w:p w14:paraId="08FC32B3" w14:textId="77777777" w:rsidR="00CA2084" w:rsidRDefault="00CA2084" w:rsidP="0049322D">
            <w:pPr>
              <w:jc w:val="center"/>
              <w:rPr>
                <w:b/>
              </w:rPr>
            </w:pPr>
            <w:r>
              <w:rPr>
                <w:b/>
              </w:rPr>
              <w:t>Male</w:t>
            </w:r>
          </w:p>
        </w:tc>
        <w:tc>
          <w:tcPr>
            <w:tcW w:w="2184" w:type="dxa"/>
          </w:tcPr>
          <w:p w14:paraId="4E31BB4B" w14:textId="77777777" w:rsidR="00CA2084" w:rsidRPr="00276FB6" w:rsidRDefault="00CA2084" w:rsidP="0049322D">
            <w:pPr>
              <w:jc w:val="center"/>
              <w:rPr>
                <w:b/>
              </w:rPr>
            </w:pPr>
            <w:r>
              <w:rPr>
                <w:b/>
              </w:rPr>
              <w:t>Offence</w:t>
            </w:r>
          </w:p>
        </w:tc>
        <w:tc>
          <w:tcPr>
            <w:tcW w:w="1136" w:type="dxa"/>
          </w:tcPr>
          <w:p w14:paraId="64EB03E9" w14:textId="77777777" w:rsidR="00CA2084" w:rsidRDefault="00CA2084" w:rsidP="0049322D">
            <w:pPr>
              <w:jc w:val="center"/>
              <w:rPr>
                <w:b/>
              </w:rPr>
            </w:pPr>
            <w:r w:rsidRPr="00276FB6">
              <w:rPr>
                <w:b/>
              </w:rPr>
              <w:t>No &amp; %</w:t>
            </w:r>
          </w:p>
          <w:p w14:paraId="2701EF6B" w14:textId="77777777" w:rsidR="00CA2084" w:rsidRPr="00276FB6" w:rsidRDefault="00CA2084" w:rsidP="0049322D">
            <w:pPr>
              <w:jc w:val="center"/>
              <w:rPr>
                <w:b/>
              </w:rPr>
            </w:pPr>
            <w:r>
              <w:rPr>
                <w:b/>
              </w:rPr>
              <w:t>Female</w:t>
            </w:r>
          </w:p>
        </w:tc>
        <w:tc>
          <w:tcPr>
            <w:tcW w:w="1176" w:type="dxa"/>
          </w:tcPr>
          <w:p w14:paraId="104A9352" w14:textId="77777777" w:rsidR="00CA2084" w:rsidRPr="00276FB6" w:rsidRDefault="00CA2084" w:rsidP="0049322D">
            <w:pPr>
              <w:jc w:val="center"/>
              <w:rPr>
                <w:b/>
              </w:rPr>
            </w:pPr>
            <w:r>
              <w:rPr>
                <w:b/>
              </w:rPr>
              <w:t>No &amp; % Male</w:t>
            </w:r>
          </w:p>
        </w:tc>
      </w:tr>
      <w:tr w:rsidR="00CA2084" w14:paraId="3E0E96AF" w14:textId="77777777" w:rsidTr="0049322D">
        <w:tc>
          <w:tcPr>
            <w:tcW w:w="1657" w:type="dxa"/>
            <w:vMerge w:val="restart"/>
          </w:tcPr>
          <w:p w14:paraId="312EBAF6" w14:textId="77777777" w:rsidR="00CA2084" w:rsidRDefault="00CA2084" w:rsidP="0049322D">
            <w:pPr>
              <w:jc w:val="center"/>
            </w:pPr>
            <w:r>
              <w:t>Offences against the person</w:t>
            </w:r>
          </w:p>
        </w:tc>
        <w:tc>
          <w:tcPr>
            <w:tcW w:w="1059" w:type="dxa"/>
            <w:vMerge w:val="restart"/>
          </w:tcPr>
          <w:p w14:paraId="68C72B15" w14:textId="77777777" w:rsidR="00CA2084" w:rsidRDefault="00CA2084" w:rsidP="0049322D">
            <w:pPr>
              <w:jc w:val="center"/>
            </w:pPr>
            <w:r>
              <w:t>400</w:t>
            </w:r>
            <w:r>
              <w:br/>
              <w:t>(6%)</w:t>
            </w:r>
          </w:p>
        </w:tc>
        <w:tc>
          <w:tcPr>
            <w:tcW w:w="1304" w:type="dxa"/>
            <w:vMerge w:val="restart"/>
          </w:tcPr>
          <w:p w14:paraId="3BCCBBEA" w14:textId="77777777" w:rsidR="00CA2084" w:rsidRDefault="00CA2084" w:rsidP="0049322D">
            <w:pPr>
              <w:jc w:val="center"/>
            </w:pPr>
            <w:r>
              <w:t>3,424</w:t>
            </w:r>
            <w:r>
              <w:br/>
              <w:t>(13%)</w:t>
            </w:r>
            <w:r>
              <w:br/>
            </w:r>
          </w:p>
        </w:tc>
        <w:tc>
          <w:tcPr>
            <w:tcW w:w="2184" w:type="dxa"/>
          </w:tcPr>
          <w:p w14:paraId="3851E071" w14:textId="77777777" w:rsidR="00CA2084" w:rsidRDefault="00CA2084" w:rsidP="0049322D">
            <w:pPr>
              <w:jc w:val="center"/>
            </w:pPr>
            <w:r>
              <w:t>Wounding and assault</w:t>
            </w:r>
          </w:p>
        </w:tc>
        <w:tc>
          <w:tcPr>
            <w:tcW w:w="1136" w:type="dxa"/>
          </w:tcPr>
          <w:p w14:paraId="381C2020" w14:textId="77777777" w:rsidR="00CA2084" w:rsidRDefault="00CA2084" w:rsidP="0049322D">
            <w:pPr>
              <w:jc w:val="center"/>
            </w:pPr>
            <w:r>
              <w:t>141</w:t>
            </w:r>
            <w:r>
              <w:br/>
              <w:t>(2%)</w:t>
            </w:r>
          </w:p>
        </w:tc>
        <w:tc>
          <w:tcPr>
            <w:tcW w:w="1176" w:type="dxa"/>
          </w:tcPr>
          <w:p w14:paraId="2A0933A2" w14:textId="77777777" w:rsidR="00CA2084" w:rsidRDefault="00CA2084" w:rsidP="0049322D">
            <w:pPr>
              <w:jc w:val="center"/>
            </w:pPr>
            <w:r>
              <w:t>1,397</w:t>
            </w:r>
            <w:r>
              <w:br/>
              <w:t>(5%)</w:t>
            </w:r>
          </w:p>
        </w:tc>
      </w:tr>
      <w:tr w:rsidR="00CA2084" w14:paraId="197D3862" w14:textId="77777777" w:rsidTr="0049322D">
        <w:tc>
          <w:tcPr>
            <w:tcW w:w="1657" w:type="dxa"/>
            <w:vMerge/>
          </w:tcPr>
          <w:p w14:paraId="50B78054" w14:textId="77777777" w:rsidR="00CA2084" w:rsidRDefault="00CA2084" w:rsidP="0049322D">
            <w:pPr>
              <w:jc w:val="center"/>
            </w:pPr>
          </w:p>
        </w:tc>
        <w:tc>
          <w:tcPr>
            <w:tcW w:w="1059" w:type="dxa"/>
            <w:vMerge/>
          </w:tcPr>
          <w:p w14:paraId="2AC2FEAB" w14:textId="77777777" w:rsidR="00CA2084" w:rsidRDefault="00CA2084" w:rsidP="0049322D">
            <w:pPr>
              <w:jc w:val="center"/>
            </w:pPr>
          </w:p>
        </w:tc>
        <w:tc>
          <w:tcPr>
            <w:tcW w:w="1304" w:type="dxa"/>
            <w:vMerge/>
          </w:tcPr>
          <w:p w14:paraId="15B0AC08" w14:textId="77777777" w:rsidR="00CA2084" w:rsidRDefault="00CA2084" w:rsidP="0049322D">
            <w:pPr>
              <w:jc w:val="center"/>
            </w:pPr>
          </w:p>
        </w:tc>
        <w:tc>
          <w:tcPr>
            <w:tcW w:w="2184" w:type="dxa"/>
          </w:tcPr>
          <w:p w14:paraId="35C47471" w14:textId="77777777" w:rsidR="00CA2084" w:rsidRDefault="00CA2084" w:rsidP="0049322D">
            <w:pPr>
              <w:jc w:val="center"/>
            </w:pPr>
            <w:r>
              <w:t>Indecent assault, attempted rape etc.</w:t>
            </w:r>
          </w:p>
        </w:tc>
        <w:tc>
          <w:tcPr>
            <w:tcW w:w="1136" w:type="dxa"/>
          </w:tcPr>
          <w:p w14:paraId="4CB3DC1B" w14:textId="77777777" w:rsidR="00CA2084" w:rsidRDefault="00CA2084" w:rsidP="0049322D">
            <w:pPr>
              <w:jc w:val="center"/>
            </w:pPr>
            <w:r>
              <w:t>2</w:t>
            </w:r>
            <w:r>
              <w:br/>
              <w:t>(&lt;1%)</w:t>
            </w:r>
          </w:p>
        </w:tc>
        <w:tc>
          <w:tcPr>
            <w:tcW w:w="1176" w:type="dxa"/>
          </w:tcPr>
          <w:p w14:paraId="2B0FD578" w14:textId="77777777" w:rsidR="00CA2084" w:rsidRDefault="00CA2084" w:rsidP="0049322D">
            <w:pPr>
              <w:jc w:val="center"/>
            </w:pPr>
            <w:r>
              <w:t>479</w:t>
            </w:r>
            <w:r>
              <w:br/>
              <w:t>(2%)</w:t>
            </w:r>
          </w:p>
        </w:tc>
      </w:tr>
      <w:tr w:rsidR="00CA2084" w14:paraId="3B2441E2" w14:textId="77777777" w:rsidTr="0049322D">
        <w:tc>
          <w:tcPr>
            <w:tcW w:w="1657" w:type="dxa"/>
            <w:vMerge/>
          </w:tcPr>
          <w:p w14:paraId="73E8CEA1" w14:textId="77777777" w:rsidR="00CA2084" w:rsidRDefault="00CA2084" w:rsidP="0049322D">
            <w:pPr>
              <w:jc w:val="center"/>
            </w:pPr>
          </w:p>
        </w:tc>
        <w:tc>
          <w:tcPr>
            <w:tcW w:w="1059" w:type="dxa"/>
            <w:vMerge/>
          </w:tcPr>
          <w:p w14:paraId="454BFE2F" w14:textId="77777777" w:rsidR="00CA2084" w:rsidRDefault="00CA2084" w:rsidP="0049322D">
            <w:pPr>
              <w:jc w:val="center"/>
            </w:pPr>
          </w:p>
        </w:tc>
        <w:tc>
          <w:tcPr>
            <w:tcW w:w="1304" w:type="dxa"/>
            <w:vMerge/>
          </w:tcPr>
          <w:p w14:paraId="0F63291E" w14:textId="77777777" w:rsidR="00CA2084" w:rsidRDefault="00CA2084" w:rsidP="0049322D">
            <w:pPr>
              <w:jc w:val="center"/>
            </w:pPr>
          </w:p>
        </w:tc>
        <w:tc>
          <w:tcPr>
            <w:tcW w:w="2184" w:type="dxa"/>
          </w:tcPr>
          <w:p w14:paraId="6A2D27C8" w14:textId="77777777" w:rsidR="00CA2084" w:rsidRDefault="00CA2084" w:rsidP="0049322D">
            <w:pPr>
              <w:jc w:val="center"/>
            </w:pPr>
            <w:r>
              <w:t>Manslaughter</w:t>
            </w:r>
          </w:p>
        </w:tc>
        <w:tc>
          <w:tcPr>
            <w:tcW w:w="1136" w:type="dxa"/>
          </w:tcPr>
          <w:p w14:paraId="615C1339" w14:textId="77777777" w:rsidR="00CA2084" w:rsidRDefault="00CA2084" w:rsidP="0049322D">
            <w:pPr>
              <w:jc w:val="center"/>
            </w:pPr>
            <w:r>
              <w:t>39</w:t>
            </w:r>
          </w:p>
          <w:p w14:paraId="245A5D4E" w14:textId="77777777" w:rsidR="00CA2084" w:rsidRDefault="00CA2084" w:rsidP="0049322D">
            <w:pPr>
              <w:jc w:val="center"/>
            </w:pPr>
            <w:r>
              <w:t>(&lt;1%)</w:t>
            </w:r>
          </w:p>
        </w:tc>
        <w:tc>
          <w:tcPr>
            <w:tcW w:w="1176" w:type="dxa"/>
          </w:tcPr>
          <w:p w14:paraId="39BA4CE2" w14:textId="77777777" w:rsidR="00CA2084" w:rsidRDefault="00CA2084" w:rsidP="0049322D">
            <w:pPr>
              <w:jc w:val="center"/>
            </w:pPr>
            <w:r>
              <w:t>317</w:t>
            </w:r>
            <w:r>
              <w:br/>
              <w:t>(1%)</w:t>
            </w:r>
          </w:p>
        </w:tc>
      </w:tr>
      <w:tr w:rsidR="00CA2084" w14:paraId="350B91B7" w14:textId="77777777" w:rsidTr="0049322D">
        <w:tc>
          <w:tcPr>
            <w:tcW w:w="1657" w:type="dxa"/>
            <w:vMerge/>
          </w:tcPr>
          <w:p w14:paraId="79005563" w14:textId="77777777" w:rsidR="00CA2084" w:rsidRDefault="00CA2084" w:rsidP="0049322D">
            <w:pPr>
              <w:jc w:val="center"/>
            </w:pPr>
          </w:p>
        </w:tc>
        <w:tc>
          <w:tcPr>
            <w:tcW w:w="1059" w:type="dxa"/>
            <w:vMerge/>
          </w:tcPr>
          <w:p w14:paraId="1CD8B273" w14:textId="77777777" w:rsidR="00CA2084" w:rsidRDefault="00CA2084" w:rsidP="0049322D">
            <w:pPr>
              <w:jc w:val="center"/>
            </w:pPr>
          </w:p>
        </w:tc>
        <w:tc>
          <w:tcPr>
            <w:tcW w:w="1304" w:type="dxa"/>
            <w:vMerge/>
          </w:tcPr>
          <w:p w14:paraId="4042A671" w14:textId="77777777" w:rsidR="00CA2084" w:rsidRDefault="00CA2084" w:rsidP="0049322D">
            <w:pPr>
              <w:jc w:val="center"/>
            </w:pPr>
          </w:p>
        </w:tc>
        <w:tc>
          <w:tcPr>
            <w:tcW w:w="2184" w:type="dxa"/>
          </w:tcPr>
          <w:p w14:paraId="57F80D86" w14:textId="77777777" w:rsidR="00CA2084" w:rsidRDefault="00CA2084" w:rsidP="0049322D">
            <w:pPr>
              <w:jc w:val="center"/>
            </w:pPr>
            <w:r>
              <w:t>Assault on a police officer</w:t>
            </w:r>
          </w:p>
        </w:tc>
        <w:tc>
          <w:tcPr>
            <w:tcW w:w="1136" w:type="dxa"/>
          </w:tcPr>
          <w:p w14:paraId="622BAAAA" w14:textId="77777777" w:rsidR="00CA2084" w:rsidRDefault="00CA2084" w:rsidP="0049322D">
            <w:pPr>
              <w:jc w:val="center"/>
            </w:pPr>
            <w:r>
              <w:t>10</w:t>
            </w:r>
          </w:p>
          <w:p w14:paraId="403F258F" w14:textId="77777777" w:rsidR="00CA2084" w:rsidRDefault="00CA2084" w:rsidP="0049322D">
            <w:pPr>
              <w:jc w:val="center"/>
            </w:pPr>
            <w:r>
              <w:t>(&lt;1%)</w:t>
            </w:r>
          </w:p>
        </w:tc>
        <w:tc>
          <w:tcPr>
            <w:tcW w:w="1176" w:type="dxa"/>
          </w:tcPr>
          <w:p w14:paraId="5190A4B5" w14:textId="77777777" w:rsidR="00CA2084" w:rsidRDefault="00CA2084" w:rsidP="0049322D">
            <w:pPr>
              <w:jc w:val="center"/>
            </w:pPr>
            <w:r>
              <w:t>338</w:t>
            </w:r>
            <w:r>
              <w:br/>
              <w:t>(1%)</w:t>
            </w:r>
          </w:p>
        </w:tc>
      </w:tr>
      <w:tr w:rsidR="00CA2084" w14:paraId="6E2D104D" w14:textId="77777777" w:rsidTr="0049322D">
        <w:tc>
          <w:tcPr>
            <w:tcW w:w="1657" w:type="dxa"/>
            <w:vMerge/>
          </w:tcPr>
          <w:p w14:paraId="17E1EAC8" w14:textId="77777777" w:rsidR="00CA2084" w:rsidRDefault="00CA2084" w:rsidP="0049322D">
            <w:pPr>
              <w:jc w:val="center"/>
            </w:pPr>
          </w:p>
        </w:tc>
        <w:tc>
          <w:tcPr>
            <w:tcW w:w="1059" w:type="dxa"/>
            <w:vMerge/>
          </w:tcPr>
          <w:p w14:paraId="50F8B134" w14:textId="77777777" w:rsidR="00CA2084" w:rsidRDefault="00CA2084" w:rsidP="0049322D">
            <w:pPr>
              <w:jc w:val="center"/>
            </w:pPr>
          </w:p>
        </w:tc>
        <w:tc>
          <w:tcPr>
            <w:tcW w:w="1304" w:type="dxa"/>
            <w:vMerge/>
          </w:tcPr>
          <w:p w14:paraId="6FB2FAB8" w14:textId="77777777" w:rsidR="00CA2084" w:rsidRDefault="00CA2084" w:rsidP="0049322D">
            <w:pPr>
              <w:jc w:val="center"/>
            </w:pPr>
          </w:p>
        </w:tc>
        <w:tc>
          <w:tcPr>
            <w:tcW w:w="2184" w:type="dxa"/>
          </w:tcPr>
          <w:p w14:paraId="40495516" w14:textId="77777777" w:rsidR="00CA2084" w:rsidRDefault="00CA2084" w:rsidP="0049322D">
            <w:pPr>
              <w:jc w:val="center"/>
            </w:pPr>
            <w:r>
              <w:t>Bigamy (inc. aiding)</w:t>
            </w:r>
          </w:p>
        </w:tc>
        <w:tc>
          <w:tcPr>
            <w:tcW w:w="1136" w:type="dxa"/>
          </w:tcPr>
          <w:p w14:paraId="58520ABA" w14:textId="77777777" w:rsidR="00CA2084" w:rsidRDefault="00CA2084" w:rsidP="0049322D">
            <w:pPr>
              <w:jc w:val="center"/>
            </w:pPr>
            <w:r>
              <w:t>42</w:t>
            </w:r>
            <w:r>
              <w:br/>
              <w:t>(1%)</w:t>
            </w:r>
          </w:p>
        </w:tc>
        <w:tc>
          <w:tcPr>
            <w:tcW w:w="1176" w:type="dxa"/>
          </w:tcPr>
          <w:p w14:paraId="5E726453" w14:textId="77777777" w:rsidR="00CA2084" w:rsidRDefault="00CA2084" w:rsidP="0049322D">
            <w:pPr>
              <w:jc w:val="center"/>
            </w:pPr>
            <w:r>
              <w:t>168</w:t>
            </w:r>
          </w:p>
          <w:p w14:paraId="657FAD6D" w14:textId="77777777" w:rsidR="00CA2084" w:rsidRDefault="00CA2084" w:rsidP="0049322D">
            <w:pPr>
              <w:jc w:val="center"/>
            </w:pPr>
            <w:r>
              <w:t>(&lt;1%)</w:t>
            </w:r>
          </w:p>
        </w:tc>
      </w:tr>
      <w:tr w:rsidR="00CA2084" w14:paraId="2F9A93CA" w14:textId="77777777" w:rsidTr="0049322D">
        <w:tc>
          <w:tcPr>
            <w:tcW w:w="1657" w:type="dxa"/>
            <w:vMerge/>
          </w:tcPr>
          <w:p w14:paraId="51D754C8" w14:textId="77777777" w:rsidR="00CA2084" w:rsidRDefault="00CA2084" w:rsidP="0049322D">
            <w:pPr>
              <w:jc w:val="center"/>
            </w:pPr>
          </w:p>
        </w:tc>
        <w:tc>
          <w:tcPr>
            <w:tcW w:w="1059" w:type="dxa"/>
            <w:vMerge/>
          </w:tcPr>
          <w:p w14:paraId="4CDC4B68" w14:textId="77777777" w:rsidR="00CA2084" w:rsidRDefault="00CA2084" w:rsidP="0049322D">
            <w:pPr>
              <w:jc w:val="center"/>
            </w:pPr>
          </w:p>
        </w:tc>
        <w:tc>
          <w:tcPr>
            <w:tcW w:w="1304" w:type="dxa"/>
            <w:vMerge/>
          </w:tcPr>
          <w:p w14:paraId="3A45AAF3" w14:textId="77777777" w:rsidR="00CA2084" w:rsidRDefault="00CA2084" w:rsidP="0049322D">
            <w:pPr>
              <w:jc w:val="center"/>
            </w:pPr>
          </w:p>
        </w:tc>
        <w:tc>
          <w:tcPr>
            <w:tcW w:w="2184" w:type="dxa"/>
          </w:tcPr>
          <w:p w14:paraId="1DBC01C6" w14:textId="77777777" w:rsidR="00CA2084" w:rsidRDefault="00CA2084" w:rsidP="0049322D">
            <w:pPr>
              <w:jc w:val="center"/>
            </w:pPr>
            <w:r>
              <w:t>Rape</w:t>
            </w:r>
          </w:p>
        </w:tc>
        <w:tc>
          <w:tcPr>
            <w:tcW w:w="1136" w:type="dxa"/>
          </w:tcPr>
          <w:p w14:paraId="509CC612" w14:textId="77777777" w:rsidR="00CA2084" w:rsidRDefault="00CA2084" w:rsidP="0049322D">
            <w:pPr>
              <w:jc w:val="center"/>
            </w:pPr>
            <w:r>
              <w:t>2</w:t>
            </w:r>
          </w:p>
          <w:p w14:paraId="296782C6" w14:textId="77777777" w:rsidR="00CA2084" w:rsidRDefault="00CA2084" w:rsidP="0049322D">
            <w:pPr>
              <w:jc w:val="center"/>
            </w:pPr>
            <w:r>
              <w:t>(&lt;1%)</w:t>
            </w:r>
          </w:p>
        </w:tc>
        <w:tc>
          <w:tcPr>
            <w:tcW w:w="1176" w:type="dxa"/>
          </w:tcPr>
          <w:p w14:paraId="03109E6E" w14:textId="77777777" w:rsidR="00CA2084" w:rsidRDefault="00CA2084" w:rsidP="0049322D">
            <w:pPr>
              <w:jc w:val="center"/>
            </w:pPr>
            <w:r>
              <w:t>198</w:t>
            </w:r>
            <w:r>
              <w:br/>
              <w:t>(1%)</w:t>
            </w:r>
          </w:p>
        </w:tc>
      </w:tr>
      <w:tr w:rsidR="00CA2084" w14:paraId="7D055F8F" w14:textId="77777777" w:rsidTr="0049322D">
        <w:tc>
          <w:tcPr>
            <w:tcW w:w="1657" w:type="dxa"/>
            <w:vMerge/>
          </w:tcPr>
          <w:p w14:paraId="58247E35" w14:textId="77777777" w:rsidR="00CA2084" w:rsidRDefault="00CA2084" w:rsidP="0049322D">
            <w:pPr>
              <w:jc w:val="center"/>
            </w:pPr>
          </w:p>
        </w:tc>
        <w:tc>
          <w:tcPr>
            <w:tcW w:w="1059" w:type="dxa"/>
            <w:vMerge/>
          </w:tcPr>
          <w:p w14:paraId="0B0A8F39" w14:textId="77777777" w:rsidR="00CA2084" w:rsidRDefault="00CA2084" w:rsidP="0049322D">
            <w:pPr>
              <w:jc w:val="center"/>
            </w:pPr>
          </w:p>
        </w:tc>
        <w:tc>
          <w:tcPr>
            <w:tcW w:w="1304" w:type="dxa"/>
            <w:vMerge/>
          </w:tcPr>
          <w:p w14:paraId="2F253AA0" w14:textId="77777777" w:rsidR="00CA2084" w:rsidRDefault="00CA2084" w:rsidP="0049322D">
            <w:pPr>
              <w:jc w:val="center"/>
            </w:pPr>
          </w:p>
        </w:tc>
        <w:tc>
          <w:tcPr>
            <w:tcW w:w="2184" w:type="dxa"/>
          </w:tcPr>
          <w:p w14:paraId="4246D974" w14:textId="77777777" w:rsidR="00CA2084" w:rsidRDefault="00CA2084" w:rsidP="0049322D">
            <w:pPr>
              <w:jc w:val="center"/>
            </w:pPr>
            <w:r>
              <w:t>Sexual assault on children</w:t>
            </w:r>
          </w:p>
        </w:tc>
        <w:tc>
          <w:tcPr>
            <w:tcW w:w="1136" w:type="dxa"/>
          </w:tcPr>
          <w:p w14:paraId="3310FC00" w14:textId="77777777" w:rsidR="00CA2084" w:rsidRDefault="00CA2084" w:rsidP="0049322D">
            <w:pPr>
              <w:jc w:val="center"/>
            </w:pPr>
            <w:r>
              <w:t>0</w:t>
            </w:r>
          </w:p>
        </w:tc>
        <w:tc>
          <w:tcPr>
            <w:tcW w:w="1176" w:type="dxa"/>
          </w:tcPr>
          <w:p w14:paraId="2DA06311" w14:textId="77777777" w:rsidR="00CA2084" w:rsidRDefault="00CA2084" w:rsidP="0049322D">
            <w:pPr>
              <w:jc w:val="center"/>
            </w:pPr>
            <w:r>
              <w:t>167</w:t>
            </w:r>
            <w:r>
              <w:br/>
              <w:t>(1%)</w:t>
            </w:r>
          </w:p>
        </w:tc>
      </w:tr>
      <w:tr w:rsidR="00CA2084" w14:paraId="525447CB" w14:textId="77777777" w:rsidTr="0049322D">
        <w:tc>
          <w:tcPr>
            <w:tcW w:w="1657" w:type="dxa"/>
            <w:vMerge/>
          </w:tcPr>
          <w:p w14:paraId="522FEFBA" w14:textId="77777777" w:rsidR="00CA2084" w:rsidRDefault="00CA2084" w:rsidP="0049322D">
            <w:pPr>
              <w:jc w:val="center"/>
            </w:pPr>
          </w:p>
        </w:tc>
        <w:tc>
          <w:tcPr>
            <w:tcW w:w="1059" w:type="dxa"/>
            <w:vMerge/>
          </w:tcPr>
          <w:p w14:paraId="140C994D" w14:textId="77777777" w:rsidR="00CA2084" w:rsidRDefault="00CA2084" w:rsidP="0049322D">
            <w:pPr>
              <w:jc w:val="center"/>
            </w:pPr>
          </w:p>
        </w:tc>
        <w:tc>
          <w:tcPr>
            <w:tcW w:w="1304" w:type="dxa"/>
            <w:vMerge/>
          </w:tcPr>
          <w:p w14:paraId="4261D393" w14:textId="77777777" w:rsidR="00CA2084" w:rsidRDefault="00CA2084" w:rsidP="0049322D">
            <w:pPr>
              <w:jc w:val="center"/>
            </w:pPr>
          </w:p>
        </w:tc>
        <w:tc>
          <w:tcPr>
            <w:tcW w:w="2184" w:type="dxa"/>
          </w:tcPr>
          <w:p w14:paraId="3DFE7582" w14:textId="77777777" w:rsidR="00CA2084" w:rsidRDefault="00CA2084" w:rsidP="0049322D">
            <w:pPr>
              <w:jc w:val="center"/>
            </w:pPr>
            <w:r>
              <w:t xml:space="preserve">Shooting, stabbing, cutting </w:t>
            </w:r>
            <w:proofErr w:type="spellStart"/>
            <w:r>
              <w:t>etc</w:t>
            </w:r>
            <w:proofErr w:type="spellEnd"/>
          </w:p>
        </w:tc>
        <w:tc>
          <w:tcPr>
            <w:tcW w:w="1136" w:type="dxa"/>
          </w:tcPr>
          <w:p w14:paraId="65EEE486" w14:textId="77777777" w:rsidR="00CA2084" w:rsidRDefault="00CA2084" w:rsidP="0049322D">
            <w:pPr>
              <w:jc w:val="center"/>
            </w:pPr>
            <w:r>
              <w:t>7</w:t>
            </w:r>
          </w:p>
          <w:p w14:paraId="18C1E2E4" w14:textId="77777777" w:rsidR="00CA2084" w:rsidRDefault="00CA2084" w:rsidP="0049322D">
            <w:pPr>
              <w:jc w:val="center"/>
            </w:pPr>
            <w:r>
              <w:t>(&lt;1%)</w:t>
            </w:r>
          </w:p>
        </w:tc>
        <w:tc>
          <w:tcPr>
            <w:tcW w:w="1176" w:type="dxa"/>
          </w:tcPr>
          <w:p w14:paraId="612A021E" w14:textId="77777777" w:rsidR="00CA2084" w:rsidRDefault="00CA2084" w:rsidP="0049322D">
            <w:pPr>
              <w:jc w:val="center"/>
            </w:pPr>
            <w:r>
              <w:t>132</w:t>
            </w:r>
          </w:p>
          <w:p w14:paraId="23A02911" w14:textId="77777777" w:rsidR="00CA2084" w:rsidRDefault="00CA2084" w:rsidP="0049322D">
            <w:pPr>
              <w:jc w:val="center"/>
            </w:pPr>
            <w:r>
              <w:t>(&lt;1%)</w:t>
            </w:r>
          </w:p>
        </w:tc>
      </w:tr>
      <w:tr w:rsidR="00CA2084" w14:paraId="4D22B8A2" w14:textId="77777777" w:rsidTr="0049322D">
        <w:tc>
          <w:tcPr>
            <w:tcW w:w="1657" w:type="dxa"/>
            <w:vMerge/>
          </w:tcPr>
          <w:p w14:paraId="06530FB1" w14:textId="77777777" w:rsidR="00CA2084" w:rsidRDefault="00CA2084" w:rsidP="0049322D">
            <w:pPr>
              <w:jc w:val="center"/>
            </w:pPr>
          </w:p>
        </w:tc>
        <w:tc>
          <w:tcPr>
            <w:tcW w:w="1059" w:type="dxa"/>
            <w:vMerge/>
          </w:tcPr>
          <w:p w14:paraId="3B8D9DB7" w14:textId="77777777" w:rsidR="00CA2084" w:rsidRDefault="00CA2084" w:rsidP="0049322D">
            <w:pPr>
              <w:jc w:val="center"/>
            </w:pPr>
          </w:p>
        </w:tc>
        <w:tc>
          <w:tcPr>
            <w:tcW w:w="1304" w:type="dxa"/>
            <w:vMerge/>
          </w:tcPr>
          <w:p w14:paraId="42E859F6" w14:textId="77777777" w:rsidR="00CA2084" w:rsidRDefault="00CA2084" w:rsidP="0049322D">
            <w:pPr>
              <w:jc w:val="center"/>
            </w:pPr>
          </w:p>
        </w:tc>
        <w:tc>
          <w:tcPr>
            <w:tcW w:w="2184" w:type="dxa"/>
          </w:tcPr>
          <w:p w14:paraId="66CFFC18" w14:textId="77777777" w:rsidR="00CA2084" w:rsidRDefault="00CA2084" w:rsidP="0049322D">
            <w:pPr>
              <w:jc w:val="center"/>
            </w:pPr>
            <w:r>
              <w:t>Murder (inc. aiding &amp; being an accessory)</w:t>
            </w:r>
          </w:p>
        </w:tc>
        <w:tc>
          <w:tcPr>
            <w:tcW w:w="1136" w:type="dxa"/>
          </w:tcPr>
          <w:p w14:paraId="54071ABB" w14:textId="77777777" w:rsidR="00CA2084" w:rsidRDefault="00CA2084" w:rsidP="0049322D">
            <w:pPr>
              <w:jc w:val="center"/>
            </w:pPr>
            <w:r>
              <w:t>48</w:t>
            </w:r>
            <w:r>
              <w:br/>
              <w:t>(1%)</w:t>
            </w:r>
          </w:p>
        </w:tc>
        <w:tc>
          <w:tcPr>
            <w:tcW w:w="1176" w:type="dxa"/>
          </w:tcPr>
          <w:p w14:paraId="2F9954FF" w14:textId="77777777" w:rsidR="00CA2084" w:rsidRDefault="00CA2084" w:rsidP="0049322D">
            <w:pPr>
              <w:jc w:val="center"/>
            </w:pPr>
            <w:r>
              <w:t>70</w:t>
            </w:r>
          </w:p>
          <w:p w14:paraId="285E850B" w14:textId="77777777" w:rsidR="00CA2084" w:rsidRDefault="00CA2084" w:rsidP="0049322D">
            <w:pPr>
              <w:jc w:val="center"/>
            </w:pPr>
            <w:r>
              <w:t>(&lt;1%)</w:t>
            </w:r>
          </w:p>
        </w:tc>
      </w:tr>
      <w:tr w:rsidR="00CA2084" w14:paraId="1EF591AF" w14:textId="77777777" w:rsidTr="0049322D">
        <w:tc>
          <w:tcPr>
            <w:tcW w:w="1657" w:type="dxa"/>
            <w:vMerge/>
          </w:tcPr>
          <w:p w14:paraId="4811FD30" w14:textId="77777777" w:rsidR="00CA2084" w:rsidRDefault="00CA2084" w:rsidP="0049322D">
            <w:pPr>
              <w:jc w:val="center"/>
            </w:pPr>
          </w:p>
        </w:tc>
        <w:tc>
          <w:tcPr>
            <w:tcW w:w="1059" w:type="dxa"/>
            <w:vMerge/>
          </w:tcPr>
          <w:p w14:paraId="752AE836" w14:textId="77777777" w:rsidR="00CA2084" w:rsidRDefault="00CA2084" w:rsidP="0049322D">
            <w:pPr>
              <w:jc w:val="center"/>
            </w:pPr>
          </w:p>
        </w:tc>
        <w:tc>
          <w:tcPr>
            <w:tcW w:w="1304" w:type="dxa"/>
            <w:vMerge/>
          </w:tcPr>
          <w:p w14:paraId="0A1B4E4A" w14:textId="77777777" w:rsidR="00CA2084" w:rsidRDefault="00CA2084" w:rsidP="0049322D">
            <w:pPr>
              <w:jc w:val="center"/>
            </w:pPr>
          </w:p>
        </w:tc>
        <w:tc>
          <w:tcPr>
            <w:tcW w:w="2184" w:type="dxa"/>
          </w:tcPr>
          <w:p w14:paraId="54972B4C" w14:textId="77777777" w:rsidR="00CA2084" w:rsidRDefault="00CA2084" w:rsidP="0049322D">
            <w:pPr>
              <w:jc w:val="center"/>
            </w:pPr>
            <w:r>
              <w:t>Concealing</w:t>
            </w:r>
          </w:p>
        </w:tc>
        <w:tc>
          <w:tcPr>
            <w:tcW w:w="1136" w:type="dxa"/>
          </w:tcPr>
          <w:p w14:paraId="4664E836" w14:textId="77777777" w:rsidR="00CA2084" w:rsidRDefault="00CA2084" w:rsidP="0049322D">
            <w:pPr>
              <w:jc w:val="center"/>
            </w:pPr>
            <w:r>
              <w:t>94</w:t>
            </w:r>
            <w:r>
              <w:br/>
              <w:t>(1%)</w:t>
            </w:r>
          </w:p>
        </w:tc>
        <w:tc>
          <w:tcPr>
            <w:tcW w:w="1176" w:type="dxa"/>
          </w:tcPr>
          <w:p w14:paraId="282D4526" w14:textId="77777777" w:rsidR="00CA2084" w:rsidRDefault="00CA2084" w:rsidP="0049322D">
            <w:pPr>
              <w:jc w:val="center"/>
            </w:pPr>
            <w:r>
              <w:t>3</w:t>
            </w:r>
          </w:p>
          <w:p w14:paraId="6BC27B00" w14:textId="77777777" w:rsidR="00CA2084" w:rsidRDefault="00CA2084" w:rsidP="0049322D">
            <w:pPr>
              <w:jc w:val="center"/>
            </w:pPr>
            <w:r>
              <w:t>(&lt;1%)</w:t>
            </w:r>
          </w:p>
        </w:tc>
      </w:tr>
      <w:tr w:rsidR="00CA2084" w14:paraId="21D23E99" w14:textId="77777777" w:rsidTr="0049322D">
        <w:tc>
          <w:tcPr>
            <w:tcW w:w="1657" w:type="dxa"/>
            <w:vMerge/>
          </w:tcPr>
          <w:p w14:paraId="4DE2A297" w14:textId="77777777" w:rsidR="00CA2084" w:rsidRDefault="00CA2084" w:rsidP="0049322D">
            <w:pPr>
              <w:jc w:val="center"/>
            </w:pPr>
          </w:p>
        </w:tc>
        <w:tc>
          <w:tcPr>
            <w:tcW w:w="1059" w:type="dxa"/>
            <w:vMerge/>
          </w:tcPr>
          <w:p w14:paraId="0A8467A8" w14:textId="77777777" w:rsidR="00CA2084" w:rsidRDefault="00CA2084" w:rsidP="0049322D">
            <w:pPr>
              <w:jc w:val="center"/>
            </w:pPr>
          </w:p>
        </w:tc>
        <w:tc>
          <w:tcPr>
            <w:tcW w:w="1304" w:type="dxa"/>
            <w:vMerge/>
          </w:tcPr>
          <w:p w14:paraId="1489419F" w14:textId="77777777" w:rsidR="00CA2084" w:rsidRDefault="00CA2084" w:rsidP="0049322D">
            <w:pPr>
              <w:jc w:val="center"/>
            </w:pPr>
          </w:p>
        </w:tc>
        <w:tc>
          <w:tcPr>
            <w:tcW w:w="2184" w:type="dxa"/>
          </w:tcPr>
          <w:p w14:paraId="70A71CF7" w14:textId="77777777" w:rsidR="00CA2084" w:rsidRDefault="00CA2084" w:rsidP="0049322D">
            <w:pPr>
              <w:jc w:val="center"/>
            </w:pPr>
            <w:r>
              <w:t>Bestiality (inc. attempted)</w:t>
            </w:r>
          </w:p>
        </w:tc>
        <w:tc>
          <w:tcPr>
            <w:tcW w:w="1136" w:type="dxa"/>
          </w:tcPr>
          <w:p w14:paraId="560F3660" w14:textId="77777777" w:rsidR="00CA2084" w:rsidRDefault="00CA2084" w:rsidP="0049322D">
            <w:pPr>
              <w:jc w:val="center"/>
            </w:pPr>
            <w:r>
              <w:t>0</w:t>
            </w:r>
          </w:p>
        </w:tc>
        <w:tc>
          <w:tcPr>
            <w:tcW w:w="1176" w:type="dxa"/>
          </w:tcPr>
          <w:p w14:paraId="20A5EA74" w14:textId="77777777" w:rsidR="00CA2084" w:rsidRDefault="00CA2084" w:rsidP="0049322D">
            <w:pPr>
              <w:jc w:val="center"/>
            </w:pPr>
            <w:r>
              <w:t>87</w:t>
            </w:r>
          </w:p>
          <w:p w14:paraId="182014FF" w14:textId="77777777" w:rsidR="00CA2084" w:rsidRDefault="00CA2084" w:rsidP="0049322D">
            <w:pPr>
              <w:jc w:val="center"/>
            </w:pPr>
            <w:r>
              <w:t>(&lt;1%)</w:t>
            </w:r>
          </w:p>
        </w:tc>
      </w:tr>
      <w:tr w:rsidR="00CA2084" w14:paraId="050F980F" w14:textId="77777777" w:rsidTr="0049322D">
        <w:tc>
          <w:tcPr>
            <w:tcW w:w="1657" w:type="dxa"/>
            <w:vMerge/>
          </w:tcPr>
          <w:p w14:paraId="19B843C2" w14:textId="77777777" w:rsidR="00CA2084" w:rsidRDefault="00CA2084" w:rsidP="0049322D">
            <w:pPr>
              <w:jc w:val="center"/>
            </w:pPr>
          </w:p>
        </w:tc>
        <w:tc>
          <w:tcPr>
            <w:tcW w:w="1059" w:type="dxa"/>
            <w:vMerge/>
          </w:tcPr>
          <w:p w14:paraId="4D0C2A97" w14:textId="77777777" w:rsidR="00CA2084" w:rsidRDefault="00CA2084" w:rsidP="0049322D">
            <w:pPr>
              <w:jc w:val="center"/>
            </w:pPr>
          </w:p>
        </w:tc>
        <w:tc>
          <w:tcPr>
            <w:tcW w:w="1304" w:type="dxa"/>
            <w:vMerge/>
          </w:tcPr>
          <w:p w14:paraId="66CAB6C6" w14:textId="77777777" w:rsidR="00CA2084" w:rsidRDefault="00CA2084" w:rsidP="0049322D">
            <w:pPr>
              <w:jc w:val="center"/>
            </w:pPr>
          </w:p>
        </w:tc>
        <w:tc>
          <w:tcPr>
            <w:tcW w:w="2184" w:type="dxa"/>
          </w:tcPr>
          <w:p w14:paraId="09D2B48E" w14:textId="77777777" w:rsidR="00CA2084" w:rsidRDefault="00CA2084" w:rsidP="0049322D">
            <w:pPr>
              <w:jc w:val="center"/>
            </w:pPr>
            <w:r>
              <w:t>Sodomy/Buggery</w:t>
            </w:r>
          </w:p>
        </w:tc>
        <w:tc>
          <w:tcPr>
            <w:tcW w:w="1136" w:type="dxa"/>
          </w:tcPr>
          <w:p w14:paraId="73657144" w14:textId="77777777" w:rsidR="00CA2084" w:rsidRDefault="00CA2084" w:rsidP="0049322D">
            <w:pPr>
              <w:jc w:val="center"/>
            </w:pPr>
            <w:r>
              <w:t>0</w:t>
            </w:r>
          </w:p>
        </w:tc>
        <w:tc>
          <w:tcPr>
            <w:tcW w:w="1176" w:type="dxa"/>
          </w:tcPr>
          <w:p w14:paraId="15B73B10" w14:textId="77777777" w:rsidR="00CA2084" w:rsidRDefault="00CA2084" w:rsidP="0049322D">
            <w:pPr>
              <w:jc w:val="center"/>
            </w:pPr>
            <w:r>
              <w:t>49</w:t>
            </w:r>
          </w:p>
          <w:p w14:paraId="316183F2" w14:textId="77777777" w:rsidR="00CA2084" w:rsidRDefault="00CA2084" w:rsidP="0049322D">
            <w:pPr>
              <w:jc w:val="center"/>
            </w:pPr>
            <w:r>
              <w:t>(&lt;1%)</w:t>
            </w:r>
          </w:p>
        </w:tc>
      </w:tr>
      <w:tr w:rsidR="00CA2084" w14:paraId="225324B4" w14:textId="77777777" w:rsidTr="0049322D">
        <w:tc>
          <w:tcPr>
            <w:tcW w:w="1657" w:type="dxa"/>
            <w:vMerge/>
          </w:tcPr>
          <w:p w14:paraId="42493351" w14:textId="77777777" w:rsidR="00CA2084" w:rsidRDefault="00CA2084" w:rsidP="0049322D">
            <w:pPr>
              <w:jc w:val="center"/>
            </w:pPr>
          </w:p>
        </w:tc>
        <w:tc>
          <w:tcPr>
            <w:tcW w:w="1059" w:type="dxa"/>
            <w:vMerge/>
          </w:tcPr>
          <w:p w14:paraId="0D42894A" w14:textId="77777777" w:rsidR="00CA2084" w:rsidRDefault="00CA2084" w:rsidP="0049322D">
            <w:pPr>
              <w:jc w:val="center"/>
            </w:pPr>
          </w:p>
        </w:tc>
        <w:tc>
          <w:tcPr>
            <w:tcW w:w="1304" w:type="dxa"/>
            <w:vMerge/>
          </w:tcPr>
          <w:p w14:paraId="4C998DB6" w14:textId="77777777" w:rsidR="00CA2084" w:rsidRDefault="00CA2084" w:rsidP="0049322D">
            <w:pPr>
              <w:jc w:val="center"/>
            </w:pPr>
          </w:p>
        </w:tc>
        <w:tc>
          <w:tcPr>
            <w:tcW w:w="2184" w:type="dxa"/>
          </w:tcPr>
          <w:p w14:paraId="39DE50F1" w14:textId="77777777" w:rsidR="00CA2084" w:rsidRDefault="00CA2084" w:rsidP="0049322D">
            <w:pPr>
              <w:jc w:val="center"/>
            </w:pPr>
            <w:r>
              <w:t>Attempted murder (inc. poisoning, aiding &amp; being an accessory)</w:t>
            </w:r>
          </w:p>
        </w:tc>
        <w:tc>
          <w:tcPr>
            <w:tcW w:w="1136" w:type="dxa"/>
          </w:tcPr>
          <w:p w14:paraId="20D3EE84" w14:textId="77777777" w:rsidR="00CA2084" w:rsidRDefault="00CA2084" w:rsidP="0049322D">
            <w:pPr>
              <w:jc w:val="center"/>
            </w:pPr>
            <w:r>
              <w:t>15</w:t>
            </w:r>
          </w:p>
          <w:p w14:paraId="7D7203EF" w14:textId="77777777" w:rsidR="00CA2084" w:rsidRDefault="00CA2084" w:rsidP="0049322D">
            <w:pPr>
              <w:jc w:val="center"/>
            </w:pPr>
            <w:r>
              <w:t>(&lt;1%)</w:t>
            </w:r>
          </w:p>
        </w:tc>
        <w:tc>
          <w:tcPr>
            <w:tcW w:w="1176" w:type="dxa"/>
          </w:tcPr>
          <w:p w14:paraId="1A0DDAB1" w14:textId="77777777" w:rsidR="00CA2084" w:rsidRDefault="00CA2084" w:rsidP="0049322D">
            <w:pPr>
              <w:jc w:val="center"/>
            </w:pPr>
            <w:r>
              <w:t>19</w:t>
            </w:r>
          </w:p>
          <w:p w14:paraId="208B7D50" w14:textId="77777777" w:rsidR="00CA2084" w:rsidRDefault="00CA2084" w:rsidP="0049322D">
            <w:pPr>
              <w:jc w:val="center"/>
            </w:pPr>
            <w:r>
              <w:t>(&lt;1%)</w:t>
            </w:r>
          </w:p>
        </w:tc>
      </w:tr>
      <w:tr w:rsidR="00CA2084" w14:paraId="5EC28144" w14:textId="77777777" w:rsidTr="0049322D">
        <w:tc>
          <w:tcPr>
            <w:tcW w:w="1657" w:type="dxa"/>
          </w:tcPr>
          <w:p w14:paraId="6AB3E188" w14:textId="77777777" w:rsidR="00CA2084" w:rsidRDefault="00CA2084" w:rsidP="0049322D">
            <w:pPr>
              <w:jc w:val="center"/>
            </w:pPr>
          </w:p>
        </w:tc>
        <w:tc>
          <w:tcPr>
            <w:tcW w:w="1059" w:type="dxa"/>
          </w:tcPr>
          <w:p w14:paraId="11E01DF0" w14:textId="77777777" w:rsidR="00CA2084" w:rsidRDefault="00CA2084" w:rsidP="0049322D">
            <w:pPr>
              <w:jc w:val="center"/>
            </w:pPr>
          </w:p>
        </w:tc>
        <w:tc>
          <w:tcPr>
            <w:tcW w:w="1304" w:type="dxa"/>
          </w:tcPr>
          <w:p w14:paraId="5DE93982" w14:textId="77777777" w:rsidR="00CA2084" w:rsidRDefault="00CA2084" w:rsidP="0049322D">
            <w:pPr>
              <w:jc w:val="center"/>
            </w:pPr>
          </w:p>
        </w:tc>
        <w:tc>
          <w:tcPr>
            <w:tcW w:w="2184" w:type="dxa"/>
          </w:tcPr>
          <w:p w14:paraId="57500857" w14:textId="77777777" w:rsidR="00CA2084" w:rsidRDefault="00CA2084" w:rsidP="0049322D">
            <w:pPr>
              <w:jc w:val="center"/>
            </w:pPr>
          </w:p>
        </w:tc>
        <w:tc>
          <w:tcPr>
            <w:tcW w:w="1136" w:type="dxa"/>
          </w:tcPr>
          <w:p w14:paraId="345CE2D3" w14:textId="77777777" w:rsidR="00CA2084" w:rsidRDefault="00CA2084" w:rsidP="0049322D">
            <w:pPr>
              <w:jc w:val="center"/>
            </w:pPr>
          </w:p>
        </w:tc>
        <w:tc>
          <w:tcPr>
            <w:tcW w:w="1176" w:type="dxa"/>
          </w:tcPr>
          <w:p w14:paraId="6A767DBC" w14:textId="77777777" w:rsidR="00CA2084" w:rsidRDefault="00CA2084" w:rsidP="0049322D">
            <w:pPr>
              <w:jc w:val="center"/>
            </w:pPr>
          </w:p>
        </w:tc>
      </w:tr>
      <w:tr w:rsidR="00CA2084" w14:paraId="2FC6F98F" w14:textId="77777777" w:rsidTr="0049322D">
        <w:tc>
          <w:tcPr>
            <w:tcW w:w="1657" w:type="dxa"/>
            <w:vMerge w:val="restart"/>
          </w:tcPr>
          <w:p w14:paraId="66E60416" w14:textId="77777777" w:rsidR="00CA2084" w:rsidRDefault="00CA2084" w:rsidP="0049322D">
            <w:pPr>
              <w:jc w:val="center"/>
            </w:pPr>
            <w:r>
              <w:t>Offences against property with violence</w:t>
            </w:r>
          </w:p>
        </w:tc>
        <w:tc>
          <w:tcPr>
            <w:tcW w:w="1059" w:type="dxa"/>
            <w:vMerge w:val="restart"/>
          </w:tcPr>
          <w:p w14:paraId="2137BFE6" w14:textId="77777777" w:rsidR="00CA2084" w:rsidRDefault="00CA2084" w:rsidP="0049322D">
            <w:pPr>
              <w:jc w:val="center"/>
            </w:pPr>
            <w:r>
              <w:t>180</w:t>
            </w:r>
            <w:r>
              <w:br/>
              <w:t>(2%)</w:t>
            </w:r>
          </w:p>
        </w:tc>
        <w:tc>
          <w:tcPr>
            <w:tcW w:w="1304" w:type="dxa"/>
            <w:vMerge w:val="restart"/>
          </w:tcPr>
          <w:p w14:paraId="72C9905A" w14:textId="77777777" w:rsidR="00CA2084" w:rsidRDefault="00CA2084" w:rsidP="0049322D">
            <w:pPr>
              <w:jc w:val="center"/>
            </w:pPr>
            <w:r>
              <w:t>2,350</w:t>
            </w:r>
            <w:r>
              <w:br/>
              <w:t>(9%)</w:t>
            </w:r>
          </w:p>
        </w:tc>
        <w:tc>
          <w:tcPr>
            <w:tcW w:w="2184" w:type="dxa"/>
          </w:tcPr>
          <w:p w14:paraId="39B3B692" w14:textId="77777777" w:rsidR="00CA2084" w:rsidRDefault="00CA2084" w:rsidP="0049322D">
            <w:pPr>
              <w:jc w:val="center"/>
            </w:pPr>
            <w:r>
              <w:t>Burglary (inc. having tools)</w:t>
            </w:r>
          </w:p>
        </w:tc>
        <w:tc>
          <w:tcPr>
            <w:tcW w:w="1136" w:type="dxa"/>
          </w:tcPr>
          <w:p w14:paraId="3E6FCBD7" w14:textId="77777777" w:rsidR="00CA2084" w:rsidRDefault="00CA2084" w:rsidP="0049322D">
            <w:pPr>
              <w:jc w:val="center"/>
            </w:pPr>
            <w:r>
              <w:t>59</w:t>
            </w:r>
            <w:r>
              <w:br/>
              <w:t>(1%)</w:t>
            </w:r>
          </w:p>
        </w:tc>
        <w:tc>
          <w:tcPr>
            <w:tcW w:w="1176" w:type="dxa"/>
          </w:tcPr>
          <w:p w14:paraId="61EBD7E9" w14:textId="77777777" w:rsidR="00CA2084" w:rsidRDefault="00CA2084" w:rsidP="0049322D">
            <w:pPr>
              <w:jc w:val="center"/>
            </w:pPr>
            <w:r>
              <w:t>770</w:t>
            </w:r>
            <w:r>
              <w:br/>
              <w:t>(3%)</w:t>
            </w:r>
          </w:p>
        </w:tc>
      </w:tr>
      <w:tr w:rsidR="00CA2084" w14:paraId="4E2A8F0F" w14:textId="77777777" w:rsidTr="0049322D">
        <w:tc>
          <w:tcPr>
            <w:tcW w:w="1657" w:type="dxa"/>
            <w:vMerge/>
          </w:tcPr>
          <w:p w14:paraId="7F60BCB6" w14:textId="77777777" w:rsidR="00CA2084" w:rsidRDefault="00CA2084" w:rsidP="0049322D">
            <w:pPr>
              <w:jc w:val="center"/>
            </w:pPr>
          </w:p>
        </w:tc>
        <w:tc>
          <w:tcPr>
            <w:tcW w:w="1059" w:type="dxa"/>
            <w:vMerge/>
          </w:tcPr>
          <w:p w14:paraId="3D34832F" w14:textId="77777777" w:rsidR="00CA2084" w:rsidRDefault="00CA2084" w:rsidP="0049322D">
            <w:pPr>
              <w:jc w:val="center"/>
            </w:pPr>
          </w:p>
        </w:tc>
        <w:tc>
          <w:tcPr>
            <w:tcW w:w="1304" w:type="dxa"/>
            <w:vMerge/>
          </w:tcPr>
          <w:p w14:paraId="22997FA9" w14:textId="77777777" w:rsidR="00CA2084" w:rsidRDefault="00CA2084" w:rsidP="0049322D">
            <w:pPr>
              <w:jc w:val="center"/>
            </w:pPr>
          </w:p>
        </w:tc>
        <w:tc>
          <w:tcPr>
            <w:tcW w:w="2184" w:type="dxa"/>
          </w:tcPr>
          <w:p w14:paraId="75C34B36" w14:textId="77777777" w:rsidR="00CA2084" w:rsidRDefault="00CA2084" w:rsidP="0049322D">
            <w:pPr>
              <w:jc w:val="center"/>
            </w:pPr>
            <w:r>
              <w:t>Housebreaking (inc. attempt &amp; having tools)</w:t>
            </w:r>
          </w:p>
        </w:tc>
        <w:tc>
          <w:tcPr>
            <w:tcW w:w="1136" w:type="dxa"/>
          </w:tcPr>
          <w:p w14:paraId="60294822" w14:textId="77777777" w:rsidR="00CA2084" w:rsidRDefault="00CA2084" w:rsidP="0049322D">
            <w:pPr>
              <w:jc w:val="center"/>
            </w:pPr>
            <w:r>
              <w:t>74</w:t>
            </w:r>
            <w:r>
              <w:br/>
              <w:t>(1%)</w:t>
            </w:r>
          </w:p>
        </w:tc>
        <w:tc>
          <w:tcPr>
            <w:tcW w:w="1176" w:type="dxa"/>
          </w:tcPr>
          <w:p w14:paraId="2AC12163" w14:textId="77777777" w:rsidR="00CA2084" w:rsidRDefault="00CA2084" w:rsidP="0049322D">
            <w:pPr>
              <w:jc w:val="center"/>
            </w:pPr>
            <w:r>
              <w:t>674</w:t>
            </w:r>
            <w:r>
              <w:br/>
              <w:t>(2%)</w:t>
            </w:r>
          </w:p>
        </w:tc>
      </w:tr>
      <w:tr w:rsidR="00CA2084" w14:paraId="563CE43D" w14:textId="77777777" w:rsidTr="0049322D">
        <w:tc>
          <w:tcPr>
            <w:tcW w:w="1657" w:type="dxa"/>
            <w:vMerge/>
          </w:tcPr>
          <w:p w14:paraId="51BEFFD9" w14:textId="77777777" w:rsidR="00CA2084" w:rsidRDefault="00CA2084" w:rsidP="0049322D">
            <w:pPr>
              <w:jc w:val="center"/>
            </w:pPr>
          </w:p>
        </w:tc>
        <w:tc>
          <w:tcPr>
            <w:tcW w:w="1059" w:type="dxa"/>
            <w:vMerge/>
          </w:tcPr>
          <w:p w14:paraId="276A1A06" w14:textId="77777777" w:rsidR="00CA2084" w:rsidRDefault="00CA2084" w:rsidP="0049322D">
            <w:pPr>
              <w:jc w:val="center"/>
            </w:pPr>
          </w:p>
        </w:tc>
        <w:tc>
          <w:tcPr>
            <w:tcW w:w="1304" w:type="dxa"/>
            <w:vMerge/>
          </w:tcPr>
          <w:p w14:paraId="2C752B20" w14:textId="77777777" w:rsidR="00CA2084" w:rsidRDefault="00CA2084" w:rsidP="0049322D">
            <w:pPr>
              <w:jc w:val="center"/>
            </w:pPr>
          </w:p>
        </w:tc>
        <w:tc>
          <w:tcPr>
            <w:tcW w:w="2184" w:type="dxa"/>
          </w:tcPr>
          <w:p w14:paraId="26044763" w14:textId="77777777" w:rsidR="00CA2084" w:rsidRDefault="00CA2084" w:rsidP="0049322D">
            <w:pPr>
              <w:jc w:val="center"/>
            </w:pPr>
            <w:r>
              <w:t>Robbery with violence (inc. being an accessory)</w:t>
            </w:r>
          </w:p>
        </w:tc>
        <w:tc>
          <w:tcPr>
            <w:tcW w:w="1136" w:type="dxa"/>
          </w:tcPr>
          <w:p w14:paraId="0D3375DD" w14:textId="77777777" w:rsidR="00CA2084" w:rsidRDefault="00CA2084" w:rsidP="0049322D">
            <w:pPr>
              <w:jc w:val="center"/>
            </w:pPr>
            <w:r>
              <w:t>35</w:t>
            </w:r>
          </w:p>
          <w:p w14:paraId="0A3D4B0C" w14:textId="77777777" w:rsidR="00CA2084" w:rsidRDefault="00CA2084" w:rsidP="0049322D">
            <w:pPr>
              <w:jc w:val="center"/>
            </w:pPr>
            <w:r>
              <w:t>(&lt;1%)</w:t>
            </w:r>
          </w:p>
        </w:tc>
        <w:tc>
          <w:tcPr>
            <w:tcW w:w="1176" w:type="dxa"/>
          </w:tcPr>
          <w:p w14:paraId="6C74C1D4" w14:textId="77777777" w:rsidR="00CA2084" w:rsidRDefault="00CA2084" w:rsidP="0049322D">
            <w:pPr>
              <w:jc w:val="center"/>
            </w:pPr>
            <w:r>
              <w:t>432</w:t>
            </w:r>
            <w:r>
              <w:br/>
              <w:t>(1%)</w:t>
            </w:r>
          </w:p>
        </w:tc>
      </w:tr>
      <w:tr w:rsidR="00CA2084" w14:paraId="36081D16" w14:textId="77777777" w:rsidTr="0049322D">
        <w:tc>
          <w:tcPr>
            <w:tcW w:w="1657" w:type="dxa"/>
            <w:vMerge/>
          </w:tcPr>
          <w:p w14:paraId="790CECAC" w14:textId="77777777" w:rsidR="00CA2084" w:rsidRDefault="00CA2084" w:rsidP="0049322D">
            <w:pPr>
              <w:jc w:val="center"/>
            </w:pPr>
          </w:p>
        </w:tc>
        <w:tc>
          <w:tcPr>
            <w:tcW w:w="1059" w:type="dxa"/>
            <w:vMerge/>
          </w:tcPr>
          <w:p w14:paraId="7FE06DA1" w14:textId="77777777" w:rsidR="00CA2084" w:rsidRDefault="00CA2084" w:rsidP="0049322D">
            <w:pPr>
              <w:jc w:val="center"/>
            </w:pPr>
          </w:p>
        </w:tc>
        <w:tc>
          <w:tcPr>
            <w:tcW w:w="1304" w:type="dxa"/>
            <w:vMerge/>
          </w:tcPr>
          <w:p w14:paraId="5FDAB019" w14:textId="77777777" w:rsidR="00CA2084" w:rsidRDefault="00CA2084" w:rsidP="0049322D">
            <w:pPr>
              <w:jc w:val="center"/>
            </w:pPr>
          </w:p>
        </w:tc>
        <w:tc>
          <w:tcPr>
            <w:tcW w:w="2184" w:type="dxa"/>
          </w:tcPr>
          <w:p w14:paraId="63A29D99" w14:textId="77777777" w:rsidR="00CA2084" w:rsidRDefault="00CA2084" w:rsidP="0049322D">
            <w:pPr>
              <w:jc w:val="center"/>
            </w:pPr>
            <w:r>
              <w:t>Shop, warehouse, counting house etc. breaking</w:t>
            </w:r>
          </w:p>
        </w:tc>
        <w:tc>
          <w:tcPr>
            <w:tcW w:w="1136" w:type="dxa"/>
          </w:tcPr>
          <w:p w14:paraId="7084F3B6" w14:textId="77777777" w:rsidR="00CA2084" w:rsidRDefault="00CA2084" w:rsidP="0049322D">
            <w:pPr>
              <w:jc w:val="center"/>
            </w:pPr>
            <w:r>
              <w:t>8</w:t>
            </w:r>
          </w:p>
          <w:p w14:paraId="378673FF" w14:textId="77777777" w:rsidR="00CA2084" w:rsidRDefault="00CA2084" w:rsidP="0049322D">
            <w:pPr>
              <w:jc w:val="center"/>
            </w:pPr>
            <w:r>
              <w:t>(&lt;1%)</w:t>
            </w:r>
          </w:p>
        </w:tc>
        <w:tc>
          <w:tcPr>
            <w:tcW w:w="1176" w:type="dxa"/>
          </w:tcPr>
          <w:p w14:paraId="3C1CC040" w14:textId="77777777" w:rsidR="00CA2084" w:rsidRDefault="00CA2084" w:rsidP="0049322D">
            <w:pPr>
              <w:jc w:val="center"/>
            </w:pPr>
            <w:r>
              <w:t>379</w:t>
            </w:r>
            <w:r>
              <w:br/>
              <w:t>(1%)</w:t>
            </w:r>
          </w:p>
        </w:tc>
      </w:tr>
      <w:tr w:rsidR="00CA2084" w14:paraId="7AFEEC5F" w14:textId="77777777" w:rsidTr="0049322D">
        <w:tc>
          <w:tcPr>
            <w:tcW w:w="1657" w:type="dxa"/>
            <w:vMerge/>
          </w:tcPr>
          <w:p w14:paraId="7050938E" w14:textId="77777777" w:rsidR="00CA2084" w:rsidRDefault="00CA2084" w:rsidP="0049322D">
            <w:pPr>
              <w:jc w:val="center"/>
            </w:pPr>
          </w:p>
        </w:tc>
        <w:tc>
          <w:tcPr>
            <w:tcW w:w="1059" w:type="dxa"/>
            <w:vMerge/>
          </w:tcPr>
          <w:p w14:paraId="5E39A220" w14:textId="77777777" w:rsidR="00CA2084" w:rsidRDefault="00CA2084" w:rsidP="0049322D">
            <w:pPr>
              <w:jc w:val="center"/>
            </w:pPr>
          </w:p>
        </w:tc>
        <w:tc>
          <w:tcPr>
            <w:tcW w:w="1304" w:type="dxa"/>
            <w:vMerge/>
          </w:tcPr>
          <w:p w14:paraId="640D830F" w14:textId="77777777" w:rsidR="00CA2084" w:rsidRDefault="00CA2084" w:rsidP="0049322D">
            <w:pPr>
              <w:jc w:val="center"/>
            </w:pPr>
          </w:p>
        </w:tc>
        <w:tc>
          <w:tcPr>
            <w:tcW w:w="2184" w:type="dxa"/>
          </w:tcPr>
          <w:p w14:paraId="7569C3B1" w14:textId="77777777" w:rsidR="00CA2084" w:rsidRDefault="00CA2084" w:rsidP="0049322D">
            <w:pPr>
              <w:jc w:val="center"/>
            </w:pPr>
            <w:r>
              <w:t>Curtilage breaking</w:t>
            </w:r>
          </w:p>
        </w:tc>
        <w:tc>
          <w:tcPr>
            <w:tcW w:w="1136" w:type="dxa"/>
          </w:tcPr>
          <w:p w14:paraId="7585570E" w14:textId="77777777" w:rsidR="00CA2084" w:rsidRDefault="00CA2084" w:rsidP="0049322D">
            <w:pPr>
              <w:jc w:val="center"/>
            </w:pPr>
            <w:r>
              <w:t>1</w:t>
            </w:r>
          </w:p>
          <w:p w14:paraId="1769BABC" w14:textId="77777777" w:rsidR="00CA2084" w:rsidRDefault="00CA2084" w:rsidP="0049322D">
            <w:pPr>
              <w:jc w:val="center"/>
            </w:pPr>
            <w:r>
              <w:t>(&lt;1%)</w:t>
            </w:r>
          </w:p>
        </w:tc>
        <w:tc>
          <w:tcPr>
            <w:tcW w:w="1176" w:type="dxa"/>
          </w:tcPr>
          <w:p w14:paraId="4E2D8182" w14:textId="77777777" w:rsidR="00CA2084" w:rsidRDefault="00CA2084" w:rsidP="0049322D">
            <w:pPr>
              <w:jc w:val="center"/>
            </w:pPr>
            <w:r>
              <w:t>70</w:t>
            </w:r>
          </w:p>
          <w:p w14:paraId="42CE2F71" w14:textId="77777777" w:rsidR="00CA2084" w:rsidRDefault="00CA2084" w:rsidP="0049322D">
            <w:pPr>
              <w:jc w:val="center"/>
            </w:pPr>
            <w:r>
              <w:t>(&lt;1%)</w:t>
            </w:r>
          </w:p>
        </w:tc>
      </w:tr>
      <w:tr w:rsidR="00CA2084" w14:paraId="0634A657" w14:textId="77777777" w:rsidTr="0049322D">
        <w:tc>
          <w:tcPr>
            <w:tcW w:w="1657" w:type="dxa"/>
            <w:vMerge/>
          </w:tcPr>
          <w:p w14:paraId="20BEEF0D" w14:textId="77777777" w:rsidR="00CA2084" w:rsidRDefault="00CA2084" w:rsidP="0049322D">
            <w:pPr>
              <w:jc w:val="center"/>
            </w:pPr>
          </w:p>
        </w:tc>
        <w:tc>
          <w:tcPr>
            <w:tcW w:w="1059" w:type="dxa"/>
            <w:vMerge/>
          </w:tcPr>
          <w:p w14:paraId="57E586FC" w14:textId="77777777" w:rsidR="00CA2084" w:rsidRDefault="00CA2084" w:rsidP="0049322D">
            <w:pPr>
              <w:jc w:val="center"/>
            </w:pPr>
          </w:p>
        </w:tc>
        <w:tc>
          <w:tcPr>
            <w:tcW w:w="1304" w:type="dxa"/>
            <w:vMerge/>
          </w:tcPr>
          <w:p w14:paraId="1B785368" w14:textId="77777777" w:rsidR="00CA2084" w:rsidRDefault="00CA2084" w:rsidP="0049322D">
            <w:pPr>
              <w:jc w:val="center"/>
            </w:pPr>
          </w:p>
        </w:tc>
        <w:tc>
          <w:tcPr>
            <w:tcW w:w="2184" w:type="dxa"/>
          </w:tcPr>
          <w:p w14:paraId="722478CC" w14:textId="77777777" w:rsidR="00CA2084" w:rsidRDefault="00CA2084" w:rsidP="0049322D">
            <w:pPr>
              <w:jc w:val="center"/>
            </w:pPr>
            <w:r>
              <w:t>Sacrilege</w:t>
            </w:r>
          </w:p>
        </w:tc>
        <w:tc>
          <w:tcPr>
            <w:tcW w:w="1136" w:type="dxa"/>
          </w:tcPr>
          <w:p w14:paraId="7C3B16E7" w14:textId="77777777" w:rsidR="00CA2084" w:rsidRDefault="00CA2084" w:rsidP="0049322D">
            <w:pPr>
              <w:jc w:val="center"/>
            </w:pPr>
            <w:r>
              <w:t>3</w:t>
            </w:r>
          </w:p>
          <w:p w14:paraId="01EA923C" w14:textId="77777777" w:rsidR="00CA2084" w:rsidRDefault="00CA2084" w:rsidP="0049322D">
            <w:pPr>
              <w:jc w:val="center"/>
            </w:pPr>
            <w:r>
              <w:t>(&lt;1%)</w:t>
            </w:r>
          </w:p>
        </w:tc>
        <w:tc>
          <w:tcPr>
            <w:tcW w:w="1176" w:type="dxa"/>
          </w:tcPr>
          <w:p w14:paraId="1EF8B415" w14:textId="77777777" w:rsidR="00CA2084" w:rsidRDefault="00CA2084" w:rsidP="0049322D">
            <w:pPr>
              <w:jc w:val="center"/>
            </w:pPr>
            <w:r>
              <w:t>25</w:t>
            </w:r>
          </w:p>
          <w:p w14:paraId="46214A85" w14:textId="77777777" w:rsidR="00CA2084" w:rsidRDefault="00CA2084" w:rsidP="0049322D">
            <w:pPr>
              <w:jc w:val="center"/>
            </w:pPr>
            <w:r>
              <w:t>(&lt;1%)</w:t>
            </w:r>
          </w:p>
        </w:tc>
      </w:tr>
      <w:tr w:rsidR="00CA2084" w14:paraId="24A5079C" w14:textId="77777777" w:rsidTr="0049322D">
        <w:tc>
          <w:tcPr>
            <w:tcW w:w="1657" w:type="dxa"/>
          </w:tcPr>
          <w:p w14:paraId="2CDDF8CD" w14:textId="77777777" w:rsidR="00CA2084" w:rsidRDefault="00CA2084" w:rsidP="0049322D">
            <w:pPr>
              <w:jc w:val="center"/>
            </w:pPr>
          </w:p>
        </w:tc>
        <w:tc>
          <w:tcPr>
            <w:tcW w:w="1059" w:type="dxa"/>
          </w:tcPr>
          <w:p w14:paraId="5A9E95DB" w14:textId="77777777" w:rsidR="00CA2084" w:rsidRDefault="00CA2084" w:rsidP="0049322D">
            <w:pPr>
              <w:jc w:val="center"/>
            </w:pPr>
          </w:p>
        </w:tc>
        <w:tc>
          <w:tcPr>
            <w:tcW w:w="1304" w:type="dxa"/>
          </w:tcPr>
          <w:p w14:paraId="10E7D40B" w14:textId="77777777" w:rsidR="00CA2084" w:rsidRDefault="00CA2084" w:rsidP="0049322D">
            <w:pPr>
              <w:jc w:val="center"/>
            </w:pPr>
          </w:p>
        </w:tc>
        <w:tc>
          <w:tcPr>
            <w:tcW w:w="2184" w:type="dxa"/>
          </w:tcPr>
          <w:p w14:paraId="28BE6989" w14:textId="77777777" w:rsidR="00CA2084" w:rsidRDefault="00CA2084" w:rsidP="0049322D">
            <w:pPr>
              <w:jc w:val="center"/>
            </w:pPr>
          </w:p>
        </w:tc>
        <w:tc>
          <w:tcPr>
            <w:tcW w:w="1136" w:type="dxa"/>
          </w:tcPr>
          <w:p w14:paraId="2BE387CF" w14:textId="77777777" w:rsidR="00CA2084" w:rsidRDefault="00CA2084" w:rsidP="0049322D">
            <w:pPr>
              <w:jc w:val="center"/>
            </w:pPr>
          </w:p>
        </w:tc>
        <w:tc>
          <w:tcPr>
            <w:tcW w:w="1176" w:type="dxa"/>
          </w:tcPr>
          <w:p w14:paraId="52DDDE46" w14:textId="77777777" w:rsidR="00CA2084" w:rsidRDefault="00CA2084" w:rsidP="0049322D">
            <w:pPr>
              <w:jc w:val="center"/>
            </w:pPr>
          </w:p>
        </w:tc>
      </w:tr>
      <w:tr w:rsidR="00CA2084" w14:paraId="1042310D" w14:textId="77777777" w:rsidTr="0049322D">
        <w:tc>
          <w:tcPr>
            <w:tcW w:w="1657" w:type="dxa"/>
            <w:vMerge w:val="restart"/>
          </w:tcPr>
          <w:p w14:paraId="6A21BFE4" w14:textId="77777777" w:rsidR="00CA2084" w:rsidRDefault="00CA2084" w:rsidP="0049322D">
            <w:pPr>
              <w:jc w:val="center"/>
            </w:pPr>
            <w:r>
              <w:t>Offences against property without violence</w:t>
            </w:r>
          </w:p>
        </w:tc>
        <w:tc>
          <w:tcPr>
            <w:tcW w:w="1059" w:type="dxa"/>
            <w:vMerge w:val="restart"/>
          </w:tcPr>
          <w:p w14:paraId="2BCB6DF6" w14:textId="77777777" w:rsidR="00CA2084" w:rsidRDefault="00CA2084" w:rsidP="0049322D">
            <w:pPr>
              <w:jc w:val="center"/>
            </w:pPr>
            <w:r>
              <w:t>6,275</w:t>
            </w:r>
            <w:r>
              <w:br/>
              <w:t>(88%)</w:t>
            </w:r>
          </w:p>
        </w:tc>
        <w:tc>
          <w:tcPr>
            <w:tcW w:w="1304" w:type="dxa"/>
            <w:vMerge w:val="restart"/>
          </w:tcPr>
          <w:p w14:paraId="364651EE" w14:textId="77777777" w:rsidR="00CA2084" w:rsidRDefault="00CA2084" w:rsidP="0049322D">
            <w:pPr>
              <w:jc w:val="center"/>
            </w:pPr>
            <w:r>
              <w:t>18,225</w:t>
            </w:r>
          </w:p>
          <w:p w14:paraId="42C1EFF4" w14:textId="77777777" w:rsidR="00CA2084" w:rsidRDefault="00CA2084" w:rsidP="0049322D">
            <w:pPr>
              <w:jc w:val="center"/>
            </w:pPr>
            <w:r>
              <w:t>(71%)</w:t>
            </w:r>
          </w:p>
        </w:tc>
        <w:tc>
          <w:tcPr>
            <w:tcW w:w="2184" w:type="dxa"/>
          </w:tcPr>
          <w:p w14:paraId="251F2AF9" w14:textId="77777777" w:rsidR="00CA2084" w:rsidRDefault="00CA2084" w:rsidP="0049322D">
            <w:pPr>
              <w:jc w:val="center"/>
            </w:pPr>
            <w:r>
              <w:t>Larceny</w:t>
            </w:r>
          </w:p>
        </w:tc>
        <w:tc>
          <w:tcPr>
            <w:tcW w:w="1136" w:type="dxa"/>
          </w:tcPr>
          <w:p w14:paraId="37C0694D" w14:textId="77777777" w:rsidR="00CA2084" w:rsidRDefault="00CA2084" w:rsidP="0049322D">
            <w:pPr>
              <w:jc w:val="center"/>
            </w:pPr>
            <w:r>
              <w:t>4,201</w:t>
            </w:r>
          </w:p>
          <w:p w14:paraId="6B947674" w14:textId="77777777" w:rsidR="00CA2084" w:rsidRDefault="00CA2084" w:rsidP="0049322D">
            <w:pPr>
              <w:jc w:val="center"/>
            </w:pPr>
            <w:r>
              <w:t>(59%)</w:t>
            </w:r>
          </w:p>
        </w:tc>
        <w:tc>
          <w:tcPr>
            <w:tcW w:w="1176" w:type="dxa"/>
          </w:tcPr>
          <w:p w14:paraId="399124EB" w14:textId="77777777" w:rsidR="00CA2084" w:rsidRDefault="00CA2084" w:rsidP="0049322D">
            <w:pPr>
              <w:jc w:val="center"/>
            </w:pPr>
            <w:r>
              <w:t>13,129</w:t>
            </w:r>
            <w:r>
              <w:br/>
              <w:t>(52%)</w:t>
            </w:r>
          </w:p>
        </w:tc>
      </w:tr>
      <w:tr w:rsidR="00CA2084" w14:paraId="2D859EB0" w14:textId="77777777" w:rsidTr="0049322D">
        <w:tc>
          <w:tcPr>
            <w:tcW w:w="1657" w:type="dxa"/>
            <w:vMerge/>
          </w:tcPr>
          <w:p w14:paraId="566085DB" w14:textId="77777777" w:rsidR="00CA2084" w:rsidRDefault="00CA2084" w:rsidP="0049322D">
            <w:pPr>
              <w:jc w:val="center"/>
            </w:pPr>
          </w:p>
        </w:tc>
        <w:tc>
          <w:tcPr>
            <w:tcW w:w="1059" w:type="dxa"/>
            <w:vMerge/>
          </w:tcPr>
          <w:p w14:paraId="4FFBFCFF" w14:textId="77777777" w:rsidR="00CA2084" w:rsidRDefault="00CA2084" w:rsidP="0049322D">
            <w:pPr>
              <w:jc w:val="center"/>
            </w:pPr>
          </w:p>
        </w:tc>
        <w:tc>
          <w:tcPr>
            <w:tcW w:w="1304" w:type="dxa"/>
            <w:vMerge/>
          </w:tcPr>
          <w:p w14:paraId="1125A5B2" w14:textId="77777777" w:rsidR="00CA2084" w:rsidRDefault="00CA2084" w:rsidP="0049322D">
            <w:pPr>
              <w:jc w:val="center"/>
            </w:pPr>
          </w:p>
        </w:tc>
        <w:tc>
          <w:tcPr>
            <w:tcW w:w="2184" w:type="dxa"/>
          </w:tcPr>
          <w:p w14:paraId="6C525615" w14:textId="77777777" w:rsidR="00CA2084" w:rsidRDefault="00CA2084" w:rsidP="0049322D">
            <w:pPr>
              <w:jc w:val="center"/>
            </w:pPr>
            <w:r>
              <w:t>Larceny from the person (inc. attempt)</w:t>
            </w:r>
          </w:p>
        </w:tc>
        <w:tc>
          <w:tcPr>
            <w:tcW w:w="1136" w:type="dxa"/>
          </w:tcPr>
          <w:p w14:paraId="2DBD5B37" w14:textId="77777777" w:rsidR="00CA2084" w:rsidRDefault="00CA2084" w:rsidP="0049322D">
            <w:pPr>
              <w:jc w:val="center"/>
            </w:pPr>
            <w:r>
              <w:t>713</w:t>
            </w:r>
            <w:r>
              <w:br/>
              <w:t>(10%)</w:t>
            </w:r>
          </w:p>
        </w:tc>
        <w:tc>
          <w:tcPr>
            <w:tcW w:w="1176" w:type="dxa"/>
          </w:tcPr>
          <w:p w14:paraId="546122EC" w14:textId="77777777" w:rsidR="00CA2084" w:rsidRDefault="00CA2084" w:rsidP="0049322D">
            <w:pPr>
              <w:jc w:val="center"/>
            </w:pPr>
            <w:r>
              <w:t>1,256</w:t>
            </w:r>
            <w:r>
              <w:br/>
              <w:t>(4%)</w:t>
            </w:r>
          </w:p>
        </w:tc>
      </w:tr>
      <w:tr w:rsidR="00CA2084" w14:paraId="527B707E" w14:textId="77777777" w:rsidTr="0049322D">
        <w:tc>
          <w:tcPr>
            <w:tcW w:w="1657" w:type="dxa"/>
            <w:vMerge/>
          </w:tcPr>
          <w:p w14:paraId="7A258F70" w14:textId="77777777" w:rsidR="00CA2084" w:rsidRDefault="00CA2084" w:rsidP="0049322D">
            <w:pPr>
              <w:jc w:val="center"/>
            </w:pPr>
          </w:p>
        </w:tc>
        <w:tc>
          <w:tcPr>
            <w:tcW w:w="1059" w:type="dxa"/>
            <w:vMerge/>
          </w:tcPr>
          <w:p w14:paraId="0DFCC329" w14:textId="77777777" w:rsidR="00CA2084" w:rsidRDefault="00CA2084" w:rsidP="0049322D">
            <w:pPr>
              <w:jc w:val="center"/>
            </w:pPr>
          </w:p>
        </w:tc>
        <w:tc>
          <w:tcPr>
            <w:tcW w:w="1304" w:type="dxa"/>
            <w:vMerge/>
          </w:tcPr>
          <w:p w14:paraId="34D7BEF5" w14:textId="77777777" w:rsidR="00CA2084" w:rsidRDefault="00CA2084" w:rsidP="0049322D">
            <w:pPr>
              <w:jc w:val="center"/>
            </w:pPr>
          </w:p>
        </w:tc>
        <w:tc>
          <w:tcPr>
            <w:tcW w:w="2184" w:type="dxa"/>
          </w:tcPr>
          <w:p w14:paraId="53C58648" w14:textId="77777777" w:rsidR="00CA2084" w:rsidRDefault="00CA2084" w:rsidP="0049322D">
            <w:pPr>
              <w:jc w:val="center"/>
            </w:pPr>
            <w:r>
              <w:t>Larceny by servant</w:t>
            </w:r>
          </w:p>
        </w:tc>
        <w:tc>
          <w:tcPr>
            <w:tcW w:w="1136" w:type="dxa"/>
          </w:tcPr>
          <w:p w14:paraId="5BBD6AB8" w14:textId="77777777" w:rsidR="00CA2084" w:rsidRDefault="00CA2084" w:rsidP="0049322D">
            <w:pPr>
              <w:jc w:val="center"/>
            </w:pPr>
            <w:r>
              <w:t>618</w:t>
            </w:r>
          </w:p>
          <w:p w14:paraId="0CB40AA2" w14:textId="77777777" w:rsidR="00CA2084" w:rsidRDefault="00CA2084" w:rsidP="0049322D">
            <w:pPr>
              <w:jc w:val="center"/>
            </w:pPr>
            <w:r>
              <w:t>(9%)</w:t>
            </w:r>
          </w:p>
        </w:tc>
        <w:tc>
          <w:tcPr>
            <w:tcW w:w="1176" w:type="dxa"/>
          </w:tcPr>
          <w:p w14:paraId="7208B101" w14:textId="77777777" w:rsidR="00CA2084" w:rsidRDefault="00CA2084" w:rsidP="0049322D">
            <w:pPr>
              <w:jc w:val="center"/>
            </w:pPr>
            <w:r>
              <w:t>1,148</w:t>
            </w:r>
            <w:r>
              <w:br/>
              <w:t>(5%)</w:t>
            </w:r>
          </w:p>
        </w:tc>
      </w:tr>
      <w:tr w:rsidR="00CA2084" w14:paraId="28E415A2" w14:textId="77777777" w:rsidTr="0049322D">
        <w:tc>
          <w:tcPr>
            <w:tcW w:w="1657" w:type="dxa"/>
            <w:vMerge/>
          </w:tcPr>
          <w:p w14:paraId="649778CC" w14:textId="77777777" w:rsidR="00CA2084" w:rsidRDefault="00CA2084" w:rsidP="0049322D">
            <w:pPr>
              <w:jc w:val="center"/>
            </w:pPr>
          </w:p>
        </w:tc>
        <w:tc>
          <w:tcPr>
            <w:tcW w:w="1059" w:type="dxa"/>
            <w:vMerge/>
          </w:tcPr>
          <w:p w14:paraId="220220F3" w14:textId="77777777" w:rsidR="00CA2084" w:rsidRDefault="00CA2084" w:rsidP="0049322D">
            <w:pPr>
              <w:jc w:val="center"/>
            </w:pPr>
          </w:p>
        </w:tc>
        <w:tc>
          <w:tcPr>
            <w:tcW w:w="1304" w:type="dxa"/>
            <w:vMerge/>
          </w:tcPr>
          <w:p w14:paraId="46B6C0E6" w14:textId="77777777" w:rsidR="00CA2084" w:rsidRDefault="00CA2084" w:rsidP="0049322D">
            <w:pPr>
              <w:jc w:val="center"/>
            </w:pPr>
          </w:p>
        </w:tc>
        <w:tc>
          <w:tcPr>
            <w:tcW w:w="2184" w:type="dxa"/>
          </w:tcPr>
          <w:p w14:paraId="6C13215A" w14:textId="77777777" w:rsidR="00CA2084" w:rsidRDefault="00CA2084" w:rsidP="0049322D">
            <w:pPr>
              <w:jc w:val="center"/>
            </w:pPr>
            <w:r>
              <w:t>Fraud and False pretences</w:t>
            </w:r>
          </w:p>
        </w:tc>
        <w:tc>
          <w:tcPr>
            <w:tcW w:w="1136" w:type="dxa"/>
          </w:tcPr>
          <w:p w14:paraId="34F365D1" w14:textId="77777777" w:rsidR="00CA2084" w:rsidRDefault="00CA2084" w:rsidP="0049322D">
            <w:pPr>
              <w:jc w:val="center"/>
            </w:pPr>
            <w:r>
              <w:t>281</w:t>
            </w:r>
            <w:r>
              <w:br/>
              <w:t>(4%)</w:t>
            </w:r>
          </w:p>
        </w:tc>
        <w:tc>
          <w:tcPr>
            <w:tcW w:w="1176" w:type="dxa"/>
          </w:tcPr>
          <w:p w14:paraId="7895E0F5" w14:textId="77777777" w:rsidR="00CA2084" w:rsidRDefault="00CA2084" w:rsidP="0049322D">
            <w:pPr>
              <w:jc w:val="center"/>
            </w:pPr>
            <w:r>
              <w:t>1,012</w:t>
            </w:r>
            <w:r>
              <w:br/>
              <w:t>(4%)</w:t>
            </w:r>
          </w:p>
        </w:tc>
      </w:tr>
      <w:tr w:rsidR="00CA2084" w14:paraId="7D2FC0AC" w14:textId="77777777" w:rsidTr="0049322D">
        <w:tc>
          <w:tcPr>
            <w:tcW w:w="1657" w:type="dxa"/>
            <w:vMerge/>
          </w:tcPr>
          <w:p w14:paraId="511EC0CA" w14:textId="77777777" w:rsidR="00CA2084" w:rsidRDefault="00CA2084" w:rsidP="0049322D">
            <w:pPr>
              <w:jc w:val="center"/>
            </w:pPr>
          </w:p>
        </w:tc>
        <w:tc>
          <w:tcPr>
            <w:tcW w:w="1059" w:type="dxa"/>
            <w:vMerge/>
          </w:tcPr>
          <w:p w14:paraId="23D6F687" w14:textId="77777777" w:rsidR="00CA2084" w:rsidRDefault="00CA2084" w:rsidP="0049322D">
            <w:pPr>
              <w:jc w:val="center"/>
            </w:pPr>
          </w:p>
        </w:tc>
        <w:tc>
          <w:tcPr>
            <w:tcW w:w="1304" w:type="dxa"/>
            <w:vMerge/>
          </w:tcPr>
          <w:p w14:paraId="08BC572A" w14:textId="77777777" w:rsidR="00CA2084" w:rsidRDefault="00CA2084" w:rsidP="0049322D">
            <w:pPr>
              <w:jc w:val="center"/>
            </w:pPr>
          </w:p>
        </w:tc>
        <w:tc>
          <w:tcPr>
            <w:tcW w:w="2184" w:type="dxa"/>
          </w:tcPr>
          <w:p w14:paraId="3C6889A0" w14:textId="77777777" w:rsidR="00CA2084" w:rsidRDefault="00CA2084" w:rsidP="0049322D">
            <w:pPr>
              <w:jc w:val="center"/>
            </w:pPr>
            <w:r>
              <w:t>Receiving stolen goods</w:t>
            </w:r>
          </w:p>
        </w:tc>
        <w:tc>
          <w:tcPr>
            <w:tcW w:w="1136" w:type="dxa"/>
          </w:tcPr>
          <w:p w14:paraId="11748EC7" w14:textId="77777777" w:rsidR="00CA2084" w:rsidRDefault="00CA2084" w:rsidP="0049322D">
            <w:pPr>
              <w:jc w:val="center"/>
            </w:pPr>
            <w:r>
              <w:t>391</w:t>
            </w:r>
            <w:r>
              <w:br/>
              <w:t>(5%)</w:t>
            </w:r>
          </w:p>
        </w:tc>
        <w:tc>
          <w:tcPr>
            <w:tcW w:w="1176" w:type="dxa"/>
          </w:tcPr>
          <w:p w14:paraId="3F961EFE" w14:textId="77777777" w:rsidR="00CA2084" w:rsidRDefault="00CA2084" w:rsidP="0049322D">
            <w:pPr>
              <w:jc w:val="center"/>
            </w:pPr>
            <w:r>
              <w:t>570</w:t>
            </w:r>
            <w:r>
              <w:br/>
              <w:t>(3%)</w:t>
            </w:r>
          </w:p>
        </w:tc>
      </w:tr>
      <w:tr w:rsidR="00CA2084" w14:paraId="430C1441" w14:textId="77777777" w:rsidTr="0049322D">
        <w:tc>
          <w:tcPr>
            <w:tcW w:w="1657" w:type="dxa"/>
            <w:vMerge/>
          </w:tcPr>
          <w:p w14:paraId="2BFF94DA" w14:textId="77777777" w:rsidR="00CA2084" w:rsidRDefault="00CA2084" w:rsidP="0049322D">
            <w:pPr>
              <w:jc w:val="center"/>
            </w:pPr>
          </w:p>
        </w:tc>
        <w:tc>
          <w:tcPr>
            <w:tcW w:w="1059" w:type="dxa"/>
            <w:vMerge/>
          </w:tcPr>
          <w:p w14:paraId="06FE272C" w14:textId="77777777" w:rsidR="00CA2084" w:rsidRDefault="00CA2084" w:rsidP="0049322D">
            <w:pPr>
              <w:jc w:val="center"/>
            </w:pPr>
          </w:p>
        </w:tc>
        <w:tc>
          <w:tcPr>
            <w:tcW w:w="1304" w:type="dxa"/>
            <w:vMerge/>
          </w:tcPr>
          <w:p w14:paraId="5F316A65" w14:textId="77777777" w:rsidR="00CA2084" w:rsidRDefault="00CA2084" w:rsidP="0049322D">
            <w:pPr>
              <w:jc w:val="center"/>
            </w:pPr>
          </w:p>
        </w:tc>
        <w:tc>
          <w:tcPr>
            <w:tcW w:w="2184" w:type="dxa"/>
          </w:tcPr>
          <w:p w14:paraId="05CB935D" w14:textId="77777777" w:rsidR="00CA2084" w:rsidRDefault="00CA2084" w:rsidP="0049322D">
            <w:pPr>
              <w:jc w:val="center"/>
            </w:pPr>
            <w:r>
              <w:t>Larceny in a dwelling house (inc. attempt)</w:t>
            </w:r>
          </w:p>
        </w:tc>
        <w:tc>
          <w:tcPr>
            <w:tcW w:w="1136" w:type="dxa"/>
          </w:tcPr>
          <w:p w14:paraId="6DE1151F" w14:textId="77777777" w:rsidR="00CA2084" w:rsidRDefault="00CA2084" w:rsidP="0049322D">
            <w:pPr>
              <w:jc w:val="center"/>
            </w:pPr>
            <w:r>
              <w:t>47</w:t>
            </w:r>
            <w:r>
              <w:br/>
              <w:t>(1%)</w:t>
            </w:r>
          </w:p>
        </w:tc>
        <w:tc>
          <w:tcPr>
            <w:tcW w:w="1176" w:type="dxa"/>
          </w:tcPr>
          <w:p w14:paraId="6EF44B42" w14:textId="77777777" w:rsidR="00CA2084" w:rsidRDefault="00CA2084" w:rsidP="0049322D">
            <w:pPr>
              <w:jc w:val="center"/>
            </w:pPr>
            <w:r>
              <w:t>136</w:t>
            </w:r>
          </w:p>
          <w:p w14:paraId="2CF80CB4" w14:textId="77777777" w:rsidR="00CA2084" w:rsidRDefault="00CA2084" w:rsidP="0049322D">
            <w:pPr>
              <w:jc w:val="center"/>
            </w:pPr>
            <w:r>
              <w:t>(&lt;1%)</w:t>
            </w:r>
          </w:p>
        </w:tc>
      </w:tr>
      <w:tr w:rsidR="00CA2084" w14:paraId="0AFAED19" w14:textId="77777777" w:rsidTr="0049322D">
        <w:tc>
          <w:tcPr>
            <w:tcW w:w="1657" w:type="dxa"/>
            <w:vMerge/>
          </w:tcPr>
          <w:p w14:paraId="4171EAAA" w14:textId="77777777" w:rsidR="00CA2084" w:rsidRDefault="00CA2084" w:rsidP="0049322D">
            <w:pPr>
              <w:jc w:val="center"/>
            </w:pPr>
          </w:p>
        </w:tc>
        <w:tc>
          <w:tcPr>
            <w:tcW w:w="1059" w:type="dxa"/>
            <w:vMerge/>
          </w:tcPr>
          <w:p w14:paraId="4A44488F" w14:textId="77777777" w:rsidR="00CA2084" w:rsidRDefault="00CA2084" w:rsidP="0049322D">
            <w:pPr>
              <w:jc w:val="center"/>
            </w:pPr>
          </w:p>
        </w:tc>
        <w:tc>
          <w:tcPr>
            <w:tcW w:w="1304" w:type="dxa"/>
            <w:vMerge/>
          </w:tcPr>
          <w:p w14:paraId="38A076C2" w14:textId="77777777" w:rsidR="00CA2084" w:rsidRDefault="00CA2084" w:rsidP="0049322D">
            <w:pPr>
              <w:jc w:val="center"/>
            </w:pPr>
          </w:p>
        </w:tc>
        <w:tc>
          <w:tcPr>
            <w:tcW w:w="2184" w:type="dxa"/>
          </w:tcPr>
          <w:p w14:paraId="7EF8BE06" w14:textId="77777777" w:rsidR="00CA2084" w:rsidRDefault="00CA2084" w:rsidP="0049322D">
            <w:pPr>
              <w:jc w:val="center"/>
            </w:pPr>
            <w:r>
              <w:t>Embezzlement</w:t>
            </w:r>
          </w:p>
        </w:tc>
        <w:tc>
          <w:tcPr>
            <w:tcW w:w="1136" w:type="dxa"/>
          </w:tcPr>
          <w:p w14:paraId="279EEC4F" w14:textId="77777777" w:rsidR="00CA2084" w:rsidRDefault="00CA2084" w:rsidP="0049322D">
            <w:pPr>
              <w:jc w:val="center"/>
            </w:pPr>
            <w:r>
              <w:t>11</w:t>
            </w:r>
          </w:p>
          <w:p w14:paraId="16DC5D8E" w14:textId="77777777" w:rsidR="00CA2084" w:rsidRDefault="00CA2084" w:rsidP="0049322D">
            <w:pPr>
              <w:jc w:val="center"/>
            </w:pPr>
            <w:r>
              <w:t>(&lt;1%)</w:t>
            </w:r>
          </w:p>
        </w:tc>
        <w:tc>
          <w:tcPr>
            <w:tcW w:w="1176" w:type="dxa"/>
          </w:tcPr>
          <w:p w14:paraId="1EFDD5AC" w14:textId="77777777" w:rsidR="00CA2084" w:rsidRDefault="00CA2084" w:rsidP="0049322D">
            <w:pPr>
              <w:jc w:val="center"/>
            </w:pPr>
            <w:r>
              <w:t>411</w:t>
            </w:r>
            <w:r>
              <w:br/>
              <w:t>(1%)</w:t>
            </w:r>
          </w:p>
        </w:tc>
      </w:tr>
      <w:tr w:rsidR="00CA2084" w14:paraId="6FE82414" w14:textId="77777777" w:rsidTr="0049322D">
        <w:tc>
          <w:tcPr>
            <w:tcW w:w="1657" w:type="dxa"/>
            <w:vMerge/>
          </w:tcPr>
          <w:p w14:paraId="576681BE" w14:textId="77777777" w:rsidR="00CA2084" w:rsidRDefault="00CA2084" w:rsidP="0049322D">
            <w:pPr>
              <w:jc w:val="center"/>
            </w:pPr>
          </w:p>
        </w:tc>
        <w:tc>
          <w:tcPr>
            <w:tcW w:w="1059" w:type="dxa"/>
            <w:vMerge/>
          </w:tcPr>
          <w:p w14:paraId="128C2F91" w14:textId="77777777" w:rsidR="00CA2084" w:rsidRDefault="00CA2084" w:rsidP="0049322D">
            <w:pPr>
              <w:jc w:val="center"/>
            </w:pPr>
          </w:p>
        </w:tc>
        <w:tc>
          <w:tcPr>
            <w:tcW w:w="1304" w:type="dxa"/>
            <w:vMerge/>
          </w:tcPr>
          <w:p w14:paraId="2709837A" w14:textId="77777777" w:rsidR="00CA2084" w:rsidRDefault="00CA2084" w:rsidP="0049322D">
            <w:pPr>
              <w:jc w:val="center"/>
            </w:pPr>
          </w:p>
        </w:tc>
        <w:tc>
          <w:tcPr>
            <w:tcW w:w="2184" w:type="dxa"/>
          </w:tcPr>
          <w:p w14:paraId="3305A2D5" w14:textId="77777777" w:rsidR="00CA2084" w:rsidRDefault="00CA2084" w:rsidP="0049322D">
            <w:pPr>
              <w:jc w:val="center"/>
            </w:pPr>
            <w:r>
              <w:t>Stealing fixtures/lead affixed</w:t>
            </w:r>
          </w:p>
        </w:tc>
        <w:tc>
          <w:tcPr>
            <w:tcW w:w="1136" w:type="dxa"/>
          </w:tcPr>
          <w:p w14:paraId="7A44921A" w14:textId="77777777" w:rsidR="00CA2084" w:rsidRDefault="00CA2084" w:rsidP="0049322D">
            <w:pPr>
              <w:jc w:val="center"/>
            </w:pPr>
            <w:r>
              <w:t>1</w:t>
            </w:r>
          </w:p>
          <w:p w14:paraId="33A5EFA6" w14:textId="77777777" w:rsidR="00CA2084" w:rsidRDefault="00CA2084" w:rsidP="0049322D">
            <w:pPr>
              <w:jc w:val="center"/>
            </w:pPr>
            <w:r>
              <w:t>(&lt;1%)</w:t>
            </w:r>
          </w:p>
        </w:tc>
        <w:tc>
          <w:tcPr>
            <w:tcW w:w="1176" w:type="dxa"/>
          </w:tcPr>
          <w:p w14:paraId="7FE7850C" w14:textId="77777777" w:rsidR="00CA2084" w:rsidRDefault="00CA2084" w:rsidP="0049322D">
            <w:pPr>
              <w:jc w:val="center"/>
            </w:pPr>
            <w:r>
              <w:t>185</w:t>
            </w:r>
            <w:r>
              <w:br/>
              <w:t>(1%)</w:t>
            </w:r>
          </w:p>
        </w:tc>
      </w:tr>
      <w:tr w:rsidR="00CA2084" w14:paraId="574F113C" w14:textId="77777777" w:rsidTr="0049322D">
        <w:tc>
          <w:tcPr>
            <w:tcW w:w="1657" w:type="dxa"/>
            <w:vMerge/>
          </w:tcPr>
          <w:p w14:paraId="37BD03E2" w14:textId="77777777" w:rsidR="00CA2084" w:rsidRDefault="00CA2084" w:rsidP="0049322D">
            <w:pPr>
              <w:jc w:val="center"/>
            </w:pPr>
          </w:p>
        </w:tc>
        <w:tc>
          <w:tcPr>
            <w:tcW w:w="1059" w:type="dxa"/>
            <w:vMerge/>
          </w:tcPr>
          <w:p w14:paraId="694ACF3D" w14:textId="77777777" w:rsidR="00CA2084" w:rsidRDefault="00CA2084" w:rsidP="0049322D">
            <w:pPr>
              <w:jc w:val="center"/>
            </w:pPr>
          </w:p>
        </w:tc>
        <w:tc>
          <w:tcPr>
            <w:tcW w:w="1304" w:type="dxa"/>
            <w:vMerge/>
          </w:tcPr>
          <w:p w14:paraId="75FD44B4" w14:textId="77777777" w:rsidR="00CA2084" w:rsidRDefault="00CA2084" w:rsidP="0049322D">
            <w:pPr>
              <w:jc w:val="center"/>
            </w:pPr>
          </w:p>
        </w:tc>
        <w:tc>
          <w:tcPr>
            <w:tcW w:w="2184" w:type="dxa"/>
          </w:tcPr>
          <w:p w14:paraId="10419CAA" w14:textId="77777777" w:rsidR="00CA2084" w:rsidRDefault="00CA2084" w:rsidP="0049322D">
            <w:pPr>
              <w:jc w:val="center"/>
            </w:pPr>
            <w:r>
              <w:t>Larceny from the Post Office</w:t>
            </w:r>
          </w:p>
        </w:tc>
        <w:tc>
          <w:tcPr>
            <w:tcW w:w="1136" w:type="dxa"/>
          </w:tcPr>
          <w:p w14:paraId="4023CF32" w14:textId="77777777" w:rsidR="00CA2084" w:rsidRDefault="00CA2084" w:rsidP="0049322D">
            <w:pPr>
              <w:jc w:val="center"/>
            </w:pPr>
            <w:r>
              <w:t>2</w:t>
            </w:r>
          </w:p>
          <w:p w14:paraId="38D075CD" w14:textId="77777777" w:rsidR="00CA2084" w:rsidRDefault="00CA2084" w:rsidP="0049322D">
            <w:pPr>
              <w:jc w:val="center"/>
            </w:pPr>
            <w:r>
              <w:t>(&lt;1%)</w:t>
            </w:r>
          </w:p>
        </w:tc>
        <w:tc>
          <w:tcPr>
            <w:tcW w:w="1176" w:type="dxa"/>
          </w:tcPr>
          <w:p w14:paraId="3043FBA3" w14:textId="77777777" w:rsidR="00CA2084" w:rsidRDefault="00CA2084" w:rsidP="0049322D">
            <w:pPr>
              <w:jc w:val="center"/>
            </w:pPr>
            <w:r>
              <w:t>26</w:t>
            </w:r>
          </w:p>
          <w:p w14:paraId="3B195E9A" w14:textId="77777777" w:rsidR="00CA2084" w:rsidRDefault="00CA2084" w:rsidP="0049322D">
            <w:pPr>
              <w:jc w:val="center"/>
            </w:pPr>
            <w:r>
              <w:t>(&lt;1%)</w:t>
            </w:r>
          </w:p>
        </w:tc>
      </w:tr>
      <w:tr w:rsidR="00CA2084" w14:paraId="71AC2DA7" w14:textId="77777777" w:rsidTr="0049322D">
        <w:tc>
          <w:tcPr>
            <w:tcW w:w="1657" w:type="dxa"/>
            <w:vMerge/>
          </w:tcPr>
          <w:p w14:paraId="0F551C17" w14:textId="77777777" w:rsidR="00CA2084" w:rsidRDefault="00CA2084" w:rsidP="0049322D">
            <w:pPr>
              <w:jc w:val="center"/>
            </w:pPr>
          </w:p>
        </w:tc>
        <w:tc>
          <w:tcPr>
            <w:tcW w:w="1059" w:type="dxa"/>
            <w:vMerge/>
          </w:tcPr>
          <w:p w14:paraId="4F236A68" w14:textId="77777777" w:rsidR="00CA2084" w:rsidRDefault="00CA2084" w:rsidP="0049322D">
            <w:pPr>
              <w:jc w:val="center"/>
            </w:pPr>
          </w:p>
        </w:tc>
        <w:tc>
          <w:tcPr>
            <w:tcW w:w="1304" w:type="dxa"/>
            <w:vMerge/>
          </w:tcPr>
          <w:p w14:paraId="1CB5FFA2" w14:textId="77777777" w:rsidR="00CA2084" w:rsidRDefault="00CA2084" w:rsidP="0049322D">
            <w:pPr>
              <w:jc w:val="center"/>
            </w:pPr>
          </w:p>
        </w:tc>
        <w:tc>
          <w:tcPr>
            <w:tcW w:w="2184" w:type="dxa"/>
          </w:tcPr>
          <w:p w14:paraId="0D1CBA41" w14:textId="77777777" w:rsidR="00CA2084" w:rsidRDefault="00CA2084" w:rsidP="0049322D">
            <w:pPr>
              <w:jc w:val="center"/>
            </w:pPr>
            <w:r>
              <w:t>Cattle stealing</w:t>
            </w:r>
          </w:p>
        </w:tc>
        <w:tc>
          <w:tcPr>
            <w:tcW w:w="1136" w:type="dxa"/>
          </w:tcPr>
          <w:p w14:paraId="2221FF45" w14:textId="77777777" w:rsidR="00CA2084" w:rsidRDefault="00CA2084" w:rsidP="0049322D">
            <w:pPr>
              <w:jc w:val="center"/>
            </w:pPr>
            <w:r>
              <w:t>6</w:t>
            </w:r>
          </w:p>
          <w:p w14:paraId="0D4AC1A0" w14:textId="77777777" w:rsidR="00CA2084" w:rsidRDefault="00CA2084" w:rsidP="0049322D">
            <w:pPr>
              <w:jc w:val="center"/>
            </w:pPr>
            <w:r>
              <w:t>(&lt;1%)</w:t>
            </w:r>
          </w:p>
        </w:tc>
        <w:tc>
          <w:tcPr>
            <w:tcW w:w="1176" w:type="dxa"/>
          </w:tcPr>
          <w:p w14:paraId="07F2DC83" w14:textId="77777777" w:rsidR="00CA2084" w:rsidRDefault="00CA2084" w:rsidP="0049322D">
            <w:pPr>
              <w:jc w:val="center"/>
            </w:pPr>
            <w:r>
              <w:t>65</w:t>
            </w:r>
          </w:p>
          <w:p w14:paraId="0B0248B6" w14:textId="77777777" w:rsidR="00CA2084" w:rsidRDefault="00CA2084" w:rsidP="0049322D">
            <w:pPr>
              <w:jc w:val="center"/>
            </w:pPr>
            <w:r>
              <w:t>(&lt;1%)</w:t>
            </w:r>
          </w:p>
        </w:tc>
      </w:tr>
      <w:tr w:rsidR="00CA2084" w14:paraId="59FC4DEF" w14:textId="77777777" w:rsidTr="0049322D">
        <w:tc>
          <w:tcPr>
            <w:tcW w:w="1657" w:type="dxa"/>
            <w:vMerge/>
          </w:tcPr>
          <w:p w14:paraId="75606111" w14:textId="77777777" w:rsidR="00CA2084" w:rsidRDefault="00CA2084" w:rsidP="0049322D">
            <w:pPr>
              <w:jc w:val="center"/>
            </w:pPr>
          </w:p>
        </w:tc>
        <w:tc>
          <w:tcPr>
            <w:tcW w:w="1059" w:type="dxa"/>
            <w:vMerge/>
          </w:tcPr>
          <w:p w14:paraId="0D78BDB1" w14:textId="77777777" w:rsidR="00CA2084" w:rsidRDefault="00CA2084" w:rsidP="0049322D">
            <w:pPr>
              <w:jc w:val="center"/>
            </w:pPr>
          </w:p>
        </w:tc>
        <w:tc>
          <w:tcPr>
            <w:tcW w:w="1304" w:type="dxa"/>
            <w:vMerge/>
          </w:tcPr>
          <w:p w14:paraId="6C11F428" w14:textId="77777777" w:rsidR="00CA2084" w:rsidRDefault="00CA2084" w:rsidP="0049322D">
            <w:pPr>
              <w:jc w:val="center"/>
            </w:pPr>
          </w:p>
        </w:tc>
        <w:tc>
          <w:tcPr>
            <w:tcW w:w="2184" w:type="dxa"/>
          </w:tcPr>
          <w:p w14:paraId="07D09FF7" w14:textId="77777777" w:rsidR="00CA2084" w:rsidRDefault="00CA2084" w:rsidP="0049322D">
            <w:pPr>
              <w:jc w:val="center"/>
            </w:pPr>
            <w:r>
              <w:t>Sheep stealing</w:t>
            </w:r>
          </w:p>
        </w:tc>
        <w:tc>
          <w:tcPr>
            <w:tcW w:w="1136" w:type="dxa"/>
          </w:tcPr>
          <w:p w14:paraId="69957CE7" w14:textId="77777777" w:rsidR="00CA2084" w:rsidRDefault="00CA2084" w:rsidP="0049322D">
            <w:pPr>
              <w:jc w:val="center"/>
            </w:pPr>
            <w:r>
              <w:t>0</w:t>
            </w:r>
          </w:p>
        </w:tc>
        <w:tc>
          <w:tcPr>
            <w:tcW w:w="1176" w:type="dxa"/>
          </w:tcPr>
          <w:p w14:paraId="26E59046" w14:textId="77777777" w:rsidR="00CA2084" w:rsidRDefault="00CA2084" w:rsidP="0049322D">
            <w:pPr>
              <w:jc w:val="center"/>
            </w:pPr>
            <w:r>
              <w:t>55</w:t>
            </w:r>
          </w:p>
          <w:p w14:paraId="4FDC858D" w14:textId="77777777" w:rsidR="00CA2084" w:rsidRDefault="00CA2084" w:rsidP="0049322D">
            <w:pPr>
              <w:jc w:val="center"/>
            </w:pPr>
            <w:r>
              <w:t>(&lt;1%)</w:t>
            </w:r>
          </w:p>
        </w:tc>
      </w:tr>
      <w:tr w:rsidR="00CA2084" w14:paraId="4C9FF060" w14:textId="77777777" w:rsidTr="0049322D">
        <w:tc>
          <w:tcPr>
            <w:tcW w:w="1657" w:type="dxa"/>
            <w:vMerge/>
          </w:tcPr>
          <w:p w14:paraId="3F46B040" w14:textId="77777777" w:rsidR="00CA2084" w:rsidRDefault="00CA2084" w:rsidP="0049322D">
            <w:pPr>
              <w:jc w:val="center"/>
            </w:pPr>
          </w:p>
        </w:tc>
        <w:tc>
          <w:tcPr>
            <w:tcW w:w="1059" w:type="dxa"/>
            <w:vMerge/>
          </w:tcPr>
          <w:p w14:paraId="15E46CB5" w14:textId="77777777" w:rsidR="00CA2084" w:rsidRDefault="00CA2084" w:rsidP="0049322D">
            <w:pPr>
              <w:jc w:val="center"/>
            </w:pPr>
          </w:p>
        </w:tc>
        <w:tc>
          <w:tcPr>
            <w:tcW w:w="1304" w:type="dxa"/>
            <w:vMerge/>
          </w:tcPr>
          <w:p w14:paraId="772B0CFB" w14:textId="77777777" w:rsidR="00CA2084" w:rsidRDefault="00CA2084" w:rsidP="0049322D">
            <w:pPr>
              <w:jc w:val="center"/>
            </w:pPr>
          </w:p>
        </w:tc>
        <w:tc>
          <w:tcPr>
            <w:tcW w:w="2184" w:type="dxa"/>
          </w:tcPr>
          <w:p w14:paraId="499DDFFC" w14:textId="77777777" w:rsidR="00CA2084" w:rsidRDefault="00CA2084" w:rsidP="0049322D">
            <w:pPr>
              <w:jc w:val="center"/>
            </w:pPr>
            <w:r>
              <w:t>Stealing from vessels</w:t>
            </w:r>
          </w:p>
        </w:tc>
        <w:tc>
          <w:tcPr>
            <w:tcW w:w="1136" w:type="dxa"/>
          </w:tcPr>
          <w:p w14:paraId="48A6A87A" w14:textId="77777777" w:rsidR="00CA2084" w:rsidRDefault="00CA2084" w:rsidP="0049322D">
            <w:pPr>
              <w:jc w:val="center"/>
            </w:pPr>
            <w:r>
              <w:t>1</w:t>
            </w:r>
          </w:p>
          <w:p w14:paraId="3C9A39AC" w14:textId="77777777" w:rsidR="00CA2084" w:rsidRDefault="00CA2084" w:rsidP="0049322D">
            <w:pPr>
              <w:jc w:val="center"/>
            </w:pPr>
            <w:r>
              <w:t>(&lt;1%)</w:t>
            </w:r>
          </w:p>
        </w:tc>
        <w:tc>
          <w:tcPr>
            <w:tcW w:w="1176" w:type="dxa"/>
          </w:tcPr>
          <w:p w14:paraId="03A33DCD" w14:textId="77777777" w:rsidR="00CA2084" w:rsidRDefault="00CA2084" w:rsidP="0049322D">
            <w:pPr>
              <w:jc w:val="center"/>
            </w:pPr>
            <w:r>
              <w:t>125</w:t>
            </w:r>
          </w:p>
          <w:p w14:paraId="28868B6F" w14:textId="77777777" w:rsidR="00CA2084" w:rsidRDefault="00CA2084" w:rsidP="0049322D">
            <w:pPr>
              <w:jc w:val="center"/>
            </w:pPr>
            <w:r>
              <w:t>(&lt;1%)</w:t>
            </w:r>
          </w:p>
        </w:tc>
      </w:tr>
      <w:tr w:rsidR="00CA2084" w14:paraId="51358EE0" w14:textId="77777777" w:rsidTr="0049322D">
        <w:tc>
          <w:tcPr>
            <w:tcW w:w="1657" w:type="dxa"/>
            <w:vMerge/>
          </w:tcPr>
          <w:p w14:paraId="2ED55E8E" w14:textId="77777777" w:rsidR="00CA2084" w:rsidRDefault="00CA2084" w:rsidP="0049322D">
            <w:pPr>
              <w:jc w:val="center"/>
            </w:pPr>
          </w:p>
        </w:tc>
        <w:tc>
          <w:tcPr>
            <w:tcW w:w="1059" w:type="dxa"/>
            <w:vMerge/>
          </w:tcPr>
          <w:p w14:paraId="4A993298" w14:textId="77777777" w:rsidR="00CA2084" w:rsidRDefault="00CA2084" w:rsidP="0049322D">
            <w:pPr>
              <w:jc w:val="center"/>
            </w:pPr>
          </w:p>
        </w:tc>
        <w:tc>
          <w:tcPr>
            <w:tcW w:w="1304" w:type="dxa"/>
            <w:vMerge/>
          </w:tcPr>
          <w:p w14:paraId="7236D638" w14:textId="77777777" w:rsidR="00CA2084" w:rsidRDefault="00CA2084" w:rsidP="0049322D">
            <w:pPr>
              <w:jc w:val="center"/>
            </w:pPr>
          </w:p>
        </w:tc>
        <w:tc>
          <w:tcPr>
            <w:tcW w:w="2184" w:type="dxa"/>
          </w:tcPr>
          <w:p w14:paraId="3CC51CDA" w14:textId="77777777" w:rsidR="00CA2084" w:rsidRDefault="00CA2084" w:rsidP="0049322D">
            <w:pPr>
              <w:jc w:val="center"/>
            </w:pPr>
            <w:r>
              <w:t>Horse stealing</w:t>
            </w:r>
          </w:p>
        </w:tc>
        <w:tc>
          <w:tcPr>
            <w:tcW w:w="1136" w:type="dxa"/>
          </w:tcPr>
          <w:p w14:paraId="70F0B06F" w14:textId="77777777" w:rsidR="00CA2084" w:rsidRDefault="00CA2084" w:rsidP="0049322D">
            <w:pPr>
              <w:jc w:val="center"/>
            </w:pPr>
            <w:r>
              <w:t>3</w:t>
            </w:r>
          </w:p>
          <w:p w14:paraId="5CAD78F9" w14:textId="77777777" w:rsidR="00CA2084" w:rsidRDefault="00CA2084" w:rsidP="0049322D">
            <w:pPr>
              <w:jc w:val="center"/>
            </w:pPr>
            <w:r>
              <w:t>(&lt;1%)</w:t>
            </w:r>
          </w:p>
        </w:tc>
        <w:tc>
          <w:tcPr>
            <w:tcW w:w="1176" w:type="dxa"/>
          </w:tcPr>
          <w:p w14:paraId="0606E2F8" w14:textId="77777777" w:rsidR="00CA2084" w:rsidRDefault="00CA2084" w:rsidP="0049322D">
            <w:pPr>
              <w:jc w:val="center"/>
            </w:pPr>
            <w:r>
              <w:t>107</w:t>
            </w:r>
          </w:p>
          <w:p w14:paraId="513DF6E5" w14:textId="77777777" w:rsidR="00CA2084" w:rsidRDefault="00CA2084" w:rsidP="0049322D">
            <w:pPr>
              <w:jc w:val="center"/>
            </w:pPr>
            <w:r>
              <w:t>(&lt;1%)</w:t>
            </w:r>
          </w:p>
        </w:tc>
      </w:tr>
      <w:tr w:rsidR="00CA2084" w14:paraId="33649311" w14:textId="77777777" w:rsidTr="0049322D">
        <w:tc>
          <w:tcPr>
            <w:tcW w:w="1657" w:type="dxa"/>
          </w:tcPr>
          <w:p w14:paraId="0EB6FF7E" w14:textId="77777777" w:rsidR="00CA2084" w:rsidRDefault="00CA2084" w:rsidP="0049322D">
            <w:pPr>
              <w:jc w:val="center"/>
            </w:pPr>
          </w:p>
        </w:tc>
        <w:tc>
          <w:tcPr>
            <w:tcW w:w="1059" w:type="dxa"/>
          </w:tcPr>
          <w:p w14:paraId="1D744FA1" w14:textId="77777777" w:rsidR="00CA2084" w:rsidRDefault="00CA2084" w:rsidP="0049322D">
            <w:pPr>
              <w:jc w:val="center"/>
            </w:pPr>
          </w:p>
        </w:tc>
        <w:tc>
          <w:tcPr>
            <w:tcW w:w="1304" w:type="dxa"/>
          </w:tcPr>
          <w:p w14:paraId="121F9893" w14:textId="77777777" w:rsidR="00CA2084" w:rsidRDefault="00CA2084" w:rsidP="0049322D">
            <w:pPr>
              <w:jc w:val="center"/>
            </w:pPr>
          </w:p>
        </w:tc>
        <w:tc>
          <w:tcPr>
            <w:tcW w:w="2184" w:type="dxa"/>
          </w:tcPr>
          <w:p w14:paraId="612D0502" w14:textId="77777777" w:rsidR="00CA2084" w:rsidRDefault="00CA2084" w:rsidP="0049322D">
            <w:pPr>
              <w:jc w:val="center"/>
            </w:pPr>
          </w:p>
        </w:tc>
        <w:tc>
          <w:tcPr>
            <w:tcW w:w="1136" w:type="dxa"/>
          </w:tcPr>
          <w:p w14:paraId="1726141E" w14:textId="77777777" w:rsidR="00CA2084" w:rsidRDefault="00CA2084" w:rsidP="0049322D">
            <w:pPr>
              <w:jc w:val="center"/>
            </w:pPr>
          </w:p>
        </w:tc>
        <w:tc>
          <w:tcPr>
            <w:tcW w:w="1176" w:type="dxa"/>
          </w:tcPr>
          <w:p w14:paraId="2ADE7613" w14:textId="77777777" w:rsidR="00CA2084" w:rsidRDefault="00CA2084" w:rsidP="0049322D">
            <w:pPr>
              <w:jc w:val="center"/>
            </w:pPr>
          </w:p>
        </w:tc>
      </w:tr>
      <w:tr w:rsidR="00CA2084" w14:paraId="255C0558" w14:textId="77777777" w:rsidTr="0049322D">
        <w:tc>
          <w:tcPr>
            <w:tcW w:w="1657" w:type="dxa"/>
            <w:vMerge w:val="restart"/>
          </w:tcPr>
          <w:p w14:paraId="346AB6B0" w14:textId="77777777" w:rsidR="00CA2084" w:rsidRDefault="00CA2084" w:rsidP="0049322D">
            <w:pPr>
              <w:jc w:val="center"/>
            </w:pPr>
            <w:r>
              <w:t>Malicious offences against property</w:t>
            </w:r>
          </w:p>
        </w:tc>
        <w:tc>
          <w:tcPr>
            <w:tcW w:w="1059" w:type="dxa"/>
            <w:vMerge w:val="restart"/>
          </w:tcPr>
          <w:p w14:paraId="7CEF4AA9" w14:textId="77777777" w:rsidR="00CA2084" w:rsidRDefault="00CA2084" w:rsidP="0049322D">
            <w:pPr>
              <w:jc w:val="center"/>
            </w:pPr>
            <w:r>
              <w:t>16</w:t>
            </w:r>
            <w:r>
              <w:br/>
              <w:t>(&lt;1%)</w:t>
            </w:r>
          </w:p>
        </w:tc>
        <w:tc>
          <w:tcPr>
            <w:tcW w:w="1304" w:type="dxa"/>
            <w:vMerge w:val="restart"/>
          </w:tcPr>
          <w:p w14:paraId="0310359A" w14:textId="77777777" w:rsidR="00CA2084" w:rsidRDefault="00CA2084" w:rsidP="0049322D">
            <w:pPr>
              <w:jc w:val="center"/>
            </w:pPr>
            <w:r>
              <w:t>272</w:t>
            </w:r>
            <w:r>
              <w:br/>
              <w:t>(1%)</w:t>
            </w:r>
          </w:p>
        </w:tc>
        <w:tc>
          <w:tcPr>
            <w:tcW w:w="2184" w:type="dxa"/>
          </w:tcPr>
          <w:p w14:paraId="1FE50055" w14:textId="77777777" w:rsidR="00CA2084" w:rsidRDefault="00CA2084" w:rsidP="0049322D">
            <w:pPr>
              <w:jc w:val="center"/>
            </w:pPr>
            <w:r>
              <w:t>Arson (inc. attempted)</w:t>
            </w:r>
          </w:p>
        </w:tc>
        <w:tc>
          <w:tcPr>
            <w:tcW w:w="1136" w:type="dxa"/>
          </w:tcPr>
          <w:p w14:paraId="2F4A76E1" w14:textId="77777777" w:rsidR="00CA2084" w:rsidRDefault="00CA2084" w:rsidP="0049322D">
            <w:pPr>
              <w:jc w:val="center"/>
            </w:pPr>
            <w:r>
              <w:t>11</w:t>
            </w:r>
          </w:p>
          <w:p w14:paraId="56BF507B" w14:textId="77777777" w:rsidR="00CA2084" w:rsidRDefault="00CA2084" w:rsidP="0049322D">
            <w:pPr>
              <w:jc w:val="center"/>
            </w:pPr>
            <w:r>
              <w:t>(&lt;1%)</w:t>
            </w:r>
          </w:p>
        </w:tc>
        <w:tc>
          <w:tcPr>
            <w:tcW w:w="1176" w:type="dxa"/>
          </w:tcPr>
          <w:p w14:paraId="047F681D" w14:textId="77777777" w:rsidR="00CA2084" w:rsidRDefault="00CA2084" w:rsidP="0049322D">
            <w:pPr>
              <w:jc w:val="center"/>
            </w:pPr>
            <w:r>
              <w:t>176</w:t>
            </w:r>
          </w:p>
          <w:p w14:paraId="26C9C374" w14:textId="77777777" w:rsidR="00CA2084" w:rsidRDefault="00CA2084" w:rsidP="0049322D">
            <w:pPr>
              <w:jc w:val="center"/>
            </w:pPr>
            <w:r>
              <w:t>(&lt;1%)</w:t>
            </w:r>
          </w:p>
        </w:tc>
      </w:tr>
      <w:tr w:rsidR="00CA2084" w14:paraId="091E4E37" w14:textId="77777777" w:rsidTr="0049322D">
        <w:tc>
          <w:tcPr>
            <w:tcW w:w="1657" w:type="dxa"/>
            <w:vMerge/>
          </w:tcPr>
          <w:p w14:paraId="5645D064" w14:textId="77777777" w:rsidR="00CA2084" w:rsidRDefault="00CA2084" w:rsidP="0049322D">
            <w:pPr>
              <w:jc w:val="center"/>
            </w:pPr>
          </w:p>
        </w:tc>
        <w:tc>
          <w:tcPr>
            <w:tcW w:w="1059" w:type="dxa"/>
            <w:vMerge/>
          </w:tcPr>
          <w:p w14:paraId="4F587AD9" w14:textId="77777777" w:rsidR="00CA2084" w:rsidRDefault="00CA2084" w:rsidP="0049322D">
            <w:pPr>
              <w:jc w:val="center"/>
            </w:pPr>
          </w:p>
        </w:tc>
        <w:tc>
          <w:tcPr>
            <w:tcW w:w="1304" w:type="dxa"/>
            <w:vMerge/>
          </w:tcPr>
          <w:p w14:paraId="106DAD9A" w14:textId="77777777" w:rsidR="00CA2084" w:rsidRDefault="00CA2084" w:rsidP="0049322D">
            <w:pPr>
              <w:jc w:val="center"/>
            </w:pPr>
          </w:p>
        </w:tc>
        <w:tc>
          <w:tcPr>
            <w:tcW w:w="2184" w:type="dxa"/>
          </w:tcPr>
          <w:p w14:paraId="5AA9AD75" w14:textId="77777777" w:rsidR="00CA2084" w:rsidRDefault="00CA2084" w:rsidP="0049322D">
            <w:pPr>
              <w:jc w:val="center"/>
            </w:pPr>
            <w:r>
              <w:t>Damaging property (inc. killing/maiming animals)</w:t>
            </w:r>
          </w:p>
        </w:tc>
        <w:tc>
          <w:tcPr>
            <w:tcW w:w="1136" w:type="dxa"/>
          </w:tcPr>
          <w:p w14:paraId="3A704A67" w14:textId="77777777" w:rsidR="00CA2084" w:rsidRDefault="00CA2084" w:rsidP="0049322D">
            <w:pPr>
              <w:jc w:val="center"/>
            </w:pPr>
            <w:r>
              <w:t>5</w:t>
            </w:r>
          </w:p>
          <w:p w14:paraId="00E336A6" w14:textId="77777777" w:rsidR="00CA2084" w:rsidRDefault="00CA2084" w:rsidP="0049322D">
            <w:pPr>
              <w:jc w:val="center"/>
            </w:pPr>
            <w:r>
              <w:t>(&lt;1%)</w:t>
            </w:r>
          </w:p>
        </w:tc>
        <w:tc>
          <w:tcPr>
            <w:tcW w:w="1176" w:type="dxa"/>
          </w:tcPr>
          <w:p w14:paraId="27B440FE" w14:textId="77777777" w:rsidR="00CA2084" w:rsidRDefault="00CA2084" w:rsidP="0049322D">
            <w:pPr>
              <w:jc w:val="center"/>
            </w:pPr>
            <w:r>
              <w:t>96</w:t>
            </w:r>
          </w:p>
          <w:p w14:paraId="492E1D13" w14:textId="77777777" w:rsidR="00CA2084" w:rsidRDefault="00CA2084" w:rsidP="0049322D">
            <w:pPr>
              <w:jc w:val="center"/>
            </w:pPr>
            <w:r>
              <w:t>(&lt;1%)</w:t>
            </w:r>
          </w:p>
        </w:tc>
      </w:tr>
      <w:tr w:rsidR="00CA2084" w14:paraId="722ED85A" w14:textId="77777777" w:rsidTr="0049322D">
        <w:tc>
          <w:tcPr>
            <w:tcW w:w="1657" w:type="dxa"/>
          </w:tcPr>
          <w:p w14:paraId="6AAB49C7" w14:textId="77777777" w:rsidR="00CA2084" w:rsidRDefault="00CA2084" w:rsidP="0049322D">
            <w:pPr>
              <w:jc w:val="center"/>
            </w:pPr>
          </w:p>
        </w:tc>
        <w:tc>
          <w:tcPr>
            <w:tcW w:w="1059" w:type="dxa"/>
          </w:tcPr>
          <w:p w14:paraId="483A412B" w14:textId="77777777" w:rsidR="00CA2084" w:rsidRDefault="00CA2084" w:rsidP="0049322D">
            <w:pPr>
              <w:jc w:val="center"/>
            </w:pPr>
          </w:p>
        </w:tc>
        <w:tc>
          <w:tcPr>
            <w:tcW w:w="1304" w:type="dxa"/>
          </w:tcPr>
          <w:p w14:paraId="7DE2DB58" w14:textId="77777777" w:rsidR="00CA2084" w:rsidRDefault="00CA2084" w:rsidP="0049322D">
            <w:pPr>
              <w:jc w:val="center"/>
            </w:pPr>
          </w:p>
        </w:tc>
        <w:tc>
          <w:tcPr>
            <w:tcW w:w="2184" w:type="dxa"/>
          </w:tcPr>
          <w:p w14:paraId="0305BF2D" w14:textId="77777777" w:rsidR="00CA2084" w:rsidRDefault="00CA2084" w:rsidP="0049322D">
            <w:pPr>
              <w:jc w:val="center"/>
            </w:pPr>
          </w:p>
        </w:tc>
        <w:tc>
          <w:tcPr>
            <w:tcW w:w="1136" w:type="dxa"/>
          </w:tcPr>
          <w:p w14:paraId="0E83CCBC" w14:textId="77777777" w:rsidR="00CA2084" w:rsidRDefault="00CA2084" w:rsidP="0049322D">
            <w:pPr>
              <w:jc w:val="center"/>
            </w:pPr>
          </w:p>
        </w:tc>
        <w:tc>
          <w:tcPr>
            <w:tcW w:w="1176" w:type="dxa"/>
          </w:tcPr>
          <w:p w14:paraId="7152024B" w14:textId="77777777" w:rsidR="00CA2084" w:rsidRDefault="00CA2084" w:rsidP="0049322D">
            <w:pPr>
              <w:jc w:val="center"/>
            </w:pPr>
          </w:p>
        </w:tc>
      </w:tr>
      <w:tr w:rsidR="00CA2084" w14:paraId="74A3E6A8" w14:textId="77777777" w:rsidTr="0049322D">
        <w:tc>
          <w:tcPr>
            <w:tcW w:w="1657" w:type="dxa"/>
            <w:vMerge w:val="restart"/>
          </w:tcPr>
          <w:p w14:paraId="0A2EDE1F" w14:textId="77777777" w:rsidR="00CA2084" w:rsidRDefault="00CA2084" w:rsidP="0049322D">
            <w:pPr>
              <w:jc w:val="center"/>
            </w:pPr>
            <w:r>
              <w:t>Forgery and offences against the currency</w:t>
            </w:r>
          </w:p>
        </w:tc>
        <w:tc>
          <w:tcPr>
            <w:tcW w:w="1059" w:type="dxa"/>
            <w:vMerge w:val="restart"/>
          </w:tcPr>
          <w:p w14:paraId="430C149E" w14:textId="77777777" w:rsidR="00CA2084" w:rsidRDefault="00CA2084" w:rsidP="0049322D">
            <w:pPr>
              <w:jc w:val="center"/>
            </w:pPr>
            <w:r>
              <w:t>110</w:t>
            </w:r>
            <w:r>
              <w:br/>
              <w:t>(1%)</w:t>
            </w:r>
          </w:p>
        </w:tc>
        <w:tc>
          <w:tcPr>
            <w:tcW w:w="1304" w:type="dxa"/>
            <w:vMerge w:val="restart"/>
          </w:tcPr>
          <w:p w14:paraId="417FC492" w14:textId="77777777" w:rsidR="00CA2084" w:rsidRDefault="00CA2084" w:rsidP="0049322D">
            <w:pPr>
              <w:jc w:val="center"/>
            </w:pPr>
            <w:r>
              <w:t>442</w:t>
            </w:r>
            <w:r>
              <w:br/>
              <w:t>(2%)</w:t>
            </w:r>
          </w:p>
        </w:tc>
        <w:tc>
          <w:tcPr>
            <w:tcW w:w="2184" w:type="dxa"/>
          </w:tcPr>
          <w:p w14:paraId="5DA4E057" w14:textId="77777777" w:rsidR="00CA2084" w:rsidRDefault="00CA2084" w:rsidP="0049322D">
            <w:pPr>
              <w:jc w:val="center"/>
            </w:pPr>
            <w:r>
              <w:t>Uttering counterfeit coin</w:t>
            </w:r>
          </w:p>
        </w:tc>
        <w:tc>
          <w:tcPr>
            <w:tcW w:w="1136" w:type="dxa"/>
          </w:tcPr>
          <w:p w14:paraId="193F5881" w14:textId="77777777" w:rsidR="00CA2084" w:rsidRDefault="00CA2084" w:rsidP="0049322D">
            <w:pPr>
              <w:jc w:val="center"/>
            </w:pPr>
            <w:r>
              <w:t>79</w:t>
            </w:r>
            <w:r>
              <w:br/>
              <w:t>(1%)</w:t>
            </w:r>
          </w:p>
        </w:tc>
        <w:tc>
          <w:tcPr>
            <w:tcW w:w="1176" w:type="dxa"/>
          </w:tcPr>
          <w:p w14:paraId="2E32F9BF" w14:textId="77777777" w:rsidR="00CA2084" w:rsidRDefault="00CA2084" w:rsidP="0049322D">
            <w:pPr>
              <w:jc w:val="center"/>
            </w:pPr>
            <w:r>
              <w:t>251</w:t>
            </w:r>
            <w:r>
              <w:br/>
              <w:t>(1%)</w:t>
            </w:r>
          </w:p>
        </w:tc>
      </w:tr>
      <w:tr w:rsidR="00CA2084" w14:paraId="78DF3F79" w14:textId="77777777" w:rsidTr="0049322D">
        <w:tc>
          <w:tcPr>
            <w:tcW w:w="1657" w:type="dxa"/>
            <w:vMerge/>
          </w:tcPr>
          <w:p w14:paraId="4ED4A5CE" w14:textId="77777777" w:rsidR="00CA2084" w:rsidRDefault="00CA2084" w:rsidP="0049322D">
            <w:pPr>
              <w:jc w:val="center"/>
            </w:pPr>
          </w:p>
        </w:tc>
        <w:tc>
          <w:tcPr>
            <w:tcW w:w="1059" w:type="dxa"/>
            <w:vMerge/>
          </w:tcPr>
          <w:p w14:paraId="4EE9A388" w14:textId="77777777" w:rsidR="00CA2084" w:rsidRDefault="00CA2084" w:rsidP="0049322D">
            <w:pPr>
              <w:jc w:val="center"/>
            </w:pPr>
          </w:p>
        </w:tc>
        <w:tc>
          <w:tcPr>
            <w:tcW w:w="1304" w:type="dxa"/>
            <w:vMerge/>
          </w:tcPr>
          <w:p w14:paraId="74336E1F" w14:textId="77777777" w:rsidR="00CA2084" w:rsidRDefault="00CA2084" w:rsidP="0049322D">
            <w:pPr>
              <w:jc w:val="center"/>
            </w:pPr>
          </w:p>
        </w:tc>
        <w:tc>
          <w:tcPr>
            <w:tcW w:w="2184" w:type="dxa"/>
          </w:tcPr>
          <w:p w14:paraId="741493AB" w14:textId="77777777" w:rsidR="00CA2084" w:rsidRDefault="00CA2084" w:rsidP="0049322D">
            <w:pPr>
              <w:jc w:val="center"/>
            </w:pPr>
            <w:r>
              <w:t>Forgery</w:t>
            </w:r>
          </w:p>
        </w:tc>
        <w:tc>
          <w:tcPr>
            <w:tcW w:w="1136" w:type="dxa"/>
          </w:tcPr>
          <w:p w14:paraId="5472036D" w14:textId="77777777" w:rsidR="00CA2084" w:rsidRDefault="00CA2084" w:rsidP="0049322D">
            <w:pPr>
              <w:jc w:val="center"/>
            </w:pPr>
            <w:r>
              <w:t>21</w:t>
            </w:r>
          </w:p>
          <w:p w14:paraId="34FA53A0" w14:textId="77777777" w:rsidR="00CA2084" w:rsidRDefault="00CA2084" w:rsidP="0049322D">
            <w:pPr>
              <w:jc w:val="center"/>
            </w:pPr>
            <w:r>
              <w:t>(&lt;1%)</w:t>
            </w:r>
          </w:p>
        </w:tc>
        <w:tc>
          <w:tcPr>
            <w:tcW w:w="1176" w:type="dxa"/>
          </w:tcPr>
          <w:p w14:paraId="0266F19A" w14:textId="77777777" w:rsidR="00CA2084" w:rsidRDefault="00CA2084" w:rsidP="0049322D">
            <w:pPr>
              <w:jc w:val="center"/>
            </w:pPr>
            <w:r>
              <w:t>138</w:t>
            </w:r>
          </w:p>
          <w:p w14:paraId="424F5791" w14:textId="77777777" w:rsidR="00CA2084" w:rsidRDefault="00CA2084" w:rsidP="0049322D">
            <w:pPr>
              <w:jc w:val="center"/>
            </w:pPr>
            <w:r>
              <w:t>(1%)</w:t>
            </w:r>
          </w:p>
        </w:tc>
      </w:tr>
      <w:tr w:rsidR="00CA2084" w14:paraId="2AD6D37A" w14:textId="77777777" w:rsidTr="0049322D">
        <w:tc>
          <w:tcPr>
            <w:tcW w:w="1657" w:type="dxa"/>
            <w:vMerge/>
          </w:tcPr>
          <w:p w14:paraId="27930815" w14:textId="77777777" w:rsidR="00CA2084" w:rsidRDefault="00CA2084" w:rsidP="0049322D">
            <w:pPr>
              <w:jc w:val="center"/>
            </w:pPr>
          </w:p>
        </w:tc>
        <w:tc>
          <w:tcPr>
            <w:tcW w:w="1059" w:type="dxa"/>
            <w:vMerge/>
          </w:tcPr>
          <w:p w14:paraId="4EA9E2AC" w14:textId="77777777" w:rsidR="00CA2084" w:rsidRDefault="00CA2084" w:rsidP="0049322D">
            <w:pPr>
              <w:jc w:val="center"/>
            </w:pPr>
          </w:p>
        </w:tc>
        <w:tc>
          <w:tcPr>
            <w:tcW w:w="1304" w:type="dxa"/>
            <w:vMerge/>
          </w:tcPr>
          <w:p w14:paraId="6669C08A" w14:textId="77777777" w:rsidR="00CA2084" w:rsidRDefault="00CA2084" w:rsidP="0049322D">
            <w:pPr>
              <w:jc w:val="center"/>
            </w:pPr>
          </w:p>
        </w:tc>
        <w:tc>
          <w:tcPr>
            <w:tcW w:w="2184" w:type="dxa"/>
          </w:tcPr>
          <w:p w14:paraId="020C6918" w14:textId="77777777" w:rsidR="00CA2084" w:rsidRDefault="00CA2084" w:rsidP="0049322D">
            <w:pPr>
              <w:jc w:val="center"/>
            </w:pPr>
            <w:r>
              <w:t>Having counterfeit coin</w:t>
            </w:r>
          </w:p>
        </w:tc>
        <w:tc>
          <w:tcPr>
            <w:tcW w:w="1136" w:type="dxa"/>
          </w:tcPr>
          <w:p w14:paraId="312873F8" w14:textId="77777777" w:rsidR="00CA2084" w:rsidRDefault="00CA2084" w:rsidP="0049322D">
            <w:pPr>
              <w:jc w:val="center"/>
            </w:pPr>
            <w:r>
              <w:t>9</w:t>
            </w:r>
          </w:p>
          <w:p w14:paraId="77F5B80D" w14:textId="77777777" w:rsidR="00CA2084" w:rsidRDefault="00CA2084" w:rsidP="0049322D">
            <w:pPr>
              <w:jc w:val="center"/>
            </w:pPr>
            <w:r>
              <w:t>(&lt;1%)</w:t>
            </w:r>
          </w:p>
        </w:tc>
        <w:tc>
          <w:tcPr>
            <w:tcW w:w="1176" w:type="dxa"/>
          </w:tcPr>
          <w:p w14:paraId="28A2BC17" w14:textId="77777777" w:rsidR="00CA2084" w:rsidRDefault="00CA2084" w:rsidP="0049322D">
            <w:pPr>
              <w:jc w:val="center"/>
            </w:pPr>
            <w:r>
              <w:t>39</w:t>
            </w:r>
          </w:p>
          <w:p w14:paraId="06169174" w14:textId="77777777" w:rsidR="00CA2084" w:rsidRDefault="00CA2084" w:rsidP="0049322D">
            <w:pPr>
              <w:jc w:val="center"/>
            </w:pPr>
            <w:r>
              <w:t>(&lt;1%)</w:t>
            </w:r>
          </w:p>
        </w:tc>
      </w:tr>
      <w:tr w:rsidR="00CA2084" w14:paraId="2201E2CB" w14:textId="77777777" w:rsidTr="0049322D">
        <w:tc>
          <w:tcPr>
            <w:tcW w:w="1657" w:type="dxa"/>
            <w:vMerge/>
          </w:tcPr>
          <w:p w14:paraId="0E7BBBFA" w14:textId="77777777" w:rsidR="00CA2084" w:rsidRDefault="00CA2084" w:rsidP="0049322D">
            <w:pPr>
              <w:jc w:val="center"/>
            </w:pPr>
          </w:p>
        </w:tc>
        <w:tc>
          <w:tcPr>
            <w:tcW w:w="1059" w:type="dxa"/>
            <w:vMerge/>
          </w:tcPr>
          <w:p w14:paraId="3BE71254" w14:textId="77777777" w:rsidR="00CA2084" w:rsidRDefault="00CA2084" w:rsidP="0049322D">
            <w:pPr>
              <w:jc w:val="center"/>
            </w:pPr>
          </w:p>
        </w:tc>
        <w:tc>
          <w:tcPr>
            <w:tcW w:w="1304" w:type="dxa"/>
            <w:vMerge/>
          </w:tcPr>
          <w:p w14:paraId="2AB6F64F" w14:textId="77777777" w:rsidR="00CA2084" w:rsidRDefault="00CA2084" w:rsidP="0049322D">
            <w:pPr>
              <w:jc w:val="center"/>
            </w:pPr>
          </w:p>
        </w:tc>
        <w:tc>
          <w:tcPr>
            <w:tcW w:w="2184" w:type="dxa"/>
          </w:tcPr>
          <w:p w14:paraId="48140DB7" w14:textId="77777777" w:rsidR="00CA2084" w:rsidRDefault="00CA2084" w:rsidP="0049322D">
            <w:pPr>
              <w:jc w:val="center"/>
            </w:pPr>
            <w:r>
              <w:t>Having items for coining</w:t>
            </w:r>
          </w:p>
        </w:tc>
        <w:tc>
          <w:tcPr>
            <w:tcW w:w="1136" w:type="dxa"/>
          </w:tcPr>
          <w:p w14:paraId="445EF73A" w14:textId="77777777" w:rsidR="00CA2084" w:rsidRDefault="00CA2084" w:rsidP="0049322D">
            <w:pPr>
              <w:jc w:val="center"/>
            </w:pPr>
            <w:r>
              <w:t>1</w:t>
            </w:r>
          </w:p>
          <w:p w14:paraId="0A3F4C6F" w14:textId="77777777" w:rsidR="00CA2084" w:rsidRDefault="00CA2084" w:rsidP="0049322D">
            <w:pPr>
              <w:jc w:val="center"/>
            </w:pPr>
            <w:r>
              <w:t>(&lt;1%)</w:t>
            </w:r>
          </w:p>
        </w:tc>
        <w:tc>
          <w:tcPr>
            <w:tcW w:w="1176" w:type="dxa"/>
          </w:tcPr>
          <w:p w14:paraId="3963E211" w14:textId="77777777" w:rsidR="00CA2084" w:rsidRDefault="00CA2084" w:rsidP="0049322D">
            <w:pPr>
              <w:jc w:val="center"/>
            </w:pPr>
            <w:r>
              <w:t>14</w:t>
            </w:r>
          </w:p>
          <w:p w14:paraId="47E4724E" w14:textId="77777777" w:rsidR="00CA2084" w:rsidRDefault="00CA2084" w:rsidP="0049322D">
            <w:pPr>
              <w:jc w:val="center"/>
            </w:pPr>
            <w:r>
              <w:t>(&lt;1%)</w:t>
            </w:r>
          </w:p>
        </w:tc>
      </w:tr>
      <w:tr w:rsidR="00CA2084" w14:paraId="03C421AF" w14:textId="77777777" w:rsidTr="0049322D">
        <w:tc>
          <w:tcPr>
            <w:tcW w:w="1657" w:type="dxa"/>
          </w:tcPr>
          <w:p w14:paraId="3D665206" w14:textId="77777777" w:rsidR="00CA2084" w:rsidRDefault="00CA2084" w:rsidP="0049322D">
            <w:pPr>
              <w:jc w:val="center"/>
            </w:pPr>
          </w:p>
        </w:tc>
        <w:tc>
          <w:tcPr>
            <w:tcW w:w="1059" w:type="dxa"/>
          </w:tcPr>
          <w:p w14:paraId="19658693" w14:textId="77777777" w:rsidR="00CA2084" w:rsidRDefault="00CA2084" w:rsidP="0049322D">
            <w:pPr>
              <w:jc w:val="center"/>
            </w:pPr>
          </w:p>
        </w:tc>
        <w:tc>
          <w:tcPr>
            <w:tcW w:w="1304" w:type="dxa"/>
          </w:tcPr>
          <w:p w14:paraId="66E8796F" w14:textId="77777777" w:rsidR="00CA2084" w:rsidRDefault="00CA2084" w:rsidP="0049322D">
            <w:pPr>
              <w:jc w:val="center"/>
            </w:pPr>
          </w:p>
        </w:tc>
        <w:tc>
          <w:tcPr>
            <w:tcW w:w="2184" w:type="dxa"/>
          </w:tcPr>
          <w:p w14:paraId="7F8794D3" w14:textId="77777777" w:rsidR="00CA2084" w:rsidRDefault="00CA2084" w:rsidP="0049322D">
            <w:pPr>
              <w:jc w:val="center"/>
            </w:pPr>
          </w:p>
        </w:tc>
        <w:tc>
          <w:tcPr>
            <w:tcW w:w="1136" w:type="dxa"/>
          </w:tcPr>
          <w:p w14:paraId="0F656C60" w14:textId="77777777" w:rsidR="00CA2084" w:rsidRDefault="00CA2084" w:rsidP="0049322D">
            <w:pPr>
              <w:jc w:val="center"/>
            </w:pPr>
          </w:p>
        </w:tc>
        <w:tc>
          <w:tcPr>
            <w:tcW w:w="1176" w:type="dxa"/>
          </w:tcPr>
          <w:p w14:paraId="40FB4CF5" w14:textId="77777777" w:rsidR="00CA2084" w:rsidRDefault="00CA2084" w:rsidP="0049322D">
            <w:pPr>
              <w:jc w:val="center"/>
            </w:pPr>
          </w:p>
        </w:tc>
      </w:tr>
      <w:tr w:rsidR="00CA2084" w14:paraId="63477864" w14:textId="77777777" w:rsidTr="0049322D">
        <w:tc>
          <w:tcPr>
            <w:tcW w:w="1657" w:type="dxa"/>
            <w:vMerge w:val="restart"/>
          </w:tcPr>
          <w:p w14:paraId="164CDF6A" w14:textId="77777777" w:rsidR="00CA2084" w:rsidRDefault="00CA2084" w:rsidP="0049322D">
            <w:pPr>
              <w:jc w:val="center"/>
            </w:pPr>
            <w:r>
              <w:t>Offences not included in the above classes</w:t>
            </w:r>
          </w:p>
        </w:tc>
        <w:tc>
          <w:tcPr>
            <w:tcW w:w="1059" w:type="dxa"/>
            <w:vMerge w:val="restart"/>
          </w:tcPr>
          <w:p w14:paraId="1E2398C3" w14:textId="77777777" w:rsidR="00CA2084" w:rsidRDefault="00CA2084" w:rsidP="0049322D">
            <w:pPr>
              <w:jc w:val="center"/>
            </w:pPr>
            <w:r>
              <w:t>184</w:t>
            </w:r>
            <w:r>
              <w:br/>
              <w:t>(3%)</w:t>
            </w:r>
          </w:p>
        </w:tc>
        <w:tc>
          <w:tcPr>
            <w:tcW w:w="1304" w:type="dxa"/>
            <w:vMerge w:val="restart"/>
          </w:tcPr>
          <w:p w14:paraId="56A82D9B" w14:textId="77777777" w:rsidR="00CA2084" w:rsidRDefault="00CA2084" w:rsidP="0049322D">
            <w:pPr>
              <w:jc w:val="center"/>
            </w:pPr>
            <w:r>
              <w:t>1,122</w:t>
            </w:r>
            <w:r>
              <w:br/>
              <w:t>(4%)</w:t>
            </w:r>
          </w:p>
        </w:tc>
        <w:tc>
          <w:tcPr>
            <w:tcW w:w="2184" w:type="dxa"/>
          </w:tcPr>
          <w:p w14:paraId="0CEA7911" w14:textId="77777777" w:rsidR="00CA2084" w:rsidRDefault="00CA2084" w:rsidP="0049322D">
            <w:pPr>
              <w:jc w:val="center"/>
            </w:pPr>
            <w:r>
              <w:t xml:space="preserve">Riot </w:t>
            </w:r>
            <w:proofErr w:type="spellStart"/>
            <w:r>
              <w:t>etc</w:t>
            </w:r>
            <w:proofErr w:type="spellEnd"/>
          </w:p>
        </w:tc>
        <w:tc>
          <w:tcPr>
            <w:tcW w:w="1136" w:type="dxa"/>
          </w:tcPr>
          <w:p w14:paraId="1A3327EB" w14:textId="77777777" w:rsidR="00CA2084" w:rsidRDefault="00CA2084" w:rsidP="0049322D">
            <w:pPr>
              <w:jc w:val="center"/>
            </w:pPr>
            <w:r>
              <w:t>39</w:t>
            </w:r>
          </w:p>
          <w:p w14:paraId="378F1253" w14:textId="77777777" w:rsidR="00CA2084" w:rsidRDefault="00CA2084" w:rsidP="0049322D">
            <w:pPr>
              <w:jc w:val="center"/>
            </w:pPr>
            <w:r>
              <w:t>(&lt;1%)</w:t>
            </w:r>
          </w:p>
        </w:tc>
        <w:tc>
          <w:tcPr>
            <w:tcW w:w="1176" w:type="dxa"/>
          </w:tcPr>
          <w:p w14:paraId="06BEDD96" w14:textId="77777777" w:rsidR="00CA2084" w:rsidRDefault="00CA2084" w:rsidP="0049322D">
            <w:pPr>
              <w:jc w:val="center"/>
            </w:pPr>
            <w:r>
              <w:t>524</w:t>
            </w:r>
            <w:r>
              <w:br/>
              <w:t>(2%)</w:t>
            </w:r>
          </w:p>
        </w:tc>
      </w:tr>
      <w:tr w:rsidR="00CA2084" w14:paraId="4EA1B8AC" w14:textId="77777777" w:rsidTr="0049322D">
        <w:tc>
          <w:tcPr>
            <w:tcW w:w="1657" w:type="dxa"/>
            <w:vMerge/>
          </w:tcPr>
          <w:p w14:paraId="47E2774F" w14:textId="77777777" w:rsidR="00CA2084" w:rsidRDefault="00CA2084" w:rsidP="0049322D">
            <w:pPr>
              <w:jc w:val="center"/>
            </w:pPr>
          </w:p>
        </w:tc>
        <w:tc>
          <w:tcPr>
            <w:tcW w:w="1059" w:type="dxa"/>
            <w:vMerge/>
          </w:tcPr>
          <w:p w14:paraId="5607E984" w14:textId="77777777" w:rsidR="00CA2084" w:rsidRDefault="00CA2084" w:rsidP="0049322D">
            <w:pPr>
              <w:jc w:val="center"/>
            </w:pPr>
          </w:p>
        </w:tc>
        <w:tc>
          <w:tcPr>
            <w:tcW w:w="1304" w:type="dxa"/>
            <w:vMerge/>
          </w:tcPr>
          <w:p w14:paraId="0896424D" w14:textId="77777777" w:rsidR="00CA2084" w:rsidRDefault="00CA2084" w:rsidP="0049322D">
            <w:pPr>
              <w:jc w:val="center"/>
            </w:pPr>
          </w:p>
        </w:tc>
        <w:tc>
          <w:tcPr>
            <w:tcW w:w="2184" w:type="dxa"/>
          </w:tcPr>
          <w:p w14:paraId="077A332E" w14:textId="77777777" w:rsidR="00CA2084" w:rsidRDefault="00CA2084" w:rsidP="0049322D">
            <w:pPr>
              <w:jc w:val="center"/>
            </w:pPr>
            <w:r>
              <w:t>Misc.</w:t>
            </w:r>
          </w:p>
        </w:tc>
        <w:tc>
          <w:tcPr>
            <w:tcW w:w="1136" w:type="dxa"/>
          </w:tcPr>
          <w:p w14:paraId="760A2FD1" w14:textId="77777777" w:rsidR="00CA2084" w:rsidRDefault="00CA2084" w:rsidP="0049322D">
            <w:pPr>
              <w:jc w:val="center"/>
            </w:pPr>
            <w:r>
              <w:t>46</w:t>
            </w:r>
          </w:p>
          <w:p w14:paraId="7FD96965" w14:textId="77777777" w:rsidR="00CA2084" w:rsidRDefault="00CA2084" w:rsidP="0049322D">
            <w:pPr>
              <w:jc w:val="center"/>
            </w:pPr>
            <w:r>
              <w:t>(&lt;1%)</w:t>
            </w:r>
          </w:p>
        </w:tc>
        <w:tc>
          <w:tcPr>
            <w:tcW w:w="1176" w:type="dxa"/>
          </w:tcPr>
          <w:p w14:paraId="52AD4D4A" w14:textId="77777777" w:rsidR="00CA2084" w:rsidRDefault="00CA2084" w:rsidP="0049322D">
            <w:pPr>
              <w:jc w:val="center"/>
            </w:pPr>
            <w:r>
              <w:t>196</w:t>
            </w:r>
          </w:p>
          <w:p w14:paraId="5D7AE4A0" w14:textId="77777777" w:rsidR="00CA2084" w:rsidRDefault="00CA2084" w:rsidP="0049322D">
            <w:pPr>
              <w:jc w:val="center"/>
            </w:pPr>
            <w:r>
              <w:t>(1%)</w:t>
            </w:r>
          </w:p>
        </w:tc>
      </w:tr>
      <w:tr w:rsidR="00CA2084" w14:paraId="1D2FCF86" w14:textId="77777777" w:rsidTr="0049322D">
        <w:tc>
          <w:tcPr>
            <w:tcW w:w="1657" w:type="dxa"/>
            <w:vMerge/>
          </w:tcPr>
          <w:p w14:paraId="2D368390" w14:textId="77777777" w:rsidR="00CA2084" w:rsidRDefault="00CA2084" w:rsidP="0049322D">
            <w:pPr>
              <w:jc w:val="center"/>
            </w:pPr>
          </w:p>
        </w:tc>
        <w:tc>
          <w:tcPr>
            <w:tcW w:w="1059" w:type="dxa"/>
            <w:vMerge/>
          </w:tcPr>
          <w:p w14:paraId="1F62066D" w14:textId="77777777" w:rsidR="00CA2084" w:rsidRDefault="00CA2084" w:rsidP="0049322D">
            <w:pPr>
              <w:jc w:val="center"/>
            </w:pPr>
          </w:p>
        </w:tc>
        <w:tc>
          <w:tcPr>
            <w:tcW w:w="1304" w:type="dxa"/>
            <w:vMerge/>
          </w:tcPr>
          <w:p w14:paraId="0E9D58A5" w14:textId="77777777" w:rsidR="00CA2084" w:rsidRDefault="00CA2084" w:rsidP="0049322D">
            <w:pPr>
              <w:jc w:val="center"/>
            </w:pPr>
          </w:p>
        </w:tc>
        <w:tc>
          <w:tcPr>
            <w:tcW w:w="2184" w:type="dxa"/>
          </w:tcPr>
          <w:p w14:paraId="455E6BA3" w14:textId="77777777" w:rsidR="00CA2084" w:rsidRDefault="00CA2084" w:rsidP="0049322D">
            <w:pPr>
              <w:jc w:val="center"/>
            </w:pPr>
            <w:r>
              <w:t>Poaching</w:t>
            </w:r>
          </w:p>
        </w:tc>
        <w:tc>
          <w:tcPr>
            <w:tcW w:w="1136" w:type="dxa"/>
          </w:tcPr>
          <w:p w14:paraId="525420CF" w14:textId="77777777" w:rsidR="00CA2084" w:rsidRDefault="00CA2084" w:rsidP="0049322D">
            <w:pPr>
              <w:jc w:val="center"/>
            </w:pPr>
            <w:r>
              <w:t>0</w:t>
            </w:r>
          </w:p>
        </w:tc>
        <w:tc>
          <w:tcPr>
            <w:tcW w:w="1176" w:type="dxa"/>
          </w:tcPr>
          <w:p w14:paraId="007B81D1" w14:textId="77777777" w:rsidR="00CA2084" w:rsidRDefault="00CA2084" w:rsidP="0049322D">
            <w:pPr>
              <w:jc w:val="center"/>
            </w:pPr>
            <w:r>
              <w:t>214</w:t>
            </w:r>
            <w:r>
              <w:br/>
              <w:t>(1%)</w:t>
            </w:r>
          </w:p>
        </w:tc>
      </w:tr>
      <w:tr w:rsidR="00CA2084" w14:paraId="7E7DCF63" w14:textId="77777777" w:rsidTr="0049322D">
        <w:tc>
          <w:tcPr>
            <w:tcW w:w="1657" w:type="dxa"/>
            <w:vMerge/>
          </w:tcPr>
          <w:p w14:paraId="4E38FBAE" w14:textId="77777777" w:rsidR="00CA2084" w:rsidRDefault="00CA2084" w:rsidP="0049322D">
            <w:pPr>
              <w:jc w:val="center"/>
            </w:pPr>
          </w:p>
        </w:tc>
        <w:tc>
          <w:tcPr>
            <w:tcW w:w="1059" w:type="dxa"/>
            <w:vMerge/>
          </w:tcPr>
          <w:p w14:paraId="7B1C29CC" w14:textId="77777777" w:rsidR="00CA2084" w:rsidRDefault="00CA2084" w:rsidP="0049322D">
            <w:pPr>
              <w:jc w:val="center"/>
            </w:pPr>
          </w:p>
        </w:tc>
        <w:tc>
          <w:tcPr>
            <w:tcW w:w="1304" w:type="dxa"/>
            <w:vMerge/>
          </w:tcPr>
          <w:p w14:paraId="027C68B4" w14:textId="77777777" w:rsidR="00CA2084" w:rsidRDefault="00CA2084" w:rsidP="0049322D">
            <w:pPr>
              <w:jc w:val="center"/>
            </w:pPr>
          </w:p>
        </w:tc>
        <w:tc>
          <w:tcPr>
            <w:tcW w:w="2184" w:type="dxa"/>
          </w:tcPr>
          <w:p w14:paraId="79C982F3" w14:textId="77777777" w:rsidR="00CA2084" w:rsidRDefault="00CA2084" w:rsidP="0049322D">
            <w:pPr>
              <w:jc w:val="center"/>
            </w:pPr>
            <w:r>
              <w:t>Perjury</w:t>
            </w:r>
          </w:p>
        </w:tc>
        <w:tc>
          <w:tcPr>
            <w:tcW w:w="1136" w:type="dxa"/>
          </w:tcPr>
          <w:p w14:paraId="42B1A202" w14:textId="77777777" w:rsidR="00CA2084" w:rsidRDefault="00CA2084" w:rsidP="0049322D">
            <w:pPr>
              <w:jc w:val="center"/>
            </w:pPr>
            <w:r>
              <w:t>23</w:t>
            </w:r>
          </w:p>
          <w:p w14:paraId="33A10FB4" w14:textId="77777777" w:rsidR="00CA2084" w:rsidRDefault="00CA2084" w:rsidP="0049322D">
            <w:pPr>
              <w:jc w:val="center"/>
            </w:pPr>
            <w:r>
              <w:t>(&lt;1%)</w:t>
            </w:r>
          </w:p>
        </w:tc>
        <w:tc>
          <w:tcPr>
            <w:tcW w:w="1176" w:type="dxa"/>
          </w:tcPr>
          <w:p w14:paraId="44E43239" w14:textId="77777777" w:rsidR="00CA2084" w:rsidRDefault="00CA2084" w:rsidP="0049322D">
            <w:pPr>
              <w:jc w:val="center"/>
            </w:pPr>
            <w:r>
              <w:t>95</w:t>
            </w:r>
          </w:p>
          <w:p w14:paraId="016799A4" w14:textId="77777777" w:rsidR="00CA2084" w:rsidRDefault="00CA2084" w:rsidP="0049322D">
            <w:pPr>
              <w:jc w:val="center"/>
            </w:pPr>
            <w:r>
              <w:t>(&lt;1%)</w:t>
            </w:r>
          </w:p>
        </w:tc>
      </w:tr>
      <w:tr w:rsidR="00CA2084" w14:paraId="1659A59F" w14:textId="77777777" w:rsidTr="0049322D">
        <w:tc>
          <w:tcPr>
            <w:tcW w:w="1657" w:type="dxa"/>
            <w:vMerge/>
          </w:tcPr>
          <w:p w14:paraId="3B8A0C9E" w14:textId="77777777" w:rsidR="00CA2084" w:rsidRDefault="00CA2084" w:rsidP="0049322D">
            <w:pPr>
              <w:jc w:val="center"/>
            </w:pPr>
          </w:p>
        </w:tc>
        <w:tc>
          <w:tcPr>
            <w:tcW w:w="1059" w:type="dxa"/>
            <w:vMerge/>
          </w:tcPr>
          <w:p w14:paraId="3A12CDF5" w14:textId="77777777" w:rsidR="00CA2084" w:rsidRDefault="00CA2084" w:rsidP="0049322D">
            <w:pPr>
              <w:jc w:val="center"/>
            </w:pPr>
          </w:p>
        </w:tc>
        <w:tc>
          <w:tcPr>
            <w:tcW w:w="1304" w:type="dxa"/>
            <w:vMerge/>
          </w:tcPr>
          <w:p w14:paraId="7E74118F" w14:textId="77777777" w:rsidR="00CA2084" w:rsidRDefault="00CA2084" w:rsidP="0049322D">
            <w:pPr>
              <w:jc w:val="center"/>
            </w:pPr>
          </w:p>
        </w:tc>
        <w:tc>
          <w:tcPr>
            <w:tcW w:w="2184" w:type="dxa"/>
          </w:tcPr>
          <w:p w14:paraId="45D287D2" w14:textId="77777777" w:rsidR="00CA2084" w:rsidRDefault="00CA2084" w:rsidP="0049322D">
            <w:pPr>
              <w:jc w:val="center"/>
            </w:pPr>
            <w:r>
              <w:t>Attempted suicide</w:t>
            </w:r>
          </w:p>
        </w:tc>
        <w:tc>
          <w:tcPr>
            <w:tcW w:w="1136" w:type="dxa"/>
          </w:tcPr>
          <w:p w14:paraId="38B15A48" w14:textId="77777777" w:rsidR="00CA2084" w:rsidRDefault="00CA2084" w:rsidP="0049322D">
            <w:pPr>
              <w:jc w:val="center"/>
            </w:pPr>
            <w:r>
              <w:t>21</w:t>
            </w:r>
          </w:p>
          <w:p w14:paraId="06E15194" w14:textId="77777777" w:rsidR="00CA2084" w:rsidRDefault="00CA2084" w:rsidP="0049322D">
            <w:pPr>
              <w:jc w:val="center"/>
            </w:pPr>
            <w:r>
              <w:t>(&lt;1%)</w:t>
            </w:r>
          </w:p>
        </w:tc>
        <w:tc>
          <w:tcPr>
            <w:tcW w:w="1176" w:type="dxa"/>
          </w:tcPr>
          <w:p w14:paraId="0D0350F1" w14:textId="77777777" w:rsidR="00CA2084" w:rsidRDefault="00CA2084" w:rsidP="0049322D">
            <w:pPr>
              <w:jc w:val="center"/>
            </w:pPr>
            <w:r>
              <w:t>65</w:t>
            </w:r>
          </w:p>
          <w:p w14:paraId="5344ED8A" w14:textId="77777777" w:rsidR="00CA2084" w:rsidRDefault="00CA2084" w:rsidP="0049322D">
            <w:pPr>
              <w:jc w:val="center"/>
            </w:pPr>
            <w:r>
              <w:t>(&lt;1%)</w:t>
            </w:r>
          </w:p>
        </w:tc>
      </w:tr>
      <w:tr w:rsidR="00CA2084" w14:paraId="11DE7A95" w14:textId="77777777" w:rsidTr="0049322D">
        <w:tc>
          <w:tcPr>
            <w:tcW w:w="1657" w:type="dxa"/>
            <w:vMerge/>
          </w:tcPr>
          <w:p w14:paraId="08337A1D" w14:textId="77777777" w:rsidR="00CA2084" w:rsidRDefault="00CA2084" w:rsidP="0049322D">
            <w:pPr>
              <w:jc w:val="center"/>
            </w:pPr>
          </w:p>
        </w:tc>
        <w:tc>
          <w:tcPr>
            <w:tcW w:w="1059" w:type="dxa"/>
            <w:vMerge/>
          </w:tcPr>
          <w:p w14:paraId="39E06A99" w14:textId="77777777" w:rsidR="00CA2084" w:rsidRDefault="00CA2084" w:rsidP="0049322D">
            <w:pPr>
              <w:jc w:val="center"/>
            </w:pPr>
          </w:p>
        </w:tc>
        <w:tc>
          <w:tcPr>
            <w:tcW w:w="1304" w:type="dxa"/>
            <w:vMerge/>
          </w:tcPr>
          <w:p w14:paraId="71665508" w14:textId="77777777" w:rsidR="00CA2084" w:rsidRDefault="00CA2084" w:rsidP="0049322D">
            <w:pPr>
              <w:jc w:val="center"/>
            </w:pPr>
          </w:p>
        </w:tc>
        <w:tc>
          <w:tcPr>
            <w:tcW w:w="2184" w:type="dxa"/>
          </w:tcPr>
          <w:p w14:paraId="7DD911DB" w14:textId="77777777" w:rsidR="00CA2084" w:rsidRDefault="00CA2084" w:rsidP="0049322D">
            <w:pPr>
              <w:jc w:val="center"/>
            </w:pPr>
            <w:r>
              <w:t>Keeping a disorderly/bawdy house</w:t>
            </w:r>
          </w:p>
        </w:tc>
        <w:tc>
          <w:tcPr>
            <w:tcW w:w="1136" w:type="dxa"/>
          </w:tcPr>
          <w:p w14:paraId="0B8F0BCD" w14:textId="77777777" w:rsidR="00CA2084" w:rsidRDefault="00CA2084" w:rsidP="0049322D">
            <w:pPr>
              <w:jc w:val="center"/>
            </w:pPr>
            <w:r>
              <w:t>55</w:t>
            </w:r>
            <w:r>
              <w:br/>
              <w:t>(1%)</w:t>
            </w:r>
          </w:p>
        </w:tc>
        <w:tc>
          <w:tcPr>
            <w:tcW w:w="1176" w:type="dxa"/>
          </w:tcPr>
          <w:p w14:paraId="09C47A16" w14:textId="77777777" w:rsidR="00CA2084" w:rsidRDefault="00CA2084" w:rsidP="0049322D">
            <w:pPr>
              <w:jc w:val="center"/>
            </w:pPr>
            <w:r>
              <w:t>28</w:t>
            </w:r>
          </w:p>
          <w:p w14:paraId="518C63D3" w14:textId="77777777" w:rsidR="00CA2084" w:rsidRDefault="00CA2084" w:rsidP="0049322D">
            <w:pPr>
              <w:jc w:val="center"/>
            </w:pPr>
            <w:r>
              <w:t>(&lt;1%)</w:t>
            </w:r>
          </w:p>
        </w:tc>
      </w:tr>
      <w:tr w:rsidR="00CA2084" w14:paraId="47A72D5C" w14:textId="77777777" w:rsidTr="0049322D">
        <w:tc>
          <w:tcPr>
            <w:tcW w:w="1657" w:type="dxa"/>
          </w:tcPr>
          <w:p w14:paraId="1F11734F" w14:textId="77777777" w:rsidR="00CA2084" w:rsidRPr="00D72144" w:rsidRDefault="00CA2084" w:rsidP="0049322D">
            <w:pPr>
              <w:jc w:val="right"/>
              <w:rPr>
                <w:b/>
              </w:rPr>
            </w:pPr>
            <w:r w:rsidRPr="00D72144">
              <w:rPr>
                <w:b/>
              </w:rPr>
              <w:t>Total</w:t>
            </w:r>
          </w:p>
        </w:tc>
        <w:tc>
          <w:tcPr>
            <w:tcW w:w="1059" w:type="dxa"/>
          </w:tcPr>
          <w:p w14:paraId="7B81549E" w14:textId="77777777" w:rsidR="00CA2084" w:rsidRDefault="00CA2084" w:rsidP="0049322D">
            <w:pPr>
              <w:jc w:val="center"/>
            </w:pPr>
            <w:r>
              <w:t>7,165</w:t>
            </w:r>
            <w:r>
              <w:br/>
              <w:t>(100%)</w:t>
            </w:r>
          </w:p>
        </w:tc>
        <w:tc>
          <w:tcPr>
            <w:tcW w:w="1304" w:type="dxa"/>
          </w:tcPr>
          <w:p w14:paraId="2B983712" w14:textId="77777777" w:rsidR="00CA2084" w:rsidRDefault="00CA2084" w:rsidP="0049322D">
            <w:pPr>
              <w:jc w:val="center"/>
            </w:pPr>
            <w:r>
              <w:t>25,835</w:t>
            </w:r>
            <w:r>
              <w:br/>
              <w:t>(100%)</w:t>
            </w:r>
          </w:p>
        </w:tc>
        <w:tc>
          <w:tcPr>
            <w:tcW w:w="2184" w:type="dxa"/>
          </w:tcPr>
          <w:p w14:paraId="0985892E" w14:textId="77777777" w:rsidR="00CA2084" w:rsidRDefault="00CA2084" w:rsidP="0049322D">
            <w:pPr>
              <w:jc w:val="center"/>
            </w:pPr>
          </w:p>
        </w:tc>
        <w:tc>
          <w:tcPr>
            <w:tcW w:w="1136" w:type="dxa"/>
          </w:tcPr>
          <w:p w14:paraId="62EC62CE" w14:textId="77777777" w:rsidR="00CA2084" w:rsidRDefault="00CA2084" w:rsidP="0049322D">
            <w:pPr>
              <w:jc w:val="center"/>
            </w:pPr>
            <w:r>
              <w:t>7,165</w:t>
            </w:r>
            <w:r>
              <w:br/>
              <w:t>(100%)</w:t>
            </w:r>
          </w:p>
        </w:tc>
        <w:tc>
          <w:tcPr>
            <w:tcW w:w="1176" w:type="dxa"/>
          </w:tcPr>
          <w:p w14:paraId="21976269" w14:textId="77777777" w:rsidR="00CA2084" w:rsidRDefault="00CA2084" w:rsidP="0049322D">
            <w:pPr>
              <w:jc w:val="center"/>
            </w:pPr>
            <w:r>
              <w:t>25,835</w:t>
            </w:r>
            <w:r>
              <w:br/>
              <w:t>(100%)</w:t>
            </w:r>
          </w:p>
        </w:tc>
      </w:tr>
    </w:tbl>
    <w:p w14:paraId="73840CBE" w14:textId="77777777" w:rsidR="00CA2084" w:rsidRPr="00834D78" w:rsidRDefault="00CA2084" w:rsidP="00225D5D">
      <w:pPr>
        <w:jc w:val="both"/>
        <w:rPr>
          <w:lang w:val="en-GB"/>
        </w:rPr>
      </w:pPr>
      <w:r w:rsidRPr="00834D78">
        <w:rPr>
          <w:b/>
        </w:rPr>
        <w:t>Figure 11:</w:t>
      </w:r>
      <w:r w:rsidRPr="00834D78">
        <w:t xml:space="preserve"> The number and percentage of males and females committed for trial at Assizes and Quarter Sessions in Cheshire for different classes of offences and offences, 1840 and 1890.</w:t>
      </w:r>
    </w:p>
    <w:p w14:paraId="23145652" w14:textId="77777777" w:rsidR="00CA2084" w:rsidRDefault="00CA2084" w:rsidP="00F82107">
      <w:pPr>
        <w:spacing w:line="360" w:lineRule="auto"/>
        <w:jc w:val="both"/>
      </w:pPr>
    </w:p>
    <w:p w14:paraId="2A251B1A" w14:textId="2F892B16" w:rsidR="00CA2084" w:rsidRDefault="00CA2084" w:rsidP="00F82107">
      <w:pPr>
        <w:spacing w:line="360" w:lineRule="auto"/>
        <w:jc w:val="both"/>
      </w:pPr>
      <w:r>
        <w:t xml:space="preserve">As can be seen in figure 11, females were not only committed for trial in smaller numbers than males, but they also tended to be committed for different types of offences. Broadly speaking, males tended to be committed for trial more for offences against the person and property offences with violence, whereas females tended to be committed for property offences that did not involve violence and/or physical strength. Thus, just over double and four-times the percentage of males were committed for trial for offences against the person and offences against property with violence respectively than females. Males predominated among commitments for non-fatal violent assaults, burglary, housebreaking, and the theft of animals. Where females were involved in offences such as burglary or housebreaking, it tended to be in the role of lookout or, as we shall see below, acting after the fact as fencers. </w:t>
      </w:r>
      <w:r w:rsidR="003968D9" w:rsidRPr="003968D9">
        <w:rPr>
          <w:color w:val="FF0000"/>
        </w:rPr>
        <w:t>Not surprisingly</w:t>
      </w:r>
      <w:r w:rsidR="003968D9">
        <w:t>, m</w:t>
      </w:r>
      <w:r>
        <w:t>ales also predominated among offences of a sexual nature, while females predominated among those accused of concealing the birth of a child.</w:t>
      </w:r>
      <w:r>
        <w:rPr>
          <w:rStyle w:val="FootnoteReference"/>
        </w:rPr>
        <w:footnoteReference w:id="48"/>
      </w:r>
      <w:r>
        <w:t xml:space="preserve"> </w:t>
      </w:r>
    </w:p>
    <w:p w14:paraId="0BBB2DAA" w14:textId="77777777" w:rsidR="00CA2084" w:rsidRDefault="00CA2084" w:rsidP="00F82107">
      <w:pPr>
        <w:spacing w:line="360" w:lineRule="auto"/>
        <w:jc w:val="both"/>
      </w:pPr>
    </w:p>
    <w:p w14:paraId="1C30DEAB" w14:textId="69E03380" w:rsidR="00CA2084" w:rsidRDefault="00CA2084" w:rsidP="00CE0FA9">
      <w:pPr>
        <w:spacing w:line="360" w:lineRule="auto"/>
        <w:ind w:firstLine="720"/>
        <w:jc w:val="both"/>
      </w:pPr>
      <w:r>
        <w:t xml:space="preserve">In contrast, 88% of females compared with 71% of males were committed for offences against property not involving violence. Higher percentages of females than males were committed of acquisitive offences that reflected their sphere of operation, such as larceny (simple, from the person, or by a servant), receiving stolen goods, and larceny in a dwelling house. Thus, while they may have lacked the physical strength to engage in burglary or housebreaking or the ability to demand property with menaces, they could use their employment as servants to steal, they could ‘fence’ stolen property from their home, and, if they were prostitutes, steal from their clients. Males were more likely to be committed for </w:t>
      </w:r>
      <w:r>
        <w:lastRenderedPageBreak/>
        <w:t xml:space="preserve">non-violent property offences that either relied on some degree of strength (such as stealing fixtures and livestock) or which stemmed from a position of responsibility typically closed to females (such as stealing letters as a Post Office employee or embezzlement). Males were also slightly more likely to be committed for forgery and offences against the currency, specifically for uttering counterfeit coin. </w:t>
      </w:r>
    </w:p>
    <w:p w14:paraId="0A96E3F9" w14:textId="77777777" w:rsidR="00CA2084" w:rsidRDefault="00CA2084" w:rsidP="00CE0FA9">
      <w:pPr>
        <w:spacing w:line="360" w:lineRule="auto"/>
        <w:ind w:firstLine="720"/>
        <w:jc w:val="both"/>
      </w:pPr>
    </w:p>
    <w:p w14:paraId="000D3EAD" w14:textId="7C815D16" w:rsidR="00CA2084" w:rsidRDefault="00CA2084" w:rsidP="002E6A7C">
      <w:pPr>
        <w:spacing w:line="360" w:lineRule="auto"/>
        <w:ind w:firstLine="720"/>
        <w:jc w:val="both"/>
      </w:pPr>
      <w:r>
        <w:t xml:space="preserve">Again, these patterns were not unique to Cheshire. In his work on the Black Country, </w:t>
      </w:r>
      <w:r w:rsidRPr="000E07A4">
        <w:t>Philips found that 90%</w:t>
      </w:r>
      <w:r w:rsidRPr="00F53AF2">
        <w:rPr>
          <w:color w:val="FF0000"/>
        </w:rPr>
        <w:t xml:space="preserve"> </w:t>
      </w:r>
      <w:r w:rsidRPr="000E07A4">
        <w:t>and 2% of females compared with</w:t>
      </w:r>
      <w:r w:rsidRPr="00F53AF2">
        <w:rPr>
          <w:color w:val="FF0000"/>
        </w:rPr>
        <w:t xml:space="preserve"> </w:t>
      </w:r>
      <w:r w:rsidRPr="000E07A4">
        <w:t>75%</w:t>
      </w:r>
      <w:r w:rsidRPr="00F53AF2">
        <w:rPr>
          <w:color w:val="FF0000"/>
        </w:rPr>
        <w:t xml:space="preserve"> </w:t>
      </w:r>
      <w:r w:rsidRPr="000E07A4">
        <w:t>and 1% of males were committed for trial for larceny and receiving stolen goods respectively.</w:t>
      </w:r>
      <w:r w:rsidRPr="00F53AF2">
        <w:rPr>
          <w:color w:val="FF0000"/>
        </w:rPr>
        <w:t xml:space="preserve"> </w:t>
      </w:r>
      <w:r w:rsidRPr="00377F8D">
        <w:t>Similarly, 7% of males compared with just 2% and 1% of females were committed respectively for an offence against the person or offence against property involving violence. Embezzlement was also, judging by committals, an almost exclusively male offence.</w:t>
      </w:r>
      <w:r w:rsidRPr="00377F8D">
        <w:rPr>
          <w:rStyle w:val="FootnoteReference"/>
        </w:rPr>
        <w:footnoteReference w:id="49"/>
      </w:r>
      <w:r w:rsidRPr="00377F8D">
        <w:t xml:space="preserve"> Females also predominated among those committed in Kent between 1859 and 1880 for non-violent thefts, while comprising only 5% and 8% of those accused of violent robberies and indictable assaults respectively.</w:t>
      </w:r>
      <w:r w:rsidRPr="00377F8D">
        <w:rPr>
          <w:rStyle w:val="FootnoteReference"/>
        </w:rPr>
        <w:footnoteReference w:id="50"/>
      </w:r>
      <w:r w:rsidRPr="00377F8D">
        <w:t xml:space="preserve"> </w:t>
      </w:r>
      <w:r w:rsidRPr="00A41331">
        <w:t>These patterns were also replicated in the northern cities of York and Hull, where 60%</w:t>
      </w:r>
      <w:r w:rsidRPr="00F53AF2">
        <w:rPr>
          <w:color w:val="FF0000"/>
        </w:rPr>
        <w:t xml:space="preserve"> </w:t>
      </w:r>
      <w:r w:rsidRPr="00DB2A27">
        <w:t>and 55%</w:t>
      </w:r>
      <w:r w:rsidRPr="00F53AF2">
        <w:rPr>
          <w:color w:val="FF0000"/>
        </w:rPr>
        <w:t xml:space="preserve"> </w:t>
      </w:r>
      <w:r w:rsidRPr="00A41331">
        <w:t>of females were committed for trial at their respective quarter sessions between 1830 and 1869 for larceny,</w:t>
      </w:r>
      <w:r w:rsidRPr="00F53AF2">
        <w:rPr>
          <w:color w:val="FF0000"/>
        </w:rPr>
        <w:t xml:space="preserve"> </w:t>
      </w:r>
      <w:r w:rsidRPr="00DB2A27">
        <w:t>14% and 19% were committed for larceny from the person and 9% and 5% were committed for larceny by a servant. Conversely in both cities, less than 1% of females were accused of housebreaking, shop breaking, robbery, assault or stabbing.</w:t>
      </w:r>
      <w:r>
        <w:t xml:space="preserve"> Likewise, 84% of females committed to trial at Northallerton quarter sessions between 1835 and 1855 were accused of larceny compared with 80% of men. A higher percentage of females than males were also committed to trial for receiving stolen goods (7% compared with 2%). </w:t>
      </w:r>
      <w:r w:rsidR="002E6A7C" w:rsidRPr="002E6A7C">
        <w:rPr>
          <w:color w:val="FF0000"/>
        </w:rPr>
        <w:t>In contrast, males were more likely to be</w:t>
      </w:r>
      <w:r w:rsidR="002E6A7C">
        <w:rPr>
          <w:color w:val="FF0000"/>
        </w:rPr>
        <w:t xml:space="preserve"> </w:t>
      </w:r>
      <w:r>
        <w:t>committed for assault (5% compared with 2%) and housebreaking and robbery (2% compared with 0.5%).</w:t>
      </w:r>
      <w:r w:rsidRPr="00DB2A27">
        <w:rPr>
          <w:rStyle w:val="FootnoteReference"/>
        </w:rPr>
        <w:footnoteReference w:id="51"/>
      </w:r>
    </w:p>
    <w:p w14:paraId="5B431AC4" w14:textId="77777777" w:rsidR="00CA2084" w:rsidRDefault="00CA2084" w:rsidP="002D66A3">
      <w:pPr>
        <w:spacing w:line="360" w:lineRule="auto"/>
      </w:pPr>
    </w:p>
    <w:p w14:paraId="4094ABB8" w14:textId="12A0DAE8" w:rsidR="00CA2084" w:rsidRPr="00DB2A27" w:rsidRDefault="00CA2084" w:rsidP="002D66A3">
      <w:pPr>
        <w:spacing w:line="360" w:lineRule="auto"/>
        <w:jc w:val="both"/>
      </w:pPr>
      <w:r>
        <w:tab/>
      </w:r>
      <w:r w:rsidRPr="00340025">
        <w:rPr>
          <w:color w:val="FF0000"/>
        </w:rPr>
        <w:t xml:space="preserve">There is, however, no evidence to suggest that </w:t>
      </w:r>
      <w:r w:rsidR="00340025" w:rsidRPr="00340025">
        <w:rPr>
          <w:color w:val="FF0000"/>
        </w:rPr>
        <w:t xml:space="preserve">one sex was significantly more likely than the other to convicted. </w:t>
      </w:r>
      <w:r w:rsidRPr="00DB2A27">
        <w:t>Between 1840 and 1890, 78% of females compared with 75% of males were found guilty, while 17% and 20% respectively were found not guilty. There was also no difference in the percentage who had the indictment against them dismissed by a grand jury (4.5%) or who received another verdict (&lt;1%). Nor was there any real difference in the verdicts handed down to males and females who had previously been convicted of a felony. Over the period, 87% of females and 88% of males respectively with prior convictions were found guilty, while in both cases 10% were found not guilty.</w:t>
      </w:r>
      <w:r w:rsidR="00340025">
        <w:t xml:space="preserve"> </w:t>
      </w:r>
      <w:r w:rsidR="00340025" w:rsidRPr="00340025">
        <w:rPr>
          <w:color w:val="FF0000"/>
        </w:rPr>
        <w:t>There was also no real difference between both sexes in terms of the percentage</w:t>
      </w:r>
      <w:r w:rsidR="00340025">
        <w:t xml:space="preserve"> </w:t>
      </w:r>
      <w:r w:rsidRPr="00DB2A27">
        <w:t>who had their indictment dismissed by a grand jury (3% female compared to 2% male) or who received another verdict (&lt;1).</w:t>
      </w:r>
    </w:p>
    <w:p w14:paraId="29C75CA9" w14:textId="77777777" w:rsidR="00CA2084" w:rsidRDefault="00CA2084" w:rsidP="002D66A3">
      <w:pPr>
        <w:spacing w:line="360" w:lineRule="auto"/>
        <w:rPr>
          <w:color w:val="FF0000"/>
        </w:rPr>
      </w:pPr>
    </w:p>
    <w:p w14:paraId="46595F44" w14:textId="3C46BF5D" w:rsidR="00CA2084" w:rsidRDefault="00CA2084" w:rsidP="008C42B9">
      <w:pPr>
        <w:spacing w:line="360" w:lineRule="auto"/>
        <w:jc w:val="both"/>
      </w:pPr>
      <w:r>
        <w:rPr>
          <w:color w:val="FF0000"/>
        </w:rPr>
        <w:tab/>
      </w:r>
      <w:r w:rsidRPr="00073F4E">
        <w:t xml:space="preserve">Differences did emerge, however, </w:t>
      </w:r>
      <w:r w:rsidR="002E6A7C" w:rsidRPr="002E6A7C">
        <w:rPr>
          <w:color w:val="FF0000"/>
        </w:rPr>
        <w:t xml:space="preserve">in the sentences that were passed on </w:t>
      </w:r>
      <w:r w:rsidR="002E6A7C">
        <w:rPr>
          <w:color w:val="FF0000"/>
        </w:rPr>
        <w:t>both sexes</w:t>
      </w:r>
      <w:r w:rsidR="002E6A7C">
        <w:t xml:space="preserve">, with males </w:t>
      </w:r>
      <w:r w:rsidR="002E6A7C" w:rsidRPr="002E6A7C">
        <w:rPr>
          <w:color w:val="FF0000"/>
        </w:rPr>
        <w:t>tending</w:t>
      </w:r>
      <w:r w:rsidR="002E6A7C">
        <w:t xml:space="preserve"> </w:t>
      </w:r>
      <w:r w:rsidRPr="00073F4E">
        <w:t xml:space="preserve">to receive </w:t>
      </w:r>
      <w:r>
        <w:t>harsher sentences than females:</w:t>
      </w:r>
    </w:p>
    <w:p w14:paraId="32F1326B" w14:textId="77777777" w:rsidR="00CA2084" w:rsidRDefault="00CA2084" w:rsidP="00BE27CB">
      <w:pPr>
        <w:spacing w:line="360" w:lineRule="auto"/>
        <w:jc w:val="both"/>
      </w:pPr>
    </w:p>
    <w:tbl>
      <w:tblPr>
        <w:tblStyle w:val="TableGrid"/>
        <w:tblW w:w="0" w:type="auto"/>
        <w:tblLayout w:type="fixed"/>
        <w:tblLook w:val="04A0" w:firstRow="1" w:lastRow="0" w:firstColumn="1" w:lastColumn="0" w:noHBand="0" w:noVBand="1"/>
      </w:tblPr>
      <w:tblGrid>
        <w:gridCol w:w="1911"/>
        <w:gridCol w:w="1174"/>
        <w:gridCol w:w="1134"/>
        <w:gridCol w:w="1985"/>
        <w:gridCol w:w="1134"/>
        <w:gridCol w:w="1178"/>
      </w:tblGrid>
      <w:tr w:rsidR="00CA2084" w14:paraId="21922620" w14:textId="77777777" w:rsidTr="0049322D">
        <w:tc>
          <w:tcPr>
            <w:tcW w:w="1911" w:type="dxa"/>
          </w:tcPr>
          <w:p w14:paraId="3BC1ABB0" w14:textId="77777777" w:rsidR="00CA2084" w:rsidRPr="00EA1EDE" w:rsidRDefault="00CA2084" w:rsidP="0049322D">
            <w:pPr>
              <w:jc w:val="center"/>
              <w:rPr>
                <w:b/>
              </w:rPr>
            </w:pPr>
            <w:r w:rsidRPr="00EA1EDE">
              <w:rPr>
                <w:b/>
              </w:rPr>
              <w:t>Type</w:t>
            </w:r>
          </w:p>
        </w:tc>
        <w:tc>
          <w:tcPr>
            <w:tcW w:w="1174" w:type="dxa"/>
          </w:tcPr>
          <w:p w14:paraId="0FE45E79" w14:textId="77777777" w:rsidR="00CA2084" w:rsidRPr="00EA1EDE" w:rsidRDefault="00CA2084" w:rsidP="0049322D">
            <w:pPr>
              <w:jc w:val="center"/>
              <w:rPr>
                <w:b/>
              </w:rPr>
            </w:pPr>
            <w:r w:rsidRPr="00EA1EDE">
              <w:rPr>
                <w:b/>
              </w:rPr>
              <w:t>No &amp; % Male</w:t>
            </w:r>
          </w:p>
        </w:tc>
        <w:tc>
          <w:tcPr>
            <w:tcW w:w="1134" w:type="dxa"/>
          </w:tcPr>
          <w:p w14:paraId="47091223" w14:textId="77777777" w:rsidR="00CA2084" w:rsidRPr="00EA1EDE" w:rsidRDefault="00CA2084" w:rsidP="0049322D">
            <w:pPr>
              <w:jc w:val="center"/>
              <w:rPr>
                <w:b/>
              </w:rPr>
            </w:pPr>
            <w:r w:rsidRPr="00EA1EDE">
              <w:rPr>
                <w:b/>
              </w:rPr>
              <w:t xml:space="preserve">No &amp; % </w:t>
            </w:r>
            <w:r>
              <w:rPr>
                <w:b/>
              </w:rPr>
              <w:t>Fem</w:t>
            </w:r>
            <w:r w:rsidRPr="00EA1EDE">
              <w:rPr>
                <w:b/>
              </w:rPr>
              <w:t>ale</w:t>
            </w:r>
          </w:p>
        </w:tc>
        <w:tc>
          <w:tcPr>
            <w:tcW w:w="1985" w:type="dxa"/>
          </w:tcPr>
          <w:p w14:paraId="42099BCF" w14:textId="77777777" w:rsidR="00CA2084" w:rsidRPr="00EA1EDE" w:rsidRDefault="00CA2084" w:rsidP="0049322D">
            <w:pPr>
              <w:jc w:val="center"/>
              <w:rPr>
                <w:b/>
              </w:rPr>
            </w:pPr>
            <w:r w:rsidRPr="00EA1EDE">
              <w:rPr>
                <w:b/>
              </w:rPr>
              <w:t>Details</w:t>
            </w:r>
          </w:p>
        </w:tc>
        <w:tc>
          <w:tcPr>
            <w:tcW w:w="1134" w:type="dxa"/>
          </w:tcPr>
          <w:p w14:paraId="05AB3EE7" w14:textId="77777777" w:rsidR="00CA2084" w:rsidRPr="00EA1EDE" w:rsidRDefault="00CA2084" w:rsidP="0049322D">
            <w:pPr>
              <w:jc w:val="center"/>
              <w:rPr>
                <w:b/>
              </w:rPr>
            </w:pPr>
            <w:r w:rsidRPr="00EA1EDE">
              <w:rPr>
                <w:b/>
              </w:rPr>
              <w:t>No &amp; % Male</w:t>
            </w:r>
          </w:p>
        </w:tc>
        <w:tc>
          <w:tcPr>
            <w:tcW w:w="1178" w:type="dxa"/>
          </w:tcPr>
          <w:p w14:paraId="1598CA36" w14:textId="77777777" w:rsidR="00CA2084" w:rsidRPr="00EA1EDE" w:rsidRDefault="00CA2084" w:rsidP="0049322D">
            <w:pPr>
              <w:jc w:val="center"/>
              <w:rPr>
                <w:b/>
              </w:rPr>
            </w:pPr>
            <w:r w:rsidRPr="00EA1EDE">
              <w:rPr>
                <w:b/>
              </w:rPr>
              <w:t>No &amp; % Female</w:t>
            </w:r>
          </w:p>
        </w:tc>
      </w:tr>
      <w:tr w:rsidR="00CA2084" w14:paraId="7073512E" w14:textId="77777777" w:rsidTr="0049322D">
        <w:tc>
          <w:tcPr>
            <w:tcW w:w="1911" w:type="dxa"/>
            <w:vMerge w:val="restart"/>
          </w:tcPr>
          <w:p w14:paraId="7ECD6F6A" w14:textId="77777777" w:rsidR="00CA2084" w:rsidRDefault="00CA2084" w:rsidP="0049322D">
            <w:pPr>
              <w:jc w:val="center"/>
            </w:pPr>
            <w:r>
              <w:t>Death</w:t>
            </w:r>
          </w:p>
        </w:tc>
        <w:tc>
          <w:tcPr>
            <w:tcW w:w="1174" w:type="dxa"/>
            <w:vMerge w:val="restart"/>
          </w:tcPr>
          <w:p w14:paraId="2A3834E3" w14:textId="77777777" w:rsidR="00CA2084" w:rsidRDefault="00CA2084" w:rsidP="0049322D">
            <w:pPr>
              <w:jc w:val="center"/>
            </w:pPr>
            <w:r>
              <w:t>44</w:t>
            </w:r>
            <w:r>
              <w:br/>
              <w:t>(&lt;1%)</w:t>
            </w:r>
          </w:p>
        </w:tc>
        <w:tc>
          <w:tcPr>
            <w:tcW w:w="1134" w:type="dxa"/>
            <w:vMerge w:val="restart"/>
          </w:tcPr>
          <w:p w14:paraId="4951BA36" w14:textId="77777777" w:rsidR="00CA2084" w:rsidRDefault="00CA2084" w:rsidP="0049322D">
            <w:pPr>
              <w:jc w:val="center"/>
            </w:pPr>
            <w:r>
              <w:t>11</w:t>
            </w:r>
          </w:p>
          <w:p w14:paraId="5F6189F9" w14:textId="77777777" w:rsidR="00CA2084" w:rsidRDefault="00CA2084" w:rsidP="0049322D">
            <w:pPr>
              <w:jc w:val="center"/>
            </w:pPr>
            <w:r>
              <w:t>(&lt;1%)</w:t>
            </w:r>
          </w:p>
        </w:tc>
        <w:tc>
          <w:tcPr>
            <w:tcW w:w="1985" w:type="dxa"/>
          </w:tcPr>
          <w:p w14:paraId="3BF705ED" w14:textId="77777777" w:rsidR="00CA2084" w:rsidRDefault="00CA2084" w:rsidP="0049322D">
            <w:pPr>
              <w:jc w:val="center"/>
            </w:pPr>
            <w:r>
              <w:t>Executed</w:t>
            </w:r>
          </w:p>
        </w:tc>
        <w:tc>
          <w:tcPr>
            <w:tcW w:w="1134" w:type="dxa"/>
          </w:tcPr>
          <w:p w14:paraId="0EAB213A" w14:textId="77777777" w:rsidR="00CA2084" w:rsidRDefault="00CA2084" w:rsidP="0049322D">
            <w:pPr>
              <w:jc w:val="center"/>
            </w:pPr>
            <w:r>
              <w:t>13</w:t>
            </w:r>
            <w:r>
              <w:br/>
              <w:t>(&lt;1%)</w:t>
            </w:r>
          </w:p>
        </w:tc>
        <w:tc>
          <w:tcPr>
            <w:tcW w:w="1178" w:type="dxa"/>
          </w:tcPr>
          <w:p w14:paraId="56267686" w14:textId="77777777" w:rsidR="00CA2084" w:rsidRDefault="00CA2084" w:rsidP="0049322D">
            <w:pPr>
              <w:jc w:val="center"/>
            </w:pPr>
            <w:r>
              <w:t>2</w:t>
            </w:r>
          </w:p>
          <w:p w14:paraId="1C9DE553" w14:textId="77777777" w:rsidR="00CA2084" w:rsidRDefault="00CA2084" w:rsidP="0049322D">
            <w:pPr>
              <w:jc w:val="center"/>
            </w:pPr>
            <w:r>
              <w:t>(&lt;1%)</w:t>
            </w:r>
          </w:p>
        </w:tc>
      </w:tr>
      <w:tr w:rsidR="00CA2084" w14:paraId="00428AFC" w14:textId="77777777" w:rsidTr="0049322D">
        <w:tc>
          <w:tcPr>
            <w:tcW w:w="1911" w:type="dxa"/>
            <w:vMerge/>
          </w:tcPr>
          <w:p w14:paraId="12FE3C1D" w14:textId="77777777" w:rsidR="00CA2084" w:rsidRDefault="00CA2084" w:rsidP="0049322D">
            <w:pPr>
              <w:jc w:val="center"/>
            </w:pPr>
          </w:p>
        </w:tc>
        <w:tc>
          <w:tcPr>
            <w:tcW w:w="1174" w:type="dxa"/>
            <w:vMerge/>
          </w:tcPr>
          <w:p w14:paraId="3E54D550" w14:textId="77777777" w:rsidR="00CA2084" w:rsidRDefault="00CA2084" w:rsidP="0049322D">
            <w:pPr>
              <w:jc w:val="center"/>
            </w:pPr>
          </w:p>
        </w:tc>
        <w:tc>
          <w:tcPr>
            <w:tcW w:w="1134" w:type="dxa"/>
            <w:vMerge/>
          </w:tcPr>
          <w:p w14:paraId="5788416B" w14:textId="77777777" w:rsidR="00CA2084" w:rsidRDefault="00CA2084" w:rsidP="0049322D">
            <w:pPr>
              <w:jc w:val="center"/>
            </w:pPr>
          </w:p>
        </w:tc>
        <w:tc>
          <w:tcPr>
            <w:tcW w:w="1985" w:type="dxa"/>
          </w:tcPr>
          <w:p w14:paraId="21427A2B" w14:textId="77777777" w:rsidR="00CA2084" w:rsidRDefault="00CA2084" w:rsidP="0049322D">
            <w:pPr>
              <w:jc w:val="center"/>
            </w:pPr>
            <w:r>
              <w:t>Pardoned</w:t>
            </w:r>
          </w:p>
        </w:tc>
        <w:tc>
          <w:tcPr>
            <w:tcW w:w="1134" w:type="dxa"/>
          </w:tcPr>
          <w:p w14:paraId="0E55845D" w14:textId="77777777" w:rsidR="00CA2084" w:rsidRDefault="00CA2084" w:rsidP="0049322D">
            <w:pPr>
              <w:jc w:val="center"/>
            </w:pPr>
            <w:r>
              <w:t>31</w:t>
            </w:r>
            <w:r>
              <w:br/>
              <w:t>(&lt;1%)</w:t>
            </w:r>
          </w:p>
        </w:tc>
        <w:tc>
          <w:tcPr>
            <w:tcW w:w="1178" w:type="dxa"/>
          </w:tcPr>
          <w:p w14:paraId="01C394DE" w14:textId="77777777" w:rsidR="00CA2084" w:rsidRDefault="00CA2084" w:rsidP="0049322D">
            <w:pPr>
              <w:jc w:val="center"/>
            </w:pPr>
            <w:r>
              <w:t>9</w:t>
            </w:r>
          </w:p>
          <w:p w14:paraId="4732BB26" w14:textId="77777777" w:rsidR="00CA2084" w:rsidRDefault="00CA2084" w:rsidP="0049322D">
            <w:pPr>
              <w:jc w:val="center"/>
            </w:pPr>
            <w:r>
              <w:t>(&lt;1%)</w:t>
            </w:r>
          </w:p>
        </w:tc>
      </w:tr>
      <w:tr w:rsidR="00CA2084" w14:paraId="7FC53DA6" w14:textId="77777777" w:rsidTr="0049322D">
        <w:tc>
          <w:tcPr>
            <w:tcW w:w="1911" w:type="dxa"/>
          </w:tcPr>
          <w:p w14:paraId="13DA986D" w14:textId="77777777" w:rsidR="00CA2084" w:rsidRDefault="00CA2084" w:rsidP="0049322D">
            <w:pPr>
              <w:jc w:val="center"/>
            </w:pPr>
          </w:p>
        </w:tc>
        <w:tc>
          <w:tcPr>
            <w:tcW w:w="1174" w:type="dxa"/>
          </w:tcPr>
          <w:p w14:paraId="44164DE3" w14:textId="77777777" w:rsidR="00CA2084" w:rsidRDefault="00CA2084" w:rsidP="0049322D">
            <w:pPr>
              <w:jc w:val="center"/>
            </w:pPr>
          </w:p>
        </w:tc>
        <w:tc>
          <w:tcPr>
            <w:tcW w:w="1134" w:type="dxa"/>
          </w:tcPr>
          <w:p w14:paraId="26B6DFD4" w14:textId="77777777" w:rsidR="00CA2084" w:rsidRDefault="00CA2084" w:rsidP="0049322D">
            <w:pPr>
              <w:jc w:val="center"/>
            </w:pPr>
          </w:p>
        </w:tc>
        <w:tc>
          <w:tcPr>
            <w:tcW w:w="1985" w:type="dxa"/>
          </w:tcPr>
          <w:p w14:paraId="50B59651" w14:textId="77777777" w:rsidR="00CA2084" w:rsidRDefault="00CA2084" w:rsidP="0049322D">
            <w:pPr>
              <w:jc w:val="center"/>
            </w:pPr>
          </w:p>
        </w:tc>
        <w:tc>
          <w:tcPr>
            <w:tcW w:w="1134" w:type="dxa"/>
          </w:tcPr>
          <w:p w14:paraId="61547425" w14:textId="77777777" w:rsidR="00CA2084" w:rsidRDefault="00CA2084" w:rsidP="0049322D">
            <w:pPr>
              <w:jc w:val="center"/>
            </w:pPr>
          </w:p>
        </w:tc>
        <w:tc>
          <w:tcPr>
            <w:tcW w:w="1178" w:type="dxa"/>
          </w:tcPr>
          <w:p w14:paraId="7FF89DA8" w14:textId="77777777" w:rsidR="00CA2084" w:rsidRDefault="00CA2084" w:rsidP="0049322D">
            <w:pPr>
              <w:jc w:val="center"/>
            </w:pPr>
          </w:p>
        </w:tc>
      </w:tr>
      <w:tr w:rsidR="00CA2084" w14:paraId="40480EEC" w14:textId="77777777" w:rsidTr="0049322D">
        <w:tc>
          <w:tcPr>
            <w:tcW w:w="1911" w:type="dxa"/>
            <w:vMerge w:val="restart"/>
          </w:tcPr>
          <w:p w14:paraId="4CDB00D1" w14:textId="77777777" w:rsidR="00CA2084" w:rsidRDefault="00CA2084" w:rsidP="0049322D">
            <w:pPr>
              <w:jc w:val="center"/>
            </w:pPr>
            <w:r>
              <w:t>Transportation</w:t>
            </w:r>
          </w:p>
          <w:p w14:paraId="08BB20FB" w14:textId="77777777" w:rsidR="00CA2084" w:rsidRDefault="00CA2084" w:rsidP="0049322D">
            <w:pPr>
              <w:jc w:val="center"/>
            </w:pPr>
            <w:r>
              <w:t>(-1857)</w:t>
            </w:r>
          </w:p>
        </w:tc>
        <w:tc>
          <w:tcPr>
            <w:tcW w:w="1174" w:type="dxa"/>
            <w:vMerge w:val="restart"/>
          </w:tcPr>
          <w:p w14:paraId="0DECE280" w14:textId="77777777" w:rsidR="00CA2084" w:rsidRDefault="00CA2084" w:rsidP="0049322D">
            <w:pPr>
              <w:jc w:val="center"/>
            </w:pPr>
            <w:r>
              <w:t>1,111</w:t>
            </w:r>
          </w:p>
          <w:p w14:paraId="53BA0D82" w14:textId="77777777" w:rsidR="00CA2084" w:rsidRDefault="00CA2084" w:rsidP="0049322D">
            <w:pPr>
              <w:jc w:val="center"/>
            </w:pPr>
            <w:r>
              <w:t>(6%)</w:t>
            </w:r>
          </w:p>
        </w:tc>
        <w:tc>
          <w:tcPr>
            <w:tcW w:w="1134" w:type="dxa"/>
            <w:vMerge w:val="restart"/>
          </w:tcPr>
          <w:p w14:paraId="23A5193B" w14:textId="77777777" w:rsidR="00CA2084" w:rsidRDefault="00CA2084" w:rsidP="0049322D">
            <w:pPr>
              <w:jc w:val="center"/>
            </w:pPr>
            <w:r>
              <w:t>149</w:t>
            </w:r>
          </w:p>
          <w:p w14:paraId="0FC5C095" w14:textId="77777777" w:rsidR="00CA2084" w:rsidRDefault="00CA2084" w:rsidP="0049322D">
            <w:pPr>
              <w:jc w:val="center"/>
            </w:pPr>
            <w:r>
              <w:t>(3%)</w:t>
            </w:r>
          </w:p>
        </w:tc>
        <w:tc>
          <w:tcPr>
            <w:tcW w:w="1985" w:type="dxa"/>
          </w:tcPr>
          <w:p w14:paraId="3079C6EE" w14:textId="77777777" w:rsidR="00CA2084" w:rsidRDefault="00CA2084" w:rsidP="0049322D">
            <w:pPr>
              <w:jc w:val="center"/>
            </w:pPr>
            <w:r>
              <w:t>Life</w:t>
            </w:r>
          </w:p>
        </w:tc>
        <w:tc>
          <w:tcPr>
            <w:tcW w:w="1134" w:type="dxa"/>
          </w:tcPr>
          <w:p w14:paraId="4AD17825" w14:textId="77777777" w:rsidR="00CA2084" w:rsidRDefault="00CA2084" w:rsidP="0049322D">
            <w:pPr>
              <w:jc w:val="center"/>
            </w:pPr>
            <w:r>
              <w:t>35</w:t>
            </w:r>
          </w:p>
          <w:p w14:paraId="60FAFB8E" w14:textId="77777777" w:rsidR="00CA2084" w:rsidRDefault="00CA2084" w:rsidP="0049322D">
            <w:pPr>
              <w:jc w:val="center"/>
            </w:pPr>
            <w:r>
              <w:t>(&lt;1%)</w:t>
            </w:r>
          </w:p>
        </w:tc>
        <w:tc>
          <w:tcPr>
            <w:tcW w:w="1178" w:type="dxa"/>
          </w:tcPr>
          <w:p w14:paraId="179167CE" w14:textId="77777777" w:rsidR="00CA2084" w:rsidRDefault="00CA2084" w:rsidP="0049322D">
            <w:pPr>
              <w:jc w:val="center"/>
            </w:pPr>
            <w:r>
              <w:t>1</w:t>
            </w:r>
            <w:r>
              <w:br/>
              <w:t>(&lt;1%)</w:t>
            </w:r>
          </w:p>
        </w:tc>
      </w:tr>
      <w:tr w:rsidR="00CA2084" w14:paraId="2569F01E" w14:textId="77777777" w:rsidTr="0049322D">
        <w:tc>
          <w:tcPr>
            <w:tcW w:w="1911" w:type="dxa"/>
            <w:vMerge/>
          </w:tcPr>
          <w:p w14:paraId="27713958" w14:textId="77777777" w:rsidR="00CA2084" w:rsidRDefault="00CA2084" w:rsidP="0049322D">
            <w:pPr>
              <w:jc w:val="center"/>
            </w:pPr>
          </w:p>
        </w:tc>
        <w:tc>
          <w:tcPr>
            <w:tcW w:w="1174" w:type="dxa"/>
            <w:vMerge/>
          </w:tcPr>
          <w:p w14:paraId="3DB1B4FE" w14:textId="77777777" w:rsidR="00CA2084" w:rsidRDefault="00CA2084" w:rsidP="0049322D">
            <w:pPr>
              <w:jc w:val="center"/>
            </w:pPr>
          </w:p>
        </w:tc>
        <w:tc>
          <w:tcPr>
            <w:tcW w:w="1134" w:type="dxa"/>
            <w:vMerge/>
          </w:tcPr>
          <w:p w14:paraId="65794DD0" w14:textId="77777777" w:rsidR="00CA2084" w:rsidRDefault="00CA2084" w:rsidP="0049322D">
            <w:pPr>
              <w:jc w:val="center"/>
            </w:pPr>
          </w:p>
        </w:tc>
        <w:tc>
          <w:tcPr>
            <w:tcW w:w="1985" w:type="dxa"/>
          </w:tcPr>
          <w:p w14:paraId="79AB00B9" w14:textId="77777777" w:rsidR="00CA2084" w:rsidRDefault="00CA2084" w:rsidP="0049322D">
            <w:pPr>
              <w:jc w:val="center"/>
            </w:pPr>
            <w:r>
              <w:t>Over 16 years</w:t>
            </w:r>
          </w:p>
        </w:tc>
        <w:tc>
          <w:tcPr>
            <w:tcW w:w="1134" w:type="dxa"/>
          </w:tcPr>
          <w:p w14:paraId="3047A315" w14:textId="77777777" w:rsidR="00CA2084" w:rsidRDefault="00CA2084" w:rsidP="0049322D">
            <w:pPr>
              <w:jc w:val="center"/>
            </w:pPr>
            <w:r>
              <w:t>19</w:t>
            </w:r>
          </w:p>
          <w:p w14:paraId="4748296E" w14:textId="77777777" w:rsidR="00CA2084" w:rsidRDefault="00CA2084" w:rsidP="0049322D">
            <w:pPr>
              <w:jc w:val="center"/>
            </w:pPr>
            <w:r>
              <w:t>(&lt;1%)</w:t>
            </w:r>
          </w:p>
        </w:tc>
        <w:tc>
          <w:tcPr>
            <w:tcW w:w="1178" w:type="dxa"/>
          </w:tcPr>
          <w:p w14:paraId="366A41C5" w14:textId="77777777" w:rsidR="00CA2084" w:rsidRDefault="00CA2084" w:rsidP="0049322D">
            <w:pPr>
              <w:jc w:val="center"/>
            </w:pPr>
            <w:r>
              <w:t>0</w:t>
            </w:r>
          </w:p>
        </w:tc>
      </w:tr>
      <w:tr w:rsidR="00CA2084" w14:paraId="317A15A5" w14:textId="77777777" w:rsidTr="0049322D">
        <w:tc>
          <w:tcPr>
            <w:tcW w:w="1911" w:type="dxa"/>
            <w:vMerge/>
          </w:tcPr>
          <w:p w14:paraId="6C2D88A9" w14:textId="77777777" w:rsidR="00CA2084" w:rsidRDefault="00CA2084" w:rsidP="0049322D">
            <w:pPr>
              <w:jc w:val="center"/>
            </w:pPr>
          </w:p>
        </w:tc>
        <w:tc>
          <w:tcPr>
            <w:tcW w:w="1174" w:type="dxa"/>
            <w:vMerge/>
          </w:tcPr>
          <w:p w14:paraId="29E0AC77" w14:textId="77777777" w:rsidR="00CA2084" w:rsidRDefault="00CA2084" w:rsidP="0049322D">
            <w:pPr>
              <w:jc w:val="center"/>
            </w:pPr>
          </w:p>
        </w:tc>
        <w:tc>
          <w:tcPr>
            <w:tcW w:w="1134" w:type="dxa"/>
            <w:vMerge/>
          </w:tcPr>
          <w:p w14:paraId="2B450874" w14:textId="77777777" w:rsidR="00CA2084" w:rsidRDefault="00CA2084" w:rsidP="0049322D">
            <w:pPr>
              <w:jc w:val="center"/>
            </w:pPr>
          </w:p>
        </w:tc>
        <w:tc>
          <w:tcPr>
            <w:tcW w:w="1985" w:type="dxa"/>
          </w:tcPr>
          <w:p w14:paraId="12621EF6" w14:textId="77777777" w:rsidR="00CA2084" w:rsidRDefault="00CA2084" w:rsidP="0049322D">
            <w:pPr>
              <w:jc w:val="center"/>
            </w:pPr>
            <w:r>
              <w:t>10-15 years</w:t>
            </w:r>
          </w:p>
        </w:tc>
        <w:tc>
          <w:tcPr>
            <w:tcW w:w="1134" w:type="dxa"/>
          </w:tcPr>
          <w:p w14:paraId="594A8E85" w14:textId="77777777" w:rsidR="00CA2084" w:rsidRDefault="00CA2084" w:rsidP="0049322D">
            <w:pPr>
              <w:jc w:val="center"/>
            </w:pPr>
            <w:r>
              <w:t>398</w:t>
            </w:r>
          </w:p>
          <w:p w14:paraId="1C4A6547" w14:textId="77777777" w:rsidR="00CA2084" w:rsidRDefault="00CA2084" w:rsidP="0049322D">
            <w:pPr>
              <w:jc w:val="center"/>
            </w:pPr>
            <w:r>
              <w:t>(2%)</w:t>
            </w:r>
          </w:p>
        </w:tc>
        <w:tc>
          <w:tcPr>
            <w:tcW w:w="1178" w:type="dxa"/>
          </w:tcPr>
          <w:p w14:paraId="6D1C09EA" w14:textId="77777777" w:rsidR="00CA2084" w:rsidRDefault="00CA2084" w:rsidP="0049322D">
            <w:pPr>
              <w:jc w:val="center"/>
            </w:pPr>
            <w:r>
              <w:t>31</w:t>
            </w:r>
          </w:p>
          <w:p w14:paraId="67B54DE4" w14:textId="77777777" w:rsidR="00CA2084" w:rsidRDefault="00CA2084" w:rsidP="0049322D">
            <w:pPr>
              <w:jc w:val="center"/>
            </w:pPr>
            <w:r>
              <w:t>(&lt;1%)</w:t>
            </w:r>
          </w:p>
        </w:tc>
      </w:tr>
      <w:tr w:rsidR="00CA2084" w14:paraId="583DF1B5" w14:textId="77777777" w:rsidTr="0049322D">
        <w:tc>
          <w:tcPr>
            <w:tcW w:w="1911" w:type="dxa"/>
            <w:vMerge/>
          </w:tcPr>
          <w:p w14:paraId="339D3169" w14:textId="77777777" w:rsidR="00CA2084" w:rsidRDefault="00CA2084" w:rsidP="0049322D">
            <w:pPr>
              <w:jc w:val="center"/>
            </w:pPr>
          </w:p>
        </w:tc>
        <w:tc>
          <w:tcPr>
            <w:tcW w:w="1174" w:type="dxa"/>
            <w:vMerge/>
          </w:tcPr>
          <w:p w14:paraId="307D5426" w14:textId="77777777" w:rsidR="00CA2084" w:rsidRDefault="00CA2084" w:rsidP="0049322D">
            <w:pPr>
              <w:jc w:val="center"/>
            </w:pPr>
          </w:p>
        </w:tc>
        <w:tc>
          <w:tcPr>
            <w:tcW w:w="1134" w:type="dxa"/>
            <w:vMerge/>
          </w:tcPr>
          <w:p w14:paraId="531208D3" w14:textId="77777777" w:rsidR="00CA2084" w:rsidRDefault="00CA2084" w:rsidP="0049322D">
            <w:pPr>
              <w:jc w:val="center"/>
            </w:pPr>
          </w:p>
        </w:tc>
        <w:tc>
          <w:tcPr>
            <w:tcW w:w="1985" w:type="dxa"/>
          </w:tcPr>
          <w:p w14:paraId="75E96A61" w14:textId="77777777" w:rsidR="00CA2084" w:rsidRDefault="00CA2084" w:rsidP="0049322D">
            <w:pPr>
              <w:jc w:val="center"/>
            </w:pPr>
            <w:r>
              <w:t>7 years</w:t>
            </w:r>
          </w:p>
        </w:tc>
        <w:tc>
          <w:tcPr>
            <w:tcW w:w="1134" w:type="dxa"/>
          </w:tcPr>
          <w:p w14:paraId="16A30261" w14:textId="77777777" w:rsidR="00CA2084" w:rsidRDefault="00CA2084" w:rsidP="0049322D">
            <w:pPr>
              <w:jc w:val="center"/>
            </w:pPr>
            <w:r>
              <w:t>659</w:t>
            </w:r>
          </w:p>
          <w:p w14:paraId="069EEF86" w14:textId="77777777" w:rsidR="00CA2084" w:rsidRDefault="00CA2084" w:rsidP="0049322D">
            <w:pPr>
              <w:jc w:val="center"/>
            </w:pPr>
            <w:r>
              <w:t>(3%)</w:t>
            </w:r>
          </w:p>
        </w:tc>
        <w:tc>
          <w:tcPr>
            <w:tcW w:w="1178" w:type="dxa"/>
          </w:tcPr>
          <w:p w14:paraId="1A57A892" w14:textId="77777777" w:rsidR="00CA2084" w:rsidRDefault="00CA2084" w:rsidP="0049322D">
            <w:pPr>
              <w:jc w:val="center"/>
            </w:pPr>
            <w:r>
              <w:t>117</w:t>
            </w:r>
          </w:p>
          <w:p w14:paraId="2FEAA80E" w14:textId="77777777" w:rsidR="00CA2084" w:rsidRDefault="00CA2084" w:rsidP="0049322D">
            <w:pPr>
              <w:jc w:val="center"/>
            </w:pPr>
            <w:r>
              <w:t>(2%)</w:t>
            </w:r>
          </w:p>
        </w:tc>
      </w:tr>
      <w:tr w:rsidR="00CA2084" w14:paraId="126FB02E" w14:textId="77777777" w:rsidTr="0049322D">
        <w:tc>
          <w:tcPr>
            <w:tcW w:w="1911" w:type="dxa"/>
          </w:tcPr>
          <w:p w14:paraId="5B6E97AD" w14:textId="77777777" w:rsidR="00CA2084" w:rsidRDefault="00CA2084" w:rsidP="0049322D">
            <w:pPr>
              <w:jc w:val="center"/>
            </w:pPr>
          </w:p>
        </w:tc>
        <w:tc>
          <w:tcPr>
            <w:tcW w:w="1174" w:type="dxa"/>
          </w:tcPr>
          <w:p w14:paraId="3CBDA968" w14:textId="77777777" w:rsidR="00CA2084" w:rsidRDefault="00CA2084" w:rsidP="0049322D">
            <w:pPr>
              <w:jc w:val="center"/>
            </w:pPr>
          </w:p>
        </w:tc>
        <w:tc>
          <w:tcPr>
            <w:tcW w:w="1134" w:type="dxa"/>
          </w:tcPr>
          <w:p w14:paraId="5318C14A" w14:textId="77777777" w:rsidR="00CA2084" w:rsidRDefault="00CA2084" w:rsidP="0049322D">
            <w:pPr>
              <w:jc w:val="center"/>
            </w:pPr>
          </w:p>
        </w:tc>
        <w:tc>
          <w:tcPr>
            <w:tcW w:w="1985" w:type="dxa"/>
          </w:tcPr>
          <w:p w14:paraId="77BC0ACC" w14:textId="77777777" w:rsidR="00CA2084" w:rsidRDefault="00CA2084" w:rsidP="0049322D">
            <w:pPr>
              <w:jc w:val="center"/>
            </w:pPr>
          </w:p>
        </w:tc>
        <w:tc>
          <w:tcPr>
            <w:tcW w:w="1134" w:type="dxa"/>
          </w:tcPr>
          <w:p w14:paraId="03F728ED" w14:textId="77777777" w:rsidR="00CA2084" w:rsidRDefault="00CA2084" w:rsidP="0049322D">
            <w:pPr>
              <w:jc w:val="center"/>
            </w:pPr>
          </w:p>
        </w:tc>
        <w:tc>
          <w:tcPr>
            <w:tcW w:w="1178" w:type="dxa"/>
          </w:tcPr>
          <w:p w14:paraId="3BE9C678" w14:textId="77777777" w:rsidR="00CA2084" w:rsidRDefault="00CA2084" w:rsidP="0049322D">
            <w:pPr>
              <w:jc w:val="center"/>
            </w:pPr>
          </w:p>
        </w:tc>
      </w:tr>
      <w:tr w:rsidR="00CA2084" w14:paraId="4859126F" w14:textId="77777777" w:rsidTr="0049322D">
        <w:tc>
          <w:tcPr>
            <w:tcW w:w="1911" w:type="dxa"/>
            <w:vMerge w:val="restart"/>
          </w:tcPr>
          <w:p w14:paraId="61C68C3B" w14:textId="77777777" w:rsidR="00CA2084" w:rsidRDefault="00CA2084" w:rsidP="0049322D">
            <w:pPr>
              <w:jc w:val="center"/>
            </w:pPr>
            <w:r>
              <w:t>Penal Servitude</w:t>
            </w:r>
            <w:r>
              <w:br/>
              <w:t>(1853-)</w:t>
            </w:r>
          </w:p>
        </w:tc>
        <w:tc>
          <w:tcPr>
            <w:tcW w:w="1174" w:type="dxa"/>
            <w:vMerge w:val="restart"/>
          </w:tcPr>
          <w:p w14:paraId="18FEA421" w14:textId="77777777" w:rsidR="00CA2084" w:rsidRPr="00073F4E" w:rsidRDefault="00CA2084" w:rsidP="0049322D">
            <w:pPr>
              <w:jc w:val="center"/>
            </w:pPr>
            <w:r w:rsidRPr="00073F4E">
              <w:t>1</w:t>
            </w:r>
            <w:r>
              <w:t>,</w:t>
            </w:r>
            <w:r w:rsidRPr="00073F4E">
              <w:t>261</w:t>
            </w:r>
            <w:r w:rsidRPr="00073F4E">
              <w:br/>
              <w:t>(6%)</w:t>
            </w:r>
          </w:p>
        </w:tc>
        <w:tc>
          <w:tcPr>
            <w:tcW w:w="1134" w:type="dxa"/>
            <w:vMerge w:val="restart"/>
          </w:tcPr>
          <w:p w14:paraId="7BEB40A7" w14:textId="77777777" w:rsidR="00CA2084" w:rsidRPr="00073F4E" w:rsidRDefault="00CA2084" w:rsidP="0049322D">
            <w:pPr>
              <w:jc w:val="center"/>
            </w:pPr>
            <w:r w:rsidRPr="00073F4E">
              <w:t>208</w:t>
            </w:r>
            <w:r w:rsidRPr="00073F4E">
              <w:br/>
              <w:t>(4%)</w:t>
            </w:r>
          </w:p>
        </w:tc>
        <w:tc>
          <w:tcPr>
            <w:tcW w:w="1985" w:type="dxa"/>
          </w:tcPr>
          <w:p w14:paraId="0B1C4F7E" w14:textId="77777777" w:rsidR="00CA2084" w:rsidRDefault="00CA2084" w:rsidP="0049322D">
            <w:pPr>
              <w:jc w:val="center"/>
            </w:pPr>
            <w:r>
              <w:t>Life</w:t>
            </w:r>
          </w:p>
        </w:tc>
        <w:tc>
          <w:tcPr>
            <w:tcW w:w="1134" w:type="dxa"/>
          </w:tcPr>
          <w:p w14:paraId="58223BF6" w14:textId="77777777" w:rsidR="00CA2084" w:rsidRDefault="00CA2084" w:rsidP="0049322D">
            <w:pPr>
              <w:jc w:val="center"/>
            </w:pPr>
            <w:r>
              <w:t>14</w:t>
            </w:r>
          </w:p>
          <w:p w14:paraId="34632622" w14:textId="77777777" w:rsidR="00CA2084" w:rsidRDefault="00CA2084" w:rsidP="0049322D">
            <w:pPr>
              <w:jc w:val="center"/>
            </w:pPr>
            <w:r>
              <w:t>(&lt;1%)</w:t>
            </w:r>
          </w:p>
        </w:tc>
        <w:tc>
          <w:tcPr>
            <w:tcW w:w="1178" w:type="dxa"/>
          </w:tcPr>
          <w:p w14:paraId="5ABAB10E" w14:textId="77777777" w:rsidR="00CA2084" w:rsidRDefault="00CA2084" w:rsidP="0049322D">
            <w:pPr>
              <w:jc w:val="center"/>
            </w:pPr>
            <w:r>
              <w:t>2</w:t>
            </w:r>
          </w:p>
          <w:p w14:paraId="47274399" w14:textId="77777777" w:rsidR="00CA2084" w:rsidRDefault="00CA2084" w:rsidP="0049322D">
            <w:pPr>
              <w:jc w:val="center"/>
            </w:pPr>
            <w:r>
              <w:t>(&lt;1%)</w:t>
            </w:r>
          </w:p>
        </w:tc>
      </w:tr>
      <w:tr w:rsidR="00CA2084" w14:paraId="34975AB7" w14:textId="77777777" w:rsidTr="0049322D">
        <w:tc>
          <w:tcPr>
            <w:tcW w:w="1911" w:type="dxa"/>
            <w:vMerge/>
          </w:tcPr>
          <w:p w14:paraId="1C24FB9A" w14:textId="77777777" w:rsidR="00CA2084" w:rsidRDefault="00CA2084" w:rsidP="0049322D">
            <w:pPr>
              <w:jc w:val="center"/>
            </w:pPr>
          </w:p>
        </w:tc>
        <w:tc>
          <w:tcPr>
            <w:tcW w:w="1174" w:type="dxa"/>
            <w:vMerge/>
          </w:tcPr>
          <w:p w14:paraId="51D4FD2A" w14:textId="77777777" w:rsidR="00CA2084" w:rsidRPr="00073F4E" w:rsidRDefault="00CA2084" w:rsidP="0049322D">
            <w:pPr>
              <w:jc w:val="center"/>
            </w:pPr>
          </w:p>
        </w:tc>
        <w:tc>
          <w:tcPr>
            <w:tcW w:w="1134" w:type="dxa"/>
            <w:vMerge/>
          </w:tcPr>
          <w:p w14:paraId="73011344" w14:textId="77777777" w:rsidR="00CA2084" w:rsidRPr="00073F4E" w:rsidRDefault="00CA2084" w:rsidP="0049322D">
            <w:pPr>
              <w:jc w:val="center"/>
            </w:pPr>
          </w:p>
        </w:tc>
        <w:tc>
          <w:tcPr>
            <w:tcW w:w="1985" w:type="dxa"/>
          </w:tcPr>
          <w:p w14:paraId="0B4CFDD5" w14:textId="77777777" w:rsidR="00CA2084" w:rsidRDefault="00CA2084" w:rsidP="0049322D">
            <w:pPr>
              <w:jc w:val="center"/>
            </w:pPr>
            <w:r>
              <w:t>Over 10 years</w:t>
            </w:r>
          </w:p>
        </w:tc>
        <w:tc>
          <w:tcPr>
            <w:tcW w:w="1134" w:type="dxa"/>
          </w:tcPr>
          <w:p w14:paraId="23B29E09" w14:textId="77777777" w:rsidR="00CA2084" w:rsidRDefault="00CA2084" w:rsidP="0049322D">
            <w:pPr>
              <w:jc w:val="center"/>
            </w:pPr>
            <w:r>
              <w:t>41</w:t>
            </w:r>
          </w:p>
          <w:p w14:paraId="166587F4" w14:textId="77777777" w:rsidR="00CA2084" w:rsidRDefault="00CA2084" w:rsidP="0049322D">
            <w:pPr>
              <w:jc w:val="center"/>
            </w:pPr>
            <w:r>
              <w:t>(&lt;1%)</w:t>
            </w:r>
          </w:p>
        </w:tc>
        <w:tc>
          <w:tcPr>
            <w:tcW w:w="1178" w:type="dxa"/>
          </w:tcPr>
          <w:p w14:paraId="501D5675" w14:textId="77777777" w:rsidR="00CA2084" w:rsidRDefault="00CA2084" w:rsidP="0049322D">
            <w:pPr>
              <w:jc w:val="center"/>
            </w:pPr>
            <w:r>
              <w:t>1</w:t>
            </w:r>
          </w:p>
          <w:p w14:paraId="108AB6E6" w14:textId="77777777" w:rsidR="00CA2084" w:rsidRDefault="00CA2084" w:rsidP="0049322D">
            <w:pPr>
              <w:jc w:val="center"/>
            </w:pPr>
            <w:r>
              <w:t>(&lt;1%)</w:t>
            </w:r>
          </w:p>
        </w:tc>
      </w:tr>
      <w:tr w:rsidR="00CA2084" w14:paraId="75EAF52F" w14:textId="77777777" w:rsidTr="0049322D">
        <w:tc>
          <w:tcPr>
            <w:tcW w:w="1911" w:type="dxa"/>
            <w:vMerge/>
          </w:tcPr>
          <w:p w14:paraId="2D7FEB0F" w14:textId="77777777" w:rsidR="00CA2084" w:rsidRDefault="00CA2084" w:rsidP="0049322D">
            <w:pPr>
              <w:jc w:val="center"/>
            </w:pPr>
          </w:p>
        </w:tc>
        <w:tc>
          <w:tcPr>
            <w:tcW w:w="1174" w:type="dxa"/>
            <w:vMerge/>
          </w:tcPr>
          <w:p w14:paraId="1F696A5B" w14:textId="77777777" w:rsidR="00CA2084" w:rsidRPr="00073F4E" w:rsidRDefault="00CA2084" w:rsidP="0049322D">
            <w:pPr>
              <w:jc w:val="center"/>
            </w:pPr>
          </w:p>
        </w:tc>
        <w:tc>
          <w:tcPr>
            <w:tcW w:w="1134" w:type="dxa"/>
            <w:vMerge/>
          </w:tcPr>
          <w:p w14:paraId="2A21D89C" w14:textId="77777777" w:rsidR="00CA2084" w:rsidRPr="00073F4E" w:rsidRDefault="00CA2084" w:rsidP="0049322D">
            <w:pPr>
              <w:jc w:val="center"/>
            </w:pPr>
          </w:p>
        </w:tc>
        <w:tc>
          <w:tcPr>
            <w:tcW w:w="1985" w:type="dxa"/>
          </w:tcPr>
          <w:p w14:paraId="6F7FB14F" w14:textId="77777777" w:rsidR="00CA2084" w:rsidRDefault="00CA2084" w:rsidP="0049322D">
            <w:pPr>
              <w:jc w:val="center"/>
            </w:pPr>
            <w:r>
              <w:t>7-10 years</w:t>
            </w:r>
          </w:p>
        </w:tc>
        <w:tc>
          <w:tcPr>
            <w:tcW w:w="1134" w:type="dxa"/>
          </w:tcPr>
          <w:p w14:paraId="10C21F56" w14:textId="77777777" w:rsidR="00CA2084" w:rsidRDefault="00CA2084" w:rsidP="0049322D">
            <w:pPr>
              <w:jc w:val="center"/>
            </w:pPr>
            <w:r>
              <w:t>555</w:t>
            </w:r>
          </w:p>
          <w:p w14:paraId="0238CEA2" w14:textId="77777777" w:rsidR="00CA2084" w:rsidRDefault="00CA2084" w:rsidP="0049322D">
            <w:pPr>
              <w:jc w:val="center"/>
            </w:pPr>
            <w:r>
              <w:t>(3%)</w:t>
            </w:r>
          </w:p>
        </w:tc>
        <w:tc>
          <w:tcPr>
            <w:tcW w:w="1178" w:type="dxa"/>
          </w:tcPr>
          <w:p w14:paraId="585BCCA8" w14:textId="77777777" w:rsidR="00CA2084" w:rsidRDefault="00CA2084" w:rsidP="0049322D">
            <w:pPr>
              <w:jc w:val="center"/>
            </w:pPr>
            <w:r>
              <w:t>71</w:t>
            </w:r>
          </w:p>
          <w:p w14:paraId="54C71E87" w14:textId="77777777" w:rsidR="00CA2084" w:rsidRDefault="00CA2084" w:rsidP="0049322D">
            <w:pPr>
              <w:jc w:val="center"/>
            </w:pPr>
            <w:r>
              <w:t>(1%)</w:t>
            </w:r>
          </w:p>
        </w:tc>
      </w:tr>
      <w:tr w:rsidR="00CA2084" w14:paraId="7AE5AAD0" w14:textId="77777777" w:rsidTr="0049322D">
        <w:tc>
          <w:tcPr>
            <w:tcW w:w="1911" w:type="dxa"/>
            <w:vMerge/>
          </w:tcPr>
          <w:p w14:paraId="51CD0B9A" w14:textId="77777777" w:rsidR="00CA2084" w:rsidRDefault="00CA2084" w:rsidP="0049322D">
            <w:pPr>
              <w:jc w:val="center"/>
            </w:pPr>
          </w:p>
        </w:tc>
        <w:tc>
          <w:tcPr>
            <w:tcW w:w="1174" w:type="dxa"/>
            <w:vMerge/>
          </w:tcPr>
          <w:p w14:paraId="4242F2C7" w14:textId="77777777" w:rsidR="00CA2084" w:rsidRPr="00073F4E" w:rsidRDefault="00CA2084" w:rsidP="0049322D">
            <w:pPr>
              <w:jc w:val="center"/>
            </w:pPr>
          </w:p>
        </w:tc>
        <w:tc>
          <w:tcPr>
            <w:tcW w:w="1134" w:type="dxa"/>
            <w:vMerge/>
          </w:tcPr>
          <w:p w14:paraId="1D68A259" w14:textId="77777777" w:rsidR="00CA2084" w:rsidRPr="00073F4E" w:rsidRDefault="00CA2084" w:rsidP="0049322D">
            <w:pPr>
              <w:jc w:val="center"/>
            </w:pPr>
          </w:p>
        </w:tc>
        <w:tc>
          <w:tcPr>
            <w:tcW w:w="1985" w:type="dxa"/>
          </w:tcPr>
          <w:p w14:paraId="5228F2F1" w14:textId="77777777" w:rsidR="00CA2084" w:rsidRDefault="00CA2084" w:rsidP="0049322D">
            <w:pPr>
              <w:jc w:val="center"/>
            </w:pPr>
            <w:r>
              <w:t>5-6 years</w:t>
            </w:r>
          </w:p>
        </w:tc>
        <w:tc>
          <w:tcPr>
            <w:tcW w:w="1134" w:type="dxa"/>
          </w:tcPr>
          <w:p w14:paraId="07FCF3C0" w14:textId="77777777" w:rsidR="00CA2084" w:rsidRDefault="00CA2084" w:rsidP="0049322D">
            <w:pPr>
              <w:jc w:val="center"/>
            </w:pPr>
            <w:r>
              <w:t>325</w:t>
            </w:r>
          </w:p>
          <w:p w14:paraId="0E1FCB52" w14:textId="77777777" w:rsidR="00CA2084" w:rsidRDefault="00CA2084" w:rsidP="0049322D">
            <w:pPr>
              <w:jc w:val="center"/>
            </w:pPr>
            <w:r>
              <w:lastRenderedPageBreak/>
              <w:t>(2%)</w:t>
            </w:r>
          </w:p>
        </w:tc>
        <w:tc>
          <w:tcPr>
            <w:tcW w:w="1178" w:type="dxa"/>
          </w:tcPr>
          <w:p w14:paraId="74C7AF99" w14:textId="77777777" w:rsidR="00CA2084" w:rsidRDefault="00CA2084" w:rsidP="0049322D">
            <w:pPr>
              <w:jc w:val="center"/>
            </w:pPr>
            <w:r>
              <w:lastRenderedPageBreak/>
              <w:t>55</w:t>
            </w:r>
          </w:p>
          <w:p w14:paraId="2BA8843C" w14:textId="77777777" w:rsidR="00CA2084" w:rsidRDefault="00CA2084" w:rsidP="0049322D">
            <w:pPr>
              <w:jc w:val="center"/>
            </w:pPr>
            <w:r>
              <w:lastRenderedPageBreak/>
              <w:t>(1%)</w:t>
            </w:r>
          </w:p>
        </w:tc>
      </w:tr>
      <w:tr w:rsidR="00CA2084" w14:paraId="035CE13B" w14:textId="77777777" w:rsidTr="0049322D">
        <w:tc>
          <w:tcPr>
            <w:tcW w:w="1911" w:type="dxa"/>
            <w:vMerge/>
          </w:tcPr>
          <w:p w14:paraId="57D6F688" w14:textId="77777777" w:rsidR="00CA2084" w:rsidRDefault="00CA2084" w:rsidP="0049322D">
            <w:pPr>
              <w:jc w:val="center"/>
            </w:pPr>
          </w:p>
        </w:tc>
        <w:tc>
          <w:tcPr>
            <w:tcW w:w="1174" w:type="dxa"/>
            <w:vMerge/>
          </w:tcPr>
          <w:p w14:paraId="6CBC9ABE" w14:textId="77777777" w:rsidR="00CA2084" w:rsidRPr="00073F4E" w:rsidRDefault="00CA2084" w:rsidP="0049322D">
            <w:pPr>
              <w:jc w:val="center"/>
            </w:pPr>
          </w:p>
        </w:tc>
        <w:tc>
          <w:tcPr>
            <w:tcW w:w="1134" w:type="dxa"/>
            <w:vMerge/>
          </w:tcPr>
          <w:p w14:paraId="1A8954FA" w14:textId="77777777" w:rsidR="00CA2084" w:rsidRPr="00073F4E" w:rsidRDefault="00CA2084" w:rsidP="0049322D">
            <w:pPr>
              <w:jc w:val="center"/>
            </w:pPr>
          </w:p>
        </w:tc>
        <w:tc>
          <w:tcPr>
            <w:tcW w:w="1985" w:type="dxa"/>
          </w:tcPr>
          <w:p w14:paraId="218DA84E" w14:textId="77777777" w:rsidR="00CA2084" w:rsidRDefault="00CA2084" w:rsidP="0049322D">
            <w:pPr>
              <w:jc w:val="center"/>
            </w:pPr>
            <w:r>
              <w:t>Less than 5 years</w:t>
            </w:r>
          </w:p>
        </w:tc>
        <w:tc>
          <w:tcPr>
            <w:tcW w:w="1134" w:type="dxa"/>
          </w:tcPr>
          <w:p w14:paraId="527E75A0" w14:textId="77777777" w:rsidR="00CA2084" w:rsidRDefault="00CA2084" w:rsidP="0049322D">
            <w:pPr>
              <w:jc w:val="center"/>
            </w:pPr>
            <w:r>
              <w:t>326</w:t>
            </w:r>
            <w:r>
              <w:br/>
              <w:t>(2%)</w:t>
            </w:r>
          </w:p>
        </w:tc>
        <w:tc>
          <w:tcPr>
            <w:tcW w:w="1178" w:type="dxa"/>
          </w:tcPr>
          <w:p w14:paraId="58736B4B" w14:textId="77777777" w:rsidR="00CA2084" w:rsidRDefault="00CA2084" w:rsidP="0049322D">
            <w:pPr>
              <w:jc w:val="center"/>
            </w:pPr>
            <w:r>
              <w:t>79</w:t>
            </w:r>
          </w:p>
          <w:p w14:paraId="5EE7F2DD" w14:textId="77777777" w:rsidR="00CA2084" w:rsidRDefault="00CA2084" w:rsidP="0049322D">
            <w:pPr>
              <w:jc w:val="center"/>
            </w:pPr>
            <w:r>
              <w:t>(1%)</w:t>
            </w:r>
          </w:p>
        </w:tc>
      </w:tr>
      <w:tr w:rsidR="00CA2084" w14:paraId="759A7EF3" w14:textId="77777777" w:rsidTr="0049322D">
        <w:tc>
          <w:tcPr>
            <w:tcW w:w="1911" w:type="dxa"/>
          </w:tcPr>
          <w:p w14:paraId="1D3938DA" w14:textId="77777777" w:rsidR="00CA2084" w:rsidRDefault="00CA2084" w:rsidP="0049322D">
            <w:pPr>
              <w:jc w:val="center"/>
            </w:pPr>
          </w:p>
        </w:tc>
        <w:tc>
          <w:tcPr>
            <w:tcW w:w="1174" w:type="dxa"/>
          </w:tcPr>
          <w:p w14:paraId="3746C150" w14:textId="77777777" w:rsidR="00CA2084" w:rsidRPr="00073F4E" w:rsidRDefault="00CA2084" w:rsidP="0049322D">
            <w:pPr>
              <w:jc w:val="center"/>
            </w:pPr>
          </w:p>
        </w:tc>
        <w:tc>
          <w:tcPr>
            <w:tcW w:w="1134" w:type="dxa"/>
          </w:tcPr>
          <w:p w14:paraId="3072E3CB" w14:textId="77777777" w:rsidR="00CA2084" w:rsidRPr="00073F4E" w:rsidRDefault="00CA2084" w:rsidP="0049322D">
            <w:pPr>
              <w:jc w:val="center"/>
            </w:pPr>
          </w:p>
        </w:tc>
        <w:tc>
          <w:tcPr>
            <w:tcW w:w="1985" w:type="dxa"/>
          </w:tcPr>
          <w:p w14:paraId="4299B265" w14:textId="77777777" w:rsidR="00CA2084" w:rsidRDefault="00CA2084" w:rsidP="0049322D">
            <w:pPr>
              <w:jc w:val="center"/>
            </w:pPr>
          </w:p>
        </w:tc>
        <w:tc>
          <w:tcPr>
            <w:tcW w:w="1134" w:type="dxa"/>
          </w:tcPr>
          <w:p w14:paraId="1D5DA9C1" w14:textId="77777777" w:rsidR="00CA2084" w:rsidRDefault="00CA2084" w:rsidP="0049322D">
            <w:pPr>
              <w:jc w:val="center"/>
            </w:pPr>
          </w:p>
        </w:tc>
        <w:tc>
          <w:tcPr>
            <w:tcW w:w="1178" w:type="dxa"/>
          </w:tcPr>
          <w:p w14:paraId="2D461B85" w14:textId="77777777" w:rsidR="00CA2084" w:rsidRDefault="00CA2084" w:rsidP="0049322D">
            <w:pPr>
              <w:jc w:val="center"/>
            </w:pPr>
          </w:p>
        </w:tc>
      </w:tr>
      <w:tr w:rsidR="00CA2084" w14:paraId="76946409" w14:textId="77777777" w:rsidTr="0049322D">
        <w:tc>
          <w:tcPr>
            <w:tcW w:w="1911" w:type="dxa"/>
            <w:vMerge w:val="restart"/>
          </w:tcPr>
          <w:p w14:paraId="430534FA" w14:textId="77777777" w:rsidR="00CA2084" w:rsidRDefault="00CA2084" w:rsidP="0049322D">
            <w:pPr>
              <w:jc w:val="center"/>
            </w:pPr>
            <w:r>
              <w:t>Imprisonment</w:t>
            </w:r>
          </w:p>
        </w:tc>
        <w:tc>
          <w:tcPr>
            <w:tcW w:w="1174" w:type="dxa"/>
            <w:vMerge w:val="restart"/>
          </w:tcPr>
          <w:p w14:paraId="39CE28AC" w14:textId="77777777" w:rsidR="00CA2084" w:rsidRPr="00073F4E" w:rsidRDefault="00CA2084" w:rsidP="0049322D">
            <w:pPr>
              <w:jc w:val="center"/>
            </w:pPr>
            <w:r>
              <w:t>16,528</w:t>
            </w:r>
            <w:r w:rsidRPr="00073F4E">
              <w:br/>
              <w:t>(</w:t>
            </w:r>
            <w:r>
              <w:t>85</w:t>
            </w:r>
            <w:r w:rsidRPr="00073F4E">
              <w:t>%)</w:t>
            </w:r>
          </w:p>
        </w:tc>
        <w:tc>
          <w:tcPr>
            <w:tcW w:w="1134" w:type="dxa"/>
            <w:vMerge w:val="restart"/>
          </w:tcPr>
          <w:p w14:paraId="34FB1DC2" w14:textId="77777777" w:rsidR="00CA2084" w:rsidRPr="00073F4E" w:rsidRDefault="00CA2084" w:rsidP="0049322D">
            <w:pPr>
              <w:jc w:val="center"/>
            </w:pPr>
            <w:r w:rsidRPr="00073F4E">
              <w:t>5</w:t>
            </w:r>
            <w:r>
              <w:t>,</w:t>
            </w:r>
            <w:r w:rsidRPr="00073F4E">
              <w:t>113</w:t>
            </w:r>
            <w:r w:rsidRPr="00073F4E">
              <w:br/>
              <w:t>(92%)</w:t>
            </w:r>
          </w:p>
        </w:tc>
        <w:tc>
          <w:tcPr>
            <w:tcW w:w="1985" w:type="dxa"/>
          </w:tcPr>
          <w:p w14:paraId="20B17C10" w14:textId="77777777" w:rsidR="00CA2084" w:rsidRDefault="00CA2084" w:rsidP="0049322D">
            <w:pPr>
              <w:jc w:val="center"/>
            </w:pPr>
            <w:r>
              <w:t>Over 24 months</w:t>
            </w:r>
          </w:p>
        </w:tc>
        <w:tc>
          <w:tcPr>
            <w:tcW w:w="1134" w:type="dxa"/>
          </w:tcPr>
          <w:p w14:paraId="53F12A75" w14:textId="77777777" w:rsidR="00CA2084" w:rsidRDefault="00CA2084" w:rsidP="0049322D">
            <w:pPr>
              <w:jc w:val="center"/>
            </w:pPr>
            <w:r>
              <w:t>3</w:t>
            </w:r>
          </w:p>
          <w:p w14:paraId="65F6B0A1" w14:textId="77777777" w:rsidR="00CA2084" w:rsidRDefault="00CA2084" w:rsidP="0049322D">
            <w:pPr>
              <w:jc w:val="center"/>
            </w:pPr>
            <w:r>
              <w:t>(&lt;1%)</w:t>
            </w:r>
          </w:p>
        </w:tc>
        <w:tc>
          <w:tcPr>
            <w:tcW w:w="1178" w:type="dxa"/>
          </w:tcPr>
          <w:p w14:paraId="43E3006E" w14:textId="77777777" w:rsidR="00CA2084" w:rsidRDefault="00CA2084" w:rsidP="0049322D">
            <w:pPr>
              <w:jc w:val="center"/>
            </w:pPr>
            <w:r>
              <w:t>0</w:t>
            </w:r>
          </w:p>
        </w:tc>
      </w:tr>
      <w:tr w:rsidR="00CA2084" w14:paraId="65F13FEF" w14:textId="77777777" w:rsidTr="0049322D">
        <w:tc>
          <w:tcPr>
            <w:tcW w:w="1911" w:type="dxa"/>
            <w:vMerge/>
          </w:tcPr>
          <w:p w14:paraId="35CE9293" w14:textId="77777777" w:rsidR="00CA2084" w:rsidRDefault="00CA2084" w:rsidP="0049322D">
            <w:pPr>
              <w:jc w:val="center"/>
            </w:pPr>
          </w:p>
        </w:tc>
        <w:tc>
          <w:tcPr>
            <w:tcW w:w="1174" w:type="dxa"/>
            <w:vMerge/>
          </w:tcPr>
          <w:p w14:paraId="50D9DB0E" w14:textId="77777777" w:rsidR="00CA2084" w:rsidRPr="00073F4E" w:rsidRDefault="00CA2084" w:rsidP="0049322D">
            <w:pPr>
              <w:jc w:val="center"/>
            </w:pPr>
          </w:p>
        </w:tc>
        <w:tc>
          <w:tcPr>
            <w:tcW w:w="1134" w:type="dxa"/>
            <w:vMerge/>
          </w:tcPr>
          <w:p w14:paraId="50B59721" w14:textId="77777777" w:rsidR="00CA2084" w:rsidRPr="00073F4E" w:rsidRDefault="00CA2084" w:rsidP="0049322D">
            <w:pPr>
              <w:jc w:val="center"/>
            </w:pPr>
          </w:p>
        </w:tc>
        <w:tc>
          <w:tcPr>
            <w:tcW w:w="1985" w:type="dxa"/>
          </w:tcPr>
          <w:p w14:paraId="6173AE2B" w14:textId="77777777" w:rsidR="00CA2084" w:rsidRDefault="00CA2084" w:rsidP="0049322D">
            <w:pPr>
              <w:jc w:val="center"/>
            </w:pPr>
            <w:r>
              <w:t>13-24 months</w:t>
            </w:r>
          </w:p>
        </w:tc>
        <w:tc>
          <w:tcPr>
            <w:tcW w:w="1134" w:type="dxa"/>
          </w:tcPr>
          <w:p w14:paraId="2DED9804" w14:textId="77777777" w:rsidR="00CA2084" w:rsidRDefault="00CA2084" w:rsidP="0049322D">
            <w:pPr>
              <w:jc w:val="center"/>
            </w:pPr>
            <w:r>
              <w:t>760</w:t>
            </w:r>
            <w:r>
              <w:br/>
              <w:t>(4%)</w:t>
            </w:r>
          </w:p>
        </w:tc>
        <w:tc>
          <w:tcPr>
            <w:tcW w:w="1178" w:type="dxa"/>
          </w:tcPr>
          <w:p w14:paraId="0EED969E" w14:textId="77777777" w:rsidR="00CA2084" w:rsidRDefault="00CA2084" w:rsidP="0049322D">
            <w:pPr>
              <w:jc w:val="center"/>
            </w:pPr>
            <w:r>
              <w:t>91</w:t>
            </w:r>
          </w:p>
          <w:p w14:paraId="4BB7D19D" w14:textId="77777777" w:rsidR="00CA2084" w:rsidRDefault="00CA2084" w:rsidP="0049322D">
            <w:pPr>
              <w:jc w:val="center"/>
            </w:pPr>
            <w:r>
              <w:t>(2%)</w:t>
            </w:r>
          </w:p>
        </w:tc>
      </w:tr>
      <w:tr w:rsidR="00CA2084" w14:paraId="6C490ACF" w14:textId="77777777" w:rsidTr="0049322D">
        <w:tc>
          <w:tcPr>
            <w:tcW w:w="1911" w:type="dxa"/>
            <w:vMerge/>
          </w:tcPr>
          <w:p w14:paraId="732EB419" w14:textId="77777777" w:rsidR="00CA2084" w:rsidRDefault="00CA2084" w:rsidP="0049322D">
            <w:pPr>
              <w:jc w:val="center"/>
            </w:pPr>
          </w:p>
        </w:tc>
        <w:tc>
          <w:tcPr>
            <w:tcW w:w="1174" w:type="dxa"/>
            <w:vMerge/>
          </w:tcPr>
          <w:p w14:paraId="61C02215" w14:textId="77777777" w:rsidR="00CA2084" w:rsidRPr="00073F4E" w:rsidRDefault="00CA2084" w:rsidP="0049322D">
            <w:pPr>
              <w:jc w:val="center"/>
            </w:pPr>
          </w:p>
        </w:tc>
        <w:tc>
          <w:tcPr>
            <w:tcW w:w="1134" w:type="dxa"/>
            <w:vMerge/>
          </w:tcPr>
          <w:p w14:paraId="22E87B56" w14:textId="77777777" w:rsidR="00CA2084" w:rsidRPr="00073F4E" w:rsidRDefault="00CA2084" w:rsidP="0049322D">
            <w:pPr>
              <w:jc w:val="center"/>
            </w:pPr>
          </w:p>
        </w:tc>
        <w:tc>
          <w:tcPr>
            <w:tcW w:w="1985" w:type="dxa"/>
          </w:tcPr>
          <w:p w14:paraId="4BD067CF" w14:textId="77777777" w:rsidR="00CA2084" w:rsidRDefault="00CA2084" w:rsidP="0049322D">
            <w:pPr>
              <w:jc w:val="center"/>
            </w:pPr>
            <w:r>
              <w:t>7-12 months</w:t>
            </w:r>
          </w:p>
        </w:tc>
        <w:tc>
          <w:tcPr>
            <w:tcW w:w="1134" w:type="dxa"/>
          </w:tcPr>
          <w:p w14:paraId="152B5AAD" w14:textId="77777777" w:rsidR="00CA2084" w:rsidRDefault="00CA2084" w:rsidP="0049322D">
            <w:pPr>
              <w:jc w:val="center"/>
            </w:pPr>
            <w:r>
              <w:t>2802</w:t>
            </w:r>
            <w:r>
              <w:br/>
              <w:t>(14%)</w:t>
            </w:r>
          </w:p>
        </w:tc>
        <w:tc>
          <w:tcPr>
            <w:tcW w:w="1178" w:type="dxa"/>
          </w:tcPr>
          <w:p w14:paraId="3B425698" w14:textId="77777777" w:rsidR="00CA2084" w:rsidRDefault="00CA2084" w:rsidP="0049322D">
            <w:pPr>
              <w:jc w:val="center"/>
            </w:pPr>
            <w:r>
              <w:t>713</w:t>
            </w:r>
          </w:p>
          <w:p w14:paraId="7B00E473" w14:textId="77777777" w:rsidR="00CA2084" w:rsidRDefault="00CA2084" w:rsidP="0049322D">
            <w:pPr>
              <w:jc w:val="center"/>
            </w:pPr>
            <w:r>
              <w:t>(13%)</w:t>
            </w:r>
          </w:p>
        </w:tc>
      </w:tr>
      <w:tr w:rsidR="00CA2084" w14:paraId="2433136F" w14:textId="77777777" w:rsidTr="0049322D">
        <w:tc>
          <w:tcPr>
            <w:tcW w:w="1911" w:type="dxa"/>
            <w:vMerge/>
          </w:tcPr>
          <w:p w14:paraId="49308AEE" w14:textId="77777777" w:rsidR="00CA2084" w:rsidRDefault="00CA2084" w:rsidP="0049322D">
            <w:pPr>
              <w:jc w:val="center"/>
            </w:pPr>
          </w:p>
        </w:tc>
        <w:tc>
          <w:tcPr>
            <w:tcW w:w="1174" w:type="dxa"/>
            <w:vMerge/>
          </w:tcPr>
          <w:p w14:paraId="664E9D4E" w14:textId="77777777" w:rsidR="00CA2084" w:rsidRPr="00073F4E" w:rsidRDefault="00CA2084" w:rsidP="0049322D">
            <w:pPr>
              <w:jc w:val="center"/>
            </w:pPr>
          </w:p>
        </w:tc>
        <w:tc>
          <w:tcPr>
            <w:tcW w:w="1134" w:type="dxa"/>
            <w:vMerge/>
          </w:tcPr>
          <w:p w14:paraId="70F5B929" w14:textId="77777777" w:rsidR="00CA2084" w:rsidRPr="00073F4E" w:rsidRDefault="00CA2084" w:rsidP="0049322D">
            <w:pPr>
              <w:jc w:val="center"/>
            </w:pPr>
          </w:p>
        </w:tc>
        <w:tc>
          <w:tcPr>
            <w:tcW w:w="1985" w:type="dxa"/>
          </w:tcPr>
          <w:p w14:paraId="1DCD5574" w14:textId="77777777" w:rsidR="00CA2084" w:rsidRDefault="00CA2084" w:rsidP="0049322D">
            <w:pPr>
              <w:jc w:val="center"/>
            </w:pPr>
            <w:r>
              <w:t>4-6 months</w:t>
            </w:r>
          </w:p>
        </w:tc>
        <w:tc>
          <w:tcPr>
            <w:tcW w:w="1134" w:type="dxa"/>
          </w:tcPr>
          <w:p w14:paraId="69540AD8" w14:textId="77777777" w:rsidR="00CA2084" w:rsidRDefault="00CA2084" w:rsidP="0049322D">
            <w:pPr>
              <w:jc w:val="center"/>
            </w:pPr>
            <w:r>
              <w:t>5209</w:t>
            </w:r>
            <w:r>
              <w:br/>
              <w:t>(27%)</w:t>
            </w:r>
          </w:p>
        </w:tc>
        <w:tc>
          <w:tcPr>
            <w:tcW w:w="1178" w:type="dxa"/>
          </w:tcPr>
          <w:p w14:paraId="5830FA27" w14:textId="77777777" w:rsidR="00CA2084" w:rsidRDefault="00CA2084" w:rsidP="0049322D">
            <w:pPr>
              <w:jc w:val="center"/>
            </w:pPr>
            <w:r>
              <w:t>1556</w:t>
            </w:r>
          </w:p>
          <w:p w14:paraId="69F98368" w14:textId="77777777" w:rsidR="00CA2084" w:rsidRDefault="00CA2084" w:rsidP="0049322D">
            <w:pPr>
              <w:jc w:val="center"/>
            </w:pPr>
            <w:r>
              <w:t>(28%)</w:t>
            </w:r>
          </w:p>
        </w:tc>
      </w:tr>
      <w:tr w:rsidR="00CA2084" w14:paraId="140C95DA" w14:textId="77777777" w:rsidTr="0049322D">
        <w:tc>
          <w:tcPr>
            <w:tcW w:w="1911" w:type="dxa"/>
            <w:vMerge/>
          </w:tcPr>
          <w:p w14:paraId="567D5D51" w14:textId="77777777" w:rsidR="00CA2084" w:rsidRDefault="00CA2084" w:rsidP="0049322D">
            <w:pPr>
              <w:jc w:val="center"/>
            </w:pPr>
          </w:p>
        </w:tc>
        <w:tc>
          <w:tcPr>
            <w:tcW w:w="1174" w:type="dxa"/>
            <w:vMerge/>
          </w:tcPr>
          <w:p w14:paraId="2271DE05" w14:textId="77777777" w:rsidR="00CA2084" w:rsidRPr="00073F4E" w:rsidRDefault="00CA2084" w:rsidP="0049322D">
            <w:pPr>
              <w:jc w:val="center"/>
            </w:pPr>
          </w:p>
        </w:tc>
        <w:tc>
          <w:tcPr>
            <w:tcW w:w="1134" w:type="dxa"/>
            <w:vMerge/>
          </w:tcPr>
          <w:p w14:paraId="055F2762" w14:textId="77777777" w:rsidR="00CA2084" w:rsidRPr="00073F4E" w:rsidRDefault="00CA2084" w:rsidP="0049322D">
            <w:pPr>
              <w:jc w:val="center"/>
            </w:pPr>
          </w:p>
        </w:tc>
        <w:tc>
          <w:tcPr>
            <w:tcW w:w="1985" w:type="dxa"/>
          </w:tcPr>
          <w:p w14:paraId="2E768B9B" w14:textId="77777777" w:rsidR="00CA2084" w:rsidRDefault="00CA2084" w:rsidP="0049322D">
            <w:pPr>
              <w:jc w:val="center"/>
            </w:pPr>
            <w:r>
              <w:t>2-3 months</w:t>
            </w:r>
          </w:p>
        </w:tc>
        <w:tc>
          <w:tcPr>
            <w:tcW w:w="1134" w:type="dxa"/>
          </w:tcPr>
          <w:p w14:paraId="14D68B35" w14:textId="77777777" w:rsidR="00CA2084" w:rsidRDefault="00CA2084" w:rsidP="0049322D">
            <w:pPr>
              <w:jc w:val="center"/>
            </w:pPr>
            <w:r>
              <w:t>5000</w:t>
            </w:r>
            <w:r>
              <w:br/>
              <w:t>(26%)</w:t>
            </w:r>
          </w:p>
        </w:tc>
        <w:tc>
          <w:tcPr>
            <w:tcW w:w="1178" w:type="dxa"/>
          </w:tcPr>
          <w:p w14:paraId="05A73830" w14:textId="77777777" w:rsidR="00CA2084" w:rsidRDefault="00CA2084" w:rsidP="0049322D">
            <w:pPr>
              <w:jc w:val="center"/>
            </w:pPr>
            <w:r>
              <w:t>1744</w:t>
            </w:r>
          </w:p>
          <w:p w14:paraId="7B234B4C" w14:textId="77777777" w:rsidR="00CA2084" w:rsidRDefault="00CA2084" w:rsidP="0049322D">
            <w:pPr>
              <w:jc w:val="center"/>
            </w:pPr>
            <w:r>
              <w:t>(31%)</w:t>
            </w:r>
          </w:p>
        </w:tc>
      </w:tr>
      <w:tr w:rsidR="00CA2084" w14:paraId="23A58F6E" w14:textId="77777777" w:rsidTr="0049322D">
        <w:tc>
          <w:tcPr>
            <w:tcW w:w="1911" w:type="dxa"/>
            <w:vMerge/>
          </w:tcPr>
          <w:p w14:paraId="41DD8DC2" w14:textId="77777777" w:rsidR="00CA2084" w:rsidRDefault="00CA2084" w:rsidP="0049322D">
            <w:pPr>
              <w:jc w:val="center"/>
            </w:pPr>
          </w:p>
        </w:tc>
        <w:tc>
          <w:tcPr>
            <w:tcW w:w="1174" w:type="dxa"/>
            <w:vMerge/>
          </w:tcPr>
          <w:p w14:paraId="6B9422D7" w14:textId="77777777" w:rsidR="00CA2084" w:rsidRPr="00073F4E" w:rsidRDefault="00CA2084" w:rsidP="0049322D">
            <w:pPr>
              <w:jc w:val="center"/>
            </w:pPr>
          </w:p>
        </w:tc>
        <w:tc>
          <w:tcPr>
            <w:tcW w:w="1134" w:type="dxa"/>
            <w:vMerge/>
          </w:tcPr>
          <w:p w14:paraId="2D098A5E" w14:textId="77777777" w:rsidR="00CA2084" w:rsidRPr="00073F4E" w:rsidRDefault="00CA2084" w:rsidP="0049322D">
            <w:pPr>
              <w:jc w:val="center"/>
            </w:pPr>
          </w:p>
        </w:tc>
        <w:tc>
          <w:tcPr>
            <w:tcW w:w="1985" w:type="dxa"/>
          </w:tcPr>
          <w:p w14:paraId="620E0027" w14:textId="77777777" w:rsidR="00CA2084" w:rsidRDefault="00CA2084" w:rsidP="0049322D">
            <w:pPr>
              <w:jc w:val="center"/>
            </w:pPr>
            <w:r>
              <w:t>Less than 1 month</w:t>
            </w:r>
          </w:p>
        </w:tc>
        <w:tc>
          <w:tcPr>
            <w:tcW w:w="1134" w:type="dxa"/>
          </w:tcPr>
          <w:p w14:paraId="4E28C75C" w14:textId="77777777" w:rsidR="00CA2084" w:rsidRDefault="00CA2084" w:rsidP="0049322D">
            <w:pPr>
              <w:jc w:val="center"/>
            </w:pPr>
            <w:r>
              <w:t>2754</w:t>
            </w:r>
            <w:r>
              <w:br/>
              <w:t>(14%)</w:t>
            </w:r>
          </w:p>
        </w:tc>
        <w:tc>
          <w:tcPr>
            <w:tcW w:w="1178" w:type="dxa"/>
          </w:tcPr>
          <w:p w14:paraId="0D75038B" w14:textId="77777777" w:rsidR="00CA2084" w:rsidRDefault="00CA2084" w:rsidP="0049322D">
            <w:pPr>
              <w:jc w:val="center"/>
            </w:pPr>
            <w:r>
              <w:t>1009</w:t>
            </w:r>
          </w:p>
          <w:p w14:paraId="5D15AD48" w14:textId="77777777" w:rsidR="00CA2084" w:rsidRDefault="00CA2084" w:rsidP="0049322D">
            <w:pPr>
              <w:jc w:val="center"/>
            </w:pPr>
            <w:r>
              <w:t>(18%)</w:t>
            </w:r>
          </w:p>
        </w:tc>
      </w:tr>
      <w:tr w:rsidR="00CA2084" w14:paraId="3DECB44C" w14:textId="77777777" w:rsidTr="0049322D">
        <w:tc>
          <w:tcPr>
            <w:tcW w:w="1911" w:type="dxa"/>
          </w:tcPr>
          <w:p w14:paraId="217C347F" w14:textId="77777777" w:rsidR="00CA2084" w:rsidRDefault="00CA2084" w:rsidP="0049322D">
            <w:pPr>
              <w:jc w:val="center"/>
            </w:pPr>
          </w:p>
        </w:tc>
        <w:tc>
          <w:tcPr>
            <w:tcW w:w="1174" w:type="dxa"/>
          </w:tcPr>
          <w:p w14:paraId="34F6B531" w14:textId="77777777" w:rsidR="00CA2084" w:rsidRPr="00073F4E" w:rsidRDefault="00CA2084" w:rsidP="0049322D">
            <w:pPr>
              <w:jc w:val="center"/>
            </w:pPr>
          </w:p>
        </w:tc>
        <w:tc>
          <w:tcPr>
            <w:tcW w:w="1134" w:type="dxa"/>
          </w:tcPr>
          <w:p w14:paraId="7791F675" w14:textId="77777777" w:rsidR="00CA2084" w:rsidRPr="00073F4E" w:rsidRDefault="00CA2084" w:rsidP="0049322D">
            <w:pPr>
              <w:jc w:val="center"/>
            </w:pPr>
          </w:p>
        </w:tc>
        <w:tc>
          <w:tcPr>
            <w:tcW w:w="1985" w:type="dxa"/>
          </w:tcPr>
          <w:p w14:paraId="35A8E8A8" w14:textId="77777777" w:rsidR="00CA2084" w:rsidRDefault="00CA2084" w:rsidP="0049322D">
            <w:pPr>
              <w:jc w:val="center"/>
            </w:pPr>
          </w:p>
        </w:tc>
        <w:tc>
          <w:tcPr>
            <w:tcW w:w="1134" w:type="dxa"/>
          </w:tcPr>
          <w:p w14:paraId="2BF23C24" w14:textId="77777777" w:rsidR="00CA2084" w:rsidRDefault="00CA2084" w:rsidP="0049322D">
            <w:pPr>
              <w:jc w:val="center"/>
            </w:pPr>
          </w:p>
        </w:tc>
        <w:tc>
          <w:tcPr>
            <w:tcW w:w="1178" w:type="dxa"/>
          </w:tcPr>
          <w:p w14:paraId="06F9F305" w14:textId="77777777" w:rsidR="00CA2084" w:rsidRDefault="00CA2084" w:rsidP="0049322D">
            <w:pPr>
              <w:jc w:val="center"/>
            </w:pPr>
          </w:p>
        </w:tc>
      </w:tr>
      <w:tr w:rsidR="00CA2084" w14:paraId="592665C4" w14:textId="77777777" w:rsidTr="0049322D">
        <w:tc>
          <w:tcPr>
            <w:tcW w:w="1911" w:type="dxa"/>
            <w:vMerge w:val="restart"/>
          </w:tcPr>
          <w:p w14:paraId="3CCDAB44" w14:textId="77777777" w:rsidR="00CA2084" w:rsidRDefault="00CA2084" w:rsidP="0049322D">
            <w:pPr>
              <w:jc w:val="center"/>
            </w:pPr>
            <w:r>
              <w:t>Other</w:t>
            </w:r>
          </w:p>
        </w:tc>
        <w:tc>
          <w:tcPr>
            <w:tcW w:w="1174" w:type="dxa"/>
            <w:vMerge w:val="restart"/>
          </w:tcPr>
          <w:p w14:paraId="39301982" w14:textId="77777777" w:rsidR="00CA2084" w:rsidRPr="00073F4E" w:rsidRDefault="00CA2084" w:rsidP="0049322D">
            <w:pPr>
              <w:jc w:val="center"/>
            </w:pPr>
            <w:r w:rsidRPr="00073F4E">
              <w:t>534</w:t>
            </w:r>
            <w:r w:rsidRPr="00073F4E">
              <w:br/>
              <w:t>(3%)</w:t>
            </w:r>
          </w:p>
        </w:tc>
        <w:tc>
          <w:tcPr>
            <w:tcW w:w="1134" w:type="dxa"/>
            <w:vMerge w:val="restart"/>
          </w:tcPr>
          <w:p w14:paraId="054F66D9" w14:textId="77777777" w:rsidR="00CA2084" w:rsidRPr="00073F4E" w:rsidRDefault="00CA2084" w:rsidP="0049322D">
            <w:pPr>
              <w:jc w:val="center"/>
            </w:pPr>
            <w:r w:rsidRPr="00073F4E">
              <w:t>99</w:t>
            </w:r>
            <w:r w:rsidRPr="00073F4E">
              <w:br/>
              <w:t>(2%)</w:t>
            </w:r>
          </w:p>
        </w:tc>
        <w:tc>
          <w:tcPr>
            <w:tcW w:w="1985" w:type="dxa"/>
          </w:tcPr>
          <w:p w14:paraId="52294568" w14:textId="77777777" w:rsidR="00CA2084" w:rsidRDefault="00CA2084" w:rsidP="0049322D">
            <w:pPr>
              <w:jc w:val="center"/>
            </w:pPr>
            <w:r>
              <w:t>Other</w:t>
            </w:r>
          </w:p>
        </w:tc>
        <w:tc>
          <w:tcPr>
            <w:tcW w:w="1134" w:type="dxa"/>
          </w:tcPr>
          <w:p w14:paraId="145897ED" w14:textId="77777777" w:rsidR="00CA2084" w:rsidRDefault="00CA2084" w:rsidP="0049322D">
            <w:pPr>
              <w:jc w:val="center"/>
            </w:pPr>
            <w:r>
              <w:t>321</w:t>
            </w:r>
            <w:r>
              <w:br/>
              <w:t>(2%)</w:t>
            </w:r>
          </w:p>
        </w:tc>
        <w:tc>
          <w:tcPr>
            <w:tcW w:w="1178" w:type="dxa"/>
          </w:tcPr>
          <w:p w14:paraId="25C91D37" w14:textId="77777777" w:rsidR="00CA2084" w:rsidRDefault="00CA2084" w:rsidP="0049322D">
            <w:pPr>
              <w:jc w:val="center"/>
            </w:pPr>
            <w:r>
              <w:t>40</w:t>
            </w:r>
          </w:p>
          <w:p w14:paraId="2F7290B6" w14:textId="77777777" w:rsidR="00CA2084" w:rsidRDefault="00CA2084" w:rsidP="0049322D">
            <w:pPr>
              <w:jc w:val="center"/>
            </w:pPr>
            <w:r>
              <w:t>(1%)</w:t>
            </w:r>
          </w:p>
        </w:tc>
      </w:tr>
      <w:tr w:rsidR="00CA2084" w14:paraId="1383B0E0" w14:textId="77777777" w:rsidTr="0049322D">
        <w:tc>
          <w:tcPr>
            <w:tcW w:w="1911" w:type="dxa"/>
            <w:vMerge/>
          </w:tcPr>
          <w:p w14:paraId="311AED44" w14:textId="77777777" w:rsidR="00CA2084" w:rsidRDefault="00CA2084" w:rsidP="0049322D">
            <w:pPr>
              <w:jc w:val="center"/>
            </w:pPr>
          </w:p>
        </w:tc>
        <w:tc>
          <w:tcPr>
            <w:tcW w:w="1174" w:type="dxa"/>
            <w:vMerge/>
          </w:tcPr>
          <w:p w14:paraId="710D141B" w14:textId="77777777" w:rsidR="00CA2084" w:rsidRPr="00EF01CA" w:rsidRDefault="00CA2084" w:rsidP="0049322D">
            <w:pPr>
              <w:jc w:val="center"/>
            </w:pPr>
          </w:p>
        </w:tc>
        <w:tc>
          <w:tcPr>
            <w:tcW w:w="1134" w:type="dxa"/>
            <w:vMerge/>
          </w:tcPr>
          <w:p w14:paraId="1DC937D0" w14:textId="77777777" w:rsidR="00CA2084" w:rsidRPr="00EF01CA" w:rsidRDefault="00CA2084" w:rsidP="0049322D">
            <w:pPr>
              <w:jc w:val="center"/>
            </w:pPr>
          </w:p>
        </w:tc>
        <w:tc>
          <w:tcPr>
            <w:tcW w:w="1985" w:type="dxa"/>
          </w:tcPr>
          <w:p w14:paraId="4B6EDE89" w14:textId="77777777" w:rsidR="00CA2084" w:rsidRPr="00EF01CA" w:rsidRDefault="00CA2084" w:rsidP="0049322D">
            <w:pPr>
              <w:jc w:val="center"/>
            </w:pPr>
            <w:r w:rsidRPr="00EF01CA">
              <w:t>Reformatory School</w:t>
            </w:r>
          </w:p>
        </w:tc>
        <w:tc>
          <w:tcPr>
            <w:tcW w:w="1134" w:type="dxa"/>
          </w:tcPr>
          <w:p w14:paraId="775BFB8B" w14:textId="77777777" w:rsidR="00CA2084" w:rsidRDefault="00CA2084" w:rsidP="0049322D">
            <w:pPr>
              <w:jc w:val="center"/>
            </w:pPr>
            <w:r>
              <w:t>213</w:t>
            </w:r>
            <w:r>
              <w:br/>
              <w:t>(1%)</w:t>
            </w:r>
          </w:p>
        </w:tc>
        <w:tc>
          <w:tcPr>
            <w:tcW w:w="1178" w:type="dxa"/>
          </w:tcPr>
          <w:p w14:paraId="1ECDF22B" w14:textId="77777777" w:rsidR="00CA2084" w:rsidRDefault="00CA2084" w:rsidP="0049322D">
            <w:pPr>
              <w:jc w:val="center"/>
            </w:pPr>
            <w:r>
              <w:t>59</w:t>
            </w:r>
          </w:p>
          <w:p w14:paraId="5DD01A09" w14:textId="77777777" w:rsidR="00CA2084" w:rsidRDefault="00CA2084" w:rsidP="0049322D">
            <w:pPr>
              <w:jc w:val="center"/>
            </w:pPr>
            <w:r>
              <w:t>(1%)</w:t>
            </w:r>
          </w:p>
        </w:tc>
      </w:tr>
      <w:tr w:rsidR="00CA2084" w14:paraId="264D69A2" w14:textId="77777777" w:rsidTr="0049322D">
        <w:tc>
          <w:tcPr>
            <w:tcW w:w="1911" w:type="dxa"/>
          </w:tcPr>
          <w:p w14:paraId="3E25408A" w14:textId="77777777" w:rsidR="00CA2084" w:rsidRPr="00073F4E" w:rsidRDefault="00CA2084" w:rsidP="0049322D">
            <w:pPr>
              <w:jc w:val="right"/>
              <w:rPr>
                <w:b/>
              </w:rPr>
            </w:pPr>
            <w:r w:rsidRPr="00073F4E">
              <w:rPr>
                <w:b/>
              </w:rPr>
              <w:t>Total</w:t>
            </w:r>
          </w:p>
        </w:tc>
        <w:tc>
          <w:tcPr>
            <w:tcW w:w="1174" w:type="dxa"/>
          </w:tcPr>
          <w:p w14:paraId="3629CCB1" w14:textId="77777777" w:rsidR="00CA2084" w:rsidRDefault="00CA2084" w:rsidP="0049322D">
            <w:pPr>
              <w:jc w:val="center"/>
            </w:pPr>
            <w:r>
              <w:t>19,478</w:t>
            </w:r>
            <w:r>
              <w:br/>
              <w:t>(100%)</w:t>
            </w:r>
          </w:p>
        </w:tc>
        <w:tc>
          <w:tcPr>
            <w:tcW w:w="1134" w:type="dxa"/>
          </w:tcPr>
          <w:p w14:paraId="7C9E84FA" w14:textId="77777777" w:rsidR="00CA2084" w:rsidRDefault="00CA2084" w:rsidP="0049322D">
            <w:pPr>
              <w:jc w:val="center"/>
            </w:pPr>
            <w:r>
              <w:t>5,580</w:t>
            </w:r>
            <w:r>
              <w:br/>
              <w:t>(100%)</w:t>
            </w:r>
          </w:p>
        </w:tc>
        <w:tc>
          <w:tcPr>
            <w:tcW w:w="1985" w:type="dxa"/>
          </w:tcPr>
          <w:p w14:paraId="6860737D" w14:textId="77777777" w:rsidR="00CA2084" w:rsidRDefault="00CA2084" w:rsidP="0049322D">
            <w:pPr>
              <w:jc w:val="center"/>
            </w:pPr>
          </w:p>
        </w:tc>
        <w:tc>
          <w:tcPr>
            <w:tcW w:w="1134" w:type="dxa"/>
          </w:tcPr>
          <w:p w14:paraId="573B683D" w14:textId="77777777" w:rsidR="00CA2084" w:rsidRDefault="00CA2084" w:rsidP="0049322D">
            <w:pPr>
              <w:jc w:val="center"/>
            </w:pPr>
            <w:r>
              <w:t>19,478</w:t>
            </w:r>
            <w:r>
              <w:br/>
              <w:t>(100%)</w:t>
            </w:r>
          </w:p>
        </w:tc>
        <w:tc>
          <w:tcPr>
            <w:tcW w:w="1178" w:type="dxa"/>
          </w:tcPr>
          <w:p w14:paraId="1D1AC03B" w14:textId="77777777" w:rsidR="00CA2084" w:rsidRDefault="00CA2084" w:rsidP="0049322D">
            <w:pPr>
              <w:jc w:val="center"/>
            </w:pPr>
            <w:r>
              <w:t>5,580</w:t>
            </w:r>
            <w:r>
              <w:br/>
              <w:t>(100%)</w:t>
            </w:r>
          </w:p>
        </w:tc>
      </w:tr>
    </w:tbl>
    <w:p w14:paraId="02DA294C" w14:textId="77777777" w:rsidR="00CA2084" w:rsidRPr="00255163" w:rsidRDefault="00CA2084" w:rsidP="00225D5D">
      <w:pPr>
        <w:jc w:val="both"/>
        <w:rPr>
          <w:rFonts w:ascii="Times New Roman" w:eastAsia="Times New Roman" w:hAnsi="Times New Roman" w:cs="Times New Roman"/>
          <w:sz w:val="20"/>
          <w:szCs w:val="20"/>
          <w:lang w:val="en-GB"/>
        </w:rPr>
      </w:pPr>
      <w:r w:rsidRPr="00255163">
        <w:rPr>
          <w:b/>
        </w:rPr>
        <w:t>Figure 12:</w:t>
      </w:r>
      <w:r w:rsidRPr="00255163">
        <w:t xml:space="preserve"> the sentences passed on males and females at Assizes and Quarter Sessions in Cheshire, 1840 and 1890.</w:t>
      </w:r>
    </w:p>
    <w:p w14:paraId="1D76B40D" w14:textId="77777777" w:rsidR="00CA2084" w:rsidRDefault="00CA2084" w:rsidP="00BE27CB">
      <w:pPr>
        <w:spacing w:line="360" w:lineRule="auto"/>
        <w:jc w:val="both"/>
      </w:pPr>
    </w:p>
    <w:p w14:paraId="541AE3B6" w14:textId="65ADAC45" w:rsidR="00CA2084" w:rsidRDefault="00CA2084" w:rsidP="00BE27CB">
      <w:pPr>
        <w:spacing w:line="360" w:lineRule="auto"/>
        <w:jc w:val="both"/>
      </w:pPr>
      <w:r>
        <w:t xml:space="preserve">As can be seen in figure 12, males were not only more likely to receive a sentence of transportation (6%/3%), but they were also more likely to be sentenced to a term of penal servitude (6%/4%). The majority of those sentenced to death and executed during the period were also male. Conversely, females were significantly more likely to be sentenced to a term of imprisonment (92%/85%). The officially published statistics do not provide any data on the sentences passed on males and females across England and Wales over the period. It is thus impossible to determine how these patterns compare with national ones. What data is available, however, does suggest that the Cheshire patterns </w:t>
      </w:r>
      <w:r w:rsidR="000C5B4C">
        <w:t>we</w:t>
      </w:r>
      <w:r>
        <w:t xml:space="preserve">re not </w:t>
      </w:r>
      <w:r w:rsidR="000C5B4C">
        <w:t>atypical</w:t>
      </w:r>
      <w:r>
        <w:t xml:space="preserve">. Between 1870 and 1890, for example, 87% of those sentenced to penal servitude </w:t>
      </w:r>
      <w:r w:rsidR="002A16B7">
        <w:t xml:space="preserve">across England and Wales </w:t>
      </w:r>
      <w:r>
        <w:t xml:space="preserve">were male (24,361). Males also comprised 94% of those </w:t>
      </w:r>
      <w:r>
        <w:lastRenderedPageBreak/>
        <w:t>executed between 1847 and 1890.</w:t>
      </w:r>
      <w:r w:rsidR="003B22A3">
        <w:rPr>
          <w:rStyle w:val="FootnoteReference"/>
        </w:rPr>
        <w:footnoteReference w:id="52"/>
      </w:r>
      <w:r>
        <w:t xml:space="preserve"> Similarly, 12% and 13% of males and 9% and 5% of females were sentenced to transportation and penal servitude respectively at the Old Bailey between 1840 and 1890. In contrast, a slightly higher percentage (83/82%) of females were sentenced to a period of imprisonment.</w:t>
      </w:r>
      <w:r>
        <w:rPr>
          <w:rStyle w:val="FootnoteReference"/>
        </w:rPr>
        <w:footnoteReference w:id="53"/>
      </w:r>
    </w:p>
    <w:p w14:paraId="1C0C0C53" w14:textId="77777777" w:rsidR="00CA2084" w:rsidRDefault="00CA2084" w:rsidP="00BE27CB">
      <w:pPr>
        <w:spacing w:line="360" w:lineRule="auto"/>
        <w:jc w:val="both"/>
      </w:pPr>
    </w:p>
    <w:p w14:paraId="206F6A9A" w14:textId="381CFCD1" w:rsidR="003E1518" w:rsidRDefault="00CA2084" w:rsidP="001E26D9">
      <w:pPr>
        <w:spacing w:line="360" w:lineRule="auto"/>
        <w:jc w:val="both"/>
      </w:pPr>
      <w:r>
        <w:tab/>
        <w:t xml:space="preserve">This state of affairs arguably reflected less any chivalry on the part of judges, and rather the different types of offences for which both sexes were typically committed for trial. As we have seen, males were not only committed in greater numbers than females, but they also committed for more serious offences </w:t>
      </w:r>
      <w:r w:rsidRPr="001E26D9">
        <w:t>that, concomitantly, attracted the heaviest sentences.</w:t>
      </w:r>
      <w:r>
        <w:t xml:space="preserve"> Only 7% of those committed for trial </w:t>
      </w:r>
      <w:r w:rsidR="00EC3F2F">
        <w:t xml:space="preserve">across England and Wales </w:t>
      </w:r>
      <w:r>
        <w:t xml:space="preserve">over the period for burglary and housebreaking respectively were female. Moreover, serious sexual assaults were the almost exclusively committed by males. In contrast, as we have seen, females tended to be committed for trial for low-level, non-violent property offences that did not attract heavy sentences. That said, there were some differences in the sentences passed on both sexes for larceny and larceny from the person. Females convicted of larceny were more likely to be sentenced to a period of imprisonment (93% compared with 89% of males), and, concomitantly, less likely to be sentenced either to be transported (2% compared with 5% of males) or to a term of penal servitude (4% compared with 5% of males). In contrast, females received slightly hasher sentences than males for larceny from the person, with 7% being sentenced to transportation, compared with 6% of males (females, however, were slightly less likely to be imprisoned: 85% compared with 86%). These differences, however, </w:t>
      </w:r>
      <w:r w:rsidRPr="008C42B9">
        <w:t xml:space="preserve">most likely reflecting </w:t>
      </w:r>
      <w:r>
        <w:t xml:space="preserve">a range of other factors not discernable at this level </w:t>
      </w:r>
      <w:r>
        <w:lastRenderedPageBreak/>
        <w:t xml:space="preserve">of analysis, such as the amount stolen, the age of the offender and/or their </w:t>
      </w:r>
      <w:proofErr w:type="spellStart"/>
      <w:r>
        <w:t>behaviour</w:t>
      </w:r>
      <w:proofErr w:type="spellEnd"/>
      <w:r>
        <w:t xml:space="preserve"> in court.</w:t>
      </w:r>
      <w:r>
        <w:rPr>
          <w:rStyle w:val="FootnoteReference"/>
        </w:rPr>
        <w:footnoteReference w:id="54"/>
      </w:r>
      <w:r>
        <w:t xml:space="preserve"> </w:t>
      </w:r>
    </w:p>
    <w:p w14:paraId="77F7304A" w14:textId="77777777" w:rsidR="00FA7DC3" w:rsidRDefault="00FA7DC3" w:rsidP="001E26D9">
      <w:pPr>
        <w:spacing w:line="360" w:lineRule="auto"/>
        <w:jc w:val="both"/>
      </w:pPr>
    </w:p>
    <w:p w14:paraId="51472476" w14:textId="4417C2EC" w:rsidR="001E26D9" w:rsidRDefault="001E26D9" w:rsidP="001E26D9">
      <w:pPr>
        <w:spacing w:line="360" w:lineRule="auto"/>
        <w:jc w:val="both"/>
      </w:pPr>
    </w:p>
    <w:p w14:paraId="5723043D" w14:textId="77777777" w:rsidR="00DB2A27" w:rsidRDefault="000147E8" w:rsidP="00F84C85">
      <w:pPr>
        <w:rPr>
          <w:b/>
          <w:sz w:val="28"/>
          <w:szCs w:val="28"/>
          <w:lang w:val="en-GB"/>
        </w:rPr>
      </w:pPr>
      <w:r w:rsidRPr="00076812">
        <w:rPr>
          <w:b/>
          <w:sz w:val="28"/>
          <w:szCs w:val="28"/>
          <w:lang w:val="en-GB"/>
        </w:rPr>
        <w:t>Conclusions</w:t>
      </w:r>
    </w:p>
    <w:p w14:paraId="781EA56D" w14:textId="77777777" w:rsidR="00DB2A27" w:rsidRDefault="00DB2A27" w:rsidP="00DB2A27">
      <w:pPr>
        <w:spacing w:line="360" w:lineRule="auto"/>
        <w:rPr>
          <w:b/>
          <w:sz w:val="28"/>
          <w:szCs w:val="28"/>
          <w:lang w:val="en-GB"/>
        </w:rPr>
      </w:pPr>
    </w:p>
    <w:p w14:paraId="50C91F30" w14:textId="05F8BA60" w:rsidR="00F40671" w:rsidRPr="001C4836" w:rsidRDefault="00EC3F2F" w:rsidP="00DB2A27">
      <w:pPr>
        <w:spacing w:line="360" w:lineRule="auto"/>
        <w:jc w:val="both"/>
        <w:rPr>
          <w:lang w:val="en-GB"/>
        </w:rPr>
      </w:pPr>
      <w:r w:rsidRPr="00EC3F2F">
        <w:rPr>
          <w:color w:val="FF0000"/>
          <w:lang w:val="en-GB"/>
        </w:rPr>
        <w:t xml:space="preserve">The aim of this </w:t>
      </w:r>
      <w:r>
        <w:rPr>
          <w:lang w:val="en-GB"/>
        </w:rPr>
        <w:t xml:space="preserve">article </w:t>
      </w:r>
      <w:r w:rsidR="00DB2A27" w:rsidRPr="001C4836">
        <w:rPr>
          <w:lang w:val="en-GB"/>
        </w:rPr>
        <w:t xml:space="preserve">has been to provide a broad quantitative survey of the administration of justice in Cheshire between 1840 and 1890: a broad outline that can hopefully provide the basis for more qualitative work by other scholars. </w:t>
      </w:r>
      <w:r w:rsidR="00B94ADC" w:rsidRPr="001C4836">
        <w:rPr>
          <w:lang w:val="en-GB"/>
        </w:rPr>
        <w:t xml:space="preserve">To conclude, </w:t>
      </w:r>
      <w:r w:rsidR="00160F4C" w:rsidRPr="001C4836">
        <w:rPr>
          <w:lang w:val="en-GB"/>
        </w:rPr>
        <w:t>a number of</w:t>
      </w:r>
      <w:r w:rsidR="00B94ADC" w:rsidRPr="001C4836">
        <w:rPr>
          <w:lang w:val="en-GB"/>
        </w:rPr>
        <w:t xml:space="preserve"> points may be drawn out. First, the number of persons committed for trial at assizes and quarter sessions across the county – and, indeed, across England and Wales, declined significantly from the middle to the end of the nineteenth century. This fall in committals arguably reflected relative growing prosperity over the period and the actions of the New Police, but it certainly reflected the growth of summary jurisdiction. Second, as the number of persons committed for trial declined, the type of persons coming before the court changed. This is something that merits further research, possibly from accounts of trials, but the quantitative data would suggest that as fewer persons were committed for trial, more and more of them had previous convictions for felony. </w:t>
      </w:r>
      <w:r w:rsidR="00F40671" w:rsidRPr="001C4836">
        <w:rPr>
          <w:lang w:val="en-GB"/>
        </w:rPr>
        <w:t>Third, while the assizes and quarter sessions still tried the occasional murder as well as crimes common from the eighteenth century and before such as the theft of livestock or horses, the core ‘business’ of the courts over the period were varieties of non-violent larceny (and the fencing of stolen items), non-fatal forms of assault, and burglary and housebreaking. Turning to verdicts and sentencing, the vast majority of those who were committed for trial in Cheshire were convicted, with imprisonment being th</w:t>
      </w:r>
      <w:r w:rsidR="000C5B4C">
        <w:rPr>
          <w:lang w:val="en-GB"/>
        </w:rPr>
        <w:t xml:space="preserve">e most frequent sentence passed. </w:t>
      </w:r>
      <w:r w:rsidR="00F40671" w:rsidRPr="001C4836">
        <w:rPr>
          <w:lang w:val="en-GB"/>
        </w:rPr>
        <w:t xml:space="preserve">The rolling back of the Bloody Code of the long eighteenth century during the 1830s meant that by the 1840s the gallows were solely reserved for murderers and, across the county, between 1840 and 1890, fifteen persons (thirteen men and two women) </w:t>
      </w:r>
      <w:r w:rsidR="004C2B90" w:rsidRPr="004C2B90">
        <w:rPr>
          <w:color w:val="FF0000"/>
          <w:lang w:val="en-GB"/>
        </w:rPr>
        <w:t xml:space="preserve">paid the </w:t>
      </w:r>
      <w:r w:rsidR="004C2B90" w:rsidRPr="004C2B90">
        <w:rPr>
          <w:color w:val="FF0000"/>
          <w:lang w:val="en-GB"/>
        </w:rPr>
        <w:lastRenderedPageBreak/>
        <w:t>ultimate penalty for their crime</w:t>
      </w:r>
      <w:r w:rsidR="00A40933" w:rsidRPr="001C4836">
        <w:rPr>
          <w:lang w:val="en-GB"/>
        </w:rPr>
        <w:t>. Relatively l</w:t>
      </w:r>
      <w:r w:rsidR="00F40671" w:rsidRPr="001C4836">
        <w:rPr>
          <w:lang w:val="en-GB"/>
        </w:rPr>
        <w:t xml:space="preserve">arge numbers were also sentenced to periods of transportation prior to 1857 and, after 1853, to penal servitude. </w:t>
      </w:r>
    </w:p>
    <w:p w14:paraId="7E2C3561" w14:textId="77777777" w:rsidR="00F40671" w:rsidRPr="001C4836" w:rsidRDefault="00F40671" w:rsidP="00DB2A27">
      <w:pPr>
        <w:spacing w:line="360" w:lineRule="auto"/>
        <w:jc w:val="both"/>
        <w:rPr>
          <w:lang w:val="en-GB"/>
        </w:rPr>
      </w:pPr>
    </w:p>
    <w:p w14:paraId="462C5B63" w14:textId="473D44FB" w:rsidR="00160F4C" w:rsidRPr="001C4836" w:rsidRDefault="00F40671" w:rsidP="00DB2A27">
      <w:pPr>
        <w:spacing w:line="360" w:lineRule="auto"/>
        <w:jc w:val="both"/>
        <w:rPr>
          <w:lang w:val="en-GB"/>
        </w:rPr>
      </w:pPr>
      <w:r w:rsidRPr="001C4836">
        <w:rPr>
          <w:lang w:val="en-GB"/>
        </w:rPr>
        <w:tab/>
      </w:r>
      <w:r w:rsidR="00160F4C" w:rsidRPr="001C4836">
        <w:rPr>
          <w:lang w:val="en-GB"/>
        </w:rPr>
        <w:t>I</w:t>
      </w:r>
      <w:r w:rsidR="00C07AB4" w:rsidRPr="001C4836">
        <w:rPr>
          <w:lang w:val="en-GB"/>
        </w:rPr>
        <w:t>f property offences and non-fatal assaults provided the core business of the assizes and quarter sessions during this period, the majority of those who found themselves in the dock accused of these crimes were male. Males constituted the majority of those committed to trial across England and Wales and the county over the period, with the proportion of females committed declining very slightly over the period. This decline, however, fitted within a larger pattern of ebbing and flowing rather than the steep fall found at, for example, the Old Bailey. Males and females were also committed for different types of offences, with males typically being accused of offences against the person and/or property offences that involved violence, such as housebreaking or burglary, whereas females were typically accused of property offences that did not involve vi</w:t>
      </w:r>
      <w:r w:rsidR="007336F2" w:rsidRPr="001C4836">
        <w:rPr>
          <w:lang w:val="en-GB"/>
        </w:rPr>
        <w:t xml:space="preserve">olence, most notably larceny. Males, in other words, were more often committed for violent offences or offences which potentially involved violence, or at least some degree of physical strength, whereas females tended to be committed for low-level acquisitive offences. </w:t>
      </w:r>
      <w:r w:rsidR="00160F4C" w:rsidRPr="001C4836">
        <w:rPr>
          <w:lang w:val="en-GB"/>
        </w:rPr>
        <w:t xml:space="preserve">Finally, reflecting the different patterns of crime by sex, convicted males tended to receive the harsher sentences that were meted out to those who convicted more serious offences, such as transportation or penal servitude. In contrast, almost all of females convicted were sentenced to a period of imprisonment. </w:t>
      </w:r>
    </w:p>
    <w:p w14:paraId="7E0FAE57" w14:textId="7139B502" w:rsidR="00035852" w:rsidRPr="00913AA7" w:rsidRDefault="00035852" w:rsidP="00DB2A27">
      <w:pPr>
        <w:spacing w:line="360" w:lineRule="auto"/>
        <w:jc w:val="both"/>
        <w:rPr>
          <w:b/>
          <w:sz w:val="28"/>
          <w:szCs w:val="28"/>
        </w:rPr>
      </w:pPr>
    </w:p>
    <w:sectPr w:rsidR="00035852" w:rsidRPr="00913AA7" w:rsidSect="00A07A5B">
      <w:footerReference w:type="even" r:id="rId14"/>
      <w:footerReference w:type="default" r:id="rId15"/>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E2ABD" w14:textId="77777777" w:rsidR="00C677A6" w:rsidRDefault="00C677A6" w:rsidP="00ED52F1">
      <w:r>
        <w:separator/>
      </w:r>
    </w:p>
  </w:endnote>
  <w:endnote w:type="continuationSeparator" w:id="0">
    <w:p w14:paraId="08A1CA8D" w14:textId="77777777" w:rsidR="00C677A6" w:rsidRDefault="00C677A6" w:rsidP="00ED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79D6B" w14:textId="77777777" w:rsidR="0049322D" w:rsidRDefault="0049322D" w:rsidP="00ED52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469B2" w14:textId="77777777" w:rsidR="0049322D" w:rsidRDefault="0049322D" w:rsidP="00ED5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87713" w14:textId="5527A032" w:rsidR="0049322D" w:rsidRDefault="0049322D" w:rsidP="00ED52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04A1AEB8" w14:textId="77777777" w:rsidR="0049322D" w:rsidRDefault="0049322D" w:rsidP="00ED5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6EA17" w14:textId="77777777" w:rsidR="00C677A6" w:rsidRDefault="00C677A6" w:rsidP="00ED52F1">
      <w:r>
        <w:separator/>
      </w:r>
    </w:p>
  </w:footnote>
  <w:footnote w:type="continuationSeparator" w:id="0">
    <w:p w14:paraId="6B6D33FD" w14:textId="77777777" w:rsidR="00C677A6" w:rsidRDefault="00C677A6" w:rsidP="00ED52F1">
      <w:r>
        <w:continuationSeparator/>
      </w:r>
    </w:p>
  </w:footnote>
  <w:footnote w:id="1">
    <w:p w14:paraId="251CE917" w14:textId="12AE2F92" w:rsidR="0049322D" w:rsidRDefault="0049322D" w:rsidP="00F03308">
      <w:pPr>
        <w:pStyle w:val="FootnoteText"/>
        <w:spacing w:line="360" w:lineRule="auto"/>
        <w:jc w:val="both"/>
      </w:pPr>
      <w:r>
        <w:rPr>
          <w:rStyle w:val="FootnoteReference"/>
        </w:rPr>
        <w:footnoteRef/>
      </w:r>
      <w:r>
        <w:t xml:space="preserve"> </w:t>
      </w:r>
      <w:r w:rsidRPr="00F03308">
        <w:rPr>
          <w:lang w:val="en-GB"/>
        </w:rPr>
        <w:t xml:space="preserve">John Walliss, ‘The Bloody Code in Cheshire: The Court of Great Sessions, 1805-30’, </w:t>
      </w:r>
      <w:r w:rsidRPr="00F03308">
        <w:rPr>
          <w:i/>
          <w:lang w:val="en-GB"/>
        </w:rPr>
        <w:t>Transactions of the Historic Society of Lancashire and Cheshire</w:t>
      </w:r>
      <w:r w:rsidRPr="00F03308">
        <w:rPr>
          <w:lang w:val="en-GB"/>
        </w:rPr>
        <w:t>, vol. 163 (2014), pp. 55-72</w:t>
      </w:r>
    </w:p>
  </w:footnote>
  <w:footnote w:id="2">
    <w:p w14:paraId="343AA4AE" w14:textId="4412B4A1" w:rsidR="0049322D" w:rsidRPr="00226DE8" w:rsidRDefault="0049322D" w:rsidP="00226DE8">
      <w:pPr>
        <w:pStyle w:val="FootnoteText"/>
        <w:spacing w:line="360" w:lineRule="auto"/>
        <w:jc w:val="both"/>
        <w:rPr>
          <w:lang w:val="en-GB"/>
        </w:rPr>
      </w:pPr>
      <w:r w:rsidRPr="006D7D3A">
        <w:rPr>
          <w:rStyle w:val="FootnoteReference"/>
        </w:rPr>
        <w:footnoteRef/>
      </w:r>
      <w:r w:rsidRPr="006D7D3A">
        <w:t xml:space="preserve"> </w:t>
      </w:r>
      <w:r>
        <w:t xml:space="preserve">On the early-modern and Georgian periods see, </w:t>
      </w:r>
      <w:proofErr w:type="spellStart"/>
      <w:r w:rsidRPr="006D7D3A">
        <w:t>Garthine</w:t>
      </w:r>
      <w:proofErr w:type="spellEnd"/>
      <w:r w:rsidRPr="006D7D3A">
        <w:t xml:space="preserve"> Walker, </w:t>
      </w:r>
      <w:r w:rsidRPr="006D7D3A">
        <w:rPr>
          <w:bCs/>
          <w:i/>
          <w:lang w:val="en-GB"/>
        </w:rPr>
        <w:t>Crime, Gender and Social Order in Early Modern England</w:t>
      </w:r>
      <w:r w:rsidRPr="006D7D3A">
        <w:rPr>
          <w:bCs/>
          <w:lang w:val="en-GB"/>
        </w:rPr>
        <w:t xml:space="preserve"> (Cambridge, Cambridge University Press, 2009); J.A. Sharpe &amp; J.R. Dickinson, ‘</w:t>
      </w:r>
      <w:r w:rsidRPr="006D7D3A">
        <w:rPr>
          <w:lang w:val="en-GB"/>
        </w:rPr>
        <w:t xml:space="preserve">Revisiting the “Violence We Have Lost”: Homicide in Seventeenth-Century Cheshire’, </w:t>
      </w:r>
      <w:r w:rsidRPr="006D7D3A">
        <w:rPr>
          <w:i/>
          <w:lang w:val="en-GB"/>
        </w:rPr>
        <w:t>English Historical Review</w:t>
      </w:r>
      <w:r w:rsidRPr="006D7D3A">
        <w:rPr>
          <w:lang w:val="en-GB"/>
        </w:rPr>
        <w:t xml:space="preserve">, vol. 131, </w:t>
      </w:r>
      <w:proofErr w:type="spellStart"/>
      <w:r w:rsidRPr="006D7D3A">
        <w:rPr>
          <w:lang w:val="en-GB"/>
        </w:rPr>
        <w:t>iss</w:t>
      </w:r>
      <w:proofErr w:type="spellEnd"/>
      <w:r w:rsidRPr="006D7D3A">
        <w:rPr>
          <w:lang w:val="en-GB"/>
        </w:rPr>
        <w:t xml:space="preserve">. 131, 293-323; John Walliss, ‘The Bloody Code in Cheshire: The Court of Great Sessions, 1805-30’, </w:t>
      </w:r>
      <w:r w:rsidRPr="006D7D3A">
        <w:rPr>
          <w:i/>
          <w:lang w:val="en-GB"/>
        </w:rPr>
        <w:t>Transactions of the Historic Society of Lancashire and Cheshire</w:t>
      </w:r>
      <w:r w:rsidRPr="006D7D3A">
        <w:rPr>
          <w:lang w:val="en-GB"/>
        </w:rPr>
        <w:t xml:space="preserve">, vol. 163 (2014), pp. 55-72; ‘Crime and Justice in Georgian Cheshire: The Chester Court of Great Sessions 1760-1830’, </w:t>
      </w:r>
      <w:r w:rsidRPr="006D7D3A">
        <w:rPr>
          <w:i/>
          <w:lang w:val="en-GB"/>
        </w:rPr>
        <w:t>Journal on European History of Law</w:t>
      </w:r>
      <w:r w:rsidRPr="006D7D3A">
        <w:rPr>
          <w:lang w:val="en-GB"/>
        </w:rPr>
        <w:t xml:space="preserve">, vol. 6, no. 1 (2015), pp. 38-55. </w:t>
      </w:r>
    </w:p>
  </w:footnote>
  <w:footnote w:id="3">
    <w:p w14:paraId="2915146C" w14:textId="19E52AE9" w:rsidR="0049322D" w:rsidRPr="002940FB" w:rsidRDefault="0049322D" w:rsidP="002940FB">
      <w:pPr>
        <w:pStyle w:val="FootnoteText"/>
        <w:spacing w:line="360" w:lineRule="auto"/>
        <w:jc w:val="both"/>
        <w:rPr>
          <w:bCs/>
        </w:rPr>
      </w:pPr>
      <w:r>
        <w:rPr>
          <w:rStyle w:val="FootnoteReference"/>
        </w:rPr>
        <w:footnoteRef/>
      </w:r>
      <w:r>
        <w:t xml:space="preserve"> </w:t>
      </w:r>
      <w:r w:rsidRPr="00226DE8">
        <w:rPr>
          <w:bCs/>
          <w:lang w:val="en-GB"/>
        </w:rPr>
        <w:t xml:space="preserve">Maryse Tennant, </w:t>
      </w:r>
      <w:r>
        <w:rPr>
          <w:bCs/>
          <w:lang w:val="en-GB"/>
        </w:rPr>
        <w:t>‘</w:t>
      </w:r>
      <w:r w:rsidRPr="00226DE8">
        <w:rPr>
          <w:bCs/>
        </w:rPr>
        <w:t>Fie</w:t>
      </w:r>
      <w:r>
        <w:rPr>
          <w:bCs/>
        </w:rPr>
        <w:t xml:space="preserve">lds of struggle: a </w:t>
      </w:r>
      <w:proofErr w:type="spellStart"/>
      <w:r>
        <w:rPr>
          <w:bCs/>
        </w:rPr>
        <w:t>Bourdieusian</w:t>
      </w:r>
      <w:proofErr w:type="spellEnd"/>
      <w:r>
        <w:rPr>
          <w:bCs/>
        </w:rPr>
        <w:t xml:space="preserve"> </w:t>
      </w:r>
      <w:r w:rsidRPr="00226DE8">
        <w:rPr>
          <w:bCs/>
        </w:rPr>
        <w:t>analysis of conflicts over criminal</w:t>
      </w:r>
      <w:r>
        <w:rPr>
          <w:bCs/>
        </w:rPr>
        <w:t xml:space="preserve"> </w:t>
      </w:r>
      <w:r w:rsidRPr="00226DE8">
        <w:rPr>
          <w:bCs/>
        </w:rPr>
        <w:t>justice in England, c. 1820–50</w:t>
      </w:r>
      <w:r>
        <w:rPr>
          <w:bCs/>
        </w:rPr>
        <w:t xml:space="preserve">’, </w:t>
      </w:r>
      <w:r w:rsidRPr="00226DE8">
        <w:rPr>
          <w:bCs/>
          <w:i/>
        </w:rPr>
        <w:t>Social History</w:t>
      </w:r>
      <w:r>
        <w:rPr>
          <w:bCs/>
        </w:rPr>
        <w:t xml:space="preserve">, Vol. 39, No. 1, 36-55; </w:t>
      </w:r>
      <w:r w:rsidRPr="00226DE8">
        <w:rPr>
          <w:bCs/>
          <w:lang w:val="en-GB"/>
        </w:rPr>
        <w:t xml:space="preserve">‘Enterprise, experimentation and the state: industrialisation and the Cheshire constabulary, 1790-1860’ (PhD Thesis, </w:t>
      </w:r>
      <w:proofErr w:type="spellStart"/>
      <w:r w:rsidRPr="00226DE8">
        <w:rPr>
          <w:bCs/>
          <w:lang w:val="en-GB"/>
        </w:rPr>
        <w:t>Keele</w:t>
      </w:r>
      <w:proofErr w:type="spellEnd"/>
      <w:r w:rsidRPr="00226DE8">
        <w:rPr>
          <w:bCs/>
          <w:lang w:val="en-GB"/>
        </w:rPr>
        <w:t xml:space="preserve"> University, 2010)</w:t>
      </w:r>
      <w:r>
        <w:rPr>
          <w:bCs/>
        </w:rPr>
        <w:t xml:space="preserve">; </w:t>
      </w:r>
      <w:r w:rsidRPr="00226DE8">
        <w:rPr>
          <w:lang w:val="en-GB"/>
        </w:rPr>
        <w:t>B</w:t>
      </w:r>
      <w:r>
        <w:rPr>
          <w:lang w:val="en-GB"/>
        </w:rPr>
        <w:t xml:space="preserve">arry </w:t>
      </w:r>
      <w:r w:rsidRPr="00226DE8">
        <w:rPr>
          <w:lang w:val="en-GB"/>
        </w:rPr>
        <w:t xml:space="preserve">.S. Godfrey, D. Cox &amp; S. </w:t>
      </w:r>
      <w:proofErr w:type="spellStart"/>
      <w:r w:rsidRPr="00226DE8">
        <w:rPr>
          <w:lang w:val="en-GB"/>
        </w:rPr>
        <w:t>Farrall</w:t>
      </w:r>
      <w:proofErr w:type="spellEnd"/>
      <w:r w:rsidRPr="00226DE8">
        <w:rPr>
          <w:lang w:val="en-GB"/>
        </w:rPr>
        <w:t xml:space="preserve">, </w:t>
      </w:r>
      <w:r w:rsidRPr="00226DE8">
        <w:rPr>
          <w:i/>
          <w:lang w:val="en-GB"/>
        </w:rPr>
        <w:t>Criminal Lives: Family, employment and offending</w:t>
      </w:r>
      <w:r w:rsidRPr="00226DE8">
        <w:rPr>
          <w:lang w:val="en-GB"/>
        </w:rPr>
        <w:t xml:space="preserve"> (Oxford, </w:t>
      </w:r>
      <w:r>
        <w:rPr>
          <w:lang w:val="en-GB"/>
        </w:rPr>
        <w:t xml:space="preserve">Oxford University Press, 2007); </w:t>
      </w:r>
      <w:r w:rsidRPr="00226DE8">
        <w:rPr>
          <w:i/>
          <w:lang w:val="en-GB"/>
        </w:rPr>
        <w:t>Serious Offenders</w:t>
      </w:r>
      <w:r w:rsidRPr="00226DE8">
        <w:rPr>
          <w:lang w:val="en-GB"/>
        </w:rPr>
        <w:t xml:space="preserve"> (Oxford, Oxford University Press, 2010). </w:t>
      </w:r>
      <w:r>
        <w:rPr>
          <w:lang w:val="en-GB"/>
        </w:rPr>
        <w:t xml:space="preserve">There are also two unpublished PhD theses on the Irish and crime and disorder in Victorian Cheshire and the county’s ‘criminal justice system’ between 1820 and 1875: </w:t>
      </w:r>
      <w:r w:rsidRPr="00226DE8">
        <w:rPr>
          <w:lang w:val="en-GB"/>
        </w:rPr>
        <w:t xml:space="preserve">Helen </w:t>
      </w:r>
      <w:proofErr w:type="spellStart"/>
      <w:r w:rsidRPr="00226DE8">
        <w:rPr>
          <w:lang w:val="en-GB"/>
        </w:rPr>
        <w:t>Peavitt</w:t>
      </w:r>
      <w:proofErr w:type="spellEnd"/>
      <w:r w:rsidRPr="00226DE8">
        <w:rPr>
          <w:lang w:val="en-GB"/>
        </w:rPr>
        <w:t xml:space="preserve">, </w:t>
      </w:r>
      <w:r w:rsidRPr="00226DE8">
        <w:rPr>
          <w:bCs/>
          <w:i/>
          <w:lang w:val="en-GB"/>
        </w:rPr>
        <w:t>The Irish, crime and disorder in Chester, 1841 to 1871</w:t>
      </w:r>
      <w:r w:rsidRPr="00226DE8">
        <w:rPr>
          <w:b/>
          <w:bCs/>
          <w:lang w:val="en-GB"/>
        </w:rPr>
        <w:t xml:space="preserve"> </w:t>
      </w:r>
      <w:r w:rsidRPr="00226DE8">
        <w:rPr>
          <w:bCs/>
          <w:lang w:val="en-GB"/>
        </w:rPr>
        <w:t>(PhD Thesis, University of Liverpool, 1999)</w:t>
      </w:r>
      <w:r>
        <w:rPr>
          <w:bCs/>
        </w:rPr>
        <w:t xml:space="preserve">; </w:t>
      </w:r>
      <w:r w:rsidRPr="00226DE8">
        <w:rPr>
          <w:bCs/>
          <w:lang w:val="en-GB"/>
        </w:rPr>
        <w:t xml:space="preserve">Andrew A. Barrett, ‘The system of criminal justice in Cheshire, 1820-75’ (PhD Thesis, </w:t>
      </w:r>
      <w:proofErr w:type="spellStart"/>
      <w:r w:rsidRPr="00226DE8">
        <w:rPr>
          <w:bCs/>
          <w:lang w:val="en-GB"/>
        </w:rPr>
        <w:t>Keele</w:t>
      </w:r>
      <w:proofErr w:type="spellEnd"/>
      <w:r w:rsidRPr="00226DE8">
        <w:rPr>
          <w:bCs/>
          <w:lang w:val="en-GB"/>
        </w:rPr>
        <w:t xml:space="preserve"> University, 1996)</w:t>
      </w:r>
      <w:r>
        <w:rPr>
          <w:bCs/>
          <w:lang w:val="en-GB"/>
        </w:rPr>
        <w:t>.</w:t>
      </w:r>
    </w:p>
  </w:footnote>
  <w:footnote w:id="4">
    <w:p w14:paraId="5512E9A5" w14:textId="1E5E2C6D" w:rsidR="0049322D" w:rsidRDefault="0049322D" w:rsidP="00901E74">
      <w:pPr>
        <w:pStyle w:val="FootnoteText"/>
        <w:spacing w:line="360" w:lineRule="auto"/>
        <w:jc w:val="both"/>
      </w:pPr>
      <w:r>
        <w:rPr>
          <w:rStyle w:val="FootnoteReference"/>
        </w:rPr>
        <w:footnoteRef/>
      </w:r>
      <w:r>
        <w:t xml:space="preserve"> </w:t>
      </w:r>
      <w:r w:rsidRPr="0011592A">
        <w:t>HO27/</w:t>
      </w:r>
      <w:r>
        <w:t>60-214</w:t>
      </w:r>
      <w:r w:rsidRPr="0011592A">
        <w:t xml:space="preserve">. These registers have been </w:t>
      </w:r>
      <w:proofErr w:type="spellStart"/>
      <w:r w:rsidRPr="0011592A">
        <w:t>digitised</w:t>
      </w:r>
      <w:proofErr w:type="spellEnd"/>
      <w:r w:rsidRPr="0011592A">
        <w:t xml:space="preserve"> and are available via www.ancestry.co.uk/</w:t>
      </w:r>
    </w:p>
  </w:footnote>
  <w:footnote w:id="5">
    <w:p w14:paraId="60365D83" w14:textId="10B58CA4" w:rsidR="0049322D" w:rsidRDefault="0049322D" w:rsidP="00901E74">
      <w:pPr>
        <w:pStyle w:val="FootnoteText"/>
        <w:spacing w:line="360" w:lineRule="auto"/>
        <w:jc w:val="both"/>
      </w:pPr>
      <w:r>
        <w:rPr>
          <w:rStyle w:val="FootnoteReference"/>
        </w:rPr>
        <w:footnoteRef/>
      </w:r>
      <w:r>
        <w:t xml:space="preserve"> For a recent review of the debate, see John </w:t>
      </w:r>
      <w:r w:rsidRPr="0011592A">
        <w:t>Walliss, ‘Lies,</w:t>
      </w:r>
      <w:r>
        <w:t xml:space="preserve"> </w:t>
      </w:r>
      <w:r w:rsidRPr="0011592A">
        <w:t>Damned Lies and Statistics? Nineteenth-Century Crime Statistics for England and Wales as a Historical</w:t>
      </w:r>
      <w:r>
        <w:t xml:space="preserve"> </w:t>
      </w:r>
      <w:r w:rsidRPr="0011592A">
        <w:t xml:space="preserve">Source’, </w:t>
      </w:r>
      <w:r w:rsidRPr="0011592A">
        <w:rPr>
          <w:i/>
        </w:rPr>
        <w:t>History Compass</w:t>
      </w:r>
      <w:r w:rsidRPr="0011592A">
        <w:t xml:space="preserve">, </w:t>
      </w:r>
      <w:r>
        <w:t xml:space="preserve">vol. </w:t>
      </w:r>
      <w:r w:rsidRPr="0011592A">
        <w:t xml:space="preserve">10, </w:t>
      </w:r>
      <w:r>
        <w:t xml:space="preserve">no. </w:t>
      </w:r>
      <w:r w:rsidRPr="0011592A">
        <w:t>8 (2012), 574–83.</w:t>
      </w:r>
    </w:p>
  </w:footnote>
  <w:footnote w:id="6">
    <w:p w14:paraId="76A5D226" w14:textId="28613DEA" w:rsidR="0049322D" w:rsidRDefault="0049322D" w:rsidP="0001520C">
      <w:pPr>
        <w:pStyle w:val="FootnoteText"/>
        <w:spacing w:line="360" w:lineRule="auto"/>
        <w:jc w:val="both"/>
      </w:pPr>
      <w:r>
        <w:rPr>
          <w:rStyle w:val="FootnoteReference"/>
        </w:rPr>
        <w:footnoteRef/>
      </w:r>
      <w:r>
        <w:t xml:space="preserve"> The breakdown by court was as follows:  County Quarter Sessions:  25,731 (78%); County Assizes 5,382 (16%); City Quarter Sessions 1,500 (4.5%); Special Session (1842) 89 (&lt;1%); and Birkenhead Quarter Sessions (1882-) 298 (&lt;1%). </w:t>
      </w:r>
    </w:p>
  </w:footnote>
  <w:footnote w:id="7">
    <w:p w14:paraId="4E396CE3" w14:textId="77777777" w:rsidR="0049322D" w:rsidRDefault="0049322D" w:rsidP="00225D5D">
      <w:pPr>
        <w:pStyle w:val="FootnoteText"/>
        <w:spacing w:line="360" w:lineRule="auto"/>
        <w:jc w:val="both"/>
      </w:pPr>
      <w:r>
        <w:rPr>
          <w:rStyle w:val="FootnoteReference"/>
        </w:rPr>
        <w:footnoteRef/>
      </w:r>
      <w:r>
        <w:t xml:space="preserve"> Unless otherwise noted, for the sake of simplicity I will use the term ‘</w:t>
      </w:r>
      <w:r w:rsidRPr="004C3C10">
        <w:t>Assizes and Quarter Sessions in Cheshire</w:t>
      </w:r>
      <w:r>
        <w:t xml:space="preserve">’ to refer to the Cheshire county assizes, Cheshire county quarter sessions, a 1842 Special Session and </w:t>
      </w:r>
      <w:r w:rsidRPr="004C3C10">
        <w:t>the Birkenhead Quarter Sessions (1882-)</w:t>
      </w:r>
      <w:r>
        <w:t xml:space="preserve">. </w:t>
      </w:r>
    </w:p>
  </w:footnote>
  <w:footnote w:id="8">
    <w:p w14:paraId="3B2F1B0C" w14:textId="0728CE9B" w:rsidR="0049322D" w:rsidRDefault="0049322D" w:rsidP="006D22BB">
      <w:pPr>
        <w:pStyle w:val="FootnoteText"/>
        <w:spacing w:line="360" w:lineRule="auto"/>
        <w:jc w:val="both"/>
      </w:pPr>
      <w:r>
        <w:rPr>
          <w:rStyle w:val="FootnoteReference"/>
        </w:rPr>
        <w:footnoteRef/>
      </w:r>
      <w:r>
        <w:t xml:space="preserve"> According to David Taylor, the mean annual number of persons committed for trial at the Northallerton Quarter Sessions declined from 139 between 1840-44 to just 46 between 1885-9. See </w:t>
      </w:r>
      <w:r w:rsidRPr="006D22BB">
        <w:t>David Taylor,</w:t>
      </w:r>
      <w:r w:rsidRPr="006D22BB">
        <w:rPr>
          <w:i/>
        </w:rPr>
        <w:t xml:space="preserve"> </w:t>
      </w:r>
      <w:r>
        <w:t xml:space="preserve">‘Crime and policing in early Victorian </w:t>
      </w:r>
      <w:proofErr w:type="spellStart"/>
      <w:r>
        <w:t>Middlesborough</w:t>
      </w:r>
      <w:proofErr w:type="spellEnd"/>
      <w:r>
        <w:t xml:space="preserve">, 1838-55’, </w:t>
      </w:r>
      <w:r w:rsidRPr="006D22BB">
        <w:rPr>
          <w:i/>
        </w:rPr>
        <w:t xml:space="preserve">The </w:t>
      </w:r>
      <w:r w:rsidR="007C3462">
        <w:rPr>
          <w:i/>
        </w:rPr>
        <w:t>J</w:t>
      </w:r>
      <w:r w:rsidRPr="006D22BB">
        <w:rPr>
          <w:i/>
        </w:rPr>
        <w:t xml:space="preserve">ournal of </w:t>
      </w:r>
      <w:r w:rsidR="007C3462">
        <w:rPr>
          <w:i/>
        </w:rPr>
        <w:t>R</w:t>
      </w:r>
      <w:r w:rsidRPr="006D22BB">
        <w:rPr>
          <w:i/>
        </w:rPr>
        <w:t xml:space="preserve">egional and </w:t>
      </w:r>
      <w:r w:rsidR="007C3462">
        <w:rPr>
          <w:i/>
        </w:rPr>
        <w:t>L</w:t>
      </w:r>
      <w:r w:rsidRPr="006D22BB">
        <w:rPr>
          <w:i/>
        </w:rPr>
        <w:t xml:space="preserve">ocal </w:t>
      </w:r>
      <w:r w:rsidR="007C3462">
        <w:rPr>
          <w:i/>
        </w:rPr>
        <w:t>S</w:t>
      </w:r>
      <w:r w:rsidRPr="006D22BB">
        <w:rPr>
          <w:i/>
        </w:rPr>
        <w:t>tudies</w:t>
      </w:r>
      <w:r>
        <w:t xml:space="preserve">, vol. 11, 48-66, Table II; </w:t>
      </w:r>
      <w:r w:rsidRPr="006D22BB">
        <w:rPr>
          <w:i/>
        </w:rPr>
        <w:t xml:space="preserve">Policing the Victorian town: the development of the police in </w:t>
      </w:r>
      <w:proofErr w:type="spellStart"/>
      <w:r w:rsidRPr="006D22BB">
        <w:rPr>
          <w:i/>
        </w:rPr>
        <w:t>Middlesborough</w:t>
      </w:r>
      <w:proofErr w:type="spellEnd"/>
      <w:r w:rsidRPr="006D22BB">
        <w:rPr>
          <w:i/>
        </w:rPr>
        <w:t>, c. 1840-1914</w:t>
      </w:r>
      <w:r w:rsidRPr="006D22BB">
        <w:t xml:space="preserve"> (Basings</w:t>
      </w:r>
      <w:r>
        <w:t xml:space="preserve">toke, </w:t>
      </w:r>
      <w:proofErr w:type="spellStart"/>
      <w:r>
        <w:t>Palgave</w:t>
      </w:r>
      <w:proofErr w:type="spellEnd"/>
      <w:r>
        <w:t xml:space="preserve"> Macmillan, 2002), Table 8.4</w:t>
      </w:r>
    </w:p>
  </w:footnote>
  <w:footnote w:id="9">
    <w:p w14:paraId="0AB4C56B" w14:textId="43C5BB0E" w:rsidR="0049322D" w:rsidRDefault="0049322D" w:rsidP="006D22BB">
      <w:pPr>
        <w:pStyle w:val="FootnoteText"/>
        <w:spacing w:line="360" w:lineRule="auto"/>
        <w:jc w:val="both"/>
      </w:pPr>
      <w:r>
        <w:rPr>
          <w:rStyle w:val="FootnoteReference"/>
        </w:rPr>
        <w:footnoteRef/>
      </w:r>
      <w:r>
        <w:t xml:space="preserve"> For a discussion of population trends within Cheshire over a longer period, see R. Lawton, ‘Population trends in Lancashire and Cheshire from 1801’, </w:t>
      </w:r>
      <w:r w:rsidRPr="00943BCB">
        <w:rPr>
          <w:i/>
        </w:rPr>
        <w:t>Transactions of the Historic Society of Lancashire and Cheshire</w:t>
      </w:r>
      <w:r>
        <w:t>, vol 114 (1962), 189-213.</w:t>
      </w:r>
    </w:p>
  </w:footnote>
  <w:footnote w:id="10">
    <w:p w14:paraId="6C02E976" w14:textId="37E49B77" w:rsidR="0049322D" w:rsidRDefault="0049322D" w:rsidP="00CD4C14">
      <w:pPr>
        <w:pStyle w:val="FootnoteText"/>
        <w:spacing w:line="360" w:lineRule="auto"/>
        <w:jc w:val="both"/>
      </w:pPr>
      <w:r>
        <w:rPr>
          <w:rStyle w:val="FootnoteReference"/>
        </w:rPr>
        <w:footnoteRef/>
      </w:r>
      <w:r>
        <w:t xml:space="preserve"> Unless otherwise stated, the statistics for England and Wales cited here and below are taken from </w:t>
      </w:r>
      <w:r w:rsidRPr="009604C0">
        <w:rPr>
          <w:i/>
        </w:rPr>
        <w:t xml:space="preserve">Tables showing the number of criminal offenders </w:t>
      </w:r>
      <w:r>
        <w:t xml:space="preserve">(1840-1855) and </w:t>
      </w:r>
      <w:r w:rsidRPr="009604C0">
        <w:rPr>
          <w:i/>
        </w:rPr>
        <w:t xml:space="preserve">Judicial Statistics </w:t>
      </w:r>
      <w:r>
        <w:t xml:space="preserve">(1856-99). </w:t>
      </w:r>
    </w:p>
    <w:p w14:paraId="3AC64BDE" w14:textId="769A7462" w:rsidR="0049322D" w:rsidRPr="00960EC0" w:rsidRDefault="0049322D" w:rsidP="00CD4C14">
      <w:pPr>
        <w:pStyle w:val="FootnoteText"/>
        <w:spacing w:line="360" w:lineRule="auto"/>
        <w:jc w:val="both"/>
      </w:pPr>
      <w:r>
        <w:t xml:space="preserve">Despite the decline in committals, a number of contemporaries were nevertheless convinced that actual crime was in fact rising during this period – see Lynn McDonald, ‘Theory and evidence of rising crime in the nineteenth century’, </w:t>
      </w:r>
      <w:r w:rsidRPr="00DB0CE8">
        <w:rPr>
          <w:i/>
        </w:rPr>
        <w:t>The British Journal of Sociology</w:t>
      </w:r>
      <w:r>
        <w:t>, vol. 33, no. 3 (1982), 404-420. See for example, the debate between the criminologist</w:t>
      </w:r>
      <w:r w:rsidR="00143D70">
        <w:t xml:space="preserve"> </w:t>
      </w:r>
      <w:r w:rsidR="00143D70" w:rsidRPr="00143D70">
        <w:rPr>
          <w:color w:val="FF0000"/>
        </w:rPr>
        <w:t>and prison chaplain</w:t>
      </w:r>
      <w:r>
        <w:t xml:space="preserve">, William Douglas Morrison and the prison administrator Sir Edmund Du Cane in the pages of </w:t>
      </w:r>
      <w:r w:rsidRPr="00DB0CE8">
        <w:rPr>
          <w:i/>
        </w:rPr>
        <w:t>The Nineteenth Century</w:t>
      </w:r>
      <w:r>
        <w:rPr>
          <w:i/>
        </w:rPr>
        <w:t xml:space="preserve"> – </w:t>
      </w:r>
      <w:r w:rsidRPr="00B26015">
        <w:t>Wi</w:t>
      </w:r>
      <w:r>
        <w:t xml:space="preserve">lliam Douglas Morrison, ‘The increase in crime’, </w:t>
      </w:r>
      <w:r w:rsidRPr="00B26015">
        <w:rPr>
          <w:i/>
        </w:rPr>
        <w:t>The Nineteenth Century</w:t>
      </w:r>
      <w:r>
        <w:t xml:space="preserve">, vol 31, </w:t>
      </w:r>
      <w:proofErr w:type="spellStart"/>
      <w:r>
        <w:t>iss</w:t>
      </w:r>
      <w:proofErr w:type="spellEnd"/>
      <w:r>
        <w:t xml:space="preserve">. 184, 950-7; Edmund Du Cane, ‘The decrease of crime’, </w:t>
      </w:r>
      <w:r w:rsidRPr="00960EC0">
        <w:rPr>
          <w:i/>
        </w:rPr>
        <w:t>The Nineteenth Century</w:t>
      </w:r>
      <w:r>
        <w:t xml:space="preserve">, vol. 33, </w:t>
      </w:r>
      <w:proofErr w:type="spellStart"/>
      <w:r>
        <w:t>iss</w:t>
      </w:r>
      <w:proofErr w:type="spellEnd"/>
      <w:r>
        <w:t xml:space="preserve">. 193, 480-92. </w:t>
      </w:r>
      <w:r>
        <w:rPr>
          <w:lang w:val="en-GB"/>
        </w:rPr>
        <w:t xml:space="preserve"> </w:t>
      </w:r>
    </w:p>
  </w:footnote>
  <w:footnote w:id="11">
    <w:p w14:paraId="54962CE9" w14:textId="0F2551CF" w:rsidR="0049322D" w:rsidRPr="00F04845" w:rsidRDefault="0049322D" w:rsidP="00CD4C14">
      <w:pPr>
        <w:pStyle w:val="FootnoteText"/>
        <w:spacing w:line="360" w:lineRule="auto"/>
        <w:jc w:val="both"/>
        <w:rPr>
          <w:b/>
          <w:bCs/>
          <w:lang w:val="en-GB"/>
        </w:rPr>
      </w:pPr>
      <w:r>
        <w:rPr>
          <w:rStyle w:val="FootnoteReference"/>
        </w:rPr>
        <w:footnoteRef/>
      </w:r>
      <w:r>
        <w:t xml:space="preserve"> CF V.A.C. </w:t>
      </w:r>
      <w:proofErr w:type="spellStart"/>
      <w:r>
        <w:t>Gatrell</w:t>
      </w:r>
      <w:proofErr w:type="spellEnd"/>
      <w:r>
        <w:t xml:space="preserve"> &amp; T.B. Hadden, ‘Criminal statistics and their interpretation’, in E.A. Wrigley (ed.) </w:t>
      </w:r>
      <w:r w:rsidRPr="00F84C85">
        <w:rPr>
          <w:i/>
        </w:rPr>
        <w:t>Nineteenth-century society: essays in the use of quantitative methods for the study of social data</w:t>
      </w:r>
      <w:r>
        <w:t xml:space="preserve"> (Cambridge, Cambridge University Press, 1972), 336-96; David Philips, </w:t>
      </w:r>
      <w:r w:rsidRPr="00F04845">
        <w:rPr>
          <w:bCs/>
          <w:i/>
          <w:lang w:val="en-GB"/>
        </w:rPr>
        <w:t>Crime and authority in Victorian England</w:t>
      </w:r>
      <w:r>
        <w:rPr>
          <w:bCs/>
          <w:i/>
          <w:lang w:val="en-GB"/>
        </w:rPr>
        <w:t>, Op. Cit.</w:t>
      </w:r>
      <w:r>
        <w:rPr>
          <w:b/>
          <w:bCs/>
          <w:lang w:val="en-GB"/>
        </w:rPr>
        <w:t xml:space="preserve">; </w:t>
      </w:r>
      <w:r>
        <w:t xml:space="preserve">Clive Emsley, </w:t>
      </w:r>
      <w:r w:rsidRPr="00C44176">
        <w:rPr>
          <w:i/>
        </w:rPr>
        <w:t>Crime and Society in England, 1750-1900</w:t>
      </w:r>
      <w:r>
        <w:t xml:space="preserve"> (Fourth Edition) (London, Routledge, 2010). </w:t>
      </w:r>
    </w:p>
  </w:footnote>
  <w:footnote w:id="12">
    <w:p w14:paraId="2A6535B4" w14:textId="68C5E76D" w:rsidR="0049322D" w:rsidRDefault="0049322D" w:rsidP="00CD4C14">
      <w:pPr>
        <w:pStyle w:val="FootnoteText"/>
        <w:spacing w:line="360" w:lineRule="auto"/>
        <w:jc w:val="both"/>
      </w:pPr>
      <w:r>
        <w:rPr>
          <w:rStyle w:val="FootnoteReference"/>
        </w:rPr>
        <w:footnoteRef/>
      </w:r>
      <w:r>
        <w:t xml:space="preserve"> See also Barry Godfrey, </w:t>
      </w:r>
      <w:r w:rsidRPr="004E2302">
        <w:rPr>
          <w:i/>
        </w:rPr>
        <w:t>Crime in England 1880-1945: The rough and the criminal, the policed and the incarcerated</w:t>
      </w:r>
      <w:r>
        <w:t xml:space="preserve"> (London, Routledge, 2014), chapter 3.</w:t>
      </w:r>
    </w:p>
  </w:footnote>
  <w:footnote w:id="13">
    <w:p w14:paraId="7E7A4B57" w14:textId="5BAB214F" w:rsidR="0049322D" w:rsidRPr="00B405EF" w:rsidRDefault="0049322D" w:rsidP="00CD4C14">
      <w:pPr>
        <w:pStyle w:val="FootnoteText"/>
        <w:spacing w:line="360" w:lineRule="auto"/>
        <w:jc w:val="both"/>
      </w:pPr>
      <w:r>
        <w:rPr>
          <w:rStyle w:val="FootnoteReference"/>
        </w:rPr>
        <w:footnoteRef/>
      </w:r>
      <w:r>
        <w:t xml:space="preserve"> </w:t>
      </w:r>
      <w:proofErr w:type="spellStart"/>
      <w:r>
        <w:t>Gatrell</w:t>
      </w:r>
      <w:proofErr w:type="spellEnd"/>
      <w:r>
        <w:t xml:space="preserve"> &amp; Hadden, ‘Criminal statistics and their interpretation’, </w:t>
      </w:r>
      <w:r w:rsidRPr="00C44176">
        <w:rPr>
          <w:i/>
        </w:rPr>
        <w:t xml:space="preserve">Op. </w:t>
      </w:r>
      <w:proofErr w:type="gramStart"/>
      <w:r w:rsidRPr="00C44176">
        <w:rPr>
          <w:i/>
        </w:rPr>
        <w:t>Cit</w:t>
      </w:r>
      <w:r>
        <w:t>.,;</w:t>
      </w:r>
      <w:proofErr w:type="gramEnd"/>
      <w:r>
        <w:t xml:space="preserve"> V.A.C. </w:t>
      </w:r>
      <w:proofErr w:type="spellStart"/>
      <w:r>
        <w:t>Gatrell</w:t>
      </w:r>
      <w:proofErr w:type="spellEnd"/>
      <w:r>
        <w:t xml:space="preserve">, ‘The decline of theft and violence in Victorian and Edwardian England’, in V.A.C. </w:t>
      </w:r>
      <w:proofErr w:type="spellStart"/>
      <w:r>
        <w:t>Gatrell</w:t>
      </w:r>
      <w:proofErr w:type="spellEnd"/>
      <w:r>
        <w:t xml:space="preserve">, Bruce </w:t>
      </w:r>
      <w:proofErr w:type="spellStart"/>
      <w:r>
        <w:t>Lenman</w:t>
      </w:r>
      <w:proofErr w:type="spellEnd"/>
      <w:r>
        <w:t xml:space="preserve"> &amp; Geoffrey Parker (eds.) </w:t>
      </w:r>
      <w:r w:rsidRPr="00A4030C">
        <w:rPr>
          <w:i/>
        </w:rPr>
        <w:t>Crime and law: the social history of crime in Europe since 1500</w:t>
      </w:r>
      <w:r>
        <w:t xml:space="preserve"> (London, Europa Publications Limited, 1980), 238-337. On the role of the police, see </w:t>
      </w:r>
      <w:r w:rsidRPr="00F84C85">
        <w:t xml:space="preserve">D.J.V. Jones ‘The new police, crime and the people in England and Wales, 1829-1888’, </w:t>
      </w:r>
      <w:r w:rsidRPr="00F84C85">
        <w:rPr>
          <w:i/>
        </w:rPr>
        <w:t>Transactions of the Royal Historical Society</w:t>
      </w:r>
      <w:r>
        <w:t xml:space="preserve">, vol 33 (1983), 151-68; </w:t>
      </w:r>
      <w:r w:rsidRPr="00F84C85">
        <w:t xml:space="preserve">David Churchill, </w:t>
      </w:r>
      <w:r w:rsidRPr="00F84C85">
        <w:rPr>
          <w:i/>
        </w:rPr>
        <w:t>Crime control and everyday life in the Victorian City</w:t>
      </w:r>
      <w:r>
        <w:t xml:space="preserve">, </w:t>
      </w:r>
      <w:r w:rsidRPr="00901E74">
        <w:rPr>
          <w:i/>
        </w:rPr>
        <w:t>Op. Cit.</w:t>
      </w:r>
      <w:r>
        <w:rPr>
          <w:i/>
        </w:rPr>
        <w:t xml:space="preserve">, </w:t>
      </w:r>
      <w:r w:rsidRPr="006D22BB">
        <w:t>David Taylor,</w:t>
      </w:r>
      <w:r w:rsidRPr="006D22BB">
        <w:rPr>
          <w:i/>
        </w:rPr>
        <w:t xml:space="preserve"> Policing the Victorian town, Op. Cit. </w:t>
      </w:r>
      <w:r>
        <w:t xml:space="preserve">The early history of policing in Cheshire is discussed in Tennant, ‘Enterprise, experimentation and the state’, </w:t>
      </w:r>
      <w:r w:rsidRPr="00A4030C">
        <w:rPr>
          <w:i/>
        </w:rPr>
        <w:t>Op. Cit.</w:t>
      </w:r>
      <w:r>
        <w:t xml:space="preserve"> </w:t>
      </w:r>
    </w:p>
  </w:footnote>
  <w:footnote w:id="14">
    <w:p w14:paraId="6A8DD371" w14:textId="7CA6EDED" w:rsidR="0049322D" w:rsidRDefault="0049322D" w:rsidP="00CD4C14">
      <w:pPr>
        <w:pStyle w:val="FootnoteText"/>
        <w:spacing w:line="360" w:lineRule="auto"/>
        <w:jc w:val="both"/>
      </w:pPr>
      <w:r>
        <w:rPr>
          <w:rStyle w:val="FootnoteReference"/>
        </w:rPr>
        <w:footnoteRef/>
      </w:r>
      <w:r>
        <w:t xml:space="preserve"> For an attempt, see </w:t>
      </w:r>
      <w:proofErr w:type="spellStart"/>
      <w:r>
        <w:t>Yeu-Chim</w:t>
      </w:r>
      <w:proofErr w:type="spellEnd"/>
      <w:r>
        <w:t xml:space="preserve"> Richard Wong, ‘An economic analysis of the crime rate in England and Wales, 1857-92’, </w:t>
      </w:r>
      <w:proofErr w:type="spellStart"/>
      <w:r w:rsidRPr="00FF6B8B">
        <w:rPr>
          <w:i/>
        </w:rPr>
        <w:t>Economica</w:t>
      </w:r>
      <w:proofErr w:type="spellEnd"/>
      <w:r>
        <w:t xml:space="preserve"> (New Series), vol. 62, no. 246. (1995), 235-46. </w:t>
      </w:r>
    </w:p>
  </w:footnote>
  <w:footnote w:id="15">
    <w:p w14:paraId="38E2C81A" w14:textId="7583CBB6" w:rsidR="0049322D" w:rsidRDefault="0049322D" w:rsidP="00CD4C14">
      <w:pPr>
        <w:pStyle w:val="FootnoteText"/>
        <w:spacing w:line="360" w:lineRule="auto"/>
        <w:jc w:val="both"/>
      </w:pPr>
      <w:r>
        <w:rPr>
          <w:rStyle w:val="FootnoteReference"/>
        </w:rPr>
        <w:footnoteRef/>
      </w:r>
      <w:r>
        <w:t xml:space="preserve"> (1860s = 100) Gregory Clark, ‘The condition of the working class in England, 1209-2004’, </w:t>
      </w:r>
      <w:r w:rsidRPr="00FF6B8B">
        <w:rPr>
          <w:i/>
        </w:rPr>
        <w:t>Journal of Political Economy</w:t>
      </w:r>
      <w:r>
        <w:t>, vol. 113, no. 6 (2005), pp 1307-40. The dataset for Clark’s article is available as a MS Excel file at Global Prices and Index Database: ‘England prices and wages since 13</w:t>
      </w:r>
      <w:r w:rsidRPr="00F16EA4">
        <w:rPr>
          <w:vertAlign w:val="superscript"/>
        </w:rPr>
        <w:t>th</w:t>
      </w:r>
      <w:r>
        <w:t xml:space="preserve"> (Clark) </w:t>
      </w:r>
      <w:hyperlink r:id="rId1" w:history="1">
        <w:r w:rsidRPr="004E1881">
          <w:rPr>
            <w:rStyle w:val="Hyperlink"/>
          </w:rPr>
          <w:t>http://gpih.ucdavis.edu/files/England_1209-1914_(Clark).xls</w:t>
        </w:r>
      </w:hyperlink>
      <w:r>
        <w:t xml:space="preserve"> (accessed 8</w:t>
      </w:r>
      <w:r w:rsidRPr="00F16EA4">
        <w:rPr>
          <w:vertAlign w:val="superscript"/>
        </w:rPr>
        <w:t>th</w:t>
      </w:r>
      <w:r>
        <w:t xml:space="preserve"> August 2019)</w:t>
      </w:r>
    </w:p>
  </w:footnote>
  <w:footnote w:id="16">
    <w:p w14:paraId="6491527F" w14:textId="65B6535A" w:rsidR="0049322D" w:rsidRDefault="0049322D" w:rsidP="00CD4C14">
      <w:pPr>
        <w:pStyle w:val="FootnoteText"/>
        <w:spacing w:line="360" w:lineRule="auto"/>
        <w:jc w:val="both"/>
      </w:pPr>
      <w:r>
        <w:rPr>
          <w:rStyle w:val="FootnoteReference"/>
        </w:rPr>
        <w:footnoteRef/>
      </w:r>
      <w:r>
        <w:t xml:space="preserve"> All property offences: </w:t>
      </w:r>
      <w:r w:rsidRPr="009A6136">
        <w:rPr>
          <w:i/>
        </w:rPr>
        <w:t>r</w:t>
      </w:r>
      <w:r>
        <w:t xml:space="preserve">= -0.849 p&lt;0.01; offences against property not involving violence: </w:t>
      </w:r>
      <w:r w:rsidRPr="0061738B">
        <w:rPr>
          <w:i/>
        </w:rPr>
        <w:t>r</w:t>
      </w:r>
      <w:r>
        <w:t xml:space="preserve">= -0.852 p&lt;0.01; Larceny </w:t>
      </w:r>
      <w:r w:rsidRPr="009A6136">
        <w:rPr>
          <w:i/>
        </w:rPr>
        <w:t>r</w:t>
      </w:r>
      <w:r>
        <w:t xml:space="preserve">= -0.798 p&lt;0.01; offences against property involving violence: </w:t>
      </w:r>
      <w:r w:rsidRPr="0061738B">
        <w:rPr>
          <w:i/>
        </w:rPr>
        <w:t>r</w:t>
      </w:r>
      <w:r>
        <w:t>= -0.482 p&lt;.001</w:t>
      </w:r>
    </w:p>
  </w:footnote>
  <w:footnote w:id="17">
    <w:p w14:paraId="3F65F387" w14:textId="675C2061" w:rsidR="0049322D" w:rsidRDefault="0049322D" w:rsidP="00CD4C14">
      <w:pPr>
        <w:pStyle w:val="FootnoteText"/>
        <w:spacing w:line="360" w:lineRule="auto"/>
      </w:pPr>
      <w:r>
        <w:rPr>
          <w:rStyle w:val="FootnoteReference"/>
        </w:rPr>
        <w:footnoteRef/>
      </w:r>
      <w:r>
        <w:t xml:space="preserve"> All property offences: </w:t>
      </w:r>
      <w:r w:rsidRPr="009A6136">
        <w:rPr>
          <w:i/>
        </w:rPr>
        <w:t>r</w:t>
      </w:r>
      <w:r>
        <w:t xml:space="preserve">= 0.430 p&lt;0.01; offences against property not involving violence: </w:t>
      </w:r>
      <w:r w:rsidRPr="0061738B">
        <w:rPr>
          <w:i/>
        </w:rPr>
        <w:t>r</w:t>
      </w:r>
      <w:r>
        <w:t xml:space="preserve">= 0.442 p&lt;0.01; Larceny </w:t>
      </w:r>
      <w:r w:rsidRPr="009A6136">
        <w:rPr>
          <w:i/>
        </w:rPr>
        <w:t>r</w:t>
      </w:r>
      <w:r>
        <w:t>= 0.425 p&lt;.001</w:t>
      </w:r>
    </w:p>
  </w:footnote>
  <w:footnote w:id="18">
    <w:p w14:paraId="7D8E9156" w14:textId="4B37EFF3" w:rsidR="0049322D" w:rsidRDefault="0049322D" w:rsidP="00CD4C14">
      <w:pPr>
        <w:pStyle w:val="FootnoteText"/>
        <w:spacing w:line="360" w:lineRule="auto"/>
      </w:pPr>
      <w:r>
        <w:rPr>
          <w:rStyle w:val="FootnoteReference"/>
        </w:rPr>
        <w:footnoteRef/>
      </w:r>
      <w:r>
        <w:t xml:space="preserve"> </w:t>
      </w:r>
      <w:proofErr w:type="spellStart"/>
      <w:r>
        <w:t>Gatrell</w:t>
      </w:r>
      <w:proofErr w:type="spellEnd"/>
      <w:r>
        <w:t xml:space="preserve"> &amp; Hadden, ‘Criminal statistics and their interpretation’, </w:t>
      </w:r>
      <w:r w:rsidRPr="0028655B">
        <w:rPr>
          <w:i/>
        </w:rPr>
        <w:t>Op. Cit</w:t>
      </w:r>
      <w:r>
        <w:t>.</w:t>
      </w:r>
    </w:p>
  </w:footnote>
  <w:footnote w:id="19">
    <w:p w14:paraId="505B11BA" w14:textId="3E5ACF6B" w:rsidR="0049322D" w:rsidRDefault="0049322D" w:rsidP="00186B8A">
      <w:pPr>
        <w:pStyle w:val="FootnoteText"/>
        <w:spacing w:line="360" w:lineRule="auto"/>
        <w:jc w:val="both"/>
      </w:pPr>
      <w:r>
        <w:rPr>
          <w:rStyle w:val="FootnoteReference"/>
        </w:rPr>
        <w:footnoteRef/>
      </w:r>
      <w:r>
        <w:t xml:space="preserve"> Previously convicted of a felony: </w:t>
      </w:r>
      <w:r w:rsidRPr="007C044C">
        <w:rPr>
          <w:i/>
        </w:rPr>
        <w:t>r</w:t>
      </w:r>
      <w:r>
        <w:t xml:space="preserve">= -0.872 p&lt;.001; offences against property not involving violence: </w:t>
      </w:r>
      <w:r w:rsidRPr="007C044C">
        <w:rPr>
          <w:i/>
        </w:rPr>
        <w:t>r</w:t>
      </w:r>
      <w:r>
        <w:t xml:space="preserve">= -0.867 P&lt;.001; offences against property involving violence: r=. -0.432 p&lt;.005; larceny: </w:t>
      </w:r>
      <w:r w:rsidRPr="00CD4C14">
        <w:rPr>
          <w:i/>
        </w:rPr>
        <w:t>r</w:t>
      </w:r>
      <w:r>
        <w:t>= -0.851 p=.001.</w:t>
      </w:r>
    </w:p>
  </w:footnote>
  <w:footnote w:id="20">
    <w:p w14:paraId="5AD17925" w14:textId="389DB853" w:rsidR="00186B8A" w:rsidRDefault="000A6F02" w:rsidP="00186B8A">
      <w:pPr>
        <w:pStyle w:val="FootnoteText"/>
        <w:spacing w:line="360" w:lineRule="auto"/>
        <w:jc w:val="both"/>
      </w:pPr>
      <w:r>
        <w:rPr>
          <w:rStyle w:val="FootnoteReference"/>
        </w:rPr>
        <w:footnoteRef/>
      </w:r>
      <w:r>
        <w:t xml:space="preserve"> </w:t>
      </w:r>
      <w:r w:rsidR="00186B8A">
        <w:t xml:space="preserve">In each assize or quarter session during the period, members of a grand jury made the important decision whether there was enough evidence for each trial to go </w:t>
      </w:r>
      <w:r w:rsidR="00CC606B">
        <w:t>proceed</w:t>
      </w:r>
      <w:r w:rsidR="00186B8A">
        <w:t xml:space="preserve">. After assessing each bill of indictment and possibly questioning witnesses for the prosecution, this body of men either returned a ‘true bill’ (meaning that they had decided that there was sufficient evidence for the accused to stand trial) or an ‘ignoramus’, or no true bill, whereupon the bill of indictment was thrown out. For a discussion, see David Bentley, </w:t>
      </w:r>
      <w:r w:rsidR="00186B8A" w:rsidRPr="00186B8A">
        <w:rPr>
          <w:i/>
          <w:iCs/>
        </w:rPr>
        <w:t>English Criminal Justice in the 19th Century</w:t>
      </w:r>
      <w:r w:rsidR="00186B8A">
        <w:t xml:space="preserve"> (London, </w:t>
      </w:r>
      <w:proofErr w:type="spellStart"/>
      <w:r w:rsidR="00186B8A" w:rsidRPr="00186B8A">
        <w:t>Hambledon</w:t>
      </w:r>
      <w:proofErr w:type="spellEnd"/>
      <w:r w:rsidR="00186B8A" w:rsidRPr="00186B8A">
        <w:t xml:space="preserve"> Continuum</w:t>
      </w:r>
      <w:r w:rsidR="00186B8A">
        <w:t>, 1998).</w:t>
      </w:r>
    </w:p>
    <w:p w14:paraId="5D32DBBF" w14:textId="28A0025E" w:rsidR="000A6F02" w:rsidRPr="000A6F02" w:rsidRDefault="00186B8A" w:rsidP="00186B8A">
      <w:pPr>
        <w:pStyle w:val="FootnoteText"/>
        <w:spacing w:line="360" w:lineRule="auto"/>
        <w:rPr>
          <w:lang w:val="en-GB"/>
        </w:rPr>
      </w:pPr>
      <w:r>
        <w:t xml:space="preserve"> </w:t>
      </w:r>
    </w:p>
  </w:footnote>
  <w:footnote w:id="21">
    <w:p w14:paraId="5581324D" w14:textId="4F0918F4" w:rsidR="0049322D" w:rsidRDefault="0049322D" w:rsidP="006A1F13">
      <w:pPr>
        <w:pStyle w:val="FootnoteText"/>
        <w:spacing w:line="360" w:lineRule="auto"/>
        <w:jc w:val="both"/>
      </w:pPr>
      <w:r>
        <w:rPr>
          <w:rStyle w:val="FootnoteReference"/>
        </w:rPr>
        <w:footnoteRef/>
      </w:r>
      <w:r>
        <w:t xml:space="preserve"> </w:t>
      </w:r>
      <w:proofErr w:type="spellStart"/>
      <w:r>
        <w:t>Gatrell</w:t>
      </w:r>
      <w:proofErr w:type="spellEnd"/>
      <w:r>
        <w:t xml:space="preserve"> &amp; Hadden, ‘Criminal statistics and their interpretation’, </w:t>
      </w:r>
      <w:r w:rsidRPr="0028655B">
        <w:rPr>
          <w:i/>
        </w:rPr>
        <w:t>Op. Cit</w:t>
      </w:r>
      <w:r>
        <w:t xml:space="preserve">., See also </w:t>
      </w:r>
      <w:proofErr w:type="spellStart"/>
      <w:r>
        <w:t>Gatrell</w:t>
      </w:r>
      <w:proofErr w:type="spellEnd"/>
      <w:r>
        <w:t xml:space="preserve">, ‘‘The decline of theft and violence’, </w:t>
      </w:r>
      <w:r w:rsidRPr="00787102">
        <w:rPr>
          <w:i/>
        </w:rPr>
        <w:t>Op. Cit</w:t>
      </w:r>
      <w:r>
        <w:t>., Table I.</w:t>
      </w:r>
    </w:p>
  </w:footnote>
  <w:footnote w:id="22">
    <w:p w14:paraId="545AE6F5" w14:textId="44425E6B" w:rsidR="0049322D" w:rsidRDefault="0049322D" w:rsidP="00225D5D">
      <w:pPr>
        <w:pStyle w:val="FootnoteText"/>
        <w:spacing w:line="360" w:lineRule="auto"/>
        <w:jc w:val="both"/>
      </w:pPr>
      <w:r>
        <w:rPr>
          <w:rStyle w:val="FootnoteReference"/>
        </w:rPr>
        <w:footnoteRef/>
      </w:r>
      <w:r>
        <w:t xml:space="preserve"> The figure for 1873 is missing because the table of summary convictions for that year was illegible</w:t>
      </w:r>
      <w:r w:rsidR="00F767E8">
        <w:t xml:space="preserve"> </w:t>
      </w:r>
      <w:r w:rsidR="00F767E8" w:rsidRPr="00F767E8">
        <w:rPr>
          <w:color w:val="FF0000"/>
        </w:rPr>
        <w:t>in Judicial Statistics</w:t>
      </w:r>
      <w:r>
        <w:t xml:space="preserve">.  </w:t>
      </w:r>
    </w:p>
  </w:footnote>
  <w:footnote w:id="23">
    <w:p w14:paraId="0D58AD51" w14:textId="60744243" w:rsidR="0049322D" w:rsidRDefault="0049322D" w:rsidP="00EC2B0D">
      <w:pPr>
        <w:pStyle w:val="FootnoteText"/>
        <w:spacing w:line="360" w:lineRule="auto"/>
      </w:pPr>
      <w:r>
        <w:rPr>
          <w:rStyle w:val="FootnoteReference"/>
        </w:rPr>
        <w:footnoteRef/>
      </w:r>
      <w:r>
        <w:t xml:space="preserve"> </w:t>
      </w:r>
      <w:proofErr w:type="spellStart"/>
      <w:r>
        <w:t>Gatrell</w:t>
      </w:r>
      <w:proofErr w:type="spellEnd"/>
      <w:r>
        <w:t xml:space="preserve">, ‘‘The decline of theft and violence’, </w:t>
      </w:r>
      <w:r w:rsidRPr="006A1F13">
        <w:rPr>
          <w:i/>
        </w:rPr>
        <w:t>Op. Cit</w:t>
      </w:r>
      <w:r>
        <w:t xml:space="preserve">., Table III. </w:t>
      </w:r>
    </w:p>
  </w:footnote>
  <w:footnote w:id="24">
    <w:p w14:paraId="31D43FF0" w14:textId="7DC452E2" w:rsidR="0049322D" w:rsidRPr="001E26D9" w:rsidRDefault="0049322D" w:rsidP="00CA6484">
      <w:pPr>
        <w:pStyle w:val="FootnoteText"/>
        <w:spacing w:line="360" w:lineRule="auto"/>
      </w:pPr>
      <w:r w:rsidRPr="001E26D9">
        <w:rPr>
          <w:rStyle w:val="FootnoteReference"/>
        </w:rPr>
        <w:footnoteRef/>
      </w:r>
      <w:r w:rsidRPr="001E26D9">
        <w:t xml:space="preserve"> Philips, </w:t>
      </w:r>
      <w:r w:rsidRPr="001E26D9">
        <w:rPr>
          <w:bCs/>
          <w:i/>
          <w:lang w:val="en-GB"/>
        </w:rPr>
        <w:t>Crime and authority in Victorian England</w:t>
      </w:r>
      <w:r w:rsidRPr="001E26D9">
        <w:rPr>
          <w:i/>
        </w:rPr>
        <w:t>, Op. Cit</w:t>
      </w:r>
      <w:r>
        <w:t xml:space="preserve">., Tables 16, 27 &amp; 35; </w:t>
      </w:r>
      <w:r w:rsidRPr="005C0E7C">
        <w:t>Taylor,</w:t>
      </w:r>
      <w:r w:rsidRPr="005C0E7C">
        <w:rPr>
          <w:i/>
        </w:rPr>
        <w:t xml:space="preserve"> </w:t>
      </w:r>
      <w:r w:rsidRPr="005C0E7C">
        <w:t xml:space="preserve">‘Crime and policing in early Victorian </w:t>
      </w:r>
      <w:proofErr w:type="spellStart"/>
      <w:r w:rsidRPr="005C0E7C">
        <w:t>Middlesborough</w:t>
      </w:r>
      <w:proofErr w:type="spellEnd"/>
      <w:r>
        <w:t xml:space="preserve">’, </w:t>
      </w:r>
      <w:r w:rsidRPr="00FD4A26">
        <w:rPr>
          <w:i/>
        </w:rPr>
        <w:t>Op. Cit</w:t>
      </w:r>
      <w:r>
        <w:t>., Table III</w:t>
      </w:r>
    </w:p>
  </w:footnote>
  <w:footnote w:id="25">
    <w:p w14:paraId="37B7F274" w14:textId="4D9D453F" w:rsidR="00300ACB" w:rsidRPr="00300ACB" w:rsidRDefault="00300ACB" w:rsidP="00300ACB">
      <w:pPr>
        <w:pStyle w:val="FootnoteText"/>
        <w:spacing w:line="360" w:lineRule="auto"/>
        <w:rPr>
          <w:lang w:val="en-GB"/>
        </w:rPr>
      </w:pPr>
      <w:r>
        <w:rPr>
          <w:rStyle w:val="FootnoteReference"/>
        </w:rPr>
        <w:footnoteRef/>
      </w:r>
      <w:r>
        <w:t xml:space="preserve"> </w:t>
      </w:r>
      <w:r>
        <w:rPr>
          <w:lang w:val="en-GB"/>
        </w:rPr>
        <w:t xml:space="preserve">See </w:t>
      </w:r>
      <w:r w:rsidRPr="00300ACB">
        <w:t xml:space="preserve">Bentley, </w:t>
      </w:r>
      <w:r w:rsidRPr="00300ACB">
        <w:rPr>
          <w:i/>
          <w:iCs/>
        </w:rPr>
        <w:t>English Criminal Justice in the 19th Century</w:t>
      </w:r>
      <w:r>
        <w:rPr>
          <w:i/>
          <w:iCs/>
        </w:rPr>
        <w:t xml:space="preserve">, </w:t>
      </w:r>
      <w:r w:rsidRPr="00300ACB">
        <w:t>(</w:t>
      </w:r>
      <w:r>
        <w:rPr>
          <w:i/>
          <w:iCs/>
        </w:rPr>
        <w:t>Op. Cit.</w:t>
      </w:r>
      <w:r w:rsidRPr="00300ACB">
        <w:t>),</w:t>
      </w:r>
      <w:r>
        <w:rPr>
          <w:i/>
          <w:iCs/>
        </w:rPr>
        <w:t xml:space="preserve"> </w:t>
      </w:r>
      <w:r w:rsidRPr="00300ACB">
        <w:t>chapter 11.</w:t>
      </w:r>
      <w:r>
        <w:rPr>
          <w:i/>
          <w:iCs/>
        </w:rPr>
        <w:t xml:space="preserve"> </w:t>
      </w:r>
    </w:p>
  </w:footnote>
  <w:footnote w:id="26">
    <w:p w14:paraId="52568BC1" w14:textId="76200886" w:rsidR="0049322D" w:rsidRPr="001E26D9" w:rsidRDefault="0049322D" w:rsidP="00300ACB">
      <w:pPr>
        <w:pStyle w:val="FootnoteText"/>
        <w:spacing w:line="360" w:lineRule="auto"/>
      </w:pPr>
      <w:r w:rsidRPr="001E26D9">
        <w:rPr>
          <w:rStyle w:val="FootnoteReference"/>
        </w:rPr>
        <w:footnoteRef/>
      </w:r>
      <w:r w:rsidRPr="001E26D9">
        <w:t xml:space="preserve"> Philips, </w:t>
      </w:r>
      <w:r w:rsidRPr="001E26D9">
        <w:rPr>
          <w:bCs/>
          <w:i/>
          <w:lang w:val="en-GB"/>
        </w:rPr>
        <w:t>Crime and authority in Victorian England</w:t>
      </w:r>
      <w:r w:rsidRPr="001E26D9">
        <w:rPr>
          <w:i/>
        </w:rPr>
        <w:t>, Op. Cit</w:t>
      </w:r>
      <w:r w:rsidRPr="001E26D9">
        <w:t>., Table 25.</w:t>
      </w:r>
    </w:p>
  </w:footnote>
  <w:footnote w:id="27">
    <w:p w14:paraId="77324B2B" w14:textId="77777777" w:rsidR="0049322D" w:rsidRPr="00764038" w:rsidRDefault="0049322D" w:rsidP="00225D5D">
      <w:pPr>
        <w:pStyle w:val="FootnoteText"/>
        <w:spacing w:line="360" w:lineRule="auto"/>
        <w:jc w:val="both"/>
      </w:pPr>
      <w:r w:rsidRPr="00764038">
        <w:rPr>
          <w:rStyle w:val="FootnoteReference"/>
        </w:rPr>
        <w:footnoteRef/>
      </w:r>
      <w:r w:rsidRPr="00764038">
        <w:t xml:space="preserve"> The 387 trials that took place at the 1842 Special Session and the Birkenhead Quarter Sessions (1882-) are not included.</w:t>
      </w:r>
    </w:p>
  </w:footnote>
  <w:footnote w:id="28">
    <w:p w14:paraId="55D2B9EF" w14:textId="4372CDDD" w:rsidR="0049322D" w:rsidRDefault="0049322D" w:rsidP="003E111B">
      <w:pPr>
        <w:pStyle w:val="FootnoteText"/>
        <w:spacing w:line="360" w:lineRule="auto"/>
        <w:jc w:val="both"/>
      </w:pPr>
      <w:r>
        <w:rPr>
          <w:rStyle w:val="FootnoteReference"/>
        </w:rPr>
        <w:footnoteRef/>
      </w:r>
      <w:r>
        <w:t xml:space="preserve"> See </w:t>
      </w:r>
      <w:r w:rsidRPr="003E111B">
        <w:rPr>
          <w:bCs/>
          <w:lang w:val="en-GB"/>
        </w:rPr>
        <w:t>Barrett, ‘The system of criminal justice in Cheshire</w:t>
      </w:r>
      <w:r>
        <w:rPr>
          <w:bCs/>
          <w:lang w:val="en-GB"/>
        </w:rPr>
        <w:t xml:space="preserve">’, </w:t>
      </w:r>
      <w:r w:rsidRPr="003E111B">
        <w:rPr>
          <w:bCs/>
          <w:i/>
          <w:lang w:val="en-GB"/>
        </w:rPr>
        <w:t>Op. Cit</w:t>
      </w:r>
      <w:r>
        <w:rPr>
          <w:bCs/>
          <w:lang w:val="en-GB"/>
        </w:rPr>
        <w:t>., Tables 6.10 and 6.11 for breakdowns of guilty pleas by age, gender and court at Cheshire county sessions between 1838-42 and 1868-72.</w:t>
      </w:r>
    </w:p>
  </w:footnote>
  <w:footnote w:id="29">
    <w:p w14:paraId="432B8AFF" w14:textId="19B8F7BA" w:rsidR="0049322D" w:rsidRPr="00787102" w:rsidRDefault="0049322D" w:rsidP="003E111B">
      <w:pPr>
        <w:pStyle w:val="FootnoteText"/>
        <w:spacing w:line="360" w:lineRule="auto"/>
        <w:rPr>
          <w:color w:val="FF0000"/>
        </w:rPr>
      </w:pPr>
      <w:r w:rsidRPr="001E26D9">
        <w:rPr>
          <w:rStyle w:val="FootnoteReference"/>
        </w:rPr>
        <w:footnoteRef/>
      </w:r>
      <w:r w:rsidRPr="001E26D9">
        <w:t xml:space="preserve"> </w:t>
      </w:r>
      <w:r w:rsidRPr="001E26D9">
        <w:rPr>
          <w:i/>
        </w:rPr>
        <w:t>Tables showing the number of criminal offenders in the year</w:t>
      </w:r>
      <w:r w:rsidRPr="001E26D9">
        <w:t xml:space="preserve"> 1844 (1845), p. 9.</w:t>
      </w:r>
    </w:p>
  </w:footnote>
  <w:footnote w:id="30">
    <w:p w14:paraId="7F8E9A9F" w14:textId="5C195C3F" w:rsidR="0049322D" w:rsidRPr="00347D0F" w:rsidRDefault="0049322D" w:rsidP="003E111B">
      <w:pPr>
        <w:pStyle w:val="FootnoteText"/>
        <w:spacing w:line="360" w:lineRule="auto"/>
        <w:jc w:val="both"/>
        <w:rPr>
          <w:lang w:val="en-GB"/>
        </w:rPr>
      </w:pPr>
      <w:r w:rsidRPr="00347D0F">
        <w:rPr>
          <w:rStyle w:val="FootnoteReference"/>
        </w:rPr>
        <w:footnoteRef/>
      </w:r>
      <w:r w:rsidRPr="00347D0F">
        <w:t xml:space="preserve"> Over the period, 90% and 83% of those committed to trial for uttering and having in possession counterfeit coin respectively were successfully prosecuted. </w:t>
      </w:r>
    </w:p>
  </w:footnote>
  <w:footnote w:id="31">
    <w:p w14:paraId="2942B534" w14:textId="6B6CB71C" w:rsidR="0049322D" w:rsidRPr="001E26D9" w:rsidRDefault="0049322D" w:rsidP="009D18B0">
      <w:pPr>
        <w:pStyle w:val="FootnoteText"/>
        <w:spacing w:line="360" w:lineRule="auto"/>
        <w:jc w:val="both"/>
      </w:pPr>
      <w:r w:rsidRPr="001E26D9">
        <w:rPr>
          <w:rStyle w:val="FootnoteReference"/>
        </w:rPr>
        <w:footnoteRef/>
      </w:r>
      <w:r w:rsidRPr="001E26D9">
        <w:t xml:space="preserve"> Martin J. Wiener, </w:t>
      </w:r>
      <w:r w:rsidRPr="001E26D9">
        <w:rPr>
          <w:i/>
        </w:rPr>
        <w:t>Men of blood: violence, manliness and criminal justice in Victorian England</w:t>
      </w:r>
      <w:r w:rsidRPr="001E26D9">
        <w:t xml:space="preserve"> (Cambridge, Cambridge University Press, 2004). See also Anna Clark, </w:t>
      </w:r>
      <w:r w:rsidRPr="001E26D9">
        <w:rPr>
          <w:i/>
        </w:rPr>
        <w:t>Women’s silence, men’s violence: Sexual assault in England 1770–1845</w:t>
      </w:r>
      <w:r w:rsidRPr="001E26D9">
        <w:t xml:space="preserve"> (London, Pandora, 1987).</w:t>
      </w:r>
    </w:p>
  </w:footnote>
  <w:footnote w:id="32">
    <w:p w14:paraId="121B84D2" w14:textId="7B9E74AB" w:rsidR="0049322D" w:rsidRPr="001E26D9" w:rsidRDefault="0049322D" w:rsidP="0051359D">
      <w:pPr>
        <w:pStyle w:val="FootnoteText"/>
        <w:spacing w:line="360" w:lineRule="auto"/>
        <w:jc w:val="both"/>
      </w:pPr>
      <w:r w:rsidRPr="001E26D9">
        <w:rPr>
          <w:rStyle w:val="FootnoteReference"/>
        </w:rPr>
        <w:footnoteRef/>
      </w:r>
      <w:r w:rsidRPr="001E26D9">
        <w:t xml:space="preserve"> Conley, </w:t>
      </w:r>
      <w:r w:rsidRPr="001E26D9">
        <w:rPr>
          <w:i/>
        </w:rPr>
        <w:t>The unwritten law</w:t>
      </w:r>
      <w:r>
        <w:rPr>
          <w:i/>
        </w:rPr>
        <w:t xml:space="preserve">, Op. Cit., </w:t>
      </w:r>
      <w:r w:rsidRPr="001E26D9">
        <w:t xml:space="preserve">p. 95. </w:t>
      </w:r>
    </w:p>
  </w:footnote>
  <w:footnote w:id="33">
    <w:p w14:paraId="28EF9F23" w14:textId="7B4BC7E8" w:rsidR="0049322D" w:rsidRPr="001E26D9" w:rsidRDefault="0049322D" w:rsidP="003E111B">
      <w:pPr>
        <w:pStyle w:val="FootnoteText"/>
        <w:spacing w:line="360" w:lineRule="auto"/>
      </w:pPr>
      <w:r w:rsidRPr="001E26D9">
        <w:rPr>
          <w:rStyle w:val="FootnoteReference"/>
        </w:rPr>
        <w:footnoteRef/>
      </w:r>
      <w:r w:rsidRPr="001E26D9">
        <w:t xml:space="preserve"> Conley, </w:t>
      </w:r>
      <w:r w:rsidRPr="001E26D9">
        <w:rPr>
          <w:i/>
        </w:rPr>
        <w:t>The unwritten law, Op. Cit</w:t>
      </w:r>
      <w:r w:rsidRPr="001E26D9">
        <w:t>., Table 3-1.</w:t>
      </w:r>
    </w:p>
  </w:footnote>
  <w:footnote w:id="34">
    <w:p w14:paraId="2D40DF6C" w14:textId="77B51884" w:rsidR="00CA7DBE" w:rsidRDefault="00CA7DBE" w:rsidP="00CA7DBE">
      <w:pPr>
        <w:pStyle w:val="FootnoteText"/>
        <w:spacing w:line="360" w:lineRule="auto"/>
      </w:pPr>
      <w:r>
        <w:rPr>
          <w:rStyle w:val="FootnoteReference"/>
        </w:rPr>
        <w:footnoteRef/>
      </w:r>
      <w:r>
        <w:t xml:space="preserve"> In 1864, the minimum sentence from penal servitude changed from three to five years, and from five to seven years for repeat offenders. </w:t>
      </w:r>
    </w:p>
    <w:p w14:paraId="51770757" w14:textId="797A6F25" w:rsidR="00CA7DBE" w:rsidRPr="00CA7DBE" w:rsidRDefault="00CA7DBE">
      <w:pPr>
        <w:pStyle w:val="FootnoteText"/>
        <w:rPr>
          <w:lang w:val="en-GB"/>
        </w:rPr>
      </w:pPr>
    </w:p>
  </w:footnote>
  <w:footnote w:id="35">
    <w:p w14:paraId="75E51760" w14:textId="77777777" w:rsidR="0049322D" w:rsidRPr="00415802" w:rsidRDefault="0049322D" w:rsidP="00225D5D">
      <w:pPr>
        <w:spacing w:line="360" w:lineRule="auto"/>
        <w:jc w:val="both"/>
      </w:pPr>
      <w:r w:rsidRPr="00415802">
        <w:rPr>
          <w:rStyle w:val="FootnoteReference"/>
        </w:rPr>
        <w:footnoteRef/>
      </w:r>
      <w:r w:rsidRPr="00415802">
        <w:t xml:space="preserve"> 13 are missing: 1843, 1844, 1850, 1853 (6), 1860, 1862 (2) &amp; 1877</w:t>
      </w:r>
    </w:p>
  </w:footnote>
  <w:footnote w:id="36">
    <w:p w14:paraId="70BEA5CC" w14:textId="77777777" w:rsidR="0049322D" w:rsidRDefault="0049322D" w:rsidP="00225D5D">
      <w:pPr>
        <w:pStyle w:val="FootnoteText"/>
        <w:spacing w:line="360" w:lineRule="auto"/>
      </w:pPr>
      <w:r>
        <w:rPr>
          <w:rStyle w:val="FootnoteReference"/>
        </w:rPr>
        <w:footnoteRef/>
      </w:r>
      <w:r>
        <w:t xml:space="preserve"> CF </w:t>
      </w:r>
      <w:r w:rsidRPr="003E111B">
        <w:rPr>
          <w:bCs/>
          <w:lang w:val="en-GB"/>
        </w:rPr>
        <w:t>Barrett, ‘The system of criminal justice in Cheshire</w:t>
      </w:r>
      <w:r>
        <w:rPr>
          <w:bCs/>
          <w:lang w:val="en-GB"/>
        </w:rPr>
        <w:t xml:space="preserve">’, </w:t>
      </w:r>
      <w:r w:rsidRPr="003E111B">
        <w:rPr>
          <w:bCs/>
          <w:i/>
          <w:lang w:val="en-GB"/>
        </w:rPr>
        <w:t>Op. Cit</w:t>
      </w:r>
      <w:r>
        <w:rPr>
          <w:bCs/>
          <w:lang w:val="en-GB"/>
        </w:rPr>
        <w:t>., Chart 6.4.</w:t>
      </w:r>
    </w:p>
  </w:footnote>
  <w:footnote w:id="37">
    <w:p w14:paraId="15B29EB3" w14:textId="747706A5" w:rsidR="0049322D" w:rsidRPr="00787102" w:rsidRDefault="0049322D" w:rsidP="003E111B">
      <w:pPr>
        <w:pStyle w:val="FootnoteText"/>
        <w:spacing w:line="360" w:lineRule="auto"/>
        <w:jc w:val="both"/>
        <w:rPr>
          <w:color w:val="FF0000"/>
        </w:rPr>
      </w:pPr>
      <w:r w:rsidRPr="00415802">
        <w:rPr>
          <w:rStyle w:val="FootnoteReference"/>
        </w:rPr>
        <w:footnoteRef/>
      </w:r>
      <w:r w:rsidRPr="00415802">
        <w:t xml:space="preserve"> For a survey of these changes, see Helen Johnston, </w:t>
      </w:r>
      <w:r w:rsidRPr="00415802">
        <w:rPr>
          <w:i/>
        </w:rPr>
        <w:t>Crime in England 1815-1880</w:t>
      </w:r>
      <w:r w:rsidRPr="00415802">
        <w:t xml:space="preserve"> (London, Routledge, 2015), chapters 6, 6, 7 and 9.</w:t>
      </w:r>
    </w:p>
  </w:footnote>
  <w:footnote w:id="38">
    <w:p w14:paraId="2AF8FFD0" w14:textId="0C75FEE8" w:rsidR="00401455" w:rsidRPr="00401455" w:rsidRDefault="00401455" w:rsidP="00401455">
      <w:pPr>
        <w:pStyle w:val="FootnoteText"/>
        <w:spacing w:line="360" w:lineRule="auto"/>
        <w:rPr>
          <w:lang w:val="en-GB"/>
        </w:rPr>
      </w:pPr>
      <w:r>
        <w:rPr>
          <w:rStyle w:val="FootnoteReference"/>
        </w:rPr>
        <w:footnoteRef/>
      </w:r>
      <w:r>
        <w:t xml:space="preserve"> For a discussion, see Godfrey, Cox &amp; </w:t>
      </w:r>
      <w:proofErr w:type="spellStart"/>
      <w:r>
        <w:t>Farrall</w:t>
      </w:r>
      <w:proofErr w:type="spellEnd"/>
      <w:r>
        <w:t xml:space="preserve">, </w:t>
      </w:r>
      <w:r w:rsidRPr="00401455">
        <w:rPr>
          <w:i/>
          <w:iCs/>
        </w:rPr>
        <w:t>Serious Offenders</w:t>
      </w:r>
      <w:r>
        <w:t xml:space="preserve">, Op. Cit., chapter 3.  </w:t>
      </w:r>
    </w:p>
  </w:footnote>
  <w:footnote w:id="39">
    <w:p w14:paraId="1706C0BB" w14:textId="152DA351" w:rsidR="0049322D" w:rsidRPr="001E26D9" w:rsidRDefault="0049322D" w:rsidP="00401455">
      <w:pPr>
        <w:pStyle w:val="FootnoteText"/>
        <w:spacing w:line="360" w:lineRule="auto"/>
        <w:jc w:val="both"/>
      </w:pPr>
      <w:r w:rsidRPr="001E26D9">
        <w:rPr>
          <w:rStyle w:val="FootnoteReference"/>
        </w:rPr>
        <w:footnoteRef/>
      </w:r>
      <w:r w:rsidRPr="001E26D9">
        <w:t xml:space="preserve"> Old Bailey source:  </w:t>
      </w:r>
      <w:hyperlink r:id="rId2" w:history="1">
        <w:r w:rsidRPr="001E26D9">
          <w:rPr>
            <w:rStyle w:val="Hyperlink"/>
            <w:color w:val="auto"/>
            <w:lang w:val="en-GB"/>
          </w:rPr>
          <w:t>https://www.oldbaileyonline.org</w:t>
        </w:r>
      </w:hyperlink>
      <w:r w:rsidRPr="001E26D9">
        <w:rPr>
          <w:rStyle w:val="Hyperlink"/>
          <w:color w:val="auto"/>
          <w:lang w:val="en-GB"/>
        </w:rPr>
        <w:t xml:space="preserve">; </w:t>
      </w:r>
      <w:r w:rsidRPr="001E26D9">
        <w:t xml:space="preserve">Philips, </w:t>
      </w:r>
      <w:r w:rsidRPr="001E26D9">
        <w:rPr>
          <w:bCs/>
          <w:i/>
          <w:lang w:val="en-GB"/>
        </w:rPr>
        <w:t>Crime and authority in Victorian England</w:t>
      </w:r>
      <w:r w:rsidRPr="001E26D9">
        <w:rPr>
          <w:i/>
        </w:rPr>
        <w:t>, Op. Cit</w:t>
      </w:r>
      <w:r w:rsidRPr="001E26D9">
        <w:t xml:space="preserve">., Table 17; Conley, </w:t>
      </w:r>
      <w:r w:rsidRPr="001E26D9">
        <w:rPr>
          <w:i/>
        </w:rPr>
        <w:t>The unwritten law, Op. Cit</w:t>
      </w:r>
      <w:r w:rsidRPr="001E26D9">
        <w:t>.</w:t>
      </w:r>
    </w:p>
  </w:footnote>
  <w:footnote w:id="40">
    <w:p w14:paraId="2750792C" w14:textId="77777777" w:rsidR="0049322D" w:rsidRPr="001E26D9" w:rsidRDefault="0049322D" w:rsidP="00225D5D">
      <w:pPr>
        <w:pStyle w:val="FootnoteText"/>
        <w:spacing w:line="360" w:lineRule="auto"/>
        <w:rPr>
          <w:lang w:val="en-GB"/>
        </w:rPr>
      </w:pPr>
      <w:r w:rsidRPr="001E26D9">
        <w:rPr>
          <w:rStyle w:val="FootnoteReference"/>
        </w:rPr>
        <w:footnoteRef/>
      </w:r>
      <w:r w:rsidRPr="001E26D9">
        <w:t xml:space="preserve"> </w:t>
      </w:r>
      <w:hyperlink r:id="rId3" w:history="1">
        <w:r w:rsidRPr="001E26D9">
          <w:rPr>
            <w:rStyle w:val="Hyperlink"/>
            <w:lang w:val="en-GB"/>
          </w:rPr>
          <w:t>https://www.oldbaileyonline.org</w:t>
        </w:r>
      </w:hyperlink>
      <w:r w:rsidRPr="001E26D9">
        <w:rPr>
          <w:lang w:val="en-GB"/>
        </w:rPr>
        <w:t xml:space="preserve"> </w:t>
      </w:r>
      <w:r w:rsidRPr="001E26D9">
        <w:rPr>
          <w:i/>
        </w:rPr>
        <w:t>Op. Cit.</w:t>
      </w:r>
    </w:p>
  </w:footnote>
  <w:footnote w:id="41">
    <w:p w14:paraId="20CC48DE" w14:textId="39BC4CBD" w:rsidR="0049322D" w:rsidRPr="00787102" w:rsidRDefault="0049322D" w:rsidP="00323834">
      <w:pPr>
        <w:pStyle w:val="FootnoteText"/>
        <w:spacing w:line="360" w:lineRule="auto"/>
        <w:jc w:val="both"/>
        <w:rPr>
          <w:color w:val="FF0000"/>
        </w:rPr>
      </w:pPr>
      <w:r w:rsidRPr="001E26D9">
        <w:rPr>
          <w:rStyle w:val="FootnoteReference"/>
        </w:rPr>
        <w:footnoteRef/>
      </w:r>
      <w:r w:rsidRPr="001E26D9">
        <w:t xml:space="preserve"> Malcolm M. Feeley and Deborah Little, ‘The vanishing female: The decline of women in the criminal justice process, 1687–1912’, </w:t>
      </w:r>
      <w:r w:rsidRPr="001E26D9">
        <w:rPr>
          <w:i/>
        </w:rPr>
        <w:t>Law and Society Review</w:t>
      </w:r>
      <w:r w:rsidRPr="001E26D9">
        <w:t xml:space="preserve">, vol. 25, no. 4 (1991), 719–57. For a comparative analysis see also Malcolm Feeley, ‘The decline of women in the criminal justice process: A comparative history’, </w:t>
      </w:r>
      <w:r w:rsidRPr="001E26D9">
        <w:rPr>
          <w:i/>
        </w:rPr>
        <w:t>Criminal Justice History</w:t>
      </w:r>
      <w:r w:rsidRPr="001E26D9">
        <w:t>, vol. 15 (1994), 235–74.</w:t>
      </w:r>
    </w:p>
  </w:footnote>
  <w:footnote w:id="42">
    <w:p w14:paraId="3CB04840" w14:textId="35466614" w:rsidR="0049322D" w:rsidRPr="001E26D9" w:rsidRDefault="0049322D" w:rsidP="00641880">
      <w:pPr>
        <w:pStyle w:val="FootnoteText"/>
        <w:spacing w:line="360" w:lineRule="auto"/>
        <w:jc w:val="both"/>
      </w:pPr>
      <w:r w:rsidRPr="001E26D9">
        <w:rPr>
          <w:rStyle w:val="FootnoteReference"/>
        </w:rPr>
        <w:footnoteRef/>
      </w:r>
      <w:r w:rsidRPr="001E26D9">
        <w:t xml:space="preserve"> Peter King, ‘Gender and recorded crime: The long-term impact of female offenders on prosecution rates across England and Wales 1750–1850’, in </w:t>
      </w:r>
      <w:r w:rsidRPr="001E26D9">
        <w:rPr>
          <w:i/>
        </w:rPr>
        <w:t>Crime and law in England, 1750–1850: Remaking justice from the margins (Cambridge, Cambridge University Press, 2009),</w:t>
      </w:r>
      <w:r w:rsidRPr="001E26D9">
        <w:t xml:space="preserve"> 196–220, Tables 6.1, 6.2, and 6.4; John Walliss, </w:t>
      </w:r>
      <w:r w:rsidRPr="001E26D9">
        <w:rPr>
          <w:i/>
        </w:rPr>
        <w:t>The Bloody Code in England and Wales, 1760-1830</w:t>
      </w:r>
      <w:r w:rsidRPr="001E26D9">
        <w:t xml:space="preserve"> (Basingstoke, Palgrave Macmillan, 2018), Figures 2.6 &amp; 4.6. </w:t>
      </w:r>
    </w:p>
  </w:footnote>
  <w:footnote w:id="43">
    <w:p w14:paraId="37323502" w14:textId="3D4DBA5D" w:rsidR="0049322D" w:rsidRPr="00787102" w:rsidRDefault="0049322D" w:rsidP="00D341AA">
      <w:pPr>
        <w:pStyle w:val="FootnoteText"/>
        <w:spacing w:line="360" w:lineRule="auto"/>
        <w:jc w:val="both"/>
        <w:rPr>
          <w:color w:val="FF0000"/>
        </w:rPr>
      </w:pPr>
      <w:r w:rsidRPr="001E26D9">
        <w:rPr>
          <w:rStyle w:val="FootnoteReference"/>
        </w:rPr>
        <w:footnoteRef/>
      </w:r>
      <w:r w:rsidRPr="001E26D9">
        <w:t xml:space="preserve"> Susan Elizabeth Grace, </w:t>
      </w:r>
      <w:r w:rsidRPr="001E26D9">
        <w:rPr>
          <w:i/>
        </w:rPr>
        <w:t>Female criminality in York and Hull, 1830-1870</w:t>
      </w:r>
      <w:r w:rsidRPr="001E26D9">
        <w:t xml:space="preserve"> (PhD thesis, University of York, 1998), Figure 4.5. See also Figure 6.1 for Hull quarter sessions. Carolyn Conley also noted a decline in Kent between 1859-80, but did not provide figures.</w:t>
      </w:r>
      <w:r w:rsidRPr="00787102">
        <w:rPr>
          <w:color w:val="FF0000"/>
        </w:rPr>
        <w:t xml:space="preserve"> </w:t>
      </w:r>
    </w:p>
  </w:footnote>
  <w:footnote w:id="44">
    <w:p w14:paraId="6602FE50" w14:textId="77777777" w:rsidR="0049322D" w:rsidRPr="001E26D9" w:rsidRDefault="0049322D" w:rsidP="00D341AA">
      <w:pPr>
        <w:pStyle w:val="FootnoteText"/>
        <w:spacing w:line="360" w:lineRule="auto"/>
        <w:jc w:val="both"/>
      </w:pPr>
      <w:r w:rsidRPr="001E26D9">
        <w:rPr>
          <w:rStyle w:val="FootnoteReference"/>
        </w:rPr>
        <w:footnoteRef/>
      </w:r>
      <w:r w:rsidRPr="001E26D9">
        <w:t xml:space="preserve"> Shani </w:t>
      </w:r>
      <w:proofErr w:type="spellStart"/>
      <w:r w:rsidRPr="001E26D9">
        <w:t>D’Cruze</w:t>
      </w:r>
      <w:proofErr w:type="spellEnd"/>
      <w:r w:rsidRPr="001E26D9">
        <w:t xml:space="preserve"> &amp; Louise A. Jackson, Women, </w:t>
      </w:r>
      <w:r w:rsidRPr="001E26D9">
        <w:rPr>
          <w:i/>
        </w:rPr>
        <w:t>Crime and Justice in England since 1660</w:t>
      </w:r>
      <w:r w:rsidRPr="001E26D9">
        <w:t xml:space="preserve"> (Basingstoke, Palgrave Macmillan, 2009), Figure 1.1; </w:t>
      </w:r>
      <w:r w:rsidRPr="001E26D9">
        <w:rPr>
          <w:i/>
        </w:rPr>
        <w:t>Drew D. Gray, Crime, Policing and punishment in England, 1660-1914</w:t>
      </w:r>
      <w:r w:rsidRPr="001E26D9">
        <w:t xml:space="preserve"> (London, Bloomsbury, 2016).</w:t>
      </w:r>
    </w:p>
  </w:footnote>
  <w:footnote w:id="45">
    <w:p w14:paraId="16BA065C" w14:textId="3C049B1A" w:rsidR="0049322D" w:rsidRPr="001E26D9" w:rsidRDefault="0049322D" w:rsidP="00CB2542">
      <w:pPr>
        <w:pStyle w:val="FootnoteText"/>
        <w:spacing w:line="360" w:lineRule="auto"/>
        <w:jc w:val="both"/>
      </w:pPr>
      <w:r w:rsidRPr="001E26D9">
        <w:rPr>
          <w:rStyle w:val="FootnoteReference"/>
        </w:rPr>
        <w:footnoteRef/>
      </w:r>
      <w:r w:rsidRPr="001E26D9">
        <w:t xml:space="preserve"> Lucia </w:t>
      </w:r>
      <w:proofErr w:type="spellStart"/>
      <w:r w:rsidRPr="001E26D9">
        <w:t>Zedner</w:t>
      </w:r>
      <w:proofErr w:type="spellEnd"/>
      <w:r w:rsidRPr="001E26D9">
        <w:t xml:space="preserve">, </w:t>
      </w:r>
      <w:r w:rsidRPr="001E26D9">
        <w:rPr>
          <w:i/>
        </w:rPr>
        <w:t>Women, crime and custody in Victorian England</w:t>
      </w:r>
      <w:r w:rsidRPr="001E26D9">
        <w:t xml:space="preserve"> (Oxford, Oxford University Press, 1991)</w:t>
      </w:r>
      <w:r>
        <w:t>, Table 11</w:t>
      </w:r>
    </w:p>
  </w:footnote>
  <w:footnote w:id="46">
    <w:p w14:paraId="3D492130" w14:textId="44FFAFCA" w:rsidR="0049322D" w:rsidRPr="001E26D9" w:rsidRDefault="0049322D" w:rsidP="00810372">
      <w:pPr>
        <w:pStyle w:val="FootnoteText"/>
        <w:spacing w:line="360" w:lineRule="auto"/>
        <w:jc w:val="both"/>
      </w:pPr>
      <w:r w:rsidRPr="001E26D9">
        <w:rPr>
          <w:rStyle w:val="FootnoteReference"/>
        </w:rPr>
        <w:footnoteRef/>
      </w:r>
      <w:r w:rsidRPr="001E26D9">
        <w:t xml:space="preserve"> </w:t>
      </w:r>
      <w:r w:rsidR="00114B2F">
        <w:t xml:space="preserve">William D. Morrison, </w:t>
      </w:r>
      <w:r w:rsidR="00114B2F" w:rsidRPr="00114B2F">
        <w:rPr>
          <w:i/>
          <w:iCs/>
        </w:rPr>
        <w:t>Crime and its causes</w:t>
      </w:r>
      <w:r w:rsidR="00114B2F">
        <w:t xml:space="preserve"> (London, Swan </w:t>
      </w:r>
      <w:proofErr w:type="spellStart"/>
      <w:r w:rsidR="00114B2F">
        <w:t>Sonnenschein</w:t>
      </w:r>
      <w:proofErr w:type="spellEnd"/>
      <w:r w:rsidR="00114B2F">
        <w:t xml:space="preserve"> &amp; Co, 1902), 121</w:t>
      </w:r>
    </w:p>
  </w:footnote>
  <w:footnote w:id="47">
    <w:p w14:paraId="69E91CFE" w14:textId="4A8A4A35" w:rsidR="00810372" w:rsidRPr="00810372" w:rsidRDefault="00810372" w:rsidP="00810372">
      <w:pPr>
        <w:pStyle w:val="FootnoteText"/>
        <w:spacing w:line="360" w:lineRule="auto"/>
        <w:rPr>
          <w:lang w:val="en-GB"/>
        </w:rPr>
      </w:pPr>
      <w:r>
        <w:rPr>
          <w:rStyle w:val="FootnoteReference"/>
        </w:rPr>
        <w:footnoteRef/>
      </w:r>
      <w:r>
        <w:t xml:space="preserve"> </w:t>
      </w:r>
      <w:r w:rsidRPr="00810372">
        <w:t xml:space="preserve">William D. Morrison, </w:t>
      </w:r>
      <w:r w:rsidRPr="00810372">
        <w:rPr>
          <w:i/>
          <w:iCs/>
        </w:rPr>
        <w:t>Crime and its causes</w:t>
      </w:r>
      <w:r>
        <w:rPr>
          <w:i/>
          <w:iCs/>
        </w:rPr>
        <w:t xml:space="preserve">, ibid., </w:t>
      </w:r>
      <w:r w:rsidRPr="00810372">
        <w:t>121-2.</w:t>
      </w:r>
    </w:p>
  </w:footnote>
  <w:footnote w:id="48">
    <w:p w14:paraId="232E0EFC" w14:textId="3FF73AC8" w:rsidR="0049322D" w:rsidRPr="00787102" w:rsidRDefault="0049322D" w:rsidP="008D19AB">
      <w:pPr>
        <w:pStyle w:val="FootnoteText"/>
        <w:spacing w:line="360" w:lineRule="auto"/>
        <w:jc w:val="both"/>
        <w:rPr>
          <w:color w:val="FF0000"/>
        </w:rPr>
      </w:pPr>
      <w:r w:rsidRPr="001E26D9">
        <w:rPr>
          <w:rStyle w:val="FootnoteReference"/>
        </w:rPr>
        <w:footnoteRef/>
      </w:r>
      <w:r w:rsidRPr="001E26D9">
        <w:t xml:space="preserve"> Where females were committed for rape or males for concealing respectively, they were typically accused of being accomplices in the act.</w:t>
      </w:r>
      <w:r w:rsidRPr="00787102">
        <w:rPr>
          <w:color w:val="FF0000"/>
        </w:rPr>
        <w:t xml:space="preserve"> </w:t>
      </w:r>
    </w:p>
  </w:footnote>
  <w:footnote w:id="49">
    <w:p w14:paraId="1A3FB6F8" w14:textId="14AF92F3" w:rsidR="0049322D" w:rsidRPr="001E26D9" w:rsidRDefault="0049322D" w:rsidP="008D19AB">
      <w:pPr>
        <w:pStyle w:val="FootnoteText"/>
        <w:spacing w:line="360" w:lineRule="auto"/>
        <w:jc w:val="both"/>
      </w:pPr>
      <w:r w:rsidRPr="001E26D9">
        <w:rPr>
          <w:rStyle w:val="FootnoteReference"/>
        </w:rPr>
        <w:footnoteRef/>
      </w:r>
      <w:r w:rsidRPr="001E26D9">
        <w:t xml:space="preserve"> Philips, </w:t>
      </w:r>
      <w:r w:rsidRPr="001E26D9">
        <w:rPr>
          <w:bCs/>
          <w:i/>
          <w:lang w:val="en-GB"/>
        </w:rPr>
        <w:t>Crime and authority in Victorian England</w:t>
      </w:r>
      <w:r w:rsidRPr="001E26D9">
        <w:rPr>
          <w:i/>
        </w:rPr>
        <w:t>, Op. Cit</w:t>
      </w:r>
      <w:r w:rsidRPr="001E26D9">
        <w:t>.</w:t>
      </w:r>
      <w:r>
        <w:t>, Table 17.</w:t>
      </w:r>
    </w:p>
  </w:footnote>
  <w:footnote w:id="50">
    <w:p w14:paraId="5B31F971" w14:textId="4BC6F1BF" w:rsidR="0049322D" w:rsidRPr="001E26D9" w:rsidRDefault="0049322D" w:rsidP="008D19AB">
      <w:pPr>
        <w:pStyle w:val="FootnoteText"/>
        <w:spacing w:line="360" w:lineRule="auto"/>
        <w:jc w:val="both"/>
      </w:pPr>
      <w:r w:rsidRPr="001E26D9">
        <w:rPr>
          <w:rStyle w:val="FootnoteReference"/>
        </w:rPr>
        <w:footnoteRef/>
      </w:r>
      <w:r w:rsidRPr="001E26D9">
        <w:t xml:space="preserve"> Conley, </w:t>
      </w:r>
      <w:r w:rsidRPr="001E26D9">
        <w:rPr>
          <w:i/>
        </w:rPr>
        <w:t>The unwritten law, Op. Cit.</w:t>
      </w:r>
    </w:p>
  </w:footnote>
  <w:footnote w:id="51">
    <w:p w14:paraId="68E11909" w14:textId="2FF9E268" w:rsidR="0049322D" w:rsidRPr="001E26D9" w:rsidRDefault="0049322D" w:rsidP="008D19AB">
      <w:pPr>
        <w:pStyle w:val="FootnoteText"/>
        <w:spacing w:line="360" w:lineRule="auto"/>
        <w:jc w:val="both"/>
      </w:pPr>
      <w:r w:rsidRPr="001E26D9">
        <w:rPr>
          <w:rStyle w:val="FootnoteReference"/>
        </w:rPr>
        <w:footnoteRef/>
      </w:r>
      <w:r w:rsidRPr="001E26D9">
        <w:t xml:space="preserve"> Grace, </w:t>
      </w:r>
      <w:r w:rsidRPr="001E26D9">
        <w:rPr>
          <w:i/>
        </w:rPr>
        <w:t>Female criminality in York and Hull, Op. Cit.</w:t>
      </w:r>
      <w:r w:rsidRPr="001E26D9">
        <w:t xml:space="preserve"> Figs. 4.1</w:t>
      </w:r>
      <w:r>
        <w:t xml:space="preserve">2 &amp; 6.2; </w:t>
      </w:r>
      <w:r w:rsidRPr="003E1518">
        <w:t>Taylor,</w:t>
      </w:r>
      <w:r w:rsidRPr="003E1518">
        <w:rPr>
          <w:i/>
        </w:rPr>
        <w:t xml:space="preserve"> </w:t>
      </w:r>
      <w:r w:rsidRPr="003E1518">
        <w:t xml:space="preserve">‘Crime and policing in early Victorian </w:t>
      </w:r>
      <w:proofErr w:type="spellStart"/>
      <w:r w:rsidRPr="003E1518">
        <w:t>Middlesborough</w:t>
      </w:r>
      <w:proofErr w:type="spellEnd"/>
      <w:r w:rsidRPr="003E1518">
        <w:t xml:space="preserve">’, </w:t>
      </w:r>
      <w:r w:rsidRPr="003E1518">
        <w:rPr>
          <w:i/>
        </w:rPr>
        <w:t>Op. Cit</w:t>
      </w:r>
      <w:r w:rsidRPr="003E1518">
        <w:t>., Table III</w:t>
      </w:r>
      <w:r>
        <w:t>.</w:t>
      </w:r>
    </w:p>
  </w:footnote>
  <w:footnote w:id="52">
    <w:p w14:paraId="4A8BFC83" w14:textId="33ABECF1" w:rsidR="003B22A3" w:rsidRPr="003B22A3" w:rsidRDefault="003B22A3" w:rsidP="003B22A3">
      <w:pPr>
        <w:pStyle w:val="FootnoteText"/>
        <w:spacing w:line="360" w:lineRule="auto"/>
        <w:rPr>
          <w:lang w:val="en-GB"/>
        </w:rPr>
      </w:pPr>
      <w:r>
        <w:rPr>
          <w:rStyle w:val="FootnoteReference"/>
        </w:rPr>
        <w:footnoteRef/>
      </w:r>
      <w:r>
        <w:t xml:space="preserve"> </w:t>
      </w:r>
      <w:r>
        <w:t xml:space="preserve">Evidence from the long eighteenth century also supports the view that females tended to receive lighter sentences than males, even when convicted of the same offences. See, </w:t>
      </w:r>
      <w:proofErr w:type="spellStart"/>
      <w:r>
        <w:t>Walliss</w:t>
      </w:r>
      <w:proofErr w:type="spellEnd"/>
      <w:r>
        <w:t xml:space="preserve">, </w:t>
      </w:r>
      <w:r w:rsidRPr="00787102">
        <w:rPr>
          <w:i/>
        </w:rPr>
        <w:t>The Bloody Code in England and Wales</w:t>
      </w:r>
      <w:r>
        <w:t xml:space="preserve">, </w:t>
      </w:r>
      <w:r w:rsidRPr="001E26D9">
        <w:rPr>
          <w:i/>
        </w:rPr>
        <w:t>Op. Cit.</w:t>
      </w:r>
    </w:p>
  </w:footnote>
  <w:footnote w:id="53">
    <w:p w14:paraId="62D3B70A" w14:textId="17FD7337" w:rsidR="0049322D" w:rsidRPr="00CA2084" w:rsidRDefault="0049322D" w:rsidP="003B22A3">
      <w:pPr>
        <w:pStyle w:val="FootnoteText"/>
        <w:spacing w:line="360" w:lineRule="auto"/>
        <w:jc w:val="both"/>
        <w:rPr>
          <w:lang w:val="en-GB"/>
        </w:rPr>
      </w:pPr>
      <w:r>
        <w:rPr>
          <w:rStyle w:val="FootnoteReference"/>
        </w:rPr>
        <w:footnoteRef/>
      </w:r>
      <w:r>
        <w:t xml:space="preserve"> </w:t>
      </w:r>
      <w:hyperlink r:id="rId4" w:history="1">
        <w:r w:rsidRPr="001E26D9">
          <w:rPr>
            <w:rStyle w:val="Hyperlink"/>
            <w:color w:val="auto"/>
            <w:lang w:val="en-GB"/>
          </w:rPr>
          <w:t>https://www.oldbaileyonline.org</w:t>
        </w:r>
      </w:hyperlink>
      <w:r w:rsidRPr="001E26D9">
        <w:rPr>
          <w:lang w:val="en-GB"/>
        </w:rPr>
        <w:t xml:space="preserve"> </w:t>
      </w:r>
      <w:r>
        <w:rPr>
          <w:lang w:val="en-GB"/>
        </w:rPr>
        <w:t xml:space="preserve"> </w:t>
      </w:r>
      <w:r w:rsidRPr="001E26D9">
        <w:rPr>
          <w:i/>
        </w:rPr>
        <w:t>Op. Cit.</w:t>
      </w:r>
    </w:p>
  </w:footnote>
  <w:footnote w:id="54">
    <w:p w14:paraId="72D358A6" w14:textId="07B0971C" w:rsidR="0049322D" w:rsidRDefault="0049322D" w:rsidP="00E05855">
      <w:pPr>
        <w:pStyle w:val="FootnoteText"/>
        <w:spacing w:line="360" w:lineRule="auto"/>
        <w:jc w:val="both"/>
      </w:pPr>
      <w:r>
        <w:rPr>
          <w:rStyle w:val="FootnoteReference"/>
        </w:rPr>
        <w:footnoteRef/>
      </w:r>
      <w:r>
        <w:t xml:space="preserve"> For a discussion, see Barry S. Godfrey., Stephen </w:t>
      </w:r>
      <w:proofErr w:type="spellStart"/>
      <w:r>
        <w:t>Farrall</w:t>
      </w:r>
      <w:proofErr w:type="spellEnd"/>
      <w:r>
        <w:t xml:space="preserve"> &amp; Susanne </w:t>
      </w:r>
      <w:proofErr w:type="spellStart"/>
      <w:r>
        <w:t>Karstedt</w:t>
      </w:r>
      <w:proofErr w:type="spellEnd"/>
      <w:r>
        <w:t xml:space="preserve">, ‘Explaining gendered sentencing patterns for violent men and women in the late-Victorian and Edwardian period’, </w:t>
      </w:r>
      <w:r w:rsidRPr="00E05855">
        <w:rPr>
          <w:i/>
        </w:rPr>
        <w:t>British Journal of Criminology</w:t>
      </w:r>
      <w:r>
        <w:t>, vol. 45, 696-720.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E5132"/>
    <w:multiLevelType w:val="hybridMultilevel"/>
    <w:tmpl w:val="30C68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93076"/>
    <w:multiLevelType w:val="multilevel"/>
    <w:tmpl w:val="A37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910FC"/>
    <w:multiLevelType w:val="hybridMultilevel"/>
    <w:tmpl w:val="4058C89C"/>
    <w:lvl w:ilvl="0" w:tplc="C0620A58">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C2E89"/>
    <w:multiLevelType w:val="hybridMultilevel"/>
    <w:tmpl w:val="0C243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63"/>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C5"/>
    <w:rsid w:val="00010769"/>
    <w:rsid w:val="00013173"/>
    <w:rsid w:val="000140E5"/>
    <w:rsid w:val="000147E8"/>
    <w:rsid w:val="00014D3D"/>
    <w:rsid w:val="0001520C"/>
    <w:rsid w:val="00032455"/>
    <w:rsid w:val="00035852"/>
    <w:rsid w:val="00042584"/>
    <w:rsid w:val="000471F2"/>
    <w:rsid w:val="00051229"/>
    <w:rsid w:val="000633BD"/>
    <w:rsid w:val="00073F4E"/>
    <w:rsid w:val="00076812"/>
    <w:rsid w:val="00080689"/>
    <w:rsid w:val="00087B72"/>
    <w:rsid w:val="00093F21"/>
    <w:rsid w:val="00095DC4"/>
    <w:rsid w:val="00096860"/>
    <w:rsid w:val="000A6F02"/>
    <w:rsid w:val="000B7E7B"/>
    <w:rsid w:val="000C51A5"/>
    <w:rsid w:val="000C5B4C"/>
    <w:rsid w:val="000C7880"/>
    <w:rsid w:val="000D0FD0"/>
    <w:rsid w:val="000D1B28"/>
    <w:rsid w:val="000D4B04"/>
    <w:rsid w:val="000E07A4"/>
    <w:rsid w:val="000E2DEA"/>
    <w:rsid w:val="000E3F8F"/>
    <w:rsid w:val="000F1022"/>
    <w:rsid w:val="000F1179"/>
    <w:rsid w:val="000F47F0"/>
    <w:rsid w:val="000F73D9"/>
    <w:rsid w:val="00101B2E"/>
    <w:rsid w:val="00114B2F"/>
    <w:rsid w:val="0011592A"/>
    <w:rsid w:val="00116B01"/>
    <w:rsid w:val="001205FA"/>
    <w:rsid w:val="00122F24"/>
    <w:rsid w:val="001416E8"/>
    <w:rsid w:val="00143D70"/>
    <w:rsid w:val="00151F30"/>
    <w:rsid w:val="00151FD5"/>
    <w:rsid w:val="00160F4C"/>
    <w:rsid w:val="00163E85"/>
    <w:rsid w:val="00165F40"/>
    <w:rsid w:val="001729BA"/>
    <w:rsid w:val="00174A78"/>
    <w:rsid w:val="00174F42"/>
    <w:rsid w:val="00180E47"/>
    <w:rsid w:val="00184B88"/>
    <w:rsid w:val="00186B8A"/>
    <w:rsid w:val="0019486F"/>
    <w:rsid w:val="001A0BA5"/>
    <w:rsid w:val="001B08EF"/>
    <w:rsid w:val="001B2359"/>
    <w:rsid w:val="001B41A9"/>
    <w:rsid w:val="001C3C20"/>
    <w:rsid w:val="001C4836"/>
    <w:rsid w:val="001C5518"/>
    <w:rsid w:val="001D034D"/>
    <w:rsid w:val="001D5BC6"/>
    <w:rsid w:val="001D6E15"/>
    <w:rsid w:val="001D7FEC"/>
    <w:rsid w:val="001E26D9"/>
    <w:rsid w:val="001E3DAF"/>
    <w:rsid w:val="001E4CC2"/>
    <w:rsid w:val="001F24C3"/>
    <w:rsid w:val="001F3343"/>
    <w:rsid w:val="001F411A"/>
    <w:rsid w:val="00212682"/>
    <w:rsid w:val="002159E3"/>
    <w:rsid w:val="002223C9"/>
    <w:rsid w:val="002225FA"/>
    <w:rsid w:val="00225441"/>
    <w:rsid w:val="00225D5D"/>
    <w:rsid w:val="00225EBD"/>
    <w:rsid w:val="00226A67"/>
    <w:rsid w:val="00226DE8"/>
    <w:rsid w:val="00231C63"/>
    <w:rsid w:val="0023208D"/>
    <w:rsid w:val="002366B0"/>
    <w:rsid w:val="00236987"/>
    <w:rsid w:val="00250087"/>
    <w:rsid w:val="00253BAF"/>
    <w:rsid w:val="00255163"/>
    <w:rsid w:val="002657F5"/>
    <w:rsid w:val="002667AB"/>
    <w:rsid w:val="00275D32"/>
    <w:rsid w:val="00275EDA"/>
    <w:rsid w:val="00276FB6"/>
    <w:rsid w:val="00281E70"/>
    <w:rsid w:val="00282311"/>
    <w:rsid w:val="00282711"/>
    <w:rsid w:val="002839A2"/>
    <w:rsid w:val="0028655B"/>
    <w:rsid w:val="00292BD7"/>
    <w:rsid w:val="00293B60"/>
    <w:rsid w:val="002940FB"/>
    <w:rsid w:val="002A0004"/>
    <w:rsid w:val="002A1629"/>
    <w:rsid w:val="002A16B7"/>
    <w:rsid w:val="002A5864"/>
    <w:rsid w:val="002A59EA"/>
    <w:rsid w:val="002B09B3"/>
    <w:rsid w:val="002B2354"/>
    <w:rsid w:val="002B731D"/>
    <w:rsid w:val="002B7903"/>
    <w:rsid w:val="002C0841"/>
    <w:rsid w:val="002C5670"/>
    <w:rsid w:val="002C7FB8"/>
    <w:rsid w:val="002D07A7"/>
    <w:rsid w:val="002D0ED9"/>
    <w:rsid w:val="002D2DA1"/>
    <w:rsid w:val="002D33A5"/>
    <w:rsid w:val="002D66A3"/>
    <w:rsid w:val="002E1C1C"/>
    <w:rsid w:val="002E6A7C"/>
    <w:rsid w:val="002E7CF8"/>
    <w:rsid w:val="002F5E09"/>
    <w:rsid w:val="002F67B6"/>
    <w:rsid w:val="002F74A7"/>
    <w:rsid w:val="00300929"/>
    <w:rsid w:val="00300ACB"/>
    <w:rsid w:val="00303CD7"/>
    <w:rsid w:val="003111F3"/>
    <w:rsid w:val="00323834"/>
    <w:rsid w:val="00324A99"/>
    <w:rsid w:val="0033000F"/>
    <w:rsid w:val="0033189C"/>
    <w:rsid w:val="00340025"/>
    <w:rsid w:val="00341882"/>
    <w:rsid w:val="00342CE3"/>
    <w:rsid w:val="00343DF5"/>
    <w:rsid w:val="00347D0F"/>
    <w:rsid w:val="003504D8"/>
    <w:rsid w:val="0035180A"/>
    <w:rsid w:val="00362514"/>
    <w:rsid w:val="00364A52"/>
    <w:rsid w:val="003707A8"/>
    <w:rsid w:val="00373576"/>
    <w:rsid w:val="003740FC"/>
    <w:rsid w:val="00377F8D"/>
    <w:rsid w:val="00380AC7"/>
    <w:rsid w:val="0039344F"/>
    <w:rsid w:val="0039453C"/>
    <w:rsid w:val="00394D75"/>
    <w:rsid w:val="003968D9"/>
    <w:rsid w:val="003A0262"/>
    <w:rsid w:val="003A0B98"/>
    <w:rsid w:val="003A35CA"/>
    <w:rsid w:val="003A3CA9"/>
    <w:rsid w:val="003A45F5"/>
    <w:rsid w:val="003A56ED"/>
    <w:rsid w:val="003B0399"/>
    <w:rsid w:val="003B1CFB"/>
    <w:rsid w:val="003B22A3"/>
    <w:rsid w:val="003B28EC"/>
    <w:rsid w:val="003B6BA2"/>
    <w:rsid w:val="003C2DAE"/>
    <w:rsid w:val="003C3DC5"/>
    <w:rsid w:val="003C42C4"/>
    <w:rsid w:val="003C79BB"/>
    <w:rsid w:val="003D00AE"/>
    <w:rsid w:val="003E111B"/>
    <w:rsid w:val="003E1518"/>
    <w:rsid w:val="003E6FC0"/>
    <w:rsid w:val="003F286D"/>
    <w:rsid w:val="003F4A4B"/>
    <w:rsid w:val="003F555A"/>
    <w:rsid w:val="00401455"/>
    <w:rsid w:val="00403C19"/>
    <w:rsid w:val="00407E9F"/>
    <w:rsid w:val="00415802"/>
    <w:rsid w:val="0041596C"/>
    <w:rsid w:val="004208C3"/>
    <w:rsid w:val="00420CAF"/>
    <w:rsid w:val="00421AC4"/>
    <w:rsid w:val="00423C3C"/>
    <w:rsid w:val="00423CB3"/>
    <w:rsid w:val="00423EA2"/>
    <w:rsid w:val="00424205"/>
    <w:rsid w:val="0042648E"/>
    <w:rsid w:val="00426AA6"/>
    <w:rsid w:val="00430512"/>
    <w:rsid w:val="00432A5D"/>
    <w:rsid w:val="00435203"/>
    <w:rsid w:val="004377BB"/>
    <w:rsid w:val="00441ADE"/>
    <w:rsid w:val="004454BA"/>
    <w:rsid w:val="004522BF"/>
    <w:rsid w:val="004535D4"/>
    <w:rsid w:val="0045434E"/>
    <w:rsid w:val="00457A73"/>
    <w:rsid w:val="00475EBC"/>
    <w:rsid w:val="004811F1"/>
    <w:rsid w:val="00482213"/>
    <w:rsid w:val="0048445D"/>
    <w:rsid w:val="00491C2B"/>
    <w:rsid w:val="0049322D"/>
    <w:rsid w:val="00494BA2"/>
    <w:rsid w:val="00494C02"/>
    <w:rsid w:val="004A2761"/>
    <w:rsid w:val="004B23DC"/>
    <w:rsid w:val="004B3BE6"/>
    <w:rsid w:val="004B51BA"/>
    <w:rsid w:val="004B7C16"/>
    <w:rsid w:val="004C1742"/>
    <w:rsid w:val="004C25B8"/>
    <w:rsid w:val="004C2B90"/>
    <w:rsid w:val="004C3C10"/>
    <w:rsid w:val="004C648E"/>
    <w:rsid w:val="004D531A"/>
    <w:rsid w:val="004E09AB"/>
    <w:rsid w:val="004E15F6"/>
    <w:rsid w:val="004E2302"/>
    <w:rsid w:val="004E31CA"/>
    <w:rsid w:val="004E5AE5"/>
    <w:rsid w:val="004E76E9"/>
    <w:rsid w:val="004F1329"/>
    <w:rsid w:val="004F5E67"/>
    <w:rsid w:val="005026AB"/>
    <w:rsid w:val="0051359D"/>
    <w:rsid w:val="00523B9B"/>
    <w:rsid w:val="005247EB"/>
    <w:rsid w:val="00525EDA"/>
    <w:rsid w:val="00526931"/>
    <w:rsid w:val="00527C17"/>
    <w:rsid w:val="005415E1"/>
    <w:rsid w:val="00545818"/>
    <w:rsid w:val="00551A0C"/>
    <w:rsid w:val="00552D48"/>
    <w:rsid w:val="00555078"/>
    <w:rsid w:val="005552F1"/>
    <w:rsid w:val="005629D9"/>
    <w:rsid w:val="005637DC"/>
    <w:rsid w:val="00571CA2"/>
    <w:rsid w:val="00574DA8"/>
    <w:rsid w:val="0057724D"/>
    <w:rsid w:val="00582682"/>
    <w:rsid w:val="00583451"/>
    <w:rsid w:val="00583896"/>
    <w:rsid w:val="005840E3"/>
    <w:rsid w:val="00587DE3"/>
    <w:rsid w:val="00592694"/>
    <w:rsid w:val="005A3AEB"/>
    <w:rsid w:val="005A57AE"/>
    <w:rsid w:val="005A5959"/>
    <w:rsid w:val="005A756E"/>
    <w:rsid w:val="005B0F41"/>
    <w:rsid w:val="005B4507"/>
    <w:rsid w:val="005C0E7C"/>
    <w:rsid w:val="005C116B"/>
    <w:rsid w:val="005C3A31"/>
    <w:rsid w:val="005C4C61"/>
    <w:rsid w:val="005C7074"/>
    <w:rsid w:val="005D245A"/>
    <w:rsid w:val="005D5E49"/>
    <w:rsid w:val="005D5F6F"/>
    <w:rsid w:val="005E3991"/>
    <w:rsid w:val="005F74D0"/>
    <w:rsid w:val="0060093F"/>
    <w:rsid w:val="00607580"/>
    <w:rsid w:val="00612CC8"/>
    <w:rsid w:val="00615358"/>
    <w:rsid w:val="0061738B"/>
    <w:rsid w:val="00625E1D"/>
    <w:rsid w:val="00633555"/>
    <w:rsid w:val="0063700D"/>
    <w:rsid w:val="00637C40"/>
    <w:rsid w:val="00641880"/>
    <w:rsid w:val="00641DBC"/>
    <w:rsid w:val="00655ADE"/>
    <w:rsid w:val="00662D0C"/>
    <w:rsid w:val="006637AA"/>
    <w:rsid w:val="006643BF"/>
    <w:rsid w:val="00664A10"/>
    <w:rsid w:val="0067069E"/>
    <w:rsid w:val="00681EB1"/>
    <w:rsid w:val="0068411B"/>
    <w:rsid w:val="00684ADA"/>
    <w:rsid w:val="00684D33"/>
    <w:rsid w:val="0069381A"/>
    <w:rsid w:val="00695C8F"/>
    <w:rsid w:val="00697405"/>
    <w:rsid w:val="00697761"/>
    <w:rsid w:val="006A1F13"/>
    <w:rsid w:val="006A60F8"/>
    <w:rsid w:val="006A796E"/>
    <w:rsid w:val="006B3033"/>
    <w:rsid w:val="006B774D"/>
    <w:rsid w:val="006C1D79"/>
    <w:rsid w:val="006C3B4B"/>
    <w:rsid w:val="006C411D"/>
    <w:rsid w:val="006C57BC"/>
    <w:rsid w:val="006C62A9"/>
    <w:rsid w:val="006D1914"/>
    <w:rsid w:val="006D22BB"/>
    <w:rsid w:val="006D3800"/>
    <w:rsid w:val="006D5E78"/>
    <w:rsid w:val="006D6FEF"/>
    <w:rsid w:val="006D76BD"/>
    <w:rsid w:val="006D788C"/>
    <w:rsid w:val="006D7D3A"/>
    <w:rsid w:val="006E11DE"/>
    <w:rsid w:val="006E31AB"/>
    <w:rsid w:val="006E6C4C"/>
    <w:rsid w:val="00702DBA"/>
    <w:rsid w:val="00703BE6"/>
    <w:rsid w:val="00707D89"/>
    <w:rsid w:val="00714079"/>
    <w:rsid w:val="007152AE"/>
    <w:rsid w:val="00715EC5"/>
    <w:rsid w:val="00720236"/>
    <w:rsid w:val="007223A8"/>
    <w:rsid w:val="0072402B"/>
    <w:rsid w:val="007332EA"/>
    <w:rsid w:val="007336F2"/>
    <w:rsid w:val="00735646"/>
    <w:rsid w:val="00737FEE"/>
    <w:rsid w:val="00741110"/>
    <w:rsid w:val="007468F6"/>
    <w:rsid w:val="00747646"/>
    <w:rsid w:val="0075094C"/>
    <w:rsid w:val="00751E4E"/>
    <w:rsid w:val="007526AF"/>
    <w:rsid w:val="00764038"/>
    <w:rsid w:val="00764CBC"/>
    <w:rsid w:val="0077057D"/>
    <w:rsid w:val="00781810"/>
    <w:rsid w:val="00783A69"/>
    <w:rsid w:val="0078435A"/>
    <w:rsid w:val="00787102"/>
    <w:rsid w:val="007900C0"/>
    <w:rsid w:val="00795BA3"/>
    <w:rsid w:val="00795E2C"/>
    <w:rsid w:val="00796EBD"/>
    <w:rsid w:val="00797016"/>
    <w:rsid w:val="00797457"/>
    <w:rsid w:val="00797AEA"/>
    <w:rsid w:val="007A2A9C"/>
    <w:rsid w:val="007A2E3C"/>
    <w:rsid w:val="007A38EF"/>
    <w:rsid w:val="007A54C4"/>
    <w:rsid w:val="007A5CCC"/>
    <w:rsid w:val="007B0178"/>
    <w:rsid w:val="007B0583"/>
    <w:rsid w:val="007B7320"/>
    <w:rsid w:val="007B75FC"/>
    <w:rsid w:val="007C044C"/>
    <w:rsid w:val="007C0C65"/>
    <w:rsid w:val="007C3462"/>
    <w:rsid w:val="007C3B17"/>
    <w:rsid w:val="007C558E"/>
    <w:rsid w:val="007C5A6D"/>
    <w:rsid w:val="007D1F37"/>
    <w:rsid w:val="007D56CC"/>
    <w:rsid w:val="007D6512"/>
    <w:rsid w:val="007E1DC1"/>
    <w:rsid w:val="007F13F5"/>
    <w:rsid w:val="007F27E1"/>
    <w:rsid w:val="007F3B63"/>
    <w:rsid w:val="007F77BC"/>
    <w:rsid w:val="007F7D24"/>
    <w:rsid w:val="008047BA"/>
    <w:rsid w:val="00810372"/>
    <w:rsid w:val="00811971"/>
    <w:rsid w:val="008140BE"/>
    <w:rsid w:val="00814BB3"/>
    <w:rsid w:val="008152FB"/>
    <w:rsid w:val="0081530F"/>
    <w:rsid w:val="00816872"/>
    <w:rsid w:val="0082626E"/>
    <w:rsid w:val="008333FD"/>
    <w:rsid w:val="008344B4"/>
    <w:rsid w:val="00834D78"/>
    <w:rsid w:val="00835A7C"/>
    <w:rsid w:val="00846A35"/>
    <w:rsid w:val="00852118"/>
    <w:rsid w:val="008555C4"/>
    <w:rsid w:val="00857381"/>
    <w:rsid w:val="00865B84"/>
    <w:rsid w:val="00867104"/>
    <w:rsid w:val="00870F30"/>
    <w:rsid w:val="0087488A"/>
    <w:rsid w:val="008754EB"/>
    <w:rsid w:val="00884528"/>
    <w:rsid w:val="00884CC8"/>
    <w:rsid w:val="00887C74"/>
    <w:rsid w:val="0089041F"/>
    <w:rsid w:val="0089147E"/>
    <w:rsid w:val="00894995"/>
    <w:rsid w:val="00897A4F"/>
    <w:rsid w:val="008A07F0"/>
    <w:rsid w:val="008A097F"/>
    <w:rsid w:val="008A0D2A"/>
    <w:rsid w:val="008A6514"/>
    <w:rsid w:val="008B37D9"/>
    <w:rsid w:val="008B6650"/>
    <w:rsid w:val="008C1C40"/>
    <w:rsid w:val="008C3586"/>
    <w:rsid w:val="008C42B9"/>
    <w:rsid w:val="008D0676"/>
    <w:rsid w:val="008D19AB"/>
    <w:rsid w:val="008D4CE5"/>
    <w:rsid w:val="008D7268"/>
    <w:rsid w:val="008E0DCB"/>
    <w:rsid w:val="008E5B1A"/>
    <w:rsid w:val="008F0405"/>
    <w:rsid w:val="00901E74"/>
    <w:rsid w:val="009028C9"/>
    <w:rsid w:val="00904D87"/>
    <w:rsid w:val="00906F5E"/>
    <w:rsid w:val="0090791D"/>
    <w:rsid w:val="00911318"/>
    <w:rsid w:val="00912BCF"/>
    <w:rsid w:val="00913AA7"/>
    <w:rsid w:val="00920AF0"/>
    <w:rsid w:val="00921D89"/>
    <w:rsid w:val="009235AA"/>
    <w:rsid w:val="00923960"/>
    <w:rsid w:val="00923AD9"/>
    <w:rsid w:val="00926733"/>
    <w:rsid w:val="00930F83"/>
    <w:rsid w:val="00931DD3"/>
    <w:rsid w:val="00932EE7"/>
    <w:rsid w:val="0093460F"/>
    <w:rsid w:val="00936892"/>
    <w:rsid w:val="00943BCB"/>
    <w:rsid w:val="009527E5"/>
    <w:rsid w:val="00953109"/>
    <w:rsid w:val="0095342D"/>
    <w:rsid w:val="009604C0"/>
    <w:rsid w:val="00960EC0"/>
    <w:rsid w:val="009631FB"/>
    <w:rsid w:val="009678E9"/>
    <w:rsid w:val="009730BF"/>
    <w:rsid w:val="00973AD4"/>
    <w:rsid w:val="00976301"/>
    <w:rsid w:val="009764C8"/>
    <w:rsid w:val="00977DE6"/>
    <w:rsid w:val="009804BC"/>
    <w:rsid w:val="00981E7C"/>
    <w:rsid w:val="00985B29"/>
    <w:rsid w:val="00987E85"/>
    <w:rsid w:val="00992100"/>
    <w:rsid w:val="0099465D"/>
    <w:rsid w:val="009961B5"/>
    <w:rsid w:val="00996298"/>
    <w:rsid w:val="009A10AE"/>
    <w:rsid w:val="009A27F2"/>
    <w:rsid w:val="009A411E"/>
    <w:rsid w:val="009A4208"/>
    <w:rsid w:val="009A6136"/>
    <w:rsid w:val="009A7A64"/>
    <w:rsid w:val="009B1EC1"/>
    <w:rsid w:val="009B21EC"/>
    <w:rsid w:val="009B4014"/>
    <w:rsid w:val="009B5DCE"/>
    <w:rsid w:val="009B6211"/>
    <w:rsid w:val="009C35A7"/>
    <w:rsid w:val="009D020E"/>
    <w:rsid w:val="009D18B0"/>
    <w:rsid w:val="009D7B5C"/>
    <w:rsid w:val="009E108C"/>
    <w:rsid w:val="009E68F4"/>
    <w:rsid w:val="00A00612"/>
    <w:rsid w:val="00A07A5B"/>
    <w:rsid w:val="00A1748A"/>
    <w:rsid w:val="00A17E0A"/>
    <w:rsid w:val="00A17E66"/>
    <w:rsid w:val="00A21319"/>
    <w:rsid w:val="00A21980"/>
    <w:rsid w:val="00A27076"/>
    <w:rsid w:val="00A36008"/>
    <w:rsid w:val="00A36FA0"/>
    <w:rsid w:val="00A4030C"/>
    <w:rsid w:val="00A40375"/>
    <w:rsid w:val="00A40933"/>
    <w:rsid w:val="00A41331"/>
    <w:rsid w:val="00A45D48"/>
    <w:rsid w:val="00A50267"/>
    <w:rsid w:val="00A519DA"/>
    <w:rsid w:val="00A54109"/>
    <w:rsid w:val="00A5431D"/>
    <w:rsid w:val="00A54FF3"/>
    <w:rsid w:val="00A55FB7"/>
    <w:rsid w:val="00A665D1"/>
    <w:rsid w:val="00A70361"/>
    <w:rsid w:val="00A86DBB"/>
    <w:rsid w:val="00A87583"/>
    <w:rsid w:val="00A87D4A"/>
    <w:rsid w:val="00A92FD0"/>
    <w:rsid w:val="00A9404C"/>
    <w:rsid w:val="00A974D7"/>
    <w:rsid w:val="00AA0EF3"/>
    <w:rsid w:val="00AA0F9F"/>
    <w:rsid w:val="00AA3A18"/>
    <w:rsid w:val="00AB2F0D"/>
    <w:rsid w:val="00AB5122"/>
    <w:rsid w:val="00AC2550"/>
    <w:rsid w:val="00AC2990"/>
    <w:rsid w:val="00AC6B33"/>
    <w:rsid w:val="00AC79B9"/>
    <w:rsid w:val="00AD3FCE"/>
    <w:rsid w:val="00AD5194"/>
    <w:rsid w:val="00AE1012"/>
    <w:rsid w:val="00AE3E11"/>
    <w:rsid w:val="00AE5204"/>
    <w:rsid w:val="00AE5C91"/>
    <w:rsid w:val="00AE6CB9"/>
    <w:rsid w:val="00AF0FE3"/>
    <w:rsid w:val="00AF38CA"/>
    <w:rsid w:val="00AF3C3A"/>
    <w:rsid w:val="00B01579"/>
    <w:rsid w:val="00B01C44"/>
    <w:rsid w:val="00B03E30"/>
    <w:rsid w:val="00B057CC"/>
    <w:rsid w:val="00B0701F"/>
    <w:rsid w:val="00B165CF"/>
    <w:rsid w:val="00B21366"/>
    <w:rsid w:val="00B21CBD"/>
    <w:rsid w:val="00B221FC"/>
    <w:rsid w:val="00B26015"/>
    <w:rsid w:val="00B27320"/>
    <w:rsid w:val="00B27C4D"/>
    <w:rsid w:val="00B315E6"/>
    <w:rsid w:val="00B31E30"/>
    <w:rsid w:val="00B323B9"/>
    <w:rsid w:val="00B33AC8"/>
    <w:rsid w:val="00B35DD4"/>
    <w:rsid w:val="00B405EF"/>
    <w:rsid w:val="00B47B51"/>
    <w:rsid w:val="00B5390E"/>
    <w:rsid w:val="00B53D9D"/>
    <w:rsid w:val="00B55F47"/>
    <w:rsid w:val="00B57F65"/>
    <w:rsid w:val="00B6681C"/>
    <w:rsid w:val="00B72ED6"/>
    <w:rsid w:val="00B77294"/>
    <w:rsid w:val="00B80B23"/>
    <w:rsid w:val="00B81FDC"/>
    <w:rsid w:val="00B840CD"/>
    <w:rsid w:val="00B86F61"/>
    <w:rsid w:val="00B876E0"/>
    <w:rsid w:val="00B90CA4"/>
    <w:rsid w:val="00B94ADC"/>
    <w:rsid w:val="00B961E5"/>
    <w:rsid w:val="00BA50F6"/>
    <w:rsid w:val="00BA6575"/>
    <w:rsid w:val="00BA7530"/>
    <w:rsid w:val="00BA7DA2"/>
    <w:rsid w:val="00BB301B"/>
    <w:rsid w:val="00BB4469"/>
    <w:rsid w:val="00BC0AE1"/>
    <w:rsid w:val="00BC1C66"/>
    <w:rsid w:val="00BC573C"/>
    <w:rsid w:val="00BD0CFA"/>
    <w:rsid w:val="00BD6B8B"/>
    <w:rsid w:val="00BE04F8"/>
    <w:rsid w:val="00BE27CB"/>
    <w:rsid w:val="00BE3265"/>
    <w:rsid w:val="00BE7EE1"/>
    <w:rsid w:val="00BF0E1F"/>
    <w:rsid w:val="00BF3506"/>
    <w:rsid w:val="00BF3DCA"/>
    <w:rsid w:val="00BF4D21"/>
    <w:rsid w:val="00BF7271"/>
    <w:rsid w:val="00BF7C72"/>
    <w:rsid w:val="00C02BC6"/>
    <w:rsid w:val="00C04278"/>
    <w:rsid w:val="00C06EB2"/>
    <w:rsid w:val="00C07AB4"/>
    <w:rsid w:val="00C14D9D"/>
    <w:rsid w:val="00C2197E"/>
    <w:rsid w:val="00C21AB1"/>
    <w:rsid w:val="00C223F7"/>
    <w:rsid w:val="00C276B4"/>
    <w:rsid w:val="00C34D91"/>
    <w:rsid w:val="00C3518E"/>
    <w:rsid w:val="00C360DE"/>
    <w:rsid w:val="00C44176"/>
    <w:rsid w:val="00C4434E"/>
    <w:rsid w:val="00C458F2"/>
    <w:rsid w:val="00C6287D"/>
    <w:rsid w:val="00C65F3C"/>
    <w:rsid w:val="00C677A6"/>
    <w:rsid w:val="00C67D56"/>
    <w:rsid w:val="00C71CA1"/>
    <w:rsid w:val="00C73875"/>
    <w:rsid w:val="00C73C2D"/>
    <w:rsid w:val="00C81D85"/>
    <w:rsid w:val="00C824A9"/>
    <w:rsid w:val="00C90F47"/>
    <w:rsid w:val="00C93497"/>
    <w:rsid w:val="00C952A9"/>
    <w:rsid w:val="00C96555"/>
    <w:rsid w:val="00C97590"/>
    <w:rsid w:val="00CA1496"/>
    <w:rsid w:val="00CA2084"/>
    <w:rsid w:val="00CA376E"/>
    <w:rsid w:val="00CA4FAE"/>
    <w:rsid w:val="00CA6484"/>
    <w:rsid w:val="00CA6920"/>
    <w:rsid w:val="00CA73B6"/>
    <w:rsid w:val="00CA75FC"/>
    <w:rsid w:val="00CA7DBE"/>
    <w:rsid w:val="00CB2542"/>
    <w:rsid w:val="00CC24F5"/>
    <w:rsid w:val="00CC2A42"/>
    <w:rsid w:val="00CC2CE5"/>
    <w:rsid w:val="00CC606B"/>
    <w:rsid w:val="00CC6F18"/>
    <w:rsid w:val="00CD4BDC"/>
    <w:rsid w:val="00CD4C14"/>
    <w:rsid w:val="00CD5209"/>
    <w:rsid w:val="00CD5C7F"/>
    <w:rsid w:val="00CD645F"/>
    <w:rsid w:val="00CD6584"/>
    <w:rsid w:val="00CE065E"/>
    <w:rsid w:val="00CE0FA9"/>
    <w:rsid w:val="00CE3386"/>
    <w:rsid w:val="00CE3DF0"/>
    <w:rsid w:val="00CE588F"/>
    <w:rsid w:val="00CF0ACB"/>
    <w:rsid w:val="00D01AF5"/>
    <w:rsid w:val="00D02833"/>
    <w:rsid w:val="00D06D1D"/>
    <w:rsid w:val="00D24F6D"/>
    <w:rsid w:val="00D26D3E"/>
    <w:rsid w:val="00D341AA"/>
    <w:rsid w:val="00D34B6F"/>
    <w:rsid w:val="00D358CC"/>
    <w:rsid w:val="00D37EA6"/>
    <w:rsid w:val="00D466EE"/>
    <w:rsid w:val="00D5561E"/>
    <w:rsid w:val="00D5678A"/>
    <w:rsid w:val="00D652D5"/>
    <w:rsid w:val="00D71D7F"/>
    <w:rsid w:val="00D72144"/>
    <w:rsid w:val="00D7512D"/>
    <w:rsid w:val="00D761D3"/>
    <w:rsid w:val="00D76A64"/>
    <w:rsid w:val="00D80239"/>
    <w:rsid w:val="00D82875"/>
    <w:rsid w:val="00D82A89"/>
    <w:rsid w:val="00D83F43"/>
    <w:rsid w:val="00D87322"/>
    <w:rsid w:val="00D9329B"/>
    <w:rsid w:val="00D93673"/>
    <w:rsid w:val="00D94DF1"/>
    <w:rsid w:val="00D97F54"/>
    <w:rsid w:val="00DA1D1D"/>
    <w:rsid w:val="00DB04CC"/>
    <w:rsid w:val="00DB0CE8"/>
    <w:rsid w:val="00DB2A27"/>
    <w:rsid w:val="00DC1446"/>
    <w:rsid w:val="00DC1D70"/>
    <w:rsid w:val="00DC6ED5"/>
    <w:rsid w:val="00DD1ABD"/>
    <w:rsid w:val="00DD66FB"/>
    <w:rsid w:val="00DD6970"/>
    <w:rsid w:val="00DD7B71"/>
    <w:rsid w:val="00DF6219"/>
    <w:rsid w:val="00E02096"/>
    <w:rsid w:val="00E02E47"/>
    <w:rsid w:val="00E03E15"/>
    <w:rsid w:val="00E040BB"/>
    <w:rsid w:val="00E05855"/>
    <w:rsid w:val="00E10C0A"/>
    <w:rsid w:val="00E1221E"/>
    <w:rsid w:val="00E16904"/>
    <w:rsid w:val="00E16EB7"/>
    <w:rsid w:val="00E276AB"/>
    <w:rsid w:val="00E325B7"/>
    <w:rsid w:val="00E32967"/>
    <w:rsid w:val="00E3327B"/>
    <w:rsid w:val="00E366F5"/>
    <w:rsid w:val="00E37557"/>
    <w:rsid w:val="00E428E7"/>
    <w:rsid w:val="00E44C0C"/>
    <w:rsid w:val="00E4629E"/>
    <w:rsid w:val="00E46869"/>
    <w:rsid w:val="00E4719D"/>
    <w:rsid w:val="00E51657"/>
    <w:rsid w:val="00E5308F"/>
    <w:rsid w:val="00E54E18"/>
    <w:rsid w:val="00E70E31"/>
    <w:rsid w:val="00E738C5"/>
    <w:rsid w:val="00E7666C"/>
    <w:rsid w:val="00E77F13"/>
    <w:rsid w:val="00E839E9"/>
    <w:rsid w:val="00E83FF1"/>
    <w:rsid w:val="00E87C86"/>
    <w:rsid w:val="00E93323"/>
    <w:rsid w:val="00EA1EDE"/>
    <w:rsid w:val="00EB1C8D"/>
    <w:rsid w:val="00EB2F6F"/>
    <w:rsid w:val="00EC132D"/>
    <w:rsid w:val="00EC1CD9"/>
    <w:rsid w:val="00EC2B0D"/>
    <w:rsid w:val="00EC34DD"/>
    <w:rsid w:val="00EC39E0"/>
    <w:rsid w:val="00EC3F2F"/>
    <w:rsid w:val="00ED2D98"/>
    <w:rsid w:val="00ED38DB"/>
    <w:rsid w:val="00ED52F1"/>
    <w:rsid w:val="00EE0B78"/>
    <w:rsid w:val="00EE350A"/>
    <w:rsid w:val="00EE3DF0"/>
    <w:rsid w:val="00EE69A3"/>
    <w:rsid w:val="00EF01CA"/>
    <w:rsid w:val="00EF5B7F"/>
    <w:rsid w:val="00F03308"/>
    <w:rsid w:val="00F04845"/>
    <w:rsid w:val="00F152B6"/>
    <w:rsid w:val="00F16EA4"/>
    <w:rsid w:val="00F171C0"/>
    <w:rsid w:val="00F24EA6"/>
    <w:rsid w:val="00F269BC"/>
    <w:rsid w:val="00F3496E"/>
    <w:rsid w:val="00F36FB4"/>
    <w:rsid w:val="00F40671"/>
    <w:rsid w:val="00F455D8"/>
    <w:rsid w:val="00F53AF2"/>
    <w:rsid w:val="00F5465C"/>
    <w:rsid w:val="00F57733"/>
    <w:rsid w:val="00F60586"/>
    <w:rsid w:val="00F624D5"/>
    <w:rsid w:val="00F653EF"/>
    <w:rsid w:val="00F660FA"/>
    <w:rsid w:val="00F67586"/>
    <w:rsid w:val="00F74D9F"/>
    <w:rsid w:val="00F764C0"/>
    <w:rsid w:val="00F767E8"/>
    <w:rsid w:val="00F768F3"/>
    <w:rsid w:val="00F80969"/>
    <w:rsid w:val="00F80C86"/>
    <w:rsid w:val="00F82107"/>
    <w:rsid w:val="00F84A7E"/>
    <w:rsid w:val="00F84C85"/>
    <w:rsid w:val="00F87E43"/>
    <w:rsid w:val="00FA0F1F"/>
    <w:rsid w:val="00FA27BA"/>
    <w:rsid w:val="00FA41AA"/>
    <w:rsid w:val="00FA6836"/>
    <w:rsid w:val="00FA7DC3"/>
    <w:rsid w:val="00FB160D"/>
    <w:rsid w:val="00FB24AD"/>
    <w:rsid w:val="00FC3297"/>
    <w:rsid w:val="00FC6979"/>
    <w:rsid w:val="00FC6E91"/>
    <w:rsid w:val="00FD3CD1"/>
    <w:rsid w:val="00FD4A26"/>
    <w:rsid w:val="00FD506F"/>
    <w:rsid w:val="00FD56AA"/>
    <w:rsid w:val="00FD7B4C"/>
    <w:rsid w:val="00FE112A"/>
    <w:rsid w:val="00FE1B0B"/>
    <w:rsid w:val="00FF59C9"/>
    <w:rsid w:val="00FF6522"/>
    <w:rsid w:val="00FF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9A771"/>
  <w14:defaultImageDpi w14:val="300"/>
  <w15:docId w15:val="{39716AD0-12CB-C940-99CF-EECFC67F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DC5"/>
  </w:style>
  <w:style w:type="paragraph" w:styleId="Heading1">
    <w:name w:val="heading 1"/>
    <w:basedOn w:val="Normal"/>
    <w:next w:val="Normal"/>
    <w:link w:val="Heading1Char"/>
    <w:uiPriority w:val="9"/>
    <w:qFormat/>
    <w:rsid w:val="00F048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822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DC5"/>
    <w:rPr>
      <w:rFonts w:ascii="Lucida Grande" w:hAnsi="Lucida Grande" w:cs="Lucida Grande"/>
      <w:sz w:val="18"/>
      <w:szCs w:val="18"/>
    </w:rPr>
  </w:style>
  <w:style w:type="table" w:styleId="TableGrid">
    <w:name w:val="Table Grid"/>
    <w:basedOn w:val="TableNormal"/>
    <w:uiPriority w:val="59"/>
    <w:rsid w:val="00095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2118"/>
    <w:rPr>
      <w:sz w:val="18"/>
      <w:szCs w:val="18"/>
    </w:rPr>
  </w:style>
  <w:style w:type="paragraph" w:styleId="CommentText">
    <w:name w:val="annotation text"/>
    <w:basedOn w:val="Normal"/>
    <w:link w:val="CommentTextChar"/>
    <w:uiPriority w:val="99"/>
    <w:semiHidden/>
    <w:unhideWhenUsed/>
    <w:rsid w:val="00852118"/>
  </w:style>
  <w:style w:type="character" w:customStyle="1" w:styleId="CommentTextChar">
    <w:name w:val="Comment Text Char"/>
    <w:basedOn w:val="DefaultParagraphFont"/>
    <w:link w:val="CommentText"/>
    <w:uiPriority w:val="99"/>
    <w:semiHidden/>
    <w:rsid w:val="00852118"/>
  </w:style>
  <w:style w:type="paragraph" w:styleId="CommentSubject">
    <w:name w:val="annotation subject"/>
    <w:basedOn w:val="CommentText"/>
    <w:next w:val="CommentText"/>
    <w:link w:val="CommentSubjectChar"/>
    <w:uiPriority w:val="99"/>
    <w:semiHidden/>
    <w:unhideWhenUsed/>
    <w:rsid w:val="00852118"/>
    <w:rPr>
      <w:b/>
      <w:bCs/>
      <w:sz w:val="20"/>
      <w:szCs w:val="20"/>
    </w:rPr>
  </w:style>
  <w:style w:type="character" w:customStyle="1" w:styleId="CommentSubjectChar">
    <w:name w:val="Comment Subject Char"/>
    <w:basedOn w:val="CommentTextChar"/>
    <w:link w:val="CommentSubject"/>
    <w:uiPriority w:val="99"/>
    <w:semiHidden/>
    <w:rsid w:val="00852118"/>
    <w:rPr>
      <w:b/>
      <w:bCs/>
      <w:sz w:val="20"/>
      <w:szCs w:val="20"/>
    </w:rPr>
  </w:style>
  <w:style w:type="paragraph" w:styleId="ListParagraph">
    <w:name w:val="List Paragraph"/>
    <w:basedOn w:val="Normal"/>
    <w:uiPriority w:val="34"/>
    <w:qFormat/>
    <w:rsid w:val="005D5F6F"/>
    <w:pPr>
      <w:ind w:left="720"/>
      <w:contextualSpacing/>
    </w:pPr>
  </w:style>
  <w:style w:type="paragraph" w:styleId="Footer">
    <w:name w:val="footer"/>
    <w:basedOn w:val="Normal"/>
    <w:link w:val="FooterChar"/>
    <w:uiPriority w:val="99"/>
    <w:unhideWhenUsed/>
    <w:rsid w:val="00ED52F1"/>
    <w:pPr>
      <w:tabs>
        <w:tab w:val="center" w:pos="4320"/>
        <w:tab w:val="right" w:pos="8640"/>
      </w:tabs>
    </w:pPr>
  </w:style>
  <w:style w:type="character" w:customStyle="1" w:styleId="FooterChar">
    <w:name w:val="Footer Char"/>
    <w:basedOn w:val="DefaultParagraphFont"/>
    <w:link w:val="Footer"/>
    <w:uiPriority w:val="99"/>
    <w:rsid w:val="00ED52F1"/>
  </w:style>
  <w:style w:type="character" w:styleId="PageNumber">
    <w:name w:val="page number"/>
    <w:basedOn w:val="DefaultParagraphFont"/>
    <w:uiPriority w:val="99"/>
    <w:semiHidden/>
    <w:unhideWhenUsed/>
    <w:rsid w:val="00ED52F1"/>
  </w:style>
  <w:style w:type="paragraph" w:styleId="EndnoteText">
    <w:name w:val="endnote text"/>
    <w:basedOn w:val="Normal"/>
    <w:link w:val="EndnoteTextChar"/>
    <w:uiPriority w:val="99"/>
    <w:unhideWhenUsed/>
    <w:rsid w:val="00165F40"/>
  </w:style>
  <w:style w:type="character" w:customStyle="1" w:styleId="EndnoteTextChar">
    <w:name w:val="Endnote Text Char"/>
    <w:basedOn w:val="DefaultParagraphFont"/>
    <w:link w:val="EndnoteText"/>
    <w:uiPriority w:val="99"/>
    <w:rsid w:val="00165F40"/>
  </w:style>
  <w:style w:type="character" w:styleId="EndnoteReference">
    <w:name w:val="endnote reference"/>
    <w:basedOn w:val="DefaultParagraphFont"/>
    <w:uiPriority w:val="99"/>
    <w:unhideWhenUsed/>
    <w:rsid w:val="00165F40"/>
    <w:rPr>
      <w:vertAlign w:val="superscript"/>
    </w:rPr>
  </w:style>
  <w:style w:type="character" w:styleId="Hyperlink">
    <w:name w:val="Hyperlink"/>
    <w:basedOn w:val="DefaultParagraphFont"/>
    <w:uiPriority w:val="99"/>
    <w:unhideWhenUsed/>
    <w:rsid w:val="00EE3DF0"/>
    <w:rPr>
      <w:color w:val="0000FF"/>
      <w:u w:val="single"/>
    </w:rPr>
  </w:style>
  <w:style w:type="character" w:customStyle="1" w:styleId="Heading1Char">
    <w:name w:val="Heading 1 Char"/>
    <w:basedOn w:val="DefaultParagraphFont"/>
    <w:link w:val="Heading1"/>
    <w:uiPriority w:val="9"/>
    <w:rsid w:val="00F0484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48221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225D5D"/>
  </w:style>
  <w:style w:type="character" w:customStyle="1" w:styleId="FootnoteTextChar">
    <w:name w:val="Footnote Text Char"/>
    <w:basedOn w:val="DefaultParagraphFont"/>
    <w:link w:val="FootnoteText"/>
    <w:uiPriority w:val="99"/>
    <w:semiHidden/>
    <w:rsid w:val="00225D5D"/>
  </w:style>
  <w:style w:type="character" w:styleId="FootnoteReference">
    <w:name w:val="footnote reference"/>
    <w:basedOn w:val="DefaultParagraphFont"/>
    <w:uiPriority w:val="99"/>
    <w:semiHidden/>
    <w:unhideWhenUsed/>
    <w:rsid w:val="00225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27844">
      <w:bodyDiv w:val="1"/>
      <w:marLeft w:val="0"/>
      <w:marRight w:val="0"/>
      <w:marTop w:val="0"/>
      <w:marBottom w:val="0"/>
      <w:divBdr>
        <w:top w:val="none" w:sz="0" w:space="0" w:color="auto"/>
        <w:left w:val="none" w:sz="0" w:space="0" w:color="auto"/>
        <w:bottom w:val="none" w:sz="0" w:space="0" w:color="auto"/>
        <w:right w:val="none" w:sz="0" w:space="0" w:color="auto"/>
      </w:divBdr>
    </w:div>
    <w:div w:id="94327038">
      <w:bodyDiv w:val="1"/>
      <w:marLeft w:val="0"/>
      <w:marRight w:val="0"/>
      <w:marTop w:val="0"/>
      <w:marBottom w:val="0"/>
      <w:divBdr>
        <w:top w:val="none" w:sz="0" w:space="0" w:color="auto"/>
        <w:left w:val="none" w:sz="0" w:space="0" w:color="auto"/>
        <w:bottom w:val="none" w:sz="0" w:space="0" w:color="auto"/>
        <w:right w:val="none" w:sz="0" w:space="0" w:color="auto"/>
      </w:divBdr>
    </w:div>
    <w:div w:id="102069444">
      <w:bodyDiv w:val="1"/>
      <w:marLeft w:val="0"/>
      <w:marRight w:val="0"/>
      <w:marTop w:val="0"/>
      <w:marBottom w:val="0"/>
      <w:divBdr>
        <w:top w:val="none" w:sz="0" w:space="0" w:color="auto"/>
        <w:left w:val="none" w:sz="0" w:space="0" w:color="auto"/>
        <w:bottom w:val="none" w:sz="0" w:space="0" w:color="auto"/>
        <w:right w:val="none" w:sz="0" w:space="0" w:color="auto"/>
      </w:divBdr>
    </w:div>
    <w:div w:id="114713398">
      <w:bodyDiv w:val="1"/>
      <w:marLeft w:val="0"/>
      <w:marRight w:val="0"/>
      <w:marTop w:val="0"/>
      <w:marBottom w:val="0"/>
      <w:divBdr>
        <w:top w:val="none" w:sz="0" w:space="0" w:color="auto"/>
        <w:left w:val="none" w:sz="0" w:space="0" w:color="auto"/>
        <w:bottom w:val="none" w:sz="0" w:space="0" w:color="auto"/>
        <w:right w:val="none" w:sz="0" w:space="0" w:color="auto"/>
      </w:divBdr>
    </w:div>
    <w:div w:id="149174643">
      <w:bodyDiv w:val="1"/>
      <w:marLeft w:val="0"/>
      <w:marRight w:val="0"/>
      <w:marTop w:val="0"/>
      <w:marBottom w:val="0"/>
      <w:divBdr>
        <w:top w:val="none" w:sz="0" w:space="0" w:color="auto"/>
        <w:left w:val="none" w:sz="0" w:space="0" w:color="auto"/>
        <w:bottom w:val="none" w:sz="0" w:space="0" w:color="auto"/>
        <w:right w:val="none" w:sz="0" w:space="0" w:color="auto"/>
      </w:divBdr>
    </w:div>
    <w:div w:id="207302536">
      <w:bodyDiv w:val="1"/>
      <w:marLeft w:val="0"/>
      <w:marRight w:val="0"/>
      <w:marTop w:val="0"/>
      <w:marBottom w:val="0"/>
      <w:divBdr>
        <w:top w:val="none" w:sz="0" w:space="0" w:color="auto"/>
        <w:left w:val="none" w:sz="0" w:space="0" w:color="auto"/>
        <w:bottom w:val="none" w:sz="0" w:space="0" w:color="auto"/>
        <w:right w:val="none" w:sz="0" w:space="0" w:color="auto"/>
      </w:divBdr>
    </w:div>
    <w:div w:id="290987113">
      <w:bodyDiv w:val="1"/>
      <w:marLeft w:val="0"/>
      <w:marRight w:val="0"/>
      <w:marTop w:val="0"/>
      <w:marBottom w:val="0"/>
      <w:divBdr>
        <w:top w:val="none" w:sz="0" w:space="0" w:color="auto"/>
        <w:left w:val="none" w:sz="0" w:space="0" w:color="auto"/>
        <w:bottom w:val="none" w:sz="0" w:space="0" w:color="auto"/>
        <w:right w:val="none" w:sz="0" w:space="0" w:color="auto"/>
      </w:divBdr>
    </w:div>
    <w:div w:id="367069324">
      <w:bodyDiv w:val="1"/>
      <w:marLeft w:val="0"/>
      <w:marRight w:val="0"/>
      <w:marTop w:val="0"/>
      <w:marBottom w:val="0"/>
      <w:divBdr>
        <w:top w:val="none" w:sz="0" w:space="0" w:color="auto"/>
        <w:left w:val="none" w:sz="0" w:space="0" w:color="auto"/>
        <w:bottom w:val="none" w:sz="0" w:space="0" w:color="auto"/>
        <w:right w:val="none" w:sz="0" w:space="0" w:color="auto"/>
      </w:divBdr>
    </w:div>
    <w:div w:id="383523289">
      <w:bodyDiv w:val="1"/>
      <w:marLeft w:val="0"/>
      <w:marRight w:val="0"/>
      <w:marTop w:val="0"/>
      <w:marBottom w:val="0"/>
      <w:divBdr>
        <w:top w:val="none" w:sz="0" w:space="0" w:color="auto"/>
        <w:left w:val="none" w:sz="0" w:space="0" w:color="auto"/>
        <w:bottom w:val="none" w:sz="0" w:space="0" w:color="auto"/>
        <w:right w:val="none" w:sz="0" w:space="0" w:color="auto"/>
      </w:divBdr>
    </w:div>
    <w:div w:id="441337592">
      <w:bodyDiv w:val="1"/>
      <w:marLeft w:val="0"/>
      <w:marRight w:val="0"/>
      <w:marTop w:val="0"/>
      <w:marBottom w:val="0"/>
      <w:divBdr>
        <w:top w:val="none" w:sz="0" w:space="0" w:color="auto"/>
        <w:left w:val="none" w:sz="0" w:space="0" w:color="auto"/>
        <w:bottom w:val="none" w:sz="0" w:space="0" w:color="auto"/>
        <w:right w:val="none" w:sz="0" w:space="0" w:color="auto"/>
      </w:divBdr>
    </w:div>
    <w:div w:id="491943777">
      <w:bodyDiv w:val="1"/>
      <w:marLeft w:val="0"/>
      <w:marRight w:val="0"/>
      <w:marTop w:val="0"/>
      <w:marBottom w:val="0"/>
      <w:divBdr>
        <w:top w:val="none" w:sz="0" w:space="0" w:color="auto"/>
        <w:left w:val="none" w:sz="0" w:space="0" w:color="auto"/>
        <w:bottom w:val="none" w:sz="0" w:space="0" w:color="auto"/>
        <w:right w:val="none" w:sz="0" w:space="0" w:color="auto"/>
      </w:divBdr>
    </w:div>
    <w:div w:id="633020377">
      <w:bodyDiv w:val="1"/>
      <w:marLeft w:val="0"/>
      <w:marRight w:val="0"/>
      <w:marTop w:val="0"/>
      <w:marBottom w:val="0"/>
      <w:divBdr>
        <w:top w:val="none" w:sz="0" w:space="0" w:color="auto"/>
        <w:left w:val="none" w:sz="0" w:space="0" w:color="auto"/>
        <w:bottom w:val="none" w:sz="0" w:space="0" w:color="auto"/>
        <w:right w:val="none" w:sz="0" w:space="0" w:color="auto"/>
      </w:divBdr>
    </w:div>
    <w:div w:id="641882712">
      <w:bodyDiv w:val="1"/>
      <w:marLeft w:val="0"/>
      <w:marRight w:val="0"/>
      <w:marTop w:val="0"/>
      <w:marBottom w:val="0"/>
      <w:divBdr>
        <w:top w:val="none" w:sz="0" w:space="0" w:color="auto"/>
        <w:left w:val="none" w:sz="0" w:space="0" w:color="auto"/>
        <w:bottom w:val="none" w:sz="0" w:space="0" w:color="auto"/>
        <w:right w:val="none" w:sz="0" w:space="0" w:color="auto"/>
      </w:divBdr>
    </w:div>
    <w:div w:id="767651298">
      <w:bodyDiv w:val="1"/>
      <w:marLeft w:val="0"/>
      <w:marRight w:val="0"/>
      <w:marTop w:val="0"/>
      <w:marBottom w:val="0"/>
      <w:divBdr>
        <w:top w:val="none" w:sz="0" w:space="0" w:color="auto"/>
        <w:left w:val="none" w:sz="0" w:space="0" w:color="auto"/>
        <w:bottom w:val="none" w:sz="0" w:space="0" w:color="auto"/>
        <w:right w:val="none" w:sz="0" w:space="0" w:color="auto"/>
      </w:divBdr>
    </w:div>
    <w:div w:id="797843433">
      <w:bodyDiv w:val="1"/>
      <w:marLeft w:val="0"/>
      <w:marRight w:val="0"/>
      <w:marTop w:val="0"/>
      <w:marBottom w:val="0"/>
      <w:divBdr>
        <w:top w:val="none" w:sz="0" w:space="0" w:color="auto"/>
        <w:left w:val="none" w:sz="0" w:space="0" w:color="auto"/>
        <w:bottom w:val="none" w:sz="0" w:space="0" w:color="auto"/>
        <w:right w:val="none" w:sz="0" w:space="0" w:color="auto"/>
      </w:divBdr>
    </w:div>
    <w:div w:id="814953131">
      <w:bodyDiv w:val="1"/>
      <w:marLeft w:val="0"/>
      <w:marRight w:val="0"/>
      <w:marTop w:val="0"/>
      <w:marBottom w:val="0"/>
      <w:divBdr>
        <w:top w:val="none" w:sz="0" w:space="0" w:color="auto"/>
        <w:left w:val="none" w:sz="0" w:space="0" w:color="auto"/>
        <w:bottom w:val="none" w:sz="0" w:space="0" w:color="auto"/>
        <w:right w:val="none" w:sz="0" w:space="0" w:color="auto"/>
      </w:divBdr>
    </w:div>
    <w:div w:id="913704480">
      <w:bodyDiv w:val="1"/>
      <w:marLeft w:val="0"/>
      <w:marRight w:val="0"/>
      <w:marTop w:val="0"/>
      <w:marBottom w:val="0"/>
      <w:divBdr>
        <w:top w:val="none" w:sz="0" w:space="0" w:color="auto"/>
        <w:left w:val="none" w:sz="0" w:space="0" w:color="auto"/>
        <w:bottom w:val="none" w:sz="0" w:space="0" w:color="auto"/>
        <w:right w:val="none" w:sz="0" w:space="0" w:color="auto"/>
      </w:divBdr>
    </w:div>
    <w:div w:id="949511486">
      <w:bodyDiv w:val="1"/>
      <w:marLeft w:val="0"/>
      <w:marRight w:val="0"/>
      <w:marTop w:val="0"/>
      <w:marBottom w:val="0"/>
      <w:divBdr>
        <w:top w:val="none" w:sz="0" w:space="0" w:color="auto"/>
        <w:left w:val="none" w:sz="0" w:space="0" w:color="auto"/>
        <w:bottom w:val="none" w:sz="0" w:space="0" w:color="auto"/>
        <w:right w:val="none" w:sz="0" w:space="0" w:color="auto"/>
      </w:divBdr>
    </w:div>
    <w:div w:id="1157454238">
      <w:bodyDiv w:val="1"/>
      <w:marLeft w:val="0"/>
      <w:marRight w:val="0"/>
      <w:marTop w:val="0"/>
      <w:marBottom w:val="0"/>
      <w:divBdr>
        <w:top w:val="none" w:sz="0" w:space="0" w:color="auto"/>
        <w:left w:val="none" w:sz="0" w:space="0" w:color="auto"/>
        <w:bottom w:val="none" w:sz="0" w:space="0" w:color="auto"/>
        <w:right w:val="none" w:sz="0" w:space="0" w:color="auto"/>
      </w:divBdr>
    </w:div>
    <w:div w:id="1171599014">
      <w:bodyDiv w:val="1"/>
      <w:marLeft w:val="0"/>
      <w:marRight w:val="0"/>
      <w:marTop w:val="0"/>
      <w:marBottom w:val="0"/>
      <w:divBdr>
        <w:top w:val="none" w:sz="0" w:space="0" w:color="auto"/>
        <w:left w:val="none" w:sz="0" w:space="0" w:color="auto"/>
        <w:bottom w:val="none" w:sz="0" w:space="0" w:color="auto"/>
        <w:right w:val="none" w:sz="0" w:space="0" w:color="auto"/>
      </w:divBdr>
    </w:div>
    <w:div w:id="1204515143">
      <w:bodyDiv w:val="1"/>
      <w:marLeft w:val="0"/>
      <w:marRight w:val="0"/>
      <w:marTop w:val="0"/>
      <w:marBottom w:val="0"/>
      <w:divBdr>
        <w:top w:val="none" w:sz="0" w:space="0" w:color="auto"/>
        <w:left w:val="none" w:sz="0" w:space="0" w:color="auto"/>
        <w:bottom w:val="none" w:sz="0" w:space="0" w:color="auto"/>
        <w:right w:val="none" w:sz="0" w:space="0" w:color="auto"/>
      </w:divBdr>
    </w:div>
    <w:div w:id="1350983196">
      <w:bodyDiv w:val="1"/>
      <w:marLeft w:val="0"/>
      <w:marRight w:val="0"/>
      <w:marTop w:val="0"/>
      <w:marBottom w:val="0"/>
      <w:divBdr>
        <w:top w:val="none" w:sz="0" w:space="0" w:color="auto"/>
        <w:left w:val="none" w:sz="0" w:space="0" w:color="auto"/>
        <w:bottom w:val="none" w:sz="0" w:space="0" w:color="auto"/>
        <w:right w:val="none" w:sz="0" w:space="0" w:color="auto"/>
      </w:divBdr>
    </w:div>
    <w:div w:id="1381977636">
      <w:bodyDiv w:val="1"/>
      <w:marLeft w:val="0"/>
      <w:marRight w:val="0"/>
      <w:marTop w:val="0"/>
      <w:marBottom w:val="0"/>
      <w:divBdr>
        <w:top w:val="none" w:sz="0" w:space="0" w:color="auto"/>
        <w:left w:val="none" w:sz="0" w:space="0" w:color="auto"/>
        <w:bottom w:val="none" w:sz="0" w:space="0" w:color="auto"/>
        <w:right w:val="none" w:sz="0" w:space="0" w:color="auto"/>
      </w:divBdr>
    </w:div>
    <w:div w:id="1498380973">
      <w:bodyDiv w:val="1"/>
      <w:marLeft w:val="0"/>
      <w:marRight w:val="0"/>
      <w:marTop w:val="0"/>
      <w:marBottom w:val="0"/>
      <w:divBdr>
        <w:top w:val="none" w:sz="0" w:space="0" w:color="auto"/>
        <w:left w:val="none" w:sz="0" w:space="0" w:color="auto"/>
        <w:bottom w:val="none" w:sz="0" w:space="0" w:color="auto"/>
        <w:right w:val="none" w:sz="0" w:space="0" w:color="auto"/>
      </w:divBdr>
    </w:div>
    <w:div w:id="1635869205">
      <w:bodyDiv w:val="1"/>
      <w:marLeft w:val="0"/>
      <w:marRight w:val="0"/>
      <w:marTop w:val="0"/>
      <w:marBottom w:val="0"/>
      <w:divBdr>
        <w:top w:val="none" w:sz="0" w:space="0" w:color="auto"/>
        <w:left w:val="none" w:sz="0" w:space="0" w:color="auto"/>
        <w:bottom w:val="none" w:sz="0" w:space="0" w:color="auto"/>
        <w:right w:val="none" w:sz="0" w:space="0" w:color="auto"/>
      </w:divBdr>
    </w:div>
    <w:div w:id="1802646979">
      <w:bodyDiv w:val="1"/>
      <w:marLeft w:val="0"/>
      <w:marRight w:val="0"/>
      <w:marTop w:val="0"/>
      <w:marBottom w:val="0"/>
      <w:divBdr>
        <w:top w:val="none" w:sz="0" w:space="0" w:color="auto"/>
        <w:left w:val="none" w:sz="0" w:space="0" w:color="auto"/>
        <w:bottom w:val="none" w:sz="0" w:space="0" w:color="auto"/>
        <w:right w:val="none" w:sz="0" w:space="0" w:color="auto"/>
      </w:divBdr>
    </w:div>
    <w:div w:id="1897008954">
      <w:bodyDiv w:val="1"/>
      <w:marLeft w:val="0"/>
      <w:marRight w:val="0"/>
      <w:marTop w:val="0"/>
      <w:marBottom w:val="0"/>
      <w:divBdr>
        <w:top w:val="none" w:sz="0" w:space="0" w:color="auto"/>
        <w:left w:val="none" w:sz="0" w:space="0" w:color="auto"/>
        <w:bottom w:val="none" w:sz="0" w:space="0" w:color="auto"/>
        <w:right w:val="none" w:sz="0" w:space="0" w:color="auto"/>
      </w:divBdr>
    </w:div>
    <w:div w:id="1915892493">
      <w:bodyDiv w:val="1"/>
      <w:marLeft w:val="0"/>
      <w:marRight w:val="0"/>
      <w:marTop w:val="0"/>
      <w:marBottom w:val="0"/>
      <w:divBdr>
        <w:top w:val="none" w:sz="0" w:space="0" w:color="auto"/>
        <w:left w:val="none" w:sz="0" w:space="0" w:color="auto"/>
        <w:bottom w:val="none" w:sz="0" w:space="0" w:color="auto"/>
        <w:right w:val="none" w:sz="0" w:space="0" w:color="auto"/>
      </w:divBdr>
    </w:div>
    <w:div w:id="2014449012">
      <w:bodyDiv w:val="1"/>
      <w:marLeft w:val="0"/>
      <w:marRight w:val="0"/>
      <w:marTop w:val="0"/>
      <w:marBottom w:val="0"/>
      <w:divBdr>
        <w:top w:val="none" w:sz="0" w:space="0" w:color="auto"/>
        <w:left w:val="none" w:sz="0" w:space="0" w:color="auto"/>
        <w:bottom w:val="none" w:sz="0" w:space="0" w:color="auto"/>
        <w:right w:val="none" w:sz="0" w:space="0" w:color="auto"/>
      </w:divBdr>
    </w:div>
    <w:div w:id="2037928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ldbaileyonline.org/" TargetMode="External"/><Relationship Id="rId2" Type="http://schemas.openxmlformats.org/officeDocument/2006/relationships/hyperlink" Target="https://www.oldbaileyonline.org/" TargetMode="External"/><Relationship Id="rId1" Type="http://schemas.openxmlformats.org/officeDocument/2006/relationships/hyperlink" Target="http://gpih.ucdavis.edu/files/England_1209-1914_(Clark).xls" TargetMode="External"/><Relationship Id="rId4" Type="http://schemas.openxmlformats.org/officeDocument/2006/relationships/hyperlink" Target="https://www.oldbaileyonline.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Sheet1!$B$1</c:f>
              <c:strCache>
                <c:ptCount val="1"/>
                <c:pt idx="0">
                  <c:v>Column1</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Sheet1!$B$2:$B$51</c:f>
              <c:numCache>
                <c:formatCode>General</c:formatCode>
                <c:ptCount val="50"/>
                <c:pt idx="0">
                  <c:v>1002</c:v>
                </c:pt>
                <c:pt idx="1">
                  <c:v>944</c:v>
                </c:pt>
                <c:pt idx="2">
                  <c:v>1089</c:v>
                </c:pt>
                <c:pt idx="3">
                  <c:v>1018</c:v>
                </c:pt>
                <c:pt idx="4">
                  <c:v>850</c:v>
                </c:pt>
                <c:pt idx="5">
                  <c:v>619</c:v>
                </c:pt>
                <c:pt idx="6">
                  <c:v>768</c:v>
                </c:pt>
                <c:pt idx="7">
                  <c:v>871</c:v>
                </c:pt>
                <c:pt idx="8">
                  <c:v>1073</c:v>
                </c:pt>
                <c:pt idx="9">
                  <c:v>892</c:v>
                </c:pt>
                <c:pt idx="10">
                  <c:v>909</c:v>
                </c:pt>
                <c:pt idx="11">
                  <c:v>1006</c:v>
                </c:pt>
                <c:pt idx="12">
                  <c:v>1073</c:v>
                </c:pt>
                <c:pt idx="13">
                  <c:v>1124</c:v>
                </c:pt>
                <c:pt idx="14">
                  <c:v>1037</c:v>
                </c:pt>
                <c:pt idx="15">
                  <c:v>907</c:v>
                </c:pt>
                <c:pt idx="16">
                  <c:v>850</c:v>
                </c:pt>
                <c:pt idx="17">
                  <c:v>877</c:v>
                </c:pt>
                <c:pt idx="18">
                  <c:v>608</c:v>
                </c:pt>
                <c:pt idx="19">
                  <c:v>579</c:v>
                </c:pt>
                <c:pt idx="20">
                  <c:v>587</c:v>
                </c:pt>
                <c:pt idx="21">
                  <c:v>628</c:v>
                </c:pt>
                <c:pt idx="22">
                  <c:v>639</c:v>
                </c:pt>
                <c:pt idx="23">
                  <c:v>772</c:v>
                </c:pt>
                <c:pt idx="24">
                  <c:v>640</c:v>
                </c:pt>
                <c:pt idx="25">
                  <c:v>621</c:v>
                </c:pt>
                <c:pt idx="26">
                  <c:v>582</c:v>
                </c:pt>
                <c:pt idx="27">
                  <c:v>603</c:v>
                </c:pt>
                <c:pt idx="28">
                  <c:v>680</c:v>
                </c:pt>
                <c:pt idx="29">
                  <c:v>625</c:v>
                </c:pt>
                <c:pt idx="30">
                  <c:v>521</c:v>
                </c:pt>
                <c:pt idx="31">
                  <c:v>533</c:v>
                </c:pt>
                <c:pt idx="32">
                  <c:v>527</c:v>
                </c:pt>
                <c:pt idx="33">
                  <c:v>479</c:v>
                </c:pt>
                <c:pt idx="34">
                  <c:v>536</c:v>
                </c:pt>
                <c:pt idx="35">
                  <c:v>483</c:v>
                </c:pt>
                <c:pt idx="36">
                  <c:v>474</c:v>
                </c:pt>
                <c:pt idx="37">
                  <c:v>510</c:v>
                </c:pt>
                <c:pt idx="38">
                  <c:v>473</c:v>
                </c:pt>
                <c:pt idx="39">
                  <c:v>418</c:v>
                </c:pt>
                <c:pt idx="40">
                  <c:v>412</c:v>
                </c:pt>
                <c:pt idx="41">
                  <c:v>407</c:v>
                </c:pt>
                <c:pt idx="42">
                  <c:v>451</c:v>
                </c:pt>
                <c:pt idx="43">
                  <c:v>492</c:v>
                </c:pt>
                <c:pt idx="44">
                  <c:v>298</c:v>
                </c:pt>
                <c:pt idx="45">
                  <c:v>326</c:v>
                </c:pt>
                <c:pt idx="46">
                  <c:v>353</c:v>
                </c:pt>
                <c:pt idx="47">
                  <c:v>263</c:v>
                </c:pt>
                <c:pt idx="48">
                  <c:v>308</c:v>
                </c:pt>
                <c:pt idx="49">
                  <c:v>263</c:v>
                </c:pt>
              </c:numCache>
            </c:numRef>
          </c:val>
          <c:smooth val="0"/>
          <c:extLst>
            <c:ext xmlns:c16="http://schemas.microsoft.com/office/drawing/2014/chart" uri="{C3380CC4-5D6E-409C-BE32-E72D297353CC}">
              <c16:uniqueId val="{00000000-B07F-404A-8689-E911410585C1}"/>
            </c:ext>
          </c:extLst>
        </c:ser>
        <c:dLbls>
          <c:showLegendKey val="0"/>
          <c:showVal val="0"/>
          <c:showCatName val="0"/>
          <c:showSerName val="0"/>
          <c:showPercent val="0"/>
          <c:showBubbleSize val="0"/>
        </c:dLbls>
        <c:smooth val="0"/>
        <c:axId val="2114682200"/>
        <c:axId val="2114936056"/>
      </c:lineChart>
      <c:catAx>
        <c:axId val="2114682200"/>
        <c:scaling>
          <c:orientation val="minMax"/>
        </c:scaling>
        <c:delete val="0"/>
        <c:axPos val="b"/>
        <c:numFmt formatCode="General" sourceLinked="0"/>
        <c:majorTickMark val="out"/>
        <c:minorTickMark val="none"/>
        <c:tickLblPos val="nextTo"/>
        <c:crossAx val="2114936056"/>
        <c:crosses val="autoZero"/>
        <c:auto val="1"/>
        <c:lblAlgn val="ctr"/>
        <c:lblOffset val="100"/>
        <c:noMultiLvlLbl val="0"/>
      </c:catAx>
      <c:valAx>
        <c:axId val="2114936056"/>
        <c:scaling>
          <c:orientation val="minMax"/>
        </c:scaling>
        <c:delete val="0"/>
        <c:axPos val="l"/>
        <c:majorGridlines/>
        <c:numFmt formatCode="General" sourceLinked="1"/>
        <c:majorTickMark val="out"/>
        <c:minorTickMark val="none"/>
        <c:tickLblPos val="nextTo"/>
        <c:crossAx val="21146822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Sheet1!$B$1</c:f>
              <c:strCache>
                <c:ptCount val="1"/>
                <c:pt idx="0">
                  <c:v>Offences against the person</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Sheet1!$B$2:$B$51</c:f>
              <c:numCache>
                <c:formatCode>General</c:formatCode>
                <c:ptCount val="50"/>
                <c:pt idx="0">
                  <c:v>72</c:v>
                </c:pt>
                <c:pt idx="1">
                  <c:v>93</c:v>
                </c:pt>
                <c:pt idx="2">
                  <c:v>75</c:v>
                </c:pt>
                <c:pt idx="3">
                  <c:v>105</c:v>
                </c:pt>
                <c:pt idx="4">
                  <c:v>75</c:v>
                </c:pt>
                <c:pt idx="5">
                  <c:v>42</c:v>
                </c:pt>
                <c:pt idx="6">
                  <c:v>63</c:v>
                </c:pt>
                <c:pt idx="7">
                  <c:v>64</c:v>
                </c:pt>
                <c:pt idx="8">
                  <c:v>93</c:v>
                </c:pt>
                <c:pt idx="9">
                  <c:v>51</c:v>
                </c:pt>
                <c:pt idx="10">
                  <c:v>65</c:v>
                </c:pt>
                <c:pt idx="11">
                  <c:v>86</c:v>
                </c:pt>
                <c:pt idx="12">
                  <c:v>82</c:v>
                </c:pt>
                <c:pt idx="13">
                  <c:v>119</c:v>
                </c:pt>
                <c:pt idx="14">
                  <c:v>37</c:v>
                </c:pt>
                <c:pt idx="15">
                  <c:v>91</c:v>
                </c:pt>
                <c:pt idx="16">
                  <c:v>87</c:v>
                </c:pt>
                <c:pt idx="17">
                  <c:v>102</c:v>
                </c:pt>
                <c:pt idx="18">
                  <c:v>73</c:v>
                </c:pt>
                <c:pt idx="19">
                  <c:v>60</c:v>
                </c:pt>
                <c:pt idx="20">
                  <c:v>82</c:v>
                </c:pt>
                <c:pt idx="21">
                  <c:v>75</c:v>
                </c:pt>
                <c:pt idx="22">
                  <c:v>83</c:v>
                </c:pt>
                <c:pt idx="23">
                  <c:v>87</c:v>
                </c:pt>
                <c:pt idx="24">
                  <c:v>67</c:v>
                </c:pt>
                <c:pt idx="25">
                  <c:v>57</c:v>
                </c:pt>
                <c:pt idx="26">
                  <c:v>63</c:v>
                </c:pt>
                <c:pt idx="27">
                  <c:v>90</c:v>
                </c:pt>
                <c:pt idx="28">
                  <c:v>85</c:v>
                </c:pt>
                <c:pt idx="29">
                  <c:v>86</c:v>
                </c:pt>
                <c:pt idx="30">
                  <c:v>62</c:v>
                </c:pt>
                <c:pt idx="31">
                  <c:v>89</c:v>
                </c:pt>
                <c:pt idx="32">
                  <c:v>67</c:v>
                </c:pt>
                <c:pt idx="33">
                  <c:v>68</c:v>
                </c:pt>
                <c:pt idx="34">
                  <c:v>107</c:v>
                </c:pt>
                <c:pt idx="35">
                  <c:v>89</c:v>
                </c:pt>
                <c:pt idx="36">
                  <c:v>103</c:v>
                </c:pt>
                <c:pt idx="37">
                  <c:v>88</c:v>
                </c:pt>
                <c:pt idx="38">
                  <c:v>55</c:v>
                </c:pt>
                <c:pt idx="39">
                  <c:v>63</c:v>
                </c:pt>
                <c:pt idx="40">
                  <c:v>68</c:v>
                </c:pt>
                <c:pt idx="41">
                  <c:v>74</c:v>
                </c:pt>
                <c:pt idx="42">
                  <c:v>78</c:v>
                </c:pt>
                <c:pt idx="43">
                  <c:v>72</c:v>
                </c:pt>
                <c:pt idx="44">
                  <c:v>66</c:v>
                </c:pt>
                <c:pt idx="45">
                  <c:v>76</c:v>
                </c:pt>
                <c:pt idx="46">
                  <c:v>78</c:v>
                </c:pt>
                <c:pt idx="47">
                  <c:v>50</c:v>
                </c:pt>
                <c:pt idx="48">
                  <c:v>96</c:v>
                </c:pt>
                <c:pt idx="49">
                  <c:v>68</c:v>
                </c:pt>
              </c:numCache>
            </c:numRef>
          </c:val>
          <c:smooth val="0"/>
          <c:extLst>
            <c:ext xmlns:c16="http://schemas.microsoft.com/office/drawing/2014/chart" uri="{C3380CC4-5D6E-409C-BE32-E72D297353CC}">
              <c16:uniqueId val="{00000000-858A-A54F-AC71-BDE4D6EA1C3F}"/>
            </c:ext>
          </c:extLst>
        </c:ser>
        <c:ser>
          <c:idx val="1"/>
          <c:order val="1"/>
          <c:tx>
            <c:strRef>
              <c:f>Sheet1!$C$1</c:f>
              <c:strCache>
                <c:ptCount val="1"/>
                <c:pt idx="0">
                  <c:v>Offences against property involving violence</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Sheet1!$C$2:$C$51</c:f>
              <c:numCache>
                <c:formatCode>General</c:formatCode>
                <c:ptCount val="50"/>
                <c:pt idx="0">
                  <c:v>62</c:v>
                </c:pt>
                <c:pt idx="1">
                  <c:v>52</c:v>
                </c:pt>
                <c:pt idx="2">
                  <c:v>69</c:v>
                </c:pt>
                <c:pt idx="3">
                  <c:v>89</c:v>
                </c:pt>
                <c:pt idx="4">
                  <c:v>45</c:v>
                </c:pt>
                <c:pt idx="5">
                  <c:v>45</c:v>
                </c:pt>
                <c:pt idx="6">
                  <c:v>39</c:v>
                </c:pt>
                <c:pt idx="7">
                  <c:v>45</c:v>
                </c:pt>
                <c:pt idx="8">
                  <c:v>86</c:v>
                </c:pt>
                <c:pt idx="9">
                  <c:v>40</c:v>
                </c:pt>
                <c:pt idx="10">
                  <c:v>70</c:v>
                </c:pt>
                <c:pt idx="11">
                  <c:v>76</c:v>
                </c:pt>
                <c:pt idx="12">
                  <c:v>58</c:v>
                </c:pt>
                <c:pt idx="13">
                  <c:v>106</c:v>
                </c:pt>
                <c:pt idx="14">
                  <c:v>43</c:v>
                </c:pt>
                <c:pt idx="15">
                  <c:v>56</c:v>
                </c:pt>
                <c:pt idx="16">
                  <c:v>71</c:v>
                </c:pt>
                <c:pt idx="17">
                  <c:v>76</c:v>
                </c:pt>
                <c:pt idx="18">
                  <c:v>48</c:v>
                </c:pt>
                <c:pt idx="19">
                  <c:v>49</c:v>
                </c:pt>
                <c:pt idx="20">
                  <c:v>30</c:v>
                </c:pt>
                <c:pt idx="21">
                  <c:v>49</c:v>
                </c:pt>
                <c:pt idx="22">
                  <c:v>68</c:v>
                </c:pt>
                <c:pt idx="23">
                  <c:v>92</c:v>
                </c:pt>
                <c:pt idx="24">
                  <c:v>54</c:v>
                </c:pt>
                <c:pt idx="25">
                  <c:v>58</c:v>
                </c:pt>
                <c:pt idx="26">
                  <c:v>24</c:v>
                </c:pt>
                <c:pt idx="27">
                  <c:v>42</c:v>
                </c:pt>
                <c:pt idx="28">
                  <c:v>70</c:v>
                </c:pt>
                <c:pt idx="29">
                  <c:v>59</c:v>
                </c:pt>
                <c:pt idx="30">
                  <c:v>33</c:v>
                </c:pt>
                <c:pt idx="31">
                  <c:v>39</c:v>
                </c:pt>
                <c:pt idx="32">
                  <c:v>28</c:v>
                </c:pt>
                <c:pt idx="33">
                  <c:v>33</c:v>
                </c:pt>
                <c:pt idx="34">
                  <c:v>47</c:v>
                </c:pt>
                <c:pt idx="35">
                  <c:v>26</c:v>
                </c:pt>
                <c:pt idx="36">
                  <c:v>20</c:v>
                </c:pt>
                <c:pt idx="37">
                  <c:v>42</c:v>
                </c:pt>
                <c:pt idx="38">
                  <c:v>42</c:v>
                </c:pt>
                <c:pt idx="39">
                  <c:v>42</c:v>
                </c:pt>
                <c:pt idx="40">
                  <c:v>50</c:v>
                </c:pt>
                <c:pt idx="41">
                  <c:v>39</c:v>
                </c:pt>
                <c:pt idx="42">
                  <c:v>49</c:v>
                </c:pt>
                <c:pt idx="43">
                  <c:v>53</c:v>
                </c:pt>
                <c:pt idx="44">
                  <c:v>30</c:v>
                </c:pt>
                <c:pt idx="45">
                  <c:v>28</c:v>
                </c:pt>
                <c:pt idx="46">
                  <c:v>44</c:v>
                </c:pt>
                <c:pt idx="47">
                  <c:v>53</c:v>
                </c:pt>
                <c:pt idx="48">
                  <c:v>28</c:v>
                </c:pt>
                <c:pt idx="49">
                  <c:v>33</c:v>
                </c:pt>
              </c:numCache>
            </c:numRef>
          </c:val>
          <c:smooth val="0"/>
          <c:extLst>
            <c:ext xmlns:c16="http://schemas.microsoft.com/office/drawing/2014/chart" uri="{C3380CC4-5D6E-409C-BE32-E72D297353CC}">
              <c16:uniqueId val="{00000001-858A-A54F-AC71-BDE4D6EA1C3F}"/>
            </c:ext>
          </c:extLst>
        </c:ser>
        <c:ser>
          <c:idx val="2"/>
          <c:order val="2"/>
          <c:tx>
            <c:strRef>
              <c:f>Sheet1!$D$1</c:f>
              <c:strCache>
                <c:ptCount val="1"/>
                <c:pt idx="0">
                  <c:v>Offences against property not involving violence</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Sheet1!$D$2:$D$51</c:f>
              <c:numCache>
                <c:formatCode>General</c:formatCode>
                <c:ptCount val="50"/>
                <c:pt idx="0">
                  <c:v>802</c:v>
                </c:pt>
                <c:pt idx="1">
                  <c:v>746</c:v>
                </c:pt>
                <c:pt idx="2">
                  <c:v>837</c:v>
                </c:pt>
                <c:pt idx="3">
                  <c:v>735</c:v>
                </c:pt>
                <c:pt idx="4">
                  <c:v>681</c:v>
                </c:pt>
                <c:pt idx="5">
                  <c:v>491</c:v>
                </c:pt>
                <c:pt idx="6">
                  <c:v>640</c:v>
                </c:pt>
                <c:pt idx="7">
                  <c:v>724</c:v>
                </c:pt>
                <c:pt idx="8">
                  <c:v>785</c:v>
                </c:pt>
                <c:pt idx="9">
                  <c:v>762</c:v>
                </c:pt>
                <c:pt idx="10">
                  <c:v>719</c:v>
                </c:pt>
                <c:pt idx="11">
                  <c:v>801</c:v>
                </c:pt>
                <c:pt idx="12">
                  <c:v>833</c:v>
                </c:pt>
                <c:pt idx="13">
                  <c:v>847</c:v>
                </c:pt>
                <c:pt idx="14">
                  <c:v>926</c:v>
                </c:pt>
                <c:pt idx="15">
                  <c:v>713</c:v>
                </c:pt>
                <c:pt idx="16">
                  <c:v>661</c:v>
                </c:pt>
                <c:pt idx="17">
                  <c:v>649</c:v>
                </c:pt>
                <c:pt idx="18">
                  <c:v>441</c:v>
                </c:pt>
                <c:pt idx="19">
                  <c:v>435</c:v>
                </c:pt>
                <c:pt idx="20">
                  <c:v>434</c:v>
                </c:pt>
                <c:pt idx="21">
                  <c:v>468</c:v>
                </c:pt>
                <c:pt idx="22">
                  <c:v>432</c:v>
                </c:pt>
                <c:pt idx="23">
                  <c:v>495</c:v>
                </c:pt>
                <c:pt idx="24">
                  <c:v>470</c:v>
                </c:pt>
                <c:pt idx="25">
                  <c:v>473</c:v>
                </c:pt>
                <c:pt idx="26">
                  <c:v>475</c:v>
                </c:pt>
                <c:pt idx="27">
                  <c:v>423</c:v>
                </c:pt>
                <c:pt idx="28">
                  <c:v>445</c:v>
                </c:pt>
                <c:pt idx="29">
                  <c:v>427</c:v>
                </c:pt>
                <c:pt idx="30">
                  <c:v>407</c:v>
                </c:pt>
                <c:pt idx="31">
                  <c:v>381</c:v>
                </c:pt>
                <c:pt idx="32">
                  <c:v>389</c:v>
                </c:pt>
                <c:pt idx="33">
                  <c:v>343</c:v>
                </c:pt>
                <c:pt idx="34">
                  <c:v>362</c:v>
                </c:pt>
                <c:pt idx="35">
                  <c:v>343</c:v>
                </c:pt>
                <c:pt idx="36">
                  <c:v>329</c:v>
                </c:pt>
                <c:pt idx="37">
                  <c:v>352</c:v>
                </c:pt>
                <c:pt idx="38">
                  <c:v>356</c:v>
                </c:pt>
                <c:pt idx="39">
                  <c:v>297</c:v>
                </c:pt>
                <c:pt idx="40">
                  <c:v>275</c:v>
                </c:pt>
                <c:pt idx="41">
                  <c:v>268</c:v>
                </c:pt>
                <c:pt idx="42">
                  <c:v>290</c:v>
                </c:pt>
                <c:pt idx="43">
                  <c:v>315</c:v>
                </c:pt>
                <c:pt idx="44">
                  <c:v>185</c:v>
                </c:pt>
                <c:pt idx="45">
                  <c:v>195</c:v>
                </c:pt>
                <c:pt idx="46">
                  <c:v>202</c:v>
                </c:pt>
                <c:pt idx="47">
                  <c:v>134</c:v>
                </c:pt>
                <c:pt idx="48">
                  <c:v>163</c:v>
                </c:pt>
                <c:pt idx="49">
                  <c:v>144</c:v>
                </c:pt>
              </c:numCache>
            </c:numRef>
          </c:val>
          <c:smooth val="0"/>
          <c:extLst>
            <c:ext xmlns:c16="http://schemas.microsoft.com/office/drawing/2014/chart" uri="{C3380CC4-5D6E-409C-BE32-E72D297353CC}">
              <c16:uniqueId val="{00000002-858A-A54F-AC71-BDE4D6EA1C3F}"/>
            </c:ext>
          </c:extLst>
        </c:ser>
        <c:ser>
          <c:idx val="3"/>
          <c:order val="3"/>
          <c:tx>
            <c:strRef>
              <c:f>Sheet1!$E$1</c:f>
              <c:strCache>
                <c:ptCount val="1"/>
                <c:pt idx="0">
                  <c:v>Malicious offences against property </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Sheet1!$E$2:$E$51</c:f>
              <c:numCache>
                <c:formatCode>General</c:formatCode>
                <c:ptCount val="50"/>
                <c:pt idx="0">
                  <c:v>1</c:v>
                </c:pt>
                <c:pt idx="1">
                  <c:v>1</c:v>
                </c:pt>
                <c:pt idx="2">
                  <c:v>4</c:v>
                </c:pt>
                <c:pt idx="3">
                  <c:v>3</c:v>
                </c:pt>
                <c:pt idx="4">
                  <c:v>4</c:v>
                </c:pt>
                <c:pt idx="5">
                  <c:v>0</c:v>
                </c:pt>
                <c:pt idx="6">
                  <c:v>6</c:v>
                </c:pt>
                <c:pt idx="7">
                  <c:v>7</c:v>
                </c:pt>
                <c:pt idx="8">
                  <c:v>10</c:v>
                </c:pt>
                <c:pt idx="9">
                  <c:v>8</c:v>
                </c:pt>
                <c:pt idx="10">
                  <c:v>6</c:v>
                </c:pt>
                <c:pt idx="11">
                  <c:v>10</c:v>
                </c:pt>
                <c:pt idx="12">
                  <c:v>10</c:v>
                </c:pt>
                <c:pt idx="13">
                  <c:v>8</c:v>
                </c:pt>
                <c:pt idx="14">
                  <c:v>1</c:v>
                </c:pt>
                <c:pt idx="15">
                  <c:v>3</c:v>
                </c:pt>
                <c:pt idx="16">
                  <c:v>7</c:v>
                </c:pt>
                <c:pt idx="17">
                  <c:v>19</c:v>
                </c:pt>
                <c:pt idx="18">
                  <c:v>2</c:v>
                </c:pt>
                <c:pt idx="19">
                  <c:v>3</c:v>
                </c:pt>
                <c:pt idx="20">
                  <c:v>6</c:v>
                </c:pt>
                <c:pt idx="21">
                  <c:v>4</c:v>
                </c:pt>
                <c:pt idx="22">
                  <c:v>7</c:v>
                </c:pt>
                <c:pt idx="23">
                  <c:v>27</c:v>
                </c:pt>
                <c:pt idx="24">
                  <c:v>20</c:v>
                </c:pt>
                <c:pt idx="25">
                  <c:v>5</c:v>
                </c:pt>
                <c:pt idx="26">
                  <c:v>6</c:v>
                </c:pt>
                <c:pt idx="27">
                  <c:v>4</c:v>
                </c:pt>
                <c:pt idx="28">
                  <c:v>14</c:v>
                </c:pt>
                <c:pt idx="29">
                  <c:v>10</c:v>
                </c:pt>
                <c:pt idx="30">
                  <c:v>1</c:v>
                </c:pt>
                <c:pt idx="31">
                  <c:v>5</c:v>
                </c:pt>
                <c:pt idx="32">
                  <c:v>2</c:v>
                </c:pt>
                <c:pt idx="33">
                  <c:v>3</c:v>
                </c:pt>
                <c:pt idx="34">
                  <c:v>2</c:v>
                </c:pt>
                <c:pt idx="35">
                  <c:v>5</c:v>
                </c:pt>
                <c:pt idx="36">
                  <c:v>6</c:v>
                </c:pt>
                <c:pt idx="37">
                  <c:v>8</c:v>
                </c:pt>
                <c:pt idx="38">
                  <c:v>1</c:v>
                </c:pt>
                <c:pt idx="39">
                  <c:v>5</c:v>
                </c:pt>
                <c:pt idx="40">
                  <c:v>3</c:v>
                </c:pt>
                <c:pt idx="41">
                  <c:v>2</c:v>
                </c:pt>
                <c:pt idx="42">
                  <c:v>2</c:v>
                </c:pt>
                <c:pt idx="43">
                  <c:v>8</c:v>
                </c:pt>
                <c:pt idx="44">
                  <c:v>0</c:v>
                </c:pt>
                <c:pt idx="45">
                  <c:v>3</c:v>
                </c:pt>
                <c:pt idx="46">
                  <c:v>1</c:v>
                </c:pt>
                <c:pt idx="47">
                  <c:v>4</c:v>
                </c:pt>
                <c:pt idx="48">
                  <c:v>7</c:v>
                </c:pt>
                <c:pt idx="49">
                  <c:v>4</c:v>
                </c:pt>
              </c:numCache>
            </c:numRef>
          </c:val>
          <c:smooth val="0"/>
          <c:extLst>
            <c:ext xmlns:c16="http://schemas.microsoft.com/office/drawing/2014/chart" uri="{C3380CC4-5D6E-409C-BE32-E72D297353CC}">
              <c16:uniqueId val="{00000003-858A-A54F-AC71-BDE4D6EA1C3F}"/>
            </c:ext>
          </c:extLst>
        </c:ser>
        <c:ser>
          <c:idx val="4"/>
          <c:order val="4"/>
          <c:tx>
            <c:strRef>
              <c:f>Sheet1!$F$1</c:f>
              <c:strCache>
                <c:ptCount val="1"/>
                <c:pt idx="0">
                  <c:v>Offences against the currency</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Sheet1!$F$2:$F$51</c:f>
              <c:numCache>
                <c:formatCode>General</c:formatCode>
                <c:ptCount val="50"/>
                <c:pt idx="0">
                  <c:v>9</c:v>
                </c:pt>
                <c:pt idx="1">
                  <c:v>8</c:v>
                </c:pt>
                <c:pt idx="2">
                  <c:v>10</c:v>
                </c:pt>
                <c:pt idx="3">
                  <c:v>15</c:v>
                </c:pt>
                <c:pt idx="4">
                  <c:v>16</c:v>
                </c:pt>
                <c:pt idx="5">
                  <c:v>7</c:v>
                </c:pt>
                <c:pt idx="6">
                  <c:v>4</c:v>
                </c:pt>
                <c:pt idx="7">
                  <c:v>7</c:v>
                </c:pt>
                <c:pt idx="8">
                  <c:v>15</c:v>
                </c:pt>
                <c:pt idx="9">
                  <c:v>16</c:v>
                </c:pt>
                <c:pt idx="10">
                  <c:v>30</c:v>
                </c:pt>
                <c:pt idx="11">
                  <c:v>15</c:v>
                </c:pt>
                <c:pt idx="12">
                  <c:v>29</c:v>
                </c:pt>
                <c:pt idx="13">
                  <c:v>18</c:v>
                </c:pt>
                <c:pt idx="14">
                  <c:v>18</c:v>
                </c:pt>
                <c:pt idx="15">
                  <c:v>29</c:v>
                </c:pt>
                <c:pt idx="16">
                  <c:v>17</c:v>
                </c:pt>
                <c:pt idx="17">
                  <c:v>21</c:v>
                </c:pt>
                <c:pt idx="18">
                  <c:v>14</c:v>
                </c:pt>
                <c:pt idx="19">
                  <c:v>15</c:v>
                </c:pt>
                <c:pt idx="20">
                  <c:v>19</c:v>
                </c:pt>
                <c:pt idx="21">
                  <c:v>17</c:v>
                </c:pt>
                <c:pt idx="22">
                  <c:v>8</c:v>
                </c:pt>
                <c:pt idx="23">
                  <c:v>16</c:v>
                </c:pt>
                <c:pt idx="24">
                  <c:v>9</c:v>
                </c:pt>
                <c:pt idx="25">
                  <c:v>6</c:v>
                </c:pt>
                <c:pt idx="26">
                  <c:v>7</c:v>
                </c:pt>
                <c:pt idx="27">
                  <c:v>4</c:v>
                </c:pt>
                <c:pt idx="28">
                  <c:v>8</c:v>
                </c:pt>
                <c:pt idx="29">
                  <c:v>20</c:v>
                </c:pt>
                <c:pt idx="30">
                  <c:v>4</c:v>
                </c:pt>
                <c:pt idx="31">
                  <c:v>7</c:v>
                </c:pt>
                <c:pt idx="32">
                  <c:v>6</c:v>
                </c:pt>
                <c:pt idx="33">
                  <c:v>13</c:v>
                </c:pt>
                <c:pt idx="34">
                  <c:v>4</c:v>
                </c:pt>
                <c:pt idx="35">
                  <c:v>8</c:v>
                </c:pt>
                <c:pt idx="36">
                  <c:v>2</c:v>
                </c:pt>
                <c:pt idx="37">
                  <c:v>6</c:v>
                </c:pt>
                <c:pt idx="38">
                  <c:v>5</c:v>
                </c:pt>
                <c:pt idx="39">
                  <c:v>3</c:v>
                </c:pt>
                <c:pt idx="40">
                  <c:v>5</c:v>
                </c:pt>
                <c:pt idx="41">
                  <c:v>8</c:v>
                </c:pt>
                <c:pt idx="42">
                  <c:v>5</c:v>
                </c:pt>
                <c:pt idx="43">
                  <c:v>7</c:v>
                </c:pt>
                <c:pt idx="44">
                  <c:v>6</c:v>
                </c:pt>
                <c:pt idx="45">
                  <c:v>6</c:v>
                </c:pt>
                <c:pt idx="46">
                  <c:v>12</c:v>
                </c:pt>
                <c:pt idx="47">
                  <c:v>6</c:v>
                </c:pt>
                <c:pt idx="48">
                  <c:v>3</c:v>
                </c:pt>
                <c:pt idx="49">
                  <c:v>9</c:v>
                </c:pt>
              </c:numCache>
            </c:numRef>
          </c:val>
          <c:smooth val="0"/>
          <c:extLst>
            <c:ext xmlns:c16="http://schemas.microsoft.com/office/drawing/2014/chart" uri="{C3380CC4-5D6E-409C-BE32-E72D297353CC}">
              <c16:uniqueId val="{00000004-858A-A54F-AC71-BDE4D6EA1C3F}"/>
            </c:ext>
          </c:extLst>
        </c:ser>
        <c:ser>
          <c:idx val="5"/>
          <c:order val="5"/>
          <c:tx>
            <c:strRef>
              <c:f>Sheet1!$G$1</c:f>
              <c:strCache>
                <c:ptCount val="1"/>
                <c:pt idx="0">
                  <c:v>Misc. offences</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Sheet1!$G$2:$G$51</c:f>
              <c:numCache>
                <c:formatCode>General</c:formatCode>
                <c:ptCount val="50"/>
                <c:pt idx="0">
                  <c:v>56</c:v>
                </c:pt>
                <c:pt idx="1">
                  <c:v>44</c:v>
                </c:pt>
                <c:pt idx="2">
                  <c:v>94</c:v>
                </c:pt>
                <c:pt idx="3">
                  <c:v>71</c:v>
                </c:pt>
                <c:pt idx="4">
                  <c:v>29</c:v>
                </c:pt>
                <c:pt idx="5">
                  <c:v>34</c:v>
                </c:pt>
                <c:pt idx="6">
                  <c:v>16</c:v>
                </c:pt>
                <c:pt idx="7">
                  <c:v>24</c:v>
                </c:pt>
                <c:pt idx="8">
                  <c:v>84</c:v>
                </c:pt>
                <c:pt idx="9">
                  <c:v>15</c:v>
                </c:pt>
                <c:pt idx="10">
                  <c:v>19</c:v>
                </c:pt>
                <c:pt idx="11">
                  <c:v>18</c:v>
                </c:pt>
                <c:pt idx="12">
                  <c:v>61</c:v>
                </c:pt>
                <c:pt idx="13">
                  <c:v>26</c:v>
                </c:pt>
                <c:pt idx="14">
                  <c:v>12</c:v>
                </c:pt>
                <c:pt idx="15">
                  <c:v>15</c:v>
                </c:pt>
                <c:pt idx="16">
                  <c:v>7</c:v>
                </c:pt>
                <c:pt idx="17">
                  <c:v>10</c:v>
                </c:pt>
                <c:pt idx="18">
                  <c:v>30</c:v>
                </c:pt>
                <c:pt idx="19">
                  <c:v>17</c:v>
                </c:pt>
                <c:pt idx="20">
                  <c:v>16</c:v>
                </c:pt>
                <c:pt idx="21">
                  <c:v>15</c:v>
                </c:pt>
                <c:pt idx="22">
                  <c:v>41</c:v>
                </c:pt>
                <c:pt idx="23">
                  <c:v>55</c:v>
                </c:pt>
                <c:pt idx="24">
                  <c:v>20</c:v>
                </c:pt>
                <c:pt idx="25">
                  <c:v>22</c:v>
                </c:pt>
                <c:pt idx="26">
                  <c:v>7</c:v>
                </c:pt>
                <c:pt idx="27">
                  <c:v>40</c:v>
                </c:pt>
                <c:pt idx="28">
                  <c:v>58</c:v>
                </c:pt>
                <c:pt idx="29">
                  <c:v>23</c:v>
                </c:pt>
                <c:pt idx="30">
                  <c:v>14</c:v>
                </c:pt>
                <c:pt idx="31">
                  <c:v>12</c:v>
                </c:pt>
                <c:pt idx="32">
                  <c:v>35</c:v>
                </c:pt>
                <c:pt idx="33">
                  <c:v>19</c:v>
                </c:pt>
                <c:pt idx="34">
                  <c:v>14</c:v>
                </c:pt>
                <c:pt idx="35">
                  <c:v>12</c:v>
                </c:pt>
                <c:pt idx="36">
                  <c:v>14</c:v>
                </c:pt>
                <c:pt idx="37">
                  <c:v>14</c:v>
                </c:pt>
                <c:pt idx="38">
                  <c:v>14</c:v>
                </c:pt>
                <c:pt idx="39">
                  <c:v>8</c:v>
                </c:pt>
                <c:pt idx="40">
                  <c:v>11</c:v>
                </c:pt>
                <c:pt idx="41">
                  <c:v>16</c:v>
                </c:pt>
                <c:pt idx="42">
                  <c:v>27</c:v>
                </c:pt>
                <c:pt idx="43">
                  <c:v>37</c:v>
                </c:pt>
                <c:pt idx="44">
                  <c:v>11</c:v>
                </c:pt>
                <c:pt idx="45">
                  <c:v>18</c:v>
                </c:pt>
                <c:pt idx="46">
                  <c:v>16</c:v>
                </c:pt>
                <c:pt idx="47">
                  <c:v>16</c:v>
                </c:pt>
                <c:pt idx="48">
                  <c:v>11</c:v>
                </c:pt>
                <c:pt idx="49">
                  <c:v>5</c:v>
                </c:pt>
              </c:numCache>
            </c:numRef>
          </c:val>
          <c:smooth val="0"/>
          <c:extLst>
            <c:ext xmlns:c16="http://schemas.microsoft.com/office/drawing/2014/chart" uri="{C3380CC4-5D6E-409C-BE32-E72D297353CC}">
              <c16:uniqueId val="{00000005-858A-A54F-AC71-BDE4D6EA1C3F}"/>
            </c:ext>
          </c:extLst>
        </c:ser>
        <c:dLbls>
          <c:showLegendKey val="0"/>
          <c:showVal val="0"/>
          <c:showCatName val="0"/>
          <c:showSerName val="0"/>
          <c:showPercent val="0"/>
          <c:showBubbleSize val="0"/>
        </c:dLbls>
        <c:smooth val="0"/>
        <c:axId val="2118101832"/>
        <c:axId val="2145473832"/>
      </c:lineChart>
      <c:catAx>
        <c:axId val="2118101832"/>
        <c:scaling>
          <c:orientation val="minMax"/>
        </c:scaling>
        <c:delete val="0"/>
        <c:axPos val="b"/>
        <c:numFmt formatCode="General" sourceLinked="1"/>
        <c:majorTickMark val="out"/>
        <c:minorTickMark val="none"/>
        <c:tickLblPos val="nextTo"/>
        <c:crossAx val="2145473832"/>
        <c:crosses val="autoZero"/>
        <c:auto val="1"/>
        <c:lblAlgn val="ctr"/>
        <c:lblOffset val="100"/>
        <c:noMultiLvlLbl val="0"/>
      </c:catAx>
      <c:valAx>
        <c:axId val="2145473832"/>
        <c:scaling>
          <c:orientation val="minMax"/>
        </c:scaling>
        <c:delete val="0"/>
        <c:axPos val="l"/>
        <c:majorGridlines/>
        <c:numFmt formatCode="General" sourceLinked="1"/>
        <c:majorTickMark val="out"/>
        <c:minorTickMark val="none"/>
        <c:tickLblPos val="nextTo"/>
        <c:crossAx val="2118101832"/>
        <c:crosses val="autoZero"/>
        <c:crossBetween val="between"/>
      </c:valAx>
    </c:plotArea>
    <c:legend>
      <c:legendPos val="b"/>
      <c:layout>
        <c:manualLayout>
          <c:xMode val="edge"/>
          <c:yMode val="edge"/>
          <c:x val="6.972729472645707E-2"/>
          <c:y val="0.66970897360296922"/>
          <c:w val="0.8841860724856202"/>
          <c:h val="0.3058748713679512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6.5303102172469402E-2"/>
          <c:y val="5.7434588385449903E-2"/>
          <c:w val="0.90337159662271105"/>
          <c:h val="0.63842539784632801"/>
        </c:manualLayout>
      </c:layout>
      <c:lineChart>
        <c:grouping val="standard"/>
        <c:varyColors val="0"/>
        <c:ser>
          <c:idx val="0"/>
          <c:order val="0"/>
          <c:tx>
            <c:strRef>
              <c:f>Sheet1!$B$1</c:f>
              <c:strCache>
                <c:ptCount val="1"/>
                <c:pt idx="0">
                  <c:v>% previously convicted of a felony</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Sheet1!$B$2:$B$51</c:f>
              <c:numCache>
                <c:formatCode>General</c:formatCode>
                <c:ptCount val="50"/>
                <c:pt idx="0">
                  <c:v>9.1999999999999993</c:v>
                </c:pt>
                <c:pt idx="1">
                  <c:v>6</c:v>
                </c:pt>
                <c:pt idx="2">
                  <c:v>8.3000000000000007</c:v>
                </c:pt>
                <c:pt idx="3">
                  <c:v>11.3</c:v>
                </c:pt>
                <c:pt idx="4">
                  <c:v>12.5</c:v>
                </c:pt>
                <c:pt idx="5">
                  <c:v>10.3</c:v>
                </c:pt>
                <c:pt idx="6">
                  <c:v>11.1</c:v>
                </c:pt>
                <c:pt idx="7">
                  <c:v>9.3000000000000007</c:v>
                </c:pt>
                <c:pt idx="8">
                  <c:v>10.1</c:v>
                </c:pt>
                <c:pt idx="9">
                  <c:v>9.5</c:v>
                </c:pt>
                <c:pt idx="10">
                  <c:v>8.6</c:v>
                </c:pt>
                <c:pt idx="11">
                  <c:v>12.4</c:v>
                </c:pt>
                <c:pt idx="12">
                  <c:v>10.6</c:v>
                </c:pt>
                <c:pt idx="13">
                  <c:v>10.4</c:v>
                </c:pt>
                <c:pt idx="14">
                  <c:v>13.5</c:v>
                </c:pt>
                <c:pt idx="15">
                  <c:v>11</c:v>
                </c:pt>
                <c:pt idx="16">
                  <c:v>15.6</c:v>
                </c:pt>
                <c:pt idx="17">
                  <c:v>12</c:v>
                </c:pt>
                <c:pt idx="18">
                  <c:v>14.6</c:v>
                </c:pt>
                <c:pt idx="19">
                  <c:v>11.9</c:v>
                </c:pt>
                <c:pt idx="20">
                  <c:v>16.5</c:v>
                </c:pt>
                <c:pt idx="21">
                  <c:v>16.7</c:v>
                </c:pt>
                <c:pt idx="22">
                  <c:v>16.7</c:v>
                </c:pt>
                <c:pt idx="23">
                  <c:v>12.9</c:v>
                </c:pt>
                <c:pt idx="24">
                  <c:v>18.899999999999999</c:v>
                </c:pt>
                <c:pt idx="25">
                  <c:v>18.5</c:v>
                </c:pt>
                <c:pt idx="26">
                  <c:v>19.2</c:v>
                </c:pt>
                <c:pt idx="27">
                  <c:v>19.7</c:v>
                </c:pt>
                <c:pt idx="28">
                  <c:v>19.7</c:v>
                </c:pt>
                <c:pt idx="29">
                  <c:v>18.7</c:v>
                </c:pt>
                <c:pt idx="30">
                  <c:v>22.1</c:v>
                </c:pt>
                <c:pt idx="31">
                  <c:v>24</c:v>
                </c:pt>
                <c:pt idx="32">
                  <c:v>21.1</c:v>
                </c:pt>
                <c:pt idx="33">
                  <c:v>21.3</c:v>
                </c:pt>
                <c:pt idx="34">
                  <c:v>20.3</c:v>
                </c:pt>
                <c:pt idx="35">
                  <c:v>22.2</c:v>
                </c:pt>
                <c:pt idx="36">
                  <c:v>17.5</c:v>
                </c:pt>
                <c:pt idx="37">
                  <c:v>20.2</c:v>
                </c:pt>
                <c:pt idx="38">
                  <c:v>28.1</c:v>
                </c:pt>
                <c:pt idx="39">
                  <c:v>23</c:v>
                </c:pt>
                <c:pt idx="40">
                  <c:v>28.6</c:v>
                </c:pt>
                <c:pt idx="41">
                  <c:v>27.3</c:v>
                </c:pt>
                <c:pt idx="42">
                  <c:v>30.2</c:v>
                </c:pt>
                <c:pt idx="43">
                  <c:v>34.799999999999997</c:v>
                </c:pt>
                <c:pt idx="44">
                  <c:v>32.6</c:v>
                </c:pt>
                <c:pt idx="45">
                  <c:v>33.4</c:v>
                </c:pt>
                <c:pt idx="46">
                  <c:v>28.9</c:v>
                </c:pt>
                <c:pt idx="47">
                  <c:v>35</c:v>
                </c:pt>
                <c:pt idx="48">
                  <c:v>33.1</c:v>
                </c:pt>
                <c:pt idx="49">
                  <c:v>31.2</c:v>
                </c:pt>
              </c:numCache>
            </c:numRef>
          </c:val>
          <c:smooth val="0"/>
          <c:extLst>
            <c:ext xmlns:c16="http://schemas.microsoft.com/office/drawing/2014/chart" uri="{C3380CC4-5D6E-409C-BE32-E72D297353CC}">
              <c16:uniqueId val="{00000000-7869-F84D-AA69-04F92D0E09FE}"/>
            </c:ext>
          </c:extLst>
        </c:ser>
        <c:ser>
          <c:idx val="1"/>
          <c:order val="1"/>
          <c:tx>
            <c:strRef>
              <c:f>Sheet1!$C$1</c:f>
              <c:strCache>
                <c:ptCount val="1"/>
                <c:pt idx="0">
                  <c:v>% Property Offences (no violence) previously convicted of a felony</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Sheet1!$C$2:$C$51</c:f>
              <c:numCache>
                <c:formatCode>General</c:formatCode>
                <c:ptCount val="50"/>
                <c:pt idx="0">
                  <c:v>11</c:v>
                </c:pt>
                <c:pt idx="1">
                  <c:v>7.2</c:v>
                </c:pt>
                <c:pt idx="2">
                  <c:v>10.3</c:v>
                </c:pt>
                <c:pt idx="3">
                  <c:v>14.1</c:v>
                </c:pt>
                <c:pt idx="4">
                  <c:v>15</c:v>
                </c:pt>
                <c:pt idx="5">
                  <c:v>11.4</c:v>
                </c:pt>
                <c:pt idx="6">
                  <c:v>12.3</c:v>
                </c:pt>
                <c:pt idx="7">
                  <c:v>9.9</c:v>
                </c:pt>
                <c:pt idx="8">
                  <c:v>11.5</c:v>
                </c:pt>
                <c:pt idx="9">
                  <c:v>10.6</c:v>
                </c:pt>
                <c:pt idx="10">
                  <c:v>9</c:v>
                </c:pt>
                <c:pt idx="11">
                  <c:v>14.2</c:v>
                </c:pt>
                <c:pt idx="12">
                  <c:v>12.6</c:v>
                </c:pt>
                <c:pt idx="13">
                  <c:v>11.5</c:v>
                </c:pt>
                <c:pt idx="14">
                  <c:v>14.3</c:v>
                </c:pt>
                <c:pt idx="15">
                  <c:v>13.2</c:v>
                </c:pt>
                <c:pt idx="16">
                  <c:v>18.2</c:v>
                </c:pt>
                <c:pt idx="17">
                  <c:v>14.8</c:v>
                </c:pt>
                <c:pt idx="18">
                  <c:v>17.5</c:v>
                </c:pt>
                <c:pt idx="19">
                  <c:v>13.3</c:v>
                </c:pt>
                <c:pt idx="20">
                  <c:v>20.7</c:v>
                </c:pt>
                <c:pt idx="21">
                  <c:v>21.2</c:v>
                </c:pt>
                <c:pt idx="22">
                  <c:v>22.5</c:v>
                </c:pt>
                <c:pt idx="23">
                  <c:v>18.8</c:v>
                </c:pt>
                <c:pt idx="24">
                  <c:v>21.3</c:v>
                </c:pt>
                <c:pt idx="25">
                  <c:v>21.1</c:v>
                </c:pt>
                <c:pt idx="26">
                  <c:v>22.7</c:v>
                </c:pt>
                <c:pt idx="27">
                  <c:v>27.7</c:v>
                </c:pt>
                <c:pt idx="28">
                  <c:v>23.1</c:v>
                </c:pt>
                <c:pt idx="29">
                  <c:v>23.4</c:v>
                </c:pt>
                <c:pt idx="30">
                  <c:v>25.3</c:v>
                </c:pt>
                <c:pt idx="31">
                  <c:v>30.7</c:v>
                </c:pt>
                <c:pt idx="32">
                  <c:v>26.5</c:v>
                </c:pt>
                <c:pt idx="33">
                  <c:v>27.4</c:v>
                </c:pt>
                <c:pt idx="34">
                  <c:v>27.1</c:v>
                </c:pt>
                <c:pt idx="35">
                  <c:v>28</c:v>
                </c:pt>
                <c:pt idx="36">
                  <c:v>23.4</c:v>
                </c:pt>
                <c:pt idx="37">
                  <c:v>25.6</c:v>
                </c:pt>
                <c:pt idx="38">
                  <c:v>34</c:v>
                </c:pt>
                <c:pt idx="39">
                  <c:v>29.3</c:v>
                </c:pt>
                <c:pt idx="40">
                  <c:v>40.4</c:v>
                </c:pt>
                <c:pt idx="41">
                  <c:v>36.6</c:v>
                </c:pt>
                <c:pt idx="42">
                  <c:v>43.8</c:v>
                </c:pt>
                <c:pt idx="43">
                  <c:v>50.2</c:v>
                </c:pt>
                <c:pt idx="44">
                  <c:v>45.9</c:v>
                </c:pt>
                <c:pt idx="45">
                  <c:v>49.2</c:v>
                </c:pt>
                <c:pt idx="46">
                  <c:v>42.1</c:v>
                </c:pt>
                <c:pt idx="47">
                  <c:v>51.5</c:v>
                </c:pt>
                <c:pt idx="48">
                  <c:v>56.4</c:v>
                </c:pt>
                <c:pt idx="49">
                  <c:v>45.8</c:v>
                </c:pt>
              </c:numCache>
            </c:numRef>
          </c:val>
          <c:smooth val="0"/>
          <c:extLst>
            <c:ext xmlns:c16="http://schemas.microsoft.com/office/drawing/2014/chart" uri="{C3380CC4-5D6E-409C-BE32-E72D297353CC}">
              <c16:uniqueId val="{00000001-7869-F84D-AA69-04F92D0E09FE}"/>
            </c:ext>
          </c:extLst>
        </c:ser>
        <c:ser>
          <c:idx val="2"/>
          <c:order val="2"/>
          <c:tx>
            <c:strRef>
              <c:f>Sheet1!$D$1</c:f>
              <c:strCache>
                <c:ptCount val="1"/>
                <c:pt idx="0">
                  <c:v>% Property Offences (with violence) previously convicted of a felony</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Sheet1!$D$2:$D$51</c:f>
              <c:numCache>
                <c:formatCode>General</c:formatCode>
                <c:ptCount val="50"/>
                <c:pt idx="0">
                  <c:v>6.5</c:v>
                </c:pt>
                <c:pt idx="1">
                  <c:v>5.8</c:v>
                </c:pt>
                <c:pt idx="2">
                  <c:v>5.8</c:v>
                </c:pt>
                <c:pt idx="3">
                  <c:v>12.4</c:v>
                </c:pt>
                <c:pt idx="4">
                  <c:v>6.7</c:v>
                </c:pt>
                <c:pt idx="5">
                  <c:v>17.8</c:v>
                </c:pt>
                <c:pt idx="6">
                  <c:v>15.4</c:v>
                </c:pt>
                <c:pt idx="7">
                  <c:v>20</c:v>
                </c:pt>
                <c:pt idx="8">
                  <c:v>19.8</c:v>
                </c:pt>
                <c:pt idx="9">
                  <c:v>10</c:v>
                </c:pt>
                <c:pt idx="10">
                  <c:v>17.100000000000001</c:v>
                </c:pt>
                <c:pt idx="11">
                  <c:v>11.8</c:v>
                </c:pt>
                <c:pt idx="12">
                  <c:v>15.5</c:v>
                </c:pt>
                <c:pt idx="13">
                  <c:v>16</c:v>
                </c:pt>
                <c:pt idx="14">
                  <c:v>18.600000000000001</c:v>
                </c:pt>
                <c:pt idx="15">
                  <c:v>10.7</c:v>
                </c:pt>
                <c:pt idx="16">
                  <c:v>18.3</c:v>
                </c:pt>
                <c:pt idx="17">
                  <c:v>11.8</c:v>
                </c:pt>
                <c:pt idx="18">
                  <c:v>18.8</c:v>
                </c:pt>
                <c:pt idx="19">
                  <c:v>22.4</c:v>
                </c:pt>
                <c:pt idx="20">
                  <c:v>20</c:v>
                </c:pt>
                <c:pt idx="21">
                  <c:v>10.199999999999999</c:v>
                </c:pt>
                <c:pt idx="22">
                  <c:v>11.8</c:v>
                </c:pt>
                <c:pt idx="23">
                  <c:v>15.2</c:v>
                </c:pt>
                <c:pt idx="24">
                  <c:v>18.5</c:v>
                </c:pt>
                <c:pt idx="25">
                  <c:v>22.4</c:v>
                </c:pt>
                <c:pt idx="26">
                  <c:v>12.5</c:v>
                </c:pt>
                <c:pt idx="27">
                  <c:v>4.8</c:v>
                </c:pt>
                <c:pt idx="28">
                  <c:v>4.3</c:v>
                </c:pt>
                <c:pt idx="29">
                  <c:v>23.7</c:v>
                </c:pt>
                <c:pt idx="30">
                  <c:v>30.3</c:v>
                </c:pt>
                <c:pt idx="31">
                  <c:v>23.1</c:v>
                </c:pt>
                <c:pt idx="32">
                  <c:v>28.6</c:v>
                </c:pt>
                <c:pt idx="33">
                  <c:v>9.1</c:v>
                </c:pt>
                <c:pt idx="34">
                  <c:v>21.3</c:v>
                </c:pt>
                <c:pt idx="35">
                  <c:v>34.6</c:v>
                </c:pt>
                <c:pt idx="36">
                  <c:v>20</c:v>
                </c:pt>
                <c:pt idx="37">
                  <c:v>28.2</c:v>
                </c:pt>
                <c:pt idx="38">
                  <c:v>26.2</c:v>
                </c:pt>
                <c:pt idx="39">
                  <c:v>19</c:v>
                </c:pt>
                <c:pt idx="40">
                  <c:v>14</c:v>
                </c:pt>
                <c:pt idx="41">
                  <c:v>30.8</c:v>
                </c:pt>
                <c:pt idx="42">
                  <c:v>16.3</c:v>
                </c:pt>
                <c:pt idx="43">
                  <c:v>24.5</c:v>
                </c:pt>
                <c:pt idx="44">
                  <c:v>40</c:v>
                </c:pt>
                <c:pt idx="45">
                  <c:v>42.9</c:v>
                </c:pt>
                <c:pt idx="46">
                  <c:v>36.4</c:v>
                </c:pt>
                <c:pt idx="47">
                  <c:v>35.799999999999997</c:v>
                </c:pt>
                <c:pt idx="48">
                  <c:v>32.1</c:v>
                </c:pt>
                <c:pt idx="49">
                  <c:v>48.5</c:v>
                </c:pt>
              </c:numCache>
            </c:numRef>
          </c:val>
          <c:smooth val="0"/>
          <c:extLst>
            <c:ext xmlns:c16="http://schemas.microsoft.com/office/drawing/2014/chart" uri="{C3380CC4-5D6E-409C-BE32-E72D297353CC}">
              <c16:uniqueId val="{00000002-7869-F84D-AA69-04F92D0E09FE}"/>
            </c:ext>
          </c:extLst>
        </c:ser>
        <c:dLbls>
          <c:showLegendKey val="0"/>
          <c:showVal val="0"/>
          <c:showCatName val="0"/>
          <c:showSerName val="0"/>
          <c:showPercent val="0"/>
          <c:showBubbleSize val="0"/>
        </c:dLbls>
        <c:smooth val="0"/>
        <c:axId val="2108480824"/>
        <c:axId val="2111297768"/>
      </c:lineChart>
      <c:catAx>
        <c:axId val="2108480824"/>
        <c:scaling>
          <c:orientation val="minMax"/>
        </c:scaling>
        <c:delete val="0"/>
        <c:axPos val="b"/>
        <c:numFmt formatCode="General" sourceLinked="1"/>
        <c:majorTickMark val="out"/>
        <c:minorTickMark val="none"/>
        <c:tickLblPos val="nextTo"/>
        <c:crossAx val="2111297768"/>
        <c:crosses val="autoZero"/>
        <c:auto val="1"/>
        <c:lblAlgn val="ctr"/>
        <c:lblOffset val="100"/>
        <c:noMultiLvlLbl val="0"/>
      </c:catAx>
      <c:valAx>
        <c:axId val="2111297768"/>
        <c:scaling>
          <c:orientation val="minMax"/>
        </c:scaling>
        <c:delete val="0"/>
        <c:axPos val="l"/>
        <c:majorGridlines/>
        <c:numFmt formatCode="General" sourceLinked="1"/>
        <c:majorTickMark val="out"/>
        <c:minorTickMark val="none"/>
        <c:tickLblPos val="nextTo"/>
        <c:crossAx val="210848082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Sheet1!$B$1</c:f>
              <c:strCache>
                <c:ptCount val="1"/>
                <c:pt idx="0">
                  <c:v>All Property Offences</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Sheet1!$B$2:$B$51</c:f>
              <c:numCache>
                <c:formatCode>General</c:formatCode>
                <c:ptCount val="50"/>
                <c:pt idx="0">
                  <c:v>864</c:v>
                </c:pt>
                <c:pt idx="1">
                  <c:v>798</c:v>
                </c:pt>
                <c:pt idx="2">
                  <c:v>906</c:v>
                </c:pt>
                <c:pt idx="3">
                  <c:v>824</c:v>
                </c:pt>
                <c:pt idx="4">
                  <c:v>726</c:v>
                </c:pt>
                <c:pt idx="5">
                  <c:v>536</c:v>
                </c:pt>
                <c:pt idx="6">
                  <c:v>679</c:v>
                </c:pt>
                <c:pt idx="7">
                  <c:v>769</c:v>
                </c:pt>
                <c:pt idx="8">
                  <c:v>871</c:v>
                </c:pt>
                <c:pt idx="9">
                  <c:v>802</c:v>
                </c:pt>
                <c:pt idx="10">
                  <c:v>789</c:v>
                </c:pt>
                <c:pt idx="11">
                  <c:v>877</c:v>
                </c:pt>
                <c:pt idx="12">
                  <c:v>891</c:v>
                </c:pt>
                <c:pt idx="13">
                  <c:v>953</c:v>
                </c:pt>
                <c:pt idx="14">
                  <c:v>969</c:v>
                </c:pt>
                <c:pt idx="15">
                  <c:v>769</c:v>
                </c:pt>
                <c:pt idx="16">
                  <c:v>732</c:v>
                </c:pt>
                <c:pt idx="17">
                  <c:v>725</c:v>
                </c:pt>
                <c:pt idx="18">
                  <c:v>489</c:v>
                </c:pt>
                <c:pt idx="19">
                  <c:v>484</c:v>
                </c:pt>
                <c:pt idx="20">
                  <c:v>464</c:v>
                </c:pt>
                <c:pt idx="21">
                  <c:v>517</c:v>
                </c:pt>
                <c:pt idx="22">
                  <c:v>500</c:v>
                </c:pt>
                <c:pt idx="23">
                  <c:v>587</c:v>
                </c:pt>
                <c:pt idx="24">
                  <c:v>524</c:v>
                </c:pt>
                <c:pt idx="25">
                  <c:v>531</c:v>
                </c:pt>
                <c:pt idx="26">
                  <c:v>499</c:v>
                </c:pt>
                <c:pt idx="27">
                  <c:v>465</c:v>
                </c:pt>
                <c:pt idx="28">
                  <c:v>515</c:v>
                </c:pt>
                <c:pt idx="29">
                  <c:v>486</c:v>
                </c:pt>
                <c:pt idx="30">
                  <c:v>440</c:v>
                </c:pt>
                <c:pt idx="31">
                  <c:v>420</c:v>
                </c:pt>
                <c:pt idx="32">
                  <c:v>417</c:v>
                </c:pt>
                <c:pt idx="33">
                  <c:v>376</c:v>
                </c:pt>
                <c:pt idx="34">
                  <c:v>409</c:v>
                </c:pt>
                <c:pt idx="35">
                  <c:v>369</c:v>
                </c:pt>
                <c:pt idx="36">
                  <c:v>349</c:v>
                </c:pt>
                <c:pt idx="37">
                  <c:v>394</c:v>
                </c:pt>
                <c:pt idx="38">
                  <c:v>398</c:v>
                </c:pt>
                <c:pt idx="39">
                  <c:v>339</c:v>
                </c:pt>
                <c:pt idx="40">
                  <c:v>325</c:v>
                </c:pt>
                <c:pt idx="41">
                  <c:v>307</c:v>
                </c:pt>
                <c:pt idx="42">
                  <c:v>339</c:v>
                </c:pt>
                <c:pt idx="43">
                  <c:v>368</c:v>
                </c:pt>
                <c:pt idx="44">
                  <c:v>215</c:v>
                </c:pt>
                <c:pt idx="45">
                  <c:v>223</c:v>
                </c:pt>
                <c:pt idx="46">
                  <c:v>246</c:v>
                </c:pt>
                <c:pt idx="47">
                  <c:v>187</c:v>
                </c:pt>
                <c:pt idx="48">
                  <c:v>191</c:v>
                </c:pt>
                <c:pt idx="49">
                  <c:v>177</c:v>
                </c:pt>
              </c:numCache>
            </c:numRef>
          </c:val>
          <c:smooth val="0"/>
          <c:extLst>
            <c:ext xmlns:c16="http://schemas.microsoft.com/office/drawing/2014/chart" uri="{C3380CC4-5D6E-409C-BE32-E72D297353CC}">
              <c16:uniqueId val="{00000000-F482-0F41-96EC-B8FA4AAEE327}"/>
            </c:ext>
          </c:extLst>
        </c:ser>
        <c:ser>
          <c:idx val="1"/>
          <c:order val="1"/>
          <c:tx>
            <c:strRef>
              <c:f>Sheet1!$C$1</c:f>
              <c:strCache>
                <c:ptCount val="1"/>
                <c:pt idx="0">
                  <c:v>Property Offences (no violence)</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Sheet1!$C$2:$C$51</c:f>
              <c:numCache>
                <c:formatCode>General</c:formatCode>
                <c:ptCount val="50"/>
                <c:pt idx="0">
                  <c:v>802</c:v>
                </c:pt>
                <c:pt idx="1">
                  <c:v>746</c:v>
                </c:pt>
                <c:pt idx="2">
                  <c:v>837</c:v>
                </c:pt>
                <c:pt idx="3">
                  <c:v>735</c:v>
                </c:pt>
                <c:pt idx="4">
                  <c:v>681</c:v>
                </c:pt>
                <c:pt idx="5">
                  <c:v>491</c:v>
                </c:pt>
                <c:pt idx="6">
                  <c:v>640</c:v>
                </c:pt>
                <c:pt idx="7">
                  <c:v>724</c:v>
                </c:pt>
                <c:pt idx="8">
                  <c:v>785</c:v>
                </c:pt>
                <c:pt idx="9">
                  <c:v>762</c:v>
                </c:pt>
                <c:pt idx="10">
                  <c:v>719</c:v>
                </c:pt>
                <c:pt idx="11">
                  <c:v>801</c:v>
                </c:pt>
                <c:pt idx="12">
                  <c:v>833</c:v>
                </c:pt>
                <c:pt idx="13">
                  <c:v>847</c:v>
                </c:pt>
                <c:pt idx="14">
                  <c:v>926</c:v>
                </c:pt>
                <c:pt idx="15">
                  <c:v>713</c:v>
                </c:pt>
                <c:pt idx="16">
                  <c:v>661</c:v>
                </c:pt>
                <c:pt idx="17">
                  <c:v>649</c:v>
                </c:pt>
                <c:pt idx="18">
                  <c:v>441</c:v>
                </c:pt>
                <c:pt idx="19">
                  <c:v>435</c:v>
                </c:pt>
                <c:pt idx="20">
                  <c:v>434</c:v>
                </c:pt>
                <c:pt idx="21">
                  <c:v>468</c:v>
                </c:pt>
                <c:pt idx="22">
                  <c:v>432</c:v>
                </c:pt>
                <c:pt idx="23">
                  <c:v>495</c:v>
                </c:pt>
                <c:pt idx="24">
                  <c:v>470</c:v>
                </c:pt>
                <c:pt idx="25">
                  <c:v>473</c:v>
                </c:pt>
                <c:pt idx="26">
                  <c:v>475</c:v>
                </c:pt>
                <c:pt idx="27">
                  <c:v>423</c:v>
                </c:pt>
                <c:pt idx="28">
                  <c:v>445</c:v>
                </c:pt>
                <c:pt idx="29">
                  <c:v>427</c:v>
                </c:pt>
                <c:pt idx="30">
                  <c:v>407</c:v>
                </c:pt>
                <c:pt idx="31">
                  <c:v>381</c:v>
                </c:pt>
                <c:pt idx="32">
                  <c:v>389</c:v>
                </c:pt>
                <c:pt idx="33">
                  <c:v>343</c:v>
                </c:pt>
                <c:pt idx="34">
                  <c:v>362</c:v>
                </c:pt>
                <c:pt idx="35">
                  <c:v>343</c:v>
                </c:pt>
                <c:pt idx="36">
                  <c:v>329</c:v>
                </c:pt>
                <c:pt idx="37">
                  <c:v>352</c:v>
                </c:pt>
                <c:pt idx="38">
                  <c:v>356</c:v>
                </c:pt>
                <c:pt idx="39">
                  <c:v>297</c:v>
                </c:pt>
                <c:pt idx="40">
                  <c:v>275</c:v>
                </c:pt>
                <c:pt idx="41">
                  <c:v>268</c:v>
                </c:pt>
                <c:pt idx="42">
                  <c:v>290</c:v>
                </c:pt>
                <c:pt idx="43">
                  <c:v>315</c:v>
                </c:pt>
                <c:pt idx="44">
                  <c:v>185</c:v>
                </c:pt>
                <c:pt idx="45">
                  <c:v>195</c:v>
                </c:pt>
                <c:pt idx="46">
                  <c:v>202</c:v>
                </c:pt>
                <c:pt idx="47">
                  <c:v>134</c:v>
                </c:pt>
                <c:pt idx="48">
                  <c:v>163</c:v>
                </c:pt>
                <c:pt idx="49">
                  <c:v>144</c:v>
                </c:pt>
              </c:numCache>
            </c:numRef>
          </c:val>
          <c:smooth val="0"/>
          <c:extLst>
            <c:ext xmlns:c16="http://schemas.microsoft.com/office/drawing/2014/chart" uri="{C3380CC4-5D6E-409C-BE32-E72D297353CC}">
              <c16:uniqueId val="{00000001-F482-0F41-96EC-B8FA4AAEE327}"/>
            </c:ext>
          </c:extLst>
        </c:ser>
        <c:ser>
          <c:idx val="2"/>
          <c:order val="2"/>
          <c:tx>
            <c:strRef>
              <c:f>Sheet1!$D$1</c:f>
              <c:strCache>
                <c:ptCount val="1"/>
                <c:pt idx="0">
                  <c:v>Larceny</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Sheet1!$D$2:$D$51</c:f>
              <c:numCache>
                <c:formatCode>General</c:formatCode>
                <c:ptCount val="50"/>
                <c:pt idx="0">
                  <c:v>644</c:v>
                </c:pt>
                <c:pt idx="1">
                  <c:v>569</c:v>
                </c:pt>
                <c:pt idx="2">
                  <c:v>631</c:v>
                </c:pt>
                <c:pt idx="3">
                  <c:v>554</c:v>
                </c:pt>
                <c:pt idx="4">
                  <c:v>533</c:v>
                </c:pt>
                <c:pt idx="5">
                  <c:v>360</c:v>
                </c:pt>
                <c:pt idx="6">
                  <c:v>458</c:v>
                </c:pt>
                <c:pt idx="7">
                  <c:v>539</c:v>
                </c:pt>
                <c:pt idx="8">
                  <c:v>607</c:v>
                </c:pt>
                <c:pt idx="9">
                  <c:v>597</c:v>
                </c:pt>
                <c:pt idx="10">
                  <c:v>552</c:v>
                </c:pt>
                <c:pt idx="11">
                  <c:v>604</c:v>
                </c:pt>
                <c:pt idx="12">
                  <c:v>649</c:v>
                </c:pt>
                <c:pt idx="13">
                  <c:v>563</c:v>
                </c:pt>
                <c:pt idx="14">
                  <c:v>679</c:v>
                </c:pt>
                <c:pt idx="15">
                  <c:v>466</c:v>
                </c:pt>
                <c:pt idx="16">
                  <c:v>399</c:v>
                </c:pt>
                <c:pt idx="17">
                  <c:v>428</c:v>
                </c:pt>
                <c:pt idx="18">
                  <c:v>278</c:v>
                </c:pt>
                <c:pt idx="19">
                  <c:v>279</c:v>
                </c:pt>
                <c:pt idx="20">
                  <c:v>255</c:v>
                </c:pt>
                <c:pt idx="21">
                  <c:v>297</c:v>
                </c:pt>
                <c:pt idx="22">
                  <c:v>299</c:v>
                </c:pt>
                <c:pt idx="23">
                  <c:v>317</c:v>
                </c:pt>
                <c:pt idx="24">
                  <c:v>317</c:v>
                </c:pt>
                <c:pt idx="25">
                  <c:v>306</c:v>
                </c:pt>
                <c:pt idx="26">
                  <c:v>302</c:v>
                </c:pt>
                <c:pt idx="27">
                  <c:v>281</c:v>
                </c:pt>
                <c:pt idx="28">
                  <c:v>279</c:v>
                </c:pt>
                <c:pt idx="29">
                  <c:v>294</c:v>
                </c:pt>
                <c:pt idx="30">
                  <c:v>282</c:v>
                </c:pt>
                <c:pt idx="31">
                  <c:v>269</c:v>
                </c:pt>
                <c:pt idx="32">
                  <c:v>253</c:v>
                </c:pt>
                <c:pt idx="33">
                  <c:v>248</c:v>
                </c:pt>
                <c:pt idx="34">
                  <c:v>264</c:v>
                </c:pt>
                <c:pt idx="35">
                  <c:v>226</c:v>
                </c:pt>
                <c:pt idx="36">
                  <c:v>229</c:v>
                </c:pt>
                <c:pt idx="37">
                  <c:v>265</c:v>
                </c:pt>
                <c:pt idx="38">
                  <c:v>268</c:v>
                </c:pt>
                <c:pt idx="39">
                  <c:v>217</c:v>
                </c:pt>
                <c:pt idx="40">
                  <c:v>189</c:v>
                </c:pt>
                <c:pt idx="41">
                  <c:v>182</c:v>
                </c:pt>
                <c:pt idx="42">
                  <c:v>222</c:v>
                </c:pt>
                <c:pt idx="43">
                  <c:v>197</c:v>
                </c:pt>
                <c:pt idx="44">
                  <c:v>128</c:v>
                </c:pt>
                <c:pt idx="45">
                  <c:v>130</c:v>
                </c:pt>
                <c:pt idx="46">
                  <c:v>132</c:v>
                </c:pt>
                <c:pt idx="47">
                  <c:v>85</c:v>
                </c:pt>
                <c:pt idx="48">
                  <c:v>109</c:v>
                </c:pt>
                <c:pt idx="49">
                  <c:v>99</c:v>
                </c:pt>
              </c:numCache>
            </c:numRef>
          </c:val>
          <c:smooth val="0"/>
          <c:extLst>
            <c:ext xmlns:c16="http://schemas.microsoft.com/office/drawing/2014/chart" uri="{C3380CC4-5D6E-409C-BE32-E72D297353CC}">
              <c16:uniqueId val="{00000002-F482-0F41-96EC-B8FA4AAEE327}"/>
            </c:ext>
          </c:extLst>
        </c:ser>
        <c:ser>
          <c:idx val="3"/>
          <c:order val="3"/>
          <c:tx>
            <c:strRef>
              <c:f>Sheet1!$E$1</c:f>
              <c:strCache>
                <c:ptCount val="1"/>
                <c:pt idx="0">
                  <c:v>Larceny tried summarily (1858-)</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Sheet1!$E$2:$E$51</c:f>
              <c:numCache>
                <c:formatCode>General</c:formatCode>
                <c:ptCount val="50"/>
                <c:pt idx="18">
                  <c:v>667</c:v>
                </c:pt>
                <c:pt idx="19">
                  <c:v>468</c:v>
                </c:pt>
                <c:pt idx="20">
                  <c:v>768</c:v>
                </c:pt>
                <c:pt idx="21">
                  <c:v>584</c:v>
                </c:pt>
                <c:pt idx="22">
                  <c:v>802</c:v>
                </c:pt>
                <c:pt idx="23">
                  <c:v>978</c:v>
                </c:pt>
                <c:pt idx="24">
                  <c:v>1079</c:v>
                </c:pt>
                <c:pt idx="25">
                  <c:v>901</c:v>
                </c:pt>
                <c:pt idx="26">
                  <c:v>996</c:v>
                </c:pt>
                <c:pt idx="27">
                  <c:v>844</c:v>
                </c:pt>
                <c:pt idx="28">
                  <c:v>1026</c:v>
                </c:pt>
                <c:pt idx="29">
                  <c:v>966</c:v>
                </c:pt>
                <c:pt idx="30">
                  <c:v>883</c:v>
                </c:pt>
                <c:pt idx="31">
                  <c:v>823</c:v>
                </c:pt>
                <c:pt idx="32">
                  <c:v>836</c:v>
                </c:pt>
                <c:pt idx="34">
                  <c:v>1036</c:v>
                </c:pt>
                <c:pt idx="35">
                  <c:v>820</c:v>
                </c:pt>
                <c:pt idx="36">
                  <c:v>785</c:v>
                </c:pt>
                <c:pt idx="37">
                  <c:v>858</c:v>
                </c:pt>
                <c:pt idx="38">
                  <c:v>930</c:v>
                </c:pt>
                <c:pt idx="39">
                  <c:v>826</c:v>
                </c:pt>
                <c:pt idx="40">
                  <c:v>953</c:v>
                </c:pt>
                <c:pt idx="41">
                  <c:v>906</c:v>
                </c:pt>
                <c:pt idx="42">
                  <c:v>1072</c:v>
                </c:pt>
                <c:pt idx="43">
                  <c:v>1032</c:v>
                </c:pt>
                <c:pt idx="44">
                  <c:v>983</c:v>
                </c:pt>
                <c:pt idx="45">
                  <c:v>1449</c:v>
                </c:pt>
                <c:pt idx="46">
                  <c:v>1397</c:v>
                </c:pt>
                <c:pt idx="47">
                  <c:v>876</c:v>
                </c:pt>
                <c:pt idx="48">
                  <c:v>915</c:v>
                </c:pt>
                <c:pt idx="49">
                  <c:v>1022</c:v>
                </c:pt>
              </c:numCache>
            </c:numRef>
          </c:val>
          <c:smooth val="0"/>
          <c:extLst>
            <c:ext xmlns:c16="http://schemas.microsoft.com/office/drawing/2014/chart" uri="{C3380CC4-5D6E-409C-BE32-E72D297353CC}">
              <c16:uniqueId val="{00000003-F482-0F41-96EC-B8FA4AAEE327}"/>
            </c:ext>
          </c:extLst>
        </c:ser>
        <c:dLbls>
          <c:showLegendKey val="0"/>
          <c:showVal val="0"/>
          <c:showCatName val="0"/>
          <c:showSerName val="0"/>
          <c:showPercent val="0"/>
          <c:showBubbleSize val="0"/>
        </c:dLbls>
        <c:smooth val="0"/>
        <c:axId val="2123454056"/>
        <c:axId val="-2136725288"/>
      </c:lineChart>
      <c:catAx>
        <c:axId val="2123454056"/>
        <c:scaling>
          <c:orientation val="minMax"/>
        </c:scaling>
        <c:delete val="0"/>
        <c:axPos val="b"/>
        <c:numFmt formatCode="General" sourceLinked="1"/>
        <c:majorTickMark val="out"/>
        <c:minorTickMark val="none"/>
        <c:tickLblPos val="nextTo"/>
        <c:crossAx val="-2136725288"/>
        <c:crosses val="autoZero"/>
        <c:auto val="1"/>
        <c:lblAlgn val="ctr"/>
        <c:lblOffset val="100"/>
        <c:noMultiLvlLbl val="0"/>
      </c:catAx>
      <c:valAx>
        <c:axId val="-2136725288"/>
        <c:scaling>
          <c:orientation val="minMax"/>
        </c:scaling>
        <c:delete val="0"/>
        <c:axPos val="l"/>
        <c:majorGridlines/>
        <c:numFmt formatCode="General" sourceLinked="1"/>
        <c:majorTickMark val="out"/>
        <c:minorTickMark val="none"/>
        <c:tickLblPos val="nextTo"/>
        <c:crossAx val="2123454056"/>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Sheet1!$B$1</c:f>
              <c:strCache>
                <c:ptCount val="1"/>
                <c:pt idx="0">
                  <c:v>Cheshire</c:v>
                </c:pt>
              </c:strCache>
            </c:strRef>
          </c:tx>
          <c:marker>
            <c:symbol val="none"/>
          </c:marker>
          <c:cat>
            <c:strRef>
              <c:f>Sheet1!$A$2:$A$11</c:f>
              <c:strCache>
                <c:ptCount val="10"/>
                <c:pt idx="0">
                  <c:v>1840-4</c:v>
                </c:pt>
                <c:pt idx="1">
                  <c:v>1845-9</c:v>
                </c:pt>
                <c:pt idx="2">
                  <c:v>1850-4</c:v>
                </c:pt>
                <c:pt idx="3">
                  <c:v>1855-9</c:v>
                </c:pt>
                <c:pt idx="4">
                  <c:v>1860-4</c:v>
                </c:pt>
                <c:pt idx="5">
                  <c:v>1865-9</c:v>
                </c:pt>
                <c:pt idx="6">
                  <c:v>1870-4</c:v>
                </c:pt>
                <c:pt idx="7">
                  <c:v>1875-9</c:v>
                </c:pt>
                <c:pt idx="8">
                  <c:v>1880-4</c:v>
                </c:pt>
                <c:pt idx="9">
                  <c:v>1885-9</c:v>
                </c:pt>
              </c:strCache>
            </c:strRef>
          </c:cat>
          <c:val>
            <c:numRef>
              <c:f>Sheet1!$B$2:$B$11</c:f>
              <c:numCache>
                <c:formatCode>General</c:formatCode>
                <c:ptCount val="10"/>
                <c:pt idx="0">
                  <c:v>18</c:v>
                </c:pt>
                <c:pt idx="1">
                  <c:v>21</c:v>
                </c:pt>
                <c:pt idx="2">
                  <c:v>23</c:v>
                </c:pt>
                <c:pt idx="3">
                  <c:v>23</c:v>
                </c:pt>
                <c:pt idx="4">
                  <c:v>22</c:v>
                </c:pt>
                <c:pt idx="5">
                  <c:v>22</c:v>
                </c:pt>
                <c:pt idx="6">
                  <c:v>24</c:v>
                </c:pt>
                <c:pt idx="7">
                  <c:v>24</c:v>
                </c:pt>
                <c:pt idx="8">
                  <c:v>22</c:v>
                </c:pt>
                <c:pt idx="9">
                  <c:v>19</c:v>
                </c:pt>
              </c:numCache>
            </c:numRef>
          </c:val>
          <c:smooth val="0"/>
          <c:extLst>
            <c:ext xmlns:c16="http://schemas.microsoft.com/office/drawing/2014/chart" uri="{C3380CC4-5D6E-409C-BE32-E72D297353CC}">
              <c16:uniqueId val="{00000000-D48F-C540-98A5-C1AF11277857}"/>
            </c:ext>
          </c:extLst>
        </c:ser>
        <c:ser>
          <c:idx val="1"/>
          <c:order val="1"/>
          <c:tx>
            <c:strRef>
              <c:f>Sheet1!$C$1</c:f>
              <c:strCache>
                <c:ptCount val="1"/>
                <c:pt idx="0">
                  <c:v>England and wales</c:v>
                </c:pt>
              </c:strCache>
            </c:strRef>
          </c:tx>
          <c:marker>
            <c:symbol val="none"/>
          </c:marker>
          <c:cat>
            <c:strRef>
              <c:f>Sheet1!$A$2:$A$11</c:f>
              <c:strCache>
                <c:ptCount val="10"/>
                <c:pt idx="0">
                  <c:v>1840-4</c:v>
                </c:pt>
                <c:pt idx="1">
                  <c:v>1845-9</c:v>
                </c:pt>
                <c:pt idx="2">
                  <c:v>1850-4</c:v>
                </c:pt>
                <c:pt idx="3">
                  <c:v>1855-9</c:v>
                </c:pt>
                <c:pt idx="4">
                  <c:v>1860-4</c:v>
                </c:pt>
                <c:pt idx="5">
                  <c:v>1865-9</c:v>
                </c:pt>
                <c:pt idx="6">
                  <c:v>1870-4</c:v>
                </c:pt>
                <c:pt idx="7">
                  <c:v>1875-9</c:v>
                </c:pt>
                <c:pt idx="8">
                  <c:v>1880-4</c:v>
                </c:pt>
                <c:pt idx="9">
                  <c:v>1885-9</c:v>
                </c:pt>
              </c:strCache>
            </c:strRef>
          </c:cat>
          <c:val>
            <c:numRef>
              <c:f>Sheet1!$C$2:$C$11</c:f>
              <c:numCache>
                <c:formatCode>General</c:formatCode>
                <c:ptCount val="10"/>
                <c:pt idx="0">
                  <c:v>17</c:v>
                </c:pt>
                <c:pt idx="1">
                  <c:v>20</c:v>
                </c:pt>
                <c:pt idx="2">
                  <c:v>21</c:v>
                </c:pt>
                <c:pt idx="3">
                  <c:v>22</c:v>
                </c:pt>
                <c:pt idx="4">
                  <c:v>21</c:v>
                </c:pt>
                <c:pt idx="5">
                  <c:v>20</c:v>
                </c:pt>
                <c:pt idx="6">
                  <c:v>22</c:v>
                </c:pt>
                <c:pt idx="7">
                  <c:v>21</c:v>
                </c:pt>
                <c:pt idx="8">
                  <c:v>18</c:v>
                </c:pt>
                <c:pt idx="9">
                  <c:v>16</c:v>
                </c:pt>
              </c:numCache>
            </c:numRef>
          </c:val>
          <c:smooth val="0"/>
          <c:extLst>
            <c:ext xmlns:c16="http://schemas.microsoft.com/office/drawing/2014/chart" uri="{C3380CC4-5D6E-409C-BE32-E72D297353CC}">
              <c16:uniqueId val="{00000001-D48F-C540-98A5-C1AF11277857}"/>
            </c:ext>
          </c:extLst>
        </c:ser>
        <c:ser>
          <c:idx val="2"/>
          <c:order val="2"/>
          <c:tx>
            <c:strRef>
              <c:f>Sheet1!$D$1</c:f>
              <c:strCache>
                <c:ptCount val="1"/>
                <c:pt idx="0">
                  <c:v>Old Bailey</c:v>
                </c:pt>
              </c:strCache>
            </c:strRef>
          </c:tx>
          <c:marker>
            <c:symbol val="none"/>
          </c:marker>
          <c:cat>
            <c:strRef>
              <c:f>Sheet1!$A$2:$A$11</c:f>
              <c:strCache>
                <c:ptCount val="10"/>
                <c:pt idx="0">
                  <c:v>1840-4</c:v>
                </c:pt>
                <c:pt idx="1">
                  <c:v>1845-9</c:v>
                </c:pt>
                <c:pt idx="2">
                  <c:v>1850-4</c:v>
                </c:pt>
                <c:pt idx="3">
                  <c:v>1855-9</c:v>
                </c:pt>
                <c:pt idx="4">
                  <c:v>1860-4</c:v>
                </c:pt>
                <c:pt idx="5">
                  <c:v>1865-9</c:v>
                </c:pt>
                <c:pt idx="6">
                  <c:v>1870-4</c:v>
                </c:pt>
                <c:pt idx="7">
                  <c:v>1875-9</c:v>
                </c:pt>
                <c:pt idx="8">
                  <c:v>1880-4</c:v>
                </c:pt>
                <c:pt idx="9">
                  <c:v>1885-9</c:v>
                </c:pt>
              </c:strCache>
            </c:strRef>
          </c:cat>
          <c:val>
            <c:numRef>
              <c:f>Sheet1!$D$2:$D$11</c:f>
              <c:numCache>
                <c:formatCode>General</c:formatCode>
                <c:ptCount val="10"/>
                <c:pt idx="0">
                  <c:v>22</c:v>
                </c:pt>
                <c:pt idx="1">
                  <c:v>20</c:v>
                </c:pt>
                <c:pt idx="2">
                  <c:v>19</c:v>
                </c:pt>
                <c:pt idx="3">
                  <c:v>17</c:v>
                </c:pt>
                <c:pt idx="4">
                  <c:v>17</c:v>
                </c:pt>
                <c:pt idx="5">
                  <c:v>14</c:v>
                </c:pt>
                <c:pt idx="6">
                  <c:v>14</c:v>
                </c:pt>
                <c:pt idx="7">
                  <c:v>12</c:v>
                </c:pt>
                <c:pt idx="8">
                  <c:v>11</c:v>
                </c:pt>
                <c:pt idx="9">
                  <c:v>10</c:v>
                </c:pt>
              </c:numCache>
            </c:numRef>
          </c:val>
          <c:smooth val="0"/>
          <c:extLst>
            <c:ext xmlns:c16="http://schemas.microsoft.com/office/drawing/2014/chart" uri="{C3380CC4-5D6E-409C-BE32-E72D297353CC}">
              <c16:uniqueId val="{00000002-D48F-C540-98A5-C1AF11277857}"/>
            </c:ext>
          </c:extLst>
        </c:ser>
        <c:dLbls>
          <c:showLegendKey val="0"/>
          <c:showVal val="0"/>
          <c:showCatName val="0"/>
          <c:showSerName val="0"/>
          <c:showPercent val="0"/>
          <c:showBubbleSize val="0"/>
        </c:dLbls>
        <c:smooth val="0"/>
        <c:axId val="2123151928"/>
        <c:axId val="2122520104"/>
      </c:lineChart>
      <c:catAx>
        <c:axId val="2123151928"/>
        <c:scaling>
          <c:orientation val="minMax"/>
        </c:scaling>
        <c:delete val="0"/>
        <c:axPos val="b"/>
        <c:numFmt formatCode="General" sourceLinked="0"/>
        <c:majorTickMark val="out"/>
        <c:minorTickMark val="none"/>
        <c:tickLblPos val="nextTo"/>
        <c:crossAx val="2122520104"/>
        <c:crosses val="autoZero"/>
        <c:auto val="1"/>
        <c:lblAlgn val="ctr"/>
        <c:lblOffset val="100"/>
        <c:noMultiLvlLbl val="0"/>
      </c:catAx>
      <c:valAx>
        <c:axId val="2122520104"/>
        <c:scaling>
          <c:orientation val="minMax"/>
        </c:scaling>
        <c:delete val="0"/>
        <c:axPos val="l"/>
        <c:majorGridlines/>
        <c:numFmt formatCode="General" sourceLinked="1"/>
        <c:majorTickMark val="out"/>
        <c:minorTickMark val="none"/>
        <c:tickLblPos val="nextTo"/>
        <c:crossAx val="2123151928"/>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Sheet1!$B$1</c:f>
              <c:strCache>
                <c:ptCount val="1"/>
                <c:pt idx="0">
                  <c:v>Female</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Sheet1!$B$2:$B$51</c:f>
              <c:numCache>
                <c:formatCode>0.00%</c:formatCode>
                <c:ptCount val="50"/>
                <c:pt idx="0">
                  <c:v>9.6000000000000002E-2</c:v>
                </c:pt>
                <c:pt idx="1">
                  <c:v>7.6999999999999999E-2</c:v>
                </c:pt>
                <c:pt idx="2">
                  <c:v>0.10199999999999999</c:v>
                </c:pt>
                <c:pt idx="3">
                  <c:v>0.128</c:v>
                </c:pt>
                <c:pt idx="4">
                  <c:v>0.106</c:v>
                </c:pt>
                <c:pt idx="5">
                  <c:v>0.10199999999999999</c:v>
                </c:pt>
                <c:pt idx="6">
                  <c:v>0.12</c:v>
                </c:pt>
                <c:pt idx="7">
                  <c:v>8.8999999999999996E-2</c:v>
                </c:pt>
                <c:pt idx="8">
                  <c:v>6.7000000000000004E-2</c:v>
                </c:pt>
                <c:pt idx="9">
                  <c:v>7.6999999999999999E-2</c:v>
                </c:pt>
                <c:pt idx="10">
                  <c:v>6.5000000000000002E-2</c:v>
                </c:pt>
                <c:pt idx="11">
                  <c:v>0.11799999999999999</c:v>
                </c:pt>
                <c:pt idx="12">
                  <c:v>9.0999999999999998E-2</c:v>
                </c:pt>
                <c:pt idx="13">
                  <c:v>9.2999999999999999E-2</c:v>
                </c:pt>
                <c:pt idx="14">
                  <c:v>0.14699999999999999</c:v>
                </c:pt>
                <c:pt idx="15">
                  <c:v>0.11600000000000001</c:v>
                </c:pt>
                <c:pt idx="16">
                  <c:v>0.17499999999999999</c:v>
                </c:pt>
                <c:pt idx="17">
                  <c:v>0.153</c:v>
                </c:pt>
                <c:pt idx="18">
                  <c:v>0.17699999999999999</c:v>
                </c:pt>
                <c:pt idx="19">
                  <c:v>8.2000000000000003E-2</c:v>
                </c:pt>
                <c:pt idx="20">
                  <c:v>0.155</c:v>
                </c:pt>
                <c:pt idx="21">
                  <c:v>0.17100000000000001</c:v>
                </c:pt>
                <c:pt idx="22">
                  <c:v>0.191</c:v>
                </c:pt>
                <c:pt idx="23">
                  <c:v>0.16</c:v>
                </c:pt>
                <c:pt idx="24">
                  <c:v>0.17100000000000001</c:v>
                </c:pt>
                <c:pt idx="25">
                  <c:v>0.216</c:v>
                </c:pt>
                <c:pt idx="26">
                  <c:v>0.24299999999999999</c:v>
                </c:pt>
                <c:pt idx="27">
                  <c:v>0.32400000000000001</c:v>
                </c:pt>
                <c:pt idx="28">
                  <c:v>0.25600000000000001</c:v>
                </c:pt>
                <c:pt idx="29">
                  <c:v>0.26700000000000002</c:v>
                </c:pt>
                <c:pt idx="30">
                  <c:v>0.25800000000000001</c:v>
                </c:pt>
                <c:pt idx="31">
                  <c:v>0.24099999999999999</c:v>
                </c:pt>
                <c:pt idx="32">
                  <c:v>0.26500000000000001</c:v>
                </c:pt>
                <c:pt idx="33">
                  <c:v>0.28599999999999998</c:v>
                </c:pt>
                <c:pt idx="34">
                  <c:v>0.26900000000000002</c:v>
                </c:pt>
                <c:pt idx="35">
                  <c:v>0.23200000000000001</c:v>
                </c:pt>
                <c:pt idx="36">
                  <c:v>0.32700000000000001</c:v>
                </c:pt>
                <c:pt idx="37">
                  <c:v>0.313</c:v>
                </c:pt>
                <c:pt idx="38">
                  <c:v>0.36599999999999999</c:v>
                </c:pt>
                <c:pt idx="39">
                  <c:v>0.29099999999999998</c:v>
                </c:pt>
                <c:pt idx="40">
                  <c:v>0.433</c:v>
                </c:pt>
                <c:pt idx="41">
                  <c:v>0.40300000000000002</c:v>
                </c:pt>
                <c:pt idx="42">
                  <c:v>0.47099999999999997</c:v>
                </c:pt>
                <c:pt idx="43">
                  <c:v>0.39700000000000002</c:v>
                </c:pt>
                <c:pt idx="44">
                  <c:v>0.4</c:v>
                </c:pt>
                <c:pt idx="45">
                  <c:v>0.47099999999999997</c:v>
                </c:pt>
                <c:pt idx="46">
                  <c:v>0.316</c:v>
                </c:pt>
                <c:pt idx="47">
                  <c:v>0.39200000000000002</c:v>
                </c:pt>
                <c:pt idx="48">
                  <c:v>0.54500000000000004</c:v>
                </c:pt>
                <c:pt idx="49">
                  <c:v>0.39600000000000002</c:v>
                </c:pt>
              </c:numCache>
            </c:numRef>
          </c:val>
          <c:smooth val="0"/>
          <c:extLst>
            <c:ext xmlns:c16="http://schemas.microsoft.com/office/drawing/2014/chart" uri="{C3380CC4-5D6E-409C-BE32-E72D297353CC}">
              <c16:uniqueId val="{00000000-E4E4-464A-8909-97BC2B7CDA0C}"/>
            </c:ext>
          </c:extLst>
        </c:ser>
        <c:ser>
          <c:idx val="1"/>
          <c:order val="1"/>
          <c:tx>
            <c:strRef>
              <c:f>Sheet1!$C$1</c:f>
              <c:strCache>
                <c:ptCount val="1"/>
                <c:pt idx="0">
                  <c:v>Male</c:v>
                </c:pt>
              </c:strCache>
            </c:strRef>
          </c:tx>
          <c:marker>
            <c:symbol val="none"/>
          </c:marker>
          <c:cat>
            <c:numRef>
              <c:f>Sheet1!$A$2:$A$51</c:f>
              <c:numCache>
                <c:formatCode>General</c:formatCode>
                <c:ptCount val="50"/>
                <c:pt idx="0">
                  <c:v>1840</c:v>
                </c:pt>
                <c:pt idx="1">
                  <c:v>1841</c:v>
                </c:pt>
                <c:pt idx="2">
                  <c:v>1842</c:v>
                </c:pt>
                <c:pt idx="3">
                  <c:v>1843</c:v>
                </c:pt>
                <c:pt idx="4">
                  <c:v>1844</c:v>
                </c:pt>
                <c:pt idx="5">
                  <c:v>1845</c:v>
                </c:pt>
                <c:pt idx="6">
                  <c:v>1846</c:v>
                </c:pt>
                <c:pt idx="7">
                  <c:v>1847</c:v>
                </c:pt>
                <c:pt idx="8">
                  <c:v>1848</c:v>
                </c:pt>
                <c:pt idx="9">
                  <c:v>1849</c:v>
                </c:pt>
                <c:pt idx="10">
                  <c:v>1850</c:v>
                </c:pt>
                <c:pt idx="11">
                  <c:v>1851</c:v>
                </c:pt>
                <c:pt idx="12">
                  <c:v>1852</c:v>
                </c:pt>
                <c:pt idx="13">
                  <c:v>1853</c:v>
                </c:pt>
                <c:pt idx="14">
                  <c:v>1854</c:v>
                </c:pt>
                <c:pt idx="15">
                  <c:v>1855</c:v>
                </c:pt>
                <c:pt idx="16">
                  <c:v>1856</c:v>
                </c:pt>
                <c:pt idx="17">
                  <c:v>1857</c:v>
                </c:pt>
                <c:pt idx="18">
                  <c:v>1858</c:v>
                </c:pt>
                <c:pt idx="19">
                  <c:v>1859</c:v>
                </c:pt>
                <c:pt idx="20">
                  <c:v>1860</c:v>
                </c:pt>
                <c:pt idx="21">
                  <c:v>1861</c:v>
                </c:pt>
                <c:pt idx="22">
                  <c:v>1862</c:v>
                </c:pt>
                <c:pt idx="23">
                  <c:v>1863</c:v>
                </c:pt>
                <c:pt idx="24">
                  <c:v>1864</c:v>
                </c:pt>
                <c:pt idx="25">
                  <c:v>1865</c:v>
                </c:pt>
                <c:pt idx="26">
                  <c:v>1866</c:v>
                </c:pt>
                <c:pt idx="27">
                  <c:v>1867</c:v>
                </c:pt>
                <c:pt idx="28">
                  <c:v>1868</c:v>
                </c:pt>
                <c:pt idx="29">
                  <c:v>1869</c:v>
                </c:pt>
                <c:pt idx="30">
                  <c:v>1870</c:v>
                </c:pt>
                <c:pt idx="31">
                  <c:v>1871</c:v>
                </c:pt>
                <c:pt idx="32">
                  <c:v>1872</c:v>
                </c:pt>
                <c:pt idx="33">
                  <c:v>1873</c:v>
                </c:pt>
                <c:pt idx="34">
                  <c:v>1874</c:v>
                </c:pt>
                <c:pt idx="35">
                  <c:v>1875</c:v>
                </c:pt>
                <c:pt idx="36">
                  <c:v>1876</c:v>
                </c:pt>
                <c:pt idx="37">
                  <c:v>1877</c:v>
                </c:pt>
                <c:pt idx="38">
                  <c:v>1878</c:v>
                </c:pt>
                <c:pt idx="39">
                  <c:v>1879</c:v>
                </c:pt>
                <c:pt idx="40">
                  <c:v>1880</c:v>
                </c:pt>
                <c:pt idx="41">
                  <c:v>1881</c:v>
                </c:pt>
                <c:pt idx="42">
                  <c:v>1882</c:v>
                </c:pt>
                <c:pt idx="43">
                  <c:v>1883</c:v>
                </c:pt>
                <c:pt idx="44">
                  <c:v>1884</c:v>
                </c:pt>
                <c:pt idx="45">
                  <c:v>1885</c:v>
                </c:pt>
                <c:pt idx="46">
                  <c:v>1886</c:v>
                </c:pt>
                <c:pt idx="47">
                  <c:v>1887</c:v>
                </c:pt>
                <c:pt idx="48">
                  <c:v>1888</c:v>
                </c:pt>
                <c:pt idx="49">
                  <c:v>1889</c:v>
                </c:pt>
              </c:numCache>
            </c:numRef>
          </c:cat>
          <c:val>
            <c:numRef>
              <c:f>Sheet1!$C$2:$C$51</c:f>
              <c:numCache>
                <c:formatCode>0.00%</c:formatCode>
                <c:ptCount val="50"/>
                <c:pt idx="0">
                  <c:v>9.0999999999999998E-2</c:v>
                </c:pt>
                <c:pt idx="1">
                  <c:v>5.6000000000000001E-2</c:v>
                </c:pt>
                <c:pt idx="2">
                  <c:v>7.9000000000000001E-2</c:v>
                </c:pt>
                <c:pt idx="3">
                  <c:v>0.11</c:v>
                </c:pt>
                <c:pt idx="4">
                  <c:v>0.129</c:v>
                </c:pt>
                <c:pt idx="5">
                  <c:v>0.104</c:v>
                </c:pt>
                <c:pt idx="6">
                  <c:v>0.108</c:v>
                </c:pt>
                <c:pt idx="7">
                  <c:v>9.4E-2</c:v>
                </c:pt>
                <c:pt idx="8">
                  <c:v>0.109</c:v>
                </c:pt>
                <c:pt idx="9">
                  <c:v>9.9000000000000005E-2</c:v>
                </c:pt>
                <c:pt idx="10">
                  <c:v>9.0999999999999998E-2</c:v>
                </c:pt>
                <c:pt idx="11">
                  <c:v>0.126</c:v>
                </c:pt>
                <c:pt idx="12">
                  <c:v>0.11</c:v>
                </c:pt>
                <c:pt idx="13">
                  <c:v>0.108</c:v>
                </c:pt>
                <c:pt idx="14">
                  <c:v>0.13100000000000001</c:v>
                </c:pt>
                <c:pt idx="15">
                  <c:v>0.109</c:v>
                </c:pt>
                <c:pt idx="16">
                  <c:v>0.151</c:v>
                </c:pt>
                <c:pt idx="17">
                  <c:v>0.11</c:v>
                </c:pt>
                <c:pt idx="18">
                  <c:v>0.13800000000000001</c:v>
                </c:pt>
                <c:pt idx="19">
                  <c:v>0.13300000000000001</c:v>
                </c:pt>
                <c:pt idx="20">
                  <c:v>0.16900000000000001</c:v>
                </c:pt>
                <c:pt idx="21">
                  <c:v>0.16600000000000001</c:v>
                </c:pt>
                <c:pt idx="22">
                  <c:v>0.161</c:v>
                </c:pt>
                <c:pt idx="23">
                  <c:v>0.13400000000000001</c:v>
                </c:pt>
                <c:pt idx="24">
                  <c:v>0.19400000000000001</c:v>
                </c:pt>
                <c:pt idx="25">
                  <c:v>0.17499999999999999</c:v>
                </c:pt>
                <c:pt idx="26">
                  <c:v>0.17399999999999999</c:v>
                </c:pt>
                <c:pt idx="27">
                  <c:v>0.161</c:v>
                </c:pt>
                <c:pt idx="28">
                  <c:v>0.13500000000000001</c:v>
                </c:pt>
                <c:pt idx="29">
                  <c:v>0.16800000000000001</c:v>
                </c:pt>
                <c:pt idx="30">
                  <c:v>0.20899999999999999</c:v>
                </c:pt>
                <c:pt idx="31">
                  <c:v>0.24</c:v>
                </c:pt>
                <c:pt idx="32">
                  <c:v>0.192</c:v>
                </c:pt>
                <c:pt idx="33">
                  <c:v>0.183</c:v>
                </c:pt>
                <c:pt idx="34">
                  <c:v>0.187</c:v>
                </c:pt>
                <c:pt idx="35">
                  <c:v>0.218</c:v>
                </c:pt>
                <c:pt idx="36">
                  <c:v>0.13400000000000001</c:v>
                </c:pt>
                <c:pt idx="37">
                  <c:v>0.17</c:v>
                </c:pt>
                <c:pt idx="38">
                  <c:v>0.255</c:v>
                </c:pt>
                <c:pt idx="39">
                  <c:v>0.21</c:v>
                </c:pt>
                <c:pt idx="40">
                  <c:v>0.23699999999999999</c:v>
                </c:pt>
                <c:pt idx="41">
                  <c:v>0.247</c:v>
                </c:pt>
                <c:pt idx="42">
                  <c:v>0.26100000000000001</c:v>
                </c:pt>
                <c:pt idx="43">
                  <c:v>0.33200000000000002</c:v>
                </c:pt>
                <c:pt idx="44">
                  <c:v>0.3</c:v>
                </c:pt>
                <c:pt idx="45">
                  <c:v>0.29799999999999999</c:v>
                </c:pt>
                <c:pt idx="46">
                  <c:v>0.28100000000000003</c:v>
                </c:pt>
                <c:pt idx="47">
                  <c:v>0.34</c:v>
                </c:pt>
                <c:pt idx="48">
                  <c:v>0.29499999999999998</c:v>
                </c:pt>
                <c:pt idx="49">
                  <c:v>0.29299999999999998</c:v>
                </c:pt>
              </c:numCache>
            </c:numRef>
          </c:val>
          <c:smooth val="0"/>
          <c:extLst>
            <c:ext xmlns:c16="http://schemas.microsoft.com/office/drawing/2014/chart" uri="{C3380CC4-5D6E-409C-BE32-E72D297353CC}">
              <c16:uniqueId val="{00000001-E4E4-464A-8909-97BC2B7CDA0C}"/>
            </c:ext>
          </c:extLst>
        </c:ser>
        <c:dLbls>
          <c:showLegendKey val="0"/>
          <c:showVal val="0"/>
          <c:showCatName val="0"/>
          <c:showSerName val="0"/>
          <c:showPercent val="0"/>
          <c:showBubbleSize val="0"/>
        </c:dLbls>
        <c:smooth val="0"/>
        <c:axId val="2127625512"/>
        <c:axId val="-2135038872"/>
      </c:lineChart>
      <c:catAx>
        <c:axId val="2127625512"/>
        <c:scaling>
          <c:orientation val="minMax"/>
        </c:scaling>
        <c:delete val="0"/>
        <c:axPos val="b"/>
        <c:numFmt formatCode="General" sourceLinked="1"/>
        <c:majorTickMark val="out"/>
        <c:minorTickMark val="none"/>
        <c:tickLblPos val="nextTo"/>
        <c:crossAx val="-2135038872"/>
        <c:crosses val="autoZero"/>
        <c:auto val="1"/>
        <c:lblAlgn val="ctr"/>
        <c:lblOffset val="100"/>
        <c:noMultiLvlLbl val="0"/>
      </c:catAx>
      <c:valAx>
        <c:axId val="-2135038872"/>
        <c:scaling>
          <c:orientation val="minMax"/>
        </c:scaling>
        <c:delete val="0"/>
        <c:axPos val="l"/>
        <c:majorGridlines/>
        <c:numFmt formatCode="0%" sourceLinked="0"/>
        <c:majorTickMark val="out"/>
        <c:minorTickMark val="none"/>
        <c:tickLblPos val="nextTo"/>
        <c:crossAx val="212762551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43F5-7F8A-8B43-8E56-E166BD2A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39</Pages>
  <Words>8168</Words>
  <Characters>46561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Walliss</dc:creator>
  <cp:keywords/>
  <dc:description/>
  <cp:lastModifiedBy>john walliss</cp:lastModifiedBy>
  <cp:revision>68</cp:revision>
  <cp:lastPrinted>2019-09-11T09:15:00Z</cp:lastPrinted>
  <dcterms:created xsi:type="dcterms:W3CDTF">2020-10-19T20:14:00Z</dcterms:created>
  <dcterms:modified xsi:type="dcterms:W3CDTF">2020-10-23T12:03:00Z</dcterms:modified>
</cp:coreProperties>
</file>