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1F32" w14:textId="5DA7FC8C" w:rsidR="007C1C53" w:rsidRPr="00BB3EF2" w:rsidRDefault="00C91FC2" w:rsidP="00BB3EF2">
      <w:pPr>
        <w:jc w:val="center"/>
        <w:rPr>
          <w:b/>
          <w:bCs/>
        </w:rPr>
      </w:pPr>
      <w:bookmarkStart w:id="0" w:name="_GoBack"/>
      <w:bookmarkEnd w:id="0"/>
      <w:r w:rsidRPr="00BB3EF2">
        <w:rPr>
          <w:b/>
          <w:bCs/>
        </w:rPr>
        <w:t xml:space="preserve">The Coherence of Middle Eastern Societies: </w:t>
      </w:r>
      <w:r w:rsidR="00DD3BE4" w:rsidRPr="00BB3EF2">
        <w:rPr>
          <w:b/>
          <w:bCs/>
        </w:rPr>
        <w:t>Anglican and Islamic political thought</w:t>
      </w:r>
    </w:p>
    <w:p w14:paraId="07185B85" w14:textId="1090705D" w:rsidR="00DD3BE4" w:rsidRDefault="00DD3BE4"/>
    <w:p w14:paraId="6DD43B57" w14:textId="179E81DE" w:rsidR="004B69B3" w:rsidRPr="004B69B3" w:rsidRDefault="004B69B3" w:rsidP="0014397D">
      <w:pPr>
        <w:rPr>
          <w:b/>
          <w:bCs/>
        </w:rPr>
      </w:pPr>
      <w:r w:rsidRPr="004B69B3">
        <w:rPr>
          <w:b/>
          <w:bCs/>
        </w:rPr>
        <w:t>Introductory Remarks</w:t>
      </w:r>
    </w:p>
    <w:p w14:paraId="411746A6" w14:textId="77777777" w:rsidR="004B69B3" w:rsidRDefault="004B69B3" w:rsidP="0014397D"/>
    <w:p w14:paraId="25CF9306" w14:textId="190E23BE" w:rsidR="009C5E03" w:rsidRDefault="00DB0CC6" w:rsidP="0014397D">
      <w:r>
        <w:t>On</w:t>
      </w:r>
      <w:r w:rsidR="00ED2E57">
        <w:t xml:space="preserve"> a number of occasions</w:t>
      </w:r>
      <w:r>
        <w:t>, I was</w:t>
      </w:r>
      <w:r w:rsidR="00ED2E57">
        <w:t xml:space="preserve"> asked during visit</w:t>
      </w:r>
      <w:r w:rsidR="00BB3EF2">
        <w:t>s</w:t>
      </w:r>
      <w:r w:rsidR="00ED2E57">
        <w:t xml:space="preserve"> to Churches in the USA, </w:t>
      </w:r>
      <w:r w:rsidR="00A0680D">
        <w:t>‘</w:t>
      </w:r>
      <w:r w:rsidR="00ED2E57">
        <w:t>when did you convert</w:t>
      </w:r>
      <w:r w:rsidR="00A0680D">
        <w:t>’</w:t>
      </w:r>
      <w:r w:rsidR="00ED2E57">
        <w:t>? The questioner</w:t>
      </w:r>
      <w:r w:rsidR="002D0099">
        <w:t>s</w:t>
      </w:r>
      <w:r w:rsidR="00ED2E57">
        <w:t xml:space="preserve"> simply assumed that if I am Palestinian born, then I must have been a Muslim, and if a Muslim, then a ‘terrorist’</w:t>
      </w:r>
      <w:r w:rsidR="007305CC">
        <w:t xml:space="preserve">, reflecting </w:t>
      </w:r>
      <w:r w:rsidR="00AA0402">
        <w:t xml:space="preserve">a </w:t>
      </w:r>
      <w:r w:rsidR="007305CC">
        <w:t xml:space="preserve">widespread ignorance </w:t>
      </w:r>
      <w:r w:rsidR="00A24451">
        <w:t>that helps</w:t>
      </w:r>
      <w:r w:rsidR="00560B64">
        <w:t xml:space="preserve"> mak</w:t>
      </w:r>
      <w:r w:rsidR="00A24451">
        <w:t>e</w:t>
      </w:r>
      <w:r w:rsidR="00560B64">
        <w:t xml:space="preserve"> a glib assumption about both Islam and Christianity</w:t>
      </w:r>
      <w:r w:rsidR="00ED2E57">
        <w:t xml:space="preserve">. </w:t>
      </w:r>
      <w:r w:rsidR="00BB3EF2">
        <w:t xml:space="preserve">I normally answered </w:t>
      </w:r>
      <w:r w:rsidR="00FE015E">
        <w:t>saying:</w:t>
      </w:r>
      <w:r w:rsidR="00BB3EF2">
        <w:t xml:space="preserve"> </w:t>
      </w:r>
      <w:r w:rsidR="00585E9E">
        <w:t>‘</w:t>
      </w:r>
      <w:r w:rsidR="00BB3EF2">
        <w:t>I converted in 33AD</w:t>
      </w:r>
      <w:r w:rsidR="00585E9E">
        <w:t>’</w:t>
      </w:r>
      <w:r w:rsidR="00BB3EF2">
        <w:t>.</w:t>
      </w:r>
      <w:r w:rsidR="00097CBE">
        <w:t xml:space="preserve"> This is not just a simple joke, neither is it an absurd claim about genealogical roots in the first century. It is simply a reference to the fact that the Church in the Holy Land has been there since the beginning of Christianity and that my family history is part of that ancient presence.</w:t>
      </w:r>
      <w:r w:rsidR="00BB3EF2">
        <w:t xml:space="preserve"> </w:t>
      </w:r>
      <w:r w:rsidR="00A24451">
        <w:t>Indeed, a</w:t>
      </w:r>
      <w:r w:rsidR="007C519C">
        <w:t xml:space="preserve"> good deal of what has traditionally been said about the Middle East </w:t>
      </w:r>
      <w:r w:rsidR="00741998">
        <w:t xml:space="preserve">in Western circles </w:t>
      </w:r>
      <w:r w:rsidR="007C519C">
        <w:t>suggests often that we may be better saying what it is not than what it is. We might say</w:t>
      </w:r>
      <w:r w:rsidR="002134E5">
        <w:t>:</w:t>
      </w:r>
      <w:r w:rsidR="007C519C">
        <w:t xml:space="preserve"> </w:t>
      </w:r>
      <w:r w:rsidR="002134E5">
        <w:t>‘</w:t>
      </w:r>
      <w:r w:rsidR="007C519C">
        <w:t>the Middle East is not a haven of democracy</w:t>
      </w:r>
      <w:r w:rsidR="002134E5">
        <w:t>’; s</w:t>
      </w:r>
      <w:r w:rsidR="007C519C">
        <w:t xml:space="preserve">ometimes, ‘not Christian’, or the ‘developed’ world. </w:t>
      </w:r>
      <w:r w:rsidR="003718D6">
        <w:t>C</w:t>
      </w:r>
      <w:r w:rsidR="00BB3EF2">
        <w:t xml:space="preserve">an </w:t>
      </w:r>
      <w:r w:rsidR="003718D6">
        <w:t xml:space="preserve">we </w:t>
      </w:r>
      <w:r w:rsidR="00BB3EF2">
        <w:t>rescue</w:t>
      </w:r>
      <w:r w:rsidR="003718D6">
        <w:t>, then,</w:t>
      </w:r>
      <w:r w:rsidR="00BB3EF2">
        <w:t xml:space="preserve"> a positive reflection on the </w:t>
      </w:r>
      <w:r w:rsidR="002D0099">
        <w:t xml:space="preserve">coherence of society in the </w:t>
      </w:r>
      <w:r w:rsidR="00BB3EF2">
        <w:t xml:space="preserve">Middle East </w:t>
      </w:r>
      <w:r w:rsidR="002D0099">
        <w:t>today</w:t>
      </w:r>
      <w:r w:rsidR="00585E9E">
        <w:t xml:space="preserve"> as a pluralist society</w:t>
      </w:r>
      <w:r w:rsidR="00BF7E11">
        <w:t xml:space="preserve"> even in the context of what seems to be never-ending conflicts</w:t>
      </w:r>
      <w:r w:rsidR="003718D6">
        <w:t>?</w:t>
      </w:r>
      <w:r w:rsidR="0014397D">
        <w:t xml:space="preserve"> </w:t>
      </w:r>
    </w:p>
    <w:p w14:paraId="110BB62C" w14:textId="77777777" w:rsidR="009C5E03" w:rsidRDefault="009C5E03" w:rsidP="0014397D"/>
    <w:p w14:paraId="366082A8" w14:textId="794A8641" w:rsidR="0060162F" w:rsidRDefault="00A3688B" w:rsidP="0060162F">
      <w:r>
        <w:t>Given that</w:t>
      </w:r>
      <w:r w:rsidR="00BF7E11">
        <w:t xml:space="preserve"> w</w:t>
      </w:r>
      <w:r w:rsidR="00585E9E">
        <w:t>hat we call today the Arab world has never been a monochrome culture, but a pluralist one</w:t>
      </w:r>
      <w:r w:rsidR="006E04CD">
        <w:t>, i</w:t>
      </w:r>
      <w:r w:rsidR="007120F6">
        <w:t>t is often assumed</w:t>
      </w:r>
      <w:r w:rsidR="000B340D">
        <w:t xml:space="preserve"> </w:t>
      </w:r>
      <w:r w:rsidR="007120F6">
        <w:t>that the Middle East had a history of happy religious pluralism.</w:t>
      </w:r>
      <w:r w:rsidR="00852D65">
        <w:rPr>
          <w:rStyle w:val="FootnoteReference"/>
        </w:rPr>
        <w:footnoteReference w:id="1"/>
      </w:r>
      <w:r w:rsidR="007120F6">
        <w:t xml:space="preserve"> </w:t>
      </w:r>
      <w:r w:rsidR="006340B4">
        <w:t>Sadly, t</w:t>
      </w:r>
      <w:r w:rsidR="007120F6">
        <w:t>h</w:t>
      </w:r>
      <w:r w:rsidR="007C0E27">
        <w:t>is assumption</w:t>
      </w:r>
      <w:r w:rsidR="007120F6">
        <w:t xml:space="preserve"> would</w:t>
      </w:r>
      <w:r w:rsidR="007C519C">
        <w:t xml:space="preserve"> </w:t>
      </w:r>
      <w:r w:rsidR="00560B64">
        <w:t xml:space="preserve">also </w:t>
      </w:r>
      <w:r w:rsidR="007120F6">
        <w:t>be a</w:t>
      </w:r>
      <w:r w:rsidR="00931AB3">
        <w:t xml:space="preserve">n </w:t>
      </w:r>
      <w:r w:rsidR="007120F6">
        <w:t xml:space="preserve">overstatement. Massacres and violence against Christians have occurred at different times in the history of </w:t>
      </w:r>
      <w:r w:rsidR="00E9619A">
        <w:t xml:space="preserve">the </w:t>
      </w:r>
      <w:r w:rsidR="007120F6">
        <w:t>region.</w:t>
      </w:r>
      <w:r w:rsidR="007C0E27">
        <w:rPr>
          <w:rStyle w:val="FootnoteReference"/>
        </w:rPr>
        <w:footnoteReference w:id="2"/>
      </w:r>
      <w:r w:rsidR="007120F6">
        <w:t xml:space="preserve"> It is, however, possible to say that until the </w:t>
      </w:r>
      <w:r w:rsidR="00741998">
        <w:t>second</w:t>
      </w:r>
      <w:r w:rsidR="007120F6">
        <w:t xml:space="preserve"> part of the twentieth century</w:t>
      </w:r>
      <w:r w:rsidR="00851B37">
        <w:t xml:space="preserve"> one could assume at least that different religious communities were able to live together</w:t>
      </w:r>
      <w:r w:rsidR="00741998">
        <w:t xml:space="preserve"> in the region</w:t>
      </w:r>
      <w:r w:rsidR="00851B37">
        <w:t xml:space="preserve">. </w:t>
      </w:r>
      <w:r w:rsidR="0060162F">
        <w:t>A</w:t>
      </w:r>
      <w:r w:rsidR="009035BF">
        <w:t xml:space="preserve"> vision for a </w:t>
      </w:r>
      <w:r w:rsidR="003718D6">
        <w:t xml:space="preserve">coherent </w:t>
      </w:r>
      <w:r w:rsidR="009035BF">
        <w:t xml:space="preserve">pluralist society in the Middle East </w:t>
      </w:r>
      <w:r w:rsidR="00E9619A">
        <w:t>became more</w:t>
      </w:r>
      <w:r w:rsidR="00851B37">
        <w:t xml:space="preserve"> </w:t>
      </w:r>
      <w:r w:rsidR="009035BF">
        <w:t>difficult to sustain</w:t>
      </w:r>
      <w:r w:rsidR="00143E5D">
        <w:t xml:space="preserve"> </w:t>
      </w:r>
      <w:r w:rsidR="003718D6">
        <w:t>in the last few decades</w:t>
      </w:r>
      <w:r w:rsidR="000B340D">
        <w:t xml:space="preserve"> for</w:t>
      </w:r>
      <w:r w:rsidR="009035BF">
        <w:t xml:space="preserve"> </w:t>
      </w:r>
      <w:r w:rsidR="00851B37">
        <w:t xml:space="preserve">different reasons. </w:t>
      </w:r>
    </w:p>
    <w:p w14:paraId="0BCDC642" w14:textId="77777777" w:rsidR="0060162F" w:rsidRDefault="0060162F" w:rsidP="0060162F"/>
    <w:p w14:paraId="4C68601E" w14:textId="124A76B8" w:rsidR="009678EE" w:rsidRDefault="0060162F" w:rsidP="009678EE">
      <w:r>
        <w:t>First, a</w:t>
      </w:r>
      <w:r w:rsidR="00A10478">
        <w:t>fter the collapse of the Ottoman Empire, the Middle East was divided into newly mapped nation states by Britain and France</w:t>
      </w:r>
      <w:r w:rsidR="006E04CD">
        <w:t>, supported by local nationalist movements</w:t>
      </w:r>
      <w:r w:rsidR="003358BE">
        <w:t xml:space="preserve"> with the interest </w:t>
      </w:r>
      <w:r w:rsidR="000C394D">
        <w:t xml:space="preserve">also </w:t>
      </w:r>
      <w:r w:rsidR="003358BE">
        <w:t>of Turkey</w:t>
      </w:r>
      <w:r w:rsidR="000C394D">
        <w:t>,</w:t>
      </w:r>
      <w:r w:rsidR="003358BE">
        <w:t xml:space="preserve"> Russia and the newly emergent Kingdom of Saudi Arabia</w:t>
      </w:r>
      <w:r w:rsidR="00C10110">
        <w:t>.</w:t>
      </w:r>
      <w:r w:rsidR="0062188C">
        <w:rPr>
          <w:rStyle w:val="FootnoteReference"/>
        </w:rPr>
        <w:footnoteReference w:id="3"/>
      </w:r>
      <w:r w:rsidR="00C10110">
        <w:t xml:space="preserve"> </w:t>
      </w:r>
      <w:r w:rsidR="003B58DC">
        <w:t>The events of</w:t>
      </w:r>
      <w:r w:rsidR="00A10478">
        <w:t xml:space="preserve"> the last </w:t>
      </w:r>
      <w:r w:rsidR="003B58DC">
        <w:t>decade</w:t>
      </w:r>
      <w:r w:rsidR="00FE015E">
        <w:t>, around the so-called Arab Spring</w:t>
      </w:r>
      <w:r w:rsidR="006340B4">
        <w:t>,</w:t>
      </w:r>
      <w:r w:rsidR="009035BF">
        <w:t xml:space="preserve"> </w:t>
      </w:r>
      <w:r w:rsidR="003B58DC">
        <w:t>suggest</w:t>
      </w:r>
      <w:r w:rsidR="00A10478">
        <w:t xml:space="preserve"> that </w:t>
      </w:r>
      <w:r w:rsidR="009678EE">
        <w:t xml:space="preserve">the traditional makeup of </w:t>
      </w:r>
      <w:r w:rsidR="00A10478">
        <w:t xml:space="preserve">these states </w:t>
      </w:r>
      <w:r w:rsidR="009678EE">
        <w:t>is facing</w:t>
      </w:r>
      <w:r w:rsidR="00C270D8">
        <w:t xml:space="preserve"> considerable </w:t>
      </w:r>
      <w:r w:rsidR="009678EE">
        <w:t>political, financial and religious</w:t>
      </w:r>
      <w:r w:rsidR="00741998">
        <w:t xml:space="preserve"> </w:t>
      </w:r>
      <w:r w:rsidR="009678EE">
        <w:t>challenges</w:t>
      </w:r>
      <w:r w:rsidR="00463D81">
        <w:t xml:space="preserve">. </w:t>
      </w:r>
    </w:p>
    <w:p w14:paraId="447110DB" w14:textId="40A07089" w:rsidR="003F209A" w:rsidRDefault="003F209A" w:rsidP="009678EE"/>
    <w:p w14:paraId="6609FC7A" w14:textId="586AEF18" w:rsidR="003F209A" w:rsidRDefault="003F209A" w:rsidP="009678EE">
      <w:r>
        <w:t xml:space="preserve">Second, in the face of regional challenges, it is evident that the various Arab nationalisms have run out of steam. Arab Nation states have been ruled by elites who were often more accountable to the State Department in Washington than they were to their own mass of </w:t>
      </w:r>
      <w:r>
        <w:lastRenderedPageBreak/>
        <w:t>mostly religiously conservative people.</w:t>
      </w:r>
      <w:r>
        <w:rPr>
          <w:rStyle w:val="FootnoteReference"/>
        </w:rPr>
        <w:footnoteReference w:id="4"/>
      </w:r>
      <w:r>
        <w:t xml:space="preserve"> Nationalist governments became even more devastated with the military policies of the West, creating further inter-religious tensions. The Iraq war may have fixed the assumption in the eyes of some Muslims that Christians were supporters of the West or associated with America’s project.</w:t>
      </w:r>
      <w:r>
        <w:rPr>
          <w:rStyle w:val="FootnoteReference"/>
        </w:rPr>
        <w:footnoteReference w:id="5"/>
      </w:r>
      <w:r>
        <w:t xml:space="preserve"> This, of course is ironic, especially that it is generally accepted that the development of Arab nationalism owed much to Christian leaders, especially in Syria, Lebanon and Palestine.</w:t>
      </w:r>
      <w:r>
        <w:rPr>
          <w:rStyle w:val="FootnoteReference"/>
        </w:rPr>
        <w:footnoteReference w:id="6"/>
      </w:r>
    </w:p>
    <w:p w14:paraId="3122B348" w14:textId="77777777" w:rsidR="009678EE" w:rsidRDefault="009678EE" w:rsidP="009678EE"/>
    <w:p w14:paraId="44FF6BCC" w14:textId="69B70963" w:rsidR="00931AB3" w:rsidRDefault="003F209A" w:rsidP="003F209A">
      <w:r>
        <w:t>Third</w:t>
      </w:r>
      <w:r w:rsidR="009678EE">
        <w:t xml:space="preserve">, </w:t>
      </w:r>
      <w:r w:rsidR="00E56A4F">
        <w:t>as a highly self-conscious ethno-nationalist state, the establishment of the State of Israel inevitably created a number of tensions in the region, which played into the anxieties of the largely Muslim societies and their view of the ancient Christian communities of the area.</w:t>
      </w:r>
      <w:r w:rsidR="00E56A4F">
        <w:rPr>
          <w:rStyle w:val="FootnoteReference"/>
        </w:rPr>
        <w:footnoteReference w:id="7"/>
      </w:r>
      <w:r w:rsidR="00E56A4F">
        <w:t xml:space="preserve"> D</w:t>
      </w:r>
      <w:r w:rsidR="006340B4">
        <w:t>espite the fact that</w:t>
      </w:r>
      <w:r w:rsidR="004C29BB">
        <w:t xml:space="preserve"> Israel </w:t>
      </w:r>
      <w:r w:rsidR="00E56A4F">
        <w:t xml:space="preserve">had different, intelligible, and recent historical reasons in support of its existence, it still </w:t>
      </w:r>
      <w:r w:rsidR="004C29BB">
        <w:t>falls under th</w:t>
      </w:r>
      <w:r>
        <w:t>e</w:t>
      </w:r>
      <w:r w:rsidR="004C29BB">
        <w:t xml:space="preserve"> same category of th</w:t>
      </w:r>
      <w:r w:rsidR="009678EE">
        <w:t>e</w:t>
      </w:r>
      <w:r w:rsidR="004C29BB">
        <w:t xml:space="preserve"> modern Middle Eastern nation states</w:t>
      </w:r>
      <w:r w:rsidR="00A24451">
        <w:t>,</w:t>
      </w:r>
      <w:r w:rsidR="004C29BB">
        <w:t xml:space="preserve"> born of the same British womb</w:t>
      </w:r>
      <w:r w:rsidR="00E56A4F">
        <w:t>.</w:t>
      </w:r>
      <w:r w:rsidR="007850BD">
        <w:t xml:space="preserve"> </w:t>
      </w:r>
      <w:r w:rsidR="00A24451">
        <w:t>Indeed, i</w:t>
      </w:r>
      <w:r w:rsidR="00E56A4F">
        <w:t>t</w:t>
      </w:r>
      <w:r w:rsidR="005A6CE9">
        <w:t xml:space="preserve"> </w:t>
      </w:r>
      <w:r w:rsidR="007850BD">
        <w:t xml:space="preserve">is </w:t>
      </w:r>
      <w:r w:rsidR="005A6CE9">
        <w:t>still struggl</w:t>
      </w:r>
      <w:r w:rsidR="007850BD">
        <w:t>ing itself</w:t>
      </w:r>
      <w:r w:rsidR="005A6CE9">
        <w:t xml:space="preserve"> to find a meaningful coherence for its future in relation to its own non-Jewish Palestinian citizens </w:t>
      </w:r>
      <w:r w:rsidR="000B340D">
        <w:t>as well as</w:t>
      </w:r>
      <w:r w:rsidR="005A6CE9">
        <w:t xml:space="preserve"> the wider Palestinian population in the West Bank and Gaza. </w:t>
      </w:r>
    </w:p>
    <w:p w14:paraId="7D88D349" w14:textId="77777777" w:rsidR="00931AB3" w:rsidRDefault="00931AB3" w:rsidP="008F1E5D"/>
    <w:p w14:paraId="241586D7" w14:textId="776C1476" w:rsidR="008F6F64" w:rsidRDefault="007850BD" w:rsidP="008F1E5D">
      <w:r>
        <w:t>As the a</w:t>
      </w:r>
      <w:r w:rsidR="000B340D">
        <w:t>lleged national unity in various context</w:t>
      </w:r>
      <w:r w:rsidR="00931AB3">
        <w:t>s</w:t>
      </w:r>
      <w:r w:rsidR="000B340D">
        <w:t xml:space="preserve"> has seemingly been torn asunder</w:t>
      </w:r>
      <w:r>
        <w:t>,</w:t>
      </w:r>
      <w:r w:rsidR="000B340D">
        <w:t xml:space="preserve"> </w:t>
      </w:r>
      <w:r>
        <w:t>t</w:t>
      </w:r>
      <w:r w:rsidR="009C5E03">
        <w:t xml:space="preserve">he </w:t>
      </w:r>
      <w:r w:rsidR="00851B37">
        <w:t>gap</w:t>
      </w:r>
      <w:r w:rsidR="004D6B36">
        <w:t xml:space="preserve"> created with the collapse of nationalism has </w:t>
      </w:r>
      <w:r w:rsidR="007E1927">
        <w:t xml:space="preserve">often </w:t>
      </w:r>
      <w:r w:rsidR="004D6B36">
        <w:t>been</w:t>
      </w:r>
      <w:r w:rsidR="007C519C">
        <w:t xml:space="preserve"> </w:t>
      </w:r>
      <w:r w:rsidR="00851B37">
        <w:t xml:space="preserve">filled </w:t>
      </w:r>
      <w:r w:rsidR="007E1927">
        <w:t>by</w:t>
      </w:r>
      <w:r w:rsidR="00851B37">
        <w:t xml:space="preserve"> primitivist</w:t>
      </w:r>
      <w:r w:rsidR="00A24451">
        <w:t>, normally referred to as</w:t>
      </w:r>
      <w:r w:rsidR="00851B37">
        <w:t xml:space="preserve"> Islami</w:t>
      </w:r>
      <w:r w:rsidR="003358BE">
        <w:t>st</w:t>
      </w:r>
      <w:r w:rsidR="00A24451">
        <w:t>,</w:t>
      </w:r>
      <w:r w:rsidR="00851B37">
        <w:t xml:space="preserve"> </w:t>
      </w:r>
      <w:r w:rsidR="00741998">
        <w:t>non-state organizations</w:t>
      </w:r>
      <w:r w:rsidR="007E1927">
        <w:t xml:space="preserve">, </w:t>
      </w:r>
      <w:r w:rsidR="00851B37">
        <w:t>us</w:t>
      </w:r>
      <w:r w:rsidR="009C5E03">
        <w:t>ing</w:t>
      </w:r>
      <w:r w:rsidR="00851B37">
        <w:t xml:space="preserve"> radical means to achieve what they perceive to be their reformatory goals. </w:t>
      </w:r>
      <w:r w:rsidR="007E1927">
        <w:t>Their lifestyles are hardly captivating by any moral or practical measure.</w:t>
      </w:r>
      <w:r w:rsidR="008F1E5D">
        <w:rPr>
          <w:rStyle w:val="FootnoteReference"/>
        </w:rPr>
        <w:footnoteReference w:id="8"/>
      </w:r>
      <w:r w:rsidR="007E1927">
        <w:t xml:space="preserve"> </w:t>
      </w:r>
      <w:r w:rsidR="00133B5B">
        <w:t>T</w:t>
      </w:r>
      <w:r w:rsidR="00851B37">
        <w:t>hey have not been able to produce any coherent attractive alternative</w:t>
      </w:r>
      <w:r w:rsidR="007E1927">
        <w:t xml:space="preserve"> either</w:t>
      </w:r>
      <w:r w:rsidR="00851B37">
        <w:t>.</w:t>
      </w:r>
      <w:r w:rsidR="007E1927">
        <w:t xml:space="preserve"> </w:t>
      </w:r>
    </w:p>
    <w:p w14:paraId="632DC6C4" w14:textId="77777777" w:rsidR="00C630B8" w:rsidRDefault="00C630B8" w:rsidP="007E1927"/>
    <w:p w14:paraId="3CDBC2A9" w14:textId="551B6C90" w:rsidR="00EE0B73" w:rsidRDefault="009A46F3" w:rsidP="00931AB3">
      <w:r>
        <w:t>In this context</w:t>
      </w:r>
      <w:r w:rsidR="00DE4F7E">
        <w:t>, t</w:t>
      </w:r>
      <w:r w:rsidR="00C630B8">
        <w:t xml:space="preserve">he two </w:t>
      </w:r>
      <w:r w:rsidR="005F0D0B">
        <w:t xml:space="preserve">arguments that we </w:t>
      </w:r>
      <w:r w:rsidR="006340B4">
        <w:t>are wearily</w:t>
      </w:r>
      <w:r w:rsidR="005F0D0B">
        <w:t xml:space="preserve"> familiar with will not help us move forward in the Middle East. At one end of the spectrum, there is the unconditional support for a Shariah-based bureaucratic nation state. At the other end is the view that there is essentially nothing to be desired from engaging religious language and law in public domains, a view which runs up against much of the complex history of the Middle East and of religious practice</w:t>
      </w:r>
      <w:r w:rsidR="00DE4F7E">
        <w:t xml:space="preserve"> in both Islam and Christianity</w:t>
      </w:r>
      <w:r w:rsidR="005F0D0B">
        <w:t xml:space="preserve">. </w:t>
      </w:r>
    </w:p>
    <w:p w14:paraId="6915BEFB" w14:textId="024C8D36" w:rsidR="00DE4F7E" w:rsidRDefault="00DE4F7E" w:rsidP="005F0D0B"/>
    <w:p w14:paraId="0D137CF9" w14:textId="216B617A" w:rsidR="00DE4F7E" w:rsidRDefault="006340B4" w:rsidP="00DE4F7E">
      <w:r>
        <w:t>In discussing the</w:t>
      </w:r>
      <w:r w:rsidR="00DE4F7E">
        <w:t xml:space="preserve"> possib</w:t>
      </w:r>
      <w:r>
        <w:t>ility</w:t>
      </w:r>
      <w:r w:rsidR="00DE4F7E">
        <w:t xml:space="preserve"> of a coherent vision for a pluralist society in the Middle East</w:t>
      </w:r>
      <w:r>
        <w:t>,</w:t>
      </w:r>
      <w:r w:rsidR="00DE4F7E">
        <w:t xml:space="preserve"> </w:t>
      </w:r>
      <w:r w:rsidR="00E56A4F">
        <w:t>our</w:t>
      </w:r>
      <w:r w:rsidR="00DE4F7E">
        <w:t xml:space="preserve"> aim</w:t>
      </w:r>
      <w:r w:rsidR="00E56A4F">
        <w:t xml:space="preserve"> is</w:t>
      </w:r>
      <w:r w:rsidR="00DE4F7E">
        <w:t xml:space="preserve"> to </w:t>
      </w:r>
      <w:r w:rsidR="00E56A4F">
        <w:t>go</w:t>
      </w:r>
      <w:r w:rsidR="00DE4F7E">
        <w:t xml:space="preserve"> beyond simply another analysis of the cyclical pattern of violence and conflict in the region. It is rather an opportunity to clarify a way forward from some of our world’s most destructive situations today when a particular way of hard thinking about religious, legal and political matters together has been done. </w:t>
      </w:r>
      <w:r w:rsidR="00D43B58">
        <w:t>I</w:t>
      </w:r>
      <w:r w:rsidR="00DE4F7E">
        <w:t>t is not possible here to prescribe final solutions</w:t>
      </w:r>
      <w:r w:rsidR="00D43B58">
        <w:t xml:space="preserve"> in terms of how we achieve that</w:t>
      </w:r>
      <w:r w:rsidR="00DE4F7E">
        <w:t xml:space="preserve">. What we have here are some possible insights rather than the final answer. </w:t>
      </w:r>
    </w:p>
    <w:p w14:paraId="2CFBCCD2" w14:textId="7AD50DA1" w:rsidR="00C76FEE" w:rsidRDefault="00C76FEE" w:rsidP="00DE4F7E"/>
    <w:p w14:paraId="19CA12C9" w14:textId="77777777" w:rsidR="00B42206" w:rsidRPr="00B42206" w:rsidRDefault="00B42206" w:rsidP="00931AB3">
      <w:pPr>
        <w:rPr>
          <w:b/>
          <w:bCs/>
        </w:rPr>
      </w:pPr>
      <w:r w:rsidRPr="00B42206">
        <w:rPr>
          <w:b/>
          <w:bCs/>
        </w:rPr>
        <w:lastRenderedPageBreak/>
        <w:t>Anglican and Islamic thought</w:t>
      </w:r>
    </w:p>
    <w:p w14:paraId="32C37AB0" w14:textId="77777777" w:rsidR="00B42206" w:rsidRDefault="00B42206" w:rsidP="00931AB3"/>
    <w:p w14:paraId="7D61DE43" w14:textId="62323598" w:rsidR="00CB71E4" w:rsidRDefault="00555166" w:rsidP="00CB71E4">
      <w:r>
        <w:t>As will become clearer below,</w:t>
      </w:r>
      <w:r w:rsidR="00C76FEE">
        <w:t xml:space="preserve"> </w:t>
      </w:r>
      <w:r w:rsidR="00E56A4F">
        <w:t>a</w:t>
      </w:r>
      <w:r w:rsidR="00C76FEE">
        <w:t xml:space="preserve"> ‘coherent society’ here </w:t>
      </w:r>
      <w:r w:rsidR="00E56A4F">
        <w:t>refers to</w:t>
      </w:r>
      <w:r w:rsidR="00C76FEE">
        <w:t xml:space="preserve"> an unapologetic </w:t>
      </w:r>
      <w:r w:rsidR="00E56A4F">
        <w:t>vision</w:t>
      </w:r>
      <w:r w:rsidR="00C76FEE">
        <w:t xml:space="preserve"> for a pluralist society that is interactive, argumentative and creative, where all religious communities are able to engage and argue with each other without the fear of persecution from whoever happens to be in power at any particular time. The paper </w:t>
      </w:r>
      <w:r w:rsidR="00B55D0C">
        <w:t>argues for the benefits</w:t>
      </w:r>
      <w:r w:rsidR="00C76FEE">
        <w:t xml:space="preserve"> </w:t>
      </w:r>
      <w:r w:rsidR="00B55D0C">
        <w:t>of</w:t>
      </w:r>
      <w:r w:rsidR="00C76FEE">
        <w:t xml:space="preserve"> a</w:t>
      </w:r>
      <w:r w:rsidR="00931AB3">
        <w:t xml:space="preserve"> conversation between Anglican and Islamic thought on law and politics </w:t>
      </w:r>
      <w:r w:rsidR="00B55D0C">
        <w:t xml:space="preserve">as </w:t>
      </w:r>
      <w:r w:rsidR="00E56A4F">
        <w:t>a way of</w:t>
      </w:r>
      <w:r w:rsidR="00931AB3">
        <w:t xml:space="preserve"> provid</w:t>
      </w:r>
      <w:r w:rsidR="00E56A4F">
        <w:t>ing</w:t>
      </w:r>
      <w:r w:rsidR="00931AB3">
        <w:t xml:space="preserve"> a template for </w:t>
      </w:r>
      <w:r w:rsidR="00C76FEE">
        <w:t>this</w:t>
      </w:r>
      <w:r w:rsidR="00931AB3">
        <w:t xml:space="preserve"> kind of political coherence. </w:t>
      </w:r>
      <w:r w:rsidR="005F0D0B">
        <w:t>S</w:t>
      </w:r>
      <w:r w:rsidR="004A63C1">
        <w:t>ome might suggest</w:t>
      </w:r>
      <w:r w:rsidR="009A46F3">
        <w:t>, therefore,</w:t>
      </w:r>
      <w:r w:rsidR="004A63C1">
        <w:t xml:space="preserve"> that a</w:t>
      </w:r>
      <w:r w:rsidR="008E4E03">
        <w:t xml:space="preserve"> theoretical</w:t>
      </w:r>
      <w:r w:rsidR="004A63C1">
        <w:t xml:space="preserve"> effort to assess the question of coherence </w:t>
      </w:r>
      <w:r w:rsidR="00BB0404">
        <w:t xml:space="preserve">in the Middle East </w:t>
      </w:r>
      <w:r w:rsidR="004A63C1">
        <w:t xml:space="preserve">with reference to Anglican </w:t>
      </w:r>
      <w:r w:rsidR="00932398">
        <w:t xml:space="preserve">thought </w:t>
      </w:r>
      <w:r w:rsidR="001B0FA2">
        <w:t>is just</w:t>
      </w:r>
      <w:r w:rsidR="00F14DC7">
        <w:t xml:space="preserve"> another attempt to expand parochial values into universal principles</w:t>
      </w:r>
      <w:r w:rsidR="004B69B3">
        <w:t>.</w:t>
      </w:r>
      <w:r w:rsidR="00F14DC7">
        <w:t xml:space="preserve"> </w:t>
      </w:r>
      <w:r w:rsidR="00CB71E4">
        <w:t xml:space="preserve">There are two responses to this claim that are </w:t>
      </w:r>
      <w:r w:rsidR="00F33FCE">
        <w:t>not dis</w:t>
      </w:r>
      <w:r w:rsidR="00CB71E4">
        <w:t xml:space="preserve">connected. First, engaging with the Anglican form of Christianity outside of the British context is not new and goes beyond the frontiers of the British Empire. Timothy Jenkins once noted how </w:t>
      </w:r>
    </w:p>
    <w:p w14:paraId="2E98B710" w14:textId="77777777" w:rsidR="00CB71E4" w:rsidRDefault="00CB71E4" w:rsidP="00CB71E4"/>
    <w:p w14:paraId="2718CC49" w14:textId="1026CD6A" w:rsidR="00CB71E4" w:rsidRDefault="00F33FCE" w:rsidP="00CB71E4">
      <w:pPr>
        <w:ind w:left="283" w:right="283"/>
      </w:pPr>
      <w:r>
        <w:t>Anglicanism reached countries outside t</w:t>
      </w:r>
      <w:r w:rsidR="00A24451">
        <w:t>he sphere of former British rule or influence, Japan, Rwanda, the Congo and Brazil among them</w:t>
      </w:r>
      <w:r w:rsidR="00010709">
        <w:t>.</w:t>
      </w:r>
      <w:r w:rsidR="00A24451">
        <w:t xml:space="preserve"> </w:t>
      </w:r>
      <w:r w:rsidR="00CB71E4">
        <w:t>One reason for the transferrable nature of this form of Christianity to places that are or have been troubled in different ways lies, I suggest, in the form of settlement that Anglicanism represents, a settlement that, if not capable of resolving, is at least capable of holding in tension the antinomies of the modern condition.</w:t>
      </w:r>
      <w:r w:rsidR="00CB71E4">
        <w:rPr>
          <w:rStyle w:val="FootnoteReference"/>
        </w:rPr>
        <w:footnoteReference w:id="9"/>
      </w:r>
    </w:p>
    <w:p w14:paraId="4BEED26D" w14:textId="77777777" w:rsidR="00CB71E4" w:rsidRDefault="00CB71E4" w:rsidP="00CB71E4"/>
    <w:p w14:paraId="390B4680" w14:textId="6CE6108D" w:rsidR="00C270D8" w:rsidRDefault="00CB71E4" w:rsidP="00F77704">
      <w:r>
        <w:t>Second,</w:t>
      </w:r>
      <w:r w:rsidR="00C270D8">
        <w:t xml:space="preserve"> </w:t>
      </w:r>
      <w:r>
        <w:t xml:space="preserve">this </w:t>
      </w:r>
      <w:r w:rsidR="009A46F3">
        <w:t>claim</w:t>
      </w:r>
      <w:r>
        <w:t xml:space="preserve"> of </w:t>
      </w:r>
      <w:r w:rsidR="00F77704">
        <w:t>the Anglican ‘</w:t>
      </w:r>
      <w:r>
        <w:t>holding in tension antinomies’</w:t>
      </w:r>
      <w:r w:rsidR="009A46F3">
        <w:t xml:space="preserve"> </w:t>
      </w:r>
      <w:r>
        <w:t xml:space="preserve">was seen by other Muslim writers as </w:t>
      </w:r>
      <w:r w:rsidR="00F77704">
        <w:t xml:space="preserve">‘the </w:t>
      </w:r>
      <w:r w:rsidR="00931AB3">
        <w:t xml:space="preserve">will to </w:t>
      </w:r>
      <w:r w:rsidR="007C1C53">
        <w:t xml:space="preserve">synthesis and </w:t>
      </w:r>
      <w:r w:rsidR="00931AB3">
        <w:t>compromise</w:t>
      </w:r>
      <w:r w:rsidR="007C1C53">
        <w:t xml:space="preserve"> </w:t>
      </w:r>
      <w:r w:rsidR="00F77704">
        <w:t>[that] is</w:t>
      </w:r>
      <w:r w:rsidR="007C1C53">
        <w:t xml:space="preserve"> indicative of an Islamic convergence</w:t>
      </w:r>
      <w:r w:rsidR="00931AB3">
        <w:t>’</w:t>
      </w:r>
      <w:r w:rsidR="007C1C53">
        <w:t>.</w:t>
      </w:r>
      <w:r w:rsidR="00931AB3">
        <w:rPr>
          <w:rStyle w:val="FootnoteReference"/>
        </w:rPr>
        <w:footnoteReference w:id="10"/>
      </w:r>
      <w:r w:rsidR="007C1C53">
        <w:t xml:space="preserve"> The most </w:t>
      </w:r>
      <w:r w:rsidR="00FC00CC">
        <w:t>important</w:t>
      </w:r>
      <w:r w:rsidR="007C1C53">
        <w:t xml:space="preserve"> </w:t>
      </w:r>
      <w:r w:rsidR="00FC00CC">
        <w:t>reference here</w:t>
      </w:r>
      <w:r w:rsidR="007C1C53">
        <w:t xml:space="preserve"> comes from the former Bosnian </w:t>
      </w:r>
      <w:r w:rsidR="00137F5F">
        <w:t>P</w:t>
      </w:r>
      <w:r w:rsidR="007C1C53">
        <w:t xml:space="preserve">resident Alija Izetbegovic, whose book </w:t>
      </w:r>
      <w:r w:rsidR="007C1C53" w:rsidRPr="0064313F">
        <w:rPr>
          <w:i/>
          <w:iCs/>
        </w:rPr>
        <w:t>Islam between East and West</w:t>
      </w:r>
      <w:r w:rsidR="007C1C53">
        <w:t xml:space="preserve"> </w:t>
      </w:r>
      <w:r w:rsidR="00190DE7">
        <w:t xml:space="preserve">first published in 1984 </w:t>
      </w:r>
      <w:r w:rsidR="007C1C53">
        <w:t xml:space="preserve">concludes with an appraisal of Anglicanism as a </w:t>
      </w:r>
      <w:r w:rsidR="00137F5F" w:rsidRPr="00137F5F">
        <w:rPr>
          <w:i/>
          <w:iCs/>
        </w:rPr>
        <w:t>via media</w:t>
      </w:r>
      <w:r w:rsidR="007C1C53">
        <w:t xml:space="preserve">. According to him, </w:t>
      </w:r>
      <w:r w:rsidR="00190DE7">
        <w:t>‘f</w:t>
      </w:r>
      <w:r w:rsidR="007C1C53">
        <w:t>rom the viewpoint of a philosophy of history, the emergence of England and the Anglo-Saxon spirit in the history of the West corresponds to the emergence of Islam in the history of the East</w:t>
      </w:r>
      <w:r w:rsidR="00190DE7">
        <w:t>’</w:t>
      </w:r>
      <w:r w:rsidR="007C1C53">
        <w:t>.</w:t>
      </w:r>
      <w:r w:rsidR="00190DE7">
        <w:rPr>
          <w:rStyle w:val="FootnoteReference"/>
        </w:rPr>
        <w:footnoteReference w:id="11"/>
      </w:r>
      <w:r w:rsidR="007C1C53">
        <w:t xml:space="preserve"> </w:t>
      </w:r>
      <w:r w:rsidR="00190DE7">
        <w:t xml:space="preserve">The place of </w:t>
      </w:r>
      <w:r w:rsidR="00AE21C3">
        <w:t>the church</w:t>
      </w:r>
      <w:r w:rsidR="00EE0B73">
        <w:t xml:space="preserve"> and religious discourse</w:t>
      </w:r>
      <w:r w:rsidR="00190DE7">
        <w:t xml:space="preserve"> at the heart of public life in England</w:t>
      </w:r>
      <w:r w:rsidR="00EE0B73">
        <w:t>,</w:t>
      </w:r>
      <w:r w:rsidR="00190DE7">
        <w:t xml:space="preserve"> </w:t>
      </w:r>
      <w:r w:rsidR="00EE0B73">
        <w:t>i</w:t>
      </w:r>
      <w:r w:rsidR="00AE21C3">
        <w:t>n his view,</w:t>
      </w:r>
      <w:r w:rsidR="00190DE7">
        <w:t xml:space="preserve"> reflect</w:t>
      </w:r>
      <w:r w:rsidR="00AE21C3">
        <w:t>s</w:t>
      </w:r>
      <w:r w:rsidR="00190DE7">
        <w:t xml:space="preserve"> Islam’s unwillingness to </w:t>
      </w:r>
      <w:r w:rsidR="001B0FA2">
        <w:t xml:space="preserve">maintain </w:t>
      </w:r>
      <w:r w:rsidR="00A77CCC">
        <w:t xml:space="preserve">a </w:t>
      </w:r>
      <w:r w:rsidR="001B0FA2">
        <w:t>strict</w:t>
      </w:r>
      <w:r w:rsidR="00F77704">
        <w:t xml:space="preserve"> </w:t>
      </w:r>
      <w:r w:rsidR="00190DE7">
        <w:t>separat</w:t>
      </w:r>
      <w:r w:rsidR="001B0FA2">
        <w:t>ion between</w:t>
      </w:r>
      <w:r w:rsidR="00190DE7">
        <w:t xml:space="preserve"> the secular </w:t>
      </w:r>
      <w:r w:rsidR="00AE21C3">
        <w:t>and</w:t>
      </w:r>
      <w:r w:rsidR="00190DE7">
        <w:t xml:space="preserve"> the sacred, or religion</w:t>
      </w:r>
      <w:r w:rsidR="001B0FA2">
        <w:t xml:space="preserve"> from public discourse</w:t>
      </w:r>
      <w:r w:rsidR="00190DE7">
        <w:t xml:space="preserve">. </w:t>
      </w:r>
    </w:p>
    <w:p w14:paraId="1540400E" w14:textId="5CE61028" w:rsidR="009E2CCA" w:rsidRDefault="009E2CCA" w:rsidP="00931AB3"/>
    <w:p w14:paraId="0106BBC8" w14:textId="5D352581" w:rsidR="009E2CCA" w:rsidRDefault="009E2CCA" w:rsidP="009E2CCA">
      <w:r>
        <w:t>His argument, however, i</w:t>
      </w:r>
      <w:r w:rsidR="00E56A4F">
        <w:t>n that short last chapter</w:t>
      </w:r>
      <w:r>
        <w:t xml:space="preserve"> lacks critical historical and doctrinal perspectives when referring to the various English thinkers. Though one can speak of certain convergences between Islam and Christianity broadly in the distinction between religious and political authority, or between what is enjoined for the good of the soul and the good of social stability,</w:t>
      </w:r>
      <w:r>
        <w:rPr>
          <w:rStyle w:val="FootnoteReference"/>
        </w:rPr>
        <w:footnoteReference w:id="12"/>
      </w:r>
      <w:r>
        <w:t xml:space="preserve"> the strict institutional </w:t>
      </w:r>
      <w:r w:rsidR="00F33FCE">
        <w:t>distinction</w:t>
      </w:r>
      <w:r>
        <w:t xml:space="preserve"> </w:t>
      </w:r>
      <w:r w:rsidR="00F33FCE">
        <w:t>between</w:t>
      </w:r>
      <w:r>
        <w:t xml:space="preserve"> Church and State that characterized both Western and Eastern Christianity never emerged in the Islamic world.</w:t>
      </w:r>
      <w:r>
        <w:rPr>
          <w:rStyle w:val="FootnoteReference"/>
        </w:rPr>
        <w:footnoteReference w:id="13"/>
      </w:r>
      <w:r>
        <w:t xml:space="preserve"> As will become clearer later, this is an important distinction </w:t>
      </w:r>
      <w:r w:rsidR="00F33FCE">
        <w:t xml:space="preserve">that has implication for </w:t>
      </w:r>
      <w:r w:rsidR="00F33FCE">
        <w:lastRenderedPageBreak/>
        <w:t>understanding the history of political coherence in Britain and Europe;</w:t>
      </w:r>
      <w:r>
        <w:t xml:space="preserve"> </w:t>
      </w:r>
      <w:r w:rsidR="00F33FCE">
        <w:t xml:space="preserve">it </w:t>
      </w:r>
      <w:r>
        <w:t xml:space="preserve">will require better doctrinal clarity in Islamic practice. </w:t>
      </w:r>
    </w:p>
    <w:p w14:paraId="40346D0B" w14:textId="77777777" w:rsidR="00D530C6" w:rsidRDefault="00D530C6" w:rsidP="000814C7">
      <w:pPr>
        <w:pStyle w:val="Body"/>
      </w:pPr>
    </w:p>
    <w:p w14:paraId="7D3FCA7B" w14:textId="1936C258" w:rsidR="00CB71E4" w:rsidRDefault="006F19A4" w:rsidP="00F33FCE">
      <w:pPr>
        <w:pStyle w:val="Body"/>
      </w:pPr>
      <w:r>
        <w:t>Though some might say that there is no organic visible connection between conceptions of the divine nature and views of social pluralism,</w:t>
      </w:r>
      <w:r w:rsidR="001F4918">
        <w:t xml:space="preserve"> </w:t>
      </w:r>
      <w:r w:rsidR="00F77704">
        <w:t xml:space="preserve">raising these doctrinal points remains important. </w:t>
      </w:r>
      <w:r>
        <w:t>If the belief in God is not simply a belief in an abstract idea but reflects a certain understanding</w:t>
      </w:r>
      <w:r w:rsidR="00CB71E4">
        <w:t xml:space="preserve"> </w:t>
      </w:r>
      <w:r w:rsidR="003248E0">
        <w:t xml:space="preserve">of </w:t>
      </w:r>
      <w:r w:rsidR="00CB71E4">
        <w:t>and belief in</w:t>
      </w:r>
      <w:r>
        <w:t xml:space="preserve"> human nature</w:t>
      </w:r>
      <w:r w:rsidR="00010709">
        <w:t>; as such, Islam and Christianity produced different types of religious communities and the history of these communities and their interaction with the wider society shaped different historical political developments</w:t>
      </w:r>
      <w:r>
        <w:t xml:space="preserve">. </w:t>
      </w:r>
      <w:r w:rsidR="00DA3540">
        <w:t>To use Rowan William</w:t>
      </w:r>
      <w:r w:rsidR="000814C7">
        <w:t>’s word</w:t>
      </w:r>
      <w:r w:rsidR="00DA3540">
        <w:t xml:space="preserve">s, disregarding doctrine would reflect </w:t>
      </w:r>
      <w:r w:rsidR="00DA3540">
        <w:rPr>
          <w:rtl/>
        </w:rPr>
        <w:t>‘</w:t>
      </w:r>
      <w:r w:rsidR="00DA3540">
        <w:t>a certain amnesia about the classical idioms and a certain philistinism about Christian history and imagination, where the relevance of doctrine had become invisible</w:t>
      </w:r>
      <w:r w:rsidR="00DA3540">
        <w:rPr>
          <w:rtl/>
        </w:rPr>
        <w:t>’</w:t>
      </w:r>
      <w:r w:rsidR="00DA3540">
        <w:t>.</w:t>
      </w:r>
      <w:r w:rsidR="00DA3540">
        <w:rPr>
          <w:rStyle w:val="FootnoteReference"/>
        </w:rPr>
        <w:footnoteReference w:id="14"/>
      </w:r>
      <w:r w:rsidR="00DA3540">
        <w:t xml:space="preserve"> </w:t>
      </w:r>
      <w:r w:rsidR="000D7266">
        <w:t>T</w:t>
      </w:r>
      <w:r w:rsidR="00F77704">
        <w:t>he</w:t>
      </w:r>
      <w:r w:rsidR="000D7266">
        <w:t xml:space="preserve"> former Bosnian President is correct to note that there is a distinctive Anglican contribution. But the discovery of it may require more patience in attending to a number of historical developments than his short chapter allows. </w:t>
      </w:r>
    </w:p>
    <w:p w14:paraId="13E9ED55" w14:textId="77777777" w:rsidR="00CB71E4" w:rsidRDefault="00CB71E4" w:rsidP="00F77704">
      <w:pPr>
        <w:ind w:right="283"/>
        <w:rPr>
          <w:b/>
          <w:bCs/>
        </w:rPr>
      </w:pPr>
    </w:p>
    <w:p w14:paraId="6FDE85E6" w14:textId="503ECA76" w:rsidR="00F15989" w:rsidRPr="00DB0B2D" w:rsidRDefault="00EE16BF" w:rsidP="00CB71E4">
      <w:pPr>
        <w:ind w:right="283"/>
      </w:pPr>
      <w:r>
        <w:rPr>
          <w:b/>
          <w:bCs/>
        </w:rPr>
        <w:t>C</w:t>
      </w:r>
      <w:r w:rsidR="00E2213D">
        <w:rPr>
          <w:b/>
          <w:bCs/>
        </w:rPr>
        <w:t>ivic</w:t>
      </w:r>
      <w:r>
        <w:rPr>
          <w:b/>
          <w:bCs/>
        </w:rPr>
        <w:t xml:space="preserve"> and Religious</w:t>
      </w:r>
      <w:r w:rsidR="00E2213D">
        <w:rPr>
          <w:b/>
          <w:bCs/>
        </w:rPr>
        <w:t xml:space="preserve"> identity</w:t>
      </w:r>
      <w:r>
        <w:rPr>
          <w:b/>
          <w:bCs/>
        </w:rPr>
        <w:t xml:space="preserve"> in</w:t>
      </w:r>
      <w:r w:rsidR="00AE3344">
        <w:rPr>
          <w:b/>
          <w:bCs/>
        </w:rPr>
        <w:t xml:space="preserve"> the new </w:t>
      </w:r>
      <w:r>
        <w:rPr>
          <w:b/>
          <w:bCs/>
        </w:rPr>
        <w:t xml:space="preserve">Iraqi </w:t>
      </w:r>
      <w:r w:rsidR="00AE3344">
        <w:rPr>
          <w:b/>
          <w:bCs/>
        </w:rPr>
        <w:t xml:space="preserve">constitution </w:t>
      </w:r>
    </w:p>
    <w:p w14:paraId="58569FFD" w14:textId="77777777" w:rsidR="00F15989" w:rsidRDefault="00F15989" w:rsidP="00A374A6"/>
    <w:p w14:paraId="443A5D51" w14:textId="77777777" w:rsidR="006352B8" w:rsidRDefault="003248E0" w:rsidP="00936A27">
      <w:r>
        <w:t>As we</w:t>
      </w:r>
      <w:r w:rsidR="00DB0B2D">
        <w:t xml:space="preserve"> turn the </w:t>
      </w:r>
      <w:r w:rsidR="00936A27">
        <w:t>Anglican-Islamic conversation</w:t>
      </w:r>
      <w:r w:rsidR="00DB0B2D">
        <w:t xml:space="preserve"> to the </w:t>
      </w:r>
      <w:r w:rsidR="00936A27">
        <w:t>question</w:t>
      </w:r>
      <w:r>
        <w:t xml:space="preserve"> of coherence and pluralism in the </w:t>
      </w:r>
      <w:r w:rsidR="00DB0B2D">
        <w:t xml:space="preserve">Middle East, </w:t>
      </w:r>
      <w:r w:rsidR="00AA0402">
        <w:t>we</w:t>
      </w:r>
      <w:r w:rsidR="00DB0B2D">
        <w:t xml:space="preserve"> </w:t>
      </w:r>
      <w:r>
        <w:t>begin with</w:t>
      </w:r>
      <w:r w:rsidR="00DB0B2D">
        <w:t xml:space="preserve"> engaging the</w:t>
      </w:r>
      <w:r w:rsidR="00F33FCE">
        <w:t xml:space="preserve"> recent</w:t>
      </w:r>
      <w:r w:rsidR="00DB0B2D">
        <w:t xml:space="preserve"> writings of Rowan Williams and some of his own sources on law and politics as they refer to the Middle East</w:t>
      </w:r>
      <w:r w:rsidR="00936A27">
        <w:t>.</w:t>
      </w:r>
      <w:r w:rsidR="00DB0B2D">
        <w:t xml:space="preserve"> </w:t>
      </w:r>
    </w:p>
    <w:p w14:paraId="327D242A" w14:textId="77777777" w:rsidR="006352B8" w:rsidRDefault="006352B8" w:rsidP="00936A27"/>
    <w:p w14:paraId="22A84AB7" w14:textId="0E1ABACE" w:rsidR="007241A1" w:rsidRDefault="00691A32" w:rsidP="00936A27">
      <w:r>
        <w:t>In an address at the University Church of St. Mary the Virgin in Oxford in September 2005, the then Archbishop of Canterbury</w:t>
      </w:r>
      <w:r w:rsidR="00F00D47">
        <w:t>, Rowan Williams,</w:t>
      </w:r>
      <w:r>
        <w:t xml:space="preserve"> discussed Christian perspectives on </w:t>
      </w:r>
      <w:r w:rsidR="00F00D47">
        <w:t>s</w:t>
      </w:r>
      <w:r>
        <w:t xml:space="preserve">overeignty and the relationship between </w:t>
      </w:r>
      <w:r w:rsidR="003248E0">
        <w:t>l</w:t>
      </w:r>
      <w:r>
        <w:t>aw</w:t>
      </w:r>
      <w:r w:rsidR="00021DA3">
        <w:t xml:space="preserve"> and</w:t>
      </w:r>
      <w:r>
        <w:t xml:space="preserve"> </w:t>
      </w:r>
      <w:r w:rsidR="003248E0">
        <w:t>p</w:t>
      </w:r>
      <w:r>
        <w:t xml:space="preserve">ower </w:t>
      </w:r>
      <w:r w:rsidR="00021DA3">
        <w:t>in</w:t>
      </w:r>
      <w:r>
        <w:t xml:space="preserve"> pluralist societ</w:t>
      </w:r>
      <w:r w:rsidR="007B4D76">
        <w:t>ies</w:t>
      </w:r>
      <w:r>
        <w:t xml:space="preserve">. </w:t>
      </w:r>
      <w:r w:rsidR="00F1219D">
        <w:t xml:space="preserve">In that address he turns to </w:t>
      </w:r>
      <w:r w:rsidR="00021DA3">
        <w:t xml:space="preserve">perspectives that surface with </w:t>
      </w:r>
      <w:r w:rsidR="00211FF9">
        <w:t xml:space="preserve">David Nicholls and </w:t>
      </w:r>
      <w:r w:rsidR="00021DA3">
        <w:t>John Neville Figgis, the Anglican priest and political philosopher</w:t>
      </w:r>
      <w:r w:rsidR="004B69C3">
        <w:t xml:space="preserve"> of the early twentieth century</w:t>
      </w:r>
      <w:r w:rsidR="00723F25">
        <w:t xml:space="preserve"> reflecting a particular understanding of ‘political liberalism’ as a source of coherence. ‘Liberalism’ here is not a reference to individualist assumptions, but</w:t>
      </w:r>
      <w:r w:rsidR="008C7A03">
        <w:t xml:space="preserve"> to diffused de-centralised governance</w:t>
      </w:r>
      <w:r w:rsidR="003248E0">
        <w:t>,</w:t>
      </w:r>
      <w:r w:rsidR="008C7A03">
        <w:t xml:space="preserve"> </w:t>
      </w:r>
      <w:r w:rsidR="003248E0">
        <w:t>which</w:t>
      </w:r>
      <w:r w:rsidR="008C7A03">
        <w:t xml:space="preserve"> </w:t>
      </w:r>
      <w:r w:rsidR="007C5D4F">
        <w:t>might</w:t>
      </w:r>
      <w:r w:rsidR="008C7A03">
        <w:t xml:space="preserve"> strike similar notes in </w:t>
      </w:r>
      <w:r w:rsidR="003248E0">
        <w:t>the history</w:t>
      </w:r>
      <w:r w:rsidR="008C7A03">
        <w:t xml:space="preserve"> o</w:t>
      </w:r>
      <w:r w:rsidR="003248E0">
        <w:t>f</w:t>
      </w:r>
      <w:r w:rsidR="008C7A03">
        <w:t xml:space="preserve"> Islamic law and </w:t>
      </w:r>
      <w:r w:rsidR="003248E0">
        <w:t>society</w:t>
      </w:r>
      <w:r w:rsidR="008C7A03">
        <w:t xml:space="preserve"> as discussed further below.</w:t>
      </w:r>
      <w:r w:rsidR="00211FF9">
        <w:t xml:space="preserve"> </w:t>
      </w:r>
      <w:r w:rsidR="005A7D6C">
        <w:t>However, he</w:t>
      </w:r>
      <w:r w:rsidR="0073326C">
        <w:t xml:space="preserve"> begins </w:t>
      </w:r>
      <w:r w:rsidR="005A7D6C">
        <w:t xml:space="preserve">his address </w:t>
      </w:r>
      <w:r w:rsidR="0073326C">
        <w:t xml:space="preserve">with </w:t>
      </w:r>
      <w:r w:rsidR="007B4D76">
        <w:t>reference to</w:t>
      </w:r>
      <w:r w:rsidR="00AC2F40">
        <w:t xml:space="preserve"> the </w:t>
      </w:r>
      <w:r w:rsidR="007241A1">
        <w:t xml:space="preserve">war in </w:t>
      </w:r>
      <w:r w:rsidR="00AC2F40">
        <w:t>Iraq</w:t>
      </w:r>
      <w:r w:rsidR="0086614B">
        <w:t>, where</w:t>
      </w:r>
      <w:r w:rsidR="00AC2F40">
        <w:t xml:space="preserve"> </w:t>
      </w:r>
      <w:r w:rsidR="0086614B">
        <w:t>h</w:t>
      </w:r>
      <w:r w:rsidR="007241A1">
        <w:t xml:space="preserve">e </w:t>
      </w:r>
      <w:r w:rsidR="007B4D76">
        <w:t>says</w:t>
      </w:r>
      <w:r w:rsidR="007241A1">
        <w:t xml:space="preserve">: </w:t>
      </w:r>
    </w:p>
    <w:p w14:paraId="2AB68B82" w14:textId="77777777" w:rsidR="00F10F90" w:rsidRDefault="00F10F90" w:rsidP="00E72A6A"/>
    <w:p w14:paraId="6048A8EB" w14:textId="7679FFB6" w:rsidR="0073326C" w:rsidRDefault="00AC2F40" w:rsidP="00AC2F40">
      <w:pPr>
        <w:ind w:left="283" w:right="283"/>
      </w:pPr>
      <w:r>
        <w:t>The Iraq War was fought for the sake of freedom and democracy, so we are insistently told. And just as insistently, the news from Iraq tells us that, whatever else may have resulted from that ill-fated enterprise, the present situation is not exactly ‘freedom and democracy’ in the sense that the war’s apologists probably had in mind. ‘Democracy’ is a word that we take to mean a certain sort of political accountability: government is made to answer to the will of the people, regularly and routinely, so that particular interest groups cannot cling unchallenged to power. But, the tormenting problems over the shaping of an Iraqi constitution have brought to light very clearly some of the central tensions in understanding democracy. What i</w:t>
      </w:r>
      <w:r w:rsidR="00ED7497">
        <w:t>f</w:t>
      </w:r>
      <w:r>
        <w:t xml:space="preserve"> the popular will</w:t>
      </w:r>
      <w:r w:rsidR="007142FB">
        <w:rPr>
          <w:rStyle w:val="FootnoteReference"/>
        </w:rPr>
        <w:footnoteReference w:id="15"/>
      </w:r>
      <w:r>
        <w:t xml:space="preserve"> is overwhelmingly in favour of a form of government that does not correspond to our ordinary liberal assumptions? And what is to be done to secure the </w:t>
      </w:r>
      <w:r>
        <w:lastRenderedPageBreak/>
        <w:t>rights and liberties of minorities in a context of significant religious or ethnic diversity, where a majority vote may be the accurate representation not o</w:t>
      </w:r>
      <w:r w:rsidR="00ED7497">
        <w:t>f</w:t>
      </w:r>
      <w:r>
        <w:t xml:space="preserve"> arguments won, but of a demographic advantage?</w:t>
      </w:r>
      <w:r w:rsidR="00510938">
        <w:rPr>
          <w:rStyle w:val="FootnoteReference"/>
        </w:rPr>
        <w:footnoteReference w:id="16"/>
      </w:r>
      <w:r>
        <w:t xml:space="preserve"> </w:t>
      </w:r>
      <w:r w:rsidR="0073326C">
        <w:t xml:space="preserve"> </w:t>
      </w:r>
    </w:p>
    <w:p w14:paraId="134C8385" w14:textId="4AF39F25" w:rsidR="00AC2F40" w:rsidRDefault="00AC2F40" w:rsidP="00691A32"/>
    <w:p w14:paraId="2FA67675" w14:textId="43A9F30B" w:rsidR="00E72A6A" w:rsidRDefault="00E72A6A" w:rsidP="00866686">
      <w:r>
        <w:t>There are a couple of points to note from this opening</w:t>
      </w:r>
      <w:r w:rsidR="00DC63FD">
        <w:t xml:space="preserve"> paragraph</w:t>
      </w:r>
      <w:r w:rsidR="007B4D76">
        <w:t>. First,</w:t>
      </w:r>
      <w:r w:rsidR="007241A1">
        <w:t xml:space="preserve"> </w:t>
      </w:r>
      <w:r w:rsidR="00C6687B">
        <w:t>the assumptions made about democracy suggest a good level of ignorance about the history of where the liberal democratic tradition comes from.</w:t>
      </w:r>
      <w:r w:rsidR="00FA0B1B">
        <w:rPr>
          <w:rStyle w:val="FootnoteReference"/>
        </w:rPr>
        <w:footnoteReference w:id="17"/>
      </w:r>
      <w:r w:rsidR="00C6687B">
        <w:t xml:space="preserve"> The justification for the Iraq invasion was, thus, vulnerable to the kind of unhistorical optimism which characterised Western involvement with non-Western contexts. Second, </w:t>
      </w:r>
      <w:r w:rsidR="007241A1">
        <w:t>we have an acknowledgment</w:t>
      </w:r>
      <w:r w:rsidR="00C6687B">
        <w:t>, therefore,</w:t>
      </w:r>
      <w:r w:rsidR="007241A1">
        <w:t xml:space="preserve"> that the </w:t>
      </w:r>
      <w:r w:rsidR="00EA1CB8">
        <w:t>military project</w:t>
      </w:r>
      <w:r w:rsidR="007241A1">
        <w:t xml:space="preserve"> of the United States, like the classical colonial attempts before it, has not helped in </w:t>
      </w:r>
      <w:r w:rsidR="007142FB">
        <w:t>bringing peace</w:t>
      </w:r>
      <w:r w:rsidR="007241A1">
        <w:t xml:space="preserve"> </w:t>
      </w:r>
      <w:r w:rsidR="00FA0B1B">
        <w:t xml:space="preserve">to </w:t>
      </w:r>
      <w:r w:rsidR="007241A1">
        <w:t>the region. What it has shown instead is that the claims of the invading powers</w:t>
      </w:r>
      <w:r w:rsidR="00A907AB">
        <w:t xml:space="preserve"> have been structurally contradictory and, so far, self-defeating. </w:t>
      </w:r>
      <w:r w:rsidR="00B934F4">
        <w:t>It was no surprise, then</w:t>
      </w:r>
      <w:r>
        <w:t>,</w:t>
      </w:r>
      <w:r w:rsidR="00B934F4">
        <w:t xml:space="preserve"> that w</w:t>
      </w:r>
      <w:r w:rsidR="0026319E">
        <w:t>e ended up with</w:t>
      </w:r>
      <w:r w:rsidR="00A907AB">
        <w:t xml:space="preserve"> what </w:t>
      </w:r>
      <w:r w:rsidR="00502790">
        <w:t>Rowan</w:t>
      </w:r>
      <w:r w:rsidR="003248E0">
        <w:t xml:space="preserve"> Williams</w:t>
      </w:r>
      <w:r w:rsidR="00A907AB">
        <w:t xml:space="preserve"> calls the ‘tormenting problems of shaping an Iraqi constitution’. </w:t>
      </w:r>
    </w:p>
    <w:p w14:paraId="4CF9AA40" w14:textId="77777777" w:rsidR="00E72A6A" w:rsidRDefault="00E72A6A" w:rsidP="00866686"/>
    <w:p w14:paraId="3B2EBC6D" w14:textId="2D072F08" w:rsidR="0085679D" w:rsidRDefault="00DC63FD" w:rsidP="00FF34C9">
      <w:r>
        <w:t xml:space="preserve">The </w:t>
      </w:r>
      <w:r w:rsidR="00704AC3">
        <w:t>Palestinian-Egyptian</w:t>
      </w:r>
      <w:r w:rsidR="00E72A6A">
        <w:t xml:space="preserve"> political scientist Tamim al-Bargh</w:t>
      </w:r>
      <w:r>
        <w:t>o</w:t>
      </w:r>
      <w:r w:rsidR="00E72A6A">
        <w:t>uti</w:t>
      </w:r>
      <w:r>
        <w:t xml:space="preserve"> clarifie</w:t>
      </w:r>
      <w:r w:rsidR="00C6687B">
        <w:t>d</w:t>
      </w:r>
      <w:r>
        <w:t xml:space="preserve"> some of these </w:t>
      </w:r>
      <w:r w:rsidR="00BE5861">
        <w:t>‘tormenting problems of shaping an Iraqi constitution’, which</w:t>
      </w:r>
      <w:r w:rsidR="00C6687B">
        <w:t xml:space="preserve"> for him reflect a continuity of</w:t>
      </w:r>
      <w:r w:rsidR="00AD4B86">
        <w:t xml:space="preserve"> the</w:t>
      </w:r>
      <w:r w:rsidR="00C6687B">
        <w:t xml:space="preserve"> colonial strategies of the past</w:t>
      </w:r>
      <w:r w:rsidR="00AD4B86">
        <w:t>: the colonial power ruling by proxy through a local ‘elite’ enacting a new constitution</w:t>
      </w:r>
      <w:r>
        <w:t>.</w:t>
      </w:r>
      <w:r w:rsidR="001F7372">
        <w:t xml:space="preserve"> </w:t>
      </w:r>
      <w:r w:rsidR="00E10E5B">
        <w:t xml:space="preserve">In this analysis, </w:t>
      </w:r>
      <w:r w:rsidR="00026EB7">
        <w:t>Bargh</w:t>
      </w:r>
      <w:r w:rsidR="00884B89">
        <w:t>o</w:t>
      </w:r>
      <w:r w:rsidR="00026EB7">
        <w:t>uti</w:t>
      </w:r>
      <w:r w:rsidR="00C6687B">
        <w:t xml:space="preserve"> points first to</w:t>
      </w:r>
      <w:r w:rsidR="00704AC3">
        <w:t xml:space="preserve"> </w:t>
      </w:r>
      <w:r w:rsidR="001F7372">
        <w:t>t</w:t>
      </w:r>
      <w:r w:rsidR="006259FB">
        <w:t>he opening preamble of the constitution</w:t>
      </w:r>
      <w:r w:rsidR="00C6687B">
        <w:t>, which</w:t>
      </w:r>
      <w:r w:rsidR="006259FB">
        <w:t xml:space="preserve"> brings together images from Iraq’s pre-Islamic past with Islamic ideas. It assumes some continuity</w:t>
      </w:r>
      <w:r w:rsidR="00E21187">
        <w:t xml:space="preserve"> as it</w:t>
      </w:r>
      <w:r w:rsidR="006259FB">
        <w:t xml:space="preserve"> refers to ‘our land’, where ‘the first law put in place by mankind was written’.</w:t>
      </w:r>
      <w:r w:rsidR="00E21187">
        <w:rPr>
          <w:rStyle w:val="FootnoteReference"/>
        </w:rPr>
        <w:footnoteReference w:id="18"/>
      </w:r>
      <w:r w:rsidR="006259FB">
        <w:t xml:space="preserve"> It recalls the age of the philosophers and scientists</w:t>
      </w:r>
      <w:r w:rsidR="005D0487">
        <w:t>.</w:t>
      </w:r>
      <w:r w:rsidR="006259FB">
        <w:t xml:space="preserve"> </w:t>
      </w:r>
      <w:r w:rsidR="00704AC3">
        <w:t>In t</w:t>
      </w:r>
      <w:r w:rsidR="005D0487">
        <w:t xml:space="preserve">his territory </w:t>
      </w:r>
      <w:r w:rsidR="001F7372">
        <w:t xml:space="preserve">of Iraq, </w:t>
      </w:r>
      <w:r w:rsidR="005D0487">
        <w:t>as defined</w:t>
      </w:r>
      <w:r w:rsidR="001F7372">
        <w:t xml:space="preserve"> by the </w:t>
      </w:r>
      <w:r w:rsidR="007142FB">
        <w:t>British Mandate version of Iraq that emerged in 1922,</w:t>
      </w:r>
      <w:r w:rsidR="005D0487">
        <w:t xml:space="preserve"> </w:t>
      </w:r>
      <w:r w:rsidR="001F7372">
        <w:t>you</w:t>
      </w:r>
      <w:r w:rsidR="005D0487">
        <w:t xml:space="preserve"> have reference</w:t>
      </w:r>
      <w:r w:rsidR="001F7372">
        <w:t>s</w:t>
      </w:r>
      <w:r w:rsidR="005D0487">
        <w:t xml:space="preserve"> going back to Hamourabi as well as the Abbasid caliphate of Harun al-Rashid.</w:t>
      </w:r>
      <w:r w:rsidR="00704AC3">
        <w:rPr>
          <w:rStyle w:val="FootnoteReference"/>
        </w:rPr>
        <w:footnoteReference w:id="19"/>
      </w:r>
      <w:r w:rsidR="005D0487">
        <w:t xml:space="preserve"> </w:t>
      </w:r>
    </w:p>
    <w:p w14:paraId="0332ABC4" w14:textId="77777777" w:rsidR="0085679D" w:rsidRDefault="0085679D" w:rsidP="00FF34C9"/>
    <w:p w14:paraId="1AD125F5" w14:textId="69DDD8BE" w:rsidR="00BE5861" w:rsidRDefault="0085679D" w:rsidP="0085679D">
      <w:r>
        <w:t xml:space="preserve">In other words, </w:t>
      </w:r>
      <w:r w:rsidR="00DC63FD">
        <w:t>t</w:t>
      </w:r>
      <w:r w:rsidR="001F7372">
        <w:t xml:space="preserve">he constitution appealed to local sentiment in support of its own jurisdiction as beyond appeal. </w:t>
      </w:r>
      <w:r w:rsidR="00E33B10">
        <w:t>In doing so, the</w:t>
      </w:r>
      <w:r>
        <w:t xml:space="preserve"> writers of the constitution</w:t>
      </w:r>
      <w:r w:rsidR="00E33B10">
        <w:t xml:space="preserve"> produced a centralised model of authority as a source of legal validity which enforces the sense of the ‘sovereign’ state</w:t>
      </w:r>
      <w:r w:rsidR="004A2B43">
        <w:t>.</w:t>
      </w:r>
      <w:r w:rsidR="00E33B10">
        <w:t xml:space="preserve"> </w:t>
      </w:r>
      <w:r w:rsidR="00E10E5B">
        <w:t xml:space="preserve">This accepted territorial fixity of a nation state, which in modern Arabic is called </w:t>
      </w:r>
      <w:r w:rsidR="00E10E5B" w:rsidRPr="0085679D">
        <w:rPr>
          <w:i/>
          <w:iCs/>
        </w:rPr>
        <w:t>dawla</w:t>
      </w:r>
      <w:r w:rsidR="00E10E5B">
        <w:t>, together with the mingling of various historical symbols to tell a ‘national’ story is a typical nationalist narrative.</w:t>
      </w:r>
      <w:r w:rsidR="00F244FD">
        <w:rPr>
          <w:rStyle w:val="FootnoteReference"/>
        </w:rPr>
        <w:footnoteReference w:id="20"/>
      </w:r>
      <w:r w:rsidR="00E10E5B">
        <w:t xml:space="preserve"> </w:t>
      </w:r>
      <w:r w:rsidR="005D0487">
        <w:t xml:space="preserve">What is </w:t>
      </w:r>
      <w:r w:rsidR="00D10CDD">
        <w:t>different</w:t>
      </w:r>
      <w:r w:rsidR="005D0487">
        <w:t xml:space="preserve"> </w:t>
      </w:r>
      <w:r w:rsidR="00C86586">
        <w:t>here</w:t>
      </w:r>
      <w:r w:rsidR="004A2B43">
        <w:t>, however,</w:t>
      </w:r>
      <w:r w:rsidR="00C86586">
        <w:t xml:space="preserve"> </w:t>
      </w:r>
      <w:r w:rsidR="005D0487">
        <w:t xml:space="preserve">is </w:t>
      </w:r>
      <w:r w:rsidR="00B41247">
        <w:t xml:space="preserve">that we do not exactly have </w:t>
      </w:r>
      <w:r w:rsidR="00F244FD">
        <w:t>a</w:t>
      </w:r>
      <w:r w:rsidR="00B41247">
        <w:t xml:space="preserve"> revolt against traditional forms of authority in the form of an Enlightenment and a model of universal secular </w:t>
      </w:r>
      <w:r w:rsidR="00452ADD">
        <w:t>law</w:t>
      </w:r>
      <w:r w:rsidR="00F244FD">
        <w:t xml:space="preserve"> that reflects the centrality of human beings in determining the forms of government</w:t>
      </w:r>
      <w:r w:rsidR="00B41247">
        <w:t>.</w:t>
      </w:r>
      <w:r w:rsidR="003248E0">
        <w:rPr>
          <w:rStyle w:val="FootnoteReference"/>
        </w:rPr>
        <w:footnoteReference w:id="21"/>
      </w:r>
      <w:r w:rsidR="00B41247">
        <w:t xml:space="preserve"> </w:t>
      </w:r>
    </w:p>
    <w:p w14:paraId="679CFE15" w14:textId="77777777" w:rsidR="00BE5861" w:rsidRDefault="00BE5861" w:rsidP="0085679D"/>
    <w:p w14:paraId="202872AB" w14:textId="1537B676" w:rsidR="004A2B43" w:rsidRDefault="00B41247" w:rsidP="00081268">
      <w:r>
        <w:lastRenderedPageBreak/>
        <w:t xml:space="preserve">Instead, </w:t>
      </w:r>
      <w:r w:rsidR="00BE5861">
        <w:t>t</w:t>
      </w:r>
      <w:r w:rsidR="00D10CDD">
        <w:t xml:space="preserve">he constitution </w:t>
      </w:r>
      <w:r w:rsidR="0085679D">
        <w:t>continues</w:t>
      </w:r>
      <w:r w:rsidR="00D10CDD">
        <w:t xml:space="preserve"> </w:t>
      </w:r>
      <w:r w:rsidR="0085679D">
        <w:t>with</w:t>
      </w:r>
      <w:r w:rsidR="00D10CDD">
        <w:t xml:space="preserve"> recognizing</w:t>
      </w:r>
      <w:r w:rsidR="00DC63FD">
        <w:t xml:space="preserve"> what is translated as</w:t>
      </w:r>
      <w:r w:rsidR="00D10CDD">
        <w:t xml:space="preserve"> ‘God’s right upon us’. </w:t>
      </w:r>
      <w:r w:rsidR="00016FDE">
        <w:t>The translation here is taken from the Associated Press published on the BBC website.</w:t>
      </w:r>
      <w:r w:rsidR="00F244FD">
        <w:rPr>
          <w:rStyle w:val="FootnoteReference"/>
        </w:rPr>
        <w:footnoteReference w:id="22"/>
      </w:r>
      <w:r w:rsidR="00016FDE">
        <w:t xml:space="preserve"> </w:t>
      </w:r>
      <w:r w:rsidR="00F244FD">
        <w:t>Barghouti rightly notes that i</w:t>
      </w:r>
      <w:r w:rsidR="00D10CDD">
        <w:t>n Arabic</w:t>
      </w:r>
      <w:r w:rsidR="00C86586">
        <w:t>,</w:t>
      </w:r>
      <w:r w:rsidR="00D10CDD">
        <w:t xml:space="preserve"> the term for ‘right’ is </w:t>
      </w:r>
      <w:r w:rsidR="00C86586" w:rsidRPr="00C86586">
        <w:rPr>
          <w:i/>
          <w:iCs/>
        </w:rPr>
        <w:t>h</w:t>
      </w:r>
      <w:r w:rsidR="00D10CDD" w:rsidRPr="00C86586">
        <w:rPr>
          <w:i/>
          <w:iCs/>
        </w:rPr>
        <w:t>aqq</w:t>
      </w:r>
      <w:r w:rsidR="00704AC3">
        <w:t>, which</w:t>
      </w:r>
      <w:r w:rsidR="00DB3540">
        <w:t xml:space="preserve"> </w:t>
      </w:r>
      <w:r w:rsidR="00AD4B86">
        <w:t xml:space="preserve">in fact </w:t>
      </w:r>
      <w:r w:rsidR="00D10CDD">
        <w:t>means</w:t>
      </w:r>
      <w:r w:rsidR="00002A2B">
        <w:t xml:space="preserve"> </w:t>
      </w:r>
      <w:r w:rsidR="00D10CDD">
        <w:t xml:space="preserve">‘duty’ </w:t>
      </w:r>
      <w:r w:rsidR="00AD4B86">
        <w:t xml:space="preserve">rather </w:t>
      </w:r>
      <w:r w:rsidR="00D10CDD">
        <w:t>than ‘right’.</w:t>
      </w:r>
      <w:r w:rsidR="00F244FD">
        <w:rPr>
          <w:rStyle w:val="FootnoteReference"/>
        </w:rPr>
        <w:footnoteReference w:id="23"/>
      </w:r>
      <w:r w:rsidR="00D10CDD">
        <w:t xml:space="preserve"> In other words, the newly formed constitution is a duty to God</w:t>
      </w:r>
      <w:r w:rsidR="00704AC3">
        <w:t xml:space="preserve"> and </w:t>
      </w:r>
      <w:r w:rsidR="00D10CDD">
        <w:t xml:space="preserve">a reflection of God’s own will. </w:t>
      </w:r>
      <w:r w:rsidR="00016FDE">
        <w:t xml:space="preserve">This is followed by: ‘obeying the call of our nation’. Again, the word translated as ‘nation’ is </w:t>
      </w:r>
      <w:r w:rsidR="00016FDE" w:rsidRPr="00F446D7">
        <w:rPr>
          <w:i/>
          <w:iCs/>
        </w:rPr>
        <w:t>Umma</w:t>
      </w:r>
      <w:r w:rsidR="00C86586">
        <w:t xml:space="preserve"> in Arabic</w:t>
      </w:r>
      <w:r w:rsidR="00016FDE">
        <w:t xml:space="preserve">. </w:t>
      </w:r>
      <w:r w:rsidR="00C86586">
        <w:t>Whilst t</w:t>
      </w:r>
      <w:r w:rsidR="00016FDE">
        <w:t xml:space="preserve">he term </w:t>
      </w:r>
      <w:r w:rsidR="00016FDE" w:rsidRPr="00F446D7">
        <w:rPr>
          <w:i/>
          <w:iCs/>
        </w:rPr>
        <w:t>Umma</w:t>
      </w:r>
      <w:r w:rsidR="00016FDE">
        <w:t xml:space="preserve"> has been used since the nineteenth century as a reference to the Western understanding of a nation state,</w:t>
      </w:r>
      <w:r w:rsidR="0057484A">
        <w:rPr>
          <w:rStyle w:val="FootnoteReference"/>
        </w:rPr>
        <w:footnoteReference w:id="24"/>
      </w:r>
      <w:r w:rsidR="00016FDE">
        <w:t xml:space="preserve"> historically the word </w:t>
      </w:r>
      <w:r w:rsidR="00016FDE" w:rsidRPr="00F446D7">
        <w:rPr>
          <w:i/>
          <w:iCs/>
        </w:rPr>
        <w:t>Umma</w:t>
      </w:r>
      <w:r w:rsidR="00016FDE">
        <w:t xml:space="preserve"> has a pre-modern Islamic meaning referring to the whole Muslim community that is guided by a sound teaching based on </w:t>
      </w:r>
      <w:r w:rsidR="00704AC3">
        <w:t>the sources of revelation</w:t>
      </w:r>
      <w:r w:rsidR="00016FDE">
        <w:t>, expecting any of those in authority to be accountable to the whole Muslim community.</w:t>
      </w:r>
      <w:r w:rsidR="002A2BA2">
        <w:rPr>
          <w:rStyle w:val="FootnoteReference"/>
        </w:rPr>
        <w:footnoteReference w:id="25"/>
      </w:r>
      <w:r w:rsidR="00016FDE">
        <w:t xml:space="preserve"> </w:t>
      </w:r>
      <w:r w:rsidR="00AD4B86">
        <w:t>Yet, d</w:t>
      </w:r>
      <w:r w:rsidR="00002A2B">
        <w:t xml:space="preserve">espite a possible ambiguity in </w:t>
      </w:r>
      <w:r w:rsidR="00704AC3">
        <w:t xml:space="preserve">the </w:t>
      </w:r>
      <w:r w:rsidR="00002A2B">
        <w:t>meaning of this latter term,</w:t>
      </w:r>
      <w:r w:rsidR="00486E5F">
        <w:t xml:space="preserve"> the legitimizing force of the political institutions of this modern state</w:t>
      </w:r>
      <w:r w:rsidR="0086614B">
        <w:t xml:space="preserve"> of Iraq</w:t>
      </w:r>
      <w:r w:rsidR="00486E5F">
        <w:t xml:space="preserve"> i</w:t>
      </w:r>
      <w:r w:rsidR="00002A2B">
        <w:t>s</w:t>
      </w:r>
      <w:r w:rsidR="00486E5F">
        <w:t xml:space="preserve"> </w:t>
      </w:r>
      <w:r w:rsidR="00002A2B">
        <w:t xml:space="preserve">unambiguously </w:t>
      </w:r>
      <w:r w:rsidR="00486E5F">
        <w:t xml:space="preserve">the </w:t>
      </w:r>
      <w:r w:rsidR="00C86586">
        <w:t>‘Religious leaders’</w:t>
      </w:r>
      <w:r w:rsidR="008D130A">
        <w:t>,</w:t>
      </w:r>
      <w:r w:rsidR="00C86586">
        <w:t xml:space="preserve"> </w:t>
      </w:r>
      <w:r w:rsidR="008D130A">
        <w:t>i.e.</w:t>
      </w:r>
      <w:r w:rsidR="00C86586">
        <w:t xml:space="preserve"> political leaders of Islamic parties, </w:t>
      </w:r>
      <w:r w:rsidR="00081268">
        <w:t>and</w:t>
      </w:r>
      <w:r w:rsidR="00C86586">
        <w:t xml:space="preserve"> ‘religious authorities’</w:t>
      </w:r>
      <w:r w:rsidR="008D130A">
        <w:t>, i.e.</w:t>
      </w:r>
      <w:r w:rsidR="00C86586">
        <w:t xml:space="preserve"> the Shi’ite legal scholars.</w:t>
      </w:r>
      <w:r w:rsidR="000D7A23">
        <w:rPr>
          <w:rStyle w:val="FootnoteReference"/>
        </w:rPr>
        <w:footnoteReference w:id="26"/>
      </w:r>
      <w:r w:rsidR="00C86586">
        <w:t xml:space="preserve"> </w:t>
      </w:r>
    </w:p>
    <w:p w14:paraId="562BF1FC" w14:textId="77777777" w:rsidR="008C2588" w:rsidRDefault="008C2588" w:rsidP="00C86586"/>
    <w:p w14:paraId="70F134D6" w14:textId="6859E3BD" w:rsidR="00DB3540" w:rsidRDefault="00884B89" w:rsidP="00BE5861">
      <w:r>
        <w:t xml:space="preserve">Barghouti’s discussions are in fact invaluable, not least in the way that they lay bare the alarming </w:t>
      </w:r>
      <w:r w:rsidR="006C674B">
        <w:t>ignorance</w:t>
      </w:r>
      <w:r>
        <w:t xml:space="preserve"> that prevail in the </w:t>
      </w:r>
      <w:r w:rsidR="0074559E">
        <w:t xml:space="preserve">underlying </w:t>
      </w:r>
      <w:r>
        <w:t>reductive understanding of Middle Eastern societies</w:t>
      </w:r>
      <w:r w:rsidR="0074559E">
        <w:t xml:space="preserve"> among Western powers</w:t>
      </w:r>
      <w:r>
        <w:t xml:space="preserve">, and the self-destructive import of what is being claimed by these powers seems to escape notice. To this end, therefore, Barghouti I think would have a supportive nod from Rowan Williams’ opening paragraph. </w:t>
      </w:r>
      <w:r w:rsidR="006C674B">
        <w:t>However, t</w:t>
      </w:r>
      <w:r w:rsidR="00CB10A7">
        <w:t>here are issues that remain unresolved with Barghouti’s analysis</w:t>
      </w:r>
      <w:r w:rsidR="00E93C1D">
        <w:t xml:space="preserve"> and require </w:t>
      </w:r>
      <w:r w:rsidR="00735AAB">
        <w:t>further unpacking</w:t>
      </w:r>
      <w:r w:rsidR="00CB10A7">
        <w:t>. First,</w:t>
      </w:r>
      <w:r w:rsidR="00035FD7">
        <w:t xml:space="preserve"> </w:t>
      </w:r>
      <w:r w:rsidR="00DB3540">
        <w:t xml:space="preserve">whilst </w:t>
      </w:r>
      <w:r w:rsidR="0074559E">
        <w:t>Barghouti</w:t>
      </w:r>
      <w:r w:rsidR="009E7F21">
        <w:t xml:space="preserve"> engages with what has not worked</w:t>
      </w:r>
      <w:r w:rsidR="00DB3540">
        <w:t xml:space="preserve">, </w:t>
      </w:r>
      <w:r w:rsidR="00081268">
        <w:t xml:space="preserve">or is unlikely to work in his view, </w:t>
      </w:r>
      <w:r w:rsidR="00DB3540">
        <w:t>he is reluctant to tell us what might work</w:t>
      </w:r>
      <w:r w:rsidR="0074559E">
        <w:t xml:space="preserve">, although he makes some </w:t>
      </w:r>
      <w:r w:rsidR="00081268">
        <w:t xml:space="preserve">general </w:t>
      </w:r>
      <w:r w:rsidR="0074559E">
        <w:t>predictions</w:t>
      </w:r>
      <w:r w:rsidR="00DB3540">
        <w:t>.</w:t>
      </w:r>
      <w:r w:rsidR="009E7F21">
        <w:t xml:space="preserve"> </w:t>
      </w:r>
      <w:r w:rsidR="00CB10A7">
        <w:t>Whilst h</w:t>
      </w:r>
      <w:r w:rsidR="00DB3540">
        <w:t xml:space="preserve">e shows that the failure lies not </w:t>
      </w:r>
      <w:r w:rsidR="0074559E">
        <w:t>only</w:t>
      </w:r>
      <w:r w:rsidR="00DB3540">
        <w:t xml:space="preserve"> with politics, as in the brokering of colonial or local demographic powers, but with a lack of informed engagement with the Islamic tradition itself</w:t>
      </w:r>
      <w:r w:rsidR="00CB10A7">
        <w:t>, h</w:t>
      </w:r>
      <w:r w:rsidR="0085679D">
        <w:t>e does not tell us</w:t>
      </w:r>
      <w:r w:rsidR="00CB10A7">
        <w:t xml:space="preserve"> how the religious tradition can inform the shaping of </w:t>
      </w:r>
      <w:r w:rsidR="00081268">
        <w:t xml:space="preserve">a </w:t>
      </w:r>
      <w:r w:rsidR="00CB10A7">
        <w:t>coherent nation state</w:t>
      </w:r>
      <w:r w:rsidR="0086614B">
        <w:t xml:space="preserve"> today</w:t>
      </w:r>
      <w:r w:rsidR="00CB10A7">
        <w:t xml:space="preserve">. </w:t>
      </w:r>
    </w:p>
    <w:p w14:paraId="729A9656" w14:textId="77777777" w:rsidR="00CB10A7" w:rsidRDefault="00CB10A7" w:rsidP="00CB10A7"/>
    <w:p w14:paraId="0A216F93" w14:textId="4BC82A9F" w:rsidR="002A497D" w:rsidRDefault="00CB10A7" w:rsidP="00452ADD">
      <w:r>
        <w:t>Second</w:t>
      </w:r>
      <w:r w:rsidR="009E7F21">
        <w:t xml:space="preserve">, his analysis does not seem to </w:t>
      </w:r>
      <w:r w:rsidR="00035FD7">
        <w:t>question</w:t>
      </w:r>
      <w:r w:rsidR="009E7F21">
        <w:t xml:space="preserve"> how the constitution </w:t>
      </w:r>
      <w:r w:rsidR="00035FD7">
        <w:t>understands o</w:t>
      </w:r>
      <w:r w:rsidR="00706AFF">
        <w:t>r</w:t>
      </w:r>
      <w:r w:rsidR="00035FD7">
        <w:t xml:space="preserve"> values</w:t>
      </w:r>
      <w:r w:rsidR="009E7F21">
        <w:t xml:space="preserve"> </w:t>
      </w:r>
      <w:r w:rsidR="00035FD7">
        <w:t>Iraq as</w:t>
      </w:r>
      <w:r w:rsidR="00706AFF">
        <w:t xml:space="preserve"> a</w:t>
      </w:r>
      <w:r w:rsidR="00035FD7">
        <w:t xml:space="preserve"> </w:t>
      </w:r>
      <w:r w:rsidR="009E7F21">
        <w:t xml:space="preserve">pluralist society at all. </w:t>
      </w:r>
      <w:r w:rsidR="006C674B">
        <w:t>In</w:t>
      </w:r>
      <w:r w:rsidR="00035FD7">
        <w:t xml:space="preserve"> the second article of the constitution we are told that</w:t>
      </w:r>
      <w:r>
        <w:t xml:space="preserve"> the</w:t>
      </w:r>
      <w:r w:rsidR="00035FD7">
        <w:t xml:space="preserve"> ‘constitution guarantees the Islamic identity of the majority of the Iraqi people and full religious rights for all individuals and freedom of creed and religious practices’. </w:t>
      </w:r>
      <w:r w:rsidR="008D130A">
        <w:t xml:space="preserve">Here, </w:t>
      </w:r>
      <w:r w:rsidR="006C674B">
        <w:t>Barghouti</w:t>
      </w:r>
      <w:r w:rsidR="0038417E">
        <w:t xml:space="preserve"> </w:t>
      </w:r>
      <w:r w:rsidR="008D130A">
        <w:t>adds</w:t>
      </w:r>
      <w:r w:rsidR="0038417E">
        <w:t xml:space="preserve"> that </w:t>
      </w:r>
      <w:r>
        <w:t>‘</w:t>
      </w:r>
      <w:r w:rsidR="00035FD7">
        <w:t>Islam is compatible with democracy</w:t>
      </w:r>
      <w:r>
        <w:t>’</w:t>
      </w:r>
      <w:r w:rsidR="00EC17E7">
        <w:t>;</w:t>
      </w:r>
      <w:r w:rsidR="008D130A">
        <w:rPr>
          <w:rStyle w:val="FootnoteReference"/>
        </w:rPr>
        <w:footnoteReference w:id="27"/>
      </w:r>
      <w:r w:rsidR="00EC17E7">
        <w:t xml:space="preserve"> but</w:t>
      </w:r>
      <w:r w:rsidR="00AD4B86">
        <w:t xml:space="preserve"> he does not tell us what he understands ‘democracy’ to mean. </w:t>
      </w:r>
      <w:r w:rsidR="00452ADD">
        <w:t xml:space="preserve">If Islam is compatible with religious freedom then perhaps we need to have a clearer understanding of how the various religious communities of the Middle East can shape a common civic purpose out of their diverse allegiances. </w:t>
      </w:r>
    </w:p>
    <w:p w14:paraId="0E1B3B1F" w14:textId="45B7CD82" w:rsidR="0010058D" w:rsidRDefault="0010058D" w:rsidP="00452ADD"/>
    <w:p w14:paraId="14E1D1C4" w14:textId="7213AB0E" w:rsidR="0028711D" w:rsidRDefault="00450C11" w:rsidP="00F92A42">
      <w:r>
        <w:t xml:space="preserve">The central thesis of Barghouti’s book reflects the weakness of modern Middle Eastern nation states in addressing religious legitimacy. </w:t>
      </w:r>
      <w:r w:rsidR="00936A27">
        <w:t>Therefore, d</w:t>
      </w:r>
      <w:r>
        <w:t xml:space="preserve">octrinal clarity on religious law, </w:t>
      </w:r>
      <w:r>
        <w:lastRenderedPageBreak/>
        <w:t xml:space="preserve">sovereignty and legitimate power is needed to shed better light on these debates. </w:t>
      </w:r>
      <w:r w:rsidR="00D06403">
        <w:t>W</w:t>
      </w:r>
      <w:r w:rsidR="0010058D">
        <w:t xml:space="preserve">hen looking at Egypt today and the complex relationship between President Sisi and al-Azhar, or the Saudi Royal family with the Saudi scholars, one realizes that </w:t>
      </w:r>
      <w:r w:rsidR="00936A27">
        <w:t>c</w:t>
      </w:r>
      <w:r w:rsidR="0010058D">
        <w:t xml:space="preserve">entralising the religious institution through the control of political powers </w:t>
      </w:r>
      <w:r>
        <w:t xml:space="preserve">will </w:t>
      </w:r>
      <w:r w:rsidR="0010058D">
        <w:t xml:space="preserve">create ‘tormenting problems’ when it comes to the integrity of both authorities. </w:t>
      </w:r>
      <w:r w:rsidR="00B12EFB">
        <w:t>These unresolved questions are ultimately about civic identity</w:t>
      </w:r>
      <w:r w:rsidR="0006337C">
        <w:t>,</w:t>
      </w:r>
      <w:r w:rsidR="0006337C" w:rsidRPr="0006337C">
        <w:t xml:space="preserve"> </w:t>
      </w:r>
      <w:r w:rsidR="0006337C">
        <w:t>legitimacy, and sovereignty</w:t>
      </w:r>
      <w:r w:rsidR="00B12EFB">
        <w:t xml:space="preserve"> in majority Muslim lands where religion is not a private matter.</w:t>
      </w:r>
      <w:r w:rsidR="00147E51">
        <w:t xml:space="preserve"> </w:t>
      </w:r>
      <w:r w:rsidR="002A497D">
        <w:t>These are important questions to ask, for as noted above in response to the late Bosnian president, there is no Islamic tradition that produced a similar national religious institution like the Gallican church in France or indeed the Church of England that characterised</w:t>
      </w:r>
      <w:r w:rsidR="0086614B">
        <w:t xml:space="preserve"> Western and Eastern Christian contexts</w:t>
      </w:r>
      <w:r w:rsidR="002A497D">
        <w:t>.</w:t>
      </w:r>
      <w:r w:rsidR="0086614B">
        <w:t xml:space="preserve"> </w:t>
      </w:r>
    </w:p>
    <w:p w14:paraId="12C84425" w14:textId="77777777" w:rsidR="003B1CBD" w:rsidRDefault="003B1CBD" w:rsidP="003B1CBD"/>
    <w:p w14:paraId="403FB96B" w14:textId="730D2F75" w:rsidR="005405A2" w:rsidRPr="00B12EFB" w:rsidRDefault="005405A2" w:rsidP="009C631B">
      <w:pPr>
        <w:rPr>
          <w:b/>
          <w:bCs/>
        </w:rPr>
      </w:pPr>
      <w:r w:rsidRPr="005405A2">
        <w:rPr>
          <w:b/>
          <w:bCs/>
        </w:rPr>
        <w:t>Sovereignty</w:t>
      </w:r>
      <w:r w:rsidR="0006337C">
        <w:rPr>
          <w:b/>
          <w:bCs/>
        </w:rPr>
        <w:t>,</w:t>
      </w:r>
      <w:r w:rsidR="00B12EFB">
        <w:rPr>
          <w:b/>
          <w:bCs/>
        </w:rPr>
        <w:t xml:space="preserve"> Law</w:t>
      </w:r>
      <w:r w:rsidR="0006337C">
        <w:rPr>
          <w:b/>
          <w:bCs/>
        </w:rPr>
        <w:t xml:space="preserve"> and Religion</w:t>
      </w:r>
    </w:p>
    <w:p w14:paraId="65F2C76D" w14:textId="77777777" w:rsidR="00A54ABA" w:rsidRDefault="00A54ABA" w:rsidP="00A54ABA"/>
    <w:p w14:paraId="0E2A6FDA" w14:textId="6EF313BF" w:rsidR="00A54ABA" w:rsidRDefault="00F92A42" w:rsidP="00835A35">
      <w:r>
        <w:t xml:space="preserve">Where does legitimacy lie when it comes to the modern Arab nation states? </w:t>
      </w:r>
      <w:r w:rsidR="00DB0B2D">
        <w:t xml:space="preserve">Barghouti </w:t>
      </w:r>
      <w:r w:rsidR="006352B8">
        <w:t>notes</w:t>
      </w:r>
      <w:r w:rsidR="00DB0B2D">
        <w:t xml:space="preserve"> how i</w:t>
      </w:r>
      <w:r w:rsidR="00835A35">
        <w:t>n</w:t>
      </w:r>
      <w:r w:rsidR="00E367EB">
        <w:t xml:space="preserve"> the </w:t>
      </w:r>
      <w:r w:rsidR="008636D4">
        <w:t xml:space="preserve">more recent history of the </w:t>
      </w:r>
      <w:r w:rsidR="00E367EB">
        <w:t xml:space="preserve">Middle East, </w:t>
      </w:r>
      <w:r w:rsidR="008636D4">
        <w:t>s</w:t>
      </w:r>
      <w:r w:rsidR="00B12EFB">
        <w:t>ome</w:t>
      </w:r>
      <w:r w:rsidR="00884E00">
        <w:t xml:space="preserve"> </w:t>
      </w:r>
      <w:r w:rsidR="000D1E34">
        <w:t xml:space="preserve">Arab nationalists </w:t>
      </w:r>
      <w:r w:rsidR="002020A1">
        <w:t>claimed</w:t>
      </w:r>
      <w:r w:rsidR="005560D1">
        <w:t xml:space="preserve"> to find in the fourteenth century writings of Ibn Khaldun and his concept of </w:t>
      </w:r>
      <w:r w:rsidR="005560D1" w:rsidRPr="008053C8">
        <w:rPr>
          <w:i/>
          <w:iCs/>
        </w:rPr>
        <w:t>Asabiyya</w:t>
      </w:r>
      <w:r w:rsidR="005560D1">
        <w:t>, ‘</w:t>
      </w:r>
      <w:r w:rsidR="006406B8">
        <w:t xml:space="preserve">Arab </w:t>
      </w:r>
      <w:r w:rsidR="005560D1">
        <w:t>tribal solidarity’</w:t>
      </w:r>
      <w:r w:rsidR="002020A1">
        <w:t>,</w:t>
      </w:r>
      <w:r w:rsidR="00340CCA">
        <w:t xml:space="preserve"> a precursor to Arab nationalism</w:t>
      </w:r>
      <w:r w:rsidR="001D5962">
        <w:t>, with religion taking secondary role in confirming</w:t>
      </w:r>
      <w:r>
        <w:t xml:space="preserve"> and legitimizing</w:t>
      </w:r>
      <w:r w:rsidR="001D5962">
        <w:t xml:space="preserve"> national identity</w:t>
      </w:r>
      <w:r w:rsidR="005560D1">
        <w:t>.</w:t>
      </w:r>
      <w:r w:rsidR="001D5962">
        <w:rPr>
          <w:rStyle w:val="FootnoteReference"/>
        </w:rPr>
        <w:footnoteReference w:id="28"/>
      </w:r>
      <w:r w:rsidR="005560D1">
        <w:t xml:space="preserve"> </w:t>
      </w:r>
      <w:r w:rsidR="00B12EFB">
        <w:t xml:space="preserve">This was a misinformed reading of Ibn Khaldun, however. </w:t>
      </w:r>
      <w:r w:rsidR="00340CCA">
        <w:t xml:space="preserve">Ibn Khaldun’s </w:t>
      </w:r>
      <w:r w:rsidR="006406B8">
        <w:t>discussion of</w:t>
      </w:r>
      <w:r w:rsidR="008053C8">
        <w:t xml:space="preserve"> </w:t>
      </w:r>
      <w:r w:rsidRPr="00F92A42">
        <w:rPr>
          <w:i/>
          <w:iCs/>
        </w:rPr>
        <w:t>Asabiyya</w:t>
      </w:r>
      <w:r>
        <w:t xml:space="preserve"> </w:t>
      </w:r>
      <w:r w:rsidR="008053C8">
        <w:t xml:space="preserve">politics </w:t>
      </w:r>
      <w:r w:rsidR="006406B8">
        <w:t>refers to</w:t>
      </w:r>
      <w:r w:rsidR="005F0210">
        <w:t xml:space="preserve"> the</w:t>
      </w:r>
      <w:r w:rsidR="008053C8">
        <w:t xml:space="preserve"> brokering of power</w:t>
      </w:r>
      <w:r w:rsidR="008155E8">
        <w:t xml:space="preserve"> between different tribes</w:t>
      </w:r>
      <w:r w:rsidR="008053C8">
        <w:t>.</w:t>
      </w:r>
      <w:r w:rsidR="001D5962">
        <w:rPr>
          <w:rStyle w:val="FootnoteReference"/>
        </w:rPr>
        <w:footnoteReference w:id="29"/>
      </w:r>
      <w:r w:rsidR="008053C8">
        <w:t xml:space="preserve"> </w:t>
      </w:r>
      <w:r w:rsidR="005F0210">
        <w:t xml:space="preserve">In other words, </w:t>
      </w:r>
      <w:r w:rsidR="00EC0333">
        <w:t xml:space="preserve">Arab nationalists missed </w:t>
      </w:r>
      <w:r w:rsidR="00961319">
        <w:t>the point</w:t>
      </w:r>
      <w:r w:rsidR="00EC0333">
        <w:t xml:space="preserve"> that this</w:t>
      </w:r>
      <w:r w:rsidR="003B1CBD">
        <w:t xml:space="preserve"> is not a discussion about</w:t>
      </w:r>
      <w:r w:rsidR="008053C8">
        <w:t xml:space="preserve"> </w:t>
      </w:r>
      <w:r w:rsidR="008053C8" w:rsidRPr="005F0210">
        <w:rPr>
          <w:i/>
          <w:iCs/>
        </w:rPr>
        <w:t>le</w:t>
      </w:r>
      <w:r w:rsidR="008053C8" w:rsidRPr="00EF682F">
        <w:rPr>
          <w:i/>
          <w:iCs/>
        </w:rPr>
        <w:t>gitimacy</w:t>
      </w:r>
      <w:r w:rsidR="008053C8">
        <w:t xml:space="preserve"> as such. Where is legitimacy to be found? Not in tribal solidarity, Ibn Khaldun argued</w:t>
      </w:r>
      <w:r w:rsidR="00D13B95">
        <w:t>,</w:t>
      </w:r>
      <w:r w:rsidR="008053C8">
        <w:t xml:space="preserve"> but in religion</w:t>
      </w:r>
      <w:r w:rsidR="00835A35">
        <w:t>.</w:t>
      </w:r>
      <w:r w:rsidR="00835A35">
        <w:rPr>
          <w:rStyle w:val="FootnoteReference"/>
        </w:rPr>
        <w:footnoteReference w:id="30"/>
      </w:r>
      <w:r w:rsidR="00B12EFB">
        <w:t xml:space="preserve"> </w:t>
      </w:r>
    </w:p>
    <w:p w14:paraId="7D0D4BCE" w14:textId="77777777" w:rsidR="00A54ABA" w:rsidRDefault="00A54ABA" w:rsidP="00A54ABA"/>
    <w:p w14:paraId="0E5C4B4B" w14:textId="46B50214" w:rsidR="0072253A" w:rsidRDefault="006406B8" w:rsidP="003B1CBD">
      <w:r>
        <w:t xml:space="preserve">This </w:t>
      </w:r>
      <w:r w:rsidR="000D7DA7">
        <w:t>leads to</w:t>
      </w:r>
      <w:r>
        <w:t xml:space="preserve"> </w:t>
      </w:r>
      <w:r w:rsidR="00340CCA">
        <w:t>a</w:t>
      </w:r>
      <w:r>
        <w:t xml:space="preserve"> second question, i</w:t>
      </w:r>
      <w:r w:rsidR="008155E8">
        <w:t>f</w:t>
      </w:r>
      <w:r w:rsidR="000D1E34">
        <w:t xml:space="preserve"> </w:t>
      </w:r>
      <w:r w:rsidR="00F92A42">
        <w:t xml:space="preserve">religion, and by implication, </w:t>
      </w:r>
      <w:r w:rsidR="000D1E34">
        <w:t>Sharia</w:t>
      </w:r>
      <w:r w:rsidR="008155E8">
        <w:t xml:space="preserve"> is </w:t>
      </w:r>
      <w:r w:rsidR="00835A35">
        <w:t>the</w:t>
      </w:r>
      <w:r w:rsidR="008155E8">
        <w:t xml:space="preserve"> source of legitimacy</w:t>
      </w:r>
      <w:r w:rsidR="00676CFA">
        <w:t xml:space="preserve"> in the face of the modern secular West</w:t>
      </w:r>
      <w:r w:rsidR="008155E8">
        <w:t xml:space="preserve">, </w:t>
      </w:r>
      <w:r>
        <w:t>as political Islami</w:t>
      </w:r>
      <w:r w:rsidR="00961319">
        <w:t>st</w:t>
      </w:r>
      <w:r>
        <w:t xml:space="preserve"> movements advocate</w:t>
      </w:r>
      <w:r w:rsidR="00835A35">
        <w:t>,</w:t>
      </w:r>
      <w:r w:rsidR="00835A35">
        <w:rPr>
          <w:rStyle w:val="FootnoteReference"/>
        </w:rPr>
        <w:footnoteReference w:id="31"/>
      </w:r>
      <w:r w:rsidR="00835A35">
        <w:t xml:space="preserve"> can it become statutory law in a centralised nation state</w:t>
      </w:r>
      <w:r w:rsidR="00A7175D">
        <w:t>?</w:t>
      </w:r>
      <w:r w:rsidR="00827559">
        <w:t xml:space="preserve"> </w:t>
      </w:r>
      <w:r w:rsidR="00EC0333">
        <w:t>H</w:t>
      </w:r>
      <w:r w:rsidR="00884E00">
        <w:t xml:space="preserve">ow </w:t>
      </w:r>
      <w:r w:rsidR="00D06403">
        <w:t>is it possible to</w:t>
      </w:r>
      <w:r w:rsidR="00884E00">
        <w:t xml:space="preserve"> reconcile the idea of a </w:t>
      </w:r>
      <w:r w:rsidR="00340CCA">
        <w:t xml:space="preserve">territorially fixed and bureaucratic </w:t>
      </w:r>
      <w:r w:rsidR="00884E00">
        <w:t xml:space="preserve">nation state, </w:t>
      </w:r>
      <w:r w:rsidR="003B1CBD">
        <w:t xml:space="preserve">the modern </w:t>
      </w:r>
      <w:r w:rsidR="00884E00" w:rsidRPr="00884E00">
        <w:rPr>
          <w:i/>
          <w:iCs/>
        </w:rPr>
        <w:t>dawla</w:t>
      </w:r>
      <w:r w:rsidR="00884E00">
        <w:t xml:space="preserve">, with the idea of the </w:t>
      </w:r>
      <w:r w:rsidR="00884E00" w:rsidRPr="00884E00">
        <w:rPr>
          <w:i/>
          <w:iCs/>
        </w:rPr>
        <w:t>Umma</w:t>
      </w:r>
      <w:r w:rsidR="00884E00">
        <w:t xml:space="preserve">, the whole Muslim community, which is accountable before the tenets of </w:t>
      </w:r>
      <w:r w:rsidR="00936A27">
        <w:t>r</w:t>
      </w:r>
      <w:r w:rsidR="00884E00">
        <w:t>evelation?</w:t>
      </w:r>
      <w:r w:rsidR="00A54ABA">
        <w:t xml:space="preserve"> </w:t>
      </w:r>
      <w:r w:rsidR="0072253A">
        <w:t>Indeed, v</w:t>
      </w:r>
      <w:r w:rsidR="00A54ABA">
        <w:t xml:space="preserve">arious states in the region have accepted the concept of citizenship, </w:t>
      </w:r>
      <w:r w:rsidR="00A54ABA" w:rsidRPr="00B668DF">
        <w:rPr>
          <w:i/>
          <w:iCs/>
        </w:rPr>
        <w:t>muwatana</w:t>
      </w:r>
      <w:r w:rsidR="00A54ABA">
        <w:t xml:space="preserve">, as distinct from belonging to the </w:t>
      </w:r>
      <w:r w:rsidR="00A54ABA" w:rsidRPr="008D51E7">
        <w:rPr>
          <w:i/>
          <w:iCs/>
        </w:rPr>
        <w:t>Umma</w:t>
      </w:r>
      <w:r w:rsidR="008155E8">
        <w:t>.</w:t>
      </w:r>
      <w:r w:rsidR="00606A2C">
        <w:rPr>
          <w:rStyle w:val="FootnoteReference"/>
        </w:rPr>
        <w:footnoteReference w:id="32"/>
      </w:r>
      <w:r w:rsidR="008155E8">
        <w:t xml:space="preserve"> </w:t>
      </w:r>
      <w:r w:rsidR="00D06403">
        <w:t>W</w:t>
      </w:r>
      <w:r w:rsidR="008155E8">
        <w:t>hen Pope Francis visited Egypt in April 2017, he quoted the moto of the Egyptian revolution</w:t>
      </w:r>
      <w:r w:rsidR="00B061F1">
        <w:t xml:space="preserve"> of 1952, saying: ‘Egypt, in building peace and at the same time combatting terrorism, is called to give proof that ‘</w:t>
      </w:r>
      <w:r w:rsidR="00B061F1" w:rsidRPr="00340CCA">
        <w:rPr>
          <w:i/>
          <w:iCs/>
        </w:rPr>
        <w:t>al-din lillah wa</w:t>
      </w:r>
      <w:r w:rsidR="00E76C47" w:rsidRPr="00340CCA">
        <w:rPr>
          <w:i/>
          <w:iCs/>
        </w:rPr>
        <w:t>’</w:t>
      </w:r>
      <w:r w:rsidR="00B061F1" w:rsidRPr="00340CCA">
        <w:rPr>
          <w:i/>
          <w:iCs/>
        </w:rPr>
        <w:t>l watan liljami</w:t>
      </w:r>
      <w:r w:rsidR="00B061F1">
        <w:t>’ – religion belongs to God</w:t>
      </w:r>
      <w:r w:rsidR="009932F6">
        <w:t xml:space="preserve"> </w:t>
      </w:r>
      <w:r w:rsidR="00B061F1">
        <w:t>and the nation to all’.</w:t>
      </w:r>
      <w:r w:rsidR="00606A2C">
        <w:rPr>
          <w:rStyle w:val="FootnoteReference"/>
        </w:rPr>
        <w:footnoteReference w:id="33"/>
      </w:r>
      <w:r w:rsidR="000D04AF">
        <w:t xml:space="preserve"> </w:t>
      </w:r>
      <w:r w:rsidR="00D06403">
        <w:t>But, Islamists did not define ‘democracy’ or ‘citizenship’ in any way that sounds consistent to western understanding.  For them, such terms have become code for an electoral system that returns Islamists to power.</w:t>
      </w:r>
      <w:r w:rsidR="00D06403">
        <w:rPr>
          <w:rStyle w:val="FootnoteReference"/>
        </w:rPr>
        <w:footnoteReference w:id="34"/>
      </w:r>
    </w:p>
    <w:p w14:paraId="62335CA4" w14:textId="77777777" w:rsidR="0072253A" w:rsidRDefault="0072253A" w:rsidP="003B1CBD"/>
    <w:p w14:paraId="22F0372D" w14:textId="030E8B15" w:rsidR="00926C1F" w:rsidRDefault="00F92A42" w:rsidP="000D04AF">
      <w:r>
        <w:lastRenderedPageBreak/>
        <w:t xml:space="preserve">Therefore, we have to repeat the question: </w:t>
      </w:r>
      <w:r w:rsidR="0072253A">
        <w:t xml:space="preserve">Where does legitimacy lie in a modern nation state, which has </w:t>
      </w:r>
      <w:r w:rsidR="008519C8">
        <w:t>this</w:t>
      </w:r>
      <w:r w:rsidR="0072253A">
        <w:t xml:space="preserve"> dual identity? </w:t>
      </w:r>
      <w:r w:rsidR="009932F6">
        <w:t>I</w:t>
      </w:r>
      <w:r w:rsidR="00A54ABA">
        <w:t xml:space="preserve">f being accountable to the </w:t>
      </w:r>
      <w:r w:rsidR="00A54ABA" w:rsidRPr="00D13B95">
        <w:rPr>
          <w:i/>
          <w:iCs/>
        </w:rPr>
        <w:t>Umma</w:t>
      </w:r>
      <w:r w:rsidR="00A54ABA">
        <w:t xml:space="preserve"> is not coterminous with membership in a particular political society, </w:t>
      </w:r>
      <w:r w:rsidR="009932F6">
        <w:t>then</w:t>
      </w:r>
      <w:r w:rsidR="00A54ABA">
        <w:t xml:space="preserve"> the project of political Islam today in making Shariah the state law, </w:t>
      </w:r>
      <w:r w:rsidR="009C631B">
        <w:t>w</w:t>
      </w:r>
      <w:r w:rsidR="003B1CBD">
        <w:t>h</w:t>
      </w:r>
      <w:r w:rsidR="009C631B">
        <w:t>ether</w:t>
      </w:r>
      <w:r w:rsidR="00A54ABA">
        <w:t xml:space="preserve"> with elections, or clerical rule, as in Iran, is bound to produce </w:t>
      </w:r>
      <w:r>
        <w:t>the same</w:t>
      </w:r>
      <w:r w:rsidR="00A54ABA">
        <w:t xml:space="preserve"> ‘tormenting problems’ and inconsistencies. </w:t>
      </w:r>
    </w:p>
    <w:p w14:paraId="26B10FE0" w14:textId="77777777" w:rsidR="00926C1F" w:rsidRDefault="00926C1F" w:rsidP="00926C1F"/>
    <w:p w14:paraId="08D66005" w14:textId="64FAB745" w:rsidR="00926C1F" w:rsidRDefault="00926C1F" w:rsidP="000D04AF">
      <w:r>
        <w:t>Barghouti predicts towards the end of his argument that the current turbulence in the Middle East will, in his words, ‘change Islam beyond recognition’.</w:t>
      </w:r>
      <w:r>
        <w:rPr>
          <w:rStyle w:val="FootnoteReference"/>
        </w:rPr>
        <w:footnoteReference w:id="35"/>
      </w:r>
      <w:r>
        <w:t xml:space="preserve"> Again, he does not explain how. Given that he values democracy, </w:t>
      </w:r>
      <w:r w:rsidR="00EA15F9">
        <w:t>it is good to be reminded that</w:t>
      </w:r>
      <w:r>
        <w:t>, ‘Democracy did not grow in greenhouses’</w:t>
      </w:r>
      <w:r w:rsidR="00EA15F9">
        <w:t>,</w:t>
      </w:r>
      <w:r>
        <w:rPr>
          <w:rStyle w:val="FootnoteReference"/>
        </w:rPr>
        <w:footnoteReference w:id="36"/>
      </w:r>
      <w:r w:rsidR="00EA15F9" w:rsidRPr="00EA15F9">
        <w:t xml:space="preserve"> </w:t>
      </w:r>
      <w:r w:rsidR="00EA15F9">
        <w:t>to paraphrase one Israeli legal scholar.</w:t>
      </w:r>
      <w:r>
        <w:t xml:space="preserve"> In other words, democracy is not an abstract idea; it did not appear in texts from nowhere in the way that the </w:t>
      </w:r>
      <w:r w:rsidR="00F92A42">
        <w:t>Izetbegovic’</w:t>
      </w:r>
      <w:r>
        <w:t xml:space="preserve"> reflection on Anglicanism above seems to imply. It has a history and a context; it is a history of challenges to existing claims to who is sovereign.</w:t>
      </w:r>
      <w:r>
        <w:rPr>
          <w:rStyle w:val="FootnoteReference"/>
        </w:rPr>
        <w:footnoteReference w:id="37"/>
      </w:r>
      <w:r>
        <w:t xml:space="preserve"> It may be, therefore, that Barghouti is arguing that the current uncertainties may lead to some kind of ‘a democracy’ in Iraq, not simply because it is a nice theory to copy; rather, because majority Muslim societies will find their own understanding of legitimacy and sovereignty in society as Islamic political theorists have done over the centuries. </w:t>
      </w:r>
    </w:p>
    <w:p w14:paraId="56EE53DE" w14:textId="77777777" w:rsidR="00EA15F9" w:rsidRDefault="00EA15F9" w:rsidP="000D04AF"/>
    <w:p w14:paraId="03F219F2" w14:textId="2DE89694" w:rsidR="00926C1F" w:rsidRDefault="000D04AF" w:rsidP="00926C1F">
      <w:r>
        <w:t>N</w:t>
      </w:r>
      <w:r w:rsidR="00926C1F">
        <w:t xml:space="preserve">egotiating change </w:t>
      </w:r>
      <w:r>
        <w:t>is</w:t>
      </w:r>
      <w:r w:rsidR="00926C1F">
        <w:t xml:space="preserve"> strongly rooted in the history of Islam of course. Though in its robust formative period, Islam did not easily distinguish between a religious community and a political society,</w:t>
      </w:r>
      <w:r w:rsidR="00926C1F">
        <w:rPr>
          <w:rStyle w:val="FootnoteReference"/>
        </w:rPr>
        <w:footnoteReference w:id="38"/>
      </w:r>
      <w:r w:rsidR="00926C1F">
        <w:t xml:space="preserve"> the tradition negotiated its way outside the boundaries of Arabia in various forms. Similarly, the law defining the place and role of political authority has also evolved between the various classical theorists and was never a set code of conduct.</w:t>
      </w:r>
      <w:r w:rsidR="00926C1F">
        <w:rPr>
          <w:rStyle w:val="FootnoteReference"/>
        </w:rPr>
        <w:footnoteReference w:id="39"/>
      </w:r>
      <w:r w:rsidR="00926C1F">
        <w:t xml:space="preserve"> Classical theorists such as Baqillani (d. 1013), Mawardi (d. 1058) and Ghazali (d. 1111) did not all agree on detail; at the same time, they did not argue for a return to some form of an ideal, earlier period in order for authority to be legitimate. Instead, they looked for pragmatic ways that ensured stability for the community as they accepted the legitimacy of all the various dynasties that arose after the early period, despite their differences.</w:t>
      </w:r>
      <w:r w:rsidR="00926C1F">
        <w:rPr>
          <w:rStyle w:val="FootnoteReference"/>
        </w:rPr>
        <w:footnoteReference w:id="40"/>
      </w:r>
    </w:p>
    <w:p w14:paraId="3E20BB54" w14:textId="77777777" w:rsidR="00926C1F" w:rsidRDefault="00926C1F" w:rsidP="00AA0309"/>
    <w:p w14:paraId="0158CA10" w14:textId="44E5E900" w:rsidR="003516A7" w:rsidRDefault="00F92A42" w:rsidP="00AA0309">
      <w:r>
        <w:t>However, w</w:t>
      </w:r>
      <w:r w:rsidR="00D06403">
        <w:t>hat t</w:t>
      </w:r>
      <w:r w:rsidR="000D04AF">
        <w:t>he discussion</w:t>
      </w:r>
      <w:r w:rsidR="0072093F">
        <w:t>s</w:t>
      </w:r>
      <w:r w:rsidR="000D04AF">
        <w:t xml:space="preserve"> among these classical Muslim theorists </w:t>
      </w:r>
      <w:r w:rsidR="00D06403">
        <w:t xml:space="preserve">has in common is that they </w:t>
      </w:r>
      <w:r w:rsidR="0072093F">
        <w:t>develop a rationale for</w:t>
      </w:r>
      <w:r w:rsidR="000D04AF">
        <w:t xml:space="preserve"> law</w:t>
      </w:r>
      <w:r w:rsidR="0072093F">
        <w:t xml:space="preserve"> that</w:t>
      </w:r>
      <w:r w:rsidR="000D04AF">
        <w:t xml:space="preserve"> helps shape a stable society.</w:t>
      </w:r>
      <w:r w:rsidR="0072253A">
        <w:t xml:space="preserve"> </w:t>
      </w:r>
      <w:r w:rsidR="0072093F">
        <w:t xml:space="preserve">Therefore, a well-resourced discussion about the rationale for law in Islamic thought </w:t>
      </w:r>
      <w:r>
        <w:t xml:space="preserve">is what can </w:t>
      </w:r>
      <w:r w:rsidR="0072093F">
        <w:t xml:space="preserve">provide a perspective that is more philosophically informed than the various repertoires of responses to the current situation in the Middle East today and fills a gap in Barghouti’s argument. Indeed, </w:t>
      </w:r>
      <w:r w:rsidR="00A54ABA">
        <w:t xml:space="preserve">Rowan Williams </w:t>
      </w:r>
      <w:r w:rsidR="0072253A">
        <w:t>argue</w:t>
      </w:r>
      <w:r w:rsidR="00D06403">
        <w:t>d</w:t>
      </w:r>
      <w:r w:rsidR="0072253A">
        <w:t xml:space="preserve"> </w:t>
      </w:r>
      <w:r w:rsidR="0072093F">
        <w:t xml:space="preserve">too that </w:t>
      </w:r>
      <w:r w:rsidR="0072253A">
        <w:t xml:space="preserve">we need to talk  about </w:t>
      </w:r>
      <w:r w:rsidR="00A54ABA">
        <w:t xml:space="preserve">‘lawful democracy’ that </w:t>
      </w:r>
      <w:r w:rsidR="00A54ABA">
        <w:lastRenderedPageBreak/>
        <w:t>does not simply depend on the popular will alone.</w:t>
      </w:r>
      <w:r w:rsidR="00A54ABA">
        <w:rPr>
          <w:rStyle w:val="FootnoteReference"/>
        </w:rPr>
        <w:footnoteReference w:id="41"/>
      </w:r>
      <w:r w:rsidR="00A54ABA">
        <w:t xml:space="preserve"> The rationale for law, therefore, </w:t>
      </w:r>
      <w:r w:rsidR="008D51E7">
        <w:t>becomes</w:t>
      </w:r>
      <w:r w:rsidR="00A54ABA">
        <w:t xml:space="preserve"> an integral part of th</w:t>
      </w:r>
      <w:r w:rsidR="002C2079">
        <w:t>e</w:t>
      </w:r>
      <w:r w:rsidR="00A54ABA">
        <w:t xml:space="preserve"> history</w:t>
      </w:r>
      <w:r w:rsidR="002C2079">
        <w:t xml:space="preserve"> of </w:t>
      </w:r>
      <w:r w:rsidR="00E903B5">
        <w:t xml:space="preserve">this concern for coherence, both in </w:t>
      </w:r>
      <w:r w:rsidR="0072093F">
        <w:t xml:space="preserve">understanding </w:t>
      </w:r>
      <w:r w:rsidR="002C2079">
        <w:t>democracy</w:t>
      </w:r>
      <w:r w:rsidR="00A54ABA">
        <w:t xml:space="preserve"> in </w:t>
      </w:r>
      <w:r w:rsidR="0072093F">
        <w:t>the West</w:t>
      </w:r>
      <w:r w:rsidR="00A54ABA">
        <w:t xml:space="preserve"> </w:t>
      </w:r>
      <w:r w:rsidR="0072093F">
        <w:t>as well as in classical Islam where the</w:t>
      </w:r>
      <w:r w:rsidR="00A54ABA">
        <w:t xml:space="preserve"> </w:t>
      </w:r>
      <w:r w:rsidR="0072093F">
        <w:t xml:space="preserve">relation between </w:t>
      </w:r>
      <w:r w:rsidR="00A54ABA">
        <w:t xml:space="preserve">political </w:t>
      </w:r>
      <w:r w:rsidR="0072093F">
        <w:t>authority</w:t>
      </w:r>
      <w:r w:rsidR="00A54ABA">
        <w:t xml:space="preserve"> </w:t>
      </w:r>
      <w:r w:rsidR="00961319">
        <w:t xml:space="preserve">and </w:t>
      </w:r>
      <w:r w:rsidR="0072093F">
        <w:t xml:space="preserve">the </w:t>
      </w:r>
      <w:r w:rsidR="00E903B5">
        <w:t>law/</w:t>
      </w:r>
      <w:r w:rsidR="0072093F">
        <w:t>legal scholars</w:t>
      </w:r>
      <w:r w:rsidR="00961319">
        <w:t xml:space="preserve"> enabl</w:t>
      </w:r>
      <w:r w:rsidR="0072093F">
        <w:t>ed a</w:t>
      </w:r>
      <w:r w:rsidR="00961319">
        <w:t xml:space="preserve"> system of</w:t>
      </w:r>
      <w:r w:rsidR="00A54ABA">
        <w:t xml:space="preserve"> law that is not at the executive’s free disposal.</w:t>
      </w:r>
      <w:r w:rsidR="00C5653C">
        <w:rPr>
          <w:rStyle w:val="FootnoteReference"/>
        </w:rPr>
        <w:footnoteReference w:id="42"/>
      </w:r>
      <w:r w:rsidR="00F16412">
        <w:t xml:space="preserve"> </w:t>
      </w:r>
    </w:p>
    <w:p w14:paraId="7CEC5108" w14:textId="77777777" w:rsidR="003516A7" w:rsidRDefault="003516A7" w:rsidP="008155E8"/>
    <w:p w14:paraId="46FC90F1" w14:textId="2469ECE9" w:rsidR="009C631B" w:rsidRDefault="00A7175D" w:rsidP="003516A7">
      <w:r>
        <w:t xml:space="preserve">The most notable scholarly engagement with these constitutional </w:t>
      </w:r>
      <w:r w:rsidR="003516A7">
        <w:t>questions</w:t>
      </w:r>
      <w:r>
        <w:t xml:space="preserve"> </w:t>
      </w:r>
      <w:r w:rsidR="008155E8">
        <w:t>from an Islamic legal perspective appear</w:t>
      </w:r>
      <w:r w:rsidR="00B061F1">
        <w:t>s</w:t>
      </w:r>
      <w:r w:rsidR="008155E8">
        <w:t xml:space="preserve"> </w:t>
      </w:r>
      <w:r>
        <w:t>in the works of Wael Hallaq.</w:t>
      </w:r>
      <w:r w:rsidR="00B668DF">
        <w:t xml:space="preserve"> </w:t>
      </w:r>
      <w:r w:rsidR="001305DF">
        <w:t xml:space="preserve">In his book </w:t>
      </w:r>
      <w:r w:rsidR="001305DF" w:rsidRPr="0071582D">
        <w:rPr>
          <w:i/>
          <w:iCs/>
        </w:rPr>
        <w:t>The Impossible State</w:t>
      </w:r>
      <w:r w:rsidR="003516A7">
        <w:t>,</w:t>
      </w:r>
      <w:r w:rsidR="001305DF">
        <w:t xml:space="preserve"> he</w:t>
      </w:r>
      <w:r w:rsidR="0071582D">
        <w:t>, like Rowan Williams,</w:t>
      </w:r>
      <w:r w:rsidR="001305DF">
        <w:t xml:space="preserve"> raises</w:t>
      </w:r>
      <w:r w:rsidR="0071582D">
        <w:t xml:space="preserve"> serious questions for the modern secular state, so as to discredit the possibility of an Islamic state in the contemporary world, challenging Islamist</w:t>
      </w:r>
      <w:r w:rsidR="0072253A">
        <w:t xml:space="preserve"> assumptions</w:t>
      </w:r>
      <w:r w:rsidR="0071582D">
        <w:t>.</w:t>
      </w:r>
      <w:r w:rsidR="005B6C27">
        <w:rPr>
          <w:rStyle w:val="FootnoteReference"/>
        </w:rPr>
        <w:footnoteReference w:id="43"/>
      </w:r>
      <w:r>
        <w:t xml:space="preserve"> </w:t>
      </w:r>
      <w:r w:rsidR="00D610E2">
        <w:t xml:space="preserve">Whilst an ISIS apologist cannot see how real legitimacy can be achieved in a state not governed by Sharia, interpreted in a </w:t>
      </w:r>
      <w:r w:rsidR="00F55BC6">
        <w:t>non-historical</w:t>
      </w:r>
      <w:r w:rsidR="00D610E2">
        <w:t xml:space="preserve"> fashion, </w:t>
      </w:r>
      <w:r w:rsidR="009C631B">
        <w:t>Hallaq argues that the process and rationale for religious law did not and cannot be functional in a centralised nation state</w:t>
      </w:r>
      <w:r w:rsidR="00EC0333">
        <w:t xml:space="preserve"> as it stands </w:t>
      </w:r>
      <w:r w:rsidR="00F000CD">
        <w:t xml:space="preserve">against </w:t>
      </w:r>
      <w:r w:rsidR="0072253A">
        <w:t xml:space="preserve">the practice </w:t>
      </w:r>
      <w:r w:rsidR="00830A4B">
        <w:t>of</w:t>
      </w:r>
      <w:r w:rsidR="0072253A">
        <w:t xml:space="preserve"> </w:t>
      </w:r>
      <w:r w:rsidR="008519C8">
        <w:t xml:space="preserve">law in </w:t>
      </w:r>
      <w:r w:rsidR="0072253A">
        <w:t>classical Islam.</w:t>
      </w:r>
      <w:r w:rsidR="000923AB">
        <w:rPr>
          <w:rStyle w:val="FootnoteReference"/>
        </w:rPr>
        <w:footnoteReference w:id="44"/>
      </w:r>
      <w:r w:rsidR="009C631B">
        <w:t xml:space="preserve"> </w:t>
      </w:r>
      <w:r w:rsidR="0072253A">
        <w:t>M</w:t>
      </w:r>
      <w:r w:rsidR="009C631B">
        <w:t xml:space="preserve">edieval Muslim society was ordered in a bottom-up fashion. </w:t>
      </w:r>
      <w:r w:rsidR="00384F0B">
        <w:t>In this context, t</w:t>
      </w:r>
      <w:r w:rsidR="009C631B">
        <w:t>he application of jurisprudence processes was not controlled by the political legislative power. The masses</w:t>
      </w:r>
      <w:r w:rsidR="00830A4B">
        <w:t xml:space="preserve"> in society</w:t>
      </w:r>
      <w:r w:rsidR="009C631B">
        <w:t xml:space="preserve"> begin from the idea that they are all engaged in a religious </w:t>
      </w:r>
      <w:r w:rsidR="00F000CD">
        <w:t>community</w:t>
      </w:r>
      <w:r w:rsidR="009C631B">
        <w:t xml:space="preserve"> before they are properly aware of themselves as individuals in a state. In other words, the society was separate from the political </w:t>
      </w:r>
      <w:r w:rsidR="00055A16">
        <w:t>establishment</w:t>
      </w:r>
      <w:r w:rsidR="009C631B">
        <w:t xml:space="preserve">, whilst law is interpreted and owned by the qualified jurists who are part of the </w:t>
      </w:r>
      <w:r w:rsidR="00D610E2">
        <w:t>people</w:t>
      </w:r>
      <w:r w:rsidR="009C631B">
        <w:t>.</w:t>
      </w:r>
      <w:r w:rsidR="000923AB">
        <w:rPr>
          <w:rStyle w:val="FootnoteReference"/>
        </w:rPr>
        <w:footnoteReference w:id="45"/>
      </w:r>
    </w:p>
    <w:p w14:paraId="28ECDBB4" w14:textId="77777777" w:rsidR="0089410B" w:rsidRDefault="0089410B" w:rsidP="00384F0B"/>
    <w:p w14:paraId="4190DBD4" w14:textId="3D88CC55" w:rsidR="00384F0B" w:rsidRDefault="00552562" w:rsidP="00384F0B">
      <w:r>
        <w:t>The implication of this is that w</w:t>
      </w:r>
      <w:r w:rsidR="00B97CBE">
        <w:t>hilst legitimacy is</w:t>
      </w:r>
      <w:r>
        <w:t xml:space="preserve"> God’s alone as</w:t>
      </w:r>
      <w:r w:rsidR="00B97CBE">
        <w:t xml:space="preserve"> based on the processes of Sharia, Sharia was a process </w:t>
      </w:r>
      <w:r w:rsidR="00ED7350">
        <w:t>governed by the judgments of representatives of the classical schools of legal interpretation</w:t>
      </w:r>
      <w:r w:rsidR="00B97CBE">
        <w:t xml:space="preserve"> that ensures how each community pursues what it sees to be its religious good. </w:t>
      </w:r>
      <w:r w:rsidR="00055A16">
        <w:t>T</w:t>
      </w:r>
      <w:r w:rsidR="006F4FC5">
        <w:t xml:space="preserve">he principles of Sharia </w:t>
      </w:r>
      <w:r w:rsidR="00B97CBE">
        <w:t>may indeed be</w:t>
      </w:r>
      <w:r w:rsidR="006F4FC5">
        <w:t xml:space="preserve"> universal and based on the eternal will of God for the universe and for its human inhabitants, </w:t>
      </w:r>
      <w:r w:rsidR="00055A16">
        <w:t xml:space="preserve">but </w:t>
      </w:r>
      <w:r w:rsidR="00384F0B">
        <w:t>Sharia itself</w:t>
      </w:r>
      <w:r w:rsidR="00ED7350">
        <w:t xml:space="preserve"> is not a ready-made</w:t>
      </w:r>
      <w:r w:rsidR="006352B8">
        <w:t xml:space="preserve"> centralised</w:t>
      </w:r>
      <w:r w:rsidR="00ED7350">
        <w:t xml:space="preserve"> system</w:t>
      </w:r>
      <w:r w:rsidR="002C2079">
        <w:t>.</w:t>
      </w:r>
      <w:r w:rsidR="00ED7350">
        <w:t xml:space="preserve"> </w:t>
      </w:r>
      <w:r w:rsidR="0089410B">
        <w:t>The</w:t>
      </w:r>
      <w:r w:rsidR="00830A4B">
        <w:t>refore, the</w:t>
      </w:r>
      <w:r w:rsidR="0089410B">
        <w:t xml:space="preserve"> difficulty with an ISIS apologist </w:t>
      </w:r>
      <w:r w:rsidR="00830A4B">
        <w:t xml:space="preserve">is </w:t>
      </w:r>
      <w:r w:rsidR="0089410B">
        <w:t xml:space="preserve">that he seeks to bypass </w:t>
      </w:r>
      <w:r w:rsidR="008148E5">
        <w:t>the fact that this is a fruit of a historical process, as Hallaq noted,</w:t>
      </w:r>
      <w:r w:rsidR="008148E5">
        <w:rPr>
          <w:rStyle w:val="FootnoteReference"/>
        </w:rPr>
        <w:footnoteReference w:id="46"/>
      </w:r>
      <w:r w:rsidR="008148E5">
        <w:t xml:space="preserve"> that reflects </w:t>
      </w:r>
      <w:r w:rsidR="0089410B">
        <w:t>the given character of law and community through its history and custom and a process of discernment</w:t>
      </w:r>
      <w:r w:rsidR="00830A4B">
        <w:t xml:space="preserve">; </w:t>
      </w:r>
      <w:r w:rsidR="00F55BC6">
        <w:t>and whilst</w:t>
      </w:r>
      <w:r w:rsidR="00830A4B">
        <w:t xml:space="preserve"> this process of discernment,</w:t>
      </w:r>
      <w:r w:rsidR="0089410B">
        <w:t xml:space="preserve"> as the medieval Muslim theologian Ghazali noted, can only emerge in a fairly stable community</w:t>
      </w:r>
      <w:r w:rsidR="008148E5">
        <w:t>,</w:t>
      </w:r>
      <w:r w:rsidR="006E2FE8">
        <w:rPr>
          <w:rStyle w:val="FootnoteReference"/>
        </w:rPr>
        <w:footnoteReference w:id="47"/>
      </w:r>
      <w:r w:rsidR="00055A16">
        <w:t xml:space="preserve"> </w:t>
      </w:r>
      <w:r w:rsidR="008148E5">
        <w:t xml:space="preserve">it is also a metaphysical system with a particular </w:t>
      </w:r>
      <w:r w:rsidR="008148E5" w:rsidRPr="008E7272">
        <w:rPr>
          <w:i/>
          <w:iCs/>
        </w:rPr>
        <w:t>telos</w:t>
      </w:r>
      <w:r w:rsidR="008148E5">
        <w:t xml:space="preserve"> in mind, one that </w:t>
      </w:r>
      <w:r w:rsidR="00F55BC6">
        <w:t xml:space="preserve">does </w:t>
      </w:r>
      <w:r w:rsidR="008148E5">
        <w:t>exclude other systems or comprehensive doctrines, which is precisely why it cannot function as the basis of</w:t>
      </w:r>
      <w:r w:rsidR="008E7272">
        <w:t xml:space="preserve"> a</w:t>
      </w:r>
      <w:r w:rsidR="008148E5">
        <w:t xml:space="preserve"> bureaucratic nation state.</w:t>
      </w:r>
    </w:p>
    <w:p w14:paraId="42BB19E8" w14:textId="1EDD9EE4" w:rsidR="0089410B" w:rsidRDefault="0089410B" w:rsidP="00384F0B"/>
    <w:p w14:paraId="54088B23" w14:textId="2EC77140" w:rsidR="00183C53" w:rsidRPr="00BE1522" w:rsidRDefault="00BE1522" w:rsidP="00C86794">
      <w:pPr>
        <w:rPr>
          <w:b/>
          <w:bCs/>
        </w:rPr>
      </w:pPr>
      <w:r w:rsidRPr="00BE1522">
        <w:rPr>
          <w:b/>
          <w:bCs/>
        </w:rPr>
        <w:t xml:space="preserve">Hallaq, </w:t>
      </w:r>
      <w:r w:rsidR="006D3DBA">
        <w:rPr>
          <w:b/>
          <w:bCs/>
        </w:rPr>
        <w:t xml:space="preserve">the </w:t>
      </w:r>
      <w:r w:rsidR="00183C53" w:rsidRPr="00BE1522">
        <w:rPr>
          <w:b/>
          <w:bCs/>
        </w:rPr>
        <w:t>Enlightenment</w:t>
      </w:r>
      <w:r w:rsidRPr="00BE1522">
        <w:rPr>
          <w:b/>
          <w:bCs/>
        </w:rPr>
        <w:t xml:space="preserve"> and </w:t>
      </w:r>
      <w:r w:rsidR="007F10F7">
        <w:rPr>
          <w:b/>
          <w:bCs/>
        </w:rPr>
        <w:t>pluralism</w:t>
      </w:r>
      <w:r w:rsidR="00183C53" w:rsidRPr="00BE1522">
        <w:rPr>
          <w:b/>
          <w:bCs/>
        </w:rPr>
        <w:t xml:space="preserve"> </w:t>
      </w:r>
    </w:p>
    <w:p w14:paraId="208A3DE3" w14:textId="77777777" w:rsidR="00183C53" w:rsidRDefault="00183C53" w:rsidP="00C86794"/>
    <w:p w14:paraId="300164BC" w14:textId="4E99F46C" w:rsidR="0089410B" w:rsidRDefault="00C86794" w:rsidP="00C86794">
      <w:r>
        <w:t>There is no doubt that what Hallaq presents shaped a remarkably stable approach for a long period of time. But there are questions also to raise f</w:t>
      </w:r>
      <w:r w:rsidR="00A031E4">
        <w:t>or</w:t>
      </w:r>
      <w:r>
        <w:t xml:space="preserve"> Hallaq’s neat picture.</w:t>
      </w:r>
      <w:r w:rsidR="0089410B">
        <w:t xml:space="preserve"> </w:t>
      </w:r>
      <w:r>
        <w:t>B</w:t>
      </w:r>
      <w:r w:rsidR="0089410B">
        <w:t xml:space="preserve">asic to all of </w:t>
      </w:r>
      <w:r w:rsidR="0089410B">
        <w:lastRenderedPageBreak/>
        <w:t>Hallaq’s proposals appears the identification of what is different about modern Europe and its post-colonial legacy in the capacity for ‘self-creation’ – the human task of defining yourself, that is at the heart of what Hallaq sees to be the modern European enterprise.</w:t>
      </w:r>
      <w:r w:rsidR="00A031E4">
        <w:rPr>
          <w:rStyle w:val="FootnoteReference"/>
        </w:rPr>
        <w:footnoteReference w:id="48"/>
      </w:r>
      <w:r w:rsidR="0089410B">
        <w:t xml:space="preserve"> And it is </w:t>
      </w:r>
      <w:r w:rsidR="00961319">
        <w:t>this that</w:t>
      </w:r>
      <w:r w:rsidR="0089410B">
        <w:t xml:space="preserve"> sets it apart from both traditional societies and modern ideologically defined societies. This distinction reflects the purpose of </w:t>
      </w:r>
      <w:r w:rsidR="00A6078E">
        <w:t>both</w:t>
      </w:r>
      <w:r w:rsidR="0089410B">
        <w:t xml:space="preserve"> his books</w:t>
      </w:r>
      <w:r w:rsidR="00A6078E">
        <w:t>,</w:t>
      </w:r>
      <w:r w:rsidR="0089410B">
        <w:t xml:space="preserve"> </w:t>
      </w:r>
      <w:r w:rsidR="0089410B" w:rsidRPr="00C95EFA">
        <w:rPr>
          <w:i/>
        </w:rPr>
        <w:t>Restating Orientalism</w:t>
      </w:r>
      <w:r w:rsidR="0089410B">
        <w:t xml:space="preserve"> as well as the above mentioned </w:t>
      </w:r>
      <w:r w:rsidR="0089410B" w:rsidRPr="00715A27">
        <w:rPr>
          <w:i/>
          <w:iCs/>
        </w:rPr>
        <w:t>The Impossible State</w:t>
      </w:r>
      <w:r w:rsidR="0089410B">
        <w:t xml:space="preserve">. </w:t>
      </w:r>
    </w:p>
    <w:p w14:paraId="6D97E154" w14:textId="77777777" w:rsidR="00384F0B" w:rsidRDefault="00384F0B" w:rsidP="00ED7350"/>
    <w:p w14:paraId="0E2E6203" w14:textId="3D127736" w:rsidR="004914CE" w:rsidRDefault="00ED7350" w:rsidP="008519C8">
      <w:r>
        <w:t>J</w:t>
      </w:r>
      <w:r w:rsidR="006F4FC5">
        <w:t>urisprudence in Islam</w:t>
      </w:r>
      <w:r w:rsidR="00B97CBE">
        <w:t xml:space="preserve">, Hallaq </w:t>
      </w:r>
      <w:r>
        <w:t>argued</w:t>
      </w:r>
      <w:r w:rsidR="00B97CBE">
        <w:t>,</w:t>
      </w:r>
      <w:r w:rsidR="006F4FC5">
        <w:t xml:space="preserve"> points to a dialectical expression between reason and the text and how human habits and engagements are defined in relation to the text, which in itself reflects a sacred order and the will of God</w:t>
      </w:r>
      <w:r w:rsidR="0093543E">
        <w:t>.</w:t>
      </w:r>
      <w:r w:rsidR="00A031E4">
        <w:rPr>
          <w:rStyle w:val="FootnoteReference"/>
        </w:rPr>
        <w:footnoteReference w:id="49"/>
      </w:r>
      <w:r w:rsidR="0093543E">
        <w:t xml:space="preserve"> </w:t>
      </w:r>
      <w:r w:rsidR="006F4FC5">
        <w:t>Within such a framework, there might well be disagreements of interpretations; but there would be no assumption that each person would have to decide how they work out their decision from scratch. This dialectical relationship between what is and what ought to be is the hallmark of Islamic jurisprudence and as such different from the modern European project</w:t>
      </w:r>
      <w:r w:rsidR="00823F31">
        <w:t>, says</w:t>
      </w:r>
      <w:r w:rsidR="006F4FC5">
        <w:t xml:space="preserve"> Hallaq.</w:t>
      </w:r>
      <w:r w:rsidR="00EB701E">
        <w:rPr>
          <w:rStyle w:val="FootnoteReference"/>
        </w:rPr>
        <w:footnoteReference w:id="50"/>
      </w:r>
      <w:r w:rsidR="006F4FC5">
        <w:t xml:space="preserve"> </w:t>
      </w:r>
    </w:p>
    <w:p w14:paraId="3A3FEB06" w14:textId="77777777" w:rsidR="00F55BC6" w:rsidRDefault="00F55BC6" w:rsidP="008519C8"/>
    <w:p w14:paraId="43318E9A" w14:textId="1084305C" w:rsidR="002A3D79" w:rsidRDefault="00AB5ECB" w:rsidP="008519C8">
      <w:r>
        <w:t>The main critique</w:t>
      </w:r>
      <w:r w:rsidR="00C86794">
        <w:t>, therefore,</w:t>
      </w:r>
      <w:r>
        <w:t xml:space="preserve"> that Hallaq discusses is the Enlightenment’s distinction between fact and value, and by implication between </w:t>
      </w:r>
      <w:r w:rsidR="00EB701E">
        <w:t>r</w:t>
      </w:r>
      <w:r>
        <w:t xml:space="preserve">eligion and </w:t>
      </w:r>
      <w:r w:rsidR="00EB701E">
        <w:t>s</w:t>
      </w:r>
      <w:r>
        <w:t>ecularism, which found momentum in the Kantian structuring of the will and Hume’s empirical critique.</w:t>
      </w:r>
      <w:r w:rsidR="008A365F">
        <w:rPr>
          <w:rStyle w:val="FootnoteReference"/>
        </w:rPr>
        <w:footnoteReference w:id="51"/>
      </w:r>
      <w:r>
        <w:t xml:space="preserve"> The villains for Hallaq are Hobbes and Descartes, especially the latter’s individual suspicion of authority carried to a principle of philosophical practice, as Hume will later develop it.</w:t>
      </w:r>
      <w:r w:rsidR="008A365F">
        <w:rPr>
          <w:rStyle w:val="FootnoteReference"/>
        </w:rPr>
        <w:footnoteReference w:id="52"/>
      </w:r>
      <w:r>
        <w:t xml:space="preserve"> Hallaq points that John Austin gave it a legal foundation,</w:t>
      </w:r>
      <w:r w:rsidR="00B6073B">
        <w:rPr>
          <w:rStyle w:val="FootnoteReference"/>
        </w:rPr>
        <w:footnoteReference w:id="53"/>
      </w:r>
      <w:r>
        <w:t xml:space="preserve"> and Nietzsche developed the Cartesian dualism to a climax;</w:t>
      </w:r>
      <w:r w:rsidR="00B6073B">
        <w:rPr>
          <w:rStyle w:val="FootnoteReference"/>
        </w:rPr>
        <w:footnoteReference w:id="54"/>
      </w:r>
      <w:r>
        <w:t xml:space="preserve"> thus, it appears for Hallaq that the Enlightenment was a dangerous antagonist to Christianity especially of its Thomist type in Europe.</w:t>
      </w:r>
      <w:r w:rsidR="002E08FA">
        <w:rPr>
          <w:rStyle w:val="FootnoteReference"/>
        </w:rPr>
        <w:footnoteReference w:id="55"/>
      </w:r>
      <w:r>
        <w:t xml:space="preserve"> </w:t>
      </w:r>
    </w:p>
    <w:p w14:paraId="1372A6BC" w14:textId="77777777" w:rsidR="002A3D79" w:rsidRDefault="002A3D79" w:rsidP="008519C8"/>
    <w:p w14:paraId="548521E5" w14:textId="6164DC5E" w:rsidR="00AB5ECB" w:rsidRDefault="00AB5ECB" w:rsidP="008519C8">
      <w:r>
        <w:t>H</w:t>
      </w:r>
      <w:r w:rsidR="002A3D79">
        <w:t>allaq</w:t>
      </w:r>
      <w:r>
        <w:t xml:space="preserve"> finds that the development of Orientalism cannot be divorced from this philosophical background, a philosophy that Edward Said</w:t>
      </w:r>
      <w:r w:rsidR="00BB0D28">
        <w:t xml:space="preserve">’s </w:t>
      </w:r>
      <w:r w:rsidR="00BB0D28" w:rsidRPr="00BB0D28">
        <w:rPr>
          <w:i/>
          <w:iCs/>
        </w:rPr>
        <w:t>Orientalism</w:t>
      </w:r>
      <w:r>
        <w:t xml:space="preserve">, </w:t>
      </w:r>
      <w:r w:rsidR="002A3D79">
        <w:t>he</w:t>
      </w:r>
      <w:r>
        <w:t xml:space="preserve"> explains, was trapped in, and was unable to rescue his theory from it either</w:t>
      </w:r>
      <w:r w:rsidRPr="002E08FA">
        <w:rPr>
          <w:color w:val="000000" w:themeColor="text1"/>
        </w:rPr>
        <w:t>.</w:t>
      </w:r>
      <w:r w:rsidR="002E08FA">
        <w:rPr>
          <w:rStyle w:val="FootnoteReference"/>
          <w:color w:val="000000" w:themeColor="text1"/>
        </w:rPr>
        <w:footnoteReference w:id="56"/>
      </w:r>
      <w:r w:rsidRPr="00AB5ECB">
        <w:t xml:space="preserve"> </w:t>
      </w:r>
      <w:r>
        <w:t xml:space="preserve">He agrees, however, that Edward Said’s singular achievement was </w:t>
      </w:r>
      <w:r w:rsidR="00961319">
        <w:t xml:space="preserve">to </w:t>
      </w:r>
      <w:r w:rsidR="002A3D79">
        <w:t>engage the</w:t>
      </w:r>
      <w:r>
        <w:t xml:space="preserve"> intersection between knowledge and power: Orientalism as a scholarly discipline served political structures</w:t>
      </w:r>
      <w:r w:rsidR="00632272">
        <w:t xml:space="preserve"> and imperialism</w:t>
      </w:r>
      <w:r w:rsidR="002A3D79">
        <w:t>, despite the fact that Said missed on the varied types of European Orientalism such as German scholarship</w:t>
      </w:r>
      <w:r w:rsidR="00632272">
        <w:t>.</w:t>
      </w:r>
      <w:r w:rsidR="00C5653C">
        <w:rPr>
          <w:rStyle w:val="FootnoteReference"/>
        </w:rPr>
        <w:footnoteReference w:id="57"/>
      </w:r>
      <w:r w:rsidR="00961319">
        <w:t xml:space="preserve"> </w:t>
      </w:r>
    </w:p>
    <w:p w14:paraId="403A2F4B" w14:textId="546F0BEE" w:rsidR="00AB5ECB" w:rsidRDefault="00AB5ECB" w:rsidP="008519C8"/>
    <w:p w14:paraId="177DEA64" w14:textId="77777777" w:rsidR="006352B8" w:rsidRDefault="002A3D79" w:rsidP="0075623F">
      <w:r>
        <w:t xml:space="preserve">Hallaq presents a bold critique of </w:t>
      </w:r>
      <w:r w:rsidR="00F55BC6">
        <w:t xml:space="preserve">the </w:t>
      </w:r>
      <w:r>
        <w:t>modern project that is worth considering</w:t>
      </w:r>
      <w:r w:rsidR="0075623F">
        <w:t xml:space="preserve"> well</w:t>
      </w:r>
      <w:r>
        <w:t>. However, t</w:t>
      </w:r>
      <w:r w:rsidR="00D87627">
        <w:t>here are</w:t>
      </w:r>
      <w:r w:rsidR="00AB5ECB">
        <w:t xml:space="preserve"> some paradoxes</w:t>
      </w:r>
      <w:r w:rsidR="00D87627">
        <w:t xml:space="preserve"> in Hallaq’s neat comparison between the </w:t>
      </w:r>
      <w:r w:rsidR="00D87627">
        <w:lastRenderedPageBreak/>
        <w:t>Enlightenment and traditional societies</w:t>
      </w:r>
      <w:r w:rsidR="006352B8">
        <w:t xml:space="preserve"> that have implication for the contemporary scene</w:t>
      </w:r>
      <w:r w:rsidR="00AB5ECB">
        <w:t>. ‘Modern</w:t>
      </w:r>
      <w:r w:rsidR="00E65FF6">
        <w:t>ity and the scatter of terms related to it</w:t>
      </w:r>
      <w:r w:rsidR="00AB5ECB">
        <w:t xml:space="preserve"> </w:t>
      </w:r>
      <w:r w:rsidR="00E65FF6">
        <w:t>are agreed to be</w:t>
      </w:r>
      <w:r w:rsidR="00AB5ECB">
        <w:t xml:space="preserve"> slippery word</w:t>
      </w:r>
      <w:r w:rsidR="00E65FF6">
        <w:t>s</w:t>
      </w:r>
      <w:r w:rsidR="00051C04">
        <w:t>’,</w:t>
      </w:r>
      <w:r w:rsidR="00AB5ECB">
        <w:t xml:space="preserve"> Rowan Williams pointed out</w:t>
      </w:r>
      <w:r w:rsidR="00E65FF6">
        <w:t>:</w:t>
      </w:r>
      <w:r w:rsidR="00051C04">
        <w:t xml:space="preserve"> ‘it</w:t>
      </w:r>
      <w:r w:rsidR="00AB5ECB">
        <w:t xml:space="preserve"> is hardly ever used neutrally, just to describe what happens to be the cultural position at the present moment</w:t>
      </w:r>
      <w:r w:rsidR="00051C04">
        <w:t>’</w:t>
      </w:r>
      <w:r w:rsidR="00AB5ECB">
        <w:t>.</w:t>
      </w:r>
      <w:r w:rsidR="00E65FF6">
        <w:rPr>
          <w:rStyle w:val="FootnoteReference"/>
        </w:rPr>
        <w:footnoteReference w:id="58"/>
      </w:r>
      <w:r w:rsidR="00AB5ECB">
        <w:t xml:space="preserve"> </w:t>
      </w:r>
      <w:r w:rsidR="002C2079">
        <w:t>W</w:t>
      </w:r>
      <w:r w:rsidR="00AB5ECB">
        <w:t xml:space="preserve">hen Hallaq discusses Sharia as ‘a foundationalist epistemological doctrine’ and as an ‘intellectual system consisting of moral subject matter’ that ‘cannot be useful to politics’, we have a paradox here which is that it is modernity of a certain kind that makes it possible to talk about the Islamic tradition in this way. </w:t>
      </w:r>
      <w:r w:rsidR="00E65FF6">
        <w:t>For, ‘t</w:t>
      </w:r>
      <w:r w:rsidR="002C2079">
        <w:t>o</w:t>
      </w:r>
      <w:r w:rsidR="00AB5ECB">
        <w:t xml:space="preserve"> be modern is not only to stand against authority; but it is also the awareness that transmission of tradition is </w:t>
      </w:r>
      <w:r w:rsidR="00BB0D28">
        <w:t>not simply</w:t>
      </w:r>
      <w:r w:rsidR="00AB5ECB">
        <w:t xml:space="preserve"> a matter of handing on an unchanged system</w:t>
      </w:r>
      <w:r w:rsidR="00E65FF6">
        <w:t>’</w:t>
      </w:r>
      <w:r w:rsidR="00AB5ECB">
        <w:t>.</w:t>
      </w:r>
      <w:r w:rsidR="00E65FF6">
        <w:rPr>
          <w:rStyle w:val="FootnoteReference"/>
        </w:rPr>
        <w:footnoteReference w:id="59"/>
      </w:r>
      <w:r w:rsidR="00AB5ECB">
        <w:t xml:space="preserve"> </w:t>
      </w:r>
    </w:p>
    <w:p w14:paraId="0C99AB9C" w14:textId="77777777" w:rsidR="006352B8" w:rsidRDefault="006352B8" w:rsidP="0075623F"/>
    <w:p w14:paraId="73F1240F" w14:textId="2944BE6F" w:rsidR="00AB5ECB" w:rsidRDefault="006352B8" w:rsidP="0075623F">
      <w:r>
        <w:t>This suggests that a</w:t>
      </w:r>
      <w:r w:rsidR="00AB5ECB">
        <w:t xml:space="preserve"> modern approach to ‘received wisdom’, to ‘revelation’, does not </w:t>
      </w:r>
      <w:r>
        <w:t xml:space="preserve">have to </w:t>
      </w:r>
      <w:r w:rsidR="00AB5ECB">
        <w:t xml:space="preserve">mean that ‘received wisdom’ is no longer necessary. But, received wisdom continues to </w:t>
      </w:r>
      <w:r w:rsidR="00051C04">
        <w:t>be translated afresh</w:t>
      </w:r>
      <w:r w:rsidR="00AB5ECB">
        <w:t xml:space="preserve"> by its capacity to engage with new realities</w:t>
      </w:r>
      <w:r w:rsidR="00F55BC6">
        <w:t xml:space="preserve"> – not just the text</w:t>
      </w:r>
      <w:r w:rsidR="00AB5ECB">
        <w:t xml:space="preserve">. Otherwise, sources of knowledge from outside the first context of revelation must be </w:t>
      </w:r>
      <w:r w:rsidR="00051C04">
        <w:t>rejected</w:t>
      </w:r>
      <w:r w:rsidR="00AB5ECB">
        <w:t xml:space="preserve">, or what we learn from history would be considered </w:t>
      </w:r>
      <w:r w:rsidR="00051C04">
        <w:t>unnecessary –</w:t>
      </w:r>
      <w:r w:rsidR="00AB5ECB">
        <w:t xml:space="preserve"> </w:t>
      </w:r>
      <w:r w:rsidR="00051C04">
        <w:t>a</w:t>
      </w:r>
      <w:r w:rsidR="00F55BC6">
        <w:t>n eccentric place to be</w:t>
      </w:r>
      <w:r w:rsidR="00AE2121">
        <w:t>,</w:t>
      </w:r>
      <w:r w:rsidR="00F55BC6">
        <w:t xml:space="preserve"> to put it mildly</w:t>
      </w:r>
      <w:r w:rsidR="00D87627">
        <w:t xml:space="preserve">. </w:t>
      </w:r>
      <w:r w:rsidR="00E65FF6">
        <w:t xml:space="preserve"> </w:t>
      </w:r>
      <w:r w:rsidR="00051C04">
        <w:t xml:space="preserve"> </w:t>
      </w:r>
    </w:p>
    <w:p w14:paraId="5A952229" w14:textId="77777777" w:rsidR="00BB0D28" w:rsidRDefault="00BB0D28" w:rsidP="00051C04"/>
    <w:p w14:paraId="3B4721ED" w14:textId="3885AF45" w:rsidR="00D87627" w:rsidRDefault="00AB5ECB" w:rsidP="00AB5ECB">
      <w:r>
        <w:t xml:space="preserve">This </w:t>
      </w:r>
      <w:r w:rsidR="00051C04">
        <w:t>suggests</w:t>
      </w:r>
      <w:r>
        <w:t xml:space="preserve"> that to embrace scepticism about unquestioned authority and the need for reasoned justification of belief and obedience is therefore a </w:t>
      </w:r>
      <w:r w:rsidRPr="00D87627">
        <w:rPr>
          <w:i/>
          <w:iCs/>
        </w:rPr>
        <w:t>good</w:t>
      </w:r>
      <w:r>
        <w:t xml:space="preserve"> Enlightenment legacy. But, Hallaq does not seem to engage much with this side of the Enlightenment.</w:t>
      </w:r>
      <w:r w:rsidR="002A3D79">
        <w:rPr>
          <w:rStyle w:val="FootnoteReference"/>
        </w:rPr>
        <w:footnoteReference w:id="60"/>
      </w:r>
      <w:r>
        <w:t xml:space="preserve"> It might make him concede a bit more to </w:t>
      </w:r>
      <w:r w:rsidR="00051C04">
        <w:t>Edward</w:t>
      </w:r>
      <w:r>
        <w:t xml:space="preserve"> Said</w:t>
      </w:r>
      <w:r w:rsidR="00051C04">
        <w:t>’s</w:t>
      </w:r>
      <w:r>
        <w:t xml:space="preserve"> style of critique and its dependency on the </w:t>
      </w:r>
      <w:r w:rsidR="00A93416">
        <w:t>eighteenth</w:t>
      </w:r>
      <w:r>
        <w:t xml:space="preserve"> century Italian Giambattista Vico</w:t>
      </w:r>
      <w:r w:rsidR="00A93416">
        <w:t>,</w:t>
      </w:r>
      <w:r w:rsidR="00027D2B">
        <w:rPr>
          <w:rStyle w:val="FootnoteReference"/>
        </w:rPr>
        <w:footnoteReference w:id="61"/>
      </w:r>
      <w:r>
        <w:t xml:space="preserve"> </w:t>
      </w:r>
      <w:r w:rsidR="00A93416">
        <w:t xml:space="preserve">who </w:t>
      </w:r>
      <w:r>
        <w:t xml:space="preserve">was considered by the political theorist of the last century, Isaiah Berlin, as a </w:t>
      </w:r>
      <w:r w:rsidR="00530A7D">
        <w:t>c</w:t>
      </w:r>
      <w:r>
        <w:t>ounter-Enlightenment figure</w:t>
      </w:r>
      <w:r w:rsidR="00D87627">
        <w:t xml:space="preserve"> –</w:t>
      </w:r>
      <w:r>
        <w:t xml:space="preserve"> in that he stands against the first generation of Enlightenment figures that were convinced that rationality is one and the same in every human situation.</w:t>
      </w:r>
      <w:r w:rsidR="00833372">
        <w:rPr>
          <w:rStyle w:val="FootnoteReference"/>
        </w:rPr>
        <w:footnoteReference w:id="62"/>
      </w:r>
      <w:r>
        <w:t xml:space="preserve"> </w:t>
      </w:r>
      <w:r w:rsidR="00AE2121">
        <w:t>Perhaps,</w:t>
      </w:r>
      <w:r w:rsidR="00833372">
        <w:t xml:space="preserve"> there is a nuanced element in </w:t>
      </w:r>
      <w:r>
        <w:t>Said</w:t>
      </w:r>
      <w:r w:rsidR="00833372">
        <w:t>’s Orientalism that does not receive justice in Hallaq’s argument</w:t>
      </w:r>
      <w:r w:rsidR="00D87627">
        <w:t xml:space="preserve"> </w:t>
      </w:r>
      <w:r w:rsidR="00AE2121">
        <w:t>here, and which needs further consideration</w:t>
      </w:r>
      <w:r w:rsidR="00833372">
        <w:t>.</w:t>
      </w:r>
      <w:r>
        <w:t xml:space="preserve"> </w:t>
      </w:r>
    </w:p>
    <w:p w14:paraId="53BB7DE8" w14:textId="77777777" w:rsidR="00D87627" w:rsidRDefault="00D87627" w:rsidP="00AB5ECB"/>
    <w:p w14:paraId="1EF8BF29" w14:textId="4BC65D17" w:rsidR="0075623F" w:rsidRDefault="00833372" w:rsidP="0075623F">
      <w:r>
        <w:t>Isaiah Berlin also did not stand with the</w:t>
      </w:r>
      <w:r w:rsidR="00AB5ECB">
        <w:t xml:space="preserve"> first generation of Enlightenment figures</w:t>
      </w:r>
      <w:r w:rsidR="00530A7D">
        <w:t xml:space="preserve">; rather, </w:t>
      </w:r>
      <w:r w:rsidR="0075623F">
        <w:t>‘</w:t>
      </w:r>
      <w:r w:rsidR="00530A7D">
        <w:t>he repudiates wholeheartedly Enlightenment optimism about the possibility of a conclusive rational roadmap’</w:t>
      </w:r>
      <w:r w:rsidR="00D87627">
        <w:t>.</w:t>
      </w:r>
      <w:r w:rsidR="00530A7D">
        <w:rPr>
          <w:rStyle w:val="FootnoteReference"/>
        </w:rPr>
        <w:footnoteReference w:id="63"/>
      </w:r>
      <w:r w:rsidR="00D87627">
        <w:t xml:space="preserve"> However, he</w:t>
      </w:r>
      <w:r>
        <w:t xml:space="preserve"> does not get a</w:t>
      </w:r>
      <w:r w:rsidR="00846BD3">
        <w:t xml:space="preserve"> wholly</w:t>
      </w:r>
      <w:r>
        <w:t xml:space="preserve"> </w:t>
      </w:r>
      <w:r w:rsidR="00D87627">
        <w:t>positive</w:t>
      </w:r>
      <w:r>
        <w:t xml:space="preserve"> coverage in Hallaq’s work either. </w:t>
      </w:r>
      <w:r w:rsidR="000A0208">
        <w:t>H</w:t>
      </w:r>
      <w:r>
        <w:t xml:space="preserve">e is lumped among those who favour ‘capitalism’ as opposed to </w:t>
      </w:r>
      <w:r w:rsidR="000A0208">
        <w:t>Communism.</w:t>
      </w:r>
      <w:r w:rsidR="00AB5ECB">
        <w:t xml:space="preserve"> </w:t>
      </w:r>
      <w:r w:rsidR="000A0208">
        <w:t xml:space="preserve">This </w:t>
      </w:r>
      <w:r w:rsidR="00D87627">
        <w:t>contrasts with</w:t>
      </w:r>
      <w:r w:rsidR="000A0208">
        <w:t xml:space="preserve"> </w:t>
      </w:r>
      <w:r w:rsidR="00D87627">
        <w:t>a more</w:t>
      </w:r>
      <w:r w:rsidR="000A0208">
        <w:t xml:space="preserve"> nuanced interpretation that others have seen in Berlin. According to Rowan Williams, ‘Isaiah Berlin’s challenge is to construct a politics that secures not only basic decency, but the greatest possible freedom for debate between advocates of diverse projects and priorities’.</w:t>
      </w:r>
      <w:r w:rsidR="000A0208">
        <w:rPr>
          <w:rStyle w:val="FootnoteReference"/>
        </w:rPr>
        <w:footnoteReference w:id="64"/>
      </w:r>
      <w:r w:rsidR="000A0208">
        <w:t xml:space="preserve"> </w:t>
      </w:r>
      <w:r w:rsidR="0080023C">
        <w:t xml:space="preserve">As will shortly be explained, this has a doctrinal Christian foundation. </w:t>
      </w:r>
    </w:p>
    <w:p w14:paraId="03EC4DF5" w14:textId="77777777" w:rsidR="0075623F" w:rsidRDefault="0075623F" w:rsidP="0075623F"/>
    <w:p w14:paraId="117E7EAC" w14:textId="77777777" w:rsidR="00AE2121" w:rsidRDefault="0075623F" w:rsidP="0080023C">
      <w:r>
        <w:lastRenderedPageBreak/>
        <w:t>Also, w</w:t>
      </w:r>
      <w:r w:rsidR="008519C8">
        <w:t>hilst</w:t>
      </w:r>
      <w:r w:rsidR="000E542B">
        <w:t xml:space="preserve"> </w:t>
      </w:r>
      <w:r w:rsidR="00D90810">
        <w:t>we agree</w:t>
      </w:r>
      <w:r w:rsidR="000E542B">
        <w:t xml:space="preserve"> with Hallaq </w:t>
      </w:r>
      <w:r w:rsidR="00D90810">
        <w:t>in his</w:t>
      </w:r>
      <w:r w:rsidR="000E542B">
        <w:t xml:space="preserve"> assert</w:t>
      </w:r>
      <w:r w:rsidR="00D90810">
        <w:t>ion</w:t>
      </w:r>
      <w:r w:rsidR="000E542B">
        <w:t xml:space="preserve"> that</w:t>
      </w:r>
      <w:r w:rsidR="008519C8">
        <w:t xml:space="preserve"> in </w:t>
      </w:r>
      <w:r w:rsidR="000E542B">
        <w:t>traditional Islamic</w:t>
      </w:r>
      <w:r w:rsidR="008519C8">
        <w:t xml:space="preserve"> </w:t>
      </w:r>
      <w:r w:rsidR="000E542B">
        <w:t>societies</w:t>
      </w:r>
      <w:r w:rsidR="008519C8">
        <w:t xml:space="preserve"> one might say there is no clear connection between knowledge and the political powers </w:t>
      </w:r>
      <w:r w:rsidR="000E542B">
        <w:t>in the way that we find in Orientalist discourse</w:t>
      </w:r>
      <w:r w:rsidR="008519C8">
        <w:t xml:space="preserve">, this does not mean that there was no connection between knowledge and power </w:t>
      </w:r>
      <w:r w:rsidR="008519C8" w:rsidRPr="007073A6">
        <w:rPr>
          <w:i/>
        </w:rPr>
        <w:t>per se</w:t>
      </w:r>
      <w:r w:rsidR="008519C8">
        <w:t xml:space="preserve">. </w:t>
      </w:r>
      <w:r w:rsidR="00846BD3">
        <w:t>R</w:t>
      </w:r>
      <w:r w:rsidR="008519C8">
        <w:t xml:space="preserve">eligious scholars could </w:t>
      </w:r>
      <w:r w:rsidR="00AE2121">
        <w:t xml:space="preserve">and did </w:t>
      </w:r>
      <w:r w:rsidR="008519C8">
        <w:t>use their position for the wrong reasons</w:t>
      </w:r>
      <w:r w:rsidR="00AE2121">
        <w:t>, whilst</w:t>
      </w:r>
      <w:r w:rsidR="00D87627">
        <w:t xml:space="preserve"> justif</w:t>
      </w:r>
      <w:r w:rsidR="00AE2121">
        <w:t>ying</w:t>
      </w:r>
      <w:r w:rsidR="00D87627">
        <w:t xml:space="preserve"> their claims on the same sources of revelation</w:t>
      </w:r>
      <w:r w:rsidR="008519C8">
        <w:t>. Different groups fought and killed each other for belonging to different schools.</w:t>
      </w:r>
      <w:r w:rsidR="005C4446">
        <w:rPr>
          <w:rStyle w:val="FootnoteReference"/>
        </w:rPr>
        <w:footnoteReference w:id="65"/>
      </w:r>
      <w:r w:rsidR="008519C8">
        <w:t xml:space="preserve"> </w:t>
      </w:r>
      <w:r w:rsidR="000E542B">
        <w:t xml:space="preserve">The example of </w:t>
      </w:r>
      <w:r w:rsidR="00D87627">
        <w:t xml:space="preserve">the </w:t>
      </w:r>
      <w:r w:rsidR="000E542B">
        <w:t>medieval Muslim theologian al-</w:t>
      </w:r>
      <w:r w:rsidR="008519C8">
        <w:t>Ghazali is a stark one where he explicitly repudiates the scholars of his day for seeking prestige and glory,</w:t>
      </w:r>
      <w:r w:rsidR="003C23F4">
        <w:rPr>
          <w:rStyle w:val="FootnoteReference"/>
        </w:rPr>
        <w:footnoteReference w:id="66"/>
      </w:r>
      <w:r w:rsidR="008519C8">
        <w:t xml:space="preserve"> rather than the proper discernment of the law of God that required repentance and humility. </w:t>
      </w:r>
      <w:r w:rsidR="0080023C">
        <w:t>Ghazali</w:t>
      </w:r>
      <w:r w:rsidR="008519C8">
        <w:t xml:space="preserve"> himself of course deserts </w:t>
      </w:r>
      <w:r w:rsidR="0080023C">
        <w:t>the</w:t>
      </w:r>
      <w:r w:rsidR="008519C8">
        <w:t xml:space="preserve"> position</w:t>
      </w:r>
      <w:r w:rsidR="0080023C">
        <w:t xml:space="preserve"> that</w:t>
      </w:r>
      <w:r w:rsidR="008519C8">
        <w:t xml:space="preserve"> brought him close to the courts of power.</w:t>
      </w:r>
      <w:r w:rsidR="00AE2121">
        <w:rPr>
          <w:rStyle w:val="FootnoteReference"/>
        </w:rPr>
        <w:footnoteReference w:id="67"/>
      </w:r>
      <w:r w:rsidR="008519C8">
        <w:t xml:space="preserve"> </w:t>
      </w:r>
    </w:p>
    <w:p w14:paraId="52752FA3" w14:textId="77777777" w:rsidR="00AE2121" w:rsidRDefault="00AE2121" w:rsidP="0080023C"/>
    <w:p w14:paraId="2B672832" w14:textId="3CCE53E4" w:rsidR="00BE1542" w:rsidRDefault="0080023C" w:rsidP="0080023C">
      <w:r>
        <w:t>This suggests that e</w:t>
      </w:r>
      <w:r w:rsidR="000E542B">
        <w:t>ven if we have recourse to sacred text as a foundation for ethics</w:t>
      </w:r>
      <w:r w:rsidR="00AE2121">
        <w:t xml:space="preserve"> and law</w:t>
      </w:r>
      <w:r w:rsidR="000E542B">
        <w:t>, it seems that we can’t live without the Enlightenment’s scepticism for unjustified authority and</w:t>
      </w:r>
      <w:r w:rsidR="00632272" w:rsidRPr="00632272">
        <w:t xml:space="preserve"> </w:t>
      </w:r>
      <w:r w:rsidR="00632272">
        <w:t xml:space="preserve">the Enlightenment’s reconsideration of the public logic of religious traditions that </w:t>
      </w:r>
      <w:r w:rsidR="003C23F4">
        <w:t>allows for freedom of debate among</w:t>
      </w:r>
      <w:r w:rsidR="00632272">
        <w:t xml:space="preserve"> alternative religious traditions </w:t>
      </w:r>
      <w:r w:rsidR="003C23F4">
        <w:t>against the</w:t>
      </w:r>
      <w:r w:rsidR="00632272">
        <w:t xml:space="preserve"> bid to set up a </w:t>
      </w:r>
      <w:r w:rsidR="001E280F">
        <w:t>‘</w:t>
      </w:r>
      <w:r w:rsidR="00632272">
        <w:t>theocracy</w:t>
      </w:r>
      <w:r w:rsidR="001E280F">
        <w:t>’ or any type of ‘religio-political’ power</w:t>
      </w:r>
      <w:r w:rsidR="00632272">
        <w:t xml:space="preserve">. </w:t>
      </w:r>
    </w:p>
    <w:p w14:paraId="0BB436BE" w14:textId="77777777" w:rsidR="0075623F" w:rsidRDefault="0075623F" w:rsidP="00D90810"/>
    <w:p w14:paraId="3161A547" w14:textId="6EB2E048" w:rsidR="001E280F" w:rsidRDefault="00BB0D28" w:rsidP="00BE1542">
      <w:r>
        <w:t xml:space="preserve">Indeed, Hallaq does not provide a clear answer in his writings of how religious communities </w:t>
      </w:r>
      <w:r w:rsidR="00952AAC">
        <w:t xml:space="preserve">in the contemporary context </w:t>
      </w:r>
      <w:r>
        <w:t xml:space="preserve">can work with a legal system that is not determined by revelation. How do we cope with pluralism in the Middle East today? </w:t>
      </w:r>
      <w:r w:rsidR="001E280F">
        <w:t>This is an unavoidable question in the contemporary scene as we cannot live in abstractions</w:t>
      </w:r>
      <w:r w:rsidR="00AE2121">
        <w:t>;</w:t>
      </w:r>
      <w:r w:rsidR="001E280F">
        <w:t xml:space="preserve"> all of us have to be citizens in a particular context. </w:t>
      </w:r>
      <w:r>
        <w:t xml:space="preserve">The history and rationale that Hallaq presented suggests that we cannot return to the Koran and the Hadith on their own as exhaustive sources of law for both </w:t>
      </w:r>
      <w:r w:rsidRPr="00055A16">
        <w:rPr>
          <w:i/>
          <w:iCs/>
        </w:rPr>
        <w:t>dawla</w:t>
      </w:r>
      <w:r>
        <w:t xml:space="preserve"> and </w:t>
      </w:r>
      <w:r w:rsidRPr="00055A16">
        <w:rPr>
          <w:i/>
          <w:iCs/>
        </w:rPr>
        <w:t>Umma</w:t>
      </w:r>
      <w:r>
        <w:t xml:space="preserve">, because the Koran and Hadith are part of the historical process of revelation. Only the process and method of jurisprudence are able to define the religious community and as such they were governed by the scholars not </w:t>
      </w:r>
      <w:r w:rsidR="00AE2121">
        <w:t>the</w:t>
      </w:r>
      <w:r w:rsidR="0080023C">
        <w:t xml:space="preserve"> bureaucratic centralised political system</w:t>
      </w:r>
      <w:r>
        <w:t xml:space="preserve">. </w:t>
      </w:r>
    </w:p>
    <w:p w14:paraId="6497C6F7" w14:textId="77777777" w:rsidR="001E280F" w:rsidRDefault="001E280F" w:rsidP="00952AAC"/>
    <w:p w14:paraId="05ECA7CC" w14:textId="0038D51F" w:rsidR="00952AAC" w:rsidRDefault="003C23F4" w:rsidP="00952AAC">
      <w:r>
        <w:t>This is a good point to e</w:t>
      </w:r>
      <w:r w:rsidR="00952AAC">
        <w:t>ngag</w:t>
      </w:r>
      <w:r>
        <w:t>e</w:t>
      </w:r>
      <w:r w:rsidR="00C313DA">
        <w:t xml:space="preserve"> Hallaq’s ideas</w:t>
      </w:r>
      <w:r w:rsidR="00952AAC">
        <w:t xml:space="preserve"> with the rationale for negotiating power balances and less government interference in the body politic that appear in the thought of Rowan Williams and </w:t>
      </w:r>
      <w:r w:rsidR="0080023C">
        <w:t>his sources</w:t>
      </w:r>
      <w:r w:rsidR="001E280F">
        <w:t>; the conversation</w:t>
      </w:r>
      <w:r w:rsidR="00952AAC">
        <w:t xml:space="preserve"> might present a useful insight into these </w:t>
      </w:r>
      <w:r w:rsidR="001E280F">
        <w:t>debates</w:t>
      </w:r>
      <w:r w:rsidR="00952AAC">
        <w:t xml:space="preserve">. After all, both Rowan Williams and Wael Hallaq are very critical of a centralised secular state that imposes a neutral legal system and regards its citizens as abstract individuals. Both see the importance of religious loyalty in shaping public life. Both see that ultimate legitimacy does not lie with political authority, but with divine revelation. </w:t>
      </w:r>
    </w:p>
    <w:p w14:paraId="5ECE89AB" w14:textId="77777777" w:rsidR="00952AAC" w:rsidRDefault="00952AAC" w:rsidP="00952AAC"/>
    <w:p w14:paraId="31EFA4C7" w14:textId="066CCD10" w:rsidR="0033068B" w:rsidRDefault="00C46D00" w:rsidP="0033068B">
      <w:r>
        <w:t>Rowan Williams appropriat</w:t>
      </w:r>
      <w:r w:rsidR="001E280F">
        <w:t>es</w:t>
      </w:r>
      <w:r>
        <w:t xml:space="preserve"> the work of John Neville Figgis among others </w:t>
      </w:r>
      <w:r w:rsidR="00BB0D28">
        <w:t>by</w:t>
      </w:r>
      <w:r w:rsidR="00906A69">
        <w:t xml:space="preserve"> presenting </w:t>
      </w:r>
      <w:r w:rsidR="001E280F">
        <w:t>a type of political liberalism</w:t>
      </w:r>
      <w:r>
        <w:t xml:space="preserve"> </w:t>
      </w:r>
      <w:r w:rsidR="001E280F">
        <w:t xml:space="preserve">where </w:t>
      </w:r>
      <w:r w:rsidR="0033068B">
        <w:t xml:space="preserve">we are encouraged to see the possibility not of a centralised secular legal system, but a system of </w:t>
      </w:r>
      <w:r w:rsidR="001E280F">
        <w:t>‘</w:t>
      </w:r>
      <w:r w:rsidR="0033068B">
        <w:t>arbitration</w:t>
      </w:r>
      <w:r w:rsidR="001E280F">
        <w:t>’</w:t>
      </w:r>
      <w:r w:rsidR="0033068B">
        <w:t xml:space="preserve"> between the various communities in which no religious community has monopoly over the whole system and the </w:t>
      </w:r>
      <w:r w:rsidR="0033068B">
        <w:lastRenderedPageBreak/>
        <w:t>state does not intervene in their self-regulation. Instead, all the varied communities have a natural liberty to exist and organize themselves.</w:t>
      </w:r>
      <w:r w:rsidR="00632272">
        <w:rPr>
          <w:rStyle w:val="FootnoteReference"/>
        </w:rPr>
        <w:footnoteReference w:id="68"/>
      </w:r>
      <w:r w:rsidR="0033068B">
        <w:t xml:space="preserve"> As such, Rowan explains further that </w:t>
      </w:r>
    </w:p>
    <w:p w14:paraId="51913B43" w14:textId="77777777" w:rsidR="0033068B" w:rsidRDefault="0033068B" w:rsidP="0033068B">
      <w:pPr>
        <w:ind w:left="283" w:right="57"/>
      </w:pPr>
    </w:p>
    <w:p w14:paraId="134E971E" w14:textId="6AA45445" w:rsidR="00906A69" w:rsidRDefault="0033068B" w:rsidP="0033068B">
      <w:pPr>
        <w:ind w:left="283" w:right="283"/>
      </w:pPr>
      <w:r>
        <w:t>What the law of the state does is to create the conditions, within a complex social environment, that allow each group to pursue what it sees as good. And if any group’s notion of what is good veers towards anything that undermines the good of the other groups, the law’s task is restraint and control of any such tendency, as well as the defence of the whole network against destabilizing fr</w:t>
      </w:r>
      <w:r w:rsidR="001A7471">
        <w:t>o</w:t>
      </w:r>
      <w:r>
        <w:t>m outside.</w:t>
      </w:r>
      <w:r w:rsidR="001A7471">
        <w:rPr>
          <w:rStyle w:val="FootnoteReference"/>
        </w:rPr>
        <w:footnoteReference w:id="69"/>
      </w:r>
    </w:p>
    <w:p w14:paraId="540AEB86" w14:textId="77777777" w:rsidR="00952AAC" w:rsidRDefault="00952AAC" w:rsidP="000A0385"/>
    <w:p w14:paraId="6A0415D4" w14:textId="4E146454" w:rsidR="00906A69" w:rsidRDefault="0080023C" w:rsidP="00D90810">
      <w:r>
        <w:t>Some might</w:t>
      </w:r>
      <w:r w:rsidR="0033068B">
        <w:t xml:space="preserve"> argue that</w:t>
      </w:r>
      <w:r w:rsidR="002F6146">
        <w:t xml:space="preserve"> s</w:t>
      </w:r>
      <w:r w:rsidR="00DA1E12">
        <w:t xml:space="preserve">omething of this </w:t>
      </w:r>
      <w:r w:rsidR="007F51CC">
        <w:t xml:space="preserve">spirit of pluralism and </w:t>
      </w:r>
      <w:r w:rsidR="00DA1E12">
        <w:t xml:space="preserve">type of </w:t>
      </w:r>
      <w:r w:rsidR="002F6146">
        <w:t>sovereignty</w:t>
      </w:r>
      <w:r w:rsidR="00DA1E12">
        <w:t xml:space="preserve"> ha</w:t>
      </w:r>
      <w:r w:rsidR="002F6146">
        <w:t>d</w:t>
      </w:r>
      <w:r w:rsidR="00DA1E12">
        <w:t xml:space="preserve"> been exercised in </w:t>
      </w:r>
      <w:r w:rsidR="000A0385">
        <w:t>t</w:t>
      </w:r>
      <w:r w:rsidR="001F54F9">
        <w:t>he Ottoman Empire</w:t>
      </w:r>
      <w:r w:rsidR="000A0385">
        <w:t>.</w:t>
      </w:r>
      <w:r w:rsidR="001A7471">
        <w:rPr>
          <w:rStyle w:val="FootnoteReference"/>
        </w:rPr>
        <w:footnoteReference w:id="70"/>
      </w:r>
      <w:r w:rsidR="001F54F9">
        <w:t xml:space="preserve"> </w:t>
      </w:r>
      <w:r w:rsidR="000A0385">
        <w:t>I</w:t>
      </w:r>
      <w:r w:rsidR="002F6146">
        <w:t>n</w:t>
      </w:r>
      <w:r w:rsidR="001F54F9">
        <w:t xml:space="preserve"> its early days</w:t>
      </w:r>
      <w:r w:rsidR="000A0385">
        <w:t>, the Ottoman Empire</w:t>
      </w:r>
      <w:r w:rsidR="001F54F9">
        <w:t xml:space="preserve"> could not be territorially defined or fixed in the way that a modern nation state is. The stability of the empire depended on various balances of power among the various regions and communities within it.</w:t>
      </w:r>
      <w:r w:rsidR="000C38A5">
        <w:rPr>
          <w:rStyle w:val="FootnoteReference"/>
        </w:rPr>
        <w:footnoteReference w:id="71"/>
      </w:r>
      <w:r w:rsidR="001F54F9">
        <w:t xml:space="preserve"> This was particularly the case around Syria and Iraq, where you had various loyalties, tribal, religious and mercantile. Whilst legitimacy appear</w:t>
      </w:r>
      <w:r w:rsidR="00DA1E12">
        <w:t>ed</w:t>
      </w:r>
      <w:r w:rsidR="001F54F9">
        <w:t xml:space="preserve"> in allegiance to the Sultan as accountable before Sharia, sovereignty was based on the various balances of power between the various groups. </w:t>
      </w:r>
    </w:p>
    <w:p w14:paraId="7F59C9F9" w14:textId="77777777" w:rsidR="003B0A5E" w:rsidRDefault="003B0A5E" w:rsidP="00D90810"/>
    <w:p w14:paraId="7883713D" w14:textId="47EF0359" w:rsidR="007F51CC" w:rsidRDefault="003B0A5E" w:rsidP="00F574F2">
      <w:r>
        <w:t>It is not entirely</w:t>
      </w:r>
      <w:r w:rsidR="0069590B">
        <w:t xml:space="preserve"> </w:t>
      </w:r>
      <w:r>
        <w:t>easy to</w:t>
      </w:r>
      <w:r w:rsidR="00CD5B7D">
        <w:t xml:space="preserve"> </w:t>
      </w:r>
      <w:r w:rsidR="007255D0">
        <w:t>fully</w:t>
      </w:r>
      <w:r w:rsidR="00D811A1">
        <w:t xml:space="preserve"> equate</w:t>
      </w:r>
      <w:r w:rsidR="0069590B">
        <w:t xml:space="preserve"> the type of pluralism that Rowan Williams is </w:t>
      </w:r>
      <w:r w:rsidR="005C62E1">
        <w:t>proposing</w:t>
      </w:r>
      <w:r w:rsidR="0069590B">
        <w:t xml:space="preserve"> here</w:t>
      </w:r>
      <w:r w:rsidR="00D811A1">
        <w:t xml:space="preserve"> with the early Ottoman state, however tempting it might be</w:t>
      </w:r>
      <w:r w:rsidR="0069590B">
        <w:t xml:space="preserve">. </w:t>
      </w:r>
      <w:r w:rsidR="005C62E1">
        <w:t>Apart from the fact that the Ottomans also had a history of repressing minorities,</w:t>
      </w:r>
      <w:r w:rsidR="005C62E1">
        <w:rPr>
          <w:rStyle w:val="FootnoteReference"/>
        </w:rPr>
        <w:footnoteReference w:id="72"/>
      </w:r>
      <w:r w:rsidR="005C62E1">
        <w:t xml:space="preserve"> the issue is still a doctrinal one relating to the understanding of the whole body politic in relationship to revealed law. </w:t>
      </w:r>
      <w:r w:rsidR="007F51CC">
        <w:t xml:space="preserve">Whilst classical </w:t>
      </w:r>
      <w:r w:rsidR="0069590B">
        <w:t xml:space="preserve">Islamic political theory refused to make legal theory subservient to political authorities and maintained a separation of communities and society from political power, it did not share the same amount of reservations about political authority. If there is a decentralization of power and regulation as there was in the early period of the Ottoman Empire, </w:t>
      </w:r>
      <w:r>
        <w:t>r</w:t>
      </w:r>
      <w:r w:rsidR="0069590B">
        <w:t xml:space="preserve">evealed </w:t>
      </w:r>
      <w:r w:rsidR="007F51CC">
        <w:t xml:space="preserve">law is </w:t>
      </w:r>
      <w:r w:rsidR="0069590B">
        <w:t xml:space="preserve">still </w:t>
      </w:r>
      <w:r>
        <w:t xml:space="preserve">the foundation of the whole body politic, which sees itself in return as having </w:t>
      </w:r>
      <w:r w:rsidR="00124B4D">
        <w:t>a moral purpose</w:t>
      </w:r>
      <w:r w:rsidR="0080023C">
        <w:t>.</w:t>
      </w:r>
      <w:r>
        <w:rPr>
          <w:rStyle w:val="FootnoteReference"/>
        </w:rPr>
        <w:footnoteReference w:id="73"/>
      </w:r>
      <w:r w:rsidR="0080023C">
        <w:t xml:space="preserve"> </w:t>
      </w:r>
    </w:p>
    <w:p w14:paraId="3183AC89" w14:textId="77777777" w:rsidR="007F51CC" w:rsidRDefault="007F51CC" w:rsidP="007F51CC"/>
    <w:p w14:paraId="579261CC" w14:textId="669838A3" w:rsidR="0069590B" w:rsidRDefault="007F51CC" w:rsidP="007F51CC">
      <w:r>
        <w:t xml:space="preserve">This </w:t>
      </w:r>
      <w:r w:rsidR="00F574F2">
        <w:t>is explained</w:t>
      </w:r>
      <w:r>
        <w:t xml:space="preserve"> more clearly in the work of a</w:t>
      </w:r>
      <w:r w:rsidR="0069590B">
        <w:t xml:space="preserve">nother important </w:t>
      </w:r>
      <w:r>
        <w:t>contemporary Muslim</w:t>
      </w:r>
      <w:r w:rsidR="0069590B">
        <w:t xml:space="preserve"> </w:t>
      </w:r>
      <w:r>
        <w:t>legal scholar:</w:t>
      </w:r>
      <w:r w:rsidR="0069590B">
        <w:t xml:space="preserve"> Muhammad Hashim Kamali’s classic, </w:t>
      </w:r>
      <w:r w:rsidR="0069590B">
        <w:rPr>
          <w:i/>
          <w:iCs/>
        </w:rPr>
        <w:t xml:space="preserve">The </w:t>
      </w:r>
      <w:r w:rsidR="0069590B" w:rsidRPr="000E3DEB">
        <w:rPr>
          <w:i/>
          <w:iCs/>
        </w:rPr>
        <w:t>Principles of Islamic Jurisprudence</w:t>
      </w:r>
      <w:r w:rsidR="00D811A1">
        <w:t>. In it, he</w:t>
      </w:r>
      <w:r w:rsidR="00270F29">
        <w:t xml:space="preserve"> </w:t>
      </w:r>
      <w:r w:rsidR="0069590B">
        <w:t>argues that as sovereignty belongs to God, the legislative and political power in the Islamic state is largely administrative in character designed to implement the Sharia.</w:t>
      </w:r>
      <w:r w:rsidR="00DC57B2">
        <w:rPr>
          <w:rStyle w:val="FootnoteReference"/>
        </w:rPr>
        <w:footnoteReference w:id="74"/>
      </w:r>
      <w:r w:rsidR="0069590B">
        <w:t xml:space="preserve"> </w:t>
      </w:r>
      <w:r w:rsidR="00270F29">
        <w:t>At the same time, i</w:t>
      </w:r>
      <w:r w:rsidR="0069590B">
        <w:t>n line with Hallaq above, he argues that revealed law is a source of ‘The Limits of Power in an Islamic State’ – the title of one of his famous articles.</w:t>
      </w:r>
      <w:r w:rsidR="005C5C35">
        <w:rPr>
          <w:rStyle w:val="FootnoteReference"/>
        </w:rPr>
        <w:footnoteReference w:id="75"/>
      </w:r>
      <w:r w:rsidR="0069590B">
        <w:t xml:space="preserve"> This means that the rise </w:t>
      </w:r>
      <w:r w:rsidR="0069590B">
        <w:lastRenderedPageBreak/>
        <w:t>of Shar’i politics, says Kamali, was the source of ‘flexibility’, ‘which enables the government to take all discretionary measures which it sees to be in the interest of good government and in harmony with the general objectives of the Shari’a (</w:t>
      </w:r>
      <w:r w:rsidR="0069590B" w:rsidRPr="00C26C7E">
        <w:rPr>
          <w:i/>
          <w:iCs/>
        </w:rPr>
        <w:t>maqasid al-Sharia</w:t>
      </w:r>
      <w:r w:rsidR="0069590B">
        <w:t>)</w:t>
      </w:r>
      <w:r w:rsidR="003B0A5E">
        <w:t>’</w:t>
      </w:r>
      <w:r w:rsidR="0069590B">
        <w:t>.</w:t>
      </w:r>
      <w:r w:rsidR="00504EFF">
        <w:rPr>
          <w:rStyle w:val="FootnoteReference"/>
        </w:rPr>
        <w:footnoteReference w:id="76"/>
      </w:r>
      <w:r w:rsidR="0069590B">
        <w:t xml:space="preserve"> As such, he distinguishes the process of Sharia from what he calls </w:t>
      </w:r>
      <w:r w:rsidR="0069590B" w:rsidRPr="00917ADA">
        <w:rPr>
          <w:i/>
          <w:iCs/>
        </w:rPr>
        <w:t>usual al-qanun</w:t>
      </w:r>
      <w:r w:rsidR="0069590B">
        <w:t>, sources of secular law, either historical, such as Roman Law and British Common Law, or contemporary legal systems in any European state.</w:t>
      </w:r>
      <w:r w:rsidR="004D2880">
        <w:rPr>
          <w:rStyle w:val="FootnoteReference"/>
        </w:rPr>
        <w:footnoteReference w:id="77"/>
      </w:r>
      <w:r w:rsidR="0069590B">
        <w:t xml:space="preserve"> In other words, whilst he endeavours not to allow the historical critical approach to empty the law of its positive content, he does not allow for any accusation of the immutability of the law</w:t>
      </w:r>
      <w:r w:rsidR="00D811A1">
        <w:t xml:space="preserve"> (as an ISIS apologist might)</w:t>
      </w:r>
      <w:r w:rsidR="0069590B">
        <w:t xml:space="preserve"> as an alibi for a secular critique of Islamic law.</w:t>
      </w:r>
      <w:r w:rsidR="004D2880">
        <w:rPr>
          <w:rStyle w:val="FootnoteReference"/>
        </w:rPr>
        <w:footnoteReference w:id="78"/>
      </w:r>
      <w:r w:rsidR="0069590B">
        <w:t xml:space="preserve"> Whilst law is based on revealed sources, it acts as a unifying point precisely in and through the attention Islam was able to develop to the varieties of contingent realities throughout the countries it ruled.</w:t>
      </w:r>
      <w:r w:rsidR="005C5C35">
        <w:t xml:space="preserve"> </w:t>
      </w:r>
    </w:p>
    <w:p w14:paraId="5DAD1193" w14:textId="77777777" w:rsidR="0069590B" w:rsidRDefault="0069590B" w:rsidP="0069590B"/>
    <w:p w14:paraId="72A1C3CA" w14:textId="1900E602" w:rsidR="0069590B" w:rsidRDefault="003F7A0E" w:rsidP="00270F29">
      <w:r>
        <w:t>H</w:t>
      </w:r>
      <w:r w:rsidR="00AC13DF">
        <w:t>owever</w:t>
      </w:r>
      <w:r>
        <w:t>, as mentioned earlier, the historical application is never always innocent. I</w:t>
      </w:r>
      <w:r w:rsidR="00270F29">
        <w:t>n classical Islamic societies</w:t>
      </w:r>
      <w:r w:rsidR="00D811A1">
        <w:t xml:space="preserve">, </w:t>
      </w:r>
      <w:r w:rsidR="00124B4D">
        <w:t>this aspiration for a robust moral interpretation of Islamic texts becomes the foundation of an Islamic imperialism, which though is different from modern Western characteristics of imperialism,</w:t>
      </w:r>
      <w:r w:rsidR="00A85CE1">
        <w:rPr>
          <w:rStyle w:val="FootnoteReference"/>
        </w:rPr>
        <w:footnoteReference w:id="79"/>
      </w:r>
      <w:r w:rsidR="00124B4D">
        <w:t xml:space="preserve"> is </w:t>
      </w:r>
      <w:r w:rsidR="0075623F">
        <w:t>nonetheless,</w:t>
      </w:r>
      <w:r w:rsidR="00124B4D">
        <w:t xml:space="preserve"> an imperialis</w:t>
      </w:r>
      <w:r w:rsidR="00A85CE1">
        <w:t>t</w:t>
      </w:r>
      <w:r w:rsidR="00124B4D">
        <w:t xml:space="preserve"> project that had its problems with non-Muslim communities within the domains of Islam. </w:t>
      </w:r>
      <w:r w:rsidR="00C313DA">
        <w:t xml:space="preserve">as Tim Winter pointed out, </w:t>
      </w:r>
      <w:r w:rsidR="00D811A1">
        <w:t>whilst</w:t>
      </w:r>
      <w:r w:rsidR="0069590B">
        <w:t xml:space="preserve"> religious minorities ‘were allowed to maintain their religious observances and familial and economic lives’</w:t>
      </w:r>
      <w:r w:rsidR="007F51CC">
        <w:t xml:space="preserve">, </w:t>
      </w:r>
      <w:r w:rsidR="0069590B">
        <w:t>this was ‘in exchange for accepting Muslim over-lordship and a set of legal disadvantages’.</w:t>
      </w:r>
      <w:r w:rsidR="00AC13DF">
        <w:rPr>
          <w:rStyle w:val="FootnoteReference"/>
        </w:rPr>
        <w:footnoteReference w:id="80"/>
      </w:r>
      <w:r w:rsidR="0069590B">
        <w:t xml:space="preserve"> This state of </w:t>
      </w:r>
      <w:r w:rsidR="0069590B" w:rsidRPr="00AC13DF">
        <w:rPr>
          <w:i/>
          <w:iCs/>
        </w:rPr>
        <w:t>dhimmitude</w:t>
      </w:r>
      <w:r w:rsidR="0069590B">
        <w:t>, or political protection of non-Muslim communities</w:t>
      </w:r>
      <w:r w:rsidR="00AC13DF">
        <w:t xml:space="preserve"> under Muslim rule</w:t>
      </w:r>
      <w:r w:rsidR="0069590B">
        <w:t>, does not quite resemble the vision of a healthy state that Williams</w:t>
      </w:r>
      <w:r w:rsidR="00AC13DF">
        <w:t>, using Figgis,</w:t>
      </w:r>
      <w:r w:rsidR="0069590B">
        <w:t xml:space="preserve"> spoke about, which is </w:t>
      </w:r>
    </w:p>
    <w:p w14:paraId="42E116F7" w14:textId="77777777" w:rsidR="0069590B" w:rsidRDefault="0069590B" w:rsidP="0069590B"/>
    <w:p w14:paraId="503AE1DD" w14:textId="5312C9D8" w:rsidR="0069590B" w:rsidRDefault="0069590B" w:rsidP="0069590B">
      <w:pPr>
        <w:ind w:left="283" w:right="283"/>
      </w:pPr>
      <w:r>
        <w:t>neither an alliance of suspiciously coexisting groups, nor a neutral legal unit whose citizens all possessed abstractly equal rights, but as a space in which distinctive styles and convictions could challenge each other and affect each other, but on the basis that they first had the freedom to be themselves.</w:t>
      </w:r>
      <w:r w:rsidR="00AC13DF">
        <w:rPr>
          <w:rStyle w:val="FootnoteReference"/>
        </w:rPr>
        <w:footnoteReference w:id="81"/>
      </w:r>
    </w:p>
    <w:p w14:paraId="7A10878C" w14:textId="77777777" w:rsidR="00D90810" w:rsidRDefault="00D90810" w:rsidP="00270F29"/>
    <w:p w14:paraId="5F9B815C" w14:textId="1D8D8159" w:rsidR="00ED24C4" w:rsidRDefault="003F7A0E" w:rsidP="00270F29">
      <w:r>
        <w:t>Interestingly, Figgis also saw in Roman law an intensely centralised and impersonal tribunal, which he proposes to reconsider in the light of his version of a bottom-up pluralist theory consisting of ‘first level communities’.</w:t>
      </w:r>
      <w:r>
        <w:rPr>
          <w:rStyle w:val="FootnoteReference"/>
        </w:rPr>
        <w:footnoteReference w:id="82"/>
      </w:r>
      <w:r>
        <w:t xml:space="preserve"> But, i</w:t>
      </w:r>
      <w:r w:rsidR="0069590B">
        <w:t xml:space="preserve">f one follows </w:t>
      </w:r>
      <w:r w:rsidR="00DC57B2">
        <w:t>Figgis’ vision of pluralism</w:t>
      </w:r>
      <w:r w:rsidR="0069590B">
        <w:t xml:space="preserve">, then the classical rules about </w:t>
      </w:r>
      <w:r w:rsidR="0069590B" w:rsidRPr="00E944B3">
        <w:rPr>
          <w:i/>
          <w:iCs/>
        </w:rPr>
        <w:t>dhimmitude</w:t>
      </w:r>
      <w:r w:rsidR="0069590B">
        <w:t xml:space="preserve"> for non-Muslim communities will have to be scrapped</w:t>
      </w:r>
      <w:r w:rsidR="00191A4F">
        <w:t xml:space="preserve"> and communities should have the mechanism to live </w:t>
      </w:r>
      <w:r w:rsidR="00E944B3">
        <w:t>with</w:t>
      </w:r>
      <w:r w:rsidR="00191A4F">
        <w:t xml:space="preserve"> an argumentative </w:t>
      </w:r>
      <w:r w:rsidR="00E944B3">
        <w:t>and constructive debate</w:t>
      </w:r>
      <w:r w:rsidR="00191A4F">
        <w:t xml:space="preserve"> about what makes for a healthy society</w:t>
      </w:r>
      <w:r w:rsidR="0069590B">
        <w:t xml:space="preserve">. </w:t>
      </w:r>
    </w:p>
    <w:p w14:paraId="08B84015" w14:textId="77777777" w:rsidR="00ED24C4" w:rsidRDefault="00ED24C4" w:rsidP="00270F29"/>
    <w:p w14:paraId="6F76A443" w14:textId="2C5E6665" w:rsidR="00270F29" w:rsidRDefault="007B1695" w:rsidP="00270F29">
      <w:r>
        <w:t>As</w:t>
      </w:r>
      <w:r w:rsidR="003F7A0E">
        <w:t xml:space="preserve"> such a vision is born, as Hallaq noted, out of a historical experience</w:t>
      </w:r>
      <w:r w:rsidR="00A85CE1">
        <w:t>,</w:t>
      </w:r>
      <w:r w:rsidR="00270F29">
        <w:t xml:space="preserve"> Rowan Williams</w:t>
      </w:r>
      <w:r w:rsidR="003F7A0E">
        <w:t xml:space="preserve"> notes that</w:t>
      </w:r>
      <w:r w:rsidR="00270F29">
        <w:t xml:space="preserve"> what he calls ‘interactive pluralism’ </w:t>
      </w:r>
      <w:r w:rsidR="00A928B5">
        <w:t xml:space="preserve">will survive best if they are seen as </w:t>
      </w:r>
    </w:p>
    <w:p w14:paraId="3588927B" w14:textId="77777777" w:rsidR="00270F29" w:rsidRDefault="00270F29" w:rsidP="00270F29"/>
    <w:p w14:paraId="53684123" w14:textId="20B61E90" w:rsidR="00270F29" w:rsidRDefault="00270F29" w:rsidP="00270F29">
      <w:pPr>
        <w:ind w:left="283" w:right="283"/>
      </w:pPr>
      <w:r>
        <w:lastRenderedPageBreak/>
        <w:t>the outgrowth of the historic European tensions about sovereignty, absolutism, and the integrity of local communities that were focused sharply by the Christian Church and its theology – a theology that encourages scepticism about any final political settlement within history.</w:t>
      </w:r>
      <w:r w:rsidR="00A928B5">
        <w:rPr>
          <w:rStyle w:val="FootnoteReference"/>
        </w:rPr>
        <w:footnoteReference w:id="83"/>
      </w:r>
    </w:p>
    <w:p w14:paraId="6197CE5A" w14:textId="77777777" w:rsidR="00270F29" w:rsidRDefault="00270F29" w:rsidP="00270F29"/>
    <w:p w14:paraId="41D9EDC7" w14:textId="72EB7BD8" w:rsidR="0075623F" w:rsidRDefault="007F10F7" w:rsidP="00D90810">
      <w:r>
        <w:t xml:space="preserve">We begin to see therefore that, </w:t>
      </w:r>
      <w:r w:rsidRPr="00DC57B2">
        <w:rPr>
          <w:i/>
          <w:iCs/>
        </w:rPr>
        <w:t>pace</w:t>
      </w:r>
      <w:r>
        <w:t xml:space="preserve"> the late Bosnian President, historical and theological differences are still important to consider here. </w:t>
      </w:r>
      <w:r w:rsidR="003F7A0E">
        <w:t xml:space="preserve">Having a distinctive body called ‘the Church’ as </w:t>
      </w:r>
      <w:r w:rsidR="00DC57B2">
        <w:t>a different ‘political’ society within the broader body politic,</w:t>
      </w:r>
      <w:r w:rsidR="003F7A0E">
        <w:t xml:space="preserve"> helped shape th</w:t>
      </w:r>
      <w:r w:rsidR="00DC57B2">
        <w:t>e vision for this</w:t>
      </w:r>
      <w:r w:rsidR="003F7A0E">
        <w:t xml:space="preserve"> type of pluralism. For, p</w:t>
      </w:r>
      <w:r w:rsidR="00270F29">
        <w:t xml:space="preserve">olitical pluralism is inevitable when the state has no sacred character and cannot be the sole source of legitimate common life. </w:t>
      </w:r>
      <w:r w:rsidR="003F7A0E">
        <w:t>Thus, a</w:t>
      </w:r>
      <w:r w:rsidR="00D90810">
        <w:t xml:space="preserve">fter all, the polarity between Christianity and the Enlightenment is misleading. </w:t>
      </w:r>
      <w:r w:rsidR="00BA5508">
        <w:t>Despite the</w:t>
      </w:r>
      <w:r w:rsidR="00ED24C4">
        <w:t xml:space="preserve"> resona</w:t>
      </w:r>
      <w:r w:rsidR="00BA5508">
        <w:t>nces</w:t>
      </w:r>
      <w:r w:rsidR="00ED24C4">
        <w:t xml:space="preserve"> with the Ottoman balance of power mentioned earlier as a source of authority, it would seem that ultimately the question remains about the extent to which a religious claim to truth may be associated with political power and the possibility of a civil legal system of arbitration that </w:t>
      </w:r>
      <w:r w:rsidR="007C5D4F">
        <w:t>does not veer in support of one religious community over others</w:t>
      </w:r>
      <w:r w:rsidR="00ED24C4">
        <w:t>.</w:t>
      </w:r>
      <w:r w:rsidR="00014AFB">
        <w:t xml:space="preserve"> </w:t>
      </w:r>
    </w:p>
    <w:p w14:paraId="39F4FD9C" w14:textId="77777777" w:rsidR="0075623F" w:rsidRDefault="0075623F" w:rsidP="00D90810"/>
    <w:p w14:paraId="1E275037" w14:textId="2D2E33E5" w:rsidR="008428D3" w:rsidRDefault="004D5821" w:rsidP="0035195B">
      <w:r>
        <w:t>T</w:t>
      </w:r>
      <w:r w:rsidR="00014AFB">
        <w:t>he foundation of th</w:t>
      </w:r>
      <w:r w:rsidR="008428D3">
        <w:t>is</w:t>
      </w:r>
      <w:r w:rsidR="00014AFB">
        <w:t xml:space="preserve"> historic Christian reservation about the possibility of any temporal political authority to achieve the Kingdom of God here on earth</w:t>
      </w:r>
      <w:r>
        <w:t xml:space="preserve"> is ultimately based on the story of Jesus’ life death and Resurrection</w:t>
      </w:r>
      <w:r w:rsidR="006821DD">
        <w:t xml:space="preserve">: ‘The event of Jesus’ life, death and resurrection is not (not only) an external model to be imitated. </w:t>
      </w:r>
      <w:r w:rsidR="007837BF">
        <w:t>The important thing about it is that it has created a different human community’.</w:t>
      </w:r>
      <w:r w:rsidR="007837BF">
        <w:rPr>
          <w:rStyle w:val="FootnoteReference"/>
        </w:rPr>
        <w:footnoteReference w:id="84"/>
      </w:r>
      <w:r w:rsidR="007837BF">
        <w:t xml:space="preserve"> </w:t>
      </w:r>
      <w:r w:rsidR="00014AFB">
        <w:t xml:space="preserve">Jesus, </w:t>
      </w:r>
      <w:r>
        <w:t>being</w:t>
      </w:r>
      <w:r w:rsidR="00014AFB">
        <w:t xml:space="preserve"> the victim of politics and ‘religion’ become</w:t>
      </w:r>
      <w:r>
        <w:t>s</w:t>
      </w:r>
      <w:r w:rsidR="00014AFB">
        <w:t xml:space="preserve"> the sign of how human beings are easily tempted at scapegoating the ‘truth’ when it comes among them. </w:t>
      </w:r>
      <w:r w:rsidR="007C5D4F">
        <w:t xml:space="preserve">The dictum, ‘he died because of our sin’ is put in perspective here. </w:t>
      </w:r>
      <w:r w:rsidR="00D26BE7">
        <w:t>As Rowan Williams put it: ‘The history of Jesus enacts a judgment on tribalized and self-protecting religion, on the confusion between faith and ideology’.</w:t>
      </w:r>
      <w:r w:rsidR="00D26BE7">
        <w:rPr>
          <w:rStyle w:val="FootnoteReference"/>
        </w:rPr>
        <w:footnoteReference w:id="85"/>
      </w:r>
      <w:r w:rsidR="00D26BE7">
        <w:t xml:space="preserve"> </w:t>
      </w:r>
    </w:p>
    <w:p w14:paraId="6FF21CBC" w14:textId="77777777" w:rsidR="008428D3" w:rsidRDefault="008428D3" w:rsidP="0035195B"/>
    <w:p w14:paraId="667550DB" w14:textId="513E8E04" w:rsidR="0035195B" w:rsidRDefault="0035195B" w:rsidP="0035195B">
      <w:r>
        <w:t xml:space="preserve">One does not need to labour the point that spending half an hour listening to the news, whether from the </w:t>
      </w:r>
      <w:r w:rsidR="00014AFB">
        <w:t xml:space="preserve">Middle East </w:t>
      </w:r>
      <w:r>
        <w:t>or</w:t>
      </w:r>
      <w:r w:rsidR="00014AFB">
        <w:t xml:space="preserve"> the contemporary West</w:t>
      </w:r>
      <w:r>
        <w:t>, will easily show us ample cases</w:t>
      </w:r>
      <w:r w:rsidR="00014AFB">
        <w:t xml:space="preserve"> of this kind of scapegoating</w:t>
      </w:r>
      <w:r w:rsidR="00CD290A">
        <w:t>.</w:t>
      </w:r>
      <w:r w:rsidR="00CD290A" w:rsidRPr="00CD290A">
        <w:t xml:space="preserve"> </w:t>
      </w:r>
      <w:r w:rsidR="00CD290A">
        <w:t>Hallaq’s reading of the Fall in Christianity does not connect well with Christian thought and tradition.</w:t>
      </w:r>
      <w:r w:rsidR="00CD290A">
        <w:rPr>
          <w:rStyle w:val="FootnoteReference"/>
        </w:rPr>
        <w:footnoteReference w:id="86"/>
      </w:r>
      <w:r w:rsidR="004D5821">
        <w:t xml:space="preserve"> </w:t>
      </w:r>
      <w:r w:rsidR="00B810CC">
        <w:t>D</w:t>
      </w:r>
      <w:r w:rsidR="004D5821">
        <w:t>ecisions made in the public square will always involve compromise, regardless of whether you have access to religious texts or not as a foundation for legal</w:t>
      </w:r>
      <w:r>
        <w:t>, ethical</w:t>
      </w:r>
      <w:r w:rsidR="004D5821">
        <w:t xml:space="preserve"> and political discernment.</w:t>
      </w:r>
      <w:r w:rsidR="00B810CC">
        <w:t xml:space="preserve"> Indeed</w:t>
      </w:r>
      <w:r w:rsidR="004D5821">
        <w:t xml:space="preserve">, Isaiah Berlin </w:t>
      </w:r>
      <w:r>
        <w:t>provides</w:t>
      </w:r>
      <w:r w:rsidR="00D26BE7">
        <w:t xml:space="preserve"> </w:t>
      </w:r>
      <w:r w:rsidR="00B810CC">
        <w:t xml:space="preserve">a sort of Christian theological response to Hallaq </w:t>
      </w:r>
      <w:r w:rsidR="004D5821">
        <w:t>when he says</w:t>
      </w:r>
      <w:r w:rsidR="00B810CC">
        <w:t xml:space="preserve"> that</w:t>
      </w:r>
      <w:r w:rsidR="004D5821">
        <w:t xml:space="preserve"> ‘if what the entire Enlightenment has in common is denial of the central Christian doctrine of ‘original sin’, counter Enlightenment pluralism brings back a sober recognition of the limits of human aspiration’.</w:t>
      </w:r>
      <w:r w:rsidR="004D5821">
        <w:rPr>
          <w:rStyle w:val="FootnoteReference"/>
        </w:rPr>
        <w:footnoteReference w:id="87"/>
      </w:r>
      <w:r w:rsidR="004D5821">
        <w:t xml:space="preserve"> </w:t>
      </w:r>
    </w:p>
    <w:p w14:paraId="0BF0E25C" w14:textId="243F2F9F" w:rsidR="00D637C7" w:rsidRDefault="008428D3" w:rsidP="0035195B">
      <w:r>
        <w:lastRenderedPageBreak/>
        <w:t xml:space="preserve">Interestingly, </w:t>
      </w:r>
      <w:r w:rsidR="004D5821">
        <w:t xml:space="preserve">Islam (like those of the first generation of Enlightenment thinkers) </w:t>
      </w:r>
      <w:r>
        <w:t>denies</w:t>
      </w:r>
      <w:r w:rsidR="004D5821">
        <w:t xml:space="preserve"> the Christian doctrine of original sin</w:t>
      </w:r>
      <w:r w:rsidR="00D637C7">
        <w:t>.</w:t>
      </w:r>
      <w:r w:rsidR="004D5821">
        <w:t xml:space="preserve"> </w:t>
      </w:r>
      <w:r w:rsidR="00B810CC">
        <w:t>For this reason, and in contrast to the classical Islamic vision of society, Hallaq rightly notes that the modern nation state is without a goal, or a specific good.</w:t>
      </w:r>
      <w:r w:rsidR="00B810CC">
        <w:rPr>
          <w:rStyle w:val="FootnoteReference"/>
        </w:rPr>
        <w:footnoteReference w:id="88"/>
      </w:r>
      <w:r w:rsidR="00B810CC">
        <w:t xml:space="preserve"> </w:t>
      </w:r>
      <w:r w:rsidR="00D637C7">
        <w:t>As such, the question remains to what extent it can appropriate or engage with this kind of interactive and argumentative pluralism</w:t>
      </w:r>
      <w:r w:rsidR="00CD290A">
        <w:t>.</w:t>
      </w:r>
      <w:r w:rsidR="004D5821">
        <w:t xml:space="preserve"> </w:t>
      </w:r>
      <w:r w:rsidR="00083910">
        <w:t>This is</w:t>
      </w:r>
      <w:r w:rsidR="00D637C7">
        <w:t xml:space="preserve"> a question that </w:t>
      </w:r>
      <w:r w:rsidR="00426D00">
        <w:t>will require a Muslim answer</w:t>
      </w:r>
      <w:r w:rsidR="00D637C7">
        <w:t xml:space="preserve">. </w:t>
      </w:r>
    </w:p>
    <w:p w14:paraId="376B44A4" w14:textId="77777777" w:rsidR="00D637C7" w:rsidRDefault="00D637C7" w:rsidP="0035195B"/>
    <w:p w14:paraId="5528BBDC" w14:textId="10C2EA36" w:rsidR="00426D00" w:rsidRDefault="00F21D94" w:rsidP="0035195B">
      <w:r>
        <w:t>Nonetheless,</w:t>
      </w:r>
      <w:r w:rsidR="00D951F0">
        <w:t xml:space="preserve"> the pluralism that Rowan Williams is proposing </w:t>
      </w:r>
      <w:r>
        <w:t>does not need to</w:t>
      </w:r>
      <w:r w:rsidR="00D951F0">
        <w:t xml:space="preserve"> look less attractive</w:t>
      </w:r>
      <w:r w:rsidR="00D90810">
        <w:t xml:space="preserve"> for Hallaq</w:t>
      </w:r>
      <w:r w:rsidR="00D951F0">
        <w:t xml:space="preserve"> for lacking a more robust affirmation of the goods that Islamic law and ethics might uphold. It is true that the pluralist </w:t>
      </w:r>
      <w:r w:rsidR="00344CB6">
        <w:t>vision as provide</w:t>
      </w:r>
      <w:r w:rsidR="00D637C7">
        <w:t>d here</w:t>
      </w:r>
      <w:r w:rsidR="00344CB6">
        <w:t xml:space="preserve"> assumes that the state is not an interested party,</w:t>
      </w:r>
      <w:r>
        <w:rPr>
          <w:rStyle w:val="FootnoteReference"/>
        </w:rPr>
        <w:footnoteReference w:id="89"/>
      </w:r>
      <w:r w:rsidR="00344CB6">
        <w:t xml:space="preserve"> and as such it cannot have goals. However, </w:t>
      </w:r>
      <w:r>
        <w:t>if</w:t>
      </w:r>
      <w:r w:rsidR="00344CB6">
        <w:t xml:space="preserve"> Hallaq’s claim </w:t>
      </w:r>
      <w:r w:rsidR="00653AF5">
        <w:t xml:space="preserve">is true </w:t>
      </w:r>
      <w:r w:rsidR="00344CB6">
        <w:t>that the universal claims of Shariah cannot function in a centralised state, potentially in competition with other communities of the state</w:t>
      </w:r>
      <w:r>
        <w:t>, then this vision should not necessarily contradict Hallaq.</w:t>
      </w:r>
      <w:r w:rsidR="00344CB6">
        <w:t xml:space="preserve"> </w:t>
      </w:r>
      <w:r>
        <w:t>Rather</w:t>
      </w:r>
      <w:r w:rsidR="00344CB6">
        <w:t xml:space="preserve">, the presence of various moral communities in a complex political system can be seen as </w:t>
      </w:r>
      <w:r w:rsidR="0035195B">
        <w:t>the</w:t>
      </w:r>
      <w:r w:rsidR="00344CB6">
        <w:t xml:space="preserve"> achieved </w:t>
      </w:r>
      <w:r w:rsidR="0035195B">
        <w:t>moral answer to the contemporary realities</w:t>
      </w:r>
      <w:r w:rsidR="00344CB6">
        <w:t xml:space="preserve">, albeit not with a traditional understanding of an Islamic overlordship. </w:t>
      </w:r>
    </w:p>
    <w:p w14:paraId="0A806491" w14:textId="77777777" w:rsidR="00ED24C4" w:rsidRDefault="00ED24C4" w:rsidP="001F54F9"/>
    <w:p w14:paraId="35D190F6" w14:textId="75B5C390" w:rsidR="00270F29" w:rsidRPr="00270F29" w:rsidRDefault="00270F29" w:rsidP="001F54F9">
      <w:pPr>
        <w:rPr>
          <w:b/>
          <w:bCs/>
        </w:rPr>
      </w:pPr>
      <w:r w:rsidRPr="00270F29">
        <w:rPr>
          <w:b/>
          <w:bCs/>
        </w:rPr>
        <w:t>Anglican and Islamic political thought</w:t>
      </w:r>
      <w:r w:rsidR="00305B07">
        <w:rPr>
          <w:b/>
          <w:bCs/>
        </w:rPr>
        <w:t>: Ghazali vs. Hooker</w:t>
      </w:r>
    </w:p>
    <w:p w14:paraId="5386335B" w14:textId="77777777" w:rsidR="00270F29" w:rsidRDefault="00270F29" w:rsidP="001F54F9"/>
    <w:p w14:paraId="68E1206F" w14:textId="7E81D1D6" w:rsidR="00EC7F42" w:rsidRDefault="007837BF" w:rsidP="00EC7F42">
      <w:r>
        <w:t xml:space="preserve">The implication of the above </w:t>
      </w:r>
      <w:r w:rsidR="00EC7F42">
        <w:t>argument</w:t>
      </w:r>
      <w:r>
        <w:t xml:space="preserve"> is that the </w:t>
      </w:r>
      <w:r w:rsidR="00EC7F42">
        <w:t xml:space="preserve">test for a </w:t>
      </w:r>
      <w:r w:rsidR="00B810CC">
        <w:t xml:space="preserve">pluralist vision </w:t>
      </w:r>
      <w:r w:rsidR="00EC7F42">
        <w:t>of</w:t>
      </w:r>
      <w:r>
        <w:t xml:space="preserve"> societ</w:t>
      </w:r>
      <w:r w:rsidR="00EC7F42">
        <w:t>y</w:t>
      </w:r>
      <w:r>
        <w:t xml:space="preserve"> is </w:t>
      </w:r>
      <w:r w:rsidR="00EC7F42">
        <w:t xml:space="preserve">the ability </w:t>
      </w:r>
      <w:r>
        <w:t xml:space="preserve">to show a kind of confidence in allowing the various religious communities to argue their case and expose themselves to public conversational challenge. </w:t>
      </w:r>
      <w:r w:rsidR="00EC7F42">
        <w:t>I</w:t>
      </w:r>
      <w:r w:rsidR="006821DD">
        <w:t xml:space="preserve">f there is a common feature between the </w:t>
      </w:r>
      <w:r w:rsidR="00EC7F42">
        <w:t>English</w:t>
      </w:r>
      <w:r w:rsidR="006821DD">
        <w:t xml:space="preserve"> or the Islamic context</w:t>
      </w:r>
      <w:r w:rsidR="00EC7F42">
        <w:t>, as the former Bosnian President implied at the start,</w:t>
      </w:r>
      <w:r w:rsidR="006821DD">
        <w:t xml:space="preserve"> it would be </w:t>
      </w:r>
      <w:r w:rsidR="00B810CC">
        <w:t>with</w:t>
      </w:r>
      <w:r w:rsidR="00EC7F42">
        <w:t xml:space="preserve"> the</w:t>
      </w:r>
      <w:r w:rsidR="006821DD">
        <w:t xml:space="preserve"> various struggles about ultimate legitimacy</w:t>
      </w:r>
      <w:r w:rsidR="00EC7F42" w:rsidRPr="00EC7F42">
        <w:t xml:space="preserve"> </w:t>
      </w:r>
      <w:r w:rsidR="00EC7F42">
        <w:t>as a template for political coherence</w:t>
      </w:r>
      <w:r w:rsidR="006821DD">
        <w:t xml:space="preserve">. </w:t>
      </w:r>
      <w:r>
        <w:t>Izetbegovic’s argument</w:t>
      </w:r>
      <w:r w:rsidR="00EC7F42">
        <w:t>, however,</w:t>
      </w:r>
      <w:r>
        <w:t xml:space="preserve"> d</w:t>
      </w:r>
      <w:r w:rsidR="00EC7F42">
        <w:t>id</w:t>
      </w:r>
      <w:r>
        <w:t xml:space="preserve"> not quiet satisfy the </w:t>
      </w:r>
      <w:r w:rsidR="00EC7F42">
        <w:t>historical and doctrinal perspectives for</w:t>
      </w:r>
      <w:r>
        <w:t xml:space="preserve"> this comparison. </w:t>
      </w:r>
    </w:p>
    <w:p w14:paraId="4789CFC4" w14:textId="77777777" w:rsidR="00EC7F42" w:rsidRDefault="00EC7F42" w:rsidP="00EC7F42"/>
    <w:p w14:paraId="60597006" w14:textId="3D5D037F" w:rsidR="00702AA2" w:rsidRDefault="00F33FCE" w:rsidP="00702AA2">
      <w:r>
        <w:t xml:space="preserve">The most notable apologist for Islam in Britain today, Tim Winter, Sheikh Abdal Hakim Murad, situates Izetbegovic’s argument </w:t>
      </w:r>
      <w:r w:rsidR="00426D00">
        <w:t xml:space="preserve">about Anglicanism </w:t>
      </w:r>
      <w:r>
        <w:t xml:space="preserve">in a different, but interesting historical context. </w:t>
      </w:r>
      <w:r w:rsidR="00702AA2">
        <w:t xml:space="preserve">Instead of just suggesting abstract equation, he wishes to remind the readers of the presence of Unitarian movements in Britain and suggests possible overlaps and continuities between Islam and certain forms of English Reformation Christianity. </w:t>
      </w:r>
    </w:p>
    <w:p w14:paraId="47A2F6C9" w14:textId="45D612BA" w:rsidR="00F33FCE" w:rsidRDefault="00F33FCE" w:rsidP="00702AA2">
      <w:r>
        <w:t>Referring to Sarah Mortimer</w:t>
      </w:r>
      <w:r>
        <w:rPr>
          <w:rtl/>
        </w:rPr>
        <w:t>’</w:t>
      </w:r>
      <w:r>
        <w:t xml:space="preserve">s book </w:t>
      </w:r>
      <w:r>
        <w:rPr>
          <w:i/>
          <w:iCs/>
        </w:rPr>
        <w:t>Reason and Religion in the English Revolution</w:t>
      </w:r>
      <w:r>
        <w:t xml:space="preserve">, he suggests that </w:t>
      </w:r>
      <w:r>
        <w:rPr>
          <w:rtl/>
        </w:rPr>
        <w:t>‘</w:t>
      </w:r>
      <w:r>
        <w:t>the role of Socinianism, associated polemically with Islam, was the trigger for an Arminian reaction which led ultimately to the settlement of the 1650s, which to this day defines the relations between church and state in the UK</w:t>
      </w:r>
      <w:r>
        <w:rPr>
          <w:rtl/>
        </w:rPr>
        <w:t>’</w:t>
      </w:r>
      <w:r>
        <w:t>.</w:t>
      </w:r>
      <w:r>
        <w:rPr>
          <w:rStyle w:val="FootnoteReference"/>
        </w:rPr>
        <w:footnoteReference w:id="90"/>
      </w:r>
      <w:r>
        <w:t xml:space="preserve"> </w:t>
      </w:r>
    </w:p>
    <w:p w14:paraId="51E24AB8" w14:textId="77777777" w:rsidR="00F33FCE" w:rsidRDefault="00F33FCE" w:rsidP="00F33FCE">
      <w:pPr>
        <w:pStyle w:val="Body"/>
      </w:pPr>
    </w:p>
    <w:p w14:paraId="715E2292" w14:textId="3DD43008" w:rsidR="00442643" w:rsidRDefault="00F33FCE" w:rsidP="006821DD">
      <w:pPr>
        <w:pStyle w:val="Body"/>
      </w:pPr>
      <w:r>
        <w:t xml:space="preserve">Unlike Izetbegovic’s </w:t>
      </w:r>
      <w:r w:rsidR="00426D00">
        <w:t>comparison</w:t>
      </w:r>
      <w:r>
        <w:t>, Abdal Hakim Murad</w:t>
      </w:r>
      <w:r w:rsidR="00702AA2">
        <w:t>’s</w:t>
      </w:r>
      <w:r>
        <w:t xml:space="preserve"> </w:t>
      </w:r>
      <w:r w:rsidR="00702AA2">
        <w:t xml:space="preserve">has a </w:t>
      </w:r>
      <w:r>
        <w:t>focus</w:t>
      </w:r>
      <w:r w:rsidR="00702AA2">
        <w:t>, namely</w:t>
      </w:r>
      <w:r>
        <w:t xml:space="preserve"> the question of </w:t>
      </w:r>
      <w:r w:rsidR="00702AA2">
        <w:t xml:space="preserve">social and political </w:t>
      </w:r>
      <w:r>
        <w:t>tolerance</w:t>
      </w:r>
      <w:r w:rsidR="00426D00">
        <w:t xml:space="preserve"> in the English context</w:t>
      </w:r>
      <w:r>
        <w:t xml:space="preserve">; as such, he is arguing that doctrinal dissent (in its various forms) had a direct interest in promoting greater tolerance in England. </w:t>
      </w:r>
      <w:r w:rsidR="00442643">
        <w:t xml:space="preserve">The historical </w:t>
      </w:r>
      <w:r w:rsidR="00702AA2">
        <w:t>context</w:t>
      </w:r>
      <w:r w:rsidR="00442643">
        <w:t xml:space="preserve"> raise</w:t>
      </w:r>
      <w:r w:rsidR="006821DD">
        <w:t>d</w:t>
      </w:r>
      <w:r w:rsidR="00442643">
        <w:t xml:space="preserve"> here is </w:t>
      </w:r>
      <w:r w:rsidR="00702AA2">
        <w:t xml:space="preserve">of course </w:t>
      </w:r>
      <w:r w:rsidR="00442643">
        <w:t xml:space="preserve">relevant in as much as ‘understanding any religious system ought to entail understanding </w:t>
      </w:r>
      <w:r w:rsidR="00442643" w:rsidRPr="00442643">
        <w:rPr>
          <w:i/>
          <w:iCs/>
        </w:rPr>
        <w:t>how it came to be</w:t>
      </w:r>
      <w:r w:rsidR="00442643">
        <w:t>, the process of its ‘production’.</w:t>
      </w:r>
      <w:r w:rsidR="00442643">
        <w:rPr>
          <w:rStyle w:val="FootnoteReference"/>
        </w:rPr>
        <w:footnoteReference w:id="91"/>
      </w:r>
      <w:r w:rsidR="00442643">
        <w:t xml:space="preserve"> </w:t>
      </w:r>
      <w:r w:rsidR="000608BB">
        <w:t xml:space="preserve">However, this should not give a complete or reductive explanation of how </w:t>
      </w:r>
      <w:r w:rsidR="000608BB">
        <w:lastRenderedPageBreak/>
        <w:t>Anglicanism work</w:t>
      </w:r>
      <w:r w:rsidR="004162AD">
        <w:t>ed</w:t>
      </w:r>
      <w:r w:rsidR="000608BB">
        <w:t xml:space="preserve">. </w:t>
      </w:r>
      <w:r w:rsidR="004162AD">
        <w:t>First,</w:t>
      </w:r>
      <w:r w:rsidR="000608BB">
        <w:t xml:space="preserve"> Abdal Hakim Murad adds that, on Mortimer</w:t>
      </w:r>
      <w:r w:rsidR="000608BB">
        <w:rPr>
          <w:rtl/>
        </w:rPr>
        <w:t>’</w:t>
      </w:r>
      <w:r w:rsidR="000608BB">
        <w:t xml:space="preserve">s view, </w:t>
      </w:r>
      <w:r w:rsidR="000608BB">
        <w:rPr>
          <w:rtl/>
        </w:rPr>
        <w:t>‘</w:t>
      </w:r>
      <w:r w:rsidR="000608BB">
        <w:t xml:space="preserve">the Socinian and by implication the so-called </w:t>
      </w:r>
      <w:r w:rsidR="000608BB">
        <w:rPr>
          <w:rtl/>
        </w:rPr>
        <w:t>‘</w:t>
      </w:r>
      <w:r w:rsidR="000608BB">
        <w:rPr>
          <w:lang w:val="es-ES_tradnl"/>
        </w:rPr>
        <w:t>Mahometan-controversies</w:t>
      </w:r>
      <w:r w:rsidR="000608BB">
        <w:rPr>
          <w:rtl/>
        </w:rPr>
        <w:t>’</w:t>
      </w:r>
      <w:r w:rsidR="000608BB">
        <w:t xml:space="preserve"> in England were an antithesis that fed only weakly into the final Anglican synthesis</w:t>
      </w:r>
      <w:r w:rsidR="000608BB">
        <w:rPr>
          <w:rtl/>
        </w:rPr>
        <w:t>’</w:t>
      </w:r>
      <w:r w:rsidR="000608BB">
        <w:t>.</w:t>
      </w:r>
      <w:r w:rsidR="000608BB">
        <w:rPr>
          <w:rStyle w:val="FootnoteReference"/>
        </w:rPr>
        <w:footnoteReference w:id="92"/>
      </w:r>
      <w:r w:rsidR="000608BB">
        <w:t xml:space="preserve"> On the other hand, Richard Hooker (d. 1600), the great sixteenth century Anglican divine, would not only confirm that the Anglican settlement remained firmly Trinitarian, but, that this remained the basis for his toleration of non-Anglicans.</w:t>
      </w:r>
      <w:r w:rsidR="000608BB">
        <w:rPr>
          <w:rStyle w:val="FootnoteReference"/>
        </w:rPr>
        <w:footnoteReference w:id="93"/>
      </w:r>
      <w:r w:rsidR="000608BB">
        <w:t xml:space="preserve"> </w:t>
      </w:r>
    </w:p>
    <w:p w14:paraId="4C41D1C3" w14:textId="77777777" w:rsidR="006821DD" w:rsidRDefault="006821DD" w:rsidP="00624388"/>
    <w:p w14:paraId="6E88FD7E" w14:textId="77777777" w:rsidR="007D241D" w:rsidRDefault="00014BF5" w:rsidP="00DB59C0">
      <w:r>
        <w:t xml:space="preserve">Richard Hooker is an interesting figure to bring to the discussion here </w:t>
      </w:r>
      <w:r w:rsidR="000070CD">
        <w:t>as he represent</w:t>
      </w:r>
      <w:r w:rsidR="00CD7FBD">
        <w:t>s</w:t>
      </w:r>
      <w:r w:rsidR="000070CD">
        <w:t xml:space="preserve"> a line of argument that </w:t>
      </w:r>
      <w:r w:rsidR="00CD7FBD">
        <w:t>may be seen closer to</w:t>
      </w:r>
      <w:r w:rsidR="000070CD">
        <w:t xml:space="preserve"> the Islamic confidence </w:t>
      </w:r>
      <w:r w:rsidR="00CD7FBD">
        <w:t>in the whole society as a moral community.</w:t>
      </w:r>
      <w:r w:rsidR="00CD7FBD">
        <w:rPr>
          <w:rStyle w:val="FootnoteReference"/>
        </w:rPr>
        <w:footnoteReference w:id="94"/>
      </w:r>
      <w:r w:rsidR="00CD7FBD">
        <w:t xml:space="preserve"> </w:t>
      </w:r>
      <w:r w:rsidR="00DB59C0">
        <w:t xml:space="preserve">A brief concluding comparison with the medieval Muslim luminary Abu Hamid al-Ghazali (d. 1111) still shows important nuances on both sides that prevents us from suggesting a complete overlap of ideas. </w:t>
      </w:r>
    </w:p>
    <w:p w14:paraId="6125A353" w14:textId="77777777" w:rsidR="007D241D" w:rsidRDefault="007D241D" w:rsidP="00DB59C0"/>
    <w:p w14:paraId="02D6755E" w14:textId="5F32FC30" w:rsidR="00C313DA" w:rsidRDefault="007D241D" w:rsidP="00BB3E77">
      <w:r>
        <w:t>To begin with, as I argued elsewhere, we find in</w:t>
      </w:r>
      <w:r w:rsidR="00DB59C0">
        <w:t xml:space="preserve"> Ghazali’s writings </w:t>
      </w:r>
      <w:r w:rsidR="00C313DA">
        <w:t>an oblique discovery of various types of law that recall some of the disputes central to the writings of Richard Hooker</w:t>
      </w:r>
      <w:r w:rsidR="00DB59C0">
        <w:t>.</w:t>
      </w:r>
      <w:r>
        <w:rPr>
          <w:rStyle w:val="FootnoteReference"/>
        </w:rPr>
        <w:footnoteReference w:id="95"/>
      </w:r>
      <w:r w:rsidR="00DB59C0">
        <w:t xml:space="preserve"> </w:t>
      </w:r>
      <w:r>
        <w:t xml:space="preserve">In other words, law </w:t>
      </w:r>
      <w:r w:rsidR="00BB3E77">
        <w:t xml:space="preserve">seems to be discerned through other means apart from the expected sources of revelation. </w:t>
      </w:r>
      <w:r w:rsidR="00C313DA">
        <w:t xml:space="preserve">Ghazali, like Hooker, seems to understand that </w:t>
      </w:r>
      <w:r w:rsidR="00C313DA">
        <w:rPr>
          <w:rFonts w:ascii="Koufra" w:hAnsi="Koufra"/>
        </w:rPr>
        <w:t>t</w:t>
      </w:r>
      <w:r w:rsidR="00C313DA" w:rsidRPr="00952476">
        <w:rPr>
          <w:rFonts w:ascii="Koufra" w:hAnsi="Koufra"/>
        </w:rPr>
        <w:t>here is a correlation between understanding creation and the cosmic order on the one hand and human nature on the other, which affect</w:t>
      </w:r>
      <w:r w:rsidR="00C313DA">
        <w:rPr>
          <w:rFonts w:ascii="Koufra" w:hAnsi="Koufra"/>
        </w:rPr>
        <w:t>s</w:t>
      </w:r>
      <w:r w:rsidR="00C313DA" w:rsidRPr="00952476">
        <w:rPr>
          <w:rFonts w:ascii="Koufra" w:hAnsi="Koufra"/>
        </w:rPr>
        <w:t xml:space="preserve"> the understanding of </w:t>
      </w:r>
      <w:r w:rsidR="00C313DA">
        <w:rPr>
          <w:rFonts w:ascii="Koufra" w:hAnsi="Koufra"/>
        </w:rPr>
        <w:t>law.</w:t>
      </w:r>
      <w:r w:rsidR="00BB3E77">
        <w:rPr>
          <w:rStyle w:val="FootnoteReference"/>
          <w:rFonts w:ascii="Koufra" w:hAnsi="Koufra"/>
        </w:rPr>
        <w:footnoteReference w:id="96"/>
      </w:r>
      <w:r w:rsidR="00C313DA">
        <w:rPr>
          <w:rFonts w:ascii="Koufra" w:hAnsi="Koufra"/>
        </w:rPr>
        <w:t xml:space="preserve"> Like Ghazali, </w:t>
      </w:r>
      <w:r w:rsidR="00C313DA">
        <w:t xml:space="preserve">Hooker explained that law was an expression of the limitedness of our creaturely existence as opposed to God’s.  Conversely, </w:t>
      </w:r>
      <w:r w:rsidR="00C313DA">
        <w:rPr>
          <w:rFonts w:ascii="Koufra" w:hAnsi="Koufra"/>
        </w:rPr>
        <w:t xml:space="preserve">like Hooker, Ghazali’s </w:t>
      </w:r>
      <w:r w:rsidR="00C313DA" w:rsidRPr="00952476">
        <w:rPr>
          <w:rFonts w:ascii="Koufra" w:hAnsi="Koufra"/>
        </w:rPr>
        <w:t xml:space="preserve">concern is not to flirt with idolatry, which also means not </w:t>
      </w:r>
      <w:r w:rsidR="00C313DA" w:rsidRPr="00952476">
        <w:rPr>
          <w:rFonts w:ascii="Koufra" w:hAnsi="Koufra"/>
          <w:i/>
        </w:rPr>
        <w:t>limiting</w:t>
      </w:r>
      <w:r w:rsidR="00C313DA" w:rsidRPr="00952476">
        <w:rPr>
          <w:rFonts w:ascii="Koufra" w:hAnsi="Koufra"/>
        </w:rPr>
        <w:t xml:space="preserve"> God to any particular system</w:t>
      </w:r>
      <w:r w:rsidR="00C313DA">
        <w:rPr>
          <w:rFonts w:ascii="Koufra" w:hAnsi="Koufra"/>
        </w:rPr>
        <w:t>.</w:t>
      </w:r>
      <w:r w:rsidR="007B739C">
        <w:rPr>
          <w:rStyle w:val="FootnoteReference"/>
          <w:rFonts w:ascii="Koufra" w:hAnsi="Koufra"/>
        </w:rPr>
        <w:footnoteReference w:id="97"/>
      </w:r>
      <w:r w:rsidR="00C313DA" w:rsidRPr="00952476">
        <w:rPr>
          <w:rFonts w:ascii="Koufra" w:hAnsi="Koufra"/>
        </w:rPr>
        <w:t xml:space="preserve"> </w:t>
      </w:r>
    </w:p>
    <w:p w14:paraId="7861429B" w14:textId="77777777" w:rsidR="00C313DA" w:rsidRDefault="00C313DA" w:rsidP="00C313DA"/>
    <w:p w14:paraId="1E24554D" w14:textId="77777777" w:rsidR="004E1958" w:rsidRDefault="00C313DA" w:rsidP="00D976BA">
      <w:r>
        <w:t>Hooker, however, distinguishes clearly between the laws of nature, the laws of society and the law of the Church;</w:t>
      </w:r>
      <w:r w:rsidR="007E25F3">
        <w:rPr>
          <w:rStyle w:val="FootnoteReference"/>
        </w:rPr>
        <w:footnoteReference w:id="98"/>
      </w:r>
      <w:r>
        <w:t xml:space="preserve"> he also elaborates on the meaning of law, beginning with the primary character of God’s action as we learn it in scripture and in nature.</w:t>
      </w:r>
      <w:r w:rsidR="004E1958">
        <w:rPr>
          <w:rStyle w:val="FootnoteReference"/>
        </w:rPr>
        <w:footnoteReference w:id="99"/>
      </w:r>
      <w:r>
        <w:t xml:space="preserve"> In Ghazali’s text, on one level, everything appears in reference to God’s law, mirroring Kamali’s refusal above to accept varied types of laws. On another level, Ghazali makes reference to what he calls </w:t>
      </w:r>
      <w:r w:rsidRPr="00706FBB">
        <w:rPr>
          <w:i/>
          <w:iCs/>
        </w:rPr>
        <w:t>al-Shawahid al-aqliyya</w:t>
      </w:r>
      <w:r>
        <w:t xml:space="preserve">, matters that are simply self-evident in describing the good of the social nexus, when he talks about </w:t>
      </w:r>
      <w:r w:rsidRPr="006F2986">
        <w:rPr>
          <w:i/>
          <w:iCs/>
        </w:rPr>
        <w:t>maqasid al-khalq</w:t>
      </w:r>
      <w:r>
        <w:t>, the aims of human beings.</w:t>
      </w:r>
      <w:r w:rsidR="004E1958">
        <w:rPr>
          <w:rStyle w:val="FootnoteReference"/>
        </w:rPr>
        <w:footnoteReference w:id="100"/>
      </w:r>
      <w:r>
        <w:t xml:space="preserve"> As such, he does in his own way distinguish clearly between what is law for its own sake and what is law for ‘civic’ good order. </w:t>
      </w:r>
      <w:r w:rsidR="004E1958">
        <w:t xml:space="preserve">As I noted before, </w:t>
      </w:r>
    </w:p>
    <w:p w14:paraId="76E854ED" w14:textId="77777777" w:rsidR="004E1958" w:rsidRDefault="004E1958" w:rsidP="00D976BA"/>
    <w:p w14:paraId="56CDA353" w14:textId="3BAD5B84" w:rsidR="00C313DA" w:rsidRDefault="00C313DA" w:rsidP="004E1958">
      <w:pPr>
        <w:ind w:left="283" w:right="283"/>
      </w:pPr>
      <w:r>
        <w:lastRenderedPageBreak/>
        <w:t xml:space="preserve">Discussing the purposes of creatures, </w:t>
      </w:r>
      <w:r w:rsidRPr="008A3F36">
        <w:rPr>
          <w:i/>
          <w:iCs/>
        </w:rPr>
        <w:t>maqasid al-khalq</w:t>
      </w:r>
      <w:r>
        <w:t xml:space="preserve"> and the most basic needs of humans, Ghazali arrives at an oblique discovery of nature’s laws’ and the need for government, even though revelation does not specify the final shape and kind of government. Nature tells us something of the laws of society as he returns to nature’s imperatives. Order in this world can only depend on basic prosaic factors that begin the foundation of society: framing, for the purposes of food, knitting, for clothing, building for living and </w:t>
      </w:r>
      <w:r w:rsidRPr="00706FBB">
        <w:rPr>
          <w:i/>
          <w:iCs/>
        </w:rPr>
        <w:t>siyasa</w:t>
      </w:r>
      <w:r>
        <w:t>, politics.</w:t>
      </w:r>
      <w:r w:rsidR="004E1958">
        <w:rPr>
          <w:rStyle w:val="FootnoteReference"/>
        </w:rPr>
        <w:footnoteReference w:id="101"/>
      </w:r>
    </w:p>
    <w:p w14:paraId="29FF9347" w14:textId="77777777" w:rsidR="00C313DA" w:rsidRDefault="00C313DA" w:rsidP="00C313DA"/>
    <w:p w14:paraId="4CC1C264" w14:textId="0DEE4A02" w:rsidR="00C313DA" w:rsidRDefault="00C313DA" w:rsidP="00D976BA">
      <w:r>
        <w:t xml:space="preserve">In defining politics, Ghazali does not mean the brokering of power or organs of government; rather, it is discovering the art for living socially, sharing a common life with shared purposes that also need to be controlled. Politics is about the whole body politic that takes into account the need for cooperation among members of the society, and therefore, the need to discover what is good and just. </w:t>
      </w:r>
    </w:p>
    <w:p w14:paraId="404B47A0" w14:textId="77777777" w:rsidR="00C313DA" w:rsidRDefault="00C313DA" w:rsidP="00C313DA"/>
    <w:p w14:paraId="2307A20A" w14:textId="3ACAFD09" w:rsidR="00C313DA" w:rsidRDefault="00C313DA" w:rsidP="00C313DA">
      <w:r>
        <w:t>Ghazali also recognizes the possibility of potential conflict between political authority and faithful obedience to the claims of revelation. He does not guarantee true closeness to God through formal allegiance to Islam on the part of the ‘prince’, as it were. His society included different and varied levels of submission to God, which meant a good deal of conflict between his aspiration for a closer life with God, and the unstable reality of his society, which prompted him to leave public life.</w:t>
      </w:r>
      <w:r w:rsidR="00514668">
        <w:rPr>
          <w:rStyle w:val="FootnoteReference"/>
        </w:rPr>
        <w:footnoteReference w:id="102"/>
      </w:r>
      <w:r>
        <w:t xml:space="preserve"> Eventually, he saw in Sufism as a form of a counter community and corrective to the prince. Whilst Sufi movements cannot be fully equated with the Church’s sacramental </w:t>
      </w:r>
      <w:r w:rsidR="004E1958">
        <w:t>mission</w:t>
      </w:r>
      <w:r>
        <w:t>, they did exist as a distinct</w:t>
      </w:r>
      <w:r w:rsidR="004E1958">
        <w:t xml:space="preserve">, politically influential </w:t>
      </w:r>
      <w:r>
        <w:t>body within civil society.</w:t>
      </w:r>
      <w:r w:rsidR="004E1958">
        <w:rPr>
          <w:rStyle w:val="FootnoteReference"/>
        </w:rPr>
        <w:footnoteReference w:id="103"/>
      </w:r>
      <w:r>
        <w:t xml:space="preserve"> </w:t>
      </w:r>
    </w:p>
    <w:p w14:paraId="76E01619" w14:textId="77777777" w:rsidR="00C313DA" w:rsidRDefault="00C313DA" w:rsidP="00C313DA"/>
    <w:p w14:paraId="0DBCAD54" w14:textId="2609CD84" w:rsidR="00C313DA" w:rsidRDefault="00C313DA" w:rsidP="00C313DA">
      <w:r>
        <w:t>It seems then that with Ghazali’s ideas the difference boils down to the extent to which we can trust the possibility of a sacred political authority. Ghazali</w:t>
      </w:r>
      <w:r w:rsidR="00D976BA">
        <w:t>, despite his experiences,</w:t>
      </w:r>
      <w:r>
        <w:t xml:space="preserve"> would be more trusting in the </w:t>
      </w:r>
      <w:r w:rsidR="00514668">
        <w:t xml:space="preserve">possibility of the </w:t>
      </w:r>
      <w:r>
        <w:t xml:space="preserve">prince’s ability to establish a perfect implementation of the claims of revelation. </w:t>
      </w:r>
      <w:r w:rsidRPr="001D0A7F">
        <w:rPr>
          <w:color w:val="000000" w:themeColor="text1"/>
        </w:rPr>
        <w:t xml:space="preserve">Hooker </w:t>
      </w:r>
      <w:r w:rsidR="001D0A7F">
        <w:rPr>
          <w:color w:val="000000" w:themeColor="text1"/>
        </w:rPr>
        <w:t>might not dismiss monarchy but ask how it is a compelling model to achieve human goals.</w:t>
      </w:r>
      <w:r w:rsidR="001D0A7F">
        <w:rPr>
          <w:rStyle w:val="FootnoteReference"/>
          <w:color w:val="000000" w:themeColor="text1"/>
        </w:rPr>
        <w:footnoteReference w:id="104"/>
      </w:r>
      <w:r w:rsidR="001D0A7F">
        <w:rPr>
          <w:color w:val="000000" w:themeColor="text1"/>
        </w:rPr>
        <w:t xml:space="preserve"> As such, </w:t>
      </w:r>
      <w:r w:rsidRPr="001D0A7F">
        <w:rPr>
          <w:color w:val="000000" w:themeColor="text1"/>
        </w:rPr>
        <w:t>legitimacy</w:t>
      </w:r>
      <w:r w:rsidR="00BE73C0">
        <w:rPr>
          <w:color w:val="000000" w:themeColor="text1"/>
        </w:rPr>
        <w:t xml:space="preserve"> for Hooker</w:t>
      </w:r>
      <w:r w:rsidRPr="001D0A7F">
        <w:rPr>
          <w:color w:val="000000" w:themeColor="text1"/>
        </w:rPr>
        <w:t xml:space="preserve"> is defined in terms of allegiance to a human figure, under whom various nations</w:t>
      </w:r>
      <w:r w:rsidR="00BE73C0">
        <w:rPr>
          <w:color w:val="000000" w:themeColor="text1"/>
        </w:rPr>
        <w:t>,</w:t>
      </w:r>
      <w:r w:rsidRPr="001D0A7F">
        <w:rPr>
          <w:color w:val="000000" w:themeColor="text1"/>
        </w:rPr>
        <w:t xml:space="preserve"> guilds, and societies were able to exist, rather than to a particular </w:t>
      </w:r>
      <w:r w:rsidRPr="001D0A7F">
        <w:rPr>
          <w:i/>
          <w:iCs/>
          <w:color w:val="000000" w:themeColor="text1"/>
        </w:rPr>
        <w:t>textual foundation</w:t>
      </w:r>
      <w:r w:rsidRPr="001D0A7F">
        <w:rPr>
          <w:color w:val="000000" w:themeColor="text1"/>
        </w:rPr>
        <w:t>, such as the Koran, as the source of law. Hooker is</w:t>
      </w:r>
      <w:r w:rsidR="00BC0F08" w:rsidRPr="001D0A7F">
        <w:rPr>
          <w:color w:val="000000" w:themeColor="text1"/>
        </w:rPr>
        <w:t>, thus,</w:t>
      </w:r>
      <w:r w:rsidRPr="001D0A7F">
        <w:rPr>
          <w:color w:val="000000" w:themeColor="text1"/>
        </w:rPr>
        <w:t xml:space="preserve"> </w:t>
      </w:r>
      <w:r w:rsidR="00BC0F08" w:rsidRPr="001D0A7F">
        <w:rPr>
          <w:color w:val="000000" w:themeColor="text1"/>
        </w:rPr>
        <w:t xml:space="preserve">perhaps </w:t>
      </w:r>
      <w:r w:rsidRPr="001D0A7F">
        <w:rPr>
          <w:color w:val="000000" w:themeColor="text1"/>
        </w:rPr>
        <w:t>more Christological in thinking of the Body Politic</w:t>
      </w:r>
      <w:r w:rsidR="001D0A7F">
        <w:rPr>
          <w:color w:val="000000" w:themeColor="text1"/>
        </w:rPr>
        <w:t xml:space="preserve"> as it reflects the Pauline understanding of the Body of Christ</w:t>
      </w:r>
      <w:r w:rsidRPr="001D0A7F">
        <w:rPr>
          <w:color w:val="000000" w:themeColor="text1"/>
        </w:rPr>
        <w:t>. Ghazali was indeed the first theorist in medieval Islam to clothe the Caliph with the power of all legitimacy,</w:t>
      </w:r>
      <w:r w:rsidR="00BE73C0">
        <w:rPr>
          <w:rStyle w:val="FootnoteReference"/>
          <w:color w:val="000000" w:themeColor="text1"/>
        </w:rPr>
        <w:footnoteReference w:id="105"/>
      </w:r>
      <w:r w:rsidRPr="001D0A7F">
        <w:rPr>
          <w:color w:val="000000" w:themeColor="text1"/>
        </w:rPr>
        <w:t xml:space="preserve"> but the Caliph is still accountable before the </w:t>
      </w:r>
      <w:r w:rsidRPr="001D0A7F">
        <w:rPr>
          <w:i/>
          <w:iCs/>
          <w:color w:val="000000" w:themeColor="text1"/>
        </w:rPr>
        <w:t>textual dialectic</w:t>
      </w:r>
      <w:r w:rsidRPr="001D0A7F">
        <w:rPr>
          <w:color w:val="000000" w:themeColor="text1"/>
        </w:rPr>
        <w:t xml:space="preserve"> of the Sharia processes. </w:t>
      </w:r>
      <w:r>
        <w:t>The comparison points, therefore, to a difference between the Christian and Muslim views of freedom and obedience as the basis of individuality and community, questions that perhaps define</w:t>
      </w:r>
      <w:r w:rsidR="00BC0F08">
        <w:t>d</w:t>
      </w:r>
      <w:r>
        <w:t xml:space="preserve"> a Christian argumentative culture that became </w:t>
      </w:r>
      <w:r w:rsidR="001D0A7F">
        <w:t xml:space="preserve">later </w:t>
      </w:r>
      <w:r>
        <w:t>the soil in which the Enlightenment developed.</w:t>
      </w:r>
    </w:p>
    <w:p w14:paraId="1A5226E4" w14:textId="77777777" w:rsidR="00C313DA" w:rsidRDefault="00C313DA" w:rsidP="00C313DA"/>
    <w:p w14:paraId="5CAAB538" w14:textId="3702BBD6" w:rsidR="00C313DA" w:rsidRDefault="00C313DA" w:rsidP="00C313DA">
      <w:r>
        <w:t xml:space="preserve">I doubt that Ghazali would solve our problems by accepting the political liberalism proposed by Rowan Williams. However, whilst it might be a challenge for Middle Eastern Muslims </w:t>
      </w:r>
      <w:r>
        <w:lastRenderedPageBreak/>
        <w:t xml:space="preserve">perhaps to live outside the unitary reality between a community that lives by the confession of universal faith and the local context of a modern state and its civil law, the example of Ghazali’s text suggest that historical contingencies or historical forces helped him and others in discerning new ways of engaging politics with revelation. His kind of classical political vision of the society as an organism is a foundation for his flexibility </w:t>
      </w:r>
      <w:r w:rsidR="00BC0F08">
        <w:t>in</w:t>
      </w:r>
      <w:r>
        <w:t xml:space="preserve"> engaging various groups with less emphasis on the limits of what counts as theologically acceptable.</w:t>
      </w:r>
      <w:r w:rsidR="001D0A7F">
        <w:rPr>
          <w:rStyle w:val="FootnoteReference"/>
        </w:rPr>
        <w:footnoteReference w:id="106"/>
      </w:r>
      <w:r>
        <w:t xml:space="preserve"> </w:t>
      </w:r>
    </w:p>
    <w:p w14:paraId="1BF70E9F" w14:textId="77777777" w:rsidR="00C313DA" w:rsidRDefault="00C313DA" w:rsidP="00C313DA"/>
    <w:p w14:paraId="7A27DB54" w14:textId="7689C6C7" w:rsidR="001E226D" w:rsidRDefault="00C313DA" w:rsidP="00B80B7C">
      <w:r>
        <w:t xml:space="preserve">The type of political liberalism proposed here does not deny shaping the life of a religious community among other communities as it grows out of these </w:t>
      </w:r>
      <w:r w:rsidR="00624388">
        <w:t>classical</w:t>
      </w:r>
      <w:r>
        <w:t xml:space="preserve"> reflections. It rather suggests that we have to differentiate between different types of laws</w:t>
      </w:r>
      <w:r w:rsidR="00D54806">
        <w:t xml:space="preserve"> and emphasize the contingency and limitations of these laws</w:t>
      </w:r>
      <w:r>
        <w:t xml:space="preserve">. </w:t>
      </w:r>
      <w:r w:rsidR="00D54806">
        <w:t>G</w:t>
      </w:r>
      <w:r>
        <w:t xml:space="preserve">iven the rationale for law as elaborated by Hallaq, there should be at least an attempt to think afresh about how to form common civic purpose. This can be done if we think of laws that are for ordinary civic good order and laws that relate to </w:t>
      </w:r>
      <w:r w:rsidR="00BC0F08">
        <w:t xml:space="preserve">the </w:t>
      </w:r>
      <w:r>
        <w:t xml:space="preserve">shaping of human society argued about between various groups. </w:t>
      </w:r>
      <w:r w:rsidR="001E226D">
        <w:t xml:space="preserve">The laws that contribute to the maintenance of different communities in the state, Muslim and non-Muslim and the role and place of the various communities in any political society are not unchangeable. This is where we need some imagination in the current Middle Eastern context. </w:t>
      </w:r>
    </w:p>
    <w:p w14:paraId="7B6CAD1B" w14:textId="77777777" w:rsidR="001E226D" w:rsidRDefault="001E226D" w:rsidP="00B80B7C"/>
    <w:p w14:paraId="60672E8F" w14:textId="2C331456" w:rsidR="00D54806" w:rsidRDefault="001E226D" w:rsidP="001E226D">
      <w:pPr>
        <w:rPr>
          <w:rFonts w:eastAsia="Arial Unicode MS" w:cs="Arial Unicode MS"/>
        </w:rPr>
      </w:pPr>
      <w:r>
        <w:t>Classical legal theories might argue that this is already provided in the</w:t>
      </w:r>
      <w:r w:rsidR="00C313DA">
        <w:t xml:space="preserve"> principle of </w:t>
      </w:r>
      <w:r w:rsidR="00F9629B">
        <w:rPr>
          <w:i/>
          <w:iCs/>
        </w:rPr>
        <w:t>m</w:t>
      </w:r>
      <w:r w:rsidR="00C313DA" w:rsidRPr="00F9629B">
        <w:rPr>
          <w:i/>
          <w:iCs/>
        </w:rPr>
        <w:t>aslaha</w:t>
      </w:r>
      <w:r w:rsidR="00C313DA">
        <w:t xml:space="preserve">, public interest and good, </w:t>
      </w:r>
      <w:r>
        <w:t>as elaborated by Hallaq,</w:t>
      </w:r>
      <w:r w:rsidR="00C313DA">
        <w:t xml:space="preserve"> Kamali, </w:t>
      </w:r>
      <w:r>
        <w:t>and indeed Ghazali himself as part of the aims of Sharia</w:t>
      </w:r>
      <w:r w:rsidR="00F9629B">
        <w:t xml:space="preserve">, </w:t>
      </w:r>
      <w:r w:rsidR="00F9629B" w:rsidRPr="00F9629B">
        <w:rPr>
          <w:i/>
          <w:iCs/>
        </w:rPr>
        <w:t>maqasid al-shariah</w:t>
      </w:r>
      <w:r w:rsidR="00C313DA">
        <w:t xml:space="preserve">. </w:t>
      </w:r>
      <w:r>
        <w:t xml:space="preserve">However, emphasising </w:t>
      </w:r>
      <w:r w:rsidR="00F9629B" w:rsidRPr="00F9629B">
        <w:rPr>
          <w:rFonts w:eastAsia="Arial Unicode MS" w:cs="Arial Unicode MS"/>
          <w:i/>
          <w:iCs/>
        </w:rPr>
        <w:t>m</w:t>
      </w:r>
      <w:r w:rsidRPr="00F9629B">
        <w:rPr>
          <w:rFonts w:eastAsia="Arial Unicode MS" w:cs="Arial Unicode MS"/>
          <w:i/>
          <w:iCs/>
        </w:rPr>
        <w:t>aslaha</w:t>
      </w:r>
      <w:r>
        <w:rPr>
          <w:rFonts w:eastAsia="Arial Unicode MS" w:cs="Arial Unicode MS"/>
        </w:rPr>
        <w:t xml:space="preserve">-type arguments </w:t>
      </w:r>
      <w:r w:rsidR="00F9629B">
        <w:rPr>
          <w:rFonts w:eastAsia="Arial Unicode MS" w:cs="Arial Unicode MS"/>
        </w:rPr>
        <w:t>might lead to</w:t>
      </w:r>
      <w:r>
        <w:rPr>
          <w:rFonts w:eastAsia="Arial Unicode MS" w:cs="Arial Unicode MS"/>
        </w:rPr>
        <w:t xml:space="preserve"> more problems by consolidating the </w:t>
      </w:r>
      <w:r w:rsidRPr="00F9629B">
        <w:rPr>
          <w:rFonts w:eastAsia="Arial Unicode MS" w:cs="Arial Unicode MS"/>
          <w:i/>
          <w:iCs/>
        </w:rPr>
        <w:t>ijtihad</w:t>
      </w:r>
      <w:r>
        <w:rPr>
          <w:rFonts w:eastAsia="Arial Unicode MS" w:cs="Arial Unicode MS"/>
        </w:rPr>
        <w:t xml:space="preserve"> of jurists into something beyond the ever-recurring dialectic of ijtihad - turning case law into a “system”</w:t>
      </w:r>
      <w:r w:rsidR="00160806">
        <w:rPr>
          <w:rFonts w:eastAsia="Arial Unicode MS" w:cs="Arial Unicode MS"/>
        </w:rPr>
        <w:t>,</w:t>
      </w:r>
      <w:r>
        <w:rPr>
          <w:rFonts w:eastAsia="Arial Unicode MS" w:cs="Arial Unicode MS"/>
        </w:rPr>
        <w:t xml:space="preserve"> based on more solid “objective” values. </w:t>
      </w:r>
      <w:r w:rsidR="00F9629B">
        <w:rPr>
          <w:rFonts w:eastAsia="Arial Unicode MS" w:cs="Arial Unicode MS"/>
        </w:rPr>
        <w:t>Indeed, o</w:t>
      </w:r>
      <w:r>
        <w:rPr>
          <w:rFonts w:eastAsia="Arial Unicode MS" w:cs="Arial Unicode MS"/>
        </w:rPr>
        <w:t>ne may</w:t>
      </w:r>
      <w:r w:rsidR="00F9629B">
        <w:rPr>
          <w:rFonts w:eastAsia="Arial Unicode MS" w:cs="Arial Unicode MS"/>
        </w:rPr>
        <w:t xml:space="preserve"> </w:t>
      </w:r>
      <w:r>
        <w:rPr>
          <w:rFonts w:eastAsia="Arial Unicode MS" w:cs="Arial Unicode MS"/>
        </w:rPr>
        <w:t xml:space="preserve">be able to find </w:t>
      </w:r>
      <w:r w:rsidR="00F9629B" w:rsidRPr="00F9629B">
        <w:rPr>
          <w:rFonts w:eastAsia="Arial Unicode MS" w:cs="Arial Unicode MS"/>
          <w:i/>
          <w:iCs/>
        </w:rPr>
        <w:t>m</w:t>
      </w:r>
      <w:r w:rsidRPr="00F9629B">
        <w:rPr>
          <w:rFonts w:eastAsia="Arial Unicode MS" w:cs="Arial Unicode MS"/>
          <w:i/>
          <w:iCs/>
        </w:rPr>
        <w:t>aqasi</w:t>
      </w:r>
      <w:r w:rsidR="00F9629B" w:rsidRPr="00F9629B">
        <w:rPr>
          <w:rFonts w:eastAsia="Arial Unicode MS" w:cs="Arial Unicode MS"/>
          <w:i/>
          <w:iCs/>
        </w:rPr>
        <w:t>d</w:t>
      </w:r>
      <w:r>
        <w:rPr>
          <w:rFonts w:eastAsia="Arial Unicode MS" w:cs="Arial Unicode MS"/>
        </w:rPr>
        <w:t xml:space="preserve">-type arguments </w:t>
      </w:r>
      <w:r w:rsidR="00F9629B">
        <w:rPr>
          <w:rFonts w:eastAsia="Arial Unicode MS" w:cs="Arial Unicode MS"/>
        </w:rPr>
        <w:t xml:space="preserve">even </w:t>
      </w:r>
      <w:r>
        <w:rPr>
          <w:rFonts w:eastAsia="Arial Unicode MS" w:cs="Arial Unicode MS"/>
        </w:rPr>
        <w:t xml:space="preserve">in ISIS type literature. </w:t>
      </w:r>
      <w:r w:rsidR="00F9629B">
        <w:rPr>
          <w:rFonts w:eastAsia="Arial Unicode MS" w:cs="Arial Unicode MS"/>
        </w:rPr>
        <w:t xml:space="preserve">There are dangers for such an approach. </w:t>
      </w:r>
    </w:p>
    <w:p w14:paraId="40387C7E" w14:textId="77777777" w:rsidR="00D54806" w:rsidRDefault="00D54806" w:rsidP="001E226D">
      <w:pPr>
        <w:rPr>
          <w:rFonts w:eastAsia="Arial Unicode MS" w:cs="Arial Unicode MS"/>
        </w:rPr>
      </w:pPr>
    </w:p>
    <w:p w14:paraId="0882795E" w14:textId="71721264" w:rsidR="00C313DA" w:rsidRDefault="001E226D" w:rsidP="001E226D">
      <w:r>
        <w:rPr>
          <w:rFonts w:eastAsia="Arial Unicode MS" w:cs="Arial Unicode MS"/>
        </w:rPr>
        <w:t>Surely</w:t>
      </w:r>
      <w:r w:rsidR="00F9629B">
        <w:rPr>
          <w:rFonts w:eastAsia="Arial Unicode MS" w:cs="Arial Unicode MS"/>
        </w:rPr>
        <w:t>,</w:t>
      </w:r>
      <w:r>
        <w:rPr>
          <w:rFonts w:eastAsia="Arial Unicode MS" w:cs="Arial Unicode MS"/>
        </w:rPr>
        <w:t xml:space="preserve"> the path forward</w:t>
      </w:r>
      <w:r w:rsidR="00F9629B">
        <w:rPr>
          <w:rFonts w:eastAsia="Arial Unicode MS" w:cs="Arial Unicode MS"/>
        </w:rPr>
        <w:t xml:space="preserve"> in Muslim majority contexts</w:t>
      </w:r>
      <w:r>
        <w:rPr>
          <w:rFonts w:eastAsia="Arial Unicode MS" w:cs="Arial Unicode MS"/>
        </w:rPr>
        <w:t xml:space="preserve"> lies in </w:t>
      </w:r>
      <w:r w:rsidR="00F9629B">
        <w:rPr>
          <w:rFonts w:eastAsia="Arial Unicode MS" w:cs="Arial Unicode MS"/>
        </w:rPr>
        <w:t>focusing more</w:t>
      </w:r>
      <w:r>
        <w:rPr>
          <w:rFonts w:eastAsia="Arial Unicode MS" w:cs="Arial Unicode MS"/>
        </w:rPr>
        <w:t xml:space="preserve"> o</w:t>
      </w:r>
      <w:r w:rsidR="00F9629B">
        <w:rPr>
          <w:rFonts w:eastAsia="Arial Unicode MS" w:cs="Arial Unicode MS"/>
        </w:rPr>
        <w:t>n</w:t>
      </w:r>
      <w:r>
        <w:rPr>
          <w:rFonts w:eastAsia="Arial Unicode MS" w:cs="Arial Unicode MS"/>
        </w:rPr>
        <w:t xml:space="preserve"> Ghazali’s </w:t>
      </w:r>
      <w:r w:rsidR="00F9629B">
        <w:rPr>
          <w:rFonts w:eastAsia="Arial Unicode MS" w:cs="Arial Unicode MS"/>
        </w:rPr>
        <w:t>mystical dimension and quest for</w:t>
      </w:r>
      <w:r>
        <w:rPr>
          <w:rFonts w:eastAsia="Arial Unicode MS" w:cs="Arial Unicode MS"/>
        </w:rPr>
        <w:t xml:space="preserve"> a </w:t>
      </w:r>
      <w:r w:rsidR="00F9629B">
        <w:rPr>
          <w:rFonts w:eastAsia="Arial Unicode MS" w:cs="Arial Unicode MS"/>
        </w:rPr>
        <w:t>“humbler”</w:t>
      </w:r>
      <w:r>
        <w:rPr>
          <w:rFonts w:eastAsia="Arial Unicode MS" w:cs="Arial Unicode MS"/>
        </w:rPr>
        <w:t xml:space="preserve"> position where the Law’s contingency and human limitations are more clearly recognised. </w:t>
      </w:r>
      <w:r w:rsidR="00F9629B">
        <w:rPr>
          <w:rFonts w:eastAsia="Arial Unicode MS" w:cs="Arial Unicode MS"/>
        </w:rPr>
        <w:t xml:space="preserve">It might be </w:t>
      </w:r>
      <w:r>
        <w:rPr>
          <w:rFonts w:eastAsia="Arial Unicode MS" w:cs="Arial Unicode MS"/>
        </w:rPr>
        <w:t xml:space="preserve">a difficult position to take given the insecurities of the post-colonial Muslim </w:t>
      </w:r>
      <w:r w:rsidR="00F9629B">
        <w:rPr>
          <w:rFonts w:eastAsia="Arial Unicode MS" w:cs="Arial Unicode MS"/>
        </w:rPr>
        <w:t xml:space="preserve">majority </w:t>
      </w:r>
      <w:r>
        <w:rPr>
          <w:rFonts w:eastAsia="Arial Unicode MS" w:cs="Arial Unicode MS"/>
        </w:rPr>
        <w:t>state</w:t>
      </w:r>
      <w:r w:rsidR="00F9629B">
        <w:rPr>
          <w:rFonts w:eastAsia="Arial Unicode MS" w:cs="Arial Unicode MS"/>
        </w:rPr>
        <w:t>.</w:t>
      </w:r>
      <w:r>
        <w:rPr>
          <w:rFonts w:eastAsia="Arial Unicode MS" w:cs="Arial Unicode MS"/>
        </w:rPr>
        <w:t xml:space="preserve"> </w:t>
      </w:r>
      <w:r w:rsidR="00F9629B">
        <w:rPr>
          <w:rFonts w:eastAsia="Arial Unicode MS" w:cs="Arial Unicode MS"/>
        </w:rPr>
        <w:t xml:space="preserve">But it is this kind of acknowledgment that will encourage a culture of argumentation and intellectual humility that the best of the Enlightenment brought. Without this, ‘the common good’ of the Middle East is going to end up simply being defined by tyrants of different types. </w:t>
      </w:r>
    </w:p>
    <w:p w14:paraId="1076BAF5" w14:textId="77777777" w:rsidR="00C313DA" w:rsidRDefault="00C313DA" w:rsidP="00C313DA">
      <w:r>
        <w:t xml:space="preserve"> </w:t>
      </w:r>
    </w:p>
    <w:p w14:paraId="724D8BB5" w14:textId="372F163E" w:rsidR="0067722E" w:rsidRDefault="0067722E" w:rsidP="00CD5B7D"/>
    <w:sectPr w:rsidR="0067722E" w:rsidSect="007775A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4744" w14:textId="77777777" w:rsidR="0037515A" w:rsidRDefault="0037515A" w:rsidP="00190DE7">
      <w:r>
        <w:separator/>
      </w:r>
    </w:p>
  </w:endnote>
  <w:endnote w:type="continuationSeparator" w:id="0">
    <w:p w14:paraId="3D3EE7F6" w14:textId="77777777" w:rsidR="0037515A" w:rsidRDefault="0037515A" w:rsidP="0019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ufra">
    <w:altName w:val="Calibr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726E0" w14:textId="77777777" w:rsidR="0037515A" w:rsidRDefault="0037515A" w:rsidP="00190DE7">
      <w:r>
        <w:separator/>
      </w:r>
    </w:p>
  </w:footnote>
  <w:footnote w:type="continuationSeparator" w:id="0">
    <w:p w14:paraId="7F063597" w14:textId="77777777" w:rsidR="0037515A" w:rsidRDefault="0037515A" w:rsidP="00190DE7">
      <w:r>
        <w:continuationSeparator/>
      </w:r>
    </w:p>
  </w:footnote>
  <w:footnote w:id="1">
    <w:p w14:paraId="1311D088" w14:textId="25EF039B" w:rsidR="00BE73C0" w:rsidRDefault="00BE73C0">
      <w:pPr>
        <w:pStyle w:val="FootnoteText"/>
      </w:pPr>
      <w:r>
        <w:rPr>
          <w:rStyle w:val="FootnoteReference"/>
        </w:rPr>
        <w:footnoteRef/>
      </w:r>
      <w:r>
        <w:t xml:space="preserve"> As Tony Blair, former prime minister of Great Britain, wrote in 2007, ‘The standard-bearers of tolerance in the early Middle Ages were far more likely to be found in Muslim lands than in Christian ones’, ‘A Battle for Global Values’, </w:t>
      </w:r>
      <w:r w:rsidRPr="00852D65">
        <w:rPr>
          <w:i/>
          <w:iCs/>
        </w:rPr>
        <w:t>Foreign Affairs</w:t>
      </w:r>
      <w:r>
        <w:t xml:space="preserve">, January/February 2007. </w:t>
      </w:r>
      <w:hyperlink r:id="rId1" w:history="1">
        <w:r w:rsidRPr="009F474F">
          <w:rPr>
            <w:rStyle w:val="Hyperlink"/>
          </w:rPr>
          <w:t>https://www.foreignaffairs.com/articles/2007-01-01/battle-global-values</w:t>
        </w:r>
      </w:hyperlink>
      <w:r>
        <w:t xml:space="preserve"> (Accessed, October, 2020). </w:t>
      </w:r>
    </w:p>
  </w:footnote>
  <w:footnote w:id="2">
    <w:p w14:paraId="13EFF588" w14:textId="21AEC08F" w:rsidR="00BE73C0" w:rsidRDefault="00BE73C0">
      <w:pPr>
        <w:pStyle w:val="FootnoteText"/>
      </w:pPr>
      <w:r>
        <w:rPr>
          <w:rStyle w:val="FootnoteReference"/>
        </w:rPr>
        <w:footnoteRef/>
      </w:r>
      <w:r>
        <w:t xml:space="preserve"> Karsh, Ephraim, Islamic Imperialism: A History (New Haven: Yale University Press, 2007), pp. 97, 101, 109-118. See also, Courbage, Joussef &amp; Phillippe Fargues, </w:t>
      </w:r>
      <w:r w:rsidRPr="007C0E27">
        <w:rPr>
          <w:i/>
          <w:iCs/>
        </w:rPr>
        <w:t>Christians and Jews under Islam</w:t>
      </w:r>
      <w:r>
        <w:t xml:space="preserve">, Judy Mabro (tr.) (London: I.B. Tauris, 1997) &amp; Cohen, Mark, </w:t>
      </w:r>
      <w:r w:rsidRPr="006D33C9">
        <w:rPr>
          <w:i/>
          <w:iCs/>
        </w:rPr>
        <w:t>Under Crescent and Cross: The Jews in the Middle Ages</w:t>
      </w:r>
      <w:r>
        <w:t xml:space="preserve"> (Princeton: Princeton University Press, 2008). </w:t>
      </w:r>
    </w:p>
  </w:footnote>
  <w:footnote w:id="3">
    <w:p w14:paraId="27669987" w14:textId="73CE7557" w:rsidR="00BE73C0" w:rsidRDefault="00BE73C0">
      <w:pPr>
        <w:pStyle w:val="FootnoteText"/>
      </w:pPr>
      <w:r>
        <w:rPr>
          <w:rStyle w:val="FootnoteReference"/>
        </w:rPr>
        <w:footnoteRef/>
      </w:r>
      <w:r>
        <w:t xml:space="preserve"> Tabler, Andrew J., </w:t>
      </w:r>
      <w:r w:rsidRPr="009678EE">
        <w:rPr>
          <w:i/>
          <w:iCs/>
        </w:rPr>
        <w:t>The Lines that Bind: 100 Years of Sykes-Picot</w:t>
      </w:r>
      <w:r>
        <w:t xml:space="preserve"> (Washington: The Washington Institute for Near East Policy, 2016), pp. 5-7. See also, Yapp, Malcolm, </w:t>
      </w:r>
      <w:r w:rsidRPr="009678EE">
        <w:rPr>
          <w:i/>
          <w:iCs/>
        </w:rPr>
        <w:t>The Making of the Modern Middle East, 1792-1923</w:t>
      </w:r>
      <w:r>
        <w:t xml:space="preserve"> (London: Longman, 1987), Ch. 6 </w:t>
      </w:r>
    </w:p>
  </w:footnote>
  <w:footnote w:id="4">
    <w:p w14:paraId="188FE732" w14:textId="77777777" w:rsidR="00BE73C0" w:rsidRDefault="00BE73C0" w:rsidP="003F209A">
      <w:pPr>
        <w:pStyle w:val="FootnoteText"/>
      </w:pPr>
      <w:r>
        <w:rPr>
          <w:rStyle w:val="FootnoteReference"/>
        </w:rPr>
        <w:footnoteRef/>
      </w:r>
      <w:r>
        <w:t xml:space="preserve"> Al-Barghouti, Tamim, </w:t>
      </w:r>
      <w:r w:rsidRPr="008F1E5D">
        <w:rPr>
          <w:i/>
          <w:iCs/>
        </w:rPr>
        <w:t>The Umma and the Dawla: The Nation State and the Arab Middle East</w:t>
      </w:r>
      <w:r>
        <w:t xml:space="preserve"> (London: Pluto Press, 2008), pp. 101-104.</w:t>
      </w:r>
    </w:p>
  </w:footnote>
  <w:footnote w:id="5">
    <w:p w14:paraId="63A51A77" w14:textId="77777777" w:rsidR="00BE73C0" w:rsidRDefault="00BE73C0" w:rsidP="003F209A">
      <w:pPr>
        <w:pStyle w:val="FootnoteText"/>
      </w:pPr>
      <w:r>
        <w:rPr>
          <w:rStyle w:val="FootnoteReference"/>
        </w:rPr>
        <w:footnoteRef/>
      </w:r>
      <w:r>
        <w:t xml:space="preserve"> Hervert, T. Walter, </w:t>
      </w:r>
      <w:r w:rsidRPr="00365524">
        <w:rPr>
          <w:i/>
          <w:iCs/>
        </w:rPr>
        <w:t>Faith-Based War from 9/11 to Catastrophic Success in Iraq</w:t>
      </w:r>
      <w:r>
        <w:t xml:space="preserve"> (London: Equinox Publishing, 2009). </w:t>
      </w:r>
    </w:p>
  </w:footnote>
  <w:footnote w:id="6">
    <w:p w14:paraId="4FF53500" w14:textId="77777777" w:rsidR="00BE73C0" w:rsidRDefault="00BE73C0" w:rsidP="003F209A">
      <w:pPr>
        <w:pStyle w:val="FootnoteText"/>
      </w:pPr>
      <w:r>
        <w:rPr>
          <w:rStyle w:val="FootnoteReference"/>
        </w:rPr>
        <w:footnoteRef/>
      </w:r>
      <w:r>
        <w:t xml:space="preserve"> Tibi, Bassam, </w:t>
      </w:r>
      <w:r w:rsidRPr="00881A04">
        <w:rPr>
          <w:i/>
          <w:iCs/>
        </w:rPr>
        <w:t>Arab Nationalism: A Critical Enquiry</w:t>
      </w:r>
      <w:r>
        <w:t>. Ed. And tr. Marion Farouk-Sluglett and Peter Sluglett. 2</w:t>
      </w:r>
      <w:r w:rsidRPr="00881A04">
        <w:rPr>
          <w:vertAlign w:val="superscript"/>
        </w:rPr>
        <w:t>nd</w:t>
      </w:r>
      <w:r>
        <w:t xml:space="preserve"> Edition (London: Macmillan, 1990), pp. 100-101</w:t>
      </w:r>
    </w:p>
  </w:footnote>
  <w:footnote w:id="7">
    <w:p w14:paraId="1B13C660" w14:textId="77777777" w:rsidR="00BE73C0" w:rsidRDefault="00BE73C0" w:rsidP="00E56A4F">
      <w:pPr>
        <w:pStyle w:val="FootnoteText"/>
      </w:pPr>
      <w:r>
        <w:rPr>
          <w:rStyle w:val="FootnoteReference"/>
        </w:rPr>
        <w:footnoteRef/>
      </w:r>
      <w:r>
        <w:t xml:space="preserve"> Hudson, Michael, ‘The Transformation of Jerusalem: 1917-1987AD’ in Asali, KJ, </w:t>
      </w:r>
      <w:r w:rsidRPr="009678EE">
        <w:rPr>
          <w:i/>
          <w:iCs/>
        </w:rPr>
        <w:t>Jerusalem in History</w:t>
      </w:r>
      <w:r>
        <w:t xml:space="preserve"> (New York: Olive Branch Press, 1990), Ch. IX. </w:t>
      </w:r>
    </w:p>
  </w:footnote>
  <w:footnote w:id="8">
    <w:p w14:paraId="30F8E292" w14:textId="69A0D297" w:rsidR="00BE73C0" w:rsidRDefault="00BE73C0">
      <w:pPr>
        <w:pStyle w:val="FootnoteText"/>
      </w:pPr>
      <w:r>
        <w:rPr>
          <w:rStyle w:val="FootnoteReference"/>
        </w:rPr>
        <w:footnoteRef/>
      </w:r>
      <w:r>
        <w:t xml:space="preserve"> Al-Barghouti, Tamim, </w:t>
      </w:r>
      <w:r w:rsidRPr="008F1E5D">
        <w:rPr>
          <w:i/>
          <w:iCs/>
        </w:rPr>
        <w:t>The Umma and the Dawla: The Nation State and the Arab Middle East</w:t>
      </w:r>
      <w:r>
        <w:t xml:space="preserve"> (London: Pluto Press, 2008), pp. 97-104.</w:t>
      </w:r>
    </w:p>
  </w:footnote>
  <w:footnote w:id="9">
    <w:p w14:paraId="0B225BBE" w14:textId="64F962DC" w:rsidR="00BE73C0" w:rsidRDefault="00BE73C0" w:rsidP="00CB71E4">
      <w:pPr>
        <w:pStyle w:val="FootnoteText"/>
      </w:pPr>
      <w:r>
        <w:rPr>
          <w:rStyle w:val="FootnoteReference"/>
        </w:rPr>
        <w:footnoteRef/>
      </w:r>
      <w:r>
        <w:t xml:space="preserve"> Jenkins, Timothy, ‘Anglicanism: The Only Answer to Modernity’, in Dormor Duncan, et. al., </w:t>
      </w:r>
      <w:r w:rsidRPr="00F33FCE">
        <w:rPr>
          <w:i/>
          <w:iCs/>
        </w:rPr>
        <w:t>Anglicanism: The Answer to Modernity</w:t>
      </w:r>
      <w:r>
        <w:t xml:space="preserve"> (London: Continuum, 2003), pp. 196-197. </w:t>
      </w:r>
    </w:p>
  </w:footnote>
  <w:footnote w:id="10">
    <w:p w14:paraId="3171D77C" w14:textId="727A02AC" w:rsidR="00BE73C0" w:rsidRDefault="00BE73C0">
      <w:pPr>
        <w:pStyle w:val="FootnoteText"/>
      </w:pPr>
      <w:r>
        <w:rPr>
          <w:rStyle w:val="FootnoteReference"/>
        </w:rPr>
        <w:footnoteRef/>
      </w:r>
      <w:r>
        <w:t xml:space="preserve"> Murad, Abdal Hakim, </w:t>
      </w:r>
      <w:r w:rsidRPr="007D0BF9">
        <w:rPr>
          <w:i/>
          <w:iCs/>
        </w:rPr>
        <w:t>Travelling Home: Essays on Islam in Europe</w:t>
      </w:r>
      <w:r>
        <w:t xml:space="preserve"> (Cambridge: The Quilliam Press, 2020), p. 86.</w:t>
      </w:r>
    </w:p>
  </w:footnote>
  <w:footnote w:id="11">
    <w:p w14:paraId="41BD8BC6" w14:textId="5B17BA2C" w:rsidR="00BE73C0" w:rsidRDefault="00BE73C0">
      <w:pPr>
        <w:pStyle w:val="FootnoteText"/>
      </w:pPr>
      <w:r>
        <w:rPr>
          <w:rStyle w:val="FootnoteReference"/>
        </w:rPr>
        <w:footnoteRef/>
      </w:r>
      <w:r>
        <w:t xml:space="preserve"> Izetbegovic, Alija Ali, </w:t>
      </w:r>
      <w:r w:rsidRPr="00D43B58">
        <w:rPr>
          <w:i/>
          <w:iCs/>
        </w:rPr>
        <w:t>Islam Between East and West</w:t>
      </w:r>
      <w:r>
        <w:t xml:space="preserve"> (Illinois: American Trust Publications, 2012), p. 272.</w:t>
      </w:r>
    </w:p>
  </w:footnote>
  <w:footnote w:id="12">
    <w:p w14:paraId="197B0426" w14:textId="77777777" w:rsidR="00BE73C0" w:rsidRDefault="00BE73C0" w:rsidP="009E2CCA">
      <w:pPr>
        <w:pStyle w:val="FootnoteText"/>
      </w:pPr>
      <w:r>
        <w:rPr>
          <w:rStyle w:val="FootnoteReference"/>
        </w:rPr>
        <w:footnoteRef/>
      </w:r>
      <w:r>
        <w:t xml:space="preserve"> Said, Yazeed, </w:t>
      </w:r>
      <w:r w:rsidRPr="00555166">
        <w:rPr>
          <w:i/>
          <w:iCs/>
        </w:rPr>
        <w:t>Ghazali’s Politics in Context</w:t>
      </w:r>
      <w:r>
        <w:t xml:space="preserve"> (Abingdon, Oxon: Routledge, 2017), pp. 45-52.</w:t>
      </w:r>
    </w:p>
  </w:footnote>
  <w:footnote w:id="13">
    <w:p w14:paraId="1F5AED83" w14:textId="77777777" w:rsidR="00BE73C0" w:rsidRDefault="00BE73C0" w:rsidP="009E2CCA">
      <w:pPr>
        <w:pStyle w:val="FootnoteText"/>
      </w:pPr>
      <w:r>
        <w:rPr>
          <w:rStyle w:val="FootnoteReference"/>
        </w:rPr>
        <w:footnoteRef/>
      </w:r>
      <w:r>
        <w:t xml:space="preserve"> Van Ess, Joseph, </w:t>
      </w:r>
      <w:r w:rsidRPr="004A7DBF">
        <w:rPr>
          <w:i/>
          <w:iCs/>
        </w:rPr>
        <w:t>The Flowering of Muslim Theology</w:t>
      </w:r>
      <w:r>
        <w:t xml:space="preserve"> (Cambridge, MA: Harvard University Press, 2006), pp. 21, 43. </w:t>
      </w:r>
    </w:p>
  </w:footnote>
  <w:footnote w:id="14">
    <w:p w14:paraId="06DFD688" w14:textId="07E629AD" w:rsidR="00BE73C0" w:rsidRDefault="00BE73C0" w:rsidP="00DA3540">
      <w:pPr>
        <w:pStyle w:val="FootnoteText"/>
      </w:pPr>
      <w:r>
        <w:rPr>
          <w:rStyle w:val="FootnoteReference"/>
        </w:rPr>
        <w:footnoteRef/>
      </w:r>
      <w:r>
        <w:t xml:space="preserve"> Williams, Rowan, </w:t>
      </w:r>
      <w:r w:rsidRPr="00002B67">
        <w:rPr>
          <w:i/>
          <w:iCs/>
        </w:rPr>
        <w:t>Anglican Identities</w:t>
      </w:r>
      <w:r>
        <w:t xml:space="preserve">, p. 5. </w:t>
      </w:r>
    </w:p>
  </w:footnote>
  <w:footnote w:id="15">
    <w:p w14:paraId="311E7330" w14:textId="0A1B09B3" w:rsidR="00BE73C0" w:rsidRDefault="00BE73C0" w:rsidP="00510938">
      <w:pPr>
        <w:pStyle w:val="CommentText"/>
      </w:pPr>
      <w:r>
        <w:rPr>
          <w:rStyle w:val="FootnoteReference"/>
        </w:rPr>
        <w:footnoteRef/>
      </w:r>
      <w:r>
        <w:t xml:space="preserve"> The question of how we discern “the popular will” – Rousseau’s Volonté Générale – is an abiding problem.  It’s essentially a fiction anywhere. That’s why western democracies are representative not delegatory – and why referenda in general are a bad idea. This might be worth exploring at some point….</w:t>
      </w:r>
    </w:p>
  </w:footnote>
  <w:footnote w:id="16">
    <w:p w14:paraId="4153D3BE" w14:textId="58841437" w:rsidR="00BE73C0" w:rsidRDefault="00BE73C0">
      <w:pPr>
        <w:pStyle w:val="FootnoteText"/>
      </w:pPr>
      <w:r>
        <w:rPr>
          <w:rStyle w:val="FootnoteReference"/>
        </w:rPr>
        <w:footnoteRef/>
      </w:r>
      <w:r>
        <w:t xml:space="preserve"> Williams, </w:t>
      </w:r>
      <w:r w:rsidRPr="00FA0B1B">
        <w:rPr>
          <w:i/>
          <w:iCs/>
        </w:rPr>
        <w:t>Rowan, Faith in the Public Square</w:t>
      </w:r>
      <w:r>
        <w:t xml:space="preserve"> (London: Bloomsbury: 2015, 49). </w:t>
      </w:r>
    </w:p>
  </w:footnote>
  <w:footnote w:id="17">
    <w:p w14:paraId="557F7E9F" w14:textId="7FE17226" w:rsidR="00BE73C0" w:rsidRDefault="00BE73C0">
      <w:pPr>
        <w:pStyle w:val="FootnoteText"/>
      </w:pPr>
      <w:r>
        <w:rPr>
          <w:rStyle w:val="FootnoteReference"/>
        </w:rPr>
        <w:footnoteRef/>
      </w:r>
      <w:r>
        <w:t xml:space="preserve"> For a discussion on how mass violence can be associated with certain practices of ‘democracy’, see, Mann, Michael, </w:t>
      </w:r>
      <w:r w:rsidRPr="00FA0B1B">
        <w:rPr>
          <w:i/>
          <w:iCs/>
        </w:rPr>
        <w:t xml:space="preserve">The Dark Side of Democracy </w:t>
      </w:r>
      <w:r>
        <w:t xml:space="preserve">(Cambridge: CUP, 2012). Also, Polity IV Project defines and tracks levels of democracy as explained here: </w:t>
      </w:r>
      <w:hyperlink r:id="rId2" w:history="1">
        <w:r w:rsidRPr="009F474F">
          <w:rPr>
            <w:rStyle w:val="Hyperlink"/>
          </w:rPr>
          <w:t>http://www.systemicpeace.org/polityproject.html</w:t>
        </w:r>
      </w:hyperlink>
      <w:r>
        <w:t xml:space="preserve"> </w:t>
      </w:r>
    </w:p>
  </w:footnote>
  <w:footnote w:id="18">
    <w:p w14:paraId="07A4029A" w14:textId="49F9613F" w:rsidR="00BE73C0" w:rsidRDefault="00BE73C0">
      <w:pPr>
        <w:pStyle w:val="FootnoteText"/>
      </w:pPr>
      <w:r>
        <w:rPr>
          <w:rStyle w:val="FootnoteReference"/>
        </w:rPr>
        <w:footnoteRef/>
      </w:r>
      <w:r>
        <w:t xml:space="preserve"> Al-Barghouti, Tamim, </w:t>
      </w:r>
      <w:r w:rsidRPr="008F1E5D">
        <w:rPr>
          <w:i/>
          <w:iCs/>
        </w:rPr>
        <w:t>The Umma and the Dawla</w:t>
      </w:r>
      <w:r>
        <w:t>, pp. 201-202</w:t>
      </w:r>
    </w:p>
  </w:footnote>
  <w:footnote w:id="19">
    <w:p w14:paraId="74096B16" w14:textId="06D34AB7" w:rsidR="00BE73C0" w:rsidRDefault="00BE73C0">
      <w:pPr>
        <w:pStyle w:val="FootnoteText"/>
      </w:pPr>
      <w:r>
        <w:rPr>
          <w:rStyle w:val="FootnoteReference"/>
        </w:rPr>
        <w:footnoteRef/>
      </w:r>
      <w:r>
        <w:t xml:space="preserve"> Ibid, p.202.</w:t>
      </w:r>
    </w:p>
  </w:footnote>
  <w:footnote w:id="20">
    <w:p w14:paraId="2BA374FE" w14:textId="09614A94" w:rsidR="00BE73C0" w:rsidRDefault="00BE73C0">
      <w:pPr>
        <w:pStyle w:val="FootnoteText"/>
      </w:pPr>
      <w:r>
        <w:rPr>
          <w:rStyle w:val="FootnoteReference"/>
        </w:rPr>
        <w:footnoteRef/>
      </w:r>
      <w:r>
        <w:t xml:space="preserve"> Guibernau, Montserrat, </w:t>
      </w:r>
      <w:r w:rsidRPr="00F244FD">
        <w:rPr>
          <w:i/>
          <w:iCs/>
        </w:rPr>
        <w:t>Nationalisms: The Nation-State and Nationalism in the Twentieth Century</w:t>
      </w:r>
      <w:r>
        <w:t xml:space="preserve"> (Cambridge: Polity Press, 1996), p. 3. </w:t>
      </w:r>
    </w:p>
  </w:footnote>
  <w:footnote w:id="21">
    <w:p w14:paraId="7ED0D280" w14:textId="01F7E487" w:rsidR="00BE73C0" w:rsidRDefault="00BE73C0">
      <w:pPr>
        <w:pStyle w:val="FootnoteText"/>
      </w:pPr>
      <w:r>
        <w:rPr>
          <w:rStyle w:val="FootnoteReference"/>
        </w:rPr>
        <w:footnoteRef/>
      </w:r>
      <w:r>
        <w:t xml:space="preserve"> Hallaq, Wael, </w:t>
      </w:r>
      <w:r w:rsidRPr="00EB701E">
        <w:rPr>
          <w:i/>
          <w:iCs/>
        </w:rPr>
        <w:t>Restating Orientalism: A Critique of Modern Knowledge</w:t>
      </w:r>
      <w:r>
        <w:t xml:space="preserve"> (New York: Columbia University Press, 2018), pp. 92-93.</w:t>
      </w:r>
    </w:p>
  </w:footnote>
  <w:footnote w:id="22">
    <w:p w14:paraId="74E59154" w14:textId="172EA481" w:rsidR="00BE73C0" w:rsidRDefault="00BE73C0">
      <w:pPr>
        <w:pStyle w:val="FootnoteText"/>
      </w:pPr>
      <w:r>
        <w:rPr>
          <w:rStyle w:val="FootnoteReference"/>
        </w:rPr>
        <w:footnoteRef/>
      </w:r>
      <w:r>
        <w:t xml:space="preserve"> The translation may be found on the BBC website here: </w:t>
      </w:r>
      <w:hyperlink r:id="rId3" w:history="1">
        <w:r w:rsidRPr="009F474F">
          <w:rPr>
            <w:rStyle w:val="Hyperlink"/>
          </w:rPr>
          <w:t>http://news.bbc.co.uk/1/shared/bsp/hi/pdfs/24_08_05_constit.pdf</w:t>
        </w:r>
      </w:hyperlink>
      <w:r>
        <w:t xml:space="preserve"> (accessed July 31, 2020). </w:t>
      </w:r>
    </w:p>
  </w:footnote>
  <w:footnote w:id="23">
    <w:p w14:paraId="1B6B19AF" w14:textId="021FE7FB" w:rsidR="00BE73C0" w:rsidRDefault="00BE73C0">
      <w:pPr>
        <w:pStyle w:val="FootnoteText"/>
      </w:pPr>
      <w:r>
        <w:rPr>
          <w:rStyle w:val="FootnoteReference"/>
        </w:rPr>
        <w:footnoteRef/>
      </w:r>
      <w:r>
        <w:t xml:space="preserve"> Al-Barghouti, Tamim, </w:t>
      </w:r>
      <w:r w:rsidRPr="008F1E5D">
        <w:rPr>
          <w:i/>
          <w:iCs/>
        </w:rPr>
        <w:t>The Umma and the Dawla</w:t>
      </w:r>
      <w:r>
        <w:t>, p. 202.</w:t>
      </w:r>
    </w:p>
  </w:footnote>
  <w:footnote w:id="24">
    <w:p w14:paraId="06DBC8F3" w14:textId="290C2324" w:rsidR="00BE73C0" w:rsidRPr="002A2BA2" w:rsidRDefault="00BE73C0">
      <w:pPr>
        <w:pStyle w:val="FootnoteText"/>
      </w:pPr>
      <w:r>
        <w:rPr>
          <w:rStyle w:val="FootnoteReference"/>
        </w:rPr>
        <w:footnoteRef/>
      </w:r>
      <w:r>
        <w:t xml:space="preserve"> Tibi, Bassam, </w:t>
      </w:r>
      <w:r w:rsidRPr="00881A04">
        <w:rPr>
          <w:i/>
          <w:iCs/>
        </w:rPr>
        <w:t>Arab Nationalism: A Critical Enquiry</w:t>
      </w:r>
      <w:r>
        <w:t>, pp. 111-112.</w:t>
      </w:r>
    </w:p>
  </w:footnote>
  <w:footnote w:id="25">
    <w:p w14:paraId="72B971AC" w14:textId="42830DEE" w:rsidR="00BE73C0" w:rsidRDefault="00BE73C0">
      <w:pPr>
        <w:pStyle w:val="FootnoteText"/>
      </w:pPr>
      <w:r>
        <w:rPr>
          <w:rStyle w:val="FootnoteReference"/>
        </w:rPr>
        <w:footnoteRef/>
      </w:r>
      <w:r>
        <w:t xml:space="preserve"> Baqillani, Abu Bakr, al-, </w:t>
      </w:r>
      <w:r w:rsidRPr="004640A4">
        <w:rPr>
          <w:i/>
          <w:iCs/>
        </w:rPr>
        <w:t>Kitab al-Tamhid</w:t>
      </w:r>
      <w:r>
        <w:t xml:space="preserve"> (The Preface), Mahmoud Muhammad Khudairi and Muhammad Abdel Hadli Abu Rida (Eds.) (Cairo: Dar al-Fikr al-Arabi, 1947), pp. 180-184. </w:t>
      </w:r>
    </w:p>
  </w:footnote>
  <w:footnote w:id="26">
    <w:p w14:paraId="1D66BCCA" w14:textId="76763C1C" w:rsidR="00BE73C0" w:rsidRDefault="00BE73C0">
      <w:pPr>
        <w:pStyle w:val="FootnoteText"/>
      </w:pPr>
      <w:r>
        <w:rPr>
          <w:rStyle w:val="FootnoteReference"/>
        </w:rPr>
        <w:footnoteRef/>
      </w:r>
      <w:r>
        <w:t xml:space="preserve"> Al-Barghouti, Tamim, </w:t>
      </w:r>
      <w:r w:rsidRPr="008F1E5D">
        <w:rPr>
          <w:i/>
          <w:iCs/>
        </w:rPr>
        <w:t>The Umma and the Dawla</w:t>
      </w:r>
      <w:r>
        <w:t>, 202-203.</w:t>
      </w:r>
    </w:p>
  </w:footnote>
  <w:footnote w:id="27">
    <w:p w14:paraId="5917F452" w14:textId="7988B7DE" w:rsidR="00BE73C0" w:rsidRDefault="00BE73C0">
      <w:pPr>
        <w:pStyle w:val="FootnoteText"/>
      </w:pPr>
      <w:r>
        <w:rPr>
          <w:rStyle w:val="FootnoteReference"/>
        </w:rPr>
        <w:footnoteRef/>
      </w:r>
      <w:r>
        <w:t xml:space="preserve"> Ibid, p. 207. </w:t>
      </w:r>
    </w:p>
  </w:footnote>
  <w:footnote w:id="28">
    <w:p w14:paraId="2CEDB6A5" w14:textId="0FEDFB86" w:rsidR="00BE73C0" w:rsidRDefault="00BE73C0">
      <w:pPr>
        <w:pStyle w:val="FootnoteText"/>
      </w:pPr>
      <w:r>
        <w:rPr>
          <w:rStyle w:val="FootnoteReference"/>
        </w:rPr>
        <w:footnoteRef/>
      </w:r>
      <w:r>
        <w:t xml:space="preserve"> Tibi, Bassam, </w:t>
      </w:r>
      <w:r w:rsidRPr="001D5962">
        <w:rPr>
          <w:i/>
          <w:iCs/>
        </w:rPr>
        <w:t>Arab Nationalism</w:t>
      </w:r>
      <w:r>
        <w:t>, pp. 172-173.</w:t>
      </w:r>
    </w:p>
  </w:footnote>
  <w:footnote w:id="29">
    <w:p w14:paraId="4CA96D24" w14:textId="0703BC0D" w:rsidR="00BE73C0" w:rsidRDefault="00BE73C0">
      <w:pPr>
        <w:pStyle w:val="FootnoteText"/>
      </w:pPr>
      <w:r>
        <w:rPr>
          <w:rStyle w:val="FootnoteReference"/>
        </w:rPr>
        <w:footnoteRef/>
      </w:r>
      <w:r>
        <w:t xml:space="preserve"> Ibn Khaldun, Abd al-Rahman Ibn Muhammad, </w:t>
      </w:r>
      <w:r w:rsidRPr="002020A1">
        <w:rPr>
          <w:i/>
          <w:iCs/>
        </w:rPr>
        <w:t>Tarikh Ibn Khaldun</w:t>
      </w:r>
      <w:r>
        <w:t>, Adil Ibn Sa’d (ed.) (Beirut: Dar al-kutub al</w:t>
      </w:r>
      <w:proofErr w:type="gramStart"/>
      <w:r>
        <w:t>-‘</w:t>
      </w:r>
      <w:proofErr w:type="gramEnd"/>
      <w:r>
        <w:t xml:space="preserve">ilmiyya, 1971), vol. I, p. 126. </w:t>
      </w:r>
    </w:p>
  </w:footnote>
  <w:footnote w:id="30">
    <w:p w14:paraId="091B3F42" w14:textId="77777777" w:rsidR="00BE73C0" w:rsidRDefault="00BE73C0" w:rsidP="00835A35">
      <w:pPr>
        <w:pStyle w:val="FootnoteText"/>
      </w:pPr>
      <w:r>
        <w:rPr>
          <w:rStyle w:val="FootnoteReference"/>
        </w:rPr>
        <w:footnoteRef/>
      </w:r>
      <w:r>
        <w:t xml:space="preserve"> Ibid, vol I, p. 132-133.</w:t>
      </w:r>
    </w:p>
  </w:footnote>
  <w:footnote w:id="31">
    <w:p w14:paraId="5E65086A" w14:textId="063A3544" w:rsidR="00BE73C0" w:rsidRDefault="00BE73C0">
      <w:pPr>
        <w:pStyle w:val="FootnoteText"/>
      </w:pPr>
      <w:r>
        <w:rPr>
          <w:rStyle w:val="FootnoteReference"/>
        </w:rPr>
        <w:footnoteRef/>
      </w:r>
      <w:r>
        <w:t xml:space="preserve"> Banna, Hasan, </w:t>
      </w:r>
      <w:r w:rsidRPr="00835A35">
        <w:rPr>
          <w:i/>
          <w:iCs/>
        </w:rPr>
        <w:t>Majmu’at rasa’il al-Imam al-Shahid Hasan al-Banna</w:t>
      </w:r>
      <w:r>
        <w:t xml:space="preserve"> (Cairo: Dar al-Shihab, 1992), p. 110. </w:t>
      </w:r>
    </w:p>
  </w:footnote>
  <w:footnote w:id="32">
    <w:p w14:paraId="5D8A6592" w14:textId="0F015A79" w:rsidR="00BE73C0" w:rsidRDefault="00BE73C0">
      <w:pPr>
        <w:pStyle w:val="FootnoteText"/>
      </w:pPr>
      <w:r>
        <w:rPr>
          <w:rStyle w:val="FootnoteReference"/>
        </w:rPr>
        <w:footnoteRef/>
      </w:r>
      <w:r>
        <w:t xml:space="preserve"> Al-Anani, Khalil, ‘The Muslim Brotherhood’s Conception of Citizenship Rights in Egypt’, in </w:t>
      </w:r>
      <w:r w:rsidRPr="00606A2C">
        <w:rPr>
          <w:i/>
          <w:iCs/>
        </w:rPr>
        <w:t>Contemporary Arab Affairs</w:t>
      </w:r>
      <w:r>
        <w:t xml:space="preserve">, September 2018, vol. 11(3), pp. 25-46. </w:t>
      </w:r>
    </w:p>
  </w:footnote>
  <w:footnote w:id="33">
    <w:p w14:paraId="12D968AB" w14:textId="14DF5299" w:rsidR="00BE73C0" w:rsidRDefault="00BE73C0">
      <w:pPr>
        <w:pStyle w:val="FootnoteText"/>
      </w:pPr>
      <w:r>
        <w:rPr>
          <w:rStyle w:val="FootnoteReference"/>
        </w:rPr>
        <w:footnoteRef/>
      </w:r>
      <w:r>
        <w:t xml:space="preserve"> </w:t>
      </w:r>
      <w:hyperlink r:id="rId4" w:history="1">
        <w:r w:rsidRPr="009F474F">
          <w:rPr>
            <w:rStyle w:val="Hyperlink"/>
          </w:rPr>
          <w:t>https://www.catholicnewsagency.com/news/pope-tells-egypts-authorities-they-have-key-role-in-brokering-peace-56172</w:t>
        </w:r>
      </w:hyperlink>
      <w:r>
        <w:t xml:space="preserve"> (Accessed August 2020). </w:t>
      </w:r>
    </w:p>
  </w:footnote>
  <w:footnote w:id="34">
    <w:p w14:paraId="2EC67499" w14:textId="77777777" w:rsidR="00BE73C0" w:rsidRDefault="00BE73C0" w:rsidP="00D06403">
      <w:pPr>
        <w:pStyle w:val="FootnoteText"/>
      </w:pPr>
      <w:r>
        <w:rPr>
          <w:rStyle w:val="FootnoteReference"/>
        </w:rPr>
        <w:footnoteRef/>
      </w:r>
      <w:r>
        <w:t xml:space="preserve"> Gartenstein=Ross, Daveed &amp; Vassefi, Tara, ‘Perceptions of the ‘Arab Spring’ within the Salafi-Jihadi Movement’, in </w:t>
      </w:r>
      <w:r w:rsidRPr="000D04AF">
        <w:rPr>
          <w:i/>
          <w:iCs/>
        </w:rPr>
        <w:t>Studies in conflict and terrorism</w:t>
      </w:r>
      <w:r>
        <w:t>, December 2012, vol. 35(12), pp. 831-848.</w:t>
      </w:r>
    </w:p>
  </w:footnote>
  <w:footnote w:id="35">
    <w:p w14:paraId="0D5CF130" w14:textId="226E37DC" w:rsidR="00BE73C0" w:rsidRDefault="00BE73C0" w:rsidP="00926C1F">
      <w:pPr>
        <w:pStyle w:val="FootnoteText"/>
      </w:pPr>
      <w:r>
        <w:rPr>
          <w:rStyle w:val="FootnoteReference"/>
        </w:rPr>
        <w:footnoteRef/>
      </w:r>
      <w:r>
        <w:t xml:space="preserve"> Barghouti, </w:t>
      </w:r>
      <w:r w:rsidRPr="00F92A42">
        <w:rPr>
          <w:i/>
          <w:iCs/>
        </w:rPr>
        <w:t>The Umma and the Dawla</w:t>
      </w:r>
      <w:r>
        <w:t>, p. 213</w:t>
      </w:r>
    </w:p>
  </w:footnote>
  <w:footnote w:id="36">
    <w:p w14:paraId="419D663A" w14:textId="77777777" w:rsidR="00BE73C0" w:rsidRPr="00CD34EA" w:rsidRDefault="00BE73C0" w:rsidP="00926C1F">
      <w:pPr>
        <w:pStyle w:val="FootnoteText"/>
        <w:rPr>
          <w:iCs/>
        </w:rPr>
      </w:pPr>
      <w:r>
        <w:rPr>
          <w:rStyle w:val="FootnoteReference"/>
        </w:rPr>
        <w:footnoteRef/>
      </w:r>
      <w:r>
        <w:t xml:space="preserve"> Maoz, Asher (ed.), </w:t>
      </w:r>
      <w:r w:rsidRPr="00CD34EA">
        <w:rPr>
          <w:i/>
        </w:rPr>
        <w:t>Israel as a Jewish and Democratic State</w:t>
      </w:r>
      <w:r w:rsidRPr="00CD34EA">
        <w:rPr>
          <w:iCs/>
        </w:rPr>
        <w:t xml:space="preserve"> (Liverpool: The Jewish Law Association, 2011), p. 174</w:t>
      </w:r>
      <w:r>
        <w:rPr>
          <w:iCs/>
        </w:rPr>
        <w:t>.</w:t>
      </w:r>
    </w:p>
  </w:footnote>
  <w:footnote w:id="37">
    <w:p w14:paraId="4E6783DB" w14:textId="77777777" w:rsidR="00BE73C0" w:rsidRDefault="00BE73C0" w:rsidP="00926C1F">
      <w:pPr>
        <w:pStyle w:val="FootnoteText"/>
      </w:pPr>
      <w:r>
        <w:rPr>
          <w:rStyle w:val="FootnoteReference"/>
        </w:rPr>
        <w:footnoteRef/>
      </w:r>
      <w:r>
        <w:t xml:space="preserve"> Boganor, Vernon, ‘Sovereignty of Parliament or the Rule of Law?’ </w:t>
      </w:r>
      <w:r w:rsidRPr="004520E5">
        <w:rPr>
          <w:i/>
          <w:iCs/>
        </w:rPr>
        <w:t>Magna Carta Lecture: 15 June, 2006</w:t>
      </w:r>
      <w:r>
        <w:t xml:space="preserve"> (</w:t>
      </w:r>
      <w:hyperlink r:id="rId5" w:history="1">
        <w:r w:rsidRPr="009F474F">
          <w:rPr>
            <w:rStyle w:val="Hyperlink"/>
          </w:rPr>
          <w:t>https://magnacarta800th.com/wp-content/uploads/2011/10/Sovereignty_Parliament_or_the_Rule_Law.pdf</w:t>
        </w:r>
      </w:hyperlink>
      <w:r>
        <w:t xml:space="preserve">, accessed August 2020), p. 2. </w:t>
      </w:r>
    </w:p>
  </w:footnote>
  <w:footnote w:id="38">
    <w:p w14:paraId="79DA160D" w14:textId="77777777" w:rsidR="00BE73C0" w:rsidRDefault="00BE73C0" w:rsidP="00926C1F">
      <w:pPr>
        <w:pStyle w:val="FootnoteText"/>
      </w:pPr>
      <w:r>
        <w:rPr>
          <w:rStyle w:val="FootnoteReference"/>
        </w:rPr>
        <w:footnoteRef/>
      </w:r>
      <w:r>
        <w:t xml:space="preserve"> It should be noted, however, that even in the early period, the requirement for a Caliph from the Prophet’s tribe of Quraysh developed away from Qur’anic teachings, reflecting a discursive separation of ‘religious’ authority and political authority from early on. See Madelung, Wilferd, </w:t>
      </w:r>
      <w:r w:rsidRPr="00E367EB">
        <w:rPr>
          <w:i/>
          <w:iCs/>
        </w:rPr>
        <w:t>The Succession to Muhammad: A Study of the Early Caliphate</w:t>
      </w:r>
      <w:r>
        <w:t xml:space="preserve"> (Cambridge: CUP, 1997), pp 48-49, 67. </w:t>
      </w:r>
    </w:p>
  </w:footnote>
  <w:footnote w:id="39">
    <w:p w14:paraId="3E8CF951" w14:textId="77777777" w:rsidR="00BE73C0" w:rsidRDefault="00BE73C0" w:rsidP="00926C1F">
      <w:pPr>
        <w:pStyle w:val="FootnoteText"/>
      </w:pPr>
      <w:r>
        <w:rPr>
          <w:rStyle w:val="FootnoteReference"/>
        </w:rPr>
        <w:footnoteRef/>
      </w:r>
      <w:r>
        <w:t xml:space="preserve"> As the various publications of Wael Hallaq have shown. See, </w:t>
      </w:r>
      <w:r w:rsidRPr="00FF7FC3">
        <w:rPr>
          <w:i/>
          <w:iCs/>
        </w:rPr>
        <w:t>The Origins and Evolution of Islamic Law</w:t>
      </w:r>
      <w:r>
        <w:t xml:space="preserve"> (Cambridge: CUP, 2007). </w:t>
      </w:r>
    </w:p>
  </w:footnote>
  <w:footnote w:id="40">
    <w:p w14:paraId="4145775C" w14:textId="77777777" w:rsidR="00BE73C0" w:rsidRDefault="00BE73C0" w:rsidP="00926C1F">
      <w:pPr>
        <w:pStyle w:val="FootnoteText"/>
      </w:pPr>
      <w:r>
        <w:rPr>
          <w:rStyle w:val="FootnoteReference"/>
        </w:rPr>
        <w:footnoteRef/>
      </w:r>
      <w:r>
        <w:t xml:space="preserve"> Said, Yazeed, </w:t>
      </w:r>
      <w:r w:rsidRPr="00FF7FC3">
        <w:rPr>
          <w:i/>
          <w:iCs/>
        </w:rPr>
        <w:t>Ghazali’s Politics in Context</w:t>
      </w:r>
      <w:r>
        <w:t xml:space="preserve"> (Abingdon, Oxon: Routledge, 2017), pp. 124-137. </w:t>
      </w:r>
    </w:p>
  </w:footnote>
  <w:footnote w:id="41">
    <w:p w14:paraId="27EDA494" w14:textId="325CD913" w:rsidR="00BE73C0" w:rsidRDefault="00BE73C0" w:rsidP="00A54ABA">
      <w:pPr>
        <w:pStyle w:val="FootnoteText"/>
      </w:pPr>
      <w:r>
        <w:rPr>
          <w:rStyle w:val="FootnoteReference"/>
        </w:rPr>
        <w:footnoteRef/>
      </w:r>
      <w:r>
        <w:t xml:space="preserve"> Rowan Williams, </w:t>
      </w:r>
      <w:r w:rsidRPr="000944B2">
        <w:rPr>
          <w:i/>
          <w:iCs/>
        </w:rPr>
        <w:t>Faith in the Public Square</w:t>
      </w:r>
      <w:r>
        <w:t>, p. 49.</w:t>
      </w:r>
    </w:p>
  </w:footnote>
  <w:footnote w:id="42">
    <w:p w14:paraId="4BDD5A0A" w14:textId="6D64EC62" w:rsidR="00BE73C0" w:rsidRDefault="00BE73C0" w:rsidP="005B6C27">
      <w:pPr>
        <w:pStyle w:val="CommentText"/>
      </w:pPr>
      <w:r>
        <w:rPr>
          <w:rStyle w:val="FootnoteReference"/>
        </w:rPr>
        <w:footnoteRef/>
      </w:r>
      <w:r>
        <w:t xml:space="preserve"> Jackson, Sherman, </w:t>
      </w:r>
      <w:r w:rsidRPr="00DB6615">
        <w:rPr>
          <w:i/>
          <w:iCs/>
        </w:rPr>
        <w:t>Islamic Law and the State: The Constitutional Jurisprudence of Shihab al-Din al-Qarafi</w:t>
      </w:r>
      <w:r>
        <w:t xml:space="preserve"> (Leiden: Brill, 1996), p. xv. </w:t>
      </w:r>
    </w:p>
  </w:footnote>
  <w:footnote w:id="43">
    <w:p w14:paraId="718D85BB" w14:textId="4FDFCE31" w:rsidR="00BE73C0" w:rsidRDefault="00BE73C0">
      <w:pPr>
        <w:pStyle w:val="FootnoteText"/>
      </w:pPr>
      <w:r>
        <w:rPr>
          <w:rStyle w:val="FootnoteReference"/>
        </w:rPr>
        <w:footnoteRef/>
      </w:r>
      <w:r>
        <w:t xml:space="preserve"> Hallaq, Wael, </w:t>
      </w:r>
      <w:r w:rsidRPr="000923AB">
        <w:rPr>
          <w:i/>
          <w:iCs/>
        </w:rPr>
        <w:t>The Impossible State: Islam, Politics, and Modernity’s Moral Predicament</w:t>
      </w:r>
      <w:r>
        <w:t xml:space="preserve"> (New York: Columbia University Press), pp. ix-xiv.</w:t>
      </w:r>
    </w:p>
  </w:footnote>
  <w:footnote w:id="44">
    <w:p w14:paraId="7F89A8B8" w14:textId="01DA4A61" w:rsidR="00BE73C0" w:rsidRDefault="00BE73C0">
      <w:pPr>
        <w:pStyle w:val="FootnoteText"/>
      </w:pPr>
      <w:r>
        <w:rPr>
          <w:rStyle w:val="FootnoteReference"/>
        </w:rPr>
        <w:footnoteRef/>
      </w:r>
      <w:r>
        <w:t xml:space="preserve"> Ibid, p. 71</w:t>
      </w:r>
    </w:p>
  </w:footnote>
  <w:footnote w:id="45">
    <w:p w14:paraId="753BE004" w14:textId="086C7B6E" w:rsidR="00BE73C0" w:rsidRDefault="00BE73C0">
      <w:pPr>
        <w:pStyle w:val="FootnoteText"/>
      </w:pPr>
      <w:r>
        <w:rPr>
          <w:rStyle w:val="FootnoteReference"/>
        </w:rPr>
        <w:footnoteRef/>
      </w:r>
      <w:r>
        <w:t xml:space="preserve"> Ibid, pp. 71-72. </w:t>
      </w:r>
    </w:p>
  </w:footnote>
  <w:footnote w:id="46">
    <w:p w14:paraId="0D2C3F33" w14:textId="66CB611B" w:rsidR="00BE73C0" w:rsidRDefault="00BE73C0">
      <w:pPr>
        <w:pStyle w:val="FootnoteText"/>
      </w:pPr>
      <w:r>
        <w:rPr>
          <w:rStyle w:val="FootnoteReference"/>
        </w:rPr>
        <w:footnoteRef/>
      </w:r>
      <w:r>
        <w:t xml:space="preserve"> Ibid, p. 23.</w:t>
      </w:r>
    </w:p>
  </w:footnote>
  <w:footnote w:id="47">
    <w:p w14:paraId="1FAC810D" w14:textId="16129F26" w:rsidR="00BE73C0" w:rsidRDefault="00BE73C0">
      <w:pPr>
        <w:pStyle w:val="FootnoteText"/>
      </w:pPr>
      <w:r>
        <w:rPr>
          <w:rStyle w:val="FootnoteReference"/>
        </w:rPr>
        <w:footnoteRef/>
      </w:r>
      <w:r>
        <w:t xml:space="preserve"> Ghazali, Abu Hamid, </w:t>
      </w:r>
      <w:r w:rsidRPr="008E7272">
        <w:rPr>
          <w:i/>
          <w:iCs/>
        </w:rPr>
        <w:t>Ihya ulum al-din</w:t>
      </w:r>
      <w:r>
        <w:t>, Abd al-Malik al-Zughbi (ed.) (Cairo: Dar al-Manar, N.D.), vol. 1: 54</w:t>
      </w:r>
    </w:p>
  </w:footnote>
  <w:footnote w:id="48">
    <w:p w14:paraId="0342C37B" w14:textId="0B48BA46" w:rsidR="00BE73C0" w:rsidRDefault="00BE73C0">
      <w:pPr>
        <w:pStyle w:val="FootnoteText"/>
      </w:pPr>
      <w:r>
        <w:rPr>
          <w:rStyle w:val="FootnoteReference"/>
        </w:rPr>
        <w:footnoteRef/>
      </w:r>
      <w:r>
        <w:t xml:space="preserve"> Hallaq, Wael, </w:t>
      </w:r>
      <w:r w:rsidRPr="00A031E4">
        <w:rPr>
          <w:i/>
          <w:iCs/>
        </w:rPr>
        <w:t>The Impossible State</w:t>
      </w:r>
      <w:r>
        <w:t xml:space="preserve">, pp. 25-28. </w:t>
      </w:r>
    </w:p>
  </w:footnote>
  <w:footnote w:id="49">
    <w:p w14:paraId="35B260C4" w14:textId="40C0BCA9" w:rsidR="00BE73C0" w:rsidRDefault="00BE73C0">
      <w:pPr>
        <w:pStyle w:val="FootnoteText"/>
      </w:pPr>
      <w:r>
        <w:rPr>
          <w:rStyle w:val="FootnoteReference"/>
        </w:rPr>
        <w:footnoteRef/>
      </w:r>
      <w:r>
        <w:t xml:space="preserve"> Hallaq, Wael, </w:t>
      </w:r>
      <w:r w:rsidRPr="00EB701E">
        <w:rPr>
          <w:i/>
          <w:iCs/>
        </w:rPr>
        <w:t>Restating Orientalism: A Critique of Modern Knowledge</w:t>
      </w:r>
      <w:r>
        <w:t xml:space="preserve"> (New York: Columbia University Press, 2018), pp. 80-82.</w:t>
      </w:r>
    </w:p>
  </w:footnote>
  <w:footnote w:id="50">
    <w:p w14:paraId="087427F7" w14:textId="0723962D" w:rsidR="00BE73C0" w:rsidRDefault="00BE73C0">
      <w:pPr>
        <w:pStyle w:val="FootnoteText"/>
      </w:pPr>
      <w:r>
        <w:rPr>
          <w:rStyle w:val="FootnoteReference"/>
        </w:rPr>
        <w:footnoteRef/>
      </w:r>
      <w:r>
        <w:t xml:space="preserve"> Hallaq, Wael, </w:t>
      </w:r>
      <w:r w:rsidRPr="00EB701E">
        <w:rPr>
          <w:i/>
          <w:iCs/>
        </w:rPr>
        <w:t>The Impossible State</w:t>
      </w:r>
      <w:r>
        <w:t xml:space="preserve">, pp. 74-75. He seems to agree here with Talal Asad, who noted that: ‘the European Enlightenment constitutes the historical site form which Westerners typically approach non-Western traditions’. See Asad, Talal, </w:t>
      </w:r>
      <w:r w:rsidRPr="00B46DE1">
        <w:rPr>
          <w:i/>
          <w:iCs/>
        </w:rPr>
        <w:t>Genealogies of Religion: Discipline and Reasons of Power in Christia</w:t>
      </w:r>
      <w:r>
        <w:rPr>
          <w:i/>
          <w:iCs/>
        </w:rPr>
        <w:t>n</w:t>
      </w:r>
      <w:r w:rsidRPr="00B46DE1">
        <w:rPr>
          <w:i/>
          <w:iCs/>
        </w:rPr>
        <w:t xml:space="preserve">ity and Islam </w:t>
      </w:r>
      <w:r>
        <w:t>(Baltimore: Johns Hopkins University Press), p. 200.</w:t>
      </w:r>
    </w:p>
  </w:footnote>
  <w:footnote w:id="51">
    <w:p w14:paraId="65222AA1" w14:textId="67D407DC" w:rsidR="00BE73C0" w:rsidRDefault="00BE73C0">
      <w:pPr>
        <w:pStyle w:val="FootnoteText"/>
      </w:pPr>
      <w:r>
        <w:rPr>
          <w:rStyle w:val="FootnoteReference"/>
        </w:rPr>
        <w:footnoteRef/>
      </w:r>
      <w:r>
        <w:t xml:space="preserve"> Hallaq, Wael, </w:t>
      </w:r>
      <w:r w:rsidRPr="008A365F">
        <w:rPr>
          <w:i/>
          <w:iCs/>
        </w:rPr>
        <w:t>Restating Orientalism</w:t>
      </w:r>
      <w:r>
        <w:t xml:space="preserve">, pp. 36-37. </w:t>
      </w:r>
    </w:p>
  </w:footnote>
  <w:footnote w:id="52">
    <w:p w14:paraId="11DADB19" w14:textId="763DF59C" w:rsidR="00BE73C0" w:rsidRDefault="00BE73C0">
      <w:pPr>
        <w:pStyle w:val="FootnoteText"/>
      </w:pPr>
      <w:r>
        <w:rPr>
          <w:rStyle w:val="FootnoteReference"/>
        </w:rPr>
        <w:footnoteRef/>
      </w:r>
      <w:r>
        <w:t xml:space="preserve"> Ibid, pp. 86, 94, </w:t>
      </w:r>
    </w:p>
  </w:footnote>
  <w:footnote w:id="53">
    <w:p w14:paraId="3DDAF829" w14:textId="5E8A526D" w:rsidR="00BE73C0" w:rsidRDefault="00BE73C0">
      <w:pPr>
        <w:pStyle w:val="FootnoteText"/>
      </w:pPr>
      <w:r>
        <w:rPr>
          <w:rStyle w:val="FootnoteReference"/>
        </w:rPr>
        <w:footnoteRef/>
      </w:r>
      <w:r>
        <w:t xml:space="preserve"> Ibid, pp. 61-63. </w:t>
      </w:r>
    </w:p>
  </w:footnote>
  <w:footnote w:id="54">
    <w:p w14:paraId="5490646C" w14:textId="3CE0449C" w:rsidR="00BE73C0" w:rsidRDefault="00BE73C0">
      <w:pPr>
        <w:pStyle w:val="FootnoteText"/>
      </w:pPr>
      <w:r>
        <w:rPr>
          <w:rStyle w:val="FootnoteReference"/>
        </w:rPr>
        <w:footnoteRef/>
      </w:r>
      <w:r>
        <w:t xml:space="preserve"> Ibid, pp. 84-85. </w:t>
      </w:r>
    </w:p>
  </w:footnote>
  <w:footnote w:id="55">
    <w:p w14:paraId="5689DA2F" w14:textId="1637D590" w:rsidR="00BE73C0" w:rsidRDefault="00BE73C0">
      <w:pPr>
        <w:pStyle w:val="FootnoteText"/>
      </w:pPr>
      <w:r>
        <w:rPr>
          <w:rStyle w:val="FootnoteReference"/>
        </w:rPr>
        <w:footnoteRef/>
      </w:r>
      <w:r>
        <w:t xml:space="preserve"> Ibid, pp. 92-93. </w:t>
      </w:r>
    </w:p>
  </w:footnote>
  <w:footnote w:id="56">
    <w:p w14:paraId="621BDD7B" w14:textId="63F2B587" w:rsidR="00BE73C0" w:rsidRDefault="00BE73C0">
      <w:pPr>
        <w:pStyle w:val="FootnoteText"/>
      </w:pPr>
      <w:r>
        <w:rPr>
          <w:rStyle w:val="FootnoteReference"/>
        </w:rPr>
        <w:footnoteRef/>
      </w:r>
      <w:r>
        <w:t xml:space="preserve"> Ibid, pp. 160-161.</w:t>
      </w:r>
    </w:p>
  </w:footnote>
  <w:footnote w:id="57">
    <w:p w14:paraId="77FF550A" w14:textId="7C9068E7" w:rsidR="00BE73C0" w:rsidRDefault="00BE73C0">
      <w:pPr>
        <w:pStyle w:val="FootnoteText"/>
      </w:pPr>
      <w:r>
        <w:rPr>
          <w:rStyle w:val="FootnoteReference"/>
        </w:rPr>
        <w:footnoteRef/>
      </w:r>
      <w:r>
        <w:t xml:space="preserve"> Ibid, pp. 13-16, 264-267. </w:t>
      </w:r>
    </w:p>
  </w:footnote>
  <w:footnote w:id="58">
    <w:p w14:paraId="07BE01D5" w14:textId="4C0CE23C" w:rsidR="00BE73C0" w:rsidRDefault="00BE73C0">
      <w:pPr>
        <w:pStyle w:val="FootnoteText"/>
      </w:pPr>
      <w:r>
        <w:rPr>
          <w:rStyle w:val="FootnoteReference"/>
        </w:rPr>
        <w:footnoteRef/>
      </w:r>
      <w:r>
        <w:t xml:space="preserve"> Marshall, David (ed.), Tradition and Modernity: Christian and Muslim Perspectives (Washington DC: Georgetown University Press), p. 221.</w:t>
      </w:r>
    </w:p>
  </w:footnote>
  <w:footnote w:id="59">
    <w:p w14:paraId="1FFD099D" w14:textId="324683D7" w:rsidR="00BE73C0" w:rsidRDefault="00BE73C0">
      <w:pPr>
        <w:pStyle w:val="FootnoteText"/>
      </w:pPr>
      <w:r>
        <w:rPr>
          <w:rStyle w:val="FootnoteReference"/>
        </w:rPr>
        <w:footnoteRef/>
      </w:r>
      <w:r>
        <w:t xml:space="preserve"> Ibid. </w:t>
      </w:r>
    </w:p>
  </w:footnote>
  <w:footnote w:id="60">
    <w:p w14:paraId="0BB7B6CB" w14:textId="230EFC9F" w:rsidR="00BE73C0" w:rsidRDefault="00BE73C0">
      <w:pPr>
        <w:pStyle w:val="FootnoteText"/>
      </w:pPr>
      <w:r>
        <w:rPr>
          <w:rStyle w:val="FootnoteReference"/>
        </w:rPr>
        <w:footnoteRef/>
      </w:r>
      <w:r>
        <w:t xml:space="preserve"> Hallaq, Wael, </w:t>
      </w:r>
      <w:r w:rsidRPr="00530A7D">
        <w:rPr>
          <w:i/>
          <w:iCs/>
        </w:rPr>
        <w:t>Restating Orientalism</w:t>
      </w:r>
      <w:r>
        <w:t>, pp. 36-37</w:t>
      </w:r>
    </w:p>
  </w:footnote>
  <w:footnote w:id="61">
    <w:p w14:paraId="4D0911CA" w14:textId="6E570028" w:rsidR="00BE73C0" w:rsidRDefault="00BE73C0">
      <w:pPr>
        <w:pStyle w:val="FootnoteText"/>
      </w:pPr>
      <w:r>
        <w:rPr>
          <w:rStyle w:val="FootnoteReference"/>
        </w:rPr>
        <w:footnoteRef/>
      </w:r>
      <w:r>
        <w:t xml:space="preserve"> Said, Edward, </w:t>
      </w:r>
      <w:r w:rsidRPr="00027D2B">
        <w:rPr>
          <w:i/>
          <w:iCs/>
        </w:rPr>
        <w:t>Orientalism: Western Conceptions of the Orient</w:t>
      </w:r>
      <w:r>
        <w:t xml:space="preserve"> (London: Penguin Books, 1978), p. 120.</w:t>
      </w:r>
    </w:p>
  </w:footnote>
  <w:footnote w:id="62">
    <w:p w14:paraId="7E7BFF56" w14:textId="77777777" w:rsidR="00BE73C0" w:rsidRDefault="00BE73C0" w:rsidP="00833372">
      <w:pPr>
        <w:pStyle w:val="FootnoteText"/>
      </w:pPr>
      <w:r>
        <w:rPr>
          <w:rStyle w:val="FootnoteReference"/>
        </w:rPr>
        <w:footnoteRef/>
      </w:r>
      <w:r>
        <w:t xml:space="preserve"> Williams, Rowan, </w:t>
      </w:r>
      <w:r w:rsidRPr="00833372">
        <w:rPr>
          <w:i/>
          <w:iCs/>
        </w:rPr>
        <w:t>Faith in the Public Square</w:t>
      </w:r>
      <w:r>
        <w:t xml:space="preserve">, p. 113. </w:t>
      </w:r>
    </w:p>
  </w:footnote>
  <w:footnote w:id="63">
    <w:p w14:paraId="47CEB4B7" w14:textId="6AEDADD4" w:rsidR="00BE73C0" w:rsidRDefault="00BE73C0">
      <w:pPr>
        <w:pStyle w:val="FootnoteText"/>
      </w:pPr>
      <w:r>
        <w:rPr>
          <w:rStyle w:val="FootnoteReference"/>
        </w:rPr>
        <w:footnoteRef/>
      </w:r>
      <w:r>
        <w:t xml:space="preserve"> Ibid, p. 115.</w:t>
      </w:r>
    </w:p>
  </w:footnote>
  <w:footnote w:id="64">
    <w:p w14:paraId="5D482F3F" w14:textId="792EE845" w:rsidR="00BE73C0" w:rsidRDefault="00BE73C0">
      <w:pPr>
        <w:pStyle w:val="FootnoteText"/>
      </w:pPr>
      <w:r>
        <w:rPr>
          <w:rStyle w:val="FootnoteReference"/>
        </w:rPr>
        <w:footnoteRef/>
      </w:r>
      <w:r>
        <w:t xml:space="preserve"> Ibid, p. 114.</w:t>
      </w:r>
    </w:p>
  </w:footnote>
  <w:footnote w:id="65">
    <w:p w14:paraId="17C1655D" w14:textId="3A2638FF" w:rsidR="00BE73C0" w:rsidRDefault="00BE73C0">
      <w:pPr>
        <w:pStyle w:val="FootnoteText"/>
      </w:pPr>
      <w:r>
        <w:rPr>
          <w:rStyle w:val="FootnoteReference"/>
        </w:rPr>
        <w:footnoteRef/>
      </w:r>
      <w:r>
        <w:t xml:space="preserve"> Ghazali, </w:t>
      </w:r>
      <w:r w:rsidRPr="005C4446">
        <w:rPr>
          <w:i/>
          <w:iCs/>
        </w:rPr>
        <w:t>Ihya</w:t>
      </w:r>
      <w:r>
        <w:t xml:space="preserve">, vol. I: 96. </w:t>
      </w:r>
    </w:p>
  </w:footnote>
  <w:footnote w:id="66">
    <w:p w14:paraId="07574F13" w14:textId="27C844B0" w:rsidR="00BE73C0" w:rsidRDefault="00BE73C0">
      <w:pPr>
        <w:pStyle w:val="FootnoteText"/>
      </w:pPr>
      <w:r>
        <w:rPr>
          <w:rStyle w:val="FootnoteReference"/>
        </w:rPr>
        <w:footnoteRef/>
      </w:r>
      <w:r>
        <w:t xml:space="preserve"> Ghazali, </w:t>
      </w:r>
      <w:r w:rsidRPr="00AE2121">
        <w:rPr>
          <w:i/>
          <w:iCs/>
        </w:rPr>
        <w:t>Mizan al</w:t>
      </w:r>
      <w:proofErr w:type="gramStart"/>
      <w:r w:rsidRPr="00AE2121">
        <w:rPr>
          <w:i/>
          <w:iCs/>
        </w:rPr>
        <w:t>-‘</w:t>
      </w:r>
      <w:proofErr w:type="gramEnd"/>
      <w:r w:rsidRPr="00AE2121">
        <w:rPr>
          <w:i/>
          <w:iCs/>
        </w:rPr>
        <w:t>amal</w:t>
      </w:r>
      <w:r>
        <w:t xml:space="preserve"> (Cairo: Dar al-ma’arif, 1964), p. 143.</w:t>
      </w:r>
    </w:p>
  </w:footnote>
  <w:footnote w:id="67">
    <w:p w14:paraId="0887BE9F" w14:textId="271DE9E5" w:rsidR="00BE73C0" w:rsidRDefault="00BE73C0">
      <w:pPr>
        <w:pStyle w:val="FootnoteText"/>
      </w:pPr>
      <w:r>
        <w:rPr>
          <w:rStyle w:val="FootnoteReference"/>
        </w:rPr>
        <w:footnoteRef/>
      </w:r>
      <w:r>
        <w:t xml:space="preserve"> Said, Yazeed, </w:t>
      </w:r>
      <w:r w:rsidRPr="00AE2121">
        <w:rPr>
          <w:i/>
          <w:iCs/>
        </w:rPr>
        <w:t>Ghazali’s Politics in Context</w:t>
      </w:r>
      <w:r>
        <w:t>, p. 11.</w:t>
      </w:r>
    </w:p>
  </w:footnote>
  <w:footnote w:id="68">
    <w:p w14:paraId="57093E89" w14:textId="472096D6" w:rsidR="00BE73C0" w:rsidRDefault="00BE73C0">
      <w:pPr>
        <w:pStyle w:val="FootnoteText"/>
      </w:pPr>
      <w:r>
        <w:rPr>
          <w:rStyle w:val="FootnoteReference"/>
        </w:rPr>
        <w:footnoteRef/>
      </w:r>
      <w:r>
        <w:t xml:space="preserve"> Williams, Rowan, </w:t>
      </w:r>
      <w:r w:rsidRPr="001A7471">
        <w:rPr>
          <w:i/>
          <w:iCs/>
        </w:rPr>
        <w:t>Faith in the Public Square</w:t>
      </w:r>
      <w:r>
        <w:t xml:space="preserve">, p. 50. Interestingly, Joseph Rivera suggests that we may find resonances here with John Rawls’ </w:t>
      </w:r>
      <w:r>
        <w:rPr>
          <w:i/>
          <w:iCs/>
        </w:rPr>
        <w:t xml:space="preserve">Political Liberalism </w:t>
      </w:r>
      <w:r>
        <w:t xml:space="preserve">(1993) in Rivera, Joseph </w:t>
      </w:r>
      <w:r w:rsidRPr="00F75022">
        <w:rPr>
          <w:i/>
          <w:iCs/>
        </w:rPr>
        <w:t>Political Theology and Pluralism</w:t>
      </w:r>
      <w:r>
        <w:t xml:space="preserve"> (Basingstoke: Palgrave MacMillan, 2018), Ch. 4. </w:t>
      </w:r>
    </w:p>
  </w:footnote>
  <w:footnote w:id="69">
    <w:p w14:paraId="58B2189C" w14:textId="5CE5E040" w:rsidR="00BE73C0" w:rsidRDefault="00BE73C0">
      <w:pPr>
        <w:pStyle w:val="FootnoteText"/>
      </w:pPr>
      <w:r>
        <w:rPr>
          <w:rStyle w:val="FootnoteReference"/>
        </w:rPr>
        <w:footnoteRef/>
      </w:r>
      <w:r>
        <w:t xml:space="preserve"> Williams, Rowan, </w:t>
      </w:r>
      <w:r w:rsidRPr="001A7471">
        <w:rPr>
          <w:i/>
          <w:iCs/>
        </w:rPr>
        <w:t>Faith in the Public Square</w:t>
      </w:r>
      <w:r>
        <w:t>, p. 50.</w:t>
      </w:r>
    </w:p>
  </w:footnote>
  <w:footnote w:id="70">
    <w:p w14:paraId="6CC8B6EF" w14:textId="2641463E" w:rsidR="00BE73C0" w:rsidRDefault="00BE73C0">
      <w:pPr>
        <w:pStyle w:val="FootnoteText"/>
      </w:pPr>
      <w:r>
        <w:rPr>
          <w:rStyle w:val="FootnoteReference"/>
        </w:rPr>
        <w:footnoteRef/>
      </w:r>
      <w:r>
        <w:t xml:space="preserve"> Kaplan, Robert, ‘At the Gates of Brussels’, </w:t>
      </w:r>
      <w:r w:rsidRPr="005C62E1">
        <w:rPr>
          <w:i/>
          <w:iCs/>
        </w:rPr>
        <w:t>Atlantic Monthly</w:t>
      </w:r>
      <w:r>
        <w:t>, Dec. 2004 (</w:t>
      </w:r>
      <w:hyperlink r:id="rId6" w:history="1">
        <w:r w:rsidRPr="009F474F">
          <w:rPr>
            <w:rStyle w:val="Hyperlink"/>
          </w:rPr>
          <w:t>https://www.theatlantic.com/magazine/archive/2004/12/at-the-gates-of-brussels/303623/</w:t>
        </w:r>
      </w:hyperlink>
      <w:r>
        <w:t xml:space="preserve"> accessed August 2020). See also, Bayoumi, Moustafa &amp; Rubin, Andrew (eds.), </w:t>
      </w:r>
      <w:r w:rsidRPr="005C62E1">
        <w:rPr>
          <w:i/>
          <w:iCs/>
        </w:rPr>
        <w:t>The Edward Said Reader</w:t>
      </w:r>
      <w:r>
        <w:t xml:space="preserve"> (London: Granta Books, 2001), p. 430.</w:t>
      </w:r>
    </w:p>
  </w:footnote>
  <w:footnote w:id="71">
    <w:p w14:paraId="25C4ECD1" w14:textId="4C8B849A" w:rsidR="00BE73C0" w:rsidRDefault="00BE73C0">
      <w:pPr>
        <w:pStyle w:val="FootnoteText"/>
      </w:pPr>
      <w:r>
        <w:rPr>
          <w:rStyle w:val="FootnoteReference"/>
        </w:rPr>
        <w:footnoteRef/>
      </w:r>
      <w:r>
        <w:t xml:space="preserve"> Hallaq, Wael, </w:t>
      </w:r>
      <w:r w:rsidRPr="000C38A5">
        <w:rPr>
          <w:i/>
          <w:iCs/>
        </w:rPr>
        <w:t>Restating Orientalism</w:t>
      </w:r>
      <w:r>
        <w:t xml:space="preserve">, pp. 114-118. </w:t>
      </w:r>
    </w:p>
  </w:footnote>
  <w:footnote w:id="72">
    <w:p w14:paraId="37603AE2" w14:textId="7BE9875B" w:rsidR="00BE73C0" w:rsidRDefault="00BE73C0">
      <w:pPr>
        <w:pStyle w:val="FootnoteText"/>
      </w:pPr>
      <w:r>
        <w:rPr>
          <w:rStyle w:val="FootnoteReference"/>
        </w:rPr>
        <w:footnoteRef/>
      </w:r>
      <w:r>
        <w:t xml:space="preserve"> Karsh, Ephraim, </w:t>
      </w:r>
      <w:r w:rsidRPr="005C62E1">
        <w:rPr>
          <w:i/>
          <w:iCs/>
        </w:rPr>
        <w:t>Islamic Imperialism</w:t>
      </w:r>
      <w:r>
        <w:t xml:space="preserve">, pp. 110-118. </w:t>
      </w:r>
    </w:p>
  </w:footnote>
  <w:footnote w:id="73">
    <w:p w14:paraId="15D44CC7" w14:textId="77777777" w:rsidR="00BE73C0" w:rsidRDefault="00BE73C0" w:rsidP="003B0A5E">
      <w:pPr>
        <w:pStyle w:val="FootnoteText"/>
      </w:pPr>
      <w:r>
        <w:rPr>
          <w:rStyle w:val="FootnoteReference"/>
        </w:rPr>
        <w:footnoteRef/>
      </w:r>
      <w:r>
        <w:t xml:space="preserve"> Barghouti, Tamim, </w:t>
      </w:r>
      <w:r w:rsidRPr="006D3F87">
        <w:rPr>
          <w:i/>
          <w:iCs/>
        </w:rPr>
        <w:t>The Umma and the Dawla</w:t>
      </w:r>
      <w:r>
        <w:t xml:space="preserve">, p. 155. </w:t>
      </w:r>
    </w:p>
  </w:footnote>
  <w:footnote w:id="74">
    <w:p w14:paraId="78C1A558" w14:textId="315D49FD" w:rsidR="00BE73C0" w:rsidRDefault="00BE73C0">
      <w:pPr>
        <w:pStyle w:val="FootnoteText"/>
      </w:pPr>
      <w:r>
        <w:rPr>
          <w:rStyle w:val="FootnoteReference"/>
        </w:rPr>
        <w:footnoteRef/>
      </w:r>
      <w:r>
        <w:t xml:space="preserve"> Kamali, Muhammad Hashim, </w:t>
      </w:r>
      <w:r w:rsidRPr="004D2880">
        <w:rPr>
          <w:i/>
          <w:iCs/>
        </w:rPr>
        <w:t>Principles of Islamic Jurisprudence</w:t>
      </w:r>
      <w:r>
        <w:t xml:space="preserve"> (Cambridge: Islamic Text Society, 2003), p. 8.</w:t>
      </w:r>
    </w:p>
  </w:footnote>
  <w:footnote w:id="75">
    <w:p w14:paraId="576E6CA7" w14:textId="32816F82" w:rsidR="00BE73C0" w:rsidRDefault="00BE73C0">
      <w:pPr>
        <w:pStyle w:val="FootnoteText"/>
      </w:pPr>
      <w:r>
        <w:rPr>
          <w:rStyle w:val="FootnoteReference"/>
        </w:rPr>
        <w:footnoteRef/>
      </w:r>
      <w:r>
        <w:t xml:space="preserve"> Kamali, Muhammad Hashim, ‘The Limits of Power in an Islamic state’, </w:t>
      </w:r>
      <w:r w:rsidRPr="00504EFF">
        <w:rPr>
          <w:i/>
          <w:iCs/>
        </w:rPr>
        <w:t>Islamic Studies</w:t>
      </w:r>
      <w:r>
        <w:t>, 29 (4): pp. 323-352.</w:t>
      </w:r>
    </w:p>
  </w:footnote>
  <w:footnote w:id="76">
    <w:p w14:paraId="4855F8FD" w14:textId="00FBAECC" w:rsidR="00BE73C0" w:rsidRDefault="00BE73C0">
      <w:pPr>
        <w:pStyle w:val="FootnoteText"/>
      </w:pPr>
      <w:r>
        <w:rPr>
          <w:rStyle w:val="FootnoteReference"/>
        </w:rPr>
        <w:footnoteRef/>
      </w:r>
      <w:r>
        <w:t xml:space="preserve"> Ibid, p. 346.</w:t>
      </w:r>
    </w:p>
  </w:footnote>
  <w:footnote w:id="77">
    <w:p w14:paraId="013BBD24" w14:textId="276683CE" w:rsidR="00BE73C0" w:rsidRDefault="00BE73C0">
      <w:pPr>
        <w:pStyle w:val="FootnoteText"/>
      </w:pPr>
      <w:r>
        <w:rPr>
          <w:rStyle w:val="FootnoteReference"/>
        </w:rPr>
        <w:footnoteRef/>
      </w:r>
      <w:r>
        <w:t xml:space="preserve"> Kamali, Muhammad Hashim, </w:t>
      </w:r>
      <w:r w:rsidRPr="004D2880">
        <w:rPr>
          <w:i/>
          <w:iCs/>
        </w:rPr>
        <w:t>Principles of Islamic Jurisprudence</w:t>
      </w:r>
      <w:r>
        <w:t xml:space="preserve"> (Cambridge: Islamic Text Society, 2003), p. 7. </w:t>
      </w:r>
    </w:p>
  </w:footnote>
  <w:footnote w:id="78">
    <w:p w14:paraId="4D84AB75" w14:textId="305459DE" w:rsidR="00BE73C0" w:rsidRDefault="00BE73C0">
      <w:pPr>
        <w:pStyle w:val="FootnoteText"/>
      </w:pPr>
      <w:r>
        <w:rPr>
          <w:rStyle w:val="FootnoteReference"/>
        </w:rPr>
        <w:footnoteRef/>
      </w:r>
      <w:r>
        <w:t xml:space="preserve"> Ibid, p. 8. </w:t>
      </w:r>
    </w:p>
  </w:footnote>
  <w:footnote w:id="79">
    <w:p w14:paraId="7EB632B4" w14:textId="1A27DAF1" w:rsidR="00BE73C0" w:rsidRDefault="00BE73C0">
      <w:pPr>
        <w:pStyle w:val="FootnoteText"/>
      </w:pPr>
      <w:r>
        <w:rPr>
          <w:rStyle w:val="FootnoteReference"/>
        </w:rPr>
        <w:footnoteRef/>
      </w:r>
      <w:r>
        <w:t xml:space="preserve"> Hallaq, Wael, </w:t>
      </w:r>
      <w:r w:rsidRPr="00A85CE1">
        <w:rPr>
          <w:i/>
          <w:iCs/>
        </w:rPr>
        <w:t>Restating Orientalism</w:t>
      </w:r>
      <w:r>
        <w:t xml:space="preserve">, pp. 67-72. See also, Karsh, Efraim, </w:t>
      </w:r>
      <w:r w:rsidRPr="00A85CE1">
        <w:rPr>
          <w:i/>
          <w:iCs/>
        </w:rPr>
        <w:t>Islamic Imperialism: A History</w:t>
      </w:r>
      <w:r>
        <w:t xml:space="preserve"> (New Haven: Yale University Press, 2007).  </w:t>
      </w:r>
    </w:p>
  </w:footnote>
  <w:footnote w:id="80">
    <w:p w14:paraId="1F44114D" w14:textId="2DE23203" w:rsidR="00BE73C0" w:rsidRDefault="00BE73C0">
      <w:pPr>
        <w:pStyle w:val="FootnoteText"/>
      </w:pPr>
      <w:r>
        <w:rPr>
          <w:rStyle w:val="FootnoteReference"/>
        </w:rPr>
        <w:footnoteRef/>
      </w:r>
      <w:r>
        <w:t xml:space="preserve"> Winter, Tim, ‘The Inception of </w:t>
      </w:r>
      <w:proofErr w:type="gramStart"/>
      <w:r w:rsidRPr="00AC13DF">
        <w:rPr>
          <w:i/>
          <w:iCs/>
        </w:rPr>
        <w:t>A</w:t>
      </w:r>
      <w:proofErr w:type="gramEnd"/>
      <w:r w:rsidRPr="00AC13DF">
        <w:rPr>
          <w:i/>
          <w:iCs/>
        </w:rPr>
        <w:t xml:space="preserve"> Common Word</w:t>
      </w:r>
      <w:r>
        <w:t xml:space="preserve">’, in Said Yazid &amp; Demiri, Lejla, </w:t>
      </w:r>
      <w:r w:rsidRPr="00AC13DF">
        <w:rPr>
          <w:i/>
          <w:iCs/>
        </w:rPr>
        <w:t>The Future of Interfaith Dialogue: Muslim-Christian Encounters through A Common Word</w:t>
      </w:r>
      <w:r>
        <w:t xml:space="preserve"> (Cambridge: CUP, 2018), p. 14. </w:t>
      </w:r>
    </w:p>
  </w:footnote>
  <w:footnote w:id="81">
    <w:p w14:paraId="12D6506B" w14:textId="0C422065" w:rsidR="00BE73C0" w:rsidRDefault="00BE73C0">
      <w:pPr>
        <w:pStyle w:val="FootnoteText"/>
      </w:pPr>
      <w:r>
        <w:rPr>
          <w:rStyle w:val="FootnoteReference"/>
        </w:rPr>
        <w:footnoteRef/>
      </w:r>
      <w:r>
        <w:t xml:space="preserve"> Williams, Rowan, </w:t>
      </w:r>
      <w:r w:rsidRPr="00AC13DF">
        <w:rPr>
          <w:i/>
          <w:iCs/>
        </w:rPr>
        <w:t>Faith in the Public S</w:t>
      </w:r>
      <w:r>
        <w:rPr>
          <w:i/>
          <w:iCs/>
        </w:rPr>
        <w:t>quare</w:t>
      </w:r>
      <w:r>
        <w:t xml:space="preserve">, p. 81. </w:t>
      </w:r>
    </w:p>
  </w:footnote>
  <w:footnote w:id="82">
    <w:p w14:paraId="19E0C273" w14:textId="4472847E" w:rsidR="00BE73C0" w:rsidRDefault="00BE73C0" w:rsidP="003F7A0E">
      <w:pPr>
        <w:pStyle w:val="FootnoteText"/>
      </w:pPr>
      <w:r>
        <w:rPr>
          <w:rStyle w:val="FootnoteReference"/>
        </w:rPr>
        <w:footnoteRef/>
      </w:r>
      <w:r>
        <w:t xml:space="preserve"> Ibid, pp. 51-53. </w:t>
      </w:r>
    </w:p>
  </w:footnote>
  <w:footnote w:id="83">
    <w:p w14:paraId="05BF477E" w14:textId="393C859A" w:rsidR="00BE73C0" w:rsidRDefault="00BE73C0">
      <w:pPr>
        <w:pStyle w:val="FootnoteText"/>
      </w:pPr>
      <w:r>
        <w:rPr>
          <w:rStyle w:val="FootnoteReference"/>
        </w:rPr>
        <w:footnoteRef/>
      </w:r>
      <w:r>
        <w:t xml:space="preserve"> Ibid, p. 80. </w:t>
      </w:r>
    </w:p>
  </w:footnote>
  <w:footnote w:id="84">
    <w:p w14:paraId="6089A331" w14:textId="4B2C5C08" w:rsidR="00BE73C0" w:rsidRDefault="00BE73C0">
      <w:pPr>
        <w:pStyle w:val="FootnoteText"/>
      </w:pPr>
      <w:r>
        <w:rPr>
          <w:rStyle w:val="FootnoteReference"/>
        </w:rPr>
        <w:footnoteRef/>
      </w:r>
      <w:r>
        <w:t xml:space="preserve"> Williams, Rowan, </w:t>
      </w:r>
      <w:r w:rsidRPr="00D26BE7">
        <w:rPr>
          <w:i/>
          <w:iCs/>
        </w:rPr>
        <w:t>On Christian Theology</w:t>
      </w:r>
      <w:r>
        <w:t xml:space="preserve"> (Oxford: Blackwells, 2000), p. 172. </w:t>
      </w:r>
    </w:p>
  </w:footnote>
  <w:footnote w:id="85">
    <w:p w14:paraId="5FD8CC60" w14:textId="577B7F60" w:rsidR="00BE73C0" w:rsidRDefault="00BE73C0">
      <w:pPr>
        <w:pStyle w:val="FootnoteText"/>
      </w:pPr>
      <w:r>
        <w:rPr>
          <w:rStyle w:val="FootnoteReference"/>
        </w:rPr>
        <w:footnoteRef/>
      </w:r>
      <w:r>
        <w:t xml:space="preserve"> Williams, Rowan, </w:t>
      </w:r>
      <w:r w:rsidRPr="00D26BE7">
        <w:rPr>
          <w:i/>
          <w:iCs/>
        </w:rPr>
        <w:t>On Christian Theology</w:t>
      </w:r>
      <w:r>
        <w:t xml:space="preserve"> (Oxford: Blackwells, 2000), p. 104. Williams will note how this will put the Christian under judgment too, given how the Church often behaved in its history. Ibid, pp. 29-43.</w:t>
      </w:r>
    </w:p>
  </w:footnote>
  <w:footnote w:id="86">
    <w:p w14:paraId="734CB8F1" w14:textId="717C1EB4" w:rsidR="00BE73C0" w:rsidRDefault="00BE73C0" w:rsidP="00CD290A">
      <w:pPr>
        <w:pStyle w:val="FootnoteText"/>
      </w:pPr>
      <w:r>
        <w:rPr>
          <w:rStyle w:val="FootnoteReference"/>
        </w:rPr>
        <w:footnoteRef/>
      </w:r>
      <w:r>
        <w:t xml:space="preserve"> Hallaq, Wael, </w:t>
      </w:r>
      <w:r w:rsidRPr="00BE1542">
        <w:rPr>
          <w:i/>
          <w:iCs/>
        </w:rPr>
        <w:t>Restating Orientalism</w:t>
      </w:r>
      <w:r>
        <w:t xml:space="preserve">, p. 89. As Rowan Williams has shown, Augustine, unlike the popular view, in his </w:t>
      </w:r>
      <w:r w:rsidRPr="007B0BF4">
        <w:rPr>
          <w:i/>
          <w:iCs/>
        </w:rPr>
        <w:t>City of God</w:t>
      </w:r>
      <w:r>
        <w:t xml:space="preserve">, has shown how both ‘cities’, not just the worldly empire, but also the church, ‘experience the same vicissitudes of earthly life and make use of the same temporal goods’. ‘He did not think of two distinct kinds of human association, the sacred and the secular, or even the private and the public. His concern is with the goal of human life as such’. See Williams, Rowan, </w:t>
      </w:r>
      <w:r w:rsidRPr="00F21D94">
        <w:rPr>
          <w:i/>
          <w:iCs/>
        </w:rPr>
        <w:t>On Augustine</w:t>
      </w:r>
      <w:r>
        <w:t xml:space="preserve"> (London: Bloomsbury, 2016) p. 110, and the whole of chapter 6 of the book. Therefore, the ‘political’ debate must be read in this light.</w:t>
      </w:r>
    </w:p>
  </w:footnote>
  <w:footnote w:id="87">
    <w:p w14:paraId="46820A30" w14:textId="35CDA89D" w:rsidR="00BE73C0" w:rsidRDefault="00BE73C0" w:rsidP="004D5821">
      <w:pPr>
        <w:pStyle w:val="FootnoteText"/>
      </w:pPr>
      <w:r>
        <w:rPr>
          <w:rStyle w:val="FootnoteReference"/>
        </w:rPr>
        <w:footnoteRef/>
      </w:r>
      <w:r>
        <w:t xml:space="preserve"> Williams, Rowan, </w:t>
      </w:r>
      <w:r w:rsidRPr="00CD290A">
        <w:rPr>
          <w:i/>
          <w:iCs/>
        </w:rPr>
        <w:t>Faith in the Public Square</w:t>
      </w:r>
      <w:r>
        <w:t xml:space="preserve">, p. 114. </w:t>
      </w:r>
    </w:p>
  </w:footnote>
  <w:footnote w:id="88">
    <w:p w14:paraId="691CD3F7" w14:textId="77777777" w:rsidR="00BE73C0" w:rsidRDefault="00BE73C0" w:rsidP="00B810CC">
      <w:pPr>
        <w:pStyle w:val="FootnoteText"/>
      </w:pPr>
      <w:r>
        <w:rPr>
          <w:rStyle w:val="FootnoteReference"/>
        </w:rPr>
        <w:footnoteRef/>
      </w:r>
      <w:r>
        <w:t xml:space="preserve"> Hallaq, Wael, </w:t>
      </w:r>
      <w:r w:rsidRPr="007F10F7">
        <w:rPr>
          <w:i/>
          <w:iCs/>
        </w:rPr>
        <w:t>The Impossible State</w:t>
      </w:r>
      <w:r>
        <w:t xml:space="preserve">, p. 28. </w:t>
      </w:r>
    </w:p>
  </w:footnote>
  <w:footnote w:id="89">
    <w:p w14:paraId="218F2182" w14:textId="409A2DE6" w:rsidR="00BE73C0" w:rsidRDefault="00BE73C0">
      <w:pPr>
        <w:pStyle w:val="FootnoteText"/>
      </w:pPr>
      <w:r>
        <w:rPr>
          <w:rStyle w:val="FootnoteReference"/>
        </w:rPr>
        <w:footnoteRef/>
      </w:r>
      <w:r>
        <w:t xml:space="preserve"> Williams, Rowan, </w:t>
      </w:r>
      <w:r w:rsidRPr="00F21D94">
        <w:rPr>
          <w:i/>
          <w:iCs/>
        </w:rPr>
        <w:t>Faith in the Public Square</w:t>
      </w:r>
      <w:r>
        <w:t>, p. 57.</w:t>
      </w:r>
    </w:p>
  </w:footnote>
  <w:footnote w:id="90">
    <w:p w14:paraId="0C402953" w14:textId="77777777" w:rsidR="00BE73C0" w:rsidRDefault="00BE73C0" w:rsidP="00F33FCE">
      <w:pPr>
        <w:pStyle w:val="FootnoteText"/>
      </w:pPr>
      <w:r>
        <w:rPr>
          <w:rStyle w:val="FootnoteReference"/>
        </w:rPr>
        <w:footnoteRef/>
      </w:r>
      <w:r>
        <w:t xml:space="preserve"> Murad, Abdal Hakim, </w:t>
      </w:r>
      <w:r w:rsidRPr="007D0BF9">
        <w:rPr>
          <w:i/>
          <w:iCs/>
        </w:rPr>
        <w:t>Travelling Home: Essays on Islam in Europe</w:t>
      </w:r>
      <w:r>
        <w:t>, pp. 86-87.</w:t>
      </w:r>
    </w:p>
  </w:footnote>
  <w:footnote w:id="91">
    <w:p w14:paraId="3F73FED4" w14:textId="7920A0DF" w:rsidR="00BE73C0" w:rsidRDefault="00BE73C0">
      <w:pPr>
        <w:pStyle w:val="FootnoteText"/>
      </w:pPr>
      <w:r>
        <w:rPr>
          <w:rStyle w:val="FootnoteReference"/>
        </w:rPr>
        <w:footnoteRef/>
      </w:r>
      <w:r>
        <w:t xml:space="preserve"> Willi</w:t>
      </w:r>
      <w:r w:rsidR="00A13325">
        <w:t>a</w:t>
      </w:r>
      <w:r>
        <w:t>m</w:t>
      </w:r>
      <w:r w:rsidR="00A13325">
        <w:t>s</w:t>
      </w:r>
      <w:r>
        <w:t xml:space="preserve">, Rowan, </w:t>
      </w:r>
      <w:r w:rsidRPr="00442643">
        <w:rPr>
          <w:i/>
          <w:iCs/>
        </w:rPr>
        <w:t>On Christian Theology</w:t>
      </w:r>
      <w:r>
        <w:t xml:space="preserve">, p. 171. </w:t>
      </w:r>
    </w:p>
  </w:footnote>
  <w:footnote w:id="92">
    <w:p w14:paraId="420A8B44" w14:textId="614CE245" w:rsidR="00BE73C0" w:rsidRDefault="00BE73C0" w:rsidP="000608BB">
      <w:pPr>
        <w:pStyle w:val="FootnoteText"/>
      </w:pPr>
      <w:r>
        <w:rPr>
          <w:rStyle w:val="FootnoteReference"/>
        </w:rPr>
        <w:footnoteRef/>
      </w:r>
      <w:r>
        <w:t xml:space="preserve"> Murad, Abdal Hakim, </w:t>
      </w:r>
      <w:r w:rsidRPr="007D0BF9">
        <w:rPr>
          <w:i/>
          <w:iCs/>
        </w:rPr>
        <w:t>Travelling Home: Essays on Islam in Europe</w:t>
      </w:r>
      <w:r>
        <w:t>, pp. 86-87.</w:t>
      </w:r>
    </w:p>
  </w:footnote>
  <w:footnote w:id="93">
    <w:p w14:paraId="298D7EAE" w14:textId="77777777" w:rsidR="00BE73C0" w:rsidRDefault="00BE73C0" w:rsidP="000608BB">
      <w:pPr>
        <w:pStyle w:val="FootnoteText"/>
      </w:pPr>
      <w:r>
        <w:rPr>
          <w:rStyle w:val="FootnoteReference"/>
        </w:rPr>
        <w:footnoteRef/>
      </w:r>
      <w:r>
        <w:t xml:space="preserve"> For a clear discussion of the English Elizabethan settlement where difference and change were treated with subtlety and care, see McGrade, Arthur, (ed.) </w:t>
      </w:r>
      <w:r w:rsidRPr="003E34B9">
        <w:rPr>
          <w:i/>
          <w:iCs/>
        </w:rPr>
        <w:t>Richard Hooker and the Construction of Christian Community</w:t>
      </w:r>
      <w:r>
        <w:t xml:space="preserve"> (Tempe, AZ: Arizona State University Press, 1997). See also, Williams, Rowan, </w:t>
      </w:r>
      <w:r w:rsidRPr="00002B67">
        <w:rPr>
          <w:i/>
          <w:iCs/>
        </w:rPr>
        <w:t>Anglican Identities</w:t>
      </w:r>
      <w:r>
        <w:t xml:space="preserve"> (London: Darton. Longman. &amp; Todd, 2004), pp. 24-39. </w:t>
      </w:r>
    </w:p>
  </w:footnote>
  <w:footnote w:id="94">
    <w:p w14:paraId="4EADB1AE" w14:textId="77105576" w:rsidR="00BE73C0" w:rsidRDefault="00BE73C0">
      <w:pPr>
        <w:pStyle w:val="FootnoteText"/>
      </w:pPr>
      <w:r>
        <w:rPr>
          <w:rStyle w:val="FootnoteReference"/>
        </w:rPr>
        <w:footnoteRef/>
      </w:r>
      <w:r>
        <w:t xml:space="preserve"> Williams, Rowan, </w:t>
      </w:r>
      <w:r w:rsidRPr="00CD7FBD">
        <w:rPr>
          <w:i/>
          <w:iCs/>
        </w:rPr>
        <w:t>Faith in the Public Square</w:t>
      </w:r>
      <w:r>
        <w:t xml:space="preserve">, p. 57. Williams refers to Matthew Grimley’s excellent monograph on </w:t>
      </w:r>
      <w:r w:rsidRPr="00CD7FBD">
        <w:rPr>
          <w:i/>
          <w:iCs/>
        </w:rPr>
        <w:t>Citizenship, Community and the Church of England</w:t>
      </w:r>
      <w:r>
        <w:t xml:space="preserve">, which observes different developments in the fate of Anglican liberal pluralist theories and contrasts it with the tradition of Hooker that gained popularity in the nineteenth century as the state saw its right to pursue its own moral goals. </w:t>
      </w:r>
    </w:p>
  </w:footnote>
  <w:footnote w:id="95">
    <w:p w14:paraId="61FF77BA" w14:textId="0DC47A44" w:rsidR="00BE73C0" w:rsidRDefault="00BE73C0">
      <w:pPr>
        <w:pStyle w:val="FootnoteText"/>
      </w:pPr>
      <w:r>
        <w:rPr>
          <w:rStyle w:val="FootnoteReference"/>
        </w:rPr>
        <w:footnoteRef/>
      </w:r>
      <w:r>
        <w:t xml:space="preserve"> Said, Yazeed, </w:t>
      </w:r>
      <w:r w:rsidRPr="007D241D">
        <w:rPr>
          <w:i/>
          <w:iCs/>
        </w:rPr>
        <w:t>Ghazali’s Politics in Context</w:t>
      </w:r>
      <w:r>
        <w:t>, p. 86.</w:t>
      </w:r>
    </w:p>
  </w:footnote>
  <w:footnote w:id="96">
    <w:p w14:paraId="1C67DEDC" w14:textId="2681DE1E" w:rsidR="00BE73C0" w:rsidRDefault="00BE73C0">
      <w:pPr>
        <w:pStyle w:val="FootnoteText"/>
      </w:pPr>
      <w:r>
        <w:rPr>
          <w:rStyle w:val="FootnoteReference"/>
        </w:rPr>
        <w:footnoteRef/>
      </w:r>
      <w:r>
        <w:t xml:space="preserve"> Ibid, pp. 67-68 &amp; Williams, Rowan, </w:t>
      </w:r>
      <w:r w:rsidRPr="007B739C">
        <w:rPr>
          <w:i/>
          <w:iCs/>
        </w:rPr>
        <w:t>Anglican Identities</w:t>
      </w:r>
      <w:r>
        <w:t xml:space="preserve">, p. 42. </w:t>
      </w:r>
    </w:p>
  </w:footnote>
  <w:footnote w:id="97">
    <w:p w14:paraId="4201AEBB" w14:textId="5A71AC9C" w:rsidR="00BE73C0" w:rsidRDefault="00BE73C0">
      <w:pPr>
        <w:pStyle w:val="FootnoteText"/>
      </w:pPr>
      <w:r>
        <w:rPr>
          <w:rStyle w:val="FootnoteReference"/>
        </w:rPr>
        <w:footnoteRef/>
      </w:r>
      <w:r>
        <w:t xml:space="preserve"> Said, Yazeed, </w:t>
      </w:r>
      <w:r w:rsidRPr="004E1958">
        <w:rPr>
          <w:i/>
          <w:iCs/>
        </w:rPr>
        <w:t>Ghazali’s Politics in Context</w:t>
      </w:r>
      <w:r>
        <w:t xml:space="preserve">, p. 73 &amp; Williams, Rowan, </w:t>
      </w:r>
      <w:r w:rsidRPr="007B739C">
        <w:rPr>
          <w:i/>
          <w:iCs/>
        </w:rPr>
        <w:t>Anglican Identities</w:t>
      </w:r>
      <w:r>
        <w:t xml:space="preserve">, p. 43. </w:t>
      </w:r>
    </w:p>
  </w:footnote>
  <w:footnote w:id="98">
    <w:p w14:paraId="409F34F0" w14:textId="1C34F923" w:rsidR="00BE73C0" w:rsidRDefault="00BE73C0">
      <w:pPr>
        <w:pStyle w:val="FootnoteText"/>
      </w:pPr>
      <w:r>
        <w:rPr>
          <w:rStyle w:val="FootnoteReference"/>
        </w:rPr>
        <w:footnoteRef/>
      </w:r>
      <w:r>
        <w:t xml:space="preserve"> Williams, Rowan, </w:t>
      </w:r>
      <w:r w:rsidRPr="007E25F3">
        <w:rPr>
          <w:i/>
          <w:iCs/>
        </w:rPr>
        <w:t>Anglican Identities</w:t>
      </w:r>
      <w:r>
        <w:t xml:space="preserve">, pp. 44-56. </w:t>
      </w:r>
    </w:p>
  </w:footnote>
  <w:footnote w:id="99">
    <w:p w14:paraId="4F7A2465" w14:textId="7C76712D" w:rsidR="00BE73C0" w:rsidRDefault="00BE73C0">
      <w:pPr>
        <w:pStyle w:val="FootnoteText"/>
      </w:pPr>
      <w:r>
        <w:rPr>
          <w:rStyle w:val="FootnoteReference"/>
        </w:rPr>
        <w:footnoteRef/>
      </w:r>
      <w:r>
        <w:t xml:space="preserve"> Ibid, p. 44. </w:t>
      </w:r>
    </w:p>
  </w:footnote>
  <w:footnote w:id="100">
    <w:p w14:paraId="58E2327C" w14:textId="6EC3DAB3" w:rsidR="00BE73C0" w:rsidRDefault="00BE73C0">
      <w:pPr>
        <w:pStyle w:val="FootnoteText"/>
      </w:pPr>
      <w:r>
        <w:rPr>
          <w:rStyle w:val="FootnoteReference"/>
        </w:rPr>
        <w:footnoteRef/>
      </w:r>
      <w:r>
        <w:t xml:space="preserve"> Said, Yazeed, </w:t>
      </w:r>
      <w:r w:rsidRPr="004E1958">
        <w:rPr>
          <w:i/>
          <w:iCs/>
        </w:rPr>
        <w:t>Ghazali’s Politics in Context</w:t>
      </w:r>
      <w:r>
        <w:t xml:space="preserve">, p. 86. </w:t>
      </w:r>
    </w:p>
  </w:footnote>
  <w:footnote w:id="101">
    <w:p w14:paraId="049CAE53" w14:textId="04A205F9" w:rsidR="00BE73C0" w:rsidRDefault="00BE73C0">
      <w:pPr>
        <w:pStyle w:val="FootnoteText"/>
      </w:pPr>
      <w:r>
        <w:rPr>
          <w:rStyle w:val="FootnoteReference"/>
        </w:rPr>
        <w:footnoteRef/>
      </w:r>
      <w:r>
        <w:t xml:space="preserve"> Ibid. </w:t>
      </w:r>
    </w:p>
  </w:footnote>
  <w:footnote w:id="102">
    <w:p w14:paraId="185A155E" w14:textId="4A0514AA" w:rsidR="00BE73C0" w:rsidRDefault="00BE73C0">
      <w:pPr>
        <w:pStyle w:val="FootnoteText"/>
      </w:pPr>
      <w:r>
        <w:rPr>
          <w:rStyle w:val="FootnoteReference"/>
        </w:rPr>
        <w:footnoteRef/>
      </w:r>
      <w:r>
        <w:t xml:space="preserve"> Ghazali, </w:t>
      </w:r>
      <w:r w:rsidRPr="00514668">
        <w:rPr>
          <w:i/>
          <w:iCs/>
        </w:rPr>
        <w:t>al-Munqidh min al-</w:t>
      </w:r>
      <w:r>
        <w:rPr>
          <w:i/>
          <w:iCs/>
        </w:rPr>
        <w:t>d</w:t>
      </w:r>
      <w:r w:rsidRPr="00514668">
        <w:rPr>
          <w:i/>
          <w:iCs/>
        </w:rPr>
        <w:t>alal</w:t>
      </w:r>
      <w:r>
        <w:t>, 1</w:t>
      </w:r>
      <w:r w:rsidRPr="00514668">
        <w:rPr>
          <w:vertAlign w:val="superscript"/>
        </w:rPr>
        <w:t>st</w:t>
      </w:r>
      <w:r>
        <w:t xml:space="preserve"> edition (Beirut: Dar al-fikr al-lubnani, 1993), p. 90. </w:t>
      </w:r>
    </w:p>
  </w:footnote>
  <w:footnote w:id="103">
    <w:p w14:paraId="6BCE7959" w14:textId="187F325B" w:rsidR="00BE73C0" w:rsidRDefault="00BE73C0">
      <w:pPr>
        <w:pStyle w:val="FootnoteText"/>
      </w:pPr>
      <w:r>
        <w:rPr>
          <w:rStyle w:val="FootnoteReference"/>
        </w:rPr>
        <w:footnoteRef/>
      </w:r>
      <w:r>
        <w:t xml:space="preserve"> Hallaq, Wael, </w:t>
      </w:r>
      <w:r w:rsidRPr="004E1958">
        <w:rPr>
          <w:i/>
          <w:iCs/>
        </w:rPr>
        <w:t>Restating Orientalism</w:t>
      </w:r>
      <w:r>
        <w:t>, pp. 76-77.</w:t>
      </w:r>
    </w:p>
  </w:footnote>
  <w:footnote w:id="104">
    <w:p w14:paraId="06DFF74A" w14:textId="04562879" w:rsidR="00BE73C0" w:rsidRDefault="00BE73C0">
      <w:pPr>
        <w:pStyle w:val="FootnoteText"/>
      </w:pPr>
      <w:r>
        <w:rPr>
          <w:rStyle w:val="FootnoteReference"/>
        </w:rPr>
        <w:footnoteRef/>
      </w:r>
      <w:r>
        <w:t xml:space="preserve"> Williams, Rowan, </w:t>
      </w:r>
      <w:r w:rsidRPr="001D0A7F">
        <w:rPr>
          <w:i/>
          <w:iCs/>
        </w:rPr>
        <w:t>Anglican Identities</w:t>
      </w:r>
      <w:r>
        <w:t xml:space="preserve">, p. 53. </w:t>
      </w:r>
    </w:p>
  </w:footnote>
  <w:footnote w:id="105">
    <w:p w14:paraId="611E19E4" w14:textId="2F7F07F0" w:rsidR="00BE73C0" w:rsidRDefault="00BE73C0">
      <w:pPr>
        <w:pStyle w:val="FootnoteText"/>
      </w:pPr>
      <w:r>
        <w:rPr>
          <w:rStyle w:val="FootnoteReference"/>
        </w:rPr>
        <w:footnoteRef/>
      </w:r>
      <w:r>
        <w:t xml:space="preserve"> </w:t>
      </w:r>
      <w:r w:rsidR="00160806">
        <w:t>Ghazali, al-Iqtisad fi al-i’tiqad, Muhammad Ali Baydun (ed.) (Beirut: dar al-kutub al</w:t>
      </w:r>
      <w:proofErr w:type="gramStart"/>
      <w:r w:rsidR="00160806">
        <w:t>-‘</w:t>
      </w:r>
      <w:proofErr w:type="gramEnd"/>
      <w:r w:rsidR="00160806">
        <w:t xml:space="preserve">ilmiyya, 2004), p. 127. </w:t>
      </w:r>
    </w:p>
  </w:footnote>
  <w:footnote w:id="106">
    <w:p w14:paraId="7EECBF27" w14:textId="665DB102" w:rsidR="00BE73C0" w:rsidRDefault="00BE73C0">
      <w:pPr>
        <w:pStyle w:val="FootnoteText"/>
      </w:pPr>
      <w:r>
        <w:rPr>
          <w:rStyle w:val="FootnoteReference"/>
        </w:rPr>
        <w:footnoteRef/>
      </w:r>
      <w:r>
        <w:t xml:space="preserve"> Said, Yazeed, </w:t>
      </w:r>
      <w:r w:rsidRPr="001D0A7F">
        <w:rPr>
          <w:i/>
          <w:iCs/>
        </w:rPr>
        <w:t>Ghazali’s Politics in Context</w:t>
      </w:r>
      <w:r>
        <w:t>, pp. 131-137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E4"/>
    <w:rsid w:val="00002A2B"/>
    <w:rsid w:val="00002B67"/>
    <w:rsid w:val="000070CD"/>
    <w:rsid w:val="0000789A"/>
    <w:rsid w:val="000101EC"/>
    <w:rsid w:val="00010709"/>
    <w:rsid w:val="00012667"/>
    <w:rsid w:val="00014AFB"/>
    <w:rsid w:val="00014BF5"/>
    <w:rsid w:val="00016FDE"/>
    <w:rsid w:val="00021DA3"/>
    <w:rsid w:val="00026EB7"/>
    <w:rsid w:val="00027D2B"/>
    <w:rsid w:val="0003296F"/>
    <w:rsid w:val="00032B29"/>
    <w:rsid w:val="00032E2C"/>
    <w:rsid w:val="00035FD7"/>
    <w:rsid w:val="000454AE"/>
    <w:rsid w:val="00051C04"/>
    <w:rsid w:val="00055A16"/>
    <w:rsid w:val="000561B1"/>
    <w:rsid w:val="000608BB"/>
    <w:rsid w:val="0006337C"/>
    <w:rsid w:val="0006660F"/>
    <w:rsid w:val="00066CF3"/>
    <w:rsid w:val="00073AF5"/>
    <w:rsid w:val="00081268"/>
    <w:rsid w:val="000814C7"/>
    <w:rsid w:val="00083910"/>
    <w:rsid w:val="0008666A"/>
    <w:rsid w:val="000923AB"/>
    <w:rsid w:val="000944B2"/>
    <w:rsid w:val="00096D04"/>
    <w:rsid w:val="00097CBE"/>
    <w:rsid w:val="000A0208"/>
    <w:rsid w:val="000A036F"/>
    <w:rsid w:val="000A0385"/>
    <w:rsid w:val="000A0F2E"/>
    <w:rsid w:val="000A3921"/>
    <w:rsid w:val="000A7016"/>
    <w:rsid w:val="000B340D"/>
    <w:rsid w:val="000C38A5"/>
    <w:rsid w:val="000C394D"/>
    <w:rsid w:val="000D04AF"/>
    <w:rsid w:val="000D1E34"/>
    <w:rsid w:val="000D31FE"/>
    <w:rsid w:val="000D7266"/>
    <w:rsid w:val="000D7A23"/>
    <w:rsid w:val="000D7DA7"/>
    <w:rsid w:val="000E244D"/>
    <w:rsid w:val="000E3DEB"/>
    <w:rsid w:val="000E542B"/>
    <w:rsid w:val="0010058D"/>
    <w:rsid w:val="00106BF4"/>
    <w:rsid w:val="00124B4D"/>
    <w:rsid w:val="001305DF"/>
    <w:rsid w:val="00133B5B"/>
    <w:rsid w:val="0013647E"/>
    <w:rsid w:val="00137F5F"/>
    <w:rsid w:val="0014397D"/>
    <w:rsid w:val="00143E5D"/>
    <w:rsid w:val="00147E51"/>
    <w:rsid w:val="00152ED7"/>
    <w:rsid w:val="001575EE"/>
    <w:rsid w:val="00160806"/>
    <w:rsid w:val="001652DE"/>
    <w:rsid w:val="001824B9"/>
    <w:rsid w:val="00183C53"/>
    <w:rsid w:val="00184683"/>
    <w:rsid w:val="00186FAB"/>
    <w:rsid w:val="00190DE7"/>
    <w:rsid w:val="00191A4F"/>
    <w:rsid w:val="00192C7E"/>
    <w:rsid w:val="001A7471"/>
    <w:rsid w:val="001B0FA2"/>
    <w:rsid w:val="001B2FB4"/>
    <w:rsid w:val="001B3081"/>
    <w:rsid w:val="001B4204"/>
    <w:rsid w:val="001B7881"/>
    <w:rsid w:val="001D0A7F"/>
    <w:rsid w:val="001D0AB4"/>
    <w:rsid w:val="001D35C5"/>
    <w:rsid w:val="001D3691"/>
    <w:rsid w:val="001D4EC9"/>
    <w:rsid w:val="001D5962"/>
    <w:rsid w:val="001E226D"/>
    <w:rsid w:val="001E280F"/>
    <w:rsid w:val="001F3F97"/>
    <w:rsid w:val="001F4918"/>
    <w:rsid w:val="001F54F9"/>
    <w:rsid w:val="001F7372"/>
    <w:rsid w:val="00200779"/>
    <w:rsid w:val="00200E44"/>
    <w:rsid w:val="002020A1"/>
    <w:rsid w:val="0020390C"/>
    <w:rsid w:val="00211FF9"/>
    <w:rsid w:val="002134E5"/>
    <w:rsid w:val="002208D7"/>
    <w:rsid w:val="00222A07"/>
    <w:rsid w:val="00222F0D"/>
    <w:rsid w:val="00236CD9"/>
    <w:rsid w:val="0024313A"/>
    <w:rsid w:val="00243884"/>
    <w:rsid w:val="002514E8"/>
    <w:rsid w:val="0026319E"/>
    <w:rsid w:val="00270F29"/>
    <w:rsid w:val="0028711D"/>
    <w:rsid w:val="002902B6"/>
    <w:rsid w:val="002A2BA2"/>
    <w:rsid w:val="002A3D79"/>
    <w:rsid w:val="002A497D"/>
    <w:rsid w:val="002B0410"/>
    <w:rsid w:val="002B1047"/>
    <w:rsid w:val="002C1F1D"/>
    <w:rsid w:val="002C2079"/>
    <w:rsid w:val="002C74C2"/>
    <w:rsid w:val="002D0099"/>
    <w:rsid w:val="002D4B9C"/>
    <w:rsid w:val="002E08FA"/>
    <w:rsid w:val="002F6146"/>
    <w:rsid w:val="00305B07"/>
    <w:rsid w:val="003166BF"/>
    <w:rsid w:val="00323D41"/>
    <w:rsid w:val="003248E0"/>
    <w:rsid w:val="0033068B"/>
    <w:rsid w:val="00330C98"/>
    <w:rsid w:val="00335587"/>
    <w:rsid w:val="003358BE"/>
    <w:rsid w:val="00340CCA"/>
    <w:rsid w:val="003426D9"/>
    <w:rsid w:val="00344CB6"/>
    <w:rsid w:val="00347825"/>
    <w:rsid w:val="003516A7"/>
    <w:rsid w:val="0035195B"/>
    <w:rsid w:val="00357823"/>
    <w:rsid w:val="00365524"/>
    <w:rsid w:val="003718D6"/>
    <w:rsid w:val="0037515A"/>
    <w:rsid w:val="0038417E"/>
    <w:rsid w:val="00384F0B"/>
    <w:rsid w:val="00394765"/>
    <w:rsid w:val="003A010A"/>
    <w:rsid w:val="003A54D5"/>
    <w:rsid w:val="003B0A5E"/>
    <w:rsid w:val="003B1CBD"/>
    <w:rsid w:val="003B58DC"/>
    <w:rsid w:val="003C23F4"/>
    <w:rsid w:val="003C7982"/>
    <w:rsid w:val="003D0330"/>
    <w:rsid w:val="003D11B2"/>
    <w:rsid w:val="003D132C"/>
    <w:rsid w:val="003E34B9"/>
    <w:rsid w:val="003E51F7"/>
    <w:rsid w:val="003F209A"/>
    <w:rsid w:val="003F7A0E"/>
    <w:rsid w:val="004046B6"/>
    <w:rsid w:val="00412FE4"/>
    <w:rsid w:val="004162AD"/>
    <w:rsid w:val="0041699B"/>
    <w:rsid w:val="00426D00"/>
    <w:rsid w:val="00434F3E"/>
    <w:rsid w:val="004359E2"/>
    <w:rsid w:val="00437947"/>
    <w:rsid w:val="00442643"/>
    <w:rsid w:val="0044495B"/>
    <w:rsid w:val="00450C11"/>
    <w:rsid w:val="004520E5"/>
    <w:rsid w:val="00452ADD"/>
    <w:rsid w:val="00452B7A"/>
    <w:rsid w:val="00463D81"/>
    <w:rsid w:val="004640A4"/>
    <w:rsid w:val="00467C02"/>
    <w:rsid w:val="004850ED"/>
    <w:rsid w:val="00486E5F"/>
    <w:rsid w:val="004914CE"/>
    <w:rsid w:val="00491CB4"/>
    <w:rsid w:val="0049540E"/>
    <w:rsid w:val="004A2B43"/>
    <w:rsid w:val="004A63C1"/>
    <w:rsid w:val="004A726D"/>
    <w:rsid w:val="004A7DBF"/>
    <w:rsid w:val="004B69B3"/>
    <w:rsid w:val="004B69C3"/>
    <w:rsid w:val="004C29BB"/>
    <w:rsid w:val="004D172F"/>
    <w:rsid w:val="004D2880"/>
    <w:rsid w:val="004D5821"/>
    <w:rsid w:val="004D6B36"/>
    <w:rsid w:val="004E1958"/>
    <w:rsid w:val="004F4631"/>
    <w:rsid w:val="004F5356"/>
    <w:rsid w:val="00502790"/>
    <w:rsid w:val="00504CBF"/>
    <w:rsid w:val="00504EFF"/>
    <w:rsid w:val="00510938"/>
    <w:rsid w:val="00514668"/>
    <w:rsid w:val="00521C24"/>
    <w:rsid w:val="0052345D"/>
    <w:rsid w:val="00530A7D"/>
    <w:rsid w:val="005405A2"/>
    <w:rsid w:val="00552562"/>
    <w:rsid w:val="00555166"/>
    <w:rsid w:val="005560D1"/>
    <w:rsid w:val="00560B64"/>
    <w:rsid w:val="00572370"/>
    <w:rsid w:val="0057484A"/>
    <w:rsid w:val="005749D2"/>
    <w:rsid w:val="00585E9E"/>
    <w:rsid w:val="00590266"/>
    <w:rsid w:val="005A0B6E"/>
    <w:rsid w:val="005A6CE9"/>
    <w:rsid w:val="005A7D6C"/>
    <w:rsid w:val="005B2A96"/>
    <w:rsid w:val="005B6C27"/>
    <w:rsid w:val="005B7A95"/>
    <w:rsid w:val="005C36DC"/>
    <w:rsid w:val="005C4446"/>
    <w:rsid w:val="005C5C35"/>
    <w:rsid w:val="005C62E1"/>
    <w:rsid w:val="005D0487"/>
    <w:rsid w:val="005D1676"/>
    <w:rsid w:val="005D1DCE"/>
    <w:rsid w:val="005F0210"/>
    <w:rsid w:val="005F0D0B"/>
    <w:rsid w:val="0060162F"/>
    <w:rsid w:val="00605A7B"/>
    <w:rsid w:val="00606A2C"/>
    <w:rsid w:val="00613CC4"/>
    <w:rsid w:val="006164C3"/>
    <w:rsid w:val="006201D8"/>
    <w:rsid w:val="0062188C"/>
    <w:rsid w:val="00623F13"/>
    <w:rsid w:val="00624388"/>
    <w:rsid w:val="006259FB"/>
    <w:rsid w:val="006306FA"/>
    <w:rsid w:val="00632272"/>
    <w:rsid w:val="006340B4"/>
    <w:rsid w:val="006352B8"/>
    <w:rsid w:val="00635626"/>
    <w:rsid w:val="006406B8"/>
    <w:rsid w:val="0064313F"/>
    <w:rsid w:val="0064461A"/>
    <w:rsid w:val="00647AAC"/>
    <w:rsid w:val="00653AF5"/>
    <w:rsid w:val="0065576E"/>
    <w:rsid w:val="006614B5"/>
    <w:rsid w:val="00676CFA"/>
    <w:rsid w:val="0067722E"/>
    <w:rsid w:val="00680142"/>
    <w:rsid w:val="006821DD"/>
    <w:rsid w:val="00682215"/>
    <w:rsid w:val="00687060"/>
    <w:rsid w:val="0068787D"/>
    <w:rsid w:val="00691A32"/>
    <w:rsid w:val="0069590B"/>
    <w:rsid w:val="00697DC9"/>
    <w:rsid w:val="006C55EB"/>
    <w:rsid w:val="006C674B"/>
    <w:rsid w:val="006C7DA8"/>
    <w:rsid w:val="006D33C9"/>
    <w:rsid w:val="006D3DBA"/>
    <w:rsid w:val="006D3F87"/>
    <w:rsid w:val="006D5288"/>
    <w:rsid w:val="006D7B44"/>
    <w:rsid w:val="006E04CD"/>
    <w:rsid w:val="006E2FE8"/>
    <w:rsid w:val="006E5B90"/>
    <w:rsid w:val="006E74BD"/>
    <w:rsid w:val="006F19A4"/>
    <w:rsid w:val="006F2986"/>
    <w:rsid w:val="006F448D"/>
    <w:rsid w:val="006F4FC5"/>
    <w:rsid w:val="007012B1"/>
    <w:rsid w:val="00702AA2"/>
    <w:rsid w:val="00704AC3"/>
    <w:rsid w:val="00706AFF"/>
    <w:rsid w:val="00706FBB"/>
    <w:rsid w:val="007073D9"/>
    <w:rsid w:val="007120F6"/>
    <w:rsid w:val="007142FB"/>
    <w:rsid w:val="0071582D"/>
    <w:rsid w:val="0072093F"/>
    <w:rsid w:val="00721651"/>
    <w:rsid w:val="0072253A"/>
    <w:rsid w:val="007227AA"/>
    <w:rsid w:val="00723F25"/>
    <w:rsid w:val="007241A1"/>
    <w:rsid w:val="007255D0"/>
    <w:rsid w:val="007305CC"/>
    <w:rsid w:val="0073326C"/>
    <w:rsid w:val="00735AAB"/>
    <w:rsid w:val="00741998"/>
    <w:rsid w:val="0074559E"/>
    <w:rsid w:val="0075623F"/>
    <w:rsid w:val="00772F09"/>
    <w:rsid w:val="00776A97"/>
    <w:rsid w:val="007775A8"/>
    <w:rsid w:val="007837BF"/>
    <w:rsid w:val="007850BD"/>
    <w:rsid w:val="0078554E"/>
    <w:rsid w:val="007A142B"/>
    <w:rsid w:val="007A262F"/>
    <w:rsid w:val="007A6517"/>
    <w:rsid w:val="007A6F3D"/>
    <w:rsid w:val="007A780B"/>
    <w:rsid w:val="007B0BF4"/>
    <w:rsid w:val="007B1695"/>
    <w:rsid w:val="007B1723"/>
    <w:rsid w:val="007B3848"/>
    <w:rsid w:val="007B47CB"/>
    <w:rsid w:val="007B4D76"/>
    <w:rsid w:val="007B739C"/>
    <w:rsid w:val="007C0E27"/>
    <w:rsid w:val="007C1C53"/>
    <w:rsid w:val="007C519C"/>
    <w:rsid w:val="007C5D4F"/>
    <w:rsid w:val="007C7081"/>
    <w:rsid w:val="007D0BF9"/>
    <w:rsid w:val="007D157C"/>
    <w:rsid w:val="007D241D"/>
    <w:rsid w:val="007E1927"/>
    <w:rsid w:val="007E25F3"/>
    <w:rsid w:val="007E5073"/>
    <w:rsid w:val="007E670A"/>
    <w:rsid w:val="007F10F7"/>
    <w:rsid w:val="007F51CC"/>
    <w:rsid w:val="007F63AC"/>
    <w:rsid w:val="0080023C"/>
    <w:rsid w:val="00801D5D"/>
    <w:rsid w:val="00803B8E"/>
    <w:rsid w:val="008053C8"/>
    <w:rsid w:val="00811D04"/>
    <w:rsid w:val="008148E5"/>
    <w:rsid w:val="008155E8"/>
    <w:rsid w:val="00815F6A"/>
    <w:rsid w:val="00817E60"/>
    <w:rsid w:val="00823F31"/>
    <w:rsid w:val="00826161"/>
    <w:rsid w:val="00827559"/>
    <w:rsid w:val="00830A4B"/>
    <w:rsid w:val="00833372"/>
    <w:rsid w:val="00835A35"/>
    <w:rsid w:val="008428D3"/>
    <w:rsid w:val="0084526E"/>
    <w:rsid w:val="00846BD3"/>
    <w:rsid w:val="00846F1B"/>
    <w:rsid w:val="008519C8"/>
    <w:rsid w:val="00851B37"/>
    <w:rsid w:val="00852D65"/>
    <w:rsid w:val="0085679D"/>
    <w:rsid w:val="008636D4"/>
    <w:rsid w:val="0086614B"/>
    <w:rsid w:val="00866686"/>
    <w:rsid w:val="00877C69"/>
    <w:rsid w:val="008804CB"/>
    <w:rsid w:val="008815F3"/>
    <w:rsid w:val="00881A04"/>
    <w:rsid w:val="0088235E"/>
    <w:rsid w:val="00884697"/>
    <w:rsid w:val="00884B89"/>
    <w:rsid w:val="00884E00"/>
    <w:rsid w:val="0089410B"/>
    <w:rsid w:val="008A365F"/>
    <w:rsid w:val="008A3F36"/>
    <w:rsid w:val="008B4027"/>
    <w:rsid w:val="008C2588"/>
    <w:rsid w:val="008C7A03"/>
    <w:rsid w:val="008D0A50"/>
    <w:rsid w:val="008D130A"/>
    <w:rsid w:val="008D2EA5"/>
    <w:rsid w:val="008D492C"/>
    <w:rsid w:val="008D51E7"/>
    <w:rsid w:val="008E4E03"/>
    <w:rsid w:val="008E5A90"/>
    <w:rsid w:val="008E7272"/>
    <w:rsid w:val="008F1E5D"/>
    <w:rsid w:val="008F6F64"/>
    <w:rsid w:val="009035BF"/>
    <w:rsid w:val="00906A69"/>
    <w:rsid w:val="00912CCA"/>
    <w:rsid w:val="00917ADA"/>
    <w:rsid w:val="00926C1F"/>
    <w:rsid w:val="00931AB3"/>
    <w:rsid w:val="00932398"/>
    <w:rsid w:val="0093543E"/>
    <w:rsid w:val="00936A27"/>
    <w:rsid w:val="00952AAC"/>
    <w:rsid w:val="00956E2B"/>
    <w:rsid w:val="00961319"/>
    <w:rsid w:val="00962620"/>
    <w:rsid w:val="009678EE"/>
    <w:rsid w:val="00972862"/>
    <w:rsid w:val="00977EAA"/>
    <w:rsid w:val="00980497"/>
    <w:rsid w:val="009921C6"/>
    <w:rsid w:val="00992A47"/>
    <w:rsid w:val="009932F6"/>
    <w:rsid w:val="00993A51"/>
    <w:rsid w:val="009A46F3"/>
    <w:rsid w:val="009B567A"/>
    <w:rsid w:val="009C5E03"/>
    <w:rsid w:val="009C631B"/>
    <w:rsid w:val="009D39C2"/>
    <w:rsid w:val="009E1AF9"/>
    <w:rsid w:val="009E1EB3"/>
    <w:rsid w:val="009E2CCA"/>
    <w:rsid w:val="009E7F21"/>
    <w:rsid w:val="00A02398"/>
    <w:rsid w:val="00A031E4"/>
    <w:rsid w:val="00A0680D"/>
    <w:rsid w:val="00A10478"/>
    <w:rsid w:val="00A12746"/>
    <w:rsid w:val="00A12882"/>
    <w:rsid w:val="00A13325"/>
    <w:rsid w:val="00A13A36"/>
    <w:rsid w:val="00A17387"/>
    <w:rsid w:val="00A221B6"/>
    <w:rsid w:val="00A22E29"/>
    <w:rsid w:val="00A23077"/>
    <w:rsid w:val="00A24451"/>
    <w:rsid w:val="00A265A2"/>
    <w:rsid w:val="00A3688B"/>
    <w:rsid w:val="00A374A6"/>
    <w:rsid w:val="00A54ABA"/>
    <w:rsid w:val="00A5777A"/>
    <w:rsid w:val="00A60545"/>
    <w:rsid w:val="00A6078E"/>
    <w:rsid w:val="00A7175D"/>
    <w:rsid w:val="00A77CCC"/>
    <w:rsid w:val="00A85CE1"/>
    <w:rsid w:val="00A907AB"/>
    <w:rsid w:val="00A928B5"/>
    <w:rsid w:val="00A93416"/>
    <w:rsid w:val="00AA0309"/>
    <w:rsid w:val="00AA0402"/>
    <w:rsid w:val="00AA1EAF"/>
    <w:rsid w:val="00AA281E"/>
    <w:rsid w:val="00AB0CE7"/>
    <w:rsid w:val="00AB5ECB"/>
    <w:rsid w:val="00AC13DF"/>
    <w:rsid w:val="00AC2539"/>
    <w:rsid w:val="00AC2A09"/>
    <w:rsid w:val="00AC2F40"/>
    <w:rsid w:val="00AD29BB"/>
    <w:rsid w:val="00AD4B86"/>
    <w:rsid w:val="00AE2121"/>
    <w:rsid w:val="00AE21C3"/>
    <w:rsid w:val="00AE3344"/>
    <w:rsid w:val="00AE405D"/>
    <w:rsid w:val="00AE48EB"/>
    <w:rsid w:val="00AF41A7"/>
    <w:rsid w:val="00AF47F5"/>
    <w:rsid w:val="00B061F1"/>
    <w:rsid w:val="00B12EFB"/>
    <w:rsid w:val="00B17762"/>
    <w:rsid w:val="00B2580E"/>
    <w:rsid w:val="00B32BC5"/>
    <w:rsid w:val="00B35B5C"/>
    <w:rsid w:val="00B407E6"/>
    <w:rsid w:val="00B41247"/>
    <w:rsid w:val="00B42206"/>
    <w:rsid w:val="00B46DE1"/>
    <w:rsid w:val="00B546DF"/>
    <w:rsid w:val="00B55D0C"/>
    <w:rsid w:val="00B6073B"/>
    <w:rsid w:val="00B668DF"/>
    <w:rsid w:val="00B80B7C"/>
    <w:rsid w:val="00B810CC"/>
    <w:rsid w:val="00B85CBF"/>
    <w:rsid w:val="00B934F4"/>
    <w:rsid w:val="00B953AC"/>
    <w:rsid w:val="00B97CBE"/>
    <w:rsid w:val="00BA5508"/>
    <w:rsid w:val="00BB0404"/>
    <w:rsid w:val="00BB0D28"/>
    <w:rsid w:val="00BB3E77"/>
    <w:rsid w:val="00BB3EF2"/>
    <w:rsid w:val="00BB7E52"/>
    <w:rsid w:val="00BC0F08"/>
    <w:rsid w:val="00BC3D35"/>
    <w:rsid w:val="00BC6509"/>
    <w:rsid w:val="00BD4BF2"/>
    <w:rsid w:val="00BE1522"/>
    <w:rsid w:val="00BE1542"/>
    <w:rsid w:val="00BE38F6"/>
    <w:rsid w:val="00BE5861"/>
    <w:rsid w:val="00BE73C0"/>
    <w:rsid w:val="00BF7E11"/>
    <w:rsid w:val="00C066D9"/>
    <w:rsid w:val="00C10110"/>
    <w:rsid w:val="00C21804"/>
    <w:rsid w:val="00C26C7E"/>
    <w:rsid w:val="00C270D8"/>
    <w:rsid w:val="00C313DA"/>
    <w:rsid w:val="00C34AC9"/>
    <w:rsid w:val="00C46D00"/>
    <w:rsid w:val="00C53969"/>
    <w:rsid w:val="00C55E47"/>
    <w:rsid w:val="00C5653C"/>
    <w:rsid w:val="00C630B8"/>
    <w:rsid w:val="00C64906"/>
    <w:rsid w:val="00C65895"/>
    <w:rsid w:val="00C6687B"/>
    <w:rsid w:val="00C70CB3"/>
    <w:rsid w:val="00C76FEE"/>
    <w:rsid w:val="00C86586"/>
    <w:rsid w:val="00C86794"/>
    <w:rsid w:val="00C91FC2"/>
    <w:rsid w:val="00C9459F"/>
    <w:rsid w:val="00C97097"/>
    <w:rsid w:val="00CA444C"/>
    <w:rsid w:val="00CA50FF"/>
    <w:rsid w:val="00CB10A7"/>
    <w:rsid w:val="00CB71E4"/>
    <w:rsid w:val="00CD290A"/>
    <w:rsid w:val="00CD34EA"/>
    <w:rsid w:val="00CD43E9"/>
    <w:rsid w:val="00CD56E7"/>
    <w:rsid w:val="00CD5B7D"/>
    <w:rsid w:val="00CD7206"/>
    <w:rsid w:val="00CD7FBD"/>
    <w:rsid w:val="00D020D6"/>
    <w:rsid w:val="00D06403"/>
    <w:rsid w:val="00D1073D"/>
    <w:rsid w:val="00D10A35"/>
    <w:rsid w:val="00D10CDD"/>
    <w:rsid w:val="00D13B95"/>
    <w:rsid w:val="00D20EE7"/>
    <w:rsid w:val="00D26BE7"/>
    <w:rsid w:val="00D43B58"/>
    <w:rsid w:val="00D530C6"/>
    <w:rsid w:val="00D54806"/>
    <w:rsid w:val="00D55E00"/>
    <w:rsid w:val="00D610E2"/>
    <w:rsid w:val="00D614E2"/>
    <w:rsid w:val="00D637C7"/>
    <w:rsid w:val="00D73B6E"/>
    <w:rsid w:val="00D74BB3"/>
    <w:rsid w:val="00D811A1"/>
    <w:rsid w:val="00D85E09"/>
    <w:rsid w:val="00D87627"/>
    <w:rsid w:val="00D90810"/>
    <w:rsid w:val="00D951F0"/>
    <w:rsid w:val="00D95A69"/>
    <w:rsid w:val="00D976BA"/>
    <w:rsid w:val="00DA1E12"/>
    <w:rsid w:val="00DA3540"/>
    <w:rsid w:val="00DA7CE1"/>
    <w:rsid w:val="00DB0B2D"/>
    <w:rsid w:val="00DB0CC6"/>
    <w:rsid w:val="00DB3540"/>
    <w:rsid w:val="00DB3BD2"/>
    <w:rsid w:val="00DB59C0"/>
    <w:rsid w:val="00DB6615"/>
    <w:rsid w:val="00DC57B2"/>
    <w:rsid w:val="00DC63FD"/>
    <w:rsid w:val="00DD3BE4"/>
    <w:rsid w:val="00DE1768"/>
    <w:rsid w:val="00DE4F7E"/>
    <w:rsid w:val="00DF22D0"/>
    <w:rsid w:val="00E1009C"/>
    <w:rsid w:val="00E10E5B"/>
    <w:rsid w:val="00E11737"/>
    <w:rsid w:val="00E13766"/>
    <w:rsid w:val="00E21187"/>
    <w:rsid w:val="00E21641"/>
    <w:rsid w:val="00E2213D"/>
    <w:rsid w:val="00E33B10"/>
    <w:rsid w:val="00E3484D"/>
    <w:rsid w:val="00E367EB"/>
    <w:rsid w:val="00E42B74"/>
    <w:rsid w:val="00E4334C"/>
    <w:rsid w:val="00E56A4F"/>
    <w:rsid w:val="00E6102E"/>
    <w:rsid w:val="00E61941"/>
    <w:rsid w:val="00E65FF6"/>
    <w:rsid w:val="00E72A6A"/>
    <w:rsid w:val="00E76C47"/>
    <w:rsid w:val="00E903B5"/>
    <w:rsid w:val="00E93C1D"/>
    <w:rsid w:val="00E944B3"/>
    <w:rsid w:val="00E945E9"/>
    <w:rsid w:val="00E95198"/>
    <w:rsid w:val="00E9619A"/>
    <w:rsid w:val="00E97530"/>
    <w:rsid w:val="00EA15F9"/>
    <w:rsid w:val="00EA1CB8"/>
    <w:rsid w:val="00EA63AC"/>
    <w:rsid w:val="00EB701E"/>
    <w:rsid w:val="00EC0333"/>
    <w:rsid w:val="00EC17E7"/>
    <w:rsid w:val="00EC2F9A"/>
    <w:rsid w:val="00EC3B43"/>
    <w:rsid w:val="00EC7F42"/>
    <w:rsid w:val="00ED24C4"/>
    <w:rsid w:val="00ED2E57"/>
    <w:rsid w:val="00ED66F2"/>
    <w:rsid w:val="00ED7350"/>
    <w:rsid w:val="00ED7497"/>
    <w:rsid w:val="00EE0B73"/>
    <w:rsid w:val="00EE16BF"/>
    <w:rsid w:val="00EF682F"/>
    <w:rsid w:val="00F000CD"/>
    <w:rsid w:val="00F00D47"/>
    <w:rsid w:val="00F024AB"/>
    <w:rsid w:val="00F10F90"/>
    <w:rsid w:val="00F1219D"/>
    <w:rsid w:val="00F14DC7"/>
    <w:rsid w:val="00F15989"/>
    <w:rsid w:val="00F16412"/>
    <w:rsid w:val="00F21D94"/>
    <w:rsid w:val="00F244FD"/>
    <w:rsid w:val="00F27787"/>
    <w:rsid w:val="00F332CF"/>
    <w:rsid w:val="00F33ED4"/>
    <w:rsid w:val="00F33FCE"/>
    <w:rsid w:val="00F351CA"/>
    <w:rsid w:val="00F35B4E"/>
    <w:rsid w:val="00F446D7"/>
    <w:rsid w:val="00F52F0C"/>
    <w:rsid w:val="00F55BC6"/>
    <w:rsid w:val="00F574F2"/>
    <w:rsid w:val="00F75022"/>
    <w:rsid w:val="00F77704"/>
    <w:rsid w:val="00F92A42"/>
    <w:rsid w:val="00F9629B"/>
    <w:rsid w:val="00FA0B1B"/>
    <w:rsid w:val="00FB13ED"/>
    <w:rsid w:val="00FC00CC"/>
    <w:rsid w:val="00FC26C4"/>
    <w:rsid w:val="00FE015E"/>
    <w:rsid w:val="00FE60C9"/>
    <w:rsid w:val="00FE621B"/>
    <w:rsid w:val="00FF34C9"/>
    <w:rsid w:val="00FF7F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8117"/>
  <w15:chartTrackingRefBased/>
  <w15:docId w15:val="{97485A46-9699-194E-BF8E-0D5902C3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D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D35"/>
    <w:rPr>
      <w:rFonts w:ascii="Times New Roman" w:hAnsi="Times New Roman" w:cs="Times New Roman"/>
      <w:sz w:val="18"/>
      <w:szCs w:val="18"/>
    </w:rPr>
  </w:style>
  <w:style w:type="paragraph" w:styleId="FootnoteText">
    <w:name w:val="footnote text"/>
    <w:basedOn w:val="Normal"/>
    <w:link w:val="FootnoteTextChar"/>
    <w:unhideWhenUsed/>
    <w:rsid w:val="00190DE7"/>
    <w:rPr>
      <w:sz w:val="20"/>
      <w:szCs w:val="20"/>
    </w:rPr>
  </w:style>
  <w:style w:type="character" w:customStyle="1" w:styleId="FootnoteTextChar">
    <w:name w:val="Footnote Text Char"/>
    <w:basedOn w:val="DefaultParagraphFont"/>
    <w:link w:val="FootnoteText"/>
    <w:uiPriority w:val="99"/>
    <w:semiHidden/>
    <w:rsid w:val="00190DE7"/>
    <w:rPr>
      <w:sz w:val="20"/>
      <w:szCs w:val="20"/>
    </w:rPr>
  </w:style>
  <w:style w:type="character" w:styleId="FootnoteReference">
    <w:name w:val="footnote reference"/>
    <w:basedOn w:val="DefaultParagraphFont"/>
    <w:unhideWhenUsed/>
    <w:rsid w:val="00190DE7"/>
    <w:rPr>
      <w:vertAlign w:val="superscript"/>
    </w:rPr>
  </w:style>
  <w:style w:type="character" w:styleId="CommentReference">
    <w:name w:val="annotation reference"/>
    <w:basedOn w:val="DefaultParagraphFont"/>
    <w:uiPriority w:val="99"/>
    <w:semiHidden/>
    <w:unhideWhenUsed/>
    <w:rsid w:val="00BE38F6"/>
    <w:rPr>
      <w:sz w:val="16"/>
      <w:szCs w:val="16"/>
    </w:rPr>
  </w:style>
  <w:style w:type="paragraph" w:styleId="CommentText">
    <w:name w:val="annotation text"/>
    <w:basedOn w:val="Normal"/>
    <w:link w:val="CommentTextChar"/>
    <w:uiPriority w:val="99"/>
    <w:unhideWhenUsed/>
    <w:rsid w:val="00BE38F6"/>
    <w:rPr>
      <w:sz w:val="20"/>
      <w:szCs w:val="20"/>
    </w:rPr>
  </w:style>
  <w:style w:type="character" w:customStyle="1" w:styleId="CommentTextChar">
    <w:name w:val="Comment Text Char"/>
    <w:basedOn w:val="DefaultParagraphFont"/>
    <w:link w:val="CommentText"/>
    <w:uiPriority w:val="99"/>
    <w:rsid w:val="00BE38F6"/>
    <w:rPr>
      <w:sz w:val="20"/>
      <w:szCs w:val="20"/>
    </w:rPr>
  </w:style>
  <w:style w:type="paragraph" w:styleId="CommentSubject">
    <w:name w:val="annotation subject"/>
    <w:basedOn w:val="CommentText"/>
    <w:next w:val="CommentText"/>
    <w:link w:val="CommentSubjectChar"/>
    <w:uiPriority w:val="99"/>
    <w:semiHidden/>
    <w:unhideWhenUsed/>
    <w:rsid w:val="00BE38F6"/>
    <w:rPr>
      <w:b/>
      <w:bCs/>
    </w:rPr>
  </w:style>
  <w:style w:type="character" w:customStyle="1" w:styleId="CommentSubjectChar">
    <w:name w:val="Comment Subject Char"/>
    <w:basedOn w:val="CommentTextChar"/>
    <w:link w:val="CommentSubject"/>
    <w:uiPriority w:val="99"/>
    <w:semiHidden/>
    <w:rsid w:val="00BE38F6"/>
    <w:rPr>
      <w:b/>
      <w:bCs/>
      <w:sz w:val="20"/>
      <w:szCs w:val="20"/>
    </w:rPr>
  </w:style>
  <w:style w:type="character" w:styleId="Hyperlink">
    <w:name w:val="Hyperlink"/>
    <w:basedOn w:val="DefaultParagraphFont"/>
    <w:uiPriority w:val="99"/>
    <w:unhideWhenUsed/>
    <w:rsid w:val="00852D65"/>
    <w:rPr>
      <w:color w:val="0563C1" w:themeColor="hyperlink"/>
      <w:u w:val="single"/>
    </w:rPr>
  </w:style>
  <w:style w:type="character" w:styleId="UnresolvedMention">
    <w:name w:val="Unresolved Mention"/>
    <w:basedOn w:val="DefaultParagraphFont"/>
    <w:uiPriority w:val="99"/>
    <w:semiHidden/>
    <w:unhideWhenUsed/>
    <w:rsid w:val="00852D65"/>
    <w:rPr>
      <w:color w:val="605E5C"/>
      <w:shd w:val="clear" w:color="auto" w:fill="E1DFDD"/>
    </w:rPr>
  </w:style>
  <w:style w:type="paragraph" w:customStyle="1" w:styleId="Body">
    <w:name w:val="Body"/>
    <w:rsid w:val="00E13766"/>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news.bbc.co.uk/1/shared/bsp/hi/pdfs/24_08_05_constit.pdf" TargetMode="External"/><Relationship Id="rId2" Type="http://schemas.openxmlformats.org/officeDocument/2006/relationships/hyperlink" Target="http://www.systemicpeace.org/polityproject.html" TargetMode="External"/><Relationship Id="rId1" Type="http://schemas.openxmlformats.org/officeDocument/2006/relationships/hyperlink" Target="https://www.foreignaffairs.com/articles/2007-01-01/battle-global-values" TargetMode="External"/><Relationship Id="rId6" Type="http://schemas.openxmlformats.org/officeDocument/2006/relationships/hyperlink" Target="https://www.theatlantic.com/magazine/archive/2004/12/at-the-gates-of-brussels/303623/" TargetMode="External"/><Relationship Id="rId5" Type="http://schemas.openxmlformats.org/officeDocument/2006/relationships/hyperlink" Target="https://magnacarta800th.com/wp-content/uploads/2011/10/Sovereignty_Parliament_or_the_Rule_Law.pdf" TargetMode="External"/><Relationship Id="rId4" Type="http://schemas.openxmlformats.org/officeDocument/2006/relationships/hyperlink" Target="https://www.catholicnewsagency.com/news/pope-tells-egypts-authorities-they-have-key-role-in-brokering-peace-56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4641-78AC-451F-A4EB-294012AC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8115</Words>
  <Characters>46258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saidy</dc:creator>
  <cp:keywords/>
  <dc:description/>
  <cp:lastModifiedBy>Andrew Taylor</cp:lastModifiedBy>
  <cp:revision>2</cp:revision>
  <dcterms:created xsi:type="dcterms:W3CDTF">2021-05-14T08:52:00Z</dcterms:created>
  <dcterms:modified xsi:type="dcterms:W3CDTF">2021-05-14T08:52:00Z</dcterms:modified>
</cp:coreProperties>
</file>