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E67F7" w14:textId="5A75424F" w:rsidR="00067B88" w:rsidRPr="00085860" w:rsidRDefault="00C71693" w:rsidP="00845C15">
      <w:pPr>
        <w:pStyle w:val="Heading1"/>
        <w:rPr>
          <w:b w:val="0"/>
          <w:sz w:val="32"/>
        </w:rPr>
      </w:pPr>
      <w:r w:rsidRPr="00085860">
        <w:rPr>
          <w:b w:val="0"/>
          <w:sz w:val="32"/>
        </w:rPr>
        <w:t>Common Era sea-</w:t>
      </w:r>
      <w:r w:rsidR="00067B88" w:rsidRPr="00085860">
        <w:rPr>
          <w:b w:val="0"/>
          <w:sz w:val="32"/>
        </w:rPr>
        <w:t>level budgets</w:t>
      </w:r>
      <w:r w:rsidR="006A082D" w:rsidRPr="00085860">
        <w:rPr>
          <w:b w:val="0"/>
          <w:sz w:val="32"/>
        </w:rPr>
        <w:t xml:space="preserve"> along the</w:t>
      </w:r>
      <w:r w:rsidR="00C237B7" w:rsidRPr="00085860">
        <w:rPr>
          <w:b w:val="0"/>
          <w:sz w:val="32"/>
        </w:rPr>
        <w:t xml:space="preserve"> U.S. Atlantic coast</w:t>
      </w:r>
      <w:r w:rsidR="00067B88" w:rsidRPr="00085860">
        <w:rPr>
          <w:b w:val="0"/>
          <w:sz w:val="32"/>
        </w:rPr>
        <w:t xml:space="preserve"> </w:t>
      </w:r>
    </w:p>
    <w:p w14:paraId="79F83CFC" w14:textId="77777777" w:rsidR="007F7E3F" w:rsidRDefault="007F7E3F" w:rsidP="00845C15">
      <w:pPr>
        <w:jc w:val="left"/>
        <w:rPr>
          <w:lang w:val="en-US"/>
        </w:rPr>
      </w:pPr>
    </w:p>
    <w:p w14:paraId="3F547D44" w14:textId="71CB21F0" w:rsidR="007F5484" w:rsidRDefault="00ED01AE" w:rsidP="00845C15">
      <w:pPr>
        <w:jc w:val="left"/>
        <w:rPr>
          <w:lang w:val="en-US"/>
        </w:rPr>
      </w:pPr>
      <w:r w:rsidRPr="00781511">
        <w:rPr>
          <w:lang w:val="en-US"/>
        </w:rPr>
        <w:t xml:space="preserve">Jennifer </w:t>
      </w:r>
      <w:r w:rsidR="00512EDC" w:rsidRPr="00781511">
        <w:rPr>
          <w:lang w:val="en-US"/>
        </w:rPr>
        <w:t xml:space="preserve">S. </w:t>
      </w:r>
      <w:r w:rsidRPr="00781511">
        <w:rPr>
          <w:lang w:val="en-US"/>
        </w:rPr>
        <w:t>Walker</w:t>
      </w:r>
      <w:r w:rsidR="004C1FCF">
        <w:rPr>
          <w:vertAlign w:val="superscript"/>
          <w:lang w:val="en-US"/>
        </w:rPr>
        <w:t>1,2</w:t>
      </w:r>
      <w:r w:rsidR="00C1632B" w:rsidRPr="00C1632B">
        <w:rPr>
          <w:vertAlign w:val="superscript"/>
          <w:lang w:val="en-US"/>
        </w:rPr>
        <w:t>*</w:t>
      </w:r>
      <w:r w:rsidRPr="00781511">
        <w:rPr>
          <w:lang w:val="en-US"/>
        </w:rPr>
        <w:t xml:space="preserve">, Robert </w:t>
      </w:r>
      <w:r w:rsidR="00B2229C" w:rsidRPr="00781511">
        <w:rPr>
          <w:lang w:val="en-US"/>
        </w:rPr>
        <w:t xml:space="preserve">E. </w:t>
      </w:r>
      <w:r w:rsidRPr="00781511">
        <w:rPr>
          <w:lang w:val="en-US"/>
        </w:rPr>
        <w:t>Kopp</w:t>
      </w:r>
      <w:r w:rsidR="004C1FCF">
        <w:rPr>
          <w:vertAlign w:val="superscript"/>
          <w:lang w:val="en-US"/>
        </w:rPr>
        <w:t>1,2</w:t>
      </w:r>
      <w:r w:rsidRPr="00781511">
        <w:rPr>
          <w:lang w:val="en-US"/>
        </w:rPr>
        <w:t xml:space="preserve">, </w:t>
      </w:r>
      <w:r w:rsidR="00BF6E1D" w:rsidRPr="00781511">
        <w:rPr>
          <w:lang w:val="en-US"/>
        </w:rPr>
        <w:t xml:space="preserve">Timothy </w:t>
      </w:r>
      <w:r w:rsidR="00A378C9">
        <w:rPr>
          <w:lang w:val="en-US"/>
        </w:rPr>
        <w:t xml:space="preserve">A. </w:t>
      </w:r>
      <w:r w:rsidR="00BF6E1D" w:rsidRPr="00781511">
        <w:rPr>
          <w:lang w:val="en-US"/>
        </w:rPr>
        <w:t>Shaw</w:t>
      </w:r>
      <w:r w:rsidR="004C1FCF">
        <w:rPr>
          <w:vertAlign w:val="superscript"/>
          <w:lang w:val="en-US"/>
        </w:rPr>
        <w:t>3</w:t>
      </w:r>
      <w:r w:rsidR="00BF6E1D" w:rsidRPr="00781511">
        <w:rPr>
          <w:lang w:val="en-US"/>
        </w:rPr>
        <w:t xml:space="preserve">, </w:t>
      </w:r>
      <w:r w:rsidR="00781511" w:rsidRPr="00781511">
        <w:rPr>
          <w:lang w:val="en-US"/>
        </w:rPr>
        <w:t>Niamh Cahill</w:t>
      </w:r>
      <w:r w:rsidR="004C1FCF">
        <w:rPr>
          <w:vertAlign w:val="superscript"/>
          <w:lang w:val="en-US"/>
        </w:rPr>
        <w:t>4</w:t>
      </w:r>
      <w:r w:rsidR="00781511" w:rsidRPr="00781511">
        <w:rPr>
          <w:lang w:val="en-US"/>
        </w:rPr>
        <w:t xml:space="preserve">, </w:t>
      </w:r>
      <w:r w:rsidR="00B85AFA" w:rsidRPr="00781511">
        <w:rPr>
          <w:lang w:val="en-US"/>
        </w:rPr>
        <w:t xml:space="preserve">Nicole </w:t>
      </w:r>
      <w:r w:rsidR="00070D18">
        <w:rPr>
          <w:lang w:val="en-US"/>
        </w:rPr>
        <w:t xml:space="preserve">S. </w:t>
      </w:r>
      <w:r w:rsidR="00B85AFA" w:rsidRPr="00781511">
        <w:rPr>
          <w:lang w:val="en-US"/>
        </w:rPr>
        <w:t>Khan</w:t>
      </w:r>
      <w:r w:rsidR="004C1FCF">
        <w:rPr>
          <w:vertAlign w:val="superscript"/>
          <w:lang w:val="en-US"/>
        </w:rPr>
        <w:t>5</w:t>
      </w:r>
      <w:r w:rsidR="00B85AFA" w:rsidRPr="00781511">
        <w:rPr>
          <w:lang w:val="en-US"/>
        </w:rPr>
        <w:t xml:space="preserve">, </w:t>
      </w:r>
      <w:r w:rsidR="00781511" w:rsidRPr="00781511">
        <w:rPr>
          <w:lang w:val="en-US"/>
        </w:rPr>
        <w:t>Don</w:t>
      </w:r>
      <w:r w:rsidR="00D031FF">
        <w:rPr>
          <w:lang w:val="en-US"/>
        </w:rPr>
        <w:t>ald C.</w:t>
      </w:r>
      <w:r w:rsidR="00781511" w:rsidRPr="00781511">
        <w:rPr>
          <w:lang w:val="en-US"/>
        </w:rPr>
        <w:t xml:space="preserve"> Barber</w:t>
      </w:r>
      <w:r w:rsidR="004C1FCF">
        <w:rPr>
          <w:vertAlign w:val="superscript"/>
          <w:lang w:val="en-US"/>
        </w:rPr>
        <w:t>6</w:t>
      </w:r>
      <w:r w:rsidR="00781511" w:rsidRPr="00781511">
        <w:rPr>
          <w:lang w:val="en-US"/>
        </w:rPr>
        <w:t xml:space="preserve">, </w:t>
      </w:r>
      <w:r w:rsidR="00541BF6">
        <w:rPr>
          <w:lang w:val="en-US"/>
        </w:rPr>
        <w:t xml:space="preserve">Erica </w:t>
      </w:r>
      <w:r w:rsidR="00585BD1">
        <w:rPr>
          <w:lang w:val="en-US"/>
        </w:rPr>
        <w:t xml:space="preserve">L. </w:t>
      </w:r>
      <w:r w:rsidR="00541BF6">
        <w:rPr>
          <w:lang w:val="en-US"/>
        </w:rPr>
        <w:t>Ashe</w:t>
      </w:r>
      <w:r w:rsidR="004C1FCF">
        <w:rPr>
          <w:vertAlign w:val="superscript"/>
          <w:lang w:val="en-US"/>
        </w:rPr>
        <w:t>1,2</w:t>
      </w:r>
      <w:r w:rsidR="00541BF6">
        <w:rPr>
          <w:lang w:val="en-US"/>
        </w:rPr>
        <w:t xml:space="preserve">, </w:t>
      </w:r>
      <w:r w:rsidR="00BF6E1D" w:rsidRPr="00781511">
        <w:rPr>
          <w:lang w:val="en-US"/>
        </w:rPr>
        <w:t>Matthew Brain</w:t>
      </w:r>
      <w:r w:rsidR="004C1FCF">
        <w:rPr>
          <w:vertAlign w:val="superscript"/>
          <w:lang w:val="en-US"/>
        </w:rPr>
        <w:t>7</w:t>
      </w:r>
      <w:r w:rsidR="00BF6E1D" w:rsidRPr="00781511">
        <w:rPr>
          <w:lang w:val="en-US"/>
        </w:rPr>
        <w:t xml:space="preserve">, </w:t>
      </w:r>
      <w:r w:rsidRPr="00781511">
        <w:rPr>
          <w:lang w:val="en-US"/>
        </w:rPr>
        <w:t xml:space="preserve">Jennifer </w:t>
      </w:r>
      <w:r w:rsidR="00AF68C4">
        <w:rPr>
          <w:lang w:val="en-US"/>
        </w:rPr>
        <w:t xml:space="preserve">L. </w:t>
      </w:r>
      <w:r w:rsidRPr="00781511">
        <w:rPr>
          <w:lang w:val="en-US"/>
        </w:rPr>
        <w:t>Clear</w:t>
      </w:r>
      <w:r w:rsidR="004C1FCF">
        <w:rPr>
          <w:vertAlign w:val="superscript"/>
          <w:lang w:val="en-US"/>
        </w:rPr>
        <w:t>8</w:t>
      </w:r>
      <w:r w:rsidRPr="00781511">
        <w:rPr>
          <w:lang w:val="en-US"/>
        </w:rPr>
        <w:t xml:space="preserve">, </w:t>
      </w:r>
      <w:r w:rsidR="004022C6">
        <w:rPr>
          <w:lang w:val="en-US"/>
        </w:rPr>
        <w:t xml:space="preserve">D. </w:t>
      </w:r>
      <w:proofErr w:type="spellStart"/>
      <w:r w:rsidRPr="00781511">
        <w:rPr>
          <w:lang w:val="en-US"/>
        </w:rPr>
        <w:t>Reide</w:t>
      </w:r>
      <w:proofErr w:type="spellEnd"/>
      <w:r w:rsidRPr="00781511">
        <w:rPr>
          <w:lang w:val="en-US"/>
        </w:rPr>
        <w:t xml:space="preserve"> Corbett</w:t>
      </w:r>
      <w:r w:rsidR="004C1FCF">
        <w:rPr>
          <w:vertAlign w:val="superscript"/>
          <w:lang w:val="en-US"/>
        </w:rPr>
        <w:t>9</w:t>
      </w:r>
      <w:r w:rsidRPr="00781511">
        <w:rPr>
          <w:lang w:val="en-US"/>
        </w:rPr>
        <w:t xml:space="preserve">, Benjamin </w:t>
      </w:r>
      <w:r w:rsidR="00662477">
        <w:rPr>
          <w:lang w:val="en-US"/>
        </w:rPr>
        <w:t xml:space="preserve">P. </w:t>
      </w:r>
      <w:r w:rsidRPr="00781511">
        <w:rPr>
          <w:lang w:val="en-US"/>
        </w:rPr>
        <w:t>Horton</w:t>
      </w:r>
      <w:r w:rsidR="00F12FF9">
        <w:rPr>
          <w:vertAlign w:val="superscript"/>
          <w:lang w:val="en-US"/>
        </w:rPr>
        <w:t>3,10</w:t>
      </w:r>
      <w:r w:rsidR="00B85AFA">
        <w:rPr>
          <w:lang w:val="en-US"/>
        </w:rPr>
        <w:t xml:space="preserve"> </w:t>
      </w:r>
    </w:p>
    <w:p w14:paraId="2F661DA3" w14:textId="673E066F" w:rsidR="00C1632B" w:rsidRDefault="00C1632B" w:rsidP="00845C15">
      <w:pPr>
        <w:jc w:val="left"/>
      </w:pPr>
    </w:p>
    <w:p w14:paraId="7B8BD093" w14:textId="0FD3FA3A" w:rsidR="00C1632B" w:rsidRDefault="004C1FCF" w:rsidP="00845C15">
      <w:pPr>
        <w:jc w:val="left"/>
      </w:pPr>
      <w:r>
        <w:rPr>
          <w:vertAlign w:val="superscript"/>
        </w:rPr>
        <w:t>1</w:t>
      </w:r>
      <w:r w:rsidR="00C1632B">
        <w:rPr>
          <w:vertAlign w:val="superscript"/>
        </w:rPr>
        <w:t xml:space="preserve"> </w:t>
      </w:r>
      <w:r w:rsidR="00C1632B">
        <w:t>Department of Earth and Planetary Sciences, Rutgers University, New Brunswick, NJ 08901, USA.</w:t>
      </w:r>
    </w:p>
    <w:p w14:paraId="41A52B21" w14:textId="6F9B190C" w:rsidR="00C1632B" w:rsidRDefault="004C1FCF" w:rsidP="00845C15">
      <w:pPr>
        <w:jc w:val="left"/>
        <w:rPr>
          <w:vertAlign w:val="superscript"/>
        </w:rPr>
      </w:pPr>
      <w:r>
        <w:rPr>
          <w:vertAlign w:val="superscript"/>
        </w:rPr>
        <w:t>2</w:t>
      </w:r>
      <w:r w:rsidR="00C1632B">
        <w:rPr>
          <w:vertAlign w:val="superscript"/>
        </w:rPr>
        <w:t xml:space="preserve"> </w:t>
      </w:r>
      <w:r w:rsidR="00585BD1">
        <w:t xml:space="preserve">Rutgers </w:t>
      </w:r>
      <w:r w:rsidR="00C1632B" w:rsidRPr="006867A3">
        <w:t>Inst</w:t>
      </w:r>
      <w:r w:rsidR="00C1632B">
        <w:t>itute</w:t>
      </w:r>
      <w:r w:rsidR="00C1632B" w:rsidRPr="006867A3">
        <w:t xml:space="preserve"> of Earth, Ocean and Atmospheric Sciences, Rutgers</w:t>
      </w:r>
      <w:r w:rsidR="00C1632B">
        <w:t xml:space="preserve"> University, New Brunswick, NJ 08901, </w:t>
      </w:r>
      <w:r w:rsidR="00C1632B" w:rsidRPr="006867A3">
        <w:t>USA.</w:t>
      </w:r>
    </w:p>
    <w:p w14:paraId="49296DEA" w14:textId="384D4B1F" w:rsidR="00C1632B" w:rsidRDefault="004C1FCF" w:rsidP="00845C15">
      <w:pPr>
        <w:jc w:val="left"/>
        <w:rPr>
          <w:vertAlign w:val="superscript"/>
        </w:rPr>
      </w:pPr>
      <w:r>
        <w:rPr>
          <w:vertAlign w:val="superscript"/>
        </w:rPr>
        <w:t>3</w:t>
      </w:r>
      <w:r w:rsidR="00C1632B">
        <w:rPr>
          <w:vertAlign w:val="superscript"/>
        </w:rPr>
        <w:t xml:space="preserve"> </w:t>
      </w:r>
      <w:r w:rsidR="006017FA" w:rsidRPr="003E01C0">
        <w:t>Earth Observatory of Singapore, Nanyang Technological University 639798, Singapore</w:t>
      </w:r>
      <w:r w:rsidR="00C1632B" w:rsidRPr="003E01C0">
        <w:t>.</w:t>
      </w:r>
    </w:p>
    <w:p w14:paraId="7F84616C" w14:textId="33384F3A" w:rsidR="00C1632B" w:rsidRDefault="004C1FCF" w:rsidP="00845C15">
      <w:pPr>
        <w:jc w:val="left"/>
      </w:pPr>
      <w:r>
        <w:rPr>
          <w:vertAlign w:val="superscript"/>
        </w:rPr>
        <w:t>4</w:t>
      </w:r>
      <w:r w:rsidR="00C1632B">
        <w:rPr>
          <w:vertAlign w:val="superscript"/>
        </w:rPr>
        <w:t xml:space="preserve"> </w:t>
      </w:r>
      <w:r w:rsidR="00C1632B" w:rsidRPr="006867A3">
        <w:t>Department of Mathematics and Statistics, Maynooth University, Ireland.</w:t>
      </w:r>
    </w:p>
    <w:p w14:paraId="3ADC041D" w14:textId="4F869D82" w:rsidR="00C1632B" w:rsidRPr="0064037C" w:rsidRDefault="004C1FCF" w:rsidP="00845C15">
      <w:pPr>
        <w:jc w:val="left"/>
      </w:pPr>
      <w:r>
        <w:rPr>
          <w:vertAlign w:val="superscript"/>
        </w:rPr>
        <w:t>5</w:t>
      </w:r>
      <w:r w:rsidR="00C1632B">
        <w:rPr>
          <w:vertAlign w:val="superscript"/>
        </w:rPr>
        <w:t xml:space="preserve"> </w:t>
      </w:r>
      <w:r w:rsidR="00C1632B">
        <w:t>Department of Earth Sciences and Swire Marine Institute, The University of Hong Kong, Hong Kong.</w:t>
      </w:r>
    </w:p>
    <w:p w14:paraId="6031FE83" w14:textId="1EBC7AEB" w:rsidR="00C1632B" w:rsidRPr="006867A3" w:rsidRDefault="004C1FCF" w:rsidP="00845C15">
      <w:pPr>
        <w:jc w:val="left"/>
      </w:pPr>
      <w:r>
        <w:rPr>
          <w:vertAlign w:val="superscript"/>
        </w:rPr>
        <w:t>6</w:t>
      </w:r>
      <w:r w:rsidR="00C1632B">
        <w:rPr>
          <w:vertAlign w:val="superscript"/>
        </w:rPr>
        <w:t xml:space="preserve"> </w:t>
      </w:r>
      <w:r w:rsidR="00C1632B" w:rsidRPr="006867A3">
        <w:t xml:space="preserve">Departments of </w:t>
      </w:r>
      <w:r w:rsidR="00C1632B">
        <w:t xml:space="preserve">Environmental Studies and </w:t>
      </w:r>
      <w:r w:rsidR="00C1632B" w:rsidRPr="006867A3">
        <w:t>Geology, Bryn Mawr College, PA, USA.</w:t>
      </w:r>
      <w:r w:rsidR="00C1632B">
        <w:rPr>
          <w:vertAlign w:val="superscript"/>
        </w:rPr>
        <w:t xml:space="preserve"> </w:t>
      </w:r>
    </w:p>
    <w:p w14:paraId="530AD2CD" w14:textId="703E7E1A" w:rsidR="00C1632B" w:rsidRDefault="004C1FCF" w:rsidP="00845C15">
      <w:pPr>
        <w:jc w:val="left"/>
        <w:rPr>
          <w:vertAlign w:val="superscript"/>
        </w:rPr>
      </w:pPr>
      <w:r>
        <w:rPr>
          <w:vertAlign w:val="superscript"/>
        </w:rPr>
        <w:t>7</w:t>
      </w:r>
      <w:r w:rsidR="00C1632B">
        <w:rPr>
          <w:vertAlign w:val="superscript"/>
        </w:rPr>
        <w:t xml:space="preserve"> </w:t>
      </w:r>
      <w:r w:rsidR="00D12EFD" w:rsidRPr="00D12EFD">
        <w:rPr>
          <w:rFonts w:eastAsia="MS Mincho"/>
          <w:szCs w:val="24"/>
        </w:rPr>
        <w:t>Department of Geography, Durham University, UK</w:t>
      </w:r>
      <w:r w:rsidR="00D12EFD" w:rsidRPr="00D12EFD">
        <w:rPr>
          <w:szCs w:val="24"/>
        </w:rPr>
        <w:t>.</w:t>
      </w:r>
    </w:p>
    <w:p w14:paraId="3EF527D0" w14:textId="43942AF0" w:rsidR="00C1632B" w:rsidRPr="00D12EFD" w:rsidRDefault="004C1FCF" w:rsidP="00845C15">
      <w:pPr>
        <w:jc w:val="left"/>
      </w:pPr>
      <w:r>
        <w:rPr>
          <w:vertAlign w:val="superscript"/>
        </w:rPr>
        <w:t>8</w:t>
      </w:r>
      <w:r w:rsidR="00D12EFD">
        <w:rPr>
          <w:vertAlign w:val="superscript"/>
        </w:rPr>
        <w:t xml:space="preserve"> </w:t>
      </w:r>
      <w:r w:rsidR="00D12EFD" w:rsidRPr="00D12EFD">
        <w:rPr>
          <w:szCs w:val="24"/>
        </w:rPr>
        <w:t xml:space="preserve">Department of Geography and Environmental Science, Liverpool Hope University, </w:t>
      </w:r>
      <w:r w:rsidR="00AF68C4">
        <w:rPr>
          <w:szCs w:val="24"/>
        </w:rPr>
        <w:t xml:space="preserve">Liverpool, </w:t>
      </w:r>
      <w:r w:rsidR="00D12EFD" w:rsidRPr="00D12EFD">
        <w:rPr>
          <w:szCs w:val="24"/>
        </w:rPr>
        <w:t>UK.</w:t>
      </w:r>
    </w:p>
    <w:p w14:paraId="25726022" w14:textId="6D388621" w:rsidR="00C1632B" w:rsidRPr="00D12EFD" w:rsidRDefault="004C1FCF" w:rsidP="00845C15">
      <w:pPr>
        <w:jc w:val="left"/>
      </w:pPr>
      <w:r>
        <w:rPr>
          <w:vertAlign w:val="superscript"/>
        </w:rPr>
        <w:t>9</w:t>
      </w:r>
      <w:r w:rsidR="00D12EFD">
        <w:rPr>
          <w:vertAlign w:val="superscript"/>
        </w:rPr>
        <w:t xml:space="preserve"> </w:t>
      </w:r>
      <w:r w:rsidR="00D12EFD" w:rsidRPr="00D12EFD">
        <w:rPr>
          <w:szCs w:val="24"/>
        </w:rPr>
        <w:t>Department of Coastal Studies, East Carolina University, Greenville, NC, USA.</w:t>
      </w:r>
    </w:p>
    <w:p w14:paraId="78FDD20F" w14:textId="77553E31" w:rsidR="00C1632B" w:rsidRDefault="00F12FF9" w:rsidP="00845C15">
      <w:pPr>
        <w:jc w:val="left"/>
      </w:pPr>
      <w:r>
        <w:rPr>
          <w:vertAlign w:val="superscript"/>
        </w:rPr>
        <w:t>10</w:t>
      </w:r>
      <w:r w:rsidR="006017FA" w:rsidRPr="006017FA">
        <w:t xml:space="preserve"> </w:t>
      </w:r>
      <w:r w:rsidR="006017FA" w:rsidRPr="003E01C0">
        <w:t>Asian School of the Environment, Nanyang Technological University 639798, Singapore</w:t>
      </w:r>
      <w:r w:rsidR="00AF68C4">
        <w:t>.</w:t>
      </w:r>
    </w:p>
    <w:p w14:paraId="5AAF5D4F" w14:textId="77777777" w:rsidR="00F371BC" w:rsidRDefault="00F371BC" w:rsidP="00845C15">
      <w:pPr>
        <w:jc w:val="left"/>
      </w:pPr>
    </w:p>
    <w:p w14:paraId="3C708DEC" w14:textId="26670ECC" w:rsidR="00C1632B" w:rsidRDefault="00C1632B" w:rsidP="00845C15">
      <w:pPr>
        <w:jc w:val="left"/>
      </w:pPr>
      <w:r w:rsidRPr="008B176B">
        <w:t>*Corresponding author</w:t>
      </w:r>
      <w:r>
        <w:t xml:space="preserve"> at:</w:t>
      </w:r>
      <w:r w:rsidRPr="008B176B">
        <w:t xml:space="preserve"> </w:t>
      </w:r>
      <w:r>
        <w:t xml:space="preserve">71 Dudley Road, Rutgers University, New Brunswick, NJ 08901, USA. </w:t>
      </w:r>
      <w:r w:rsidRPr="008B176B">
        <w:t>Email address: walker@marine.rutgers.edu (J.S. Walker)</w:t>
      </w:r>
      <w:r>
        <w:t>.</w:t>
      </w:r>
    </w:p>
    <w:p w14:paraId="105F4614" w14:textId="1A5B20AF" w:rsidR="00C1551D" w:rsidRDefault="00C1551D" w:rsidP="00845C15">
      <w:pPr>
        <w:jc w:val="left"/>
      </w:pPr>
    </w:p>
    <w:p w14:paraId="35018FC0" w14:textId="77777777" w:rsidR="009D6A02" w:rsidRDefault="009D6A02" w:rsidP="00845C15">
      <w:pPr>
        <w:jc w:val="left"/>
      </w:pPr>
    </w:p>
    <w:p w14:paraId="3EA89653" w14:textId="6E5B48EB" w:rsidR="00BE20E8" w:rsidRPr="00085860" w:rsidRDefault="00BE20E8" w:rsidP="00845C15">
      <w:pPr>
        <w:pStyle w:val="Heading2"/>
        <w:jc w:val="left"/>
        <w:rPr>
          <w:b w:val="0"/>
          <w:sz w:val="28"/>
        </w:rPr>
      </w:pPr>
      <w:r w:rsidRPr="00085860">
        <w:rPr>
          <w:b w:val="0"/>
          <w:sz w:val="28"/>
        </w:rPr>
        <w:t>Abstract</w:t>
      </w:r>
    </w:p>
    <w:p w14:paraId="63F5E1BB" w14:textId="1B3B418D" w:rsidR="00DE085C" w:rsidRDefault="00956CB9" w:rsidP="009921E0">
      <w:pPr>
        <w:ind w:firstLine="720"/>
        <w:jc w:val="left"/>
      </w:pPr>
      <w:r>
        <w:t>S</w:t>
      </w:r>
      <w:r w:rsidR="00CB31A8">
        <w:t>ea</w:t>
      </w:r>
      <w:r w:rsidR="007D6F4F">
        <w:t>-level budget</w:t>
      </w:r>
      <w:r>
        <w:t>s</w:t>
      </w:r>
      <w:r w:rsidR="007D6F4F">
        <w:t xml:space="preserve"> </w:t>
      </w:r>
      <w:r w:rsidR="00CF7B4E">
        <w:t xml:space="preserve">account for the </w:t>
      </w:r>
      <w:r w:rsidR="00E2545C">
        <w:t xml:space="preserve">contributions of processes </w:t>
      </w:r>
      <w:r w:rsidR="00A91B93">
        <w:t>driving</w:t>
      </w:r>
      <w:r w:rsidR="007D6F4F">
        <w:t xml:space="preserve"> sea-level change</w:t>
      </w:r>
      <w:r w:rsidR="00585BD1">
        <w:t>,</w:t>
      </w:r>
      <w:r>
        <w:t xml:space="preserve"> </w:t>
      </w:r>
      <w:r w:rsidR="004D6A64">
        <w:t xml:space="preserve">but </w:t>
      </w:r>
      <w:r w:rsidR="00C1551D">
        <w:t xml:space="preserve">are </w:t>
      </w:r>
      <w:r>
        <w:t xml:space="preserve">predominantly </w:t>
      </w:r>
      <w:r w:rsidR="00DB1CCA">
        <w:t>focused on global-</w:t>
      </w:r>
      <w:r w:rsidR="00CB31A8">
        <w:t xml:space="preserve">mean sea level </w:t>
      </w:r>
      <w:r w:rsidR="00C1551D">
        <w:t>an</w:t>
      </w:r>
      <w:r w:rsidR="00B36287">
        <w:t>d</w:t>
      </w:r>
      <w:r w:rsidR="00C1551D">
        <w:t xml:space="preserve"> limited to the 20</w:t>
      </w:r>
      <w:r w:rsidR="00C1551D" w:rsidRPr="00DE211F">
        <w:rPr>
          <w:vertAlign w:val="superscript"/>
        </w:rPr>
        <w:t>th</w:t>
      </w:r>
      <w:r w:rsidR="00C1551D">
        <w:t xml:space="preserve"> and 21</w:t>
      </w:r>
      <w:r w:rsidR="00C1551D" w:rsidRPr="00DE211F">
        <w:rPr>
          <w:vertAlign w:val="superscript"/>
        </w:rPr>
        <w:t>st</w:t>
      </w:r>
      <w:r w:rsidR="00B36287">
        <w:t xml:space="preserve"> centuries</w:t>
      </w:r>
      <w:r w:rsidR="00C1551D">
        <w:t xml:space="preserve">. Here we estimate </w:t>
      </w:r>
      <w:r w:rsidR="00013CA1">
        <w:t>site-specific</w:t>
      </w:r>
      <w:r w:rsidR="001C0FF7">
        <w:t xml:space="preserve"> sea-level budgets</w:t>
      </w:r>
      <w:r w:rsidR="00C1551D">
        <w:t xml:space="preserve"> </w:t>
      </w:r>
      <w:r w:rsidR="00CF7B4E">
        <w:t>along</w:t>
      </w:r>
      <w:r w:rsidR="00F41DC1">
        <w:t xml:space="preserve"> the U.S.</w:t>
      </w:r>
      <w:r w:rsidR="00CF7B4E">
        <w:t xml:space="preserve"> Atlantic coast</w:t>
      </w:r>
      <w:r w:rsidR="00F41DC1">
        <w:t xml:space="preserve"> </w:t>
      </w:r>
      <w:r w:rsidR="00F3191B">
        <w:t xml:space="preserve">during the </w:t>
      </w:r>
      <w:r w:rsidR="00C1551D">
        <w:t xml:space="preserve">Common Era </w:t>
      </w:r>
      <w:r w:rsidR="004D6A64">
        <w:t xml:space="preserve">(0-2000 CE) </w:t>
      </w:r>
      <w:r w:rsidR="002A7324">
        <w:t>by separating</w:t>
      </w:r>
      <w:r w:rsidR="00DE085C">
        <w:t xml:space="preserve"> </w:t>
      </w:r>
      <w:r w:rsidR="00FB3CF7">
        <w:t>relative sea-level</w:t>
      </w:r>
      <w:r w:rsidR="002A7324">
        <w:t xml:space="preserve"> </w:t>
      </w:r>
      <w:r w:rsidR="001C0FF7">
        <w:t xml:space="preserve">(RSL) </w:t>
      </w:r>
      <w:r w:rsidR="002A7324">
        <w:t xml:space="preserve">records into </w:t>
      </w:r>
      <w:r>
        <w:t>process</w:t>
      </w:r>
      <w:r w:rsidR="00FB3CF7">
        <w:t xml:space="preserve">-related signals on </w:t>
      </w:r>
      <w:r w:rsidR="00F3191B">
        <w:t>different spatial</w:t>
      </w:r>
      <w:r w:rsidR="00C43BA5">
        <w:t xml:space="preserve"> scales</w:t>
      </w:r>
      <w:r w:rsidR="00FB3CF7">
        <w:t xml:space="preserve">. </w:t>
      </w:r>
      <w:r w:rsidR="001C0FF7">
        <w:t>R</w:t>
      </w:r>
      <w:r w:rsidR="007B32EE">
        <w:t>egional-scale</w:t>
      </w:r>
      <w:r w:rsidR="00CB31A8">
        <w:t>, temporally</w:t>
      </w:r>
      <w:r w:rsidR="00585BD1">
        <w:t xml:space="preserve"> </w:t>
      </w:r>
      <w:r w:rsidR="007B32EE">
        <w:t xml:space="preserve">linear processes </w:t>
      </w:r>
      <w:r w:rsidR="00210BCE">
        <w:t>driven by</w:t>
      </w:r>
      <w:r w:rsidR="00F3191B">
        <w:t xml:space="preserve"> glacial isostatic adjustment</w:t>
      </w:r>
      <w:r w:rsidR="001C0FF7">
        <w:t xml:space="preserve"> dominate RSL change</w:t>
      </w:r>
      <w:r w:rsidR="00A50267">
        <w:t xml:space="preserve"> and </w:t>
      </w:r>
      <w:r w:rsidR="005819F6">
        <w:t>exhibit</w:t>
      </w:r>
      <w:r w:rsidR="00F3191B">
        <w:t xml:space="preserve"> a spatial gradient</w:t>
      </w:r>
      <w:r w:rsidR="00CB31A8">
        <w:t>,</w:t>
      </w:r>
      <w:r w:rsidR="00F3191B">
        <w:t xml:space="preserve"> with </w:t>
      </w:r>
      <w:r w:rsidR="00F41EA8">
        <w:t>fastest rates of rise in southern New Jersey</w:t>
      </w:r>
      <w:r w:rsidR="00F41EA8">
        <w:rPr>
          <w:szCs w:val="24"/>
        </w:rPr>
        <w:t xml:space="preserve"> </w:t>
      </w:r>
      <w:r w:rsidR="0021362D">
        <w:t>(</w:t>
      </w:r>
      <w:r w:rsidR="00F41EA8">
        <w:t>1.6 ± 0.02</w:t>
      </w:r>
      <w:r w:rsidR="00F41EA8" w:rsidRPr="00B9538C">
        <w:t xml:space="preserve"> m</w:t>
      </w:r>
      <w:r w:rsidR="00E86180">
        <w:t xml:space="preserve">m </w:t>
      </w:r>
      <w:r w:rsidR="00F41EA8" w:rsidRPr="00B9538C">
        <w:t>yr</w:t>
      </w:r>
      <w:r w:rsidR="00E86180" w:rsidRPr="00E86180">
        <w:rPr>
          <w:vertAlign w:val="superscript"/>
        </w:rPr>
        <w:t>-1</w:t>
      </w:r>
      <w:r w:rsidR="0021362D">
        <w:t>).</w:t>
      </w:r>
      <w:r w:rsidR="00F41EA8">
        <w:t xml:space="preserve"> </w:t>
      </w:r>
      <w:r w:rsidR="00FB3CF7">
        <w:t>Regional</w:t>
      </w:r>
      <w:r w:rsidR="00CB31A8">
        <w:t xml:space="preserve"> and local</w:t>
      </w:r>
      <w:r w:rsidR="00585BD1">
        <w:t>, temporally</w:t>
      </w:r>
      <w:r w:rsidR="00FB3CF7">
        <w:t xml:space="preserve"> non</w:t>
      </w:r>
      <w:r w:rsidR="007B1FEA">
        <w:t>-</w:t>
      </w:r>
      <w:r w:rsidR="00FB3CF7">
        <w:t>linear processes</w:t>
      </w:r>
      <w:r w:rsidR="00CA2465">
        <w:t>, such as ocean/atmosphere</w:t>
      </w:r>
      <w:r w:rsidR="00B72077">
        <w:t xml:space="preserve"> dynamics and groundwater withdrawal</w:t>
      </w:r>
      <w:r w:rsidR="00CA2465">
        <w:t>,</w:t>
      </w:r>
      <w:r w:rsidR="00FB3CF7">
        <w:t xml:space="preserve"> </w:t>
      </w:r>
      <w:r w:rsidR="00E0224F">
        <w:t>contribute</w:t>
      </w:r>
      <w:r w:rsidR="00DB1CCA">
        <w:t>d</w:t>
      </w:r>
      <w:r w:rsidR="00F41EA8">
        <w:t xml:space="preserve"> </w:t>
      </w:r>
      <w:r w:rsidR="00581153">
        <w:t>between -0.3 and</w:t>
      </w:r>
      <w:r w:rsidR="00F41EA8">
        <w:t xml:space="preserve"> 0.4 </w:t>
      </w:r>
      <w:r w:rsidR="00E86180" w:rsidRPr="00B9538C">
        <w:t>m</w:t>
      </w:r>
      <w:r w:rsidR="00E86180">
        <w:t xml:space="preserve">m </w:t>
      </w:r>
      <w:r w:rsidR="00E86180" w:rsidRPr="00B9538C">
        <w:t>yr</w:t>
      </w:r>
      <w:r w:rsidR="00E86180" w:rsidRPr="00E86180">
        <w:rPr>
          <w:vertAlign w:val="superscript"/>
        </w:rPr>
        <w:t>-1</w:t>
      </w:r>
      <w:r w:rsidR="00585BD1">
        <w:t xml:space="preserve"> over centennial timescales</w:t>
      </w:r>
      <w:r w:rsidR="00FB3CF7">
        <w:t>. The most significant change</w:t>
      </w:r>
      <w:r>
        <w:t xml:space="preserve"> in the budgets</w:t>
      </w:r>
      <w:r w:rsidR="00FB3CF7">
        <w:t xml:space="preserve"> is the increasing influence of the </w:t>
      </w:r>
      <w:r w:rsidR="006B1FD0">
        <w:t xml:space="preserve">common </w:t>
      </w:r>
      <w:r w:rsidR="00FB3CF7">
        <w:t xml:space="preserve">global </w:t>
      </w:r>
      <w:r w:rsidR="00E2545C">
        <w:t>signal</w:t>
      </w:r>
      <w:r w:rsidR="002C2EAD">
        <w:t xml:space="preserve"> due to</w:t>
      </w:r>
      <w:r w:rsidR="00CA2465">
        <w:t xml:space="preserve"> ice melt and thermal expansion</w:t>
      </w:r>
      <w:r w:rsidR="006C0FF7">
        <w:t xml:space="preserve"> </w:t>
      </w:r>
      <w:r w:rsidR="00E2545C" w:rsidRPr="00C069D2">
        <w:t>since 1800 CE</w:t>
      </w:r>
      <w:r w:rsidR="006C0FF7">
        <w:t xml:space="preserve">, which </w:t>
      </w:r>
      <w:r w:rsidR="00E2545C">
        <w:t>became</w:t>
      </w:r>
      <w:r w:rsidR="00D7502D">
        <w:t xml:space="preserve"> a</w:t>
      </w:r>
      <w:r w:rsidR="00E2545C">
        <w:t xml:space="preserve"> dominant </w:t>
      </w:r>
      <w:r w:rsidR="00E0224F">
        <w:t>contribut</w:t>
      </w:r>
      <w:r w:rsidR="00D4771D">
        <w:t>or</w:t>
      </w:r>
      <w:r w:rsidR="00E0224F">
        <w:t xml:space="preserve"> to</w:t>
      </w:r>
      <w:r w:rsidR="00D7502D">
        <w:t xml:space="preserve"> </w:t>
      </w:r>
      <w:r w:rsidR="001C0FF7">
        <w:t>RSL</w:t>
      </w:r>
      <w:r w:rsidR="00BD29A5">
        <w:t xml:space="preserve"> </w:t>
      </w:r>
      <w:r w:rsidR="003E2F5D">
        <w:t>with</w:t>
      </w:r>
      <w:r w:rsidR="00BD29A5">
        <w:t xml:space="preserve"> a </w:t>
      </w:r>
      <w:r w:rsidR="00E2545C">
        <w:t>20</w:t>
      </w:r>
      <w:r w:rsidR="00E2545C" w:rsidRPr="002B1CE6">
        <w:rPr>
          <w:vertAlign w:val="superscript"/>
        </w:rPr>
        <w:t>th</w:t>
      </w:r>
      <w:r w:rsidR="00E2545C">
        <w:t xml:space="preserve"> </w:t>
      </w:r>
      <w:r w:rsidR="006C0FF7">
        <w:t>century</w:t>
      </w:r>
      <w:r w:rsidR="00BD29A5">
        <w:t xml:space="preserve"> rate of</w:t>
      </w:r>
      <w:r w:rsidR="00E2545C">
        <w:t xml:space="preserve"> 1.3</w:t>
      </w:r>
      <w:r w:rsidR="00E2545C" w:rsidRPr="00C069D2">
        <w:t xml:space="preserve"> ± 0.1 </w:t>
      </w:r>
      <w:r w:rsidR="00E86180" w:rsidRPr="00B9538C">
        <w:t>m</w:t>
      </w:r>
      <w:r w:rsidR="00E86180">
        <w:t xml:space="preserve">m </w:t>
      </w:r>
      <w:r w:rsidR="00E86180" w:rsidRPr="00B9538C">
        <w:t>yr</w:t>
      </w:r>
      <w:r w:rsidR="00E86180" w:rsidRPr="00E86180">
        <w:rPr>
          <w:vertAlign w:val="superscript"/>
        </w:rPr>
        <w:t>-1</w:t>
      </w:r>
      <w:r w:rsidR="00E86180">
        <w:t>.</w:t>
      </w:r>
    </w:p>
    <w:p w14:paraId="3599D5DC" w14:textId="7BEF7EE3" w:rsidR="00C1551D" w:rsidRDefault="00C1551D" w:rsidP="00845C15">
      <w:pPr>
        <w:spacing w:after="160" w:line="259" w:lineRule="auto"/>
        <w:jc w:val="left"/>
      </w:pPr>
    </w:p>
    <w:p w14:paraId="7E0C6108" w14:textId="538164FC" w:rsidR="004A37E0" w:rsidRPr="00085860" w:rsidRDefault="004A37E0" w:rsidP="004A37E0">
      <w:pPr>
        <w:pStyle w:val="Heading2"/>
        <w:jc w:val="left"/>
        <w:rPr>
          <w:b w:val="0"/>
          <w:sz w:val="28"/>
        </w:rPr>
      </w:pPr>
      <w:r w:rsidRPr="00085860">
        <w:rPr>
          <w:b w:val="0"/>
          <w:sz w:val="28"/>
        </w:rPr>
        <w:t>Introduction</w:t>
      </w:r>
    </w:p>
    <w:p w14:paraId="2B40F201" w14:textId="66BF4AE3" w:rsidR="00304120" w:rsidRDefault="001C0FF7" w:rsidP="00923960">
      <w:pPr>
        <w:ind w:firstLine="720"/>
        <w:jc w:val="left"/>
      </w:pPr>
      <w:r>
        <w:t>Sea-level budget</w:t>
      </w:r>
      <w:r w:rsidR="00964BB0">
        <w:t xml:space="preserve"> assessments </w:t>
      </w:r>
      <w:r w:rsidR="00A84293">
        <w:t xml:space="preserve">quantify the different </w:t>
      </w:r>
      <w:r w:rsidR="0056322E">
        <w:t xml:space="preserve">physical </w:t>
      </w:r>
      <w:r w:rsidR="00A84293">
        <w:t>processes contributing to sea-level change</w:t>
      </w:r>
      <w:r w:rsidR="008F20B1">
        <w:t xml:space="preserve"> </w:t>
      </w:r>
      <w:r w:rsidR="008F20B1">
        <w:fldChar w:fldCharType="begin"/>
      </w:r>
      <w:r w:rsidR="002A7AC0">
        <w:instrText xml:space="preserve"> ADDIN ZOTERO_ITEM CSL_CITATION {"citationID":"8GmOq3Xo","properties":{"unsorted":true,"formattedCitation":"\\super 1\\nosupersub{}","plainCitation":"1","noteIndex":0},"citationItems":[{"id":925,"uris":["http://zotero.org/users/local/XxmvPi45/items/4KLIICUF"],"uri":["http://zotero.org/users/local/XxmvPi45/items/4KLIICUF"],"itemData":{"id":925,"type":"article-journal","abstract":"Since the early 1990s, high-precision multi-mission satellite altimetry has provided a 25-year-long sea level record from which global mean sea level rise and superimposed interannual and regional variability can be derived. Most recent results show that the global mean sea level is rising at a mean rate of 3.1 ± 0.3 mm/yr since January 1993. A clear acceleration is also visible on this 25-year time span, estimated to 0.10 mm/yr2. Mapping of spatial trend patterns continue to show deviation from the global mean rise in a number of regions. However, as the altimetry record lengthens, the ratio of regional trends to the global mean rise tends to decrease, with a factor of amplification of only 2, compared to 3 to 4 some years ago. Estimates of thermal expansion from Argo and ocean mass change from GRACE show that over the GRACE and Argo time span (since 2005) the sea level budget is almost closed. Assessment of the sea level budget over the entire altimetry era (since 1993) based on estimates of individual mass components for the glaciers and the ice sheets provides some upper bound for the still poorly known contribution from water storage on land. At regional scale, ocean thermal expansion is still the main cause of the spatial trend patterns observed by satellite altimetry. However, removing the steric component reveals residual signal that still needs interpretation. In the remaining of this review, we briefly discuss future sea level changes and associated coastal impacts. Finally, we address the issue of remaining gaps in sea level studies, in particular the need for producing coastal sea level products from dedicated satellite altimetry processing of sea level data in global coastal zones.","container-title":"Advances in Space Research","DOI":"10.1016/j.asr.2018.07.017","ISSN":"0273-1177","issue":"7","journalAbbreviation":"Advances in Space Research","language":"en","page":"1639-1653","source":"ScienceDirect","title":"Contemporary sea level changes from satellite altimetry: What have we learned? What are the new challenges?","title-short":"Contemporary sea level changes from satellite altimetry","volume":"62","author":[{"family":"Cazenave","given":"Anny"},{"family":"Palanisamy","given":"Hindumathi"},{"family":"Ablain","given":"Michael"}],"issued":{"date-parts":[["2018",10,1]]}},"label":"page"}],"schema":"https://github.com/citation-style-language/schema/raw/master/csl-citation.json"} </w:instrText>
      </w:r>
      <w:r w:rsidR="008F20B1">
        <w:fldChar w:fldCharType="separate"/>
      </w:r>
      <w:r w:rsidR="002A7AC0" w:rsidRPr="002A7AC0">
        <w:rPr>
          <w:szCs w:val="24"/>
          <w:vertAlign w:val="superscript"/>
        </w:rPr>
        <w:t>1</w:t>
      </w:r>
      <w:r w:rsidR="008F20B1">
        <w:fldChar w:fldCharType="end"/>
      </w:r>
      <w:r w:rsidR="006C1732">
        <w:t xml:space="preserve">. </w:t>
      </w:r>
      <w:r w:rsidR="00CB439D">
        <w:t>S</w:t>
      </w:r>
      <w:r w:rsidR="00971C05">
        <w:t>ince 1993</w:t>
      </w:r>
      <w:r w:rsidR="0002397D">
        <w:t xml:space="preserve">, </w:t>
      </w:r>
      <w:r>
        <w:t>sea-level budget</w:t>
      </w:r>
      <w:r w:rsidR="0056322E">
        <w:t xml:space="preserve"> assessments generally combine </w:t>
      </w:r>
      <w:r w:rsidR="00CB439D">
        <w:t xml:space="preserve">satellite </w:t>
      </w:r>
      <w:r w:rsidR="00D4771D">
        <w:t xml:space="preserve">altimetry </w:t>
      </w:r>
      <w:r w:rsidR="008F20B1">
        <w:t xml:space="preserve">estimates of </w:t>
      </w:r>
      <w:r w:rsidR="00D4771D">
        <w:t xml:space="preserve">total </w:t>
      </w:r>
      <w:r w:rsidR="00A84293">
        <w:t>global-mean sea-level (</w:t>
      </w:r>
      <w:r w:rsidR="008F20B1">
        <w:t>GMSL</w:t>
      </w:r>
      <w:r w:rsidR="00A84293">
        <w:t>)</w:t>
      </w:r>
      <w:r w:rsidR="00D4771D">
        <w:t xml:space="preserve"> rise </w:t>
      </w:r>
      <w:r w:rsidR="00EA72A2">
        <w:t>and</w:t>
      </w:r>
      <w:r w:rsidR="00207DD2">
        <w:t>, more recently,</w:t>
      </w:r>
      <w:r w:rsidR="00EA72A2">
        <w:t xml:space="preserve"> Argo float</w:t>
      </w:r>
      <w:r w:rsidR="00D4771D">
        <w:t xml:space="preserve">-derived estimates of global mean thermosteric sea-level rise </w:t>
      </w:r>
      <w:r w:rsidR="0002397D">
        <w:t>with</w:t>
      </w:r>
      <w:r w:rsidR="001D6F4B">
        <w:t xml:space="preserve"> satellite gravimetric measurements of </w:t>
      </w:r>
      <w:r w:rsidR="006D58CB">
        <w:t>barystatic</w:t>
      </w:r>
      <w:r w:rsidR="001D6F4B">
        <w:t xml:space="preserve"> contributions </w:t>
      </w:r>
      <w:r w:rsidR="006D58CB">
        <w:t xml:space="preserve">(i.e., from land-ice and land water) </w:t>
      </w:r>
      <w:r w:rsidR="001D6F4B">
        <w:t xml:space="preserve">and </w:t>
      </w:r>
      <w:r w:rsidR="0011582F">
        <w:t xml:space="preserve">process </w:t>
      </w:r>
      <w:r w:rsidR="0056322E">
        <w:t>model-derived information</w:t>
      </w:r>
      <w:r w:rsidR="00EA72A2">
        <w:t xml:space="preserve"> </w:t>
      </w:r>
      <w:r w:rsidR="00EA72A2">
        <w:fldChar w:fldCharType="begin"/>
      </w:r>
      <w:r w:rsidR="002A7AC0">
        <w:instrText xml:space="preserve"> ADDIN ZOTERO_ITEM CSL_CITATION {"citationID":"3NZLGGu7","properties":{"unsorted":true,"formattedCitation":"\\super 2\\nosupersub{}","plainCitation":"2","noteIndex":0},"citationItems":[{"id":846,"uris":["http://zotero.org/users/local/XxmvPi45/items/G2YAEAVY"],"uri":["http://zotero.org/users/local/XxmvPi45/items/G2YAEAVY"],"itemData":{"id":846,"type":"article-journal","container-title":"Proceedings of the National Academy of Sciences","DOI":"10.1073/pnas.1519132113","ISSN":"0027-8424, 1091-6490","issue":"6","language":"en","page":"1504-1509","source":"Crossref","title":"Revisiting the contemporary sea-level budget on global and regional scales","volume":"113","author":[{"family":"Rietbroek","given":"Roelof"},{"family":"Brunnabend","given":"Sandra-Esther"},{"family":"Kusche","given":"Jürgen"},{"family":"Schröter","given":"Jens"},{"family":"Dahle","given":"Christoph"}],"issued":{"date-parts":[["2016",2,9]]}},"label":"page"}],"schema":"https://github.com/citation-style-language/schema/raw/master/csl-citation.json"} </w:instrText>
      </w:r>
      <w:r w:rsidR="00EA72A2">
        <w:fldChar w:fldCharType="separate"/>
      </w:r>
      <w:r w:rsidR="002A7AC0" w:rsidRPr="002A7AC0">
        <w:rPr>
          <w:szCs w:val="24"/>
          <w:vertAlign w:val="superscript"/>
        </w:rPr>
        <w:t>2</w:t>
      </w:r>
      <w:r w:rsidR="00EA72A2">
        <w:fldChar w:fldCharType="end"/>
      </w:r>
      <w:r w:rsidR="008F20B1">
        <w:t xml:space="preserve">. </w:t>
      </w:r>
      <w:r w:rsidR="00554BA0">
        <w:t>For example, t</w:t>
      </w:r>
      <w:r w:rsidR="00F81E03">
        <w:t xml:space="preserve">he </w:t>
      </w:r>
      <w:r w:rsidR="008F20B1">
        <w:t xml:space="preserve">GMSL </w:t>
      </w:r>
      <w:r w:rsidR="00F81E03">
        <w:t xml:space="preserve">budget </w:t>
      </w:r>
      <w:r w:rsidR="0020086A">
        <w:t>(1993-201</w:t>
      </w:r>
      <w:r w:rsidR="006D58CB">
        <w:t>8</w:t>
      </w:r>
      <w:r w:rsidR="0020086A">
        <w:t xml:space="preserve">) </w:t>
      </w:r>
      <w:r w:rsidR="0002397D">
        <w:t>indicate</w:t>
      </w:r>
      <w:r w:rsidR="00F81E03">
        <w:t xml:space="preserve">s </w:t>
      </w:r>
      <w:r w:rsidR="0020086A">
        <w:t xml:space="preserve">the thermosteric </w:t>
      </w:r>
      <w:r w:rsidR="0020086A">
        <w:lastRenderedPageBreak/>
        <w:t xml:space="preserve">contribution </w:t>
      </w:r>
      <w:r w:rsidR="00A50267">
        <w:t xml:space="preserve">(1.3 mm </w:t>
      </w:r>
      <w:r w:rsidR="00A50267" w:rsidRPr="00B9538C">
        <w:t>yr</w:t>
      </w:r>
      <w:r w:rsidR="00A50267" w:rsidRPr="00E86180">
        <w:rPr>
          <w:vertAlign w:val="superscript"/>
        </w:rPr>
        <w:t>-1</w:t>
      </w:r>
      <w:r w:rsidR="00A50267">
        <w:t>) was dominant</w:t>
      </w:r>
      <w:r w:rsidR="0020086A">
        <w:t xml:space="preserve"> </w:t>
      </w:r>
      <w:r w:rsidR="00A50267">
        <w:t>with additional</w:t>
      </w:r>
      <w:r w:rsidR="007670AA">
        <w:t xml:space="preserve"> contributions from </w:t>
      </w:r>
      <w:r w:rsidR="00F81E03">
        <w:t>glacier</w:t>
      </w:r>
      <w:r w:rsidR="007670AA">
        <w:t>s and</w:t>
      </w:r>
      <w:r w:rsidR="00E17518">
        <w:t xml:space="preserve"> </w:t>
      </w:r>
      <w:r w:rsidR="00F81E03">
        <w:t>ice-sheet</w:t>
      </w:r>
      <w:r w:rsidR="007670AA">
        <w:t>s</w:t>
      </w:r>
      <w:r w:rsidR="00E17518">
        <w:t xml:space="preserve"> </w:t>
      </w:r>
      <w:r w:rsidR="007670AA">
        <w:t>(</w:t>
      </w:r>
      <w:r w:rsidR="00CA4A56">
        <w:t>~</w:t>
      </w:r>
      <w:r w:rsidR="00E17518">
        <w:t xml:space="preserve">0.7 mm </w:t>
      </w:r>
      <w:r w:rsidR="00E17518" w:rsidRPr="00B9538C">
        <w:t>yr</w:t>
      </w:r>
      <w:r w:rsidR="00E17518" w:rsidRPr="00E86180">
        <w:rPr>
          <w:vertAlign w:val="superscript"/>
        </w:rPr>
        <w:t>-1</w:t>
      </w:r>
      <w:r w:rsidR="00383B10">
        <w:t xml:space="preserve"> </w:t>
      </w:r>
      <w:r w:rsidR="00A50267">
        <w:t>each</w:t>
      </w:r>
      <w:r w:rsidR="007670AA">
        <w:t>)</w:t>
      </w:r>
      <w:r w:rsidR="0002397D">
        <w:t xml:space="preserve"> </w:t>
      </w:r>
      <w:r w:rsidR="00F81E03">
        <w:fldChar w:fldCharType="begin"/>
      </w:r>
      <w:r w:rsidR="002A7AC0">
        <w:instrText xml:space="preserve"> ADDIN ZOTERO_ITEM CSL_CITATION {"citationID":"Eqlc39NM","properties":{"formattedCitation":"\\super 3\\nosupersub{}","plainCitation":"3","noteIndex":0},"citationItems":[{"id":1005,"uris":["http://zotero.org/users/local/XxmvPi45/items/A6XDQDXR"],"uri":["http://zotero.org/users/local/XxmvPi45/items/A6XDQDXR"],"itemData":{"id":1005,"type":"article-journal","abstract":"Global mean sea level is an integral of changes occurring in the climate system in response to unforced climate variability as well as natural and anthropogenic forcing factors. Its temporal evolution allows changes (e.g., acceleration) to be detected in one or more components. Study of the sea-level budget provides constraints on missing or poorly known contributions, such as the unsurveyed deep ocean or the still uncertain land water component. In the context of the World Climate Research Programme Grand Challenge entitled \"Regional Sea Level and Coastal Impacts\", an international effort involving the sea-level community worldwide has been recently initiated with the objective of assessing the various datasets used to estimate components of the sea-level budget during the altimetry era (1993 to present). These datasets are based on the combination of a broad range of space-based and in situ observations, model estimates, and algorithms. Evaluating their quality, quantifying uncertainties and identifying sources of discrepancies between component estimates is extremely useful for various applications in climate research. This effort involves several tens of scientists from about 50 research teams/institutions worldwide (www.wcrp-climate.org/grand-challenges/gc-sea-level, last access: 22 August 2018). The results presented in this paper are a synthesis of the first assessment performed during 2017–2018. We present estimates of the altimetry-based global mean sea level (average rate of 3.1±0.3mmyr−1 and acceleration of 0.1mmyr−2 over 1993–present), as well as of the different components of the sea-level budget (http://doi.org/10.17882/54854, last access: 22 August 2018). We further examine closure of the sea-level budget, comparing the observed global mean sea level with the sum of components. Ocean thermal expansion, glaciers, Greenland and Antarctica contribute 42%, 21%, 15% and 8% to the global mean sea level over the 1993–present period. We also study the sea-level budget over 2005–present, using GRACE-based ocean mass estimates instead of the sum of individual mass components. Our results demonstrate that the global mean sea level can be closed to within 0.3mmyr−1 (1σ). Substantial uncertainty remains for the land water storage component, as shown when examining individual mass contributions to sea level.","container-title":"Earth System Science Data","DOI":"10.3929/ethz-b-000287786","ISSN":"1866-3516","issue":"3","language":"en","note":"Accepted: 2018-09-19T08:39:21Z\npublisher: Copernicus","page":"1551-1590","source":"www.research-collection.ethz.ch","title":"Global sea-level budget 1993-present","volume":"10","author":[{"family":"Cazenave","given":"Anny"},{"family":"Meyssignac","given":"Benoit"},{"family":"Ablain","given":"Michael"},{"family":"Balmaseda","given":"Magdalena"},{"family":"Bamber","given":"Jonathan"},{"family":"Barletta","given":"Valentina"},{"family":"Beckley","given":"Brian"},{"family":"Benveniste","given":"Jerome"},{"family":"Berthier","given":"Etienne"},{"family":"Blazquez","given":"Alejandro"},{"family":"Boyer","given":"Tim"},{"family":"Caceres","given":"Denise"},{"family":"Chambers","given":"Don"},{"family":"Champollion","given":"Nicolas"},{"family":"Chao","given":"Ben"},{"family":"Chen","given":"Jianli"},{"family":"Cheng","given":"Lijing"},{"family":"Church","given":"John A."},{"family":"Chuter","given":"Stephen"},{"family":"Cogley","given":"J. Graham"},{"family":"Dangendorf","given":"Soenke"},{"family":"Desbruyères","given":"Damien"},{"family":"Döll","given":"Petra"},{"family":"Domingues","given":"Catia"},{"family":"Falk","given":"Ulrike"},{"family":"Famiglietti","given":"James"},{"family":"Fenoglio-Marc","given":"Luciana"},{"family":"Forsberg","given":"Rene"},{"family":"Galassi","given":"Gaia"},{"family":"Gardner","given":"Alex"},{"family":"Groh","given":"Andreas"},{"family":"Hamlington","given":"Benjamin"},{"family":"Hogg","given":"Anna"},{"family":"Horwath","given":"Martin"},{"family":"Humphrey","given":"Vincent"},{"family":"Husson","given":"Laurent"},{"family":"Ishii","given":"Masayoshi"},{"family":"Jäggi","given":"Adrian"},{"family":"Jevrejeva","given":"Svetlana"},{"family":"Johnson","given":"Gregory C."},{"family":"Kolodziejczyk","given":"Nicolas"},{"family":"Kusche","given":"Jürgen"},{"family":"Lambeck","given":"Kurt"},{"family":"Landerer","given":"Felix"},{"family":"Leclercq","given":"Paul W."},{"family":"Legresy","given":"Benoit"},{"family":"Leuliette","given":"Eric"},{"family":"Llovel","given":"William"},{"family":"Longuevergne","given":"Laurent"},{"family":"Loomis","given":"Bryant D."},{"family":"Luthcke","given":"Scott B."},{"family":"Marcos","given":"Marta"},{"family":"Marzeion","given":"Ben"},{"family":"Merchant","given":"Chris"},{"family":"Merrifield","given":"Mark"},{"family":"Milne","given":"Glenn"},{"family":"Mitchum","given":"Gary"},{"family":"Mohajerani","given":"Yara"},{"family":"Monier","given":"Maeva"},{"family":"Monselesan","given":"Didier"},{"family":"Nerem","given":"Steve"},{"family":"Palanisamy","given":"Hindumathi"},{"family":"Paul","given":"Frank"},{"family":"Perez","given":"Begoña"},{"family":"Piecuch","given":"Christopher G."},{"family":"Ponte","given":"Rui M."},{"family":"Purkey","given":"Sarah G."},{"family":"Reager","given":"John T."},{"family":"Rietbroek","given":"Roelof"},{"family":"Rignot","given":"Eric"},{"family":"Riva","given":"Riccardo"},{"family":"Roemmich","given":"Dean"},{"family":"Sørensen","given":"Louise S."},{"family":"Sasgen","given":"Ingo"},{"family":"Schrama","given":"E. J. O."},{"family":"Seneviratne","given":"Sonia I."},{"family":"Shum","given":"C. K."},{"family":"Spada","given":"Giorgio"},{"family":"Stammer","given":"Detlef"},{"family":"Velicogna","given":"Isabella"},{"family":"Schuckmann","given":"Karina","non-dropping-particle":"von"},{"family":"Wada","given":"Yoshihide"},{"family":"Wang","given":"Yiguo"},{"family":"Watson","given":"Christopher"},{"family":"Wiese","given":"David"},{"family":"Wijffels","given":"Susan"},{"family":"Westaway","given":"Richard"},{"family":"Woppelmann","given":"Guy"},{"family":"Wouters","given":"Bert"}],"issued":{"date-parts":[["2018",8]]}}}],"schema":"https://github.com/citation-style-language/schema/raw/master/csl-citation.json"} </w:instrText>
      </w:r>
      <w:r w:rsidR="00F81E03">
        <w:fldChar w:fldCharType="separate"/>
      </w:r>
      <w:r w:rsidR="002A7AC0" w:rsidRPr="002A7AC0">
        <w:rPr>
          <w:szCs w:val="24"/>
          <w:vertAlign w:val="superscript"/>
        </w:rPr>
        <w:t>3</w:t>
      </w:r>
      <w:r w:rsidR="00F81E03">
        <w:fldChar w:fldCharType="end"/>
      </w:r>
      <w:r w:rsidR="0002397D">
        <w:t>.</w:t>
      </w:r>
      <w:r w:rsidR="008F20B1">
        <w:t xml:space="preserve"> </w:t>
      </w:r>
      <w:r w:rsidR="002F54E4">
        <w:t>The 20</w:t>
      </w:r>
      <w:r w:rsidR="002F54E4" w:rsidRPr="002F54E4">
        <w:rPr>
          <w:vertAlign w:val="superscript"/>
        </w:rPr>
        <w:t>th</w:t>
      </w:r>
      <w:r w:rsidR="002F54E4">
        <w:t xml:space="preserve"> </w:t>
      </w:r>
      <w:r w:rsidR="00E17518">
        <w:t xml:space="preserve">century GMSL budget has been </w:t>
      </w:r>
      <w:r w:rsidR="0056322E">
        <w:t>estimated</w:t>
      </w:r>
      <w:r w:rsidR="0002397D">
        <w:t xml:space="preserve"> </w:t>
      </w:r>
      <w:r w:rsidR="00FF7A9A">
        <w:t>with t</w:t>
      </w:r>
      <w:r w:rsidR="004C595F">
        <w:t>he additional aid of tide gauge data</w:t>
      </w:r>
      <w:r w:rsidR="00FF7A9A">
        <w:t xml:space="preserve"> and direct measurements of </w:t>
      </w:r>
      <w:r w:rsidR="004C595F">
        <w:t xml:space="preserve">changing mass balance of </w:t>
      </w:r>
      <w:r w:rsidR="00FF7A9A">
        <w:t>glaciers and ice sheets</w:t>
      </w:r>
      <w:r w:rsidR="00553915">
        <w:t xml:space="preserve"> with a total rate of rise of 1.2 ± 0.2 </w:t>
      </w:r>
      <w:r w:rsidR="00AE7551" w:rsidRPr="00B9538C">
        <w:t>m</w:t>
      </w:r>
      <w:r w:rsidR="00AE7551">
        <w:t xml:space="preserve">m </w:t>
      </w:r>
      <w:r w:rsidR="00AE7551" w:rsidRPr="00B9538C">
        <w:t>yr</w:t>
      </w:r>
      <w:r w:rsidR="00AE7551" w:rsidRPr="00E86180">
        <w:rPr>
          <w:vertAlign w:val="superscript"/>
        </w:rPr>
        <w:t>-1</w:t>
      </w:r>
      <w:r w:rsidR="00AE7551">
        <w:rPr>
          <w:vertAlign w:val="superscript"/>
        </w:rPr>
        <w:t xml:space="preserve"> </w:t>
      </w:r>
      <w:r w:rsidR="00553915">
        <w:t>from 1901-1990</w:t>
      </w:r>
      <w:r w:rsidR="002F77B0">
        <w:t xml:space="preserve"> </w:t>
      </w:r>
      <w:r w:rsidR="00FB46E1">
        <w:fldChar w:fldCharType="begin"/>
      </w:r>
      <w:r w:rsidR="002A7AC0">
        <w:instrText xml:space="preserve"> ADDIN ZOTERO_ITEM CSL_CITATION {"citationID":"l7tOoOO9","properties":{"unsorted":true,"formattedCitation":"\\super 4\\nosupersub{}","plainCitation":"4","noteIndex":0},"citationItems":[{"id":855,"uris":["http://zotero.org/users/local/XxmvPi45/items/S57SPHEX"],"uri":["http://zotero.org/users/local/XxmvPi45/items/S57SPHEX"],"itemData":{"id":855,"type":"article-journal","container-title":"Surveys in Geophysics","DOI":"10.1007/s10712-016-9405-z","page":"295-307","title":"The twentieth-century sea level budget: Recent progress and challenges","volume":"38","author":[{"family":"Jevrejeva","given":"S."},{"family":"Matthews","given":"A."},{"family":"Slangen","given":"A."}],"issued":{"date-parts":[["2017"]]}},"label":"page"}],"schema":"https://github.com/citation-style-language/schema/raw/master/csl-citation.json"} </w:instrText>
      </w:r>
      <w:r w:rsidR="00FB46E1">
        <w:fldChar w:fldCharType="separate"/>
      </w:r>
      <w:r w:rsidR="002A7AC0" w:rsidRPr="002A7AC0">
        <w:rPr>
          <w:szCs w:val="24"/>
          <w:vertAlign w:val="superscript"/>
        </w:rPr>
        <w:t>4</w:t>
      </w:r>
      <w:r w:rsidR="00FB46E1">
        <w:fldChar w:fldCharType="end"/>
      </w:r>
      <w:r w:rsidR="00081724">
        <w:t>.</w:t>
      </w:r>
      <w:r w:rsidR="002F77B0">
        <w:t xml:space="preserve"> </w:t>
      </w:r>
      <w:r w:rsidR="0002397D">
        <w:t xml:space="preserve">Studies on </w:t>
      </w:r>
      <w:r w:rsidR="00A84293">
        <w:t>pre-instrumental</w:t>
      </w:r>
      <w:r w:rsidR="0002397D">
        <w:t xml:space="preserve"> timescales</w:t>
      </w:r>
      <w:r w:rsidR="00D555EE">
        <w:t xml:space="preserve"> </w:t>
      </w:r>
      <w:r w:rsidR="0002397D">
        <w:t xml:space="preserve">are limited </w:t>
      </w:r>
      <w:r w:rsidR="00E10F4A">
        <w:t xml:space="preserve">to </w:t>
      </w:r>
      <w:r w:rsidR="0002397D">
        <w:t>single time</w:t>
      </w:r>
      <w:r w:rsidR="00F24BE3">
        <w:t xml:space="preserve"> </w:t>
      </w:r>
      <w:r w:rsidR="0002397D">
        <w:t>slice</w:t>
      </w:r>
      <w:r w:rsidR="00403D18">
        <w:t>s</w:t>
      </w:r>
      <w:r w:rsidR="00AC764D">
        <w:t xml:space="preserve">, such as quantifying the ice sheet contributions to the GMSL </w:t>
      </w:r>
      <w:r w:rsidR="006D58CB">
        <w:t>lowstand during</w:t>
      </w:r>
      <w:r w:rsidR="00AC764D">
        <w:t xml:space="preserve"> </w:t>
      </w:r>
      <w:r w:rsidR="0002397D">
        <w:t>the L</w:t>
      </w:r>
      <w:r w:rsidR="006E4D90">
        <w:t xml:space="preserve">ast </w:t>
      </w:r>
      <w:r w:rsidR="0002397D">
        <w:t>G</w:t>
      </w:r>
      <w:r w:rsidR="006E4D90">
        <w:t xml:space="preserve">lacial </w:t>
      </w:r>
      <w:r w:rsidR="0002397D">
        <w:t>M</w:t>
      </w:r>
      <w:r w:rsidR="006E4D90">
        <w:t>aximum</w:t>
      </w:r>
      <w:r w:rsidR="0002397D">
        <w:t xml:space="preserve"> </w:t>
      </w:r>
      <w:r w:rsidR="003D1CC4">
        <w:fldChar w:fldCharType="begin"/>
      </w:r>
      <w:r w:rsidR="002A7AC0">
        <w:instrText xml:space="preserve"> ADDIN ZOTERO_ITEM CSL_CITATION {"citationID":"68wLoAeb","properties":{"formattedCitation":"\\super 5\\nosupersub{}","plainCitation":"5","noteIndex":0},"citationItems":[{"id":861,"uris":["http://zotero.org/users/local/XxmvPi45/items/A6GTI4M5"],"uri":["http://zotero.org/users/local/XxmvPi45/items/A6GTI4M5"],"itemData":{"id":861,"type":"article-journal","container-title":"Quaternary Science Reviews","DOI":"10.1016/j.quascirev.2018.12.018","page":"143-153","title":"Balancing the last glacial maximum (LGM) sea-level budget","volume":"205","author":[{"family":"Simms","given":"Alexander R."},{"family":"Lisiecki","given":"Lorraine"},{"family":"Gebbie","given":"Geoffrey"},{"family":"Whitehouse","given":"Pippa L."},{"family":"Clark","given":"Jordan F."}],"issued":{"date-parts":[["2019"]]}}}],"schema":"https://github.com/citation-style-language/schema/raw/master/csl-citation.json"} </w:instrText>
      </w:r>
      <w:r w:rsidR="003D1CC4">
        <w:fldChar w:fldCharType="separate"/>
      </w:r>
      <w:r w:rsidR="002A7AC0" w:rsidRPr="002A7AC0">
        <w:rPr>
          <w:szCs w:val="24"/>
          <w:vertAlign w:val="superscript"/>
        </w:rPr>
        <w:t>5</w:t>
      </w:r>
      <w:r w:rsidR="003D1CC4">
        <w:fldChar w:fldCharType="end"/>
      </w:r>
      <w:r w:rsidR="00AA60D6">
        <w:t xml:space="preserve">. </w:t>
      </w:r>
      <w:r w:rsidR="003D1ED8">
        <w:t xml:space="preserve">A further limitation </w:t>
      </w:r>
      <w:r w:rsidR="006D58CB">
        <w:t>of sea-level budgets is the paucity</w:t>
      </w:r>
      <w:r w:rsidR="003D1ED8">
        <w:t xml:space="preserve"> of r</w:t>
      </w:r>
      <w:r w:rsidR="00A84293">
        <w:t>egional and local relative sea-level change</w:t>
      </w:r>
      <w:r w:rsidR="008F0450">
        <w:t xml:space="preserve"> </w:t>
      </w:r>
      <w:r w:rsidR="00A84293">
        <w:t>assessment</w:t>
      </w:r>
      <w:r w:rsidR="0002397D">
        <w:t>s</w:t>
      </w:r>
      <w:r w:rsidR="003D1ED8">
        <w:t xml:space="preserve"> </w:t>
      </w:r>
      <w:r w:rsidR="003D1ED8">
        <w:fldChar w:fldCharType="begin"/>
      </w:r>
      <w:r w:rsidR="002A7AC0">
        <w:instrText xml:space="preserve"> ADDIN ZOTERO_ITEM CSL_CITATION {"citationID":"2maLYep5","properties":{"unsorted":true,"formattedCitation":"\\super 6\\nosupersub{}","plainCitation":"6","noteIndex":0},"citationItems":[{"id":867,"uris":["http://zotero.org/users/local/XxmvPi45/items/KGA987FZ"],"uri":["http://zotero.org/users/local/XxmvPi45/items/KGA987FZ"],"itemData":{"id":867,"type":"article-journal","container-title":"Journal of Geophysical Research Oceans","DOI":"10.1002/2017JC012699","page":"5486-5501","title":"The sea‐level budget along the Northwest Atlantic coast: GIA, mass changes, and large‐scale ocean dynamics","volume":"122","author":[{"family":"Frederikse","given":"Thomas"},{"family":"Simon","given":"Karen"},{"family":"Katsman","given":"Caroline"},{"family":"Riva","given":"Riccardo"}],"issued":{"date-parts":[["2017"]]}},"label":"page"}],"schema":"https://github.com/citation-style-language/schema/raw/master/csl-citation.json"} </w:instrText>
      </w:r>
      <w:r w:rsidR="003D1ED8">
        <w:fldChar w:fldCharType="separate"/>
      </w:r>
      <w:r w:rsidR="002A7AC0" w:rsidRPr="002A7AC0">
        <w:rPr>
          <w:szCs w:val="24"/>
          <w:vertAlign w:val="superscript"/>
        </w:rPr>
        <w:t>6</w:t>
      </w:r>
      <w:r w:rsidR="003D1ED8">
        <w:fldChar w:fldCharType="end"/>
      </w:r>
      <w:r w:rsidR="00553915">
        <w:t xml:space="preserve">. </w:t>
      </w:r>
      <w:r w:rsidR="003D1ED8">
        <w:t>Relative sea level (RSL) d</w:t>
      </w:r>
      <w:r w:rsidR="00A50267">
        <w:t xml:space="preserve">iffers from GMSL because of </w:t>
      </w:r>
      <w:r w:rsidR="003D1ED8">
        <w:t xml:space="preserve">driving processes such as glacial isostatic adjustment (GIA); </w:t>
      </w:r>
      <w:r w:rsidR="006D58CB">
        <w:t>ocean dynamic sea-level change</w:t>
      </w:r>
      <w:r w:rsidR="003D1ED8">
        <w:t xml:space="preserve">; gravitational, rotational, and deformational </w:t>
      </w:r>
      <w:r w:rsidR="006D58CB">
        <w:t xml:space="preserve">(GRD) </w:t>
      </w:r>
      <w:r w:rsidR="0007724E">
        <w:t>responses to barystatic</w:t>
      </w:r>
      <w:r w:rsidR="003D1ED8">
        <w:t xml:space="preserve"> changes; </w:t>
      </w:r>
      <w:r w:rsidR="003D1ED8">
        <w:rPr>
          <w:szCs w:val="24"/>
        </w:rPr>
        <w:t xml:space="preserve">tectonics; </w:t>
      </w:r>
      <w:r w:rsidR="003D1ED8">
        <w:t xml:space="preserve">and </w:t>
      </w:r>
      <w:r w:rsidR="003D1ED8" w:rsidDel="006856DF">
        <w:t>sediment compaction</w:t>
      </w:r>
      <w:r w:rsidR="003D1ED8" w:rsidDel="003D1ED8">
        <w:t xml:space="preserve"> </w:t>
      </w:r>
      <w:r w:rsidR="004B3B77">
        <w:fldChar w:fldCharType="begin"/>
      </w:r>
      <w:r w:rsidR="002A7AC0">
        <w:instrText xml:space="preserve"> ADDIN ZOTERO_ITEM CSL_CITATION {"citationID":"fMxbzHty","properties":{"unsorted":true,"formattedCitation":"\\super 7,8\\nosupersub{}","plainCitation":"7,8","noteIndex":0},"citationItems":[{"id":362,"uris":["http://zotero.org/users/local/XxmvPi45/items/IHCRSK5S"],"uri":["http://zotero.org/users/local/XxmvPi45/items/IHCRSK5S"],"itemData":{"id":362,"type":"article-journal","language":"en","page":"44","source":"Zotero","title":"Mapping sea-level change in time, space, and probability","author":[{"family":"Horton","given":"Benjamin P"},{"family":"Kopp","given":"Robert E"},{"family":"Garner","given":"Andra J"},{"family":"Hay","given":"Carling C"},{"family":"Khan","given":"Nicole S"},{"family":"Roy","given":"Keven"},{"family":"Shaw","given":"Timothy A"}],"issued":{"date-parts":[["2018"]]}},"label":"page"},{"id":1007,"uris":["http://zotero.org/users/local/XxmvPi45/items/QLCLSLSH"],"uri":["http://zotero.org/users/local/XxmvPi45/items/QLCLSLSH"],"itemData":{"id":1007,"type":"article-journal","abstract":"Changes in sea level lead to some of the most severe impacts of anthropogenic climate change. Consequently, they are a subject of great interest in both scientific research and public policy.This paper defines concepts and terminology associated with sea level and sea-level changes in order to facilitate progress in sea-level science, in which communication is sometimes hindered by inconsistent and unclear language.We identify key terms and clarify their physical and mathematical meanings, make links between concepts and across disciplines, draw distinctions where there is ambiguity, and propose new terminology where it is lacking or where existing terminology is confusing. We include formulae and diagrams to support the definitions.","container-title":"Surveys in Geophysics","DOI":"10.1007/s10712-019-09525-z","ISSN":"1573-0956","issue":"6","journalAbbreviation":"Surv Geophys","language":"en","page":"1251-1289","source":"Springer Link","title":"Concepts and Terminology for Sea Level: Mean, Variability and Change, Both Local and Global","title-short":"Concepts and Terminology for Sea Level","volume":"40","author":[{"family":"Gregory","given":"Jonathan M."},{"family":"Griffies","given":"Stephen M."},{"family":"Hughes","given":"Chris W."},{"family":"Lowe","given":"Jason A."},{"family":"Church","given":"John A."},{"family":"Fukimori","given":"Ichiro"},{"family":"Gomez","given":"Natalya"},{"family":"Kopp","given":"Robert E."},{"family":"Landerer","given":"Felix"},{"family":"Cozannet","given":"Gonéri Le"},{"family":"Ponte","given":"Rui M."},{"family":"Stammer","given":"Detlef"},{"family":"Tamisiea","given":"Mark E."},{"family":"Wal","given":"Roderik S. W.","non-dropping-particle":"van de"}],"issued":{"date-parts":[["2019",11,1]]}},"label":"page"}],"schema":"https://github.com/citation-style-language/schema/raw/master/csl-citation.json"} </w:instrText>
      </w:r>
      <w:r w:rsidR="004B3B77">
        <w:fldChar w:fldCharType="separate"/>
      </w:r>
      <w:r w:rsidR="002A7AC0" w:rsidRPr="002A7AC0">
        <w:rPr>
          <w:szCs w:val="24"/>
          <w:vertAlign w:val="superscript"/>
        </w:rPr>
        <w:t>7,8</w:t>
      </w:r>
      <w:r w:rsidR="004B3B77">
        <w:fldChar w:fldCharType="end"/>
      </w:r>
      <w:r w:rsidR="004B3B77">
        <w:t xml:space="preserve">. The driving processes are spatially variable and cause RSL change to vary in rate and magnitude among regions </w:t>
      </w:r>
      <w:r w:rsidR="00CA3F10">
        <w:fldChar w:fldCharType="begin"/>
      </w:r>
      <w:r w:rsidR="002A7AC0">
        <w:instrText xml:space="preserve"> ADDIN ZOTERO_ITEM CSL_CITATION {"citationID":"eXIqdNkD","properties":{"formattedCitation":"\\super 9\\nosupersub{}","plainCitation":"9","noteIndex":0},"citationItems":[{"id":979,"uris":["http://zotero.org/users/local/XxmvPi45/items/ZCK9G2Q7"],"uri":["http://zotero.org/users/local/XxmvPi45/items/ZCK9G2Q7"],"itemData":{"id":979,"type":"article-journal","abstract":"Regional sea level changes can deviate substantially from those of the global mean, can vary on a broad range of timescales, and in some regions can even lead to a reversal of long-term global mean sea level trends. The underlying causes are associated with dynamic variations in the ocean circulation as part of climate modes of variability and with an isostatic adjustment of Earth's crust to past and ongoing changes in polar ice masses and continental water storage. Relative to the coastline, sea level is also affected by processes such as earthquakes and anthropogenically induced subsidence. Present-day regional sea level changes appear to be caused primarily by natural climate variability. However, the imprint of anthropogenic effects on regional sea level—whether due to changes in the atmospheric forcing or to mass variations in the system—will grow with time as climate change progresses, and toward the end of the twenty-first century, regional sea level patterns will be a superposition of climate variability modes and natural and anthropogenically induced static sea level patterns. Attribution and predictions of ongoing and future sea level changes require an expanded and sustained climate observing system.","container-title":"Annual Review of Marine Science","DOI":"10.1146/annurev-marine-121211-172406","issue":"1","note":"_eprint: https://doi.org/10.1146/annurev-marine-121211-172406\nPMID: 22809188","page":"21-46","source":"Annual Reviews","title":"Causes for Contemporary Regional Sea Level Changes","volume":"5","author":[{"family":"Stammer","given":"Detlef"},{"family":"Cazenave","given":"Anny"},{"family":"Ponte","given":"Rui M."},{"family":"Tamisiea","given":"Mark E."}],"issued":{"date-parts":[["2013"]]}}}],"schema":"https://github.com/citation-style-language/schema/raw/master/csl-citation.json"} </w:instrText>
      </w:r>
      <w:r w:rsidR="00CA3F10">
        <w:fldChar w:fldCharType="separate"/>
      </w:r>
      <w:r w:rsidR="002A7AC0" w:rsidRPr="002A7AC0">
        <w:rPr>
          <w:szCs w:val="24"/>
          <w:vertAlign w:val="superscript"/>
        </w:rPr>
        <w:t>9</w:t>
      </w:r>
      <w:r w:rsidR="00CA3F10">
        <w:fldChar w:fldCharType="end"/>
      </w:r>
      <w:r w:rsidR="00CA3F10">
        <w:t>.</w:t>
      </w:r>
    </w:p>
    <w:p w14:paraId="0CAF9D4C" w14:textId="1FC981DE" w:rsidR="00857636" w:rsidRPr="00E46B19" w:rsidRDefault="0007724E" w:rsidP="009921E0">
      <w:pPr>
        <w:ind w:firstLine="720"/>
        <w:jc w:val="left"/>
        <w:rPr>
          <w:szCs w:val="24"/>
        </w:rPr>
      </w:pPr>
      <w:r>
        <w:t>S</w:t>
      </w:r>
      <w:r w:rsidR="001C0FF7">
        <w:t>ea-level budget</w:t>
      </w:r>
      <w:r>
        <w:t>s</w:t>
      </w:r>
      <w:r w:rsidR="00F8409F">
        <w:t xml:space="preserve"> </w:t>
      </w:r>
      <w:r w:rsidR="00662477">
        <w:t xml:space="preserve">for </w:t>
      </w:r>
      <w:r w:rsidR="00F8409F">
        <w:t>the Common Era (</w:t>
      </w:r>
      <w:r w:rsidR="00A82008">
        <w:t>0-2000 CE</w:t>
      </w:r>
      <w:r w:rsidR="00F8409F">
        <w:t>)</w:t>
      </w:r>
      <w:r w:rsidR="001E2174">
        <w:t xml:space="preserve"> </w:t>
      </w:r>
      <w:r>
        <w:t>are</w:t>
      </w:r>
      <w:r w:rsidR="001E2174">
        <w:t xml:space="preserve"> unknown</w:t>
      </w:r>
      <w:r w:rsidR="00662477">
        <w:t xml:space="preserve">, but proxy </w:t>
      </w:r>
      <w:r w:rsidR="00051F96">
        <w:t xml:space="preserve">RSL reconstructions </w:t>
      </w:r>
      <w:r w:rsidR="00C71910">
        <w:t>have</w:t>
      </w:r>
      <w:r w:rsidR="00773F7A" w:rsidRPr="00773F7A">
        <w:t xml:space="preserve"> extended the instrumental record </w:t>
      </w:r>
      <w:r w:rsidR="00104D9C">
        <w:t xml:space="preserve">back </w:t>
      </w:r>
      <w:r w:rsidR="00B2229C">
        <w:t>before</w:t>
      </w:r>
      <w:r w:rsidR="00B2229C" w:rsidRPr="00773F7A">
        <w:t xml:space="preserve"> </w:t>
      </w:r>
      <w:r w:rsidR="00773F7A" w:rsidRPr="00773F7A">
        <w:t xml:space="preserve">the </w:t>
      </w:r>
      <w:r w:rsidR="00B2229C">
        <w:t>19</w:t>
      </w:r>
      <w:r w:rsidR="00B2229C" w:rsidRPr="007E53F6">
        <w:rPr>
          <w:vertAlign w:val="superscript"/>
        </w:rPr>
        <w:t>th</w:t>
      </w:r>
      <w:r w:rsidR="00B2229C" w:rsidRPr="00773F7A">
        <w:t xml:space="preserve"> </w:t>
      </w:r>
      <w:r w:rsidR="00773F7A" w:rsidRPr="00773F7A">
        <w:t>century</w:t>
      </w:r>
      <w:r w:rsidR="00EF01DD">
        <w:t xml:space="preserve"> </w:t>
      </w:r>
      <w:r w:rsidR="00EF01DD">
        <w:fldChar w:fldCharType="begin"/>
      </w:r>
      <w:r w:rsidR="002A7AC0">
        <w:instrText xml:space="preserve"> ADDIN ZOTERO_ITEM CSL_CITATION {"citationID":"C0K5tviK","properties":{"unsorted":true,"formattedCitation":"\\super 10\\nosupersub{}","plainCitation":"10","noteIndex":0},"citationItems":[{"id":253,"uris":["http://zotero.org/users/local/XxmvPi45/items/CI2AZY4P"],"uri":["http://zotero.org/users/local/XxmvPi45/items/CI2AZY4P"],"itemData":{"id":253,"type":"article-journal","container-title":"Proceedings of the National Academy of Sciences","language":"en","page":"6","source":"Zotero","title":"Climate related sea-level variations over the past two millennia","author":[{"family":"Kemp","given":"Andrew C"},{"family":"Horton","given":"Benjamin P"},{"family":"Donnelly","given":"Jeffrey P"},{"family":"Mann","given":"Michael E"},{"family":"Vermeer","given":"Martin"},{"family":"Rahmstorf","given":"Stefan"}],"issued":{"date-parts":[["2011"]]}},"label":"page"}],"schema":"https://github.com/citation-style-language/schema/raw/master/csl-citation.json"} </w:instrText>
      </w:r>
      <w:r w:rsidR="00EF01DD">
        <w:fldChar w:fldCharType="separate"/>
      </w:r>
      <w:r w:rsidR="002A7AC0" w:rsidRPr="002A7AC0">
        <w:rPr>
          <w:szCs w:val="24"/>
          <w:vertAlign w:val="superscript"/>
        </w:rPr>
        <w:t>10</w:t>
      </w:r>
      <w:r w:rsidR="00EF01DD">
        <w:fldChar w:fldCharType="end"/>
      </w:r>
      <w:r w:rsidR="005840C6">
        <w:t xml:space="preserve"> </w:t>
      </w:r>
      <w:r w:rsidR="005B0616">
        <w:t>and</w:t>
      </w:r>
      <w:r w:rsidR="005840C6">
        <w:t xml:space="preserve"> </w:t>
      </w:r>
      <w:r w:rsidR="00BF6E1D">
        <w:t xml:space="preserve">have </w:t>
      </w:r>
      <w:r w:rsidR="000862C5">
        <w:t>improve</w:t>
      </w:r>
      <w:r w:rsidR="00BF6E1D">
        <w:t>d</w:t>
      </w:r>
      <w:r w:rsidR="00104D9C">
        <w:t xml:space="preserve"> </w:t>
      </w:r>
      <w:r w:rsidR="000862C5">
        <w:t>understanding of magnitudes</w:t>
      </w:r>
      <w:r w:rsidR="0096001B">
        <w:t>,</w:t>
      </w:r>
      <w:r w:rsidR="0026394D">
        <w:t xml:space="preserve"> </w:t>
      </w:r>
      <w:r w:rsidR="000862C5">
        <w:t>rates</w:t>
      </w:r>
      <w:r w:rsidR="0026394D">
        <w:t>,</w:t>
      </w:r>
      <w:r w:rsidR="000862C5">
        <w:t xml:space="preserve"> </w:t>
      </w:r>
      <w:r w:rsidR="0096001B">
        <w:t xml:space="preserve">and driving processes </w:t>
      </w:r>
      <w:r w:rsidR="000862C5">
        <w:t xml:space="preserve">of </w:t>
      </w:r>
      <w:r w:rsidR="00E10F4A">
        <w:t xml:space="preserve">regional </w:t>
      </w:r>
      <w:r w:rsidR="000862C5">
        <w:t>sea-level change at centennial to multi-decadal timescales</w:t>
      </w:r>
      <w:r w:rsidR="005B0616">
        <w:t xml:space="preserve"> </w:t>
      </w:r>
      <w:r w:rsidR="006C2976">
        <w:fldChar w:fldCharType="begin"/>
      </w:r>
      <w:r w:rsidR="002A7AC0">
        <w:instrText xml:space="preserve"> ADDIN ZOTERO_ITEM CSL_CITATION {"citationID":"DBzGrJvE","properties":{"unsorted":true,"formattedCitation":"\\super 11\\nosupersub{}","plainCitation":"11","noteIndex":0},"citationItems":[{"id":261,"uris":["http://zotero.org/users/local/XxmvPi45/items/6B2CJCNF"],"uri":["http://zotero.org/users/local/XxmvPi45/items/6B2CJCNF"],"itemData":{"id":261,"type":"article-journal","container-title":"Proceedings of the National Academy of Sciences","DOI":"10.1073/pnas.1517056113","ISSN":"0027-8424, 1091-6490","issue":"11","language":"en","page":"E1434-E1441","source":"Crossref","title":"Temperature-driven global sea-level variability in the Common Era","volume":"113","author":[{"family":"Kopp","given":"Robert E."},{"family":"Kemp","given":"Andrew C."},{"family":"Bittermann","given":"Klaus"},{"family":"Horton","given":"Benjamin P."},{"family":"Donnelly","given":"Jeffrey P."},{"family":"Gehrels","given":"W. Roland"},{"family":"Hay","given":"Carling C."},{"family":"Mitrovica","given":"Jerry X."},{"family":"Morrow","given":"Eric D."},{"family":"Rahmstorf","given":"Stefan"}],"issued":{"date-parts":[["2016",3,15]]}}}],"schema":"https://github.com/citation-style-language/schema/raw/master/csl-citation.json"} </w:instrText>
      </w:r>
      <w:r w:rsidR="006C2976">
        <w:fldChar w:fldCharType="separate"/>
      </w:r>
      <w:r w:rsidR="002A7AC0" w:rsidRPr="002A7AC0">
        <w:rPr>
          <w:szCs w:val="24"/>
          <w:vertAlign w:val="superscript"/>
        </w:rPr>
        <w:t>11</w:t>
      </w:r>
      <w:r w:rsidR="006C2976">
        <w:fldChar w:fldCharType="end"/>
      </w:r>
      <w:r w:rsidR="000862C5">
        <w:t>.</w:t>
      </w:r>
      <w:r w:rsidR="0073161A">
        <w:t xml:space="preserve"> For example, </w:t>
      </w:r>
      <w:r w:rsidR="004B3D0F">
        <w:t>along the U.S. Atlantic coast</w:t>
      </w:r>
      <w:r w:rsidR="0073161A">
        <w:t xml:space="preserve">, </w:t>
      </w:r>
      <w:r w:rsidR="0074751E">
        <w:t>GIA</w:t>
      </w:r>
      <w:r w:rsidR="004B3D0F">
        <w:t xml:space="preserve"> has been a significant driving factor in RSL rise through the Common Era</w:t>
      </w:r>
      <w:r w:rsidR="0074751E">
        <w:rPr>
          <w:szCs w:val="24"/>
        </w:rPr>
        <w:t xml:space="preserve">, creating a spatially variable signal due to the </w:t>
      </w:r>
      <w:r w:rsidR="00E0224F">
        <w:rPr>
          <w:szCs w:val="24"/>
        </w:rPr>
        <w:t xml:space="preserve">region’s </w:t>
      </w:r>
      <w:r w:rsidR="0074751E">
        <w:t xml:space="preserve">proximity to the former Laurentide Ice Sheet </w:t>
      </w:r>
      <w:r w:rsidR="00773050">
        <w:fldChar w:fldCharType="begin"/>
      </w:r>
      <w:r w:rsidR="002A7AC0">
        <w:instrText xml:space="preserve"> ADDIN ZOTERO_ITEM CSL_CITATION {"citationID":"NPjVDldX","properties":{"unsorted":true,"formattedCitation":"\\super 12,13\\nosupersub{}","plainCitation":"12,13","noteIndex":0},"citationItems":[{"id":292,"uris":["http://zotero.org/users/local/XxmvPi45/items/GI9CX2W9"],"uri":["http://zotero.org/users/local/XxmvPi45/items/GI9CX2W9"],"itemData":{"id":292,"type":"article-journal","abstract":"Models of the glacial isostatic adjustment process, which is dominated by the inﬂuence of the Late Pleistocene cycle of glaciation and deglaciation, depend on two fundamental inputs: a history of ice-sheet loading and a model of the radial variation of mantle viscosity. These models may be tested and reﬁned by comparing their local predictions of relative sea level history to geological inferences based upon appropriate sea level indicators. The U.S. Atlantic coast is a region of particular interest in this regard, due to the fact that data from the length of this coast provides a transect of the forebulge associated with the former Laurentide ice sheet. High-quality relative sea level histories from this region are employed herein to explore the ability of current models of mantle viscosity to explain the inferred evolution of relative sea level that have accompanied forebulge collapse following deglaciation. Existing misﬁts are characterized, and alternatives are explored for their reconciliation. It is demonstrated that a new model of mantle viscosity, referred to herein as VM6, when coupled with the latest model of deglaciation history ICE-6G_C, is able to eliminate the majority of these misﬁts, while continuing to reconcile a wide range of other important geophysical observables, as well as additional relative sea level data from the North American. West coast which also record the collapse of the forebulge but which have not been employed in tuning the viscosity proﬁle to enable ICE-6G_C (VM6) to ﬁt the East coast data set.","container-title":"Geophysical Journal International","DOI":"10.1093/gji/ggv066","ISSN":"1365-246X, 0956-540X","issue":"2","language":"en","page":"1156-1181","source":"Crossref","title":"Glacial isostatic adjustment, relative sea level history and mantle viscosity: reconciling relative sea level model predictions for the U.S. East coast with geological constraints","title-short":"Glacial isostatic adjustment, relative sea level history and mantle viscosity","volume":"201","author":[{"family":"Roy","given":"Keven"},{"family":"Peltier","given":"W.R."}],"issued":{"date-parts":[["2015",5,1]]}},"label":"page"},{"id":294,"uris":["http://zotero.org/users/local/XxmvPi45/items/KM5YLGWU"],"uri":["http://zotero.org/users/local/XxmvPi45/items/KM5YLGWU"],"itemData":{"id":294,"type":"article-journal","abstract":"We determine the contribution of glacial isostatic adjustment (GIA) to future relative sea-level change for the North American coastline between Newfoundland and Texas. We infer GIA model parameters using recently compiled and quality-assessed databases of past sea-level changes, including new databases for the United States Gulf Coast and Atlantic Canada. At 13 cities along this coastline, we estimate the GIA contribution to range from a few centimeters (e.g., 3 [−1 to 9] cm Miami) to a few decimeters (e.g., 18 [12–22] cm, Halifax) for the period 2085–2100 relative to 2006–2015 (1−</w:instrText>
      </w:r>
      <w:r w:rsidR="002A7AC0">
        <w:rPr>
          <w:rFonts w:ascii="Tahoma" w:hAnsi="Tahoma" w:cs="Tahoma"/>
        </w:rPr>
        <w:instrText>������</w:instrText>
      </w:r>
      <w:r w:rsidR="002A7AC0">
        <w:instrText xml:space="preserve"> ranges given). We provide estimates of uncertainty in the GIA component using two diﬀerent methods; the more conservative approach produces total ranges (1−</w:instrText>
      </w:r>
      <w:r w:rsidR="002A7AC0">
        <w:rPr>
          <w:rFonts w:ascii="Tahoma" w:hAnsi="Tahoma" w:cs="Tahoma"/>
        </w:rPr>
        <w:instrText>������</w:instrText>
      </w:r>
      <w:r w:rsidR="002A7AC0">
        <w:instrText xml:space="preserve"> conﬁdence) that vary from 3 to 16 cm for the cities considered. Contributions from ocean steric and dynamic changes as well as those from changes in land ice are also estimated to provide context for the GIA projections. When summing the contributions from all three processes at the 13 cities considered along this coastline, using median or best-estimate values, the GIA signal comprises 5–38% of the total depending on the adopted climate forcing and location.","container-title":"Earth's Future","DOI":"10.1002/2016EF000363","ISSN":"23284277","issue":"10","language":"en","page":"440-464","source":"Crossref","title":"The contribution of glacial isostatic adjustment to projections of sea-level change along the Atlantic and Gulf coasts of North America: GIA AND FUTURE SEA-LEVEL CHANGE","title-short":"The contribution of glacial isostatic adjustment to projections of sea-level change along the Atlantic and Gulf coasts of North America","volume":"4","author":[{"family":"Love","given":"Ryan"},{"family":"Milne","given":"Glenn A."},{"family":"Tarasov","given":"Lev"},{"family":"Engelhart","given":"Simon E."},{"family":"Hijma","given":"Marc P."},{"family":"Latychev","given":"Konstantin"},{"family":"Horton","given":"Benjamin P."},{"family":"Törnqvist","given":"Torbjörn E."}],"issued":{"date-parts":[["2016",10]]}},"label":"page"}],"schema":"https://github.com/citation-style-language/schema/raw/master/csl-citation.json"} </w:instrText>
      </w:r>
      <w:r w:rsidR="00773050">
        <w:fldChar w:fldCharType="separate"/>
      </w:r>
      <w:r w:rsidR="002A7AC0" w:rsidRPr="002A7AC0">
        <w:rPr>
          <w:szCs w:val="24"/>
          <w:vertAlign w:val="superscript"/>
        </w:rPr>
        <w:t>12,13</w:t>
      </w:r>
      <w:r w:rsidR="00773050">
        <w:fldChar w:fldCharType="end"/>
      </w:r>
      <w:r w:rsidR="0074751E">
        <w:rPr>
          <w:szCs w:val="24"/>
        </w:rPr>
        <w:t xml:space="preserve">. </w:t>
      </w:r>
      <w:r w:rsidR="00E91B87">
        <w:rPr>
          <w:szCs w:val="24"/>
        </w:rPr>
        <w:t xml:space="preserve">Larger uncertainty is associated with </w:t>
      </w:r>
      <w:r w:rsidR="004B3D0F">
        <w:rPr>
          <w:szCs w:val="24"/>
        </w:rPr>
        <w:t>the r</w:t>
      </w:r>
      <w:r w:rsidR="006C2DEA">
        <w:rPr>
          <w:szCs w:val="24"/>
        </w:rPr>
        <w:t xml:space="preserve">emaining </w:t>
      </w:r>
      <w:r w:rsidR="00247C8D">
        <w:rPr>
          <w:szCs w:val="24"/>
        </w:rPr>
        <w:t xml:space="preserve">RSL </w:t>
      </w:r>
      <w:r w:rsidR="004B3D0F">
        <w:rPr>
          <w:szCs w:val="24"/>
        </w:rPr>
        <w:t xml:space="preserve">processes </w:t>
      </w:r>
      <w:r w:rsidR="00857636">
        <w:rPr>
          <w:szCs w:val="24"/>
        </w:rPr>
        <w:t>occurring on different spatial scales</w:t>
      </w:r>
      <w:r w:rsidR="00C076B9">
        <w:rPr>
          <w:szCs w:val="24"/>
        </w:rPr>
        <w:t>,</w:t>
      </w:r>
      <w:r w:rsidR="002A6C1A">
        <w:rPr>
          <w:szCs w:val="24"/>
        </w:rPr>
        <w:t xml:space="preserve"> </w:t>
      </w:r>
      <w:r w:rsidR="00A43F02">
        <w:rPr>
          <w:szCs w:val="24"/>
        </w:rPr>
        <w:t xml:space="preserve">including </w:t>
      </w:r>
      <w:r w:rsidR="00AE435D">
        <w:rPr>
          <w:szCs w:val="24"/>
        </w:rPr>
        <w:t xml:space="preserve">common </w:t>
      </w:r>
      <w:r w:rsidR="002A6C1A">
        <w:rPr>
          <w:szCs w:val="24"/>
        </w:rPr>
        <w:t xml:space="preserve">global </w:t>
      </w:r>
      <w:r w:rsidR="00C2657C">
        <w:rPr>
          <w:szCs w:val="24"/>
        </w:rPr>
        <w:t xml:space="preserve">signals </w:t>
      </w:r>
      <w:r w:rsidR="00E91B87">
        <w:rPr>
          <w:szCs w:val="24"/>
        </w:rPr>
        <w:t xml:space="preserve">driven by </w:t>
      </w:r>
      <w:r>
        <w:t>thermosteric and barystatic</w:t>
      </w:r>
      <w:r w:rsidR="00771C6C" w:rsidDel="006856DF">
        <w:t xml:space="preserve"> changes</w:t>
      </w:r>
      <w:r w:rsidR="00F55782">
        <w:t>;</w:t>
      </w:r>
      <w:r w:rsidR="00771C6C">
        <w:t xml:space="preserve"> </w:t>
      </w:r>
      <w:r w:rsidR="00771C6C">
        <w:rPr>
          <w:szCs w:val="24"/>
        </w:rPr>
        <w:t xml:space="preserve">regional signals such as </w:t>
      </w:r>
      <w:r w:rsidR="00E46B19" w:rsidDel="006856DF">
        <w:t>ocean dynamic</w:t>
      </w:r>
      <w:r>
        <w:t xml:space="preserve"> sea-level change</w:t>
      </w:r>
      <w:r w:rsidR="00E91B87">
        <w:t xml:space="preserve"> and </w:t>
      </w:r>
      <w:r>
        <w:t>GRD</w:t>
      </w:r>
      <w:r w:rsidR="00E91B87">
        <w:t xml:space="preserve"> changes</w:t>
      </w:r>
      <w:r w:rsidR="00F55782">
        <w:t>;</w:t>
      </w:r>
      <w:r w:rsidR="00E46B19">
        <w:t xml:space="preserve"> </w:t>
      </w:r>
      <w:r w:rsidR="00A43F02">
        <w:rPr>
          <w:szCs w:val="24"/>
        </w:rPr>
        <w:t xml:space="preserve">and </w:t>
      </w:r>
      <w:r w:rsidR="00771C6C">
        <w:rPr>
          <w:szCs w:val="24"/>
        </w:rPr>
        <w:t xml:space="preserve">local site-specific signals such as </w:t>
      </w:r>
      <w:r w:rsidR="0057714D">
        <w:t xml:space="preserve">tidal range change and </w:t>
      </w:r>
      <w:r w:rsidR="0057714D" w:rsidDel="006856DF">
        <w:t xml:space="preserve">sediment compaction. </w:t>
      </w:r>
    </w:p>
    <w:p w14:paraId="3E7089DC" w14:textId="6069CBAC" w:rsidR="00646FF6" w:rsidRDefault="00467D94" w:rsidP="009921E0">
      <w:pPr>
        <w:ind w:firstLine="720"/>
        <w:jc w:val="left"/>
      </w:pPr>
      <w:r>
        <w:lastRenderedPageBreak/>
        <w:t>Here</w:t>
      </w:r>
      <w:r w:rsidR="005128BA">
        <w:t>,</w:t>
      </w:r>
      <w:r>
        <w:t xml:space="preserve"> we </w:t>
      </w:r>
      <w:r w:rsidR="00E91B87">
        <w:t xml:space="preserve">estimate </w:t>
      </w:r>
      <w:r w:rsidR="00C03B54">
        <w:t xml:space="preserve">site-specific </w:t>
      </w:r>
      <w:r w:rsidR="005128BA">
        <w:t xml:space="preserve">Common Era </w:t>
      </w:r>
      <w:r w:rsidR="001C0FF7">
        <w:t>sea-level budgets</w:t>
      </w:r>
      <w:r w:rsidR="005128BA">
        <w:t xml:space="preserve"> along the </w:t>
      </w:r>
      <w:r w:rsidR="00C237B7" w:rsidRPr="00C237B7">
        <w:t>U.S. Atlantic coast</w:t>
      </w:r>
      <w:r w:rsidR="005128BA">
        <w:t>. W</w:t>
      </w:r>
      <w:r w:rsidR="00406E53">
        <w:t xml:space="preserve">e </w:t>
      </w:r>
      <w:r w:rsidR="005128BA">
        <w:t xml:space="preserve">complete </w:t>
      </w:r>
      <w:r w:rsidR="00D31851">
        <w:t xml:space="preserve">a new </w:t>
      </w:r>
      <w:r w:rsidR="006D33A4">
        <w:t>high-</w:t>
      </w:r>
      <w:r w:rsidR="004B4358">
        <w:t>resolution (decimeter vertical</w:t>
      </w:r>
      <w:r w:rsidR="002777C3">
        <w:t xml:space="preserve"> scale</w:t>
      </w:r>
      <w:r w:rsidR="004B4358">
        <w:t xml:space="preserve">, decadal </w:t>
      </w:r>
      <w:r w:rsidR="00426DC1">
        <w:t>temporal</w:t>
      </w:r>
      <w:r w:rsidR="002777C3">
        <w:t xml:space="preserve"> scale</w:t>
      </w:r>
      <w:r w:rsidR="004B4358">
        <w:t xml:space="preserve">) </w:t>
      </w:r>
      <w:r w:rsidR="00404E8D">
        <w:t>RSL</w:t>
      </w:r>
      <w:r w:rsidR="00D31851">
        <w:t xml:space="preserve"> re</w:t>
      </w:r>
      <w:r w:rsidR="004B4358">
        <w:t>cord in northern New Jersey</w:t>
      </w:r>
      <w:r w:rsidR="00E90026">
        <w:t xml:space="preserve"> (Figure 1)</w:t>
      </w:r>
      <w:r w:rsidR="000C2F8C">
        <w:t>, f</w:t>
      </w:r>
      <w:r w:rsidR="0091600B">
        <w:t xml:space="preserve">illing in </w:t>
      </w:r>
      <w:r w:rsidR="000C2F8C">
        <w:t xml:space="preserve">a spatial </w:t>
      </w:r>
      <w:r w:rsidR="004C595F">
        <w:t xml:space="preserve">data </w:t>
      </w:r>
      <w:r w:rsidR="0091600B">
        <w:t xml:space="preserve">gap between </w:t>
      </w:r>
      <w:r w:rsidR="00C1541A">
        <w:t xml:space="preserve">RSL </w:t>
      </w:r>
      <w:r w:rsidR="000C2F8C">
        <w:t xml:space="preserve">records in </w:t>
      </w:r>
      <w:r w:rsidR="0091600B">
        <w:t xml:space="preserve">southern New Jersey </w:t>
      </w:r>
      <w:r w:rsidR="00613B7F">
        <w:fldChar w:fldCharType="begin"/>
      </w:r>
      <w:r w:rsidR="002A7AC0">
        <w:instrText xml:space="preserve"> ADDIN ZOTERO_ITEM CSL_CITATION {"citationID":"VsVkbwMj","properties":{"formattedCitation":"\\super 14\\nosupersub{}","plainCitation":"14","noteIndex":0},"citationItems":[{"id":247,"uris":["http://zotero.org/users/local/XxmvPi45/items/ZKIY8U3Q"],"uri":["http://zotero.org/users/local/XxmvPi45/items/ZKIY8U3Q"],"itemData":{"id":247,"type":"article-journal","abstract":"Relative sea-level changes during the last w2500 years in New Jersey, USA were reconstructed to test if late Holocene sea level was stable or included persistent and distinctive phases of variability. Foraminifera and bulk-sediment d13C values were combined to reconstruct paleomarsh elevation with decimeter precision from sequences of salt-marsh sediment at two sites using a multi-proxy approach. The additional paleoenvironmental information provided by bulk-sediment d13C values reduced vertical uncertainty in the sea-level reconstruction by about one third of that estimated from foraminifera alone using a transfer function. The history of sediment deposition was constrained by a composite chronology. An ageedepth model developed for each core enabled reconstruction of sea level with multi-decadal resolution. Following correction for land-level change (1.4 mm/yr), four successive and sustained (multi-centennial) sea-level trends were objectively identiﬁed and quantiﬁed (95% conﬁdence interval) using error-in-variables change point analysis to account for age and sea-level uncertainties. From at least 500 BC to 250 AD, sea-level fell at 0.11 mm/yr. The second period saw sea-level rise at 0.62 mm/yr from 250 AD to 733 AD. Between 733 AD and 1850 AD, sea level fell at 0.12 mm/yr. The reconstructed rate of sea-level rise since w1850 AD was 3.1 mm/yr and represents the most rapid period of change for at least 2500 years. This trend began between 1830 AD and 1873 AD. Since this change point, reconstructed sea-level rise is in agreement with regional tide-gauge records and exceeds the global average estimate for the 20th century. These positive and negative departures from background rates demonstrate that the late Holocene sea level was not stable in New Jersey.","container-title":"Quaternary Science Reviews","DOI":"10.1016/j.quascirev.2013.09.024","ISSN":"02773791","language":"en","page":"90-104","source":"Crossref","title":"Sea-level change during the last 2500 years in New Jersey, USA","volume":"81","author":[{"family":"Kemp","given":"Andrew C."},{"family":"Horton","given":"Benjamin P."},{"family":"Vane","given":"Christopher H."},{"family":"Bernhardt","given":"Christopher E."},{"family":"Corbett","given":"D. Reide"},{"family":"Engelhart","given":"Simon E."},{"family":"Anisfeld","given":"Shimon C."},{"family":"Parnell","given":"Andrew C."},{"family":"Cahill","given":"Niamh"}],"issued":{"date-parts":[["2013",12]]}}}],"schema":"https://github.com/citation-style-language/schema/raw/master/csl-citation.json"} </w:instrText>
      </w:r>
      <w:r w:rsidR="00613B7F">
        <w:fldChar w:fldCharType="separate"/>
      </w:r>
      <w:r w:rsidR="002A7AC0" w:rsidRPr="002A7AC0">
        <w:rPr>
          <w:szCs w:val="24"/>
          <w:vertAlign w:val="superscript"/>
        </w:rPr>
        <w:t>14</w:t>
      </w:r>
      <w:r w:rsidR="00613B7F">
        <w:fldChar w:fldCharType="end"/>
      </w:r>
      <w:r w:rsidR="000C2F8C">
        <w:t xml:space="preserve"> </w:t>
      </w:r>
      <w:r w:rsidR="0091600B">
        <w:t>and</w:t>
      </w:r>
      <w:r w:rsidR="000C2F8C">
        <w:t xml:space="preserve"> New York City</w:t>
      </w:r>
      <w:r w:rsidR="00771A72">
        <w:t xml:space="preserve"> </w:t>
      </w:r>
      <w:r w:rsidR="00771A72">
        <w:fldChar w:fldCharType="begin"/>
      </w:r>
      <w:r w:rsidR="002A7AC0">
        <w:instrText xml:space="preserve"> ADDIN ZOTERO_ITEM CSL_CITATION {"citationID":"moig2fyd","properties":{"formattedCitation":"\\super 15\\nosupersub{}","plainCitation":"15","noteIndex":0},"citationItems":[{"id":246,"uris":["http://zotero.org/users/local/XxmvPi45/items/2HXYQNKX"],"uri":["http://zotero.org/users/local/XxmvPi45/items/2HXYQNKX"],"itemData":{"id":246,"type":"article-journal","abstract":"New York City (NYC) is threatened by 21st-century relative sea-level (RSL) rise because it will experience a trend that exceeds the global mean and has high concentrations of low-lying infrastructure and socioeconomic activity. To provide a long-term context for anticipated trends, we reconstructed RSL change during the past ~1500 years using a core of salt-marsh sediment from Pelham Bay in The Bronx. Foraminifera and bulk-sediment δ13C values were used as sea-level indicators. The history of sediment accumulation was established by radiocarbon dating and recognition of pollution and land-use trends of known age in down-core elemental, isotopic, and pollen profiles. The reconstruction was generated within a Bayesian hierarchical model to accommodate multiple proxies and to provide a unified statistical framework for quantifying uncertainty. We show that RSL in NYC rose by ~1.70 m since ~575 CE (including ~0.38 m since 1850 CE). The rate of RSL rise increased markedly at 1812–1913 CE from ~1.0 to ~2.5 mm/yr, which coincides with other reconstructions along the US Atlantic coast. We investigated the possible influence of tidal-range change in Long Island Sound on our reconstruction using a regional tidal model, and we demonstrate that this effect was likely small. However, future tidal-range change could exacerbate the impacts of RSL rise in communities bordering Long Island Sound. The current rate of RSL rise is the fastest that NYC has experienced for &gt;1500 years, and its ongoing acceleration suggests that projections of 21st-century local RSL rise will be realized.","container-title":"The Holocene","DOI":"10.1177/0959683616683263","ISSN":"0959-6836, 1477-0911","issue":"8","language":"en","page":"1169-1186","source":"Crossref","title":"Relative sea-level trends in New York City during the past 1500 years","volume":"27","author":[{"family":"Kemp","given":"Andrew C."},{"family":"Hill","given":"Troy D"},{"family":"Vane","given":"Christopher H"},{"family":"Cahill","given":"Niamh"},{"family":"Orton","given":"Philip M"},{"family":"Talke","given":"Stefan A"},{"family":"Parnell","given":"Andrew C"},{"family":"Sanborn","given":"Kelsey"},{"family":"Hartig","given":"Ellen K"}],"issued":{"literal":"2017b"}}}],"schema":"https://github.com/citation-style-language/schema/raw/master/csl-citation.json"} </w:instrText>
      </w:r>
      <w:r w:rsidR="00771A72">
        <w:fldChar w:fldCharType="separate"/>
      </w:r>
      <w:r w:rsidR="002A7AC0" w:rsidRPr="002A7AC0">
        <w:rPr>
          <w:szCs w:val="24"/>
          <w:vertAlign w:val="superscript"/>
        </w:rPr>
        <w:t>15</w:t>
      </w:r>
      <w:r w:rsidR="00771A72">
        <w:fldChar w:fldCharType="end"/>
      </w:r>
      <w:r w:rsidR="00771A72">
        <w:t xml:space="preserve">. </w:t>
      </w:r>
      <w:r w:rsidR="00E91B87">
        <w:t>Integrating this</w:t>
      </w:r>
      <w:r w:rsidR="000C2F8C">
        <w:t xml:space="preserve"> new record</w:t>
      </w:r>
      <w:r w:rsidR="00CE3F6D">
        <w:t xml:space="preserve"> into an updated global database of instrumental and proxy sea-level records </w:t>
      </w:r>
      <w:r w:rsidR="00804C01">
        <w:fldChar w:fldCharType="begin"/>
      </w:r>
      <w:r w:rsidR="002A7AC0">
        <w:instrText xml:space="preserve"> ADDIN ZOTERO_ITEM CSL_CITATION {"citationID":"PrOgjU6j","properties":{"unsorted":true,"formattedCitation":"\\super 11,16\\nosupersub{}","plainCitation":"11,16","noteIndex":0},"citationItems":[{"id":261,"uris":["http://zotero.org/users/local/XxmvPi45/items/6B2CJCNF"],"uri":["http://zotero.org/users/local/XxmvPi45/items/6B2CJCNF"],"itemData":{"id":261,"type":"article-journal","container-title":"Proceedings of the National Academy of Sciences","DOI":"10.1073/pnas.1517056113","ISSN":"0027-8424, 1091-6490","issue":"11","language":"en","page":"E1434-E1441","source":"Crossref","title":"Temperature-driven global sea-level variability in the Common Era","volume":"113","author":[{"family":"Kopp","given":"Robert E."},{"family":"Kemp","given":"Andrew C."},{"family":"Bittermann","given":"Klaus"},{"family":"Horton","given":"Benjamin P."},{"family":"Donnelly","given":"Jeffrey P."},{"family":"Gehrels","given":"W. Roland"},{"family":"Hay","given":"Carling C."},{"family":"Mitrovica","given":"Jerry X."},{"family":"Morrow","given":"Eric D."},{"family":"Rahmstorf","given":"Stefan"}],"issued":{"date-parts":[["2016",3,15]]}},"label":"page"},{"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A7AC0">
        <w:rPr>
          <w:rFonts w:ascii="Cambria Math" w:hAnsi="Cambria Math" w:cs="Cambria Math"/>
        </w:rPr>
        <w:instrText>∼</w:instrText>
      </w:r>
      <w:r w:rsidR="002A7AC0">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de"}],"issued":{"date-parts":[["2018",12]]}},"label":"page"}],"schema":"https://github.com/citation-style-language/schema/raw/master/csl-citation.json"} </w:instrText>
      </w:r>
      <w:r w:rsidR="00804C01">
        <w:fldChar w:fldCharType="separate"/>
      </w:r>
      <w:r w:rsidR="002A7AC0" w:rsidRPr="002A7AC0">
        <w:rPr>
          <w:szCs w:val="24"/>
          <w:vertAlign w:val="superscript"/>
        </w:rPr>
        <w:t>11,16</w:t>
      </w:r>
      <w:r w:rsidR="00804C01">
        <w:fldChar w:fldCharType="end"/>
      </w:r>
      <w:r w:rsidR="00D72EE6">
        <w:t xml:space="preserve"> (Supplementary Data)</w:t>
      </w:r>
      <w:r w:rsidR="00E91B87">
        <w:t>, w</w:t>
      </w:r>
      <w:r w:rsidR="001D0C05">
        <w:t>e</w:t>
      </w:r>
      <w:r w:rsidR="00CE3F6D">
        <w:t xml:space="preserve"> use a spatiotemporal empirical hierarchical model</w:t>
      </w:r>
      <w:r w:rsidR="001D0C05">
        <w:t xml:space="preserve"> </w:t>
      </w:r>
      <w:r w:rsidR="001D0C05">
        <w:fldChar w:fldCharType="begin"/>
      </w:r>
      <w:r w:rsidR="002A7AC0">
        <w:instrText xml:space="preserve"> ADDIN ZOTERO_ITEM CSL_CITATION {"citationID":"iuVcPrbN","properties":{"unsorted":true,"formattedCitation":"\\super 17,11\\nosupersub{}","plainCitation":"17,11","noteIndex":0},"citationItems":[{"id":281,"uris":["http://zotero.org/users/local/XxmvPi45/items/4NTAIMBZ"],"uri":["http://zotero.org/users/local/XxmvPi45/items/4NTAIMBZ"],"itemData":{"id":281,"type":"article-journal","abstract":"Characterizing the spatio-temporal variability of relative sea level (RSL) and estimating local, regional, and global RSL trends requires statistical analysis of RSL data. Formal statistical treatments, needed to account for the spatially and temporally sparse distribution of data and for geochronological and elevational uncertainties, have advanced considerably over the last decade. Time-series models have adopted more ﬂexible and physically-informed speciﬁcations with more rigorous quantiﬁcation of uncertainties. Spatio-temporal models have evolved from simple regional averaging to frameworks that more richly represent the correlation structure of RSL across space and time. More complex statistical approaches enable rigorous quantiﬁcation of spatial and temporal variability, the combination of geographically disparate data, and the separation of the RSL ﬁeld into various components associated with different driving processes. We review the range of statistical modeling and analysis choices used in the literature, reformulating them for ease of comparison in a common hierarchical statistical framework. The hierarchical framework separates each model into different levels, clearly partitioning measurement and inferential uncertainty from process variability. Placing models in a hierarchical framework enables us to highlight both the similarities and differences among modeling and analysis choices. We illustrate the implications of some modeling and analysis choices currently used in the literature by comparing the results of their application to common datasets within a hierarchical framework. In light of the complex patterns of spatial and temporal variability exhibited by RSL, we recommend non-parametric approaches for modeling temporal and spatio-temporal RSL.","container-title":"Quaternary Science Reviews","DOI":"10.1016/j.quascirev.2018.10.032","ISSN":"02773791","language":"en","page":"58-77","source":"Crossref","title":"Statistical modeling of rates and trends in Holocene relative sea level","volume":"204","author":[{"family":"Ashe","given":"Erica L."},{"family":"Cahill","given":"Niamh"},{"family":"Hay","given":"Carling"},{"family":"Khan","given":"Nicole S."},{"family":"Kemp","given":"Andrew"},{"family":"Engelhart","given":"Simon E."},{"family":"Horton","given":"Benjamin P."},{"family":"Parnell","given":"Andrew C."},{"family":"Kopp","given":"Robert E."}],"issued":{"date-parts":[["2019",1]]}},"label":"page"},{"id":261,"uris":["http://zotero.org/users/local/XxmvPi45/items/6B2CJCNF"],"uri":["http://zotero.org/users/local/XxmvPi45/items/6B2CJCNF"],"itemData":{"id":261,"type":"article-journal","container-title":"Proceedings of the National Academy of Sciences","DOI":"10.1073/pnas.1517056113","ISSN":"0027-8424, 1091-6490","issue":"11","language":"en","page":"E1434-E1441","source":"Crossref","title":"Temperature-driven global sea-level variability in the Common Era","volume":"113","author":[{"family":"Kopp","given":"Robert E."},{"family":"Kemp","given":"Andrew C."},{"family":"Bittermann","given":"Klaus"},{"family":"Horton","given":"Benjamin P."},{"family":"Donnelly","given":"Jeffrey P."},{"family":"Gehrels","given":"W. Roland"},{"family":"Hay","given":"Carling C."},{"family":"Mitrovica","given":"Jerry X."},{"family":"Morrow","given":"Eric D."},{"family":"Rahmstorf","given":"Stefan"}],"issued":{"date-parts":[["2016",3,15]]}},"label":"page"}],"schema":"https://github.com/citation-style-language/schema/raw/master/csl-citation.json"} </w:instrText>
      </w:r>
      <w:r w:rsidR="001D0C05">
        <w:fldChar w:fldCharType="separate"/>
      </w:r>
      <w:r w:rsidR="002A7AC0" w:rsidRPr="002A7AC0">
        <w:rPr>
          <w:szCs w:val="24"/>
          <w:vertAlign w:val="superscript"/>
        </w:rPr>
        <w:t>17,11</w:t>
      </w:r>
      <w:r w:rsidR="001D0C05">
        <w:fldChar w:fldCharType="end"/>
      </w:r>
      <w:r w:rsidR="00CE3F6D">
        <w:t xml:space="preserve"> </w:t>
      </w:r>
      <w:r w:rsidR="00566A1E">
        <w:t xml:space="preserve">to examine magnitudes and rates of </w:t>
      </w:r>
      <w:r w:rsidR="007664E7">
        <w:t>Common Era</w:t>
      </w:r>
      <w:r w:rsidR="00566A1E">
        <w:t xml:space="preserve"> RSL in</w:t>
      </w:r>
      <w:r w:rsidR="00CE3F6D">
        <w:t xml:space="preserve"> the </w:t>
      </w:r>
      <w:r w:rsidR="00DA3816">
        <w:t xml:space="preserve">northern New Jersey record </w:t>
      </w:r>
      <w:r w:rsidR="005128BA">
        <w:t xml:space="preserve">and </w:t>
      </w:r>
      <w:r w:rsidR="007664E7">
        <w:t xml:space="preserve">five </w:t>
      </w:r>
      <w:r w:rsidR="005128BA">
        <w:t xml:space="preserve">other published records along the </w:t>
      </w:r>
      <w:r w:rsidR="00C237B7" w:rsidRPr="00C237B7">
        <w:t>U.S. Atlantic coast</w:t>
      </w:r>
      <w:r w:rsidR="00C237B7">
        <w:t xml:space="preserve"> </w:t>
      </w:r>
      <w:r w:rsidR="00002748">
        <w:t>(Figure 1a</w:t>
      </w:r>
      <w:r w:rsidR="00E90026">
        <w:t>)</w:t>
      </w:r>
      <w:r w:rsidR="00CE3F6D">
        <w:t xml:space="preserve">. </w:t>
      </w:r>
      <w:r w:rsidR="005E0E77">
        <w:t xml:space="preserve">The high concentration of these high-resolution RSL reconstructions </w:t>
      </w:r>
      <w:r w:rsidR="007B62FE">
        <w:t xml:space="preserve">over a 700 km stretch of coastline </w:t>
      </w:r>
      <w:r w:rsidR="00E91B87">
        <w:t xml:space="preserve">allows the records to be </w:t>
      </w:r>
      <w:r w:rsidR="009F629E">
        <w:t>decomposed</w:t>
      </w:r>
      <w:r w:rsidR="00183909">
        <w:t xml:space="preserve"> into </w:t>
      </w:r>
      <w:r w:rsidR="007664E7">
        <w:t>process</w:t>
      </w:r>
      <w:r w:rsidR="00183909">
        <w:t xml:space="preserve">-related signals on </w:t>
      </w:r>
      <w:r w:rsidR="000422D9">
        <w:t>different spati</w:t>
      </w:r>
      <w:r w:rsidR="00E91B87">
        <w:t xml:space="preserve">al </w:t>
      </w:r>
      <w:r w:rsidR="005E0E77">
        <w:t>scale</w:t>
      </w:r>
      <w:r w:rsidR="00183909">
        <w:t>s</w:t>
      </w:r>
      <w:r w:rsidR="009F629E">
        <w:t>,</w:t>
      </w:r>
      <w:r w:rsidR="00646FF6" w:rsidRPr="00E10F4A">
        <w:t xml:space="preserve"> assist</w:t>
      </w:r>
      <w:r w:rsidR="009F629E">
        <w:t xml:space="preserve">ing </w:t>
      </w:r>
      <w:r w:rsidR="00646FF6" w:rsidRPr="00E10F4A">
        <w:t xml:space="preserve">in interpretation of processes that drive </w:t>
      </w:r>
      <w:r w:rsidR="00646FF6">
        <w:t xml:space="preserve">both </w:t>
      </w:r>
      <w:r w:rsidR="00646FF6" w:rsidRPr="00E10F4A">
        <w:t xml:space="preserve">spatial and temporal patterns of </w:t>
      </w:r>
      <w:r w:rsidR="00646FF6">
        <w:t>sea-level</w:t>
      </w:r>
      <w:r w:rsidR="00646FF6" w:rsidRPr="00E10F4A">
        <w:t xml:space="preserve"> changes</w:t>
      </w:r>
      <w:r w:rsidR="00646FF6">
        <w:t>.</w:t>
      </w:r>
    </w:p>
    <w:p w14:paraId="499902B1" w14:textId="603B9A58" w:rsidR="00537BBB" w:rsidRDefault="00537BBB" w:rsidP="00845C15">
      <w:pPr>
        <w:jc w:val="left"/>
      </w:pPr>
    </w:p>
    <w:p w14:paraId="1C7A1988" w14:textId="77777777" w:rsidR="00AE7720" w:rsidRPr="00085860" w:rsidRDefault="00AE7720" w:rsidP="00845C15">
      <w:pPr>
        <w:pStyle w:val="Heading2"/>
        <w:jc w:val="left"/>
        <w:rPr>
          <w:b w:val="0"/>
          <w:sz w:val="28"/>
        </w:rPr>
      </w:pPr>
      <w:r w:rsidRPr="00085860">
        <w:rPr>
          <w:b w:val="0"/>
          <w:sz w:val="28"/>
        </w:rPr>
        <w:t>Results</w:t>
      </w:r>
    </w:p>
    <w:p w14:paraId="0E092828" w14:textId="4D8C5A89" w:rsidR="00537BBB" w:rsidRPr="00085860" w:rsidRDefault="0065779A" w:rsidP="00923960">
      <w:pPr>
        <w:pStyle w:val="Heading3"/>
        <w:rPr>
          <w:b w:val="0"/>
          <w:i w:val="0"/>
        </w:rPr>
      </w:pPr>
      <w:r w:rsidRPr="00085860">
        <w:rPr>
          <w:b w:val="0"/>
          <w:i w:val="0"/>
        </w:rPr>
        <w:t xml:space="preserve">Common Era </w:t>
      </w:r>
      <w:r w:rsidR="00253B6F" w:rsidRPr="00085860">
        <w:rPr>
          <w:b w:val="0"/>
          <w:i w:val="0"/>
        </w:rPr>
        <w:t>s</w:t>
      </w:r>
      <w:r w:rsidR="00C237B7" w:rsidRPr="00085860">
        <w:rPr>
          <w:b w:val="0"/>
          <w:i w:val="0"/>
        </w:rPr>
        <w:t>ea</w:t>
      </w:r>
      <w:r w:rsidR="00A766F9" w:rsidRPr="00085860">
        <w:rPr>
          <w:b w:val="0"/>
          <w:i w:val="0"/>
        </w:rPr>
        <w:t>-</w:t>
      </w:r>
      <w:r w:rsidR="0081207D" w:rsidRPr="00085860">
        <w:rPr>
          <w:b w:val="0"/>
          <w:i w:val="0"/>
        </w:rPr>
        <w:t>level</w:t>
      </w:r>
      <w:r w:rsidR="00253B6F" w:rsidRPr="00085860">
        <w:rPr>
          <w:b w:val="0"/>
          <w:i w:val="0"/>
        </w:rPr>
        <w:t xml:space="preserve"> t</w:t>
      </w:r>
      <w:r w:rsidR="00A766F9" w:rsidRPr="00085860">
        <w:rPr>
          <w:b w:val="0"/>
          <w:i w:val="0"/>
        </w:rPr>
        <w:t>rends</w:t>
      </w:r>
    </w:p>
    <w:p w14:paraId="10EFC05D" w14:textId="1C6E5CBA" w:rsidR="00CA3625" w:rsidRDefault="007F016A" w:rsidP="00BC6BE1">
      <w:pPr>
        <w:ind w:firstLine="720"/>
        <w:jc w:val="left"/>
      </w:pPr>
      <w:r>
        <w:t xml:space="preserve">To examine regional RSL </w:t>
      </w:r>
      <w:r w:rsidR="00CA3625">
        <w:t xml:space="preserve">trends </w:t>
      </w:r>
      <w:r>
        <w:t xml:space="preserve">over the Common Era for the U.S. Atlantic coast, we compare </w:t>
      </w:r>
      <w:r w:rsidR="008E0F36">
        <w:t xml:space="preserve">100-year average rates </w:t>
      </w:r>
      <w:r w:rsidR="00CA3625">
        <w:t xml:space="preserve">from Cheesequake State Park </w:t>
      </w:r>
      <w:r>
        <w:t xml:space="preserve">in northern New </w:t>
      </w:r>
      <w:r w:rsidR="00F371BC">
        <w:t>Jersey</w:t>
      </w:r>
      <w:r>
        <w:t xml:space="preserve"> to published proxy-based </w:t>
      </w:r>
      <w:r w:rsidR="00BC1A74">
        <w:t xml:space="preserve">sea-level </w:t>
      </w:r>
      <w:r>
        <w:t>reconstructions</w:t>
      </w:r>
      <w:r w:rsidR="008E0F36">
        <w:t xml:space="preserve"> </w:t>
      </w:r>
      <w:r>
        <w:t xml:space="preserve">(Figure 1a). </w:t>
      </w:r>
    </w:p>
    <w:p w14:paraId="6ED17ECC" w14:textId="05716B5A" w:rsidR="00CA3625" w:rsidRDefault="00F45841" w:rsidP="00BC6BE1">
      <w:pPr>
        <w:ind w:firstLine="720"/>
        <w:jc w:val="left"/>
      </w:pPr>
      <w:r>
        <w:t xml:space="preserve">The </w:t>
      </w:r>
      <w:r w:rsidR="00A50267">
        <w:t>last m</w:t>
      </w:r>
      <w:r w:rsidR="00CA3625">
        <w:t>illenni</w:t>
      </w:r>
      <w:r w:rsidR="009D601F">
        <w:t>um</w:t>
      </w:r>
      <w:r w:rsidR="00CA3625">
        <w:t xml:space="preserve"> </w:t>
      </w:r>
      <w:r>
        <w:t>r</w:t>
      </w:r>
      <w:r w:rsidR="004949C5">
        <w:t>econstruct</w:t>
      </w:r>
      <w:r w:rsidR="00463A85">
        <w:t>ion of</w:t>
      </w:r>
      <w:r w:rsidR="00994061">
        <w:t xml:space="preserve"> </w:t>
      </w:r>
      <w:r w:rsidR="00537BBB">
        <w:t xml:space="preserve">RSL </w:t>
      </w:r>
      <w:r w:rsidR="007E53F6">
        <w:t>from</w:t>
      </w:r>
      <w:r w:rsidR="00537BBB">
        <w:t xml:space="preserve"> </w:t>
      </w:r>
      <w:r w:rsidR="00720B1E">
        <w:t xml:space="preserve">northern New Jersey </w:t>
      </w:r>
      <w:r w:rsidR="002A6E4D">
        <w:t>(Figure 1d</w:t>
      </w:r>
      <w:r w:rsidR="00DF67B4">
        <w:t>, Supplementary Figure</w:t>
      </w:r>
      <w:r w:rsidR="006F5EEC">
        <w:t>s</w:t>
      </w:r>
      <w:r w:rsidR="00DF67B4">
        <w:t xml:space="preserve"> </w:t>
      </w:r>
      <w:r w:rsidR="006F5EEC">
        <w:t>1-</w:t>
      </w:r>
      <w:r w:rsidR="00DF67B4">
        <w:t>9</w:t>
      </w:r>
      <w:r w:rsidR="002926D9">
        <w:t>)</w:t>
      </w:r>
      <w:r w:rsidR="00FF3CC8">
        <w:t xml:space="preserve"> </w:t>
      </w:r>
      <w:r w:rsidR="00463A85">
        <w:t>reveals</w:t>
      </w:r>
      <w:r w:rsidR="00FF3CC8">
        <w:t xml:space="preserve"> </w:t>
      </w:r>
      <w:r w:rsidR="00C17E72">
        <w:t xml:space="preserve">that </w:t>
      </w:r>
      <w:r w:rsidR="00537BBB">
        <w:t xml:space="preserve">RSL </w:t>
      </w:r>
      <w:r w:rsidR="00920AC3">
        <w:t xml:space="preserve">rose </w:t>
      </w:r>
      <w:r w:rsidR="00537BBB">
        <w:t>c</w:t>
      </w:r>
      <w:r w:rsidR="008E6985">
        <w:t xml:space="preserve">ontinuously </w:t>
      </w:r>
      <w:r w:rsidR="00A708F9">
        <w:t>from 1000-2000 CE</w:t>
      </w:r>
      <w:r w:rsidR="00537BBB">
        <w:t xml:space="preserve"> </w:t>
      </w:r>
      <w:r w:rsidR="00A708F9">
        <w:t>at a</w:t>
      </w:r>
      <w:r w:rsidR="009D601F">
        <w:t>n average</w:t>
      </w:r>
      <w:r w:rsidR="00A708F9">
        <w:t xml:space="preserve"> rate of</w:t>
      </w:r>
      <w:r w:rsidR="008E6985">
        <w:t xml:space="preserve"> 1.</w:t>
      </w:r>
      <w:r w:rsidR="005849FB">
        <w:t>5</w:t>
      </w:r>
      <w:r w:rsidR="00537BBB">
        <w:t xml:space="preserve"> </w:t>
      </w:r>
      <w:r w:rsidR="005849FB">
        <w:t>± 0.</w:t>
      </w:r>
      <w:r w:rsidR="00551805">
        <w:t>2</w:t>
      </w:r>
      <w:r w:rsidR="00C70A0E">
        <w:t xml:space="preserve"> </w:t>
      </w:r>
      <w:r w:rsidR="00AE7551" w:rsidRPr="00B9538C">
        <w:t>m</w:t>
      </w:r>
      <w:r w:rsidR="00AE7551">
        <w:t xml:space="preserve">m </w:t>
      </w:r>
      <w:r w:rsidR="00AE7551" w:rsidRPr="00B9538C">
        <w:t>yr</w:t>
      </w:r>
      <w:r w:rsidR="00AE7551" w:rsidRPr="00E86180">
        <w:rPr>
          <w:vertAlign w:val="superscript"/>
        </w:rPr>
        <w:t>-1</w:t>
      </w:r>
      <w:r w:rsidR="00C70A0E">
        <w:t xml:space="preserve"> (</w:t>
      </w:r>
      <w:r w:rsidR="00551805">
        <w:t>2</w:t>
      </w:r>
      <w:r w:rsidR="00C70A0E">
        <w:t>σ)</w:t>
      </w:r>
      <w:r w:rsidR="00A708F9">
        <w:t>.</w:t>
      </w:r>
      <w:r w:rsidR="00E37C58">
        <w:t xml:space="preserve"> </w:t>
      </w:r>
      <w:r w:rsidR="00A708F9">
        <w:t xml:space="preserve">Over the pre-industrial Common Era from 0-1700 CE, </w:t>
      </w:r>
      <w:r w:rsidR="00ED1689">
        <w:t xml:space="preserve">RSL in northern New Jersey rose at a rate of 1.3 ± 0.2 </w:t>
      </w:r>
      <w:r w:rsidR="00AE7551" w:rsidRPr="00B9538C">
        <w:t>m</w:t>
      </w:r>
      <w:r w:rsidR="00AE7551">
        <w:t xml:space="preserve">m </w:t>
      </w:r>
      <w:r w:rsidR="00AE7551" w:rsidRPr="00B9538C">
        <w:t>yr</w:t>
      </w:r>
      <w:r w:rsidR="00AE7551" w:rsidRPr="00E86180">
        <w:rPr>
          <w:vertAlign w:val="superscript"/>
        </w:rPr>
        <w:t>-1</w:t>
      </w:r>
      <w:r w:rsidR="009D601F">
        <w:t xml:space="preserve">. This </w:t>
      </w:r>
      <w:r w:rsidR="00501BB6">
        <w:t xml:space="preserve">rate </w:t>
      </w:r>
      <w:r w:rsidR="009D601F">
        <w:t xml:space="preserve">is consistent with </w:t>
      </w:r>
      <w:r w:rsidR="00463A85">
        <w:t xml:space="preserve">the </w:t>
      </w:r>
      <w:r w:rsidR="00463A85">
        <w:rPr>
          <w:szCs w:val="24"/>
        </w:rPr>
        <w:t>spatial gradient</w:t>
      </w:r>
      <w:r w:rsidR="00463A85">
        <w:t xml:space="preserve"> </w:t>
      </w:r>
      <w:r w:rsidR="00F90E71">
        <w:rPr>
          <w:szCs w:val="24"/>
        </w:rPr>
        <w:t>from</w:t>
      </w:r>
      <w:r w:rsidR="006A33F9">
        <w:rPr>
          <w:szCs w:val="24"/>
        </w:rPr>
        <w:t xml:space="preserve"> </w:t>
      </w:r>
      <w:r w:rsidR="008A7D63">
        <w:rPr>
          <w:szCs w:val="24"/>
        </w:rPr>
        <w:t xml:space="preserve">the </w:t>
      </w:r>
      <w:r w:rsidR="006A33F9">
        <w:rPr>
          <w:szCs w:val="24"/>
        </w:rPr>
        <w:t>other U.S. Atlantic coast sites</w:t>
      </w:r>
      <w:r w:rsidR="00FF3CC8">
        <w:rPr>
          <w:szCs w:val="24"/>
        </w:rPr>
        <w:t>,</w:t>
      </w:r>
      <w:r w:rsidR="00AE1671">
        <w:rPr>
          <w:szCs w:val="24"/>
        </w:rPr>
        <w:t xml:space="preserve"> with the fastest rates of rise occurring in southern New Jersey </w:t>
      </w:r>
      <w:r w:rsidR="00531C6F">
        <w:rPr>
          <w:szCs w:val="24"/>
        </w:rPr>
        <w:t xml:space="preserve">with </w:t>
      </w:r>
      <w:r w:rsidR="00AE1671" w:rsidRPr="00436629">
        <w:rPr>
          <w:szCs w:val="24"/>
        </w:rPr>
        <w:t>1.</w:t>
      </w:r>
      <w:r w:rsidR="00C51A06">
        <w:rPr>
          <w:szCs w:val="24"/>
        </w:rPr>
        <w:t>6</w:t>
      </w:r>
      <w:r w:rsidR="00AE1671" w:rsidRPr="00436629">
        <w:rPr>
          <w:szCs w:val="24"/>
        </w:rPr>
        <w:t xml:space="preserve"> </w:t>
      </w:r>
      <w:r w:rsidR="00AE1671" w:rsidRPr="00436629">
        <w:t>± 0.</w:t>
      </w:r>
      <w:r w:rsidR="007E46DB">
        <w:t>1</w:t>
      </w:r>
      <w:r w:rsidR="00AE1671" w:rsidRPr="00436629">
        <w:t xml:space="preserve"> </w:t>
      </w:r>
      <w:r w:rsidR="00AE7551" w:rsidRPr="00B9538C">
        <w:t>m</w:t>
      </w:r>
      <w:r w:rsidR="00AE7551">
        <w:t xml:space="preserve">m </w:t>
      </w:r>
      <w:r w:rsidR="00AE7551" w:rsidRPr="00B9538C">
        <w:t>yr</w:t>
      </w:r>
      <w:r w:rsidR="00AE7551" w:rsidRPr="00E86180">
        <w:rPr>
          <w:vertAlign w:val="superscript"/>
        </w:rPr>
        <w:t>-1</w:t>
      </w:r>
      <w:r w:rsidR="00AE1671">
        <w:t xml:space="preserve"> at </w:t>
      </w:r>
      <w:r w:rsidR="00AE1671" w:rsidRPr="00436629">
        <w:t>Leeds Point</w:t>
      </w:r>
      <w:r w:rsidR="00720B1E">
        <w:t xml:space="preserve"> (LP)</w:t>
      </w:r>
      <w:r w:rsidR="00AE1671" w:rsidRPr="00436629">
        <w:t xml:space="preserve"> and </w:t>
      </w:r>
      <w:r w:rsidR="00AE1671" w:rsidRPr="00436629">
        <w:rPr>
          <w:szCs w:val="24"/>
        </w:rPr>
        <w:t>1.</w:t>
      </w:r>
      <w:r w:rsidR="00C51A06">
        <w:rPr>
          <w:szCs w:val="24"/>
        </w:rPr>
        <w:t>5</w:t>
      </w:r>
      <w:r w:rsidR="00AE1671" w:rsidRPr="00436629">
        <w:rPr>
          <w:szCs w:val="24"/>
        </w:rPr>
        <w:t xml:space="preserve"> </w:t>
      </w:r>
      <w:r w:rsidR="00AE1671" w:rsidRPr="00436629">
        <w:t xml:space="preserve">± 0.1 </w:t>
      </w:r>
      <w:r w:rsidR="00AE7551" w:rsidRPr="00B9538C">
        <w:t>m</w:t>
      </w:r>
      <w:r w:rsidR="00AE7551">
        <w:t xml:space="preserve">m </w:t>
      </w:r>
      <w:r w:rsidR="00AE7551" w:rsidRPr="00B9538C">
        <w:t>yr</w:t>
      </w:r>
      <w:r w:rsidR="00AE7551" w:rsidRPr="00E86180">
        <w:rPr>
          <w:vertAlign w:val="superscript"/>
        </w:rPr>
        <w:t>-1</w:t>
      </w:r>
      <w:r w:rsidR="00AE1671" w:rsidRPr="00436629">
        <w:t xml:space="preserve"> </w:t>
      </w:r>
      <w:r w:rsidR="00AE1671">
        <w:t xml:space="preserve">at Cape </w:t>
      </w:r>
      <w:r w:rsidR="00AE1671">
        <w:lastRenderedPageBreak/>
        <w:t>May Courthouse</w:t>
      </w:r>
      <w:r w:rsidR="00720B1E">
        <w:t xml:space="preserve"> (CMC)</w:t>
      </w:r>
      <w:r w:rsidR="0065500A">
        <w:t xml:space="preserve"> (Figure 2)</w:t>
      </w:r>
      <w:r w:rsidR="007E46DB">
        <w:t>.</w:t>
      </w:r>
      <w:r w:rsidR="00D75047">
        <w:t xml:space="preserve"> </w:t>
      </w:r>
      <w:r w:rsidR="00AA03B4">
        <w:t>In New York City, the</w:t>
      </w:r>
      <w:r w:rsidR="00F51A5C">
        <w:t xml:space="preserve">re were </w:t>
      </w:r>
      <w:r w:rsidR="00AA03B4">
        <w:t xml:space="preserve">slightly slower rates of rise </w:t>
      </w:r>
      <w:r w:rsidR="008A7D63">
        <w:t xml:space="preserve">of </w:t>
      </w:r>
      <w:r w:rsidR="008A7D63">
        <w:rPr>
          <w:szCs w:val="24"/>
        </w:rPr>
        <w:t xml:space="preserve">1.2 </w:t>
      </w:r>
      <w:r w:rsidR="008A7D63">
        <w:t xml:space="preserve">± 0.1 </w:t>
      </w:r>
      <w:r w:rsidR="00AE7551" w:rsidRPr="00B9538C">
        <w:t>m</w:t>
      </w:r>
      <w:r w:rsidR="00AE7551">
        <w:t xml:space="preserve">m </w:t>
      </w:r>
      <w:r w:rsidR="00AE7551" w:rsidRPr="00B9538C">
        <w:t>yr</w:t>
      </w:r>
      <w:r w:rsidR="00AE7551" w:rsidRPr="00E86180">
        <w:rPr>
          <w:vertAlign w:val="superscript"/>
        </w:rPr>
        <w:t>-1</w:t>
      </w:r>
      <w:r w:rsidR="00CD7797">
        <w:t>,</w:t>
      </w:r>
      <w:r w:rsidR="008A7D63">
        <w:t xml:space="preserve"> </w:t>
      </w:r>
      <w:r w:rsidR="005A67D1">
        <w:t>and the slowest rates of rise occurred in</w:t>
      </w:r>
      <w:r w:rsidR="00AA03B4">
        <w:t xml:space="preserve"> </w:t>
      </w:r>
      <w:r w:rsidR="006914FB">
        <w:rPr>
          <w:szCs w:val="24"/>
        </w:rPr>
        <w:t xml:space="preserve">Connecticut and North Carolina </w:t>
      </w:r>
      <w:r w:rsidR="005A67D1">
        <w:rPr>
          <w:szCs w:val="24"/>
        </w:rPr>
        <w:t>with</w:t>
      </w:r>
      <w:r w:rsidR="006914FB">
        <w:rPr>
          <w:szCs w:val="24"/>
        </w:rPr>
        <w:t xml:space="preserve"> 1.</w:t>
      </w:r>
      <w:r w:rsidR="00C51A06">
        <w:rPr>
          <w:szCs w:val="24"/>
        </w:rPr>
        <w:t>0</w:t>
      </w:r>
      <w:r w:rsidR="006914FB">
        <w:rPr>
          <w:szCs w:val="24"/>
        </w:rPr>
        <w:t xml:space="preserve"> </w:t>
      </w:r>
      <w:r w:rsidR="006914FB">
        <w:t>± 0.1 and 1.</w:t>
      </w:r>
      <w:r w:rsidR="00C51A06">
        <w:t>1</w:t>
      </w:r>
      <w:r w:rsidR="006914FB">
        <w:t xml:space="preserve"> ± 0.1</w:t>
      </w:r>
      <w:r w:rsidR="00776D86">
        <w:t xml:space="preserve"> </w:t>
      </w:r>
      <w:r w:rsidR="00AE7551" w:rsidRPr="00B9538C">
        <w:t>m</w:t>
      </w:r>
      <w:r w:rsidR="00AE7551">
        <w:t xml:space="preserve">m </w:t>
      </w:r>
      <w:r w:rsidR="00AE7551" w:rsidRPr="00B9538C">
        <w:t>yr</w:t>
      </w:r>
      <w:r w:rsidR="00AE7551" w:rsidRPr="00E86180">
        <w:rPr>
          <w:vertAlign w:val="superscript"/>
        </w:rPr>
        <w:t>-1</w:t>
      </w:r>
      <w:r w:rsidR="006914FB">
        <w:t xml:space="preserve">, respectively. </w:t>
      </w:r>
      <w:r w:rsidR="004D04AD">
        <w:t xml:space="preserve">The spatial gradient of Common Era </w:t>
      </w:r>
      <w:r w:rsidR="00F6755B">
        <w:t xml:space="preserve">RSL </w:t>
      </w:r>
      <w:r w:rsidR="004D04AD">
        <w:t>rates</w:t>
      </w:r>
      <w:r w:rsidR="00F6755B">
        <w:t xml:space="preserve"> is a result of each location’s </w:t>
      </w:r>
      <w:r w:rsidR="009D601F">
        <w:t xml:space="preserve">position relative to the time-evolving position </w:t>
      </w:r>
      <w:r w:rsidR="00F6755B">
        <w:t xml:space="preserve">of the </w:t>
      </w:r>
      <w:r w:rsidR="00501BB6">
        <w:t xml:space="preserve">former </w:t>
      </w:r>
      <w:r w:rsidR="00F6755B">
        <w:t>Laurentide Ice Sheet</w:t>
      </w:r>
      <w:r w:rsidR="003F336C">
        <w:t xml:space="preserve"> </w:t>
      </w:r>
      <w:r w:rsidR="00324297">
        <w:fldChar w:fldCharType="begin"/>
      </w:r>
      <w:r w:rsidR="002A7AC0">
        <w:instrText xml:space="preserve"> ADDIN ZOTERO_ITEM CSL_CITATION {"citationID":"YFNHMrMi","properties":{"unsorted":true,"formattedCitation":"\\super 13\\nosupersub{}","plainCitation":"13","noteIndex":0},"citationItems":[{"id":294,"uris":["http://zotero.org/users/local/XxmvPi45/items/KM5YLGWU"],"uri":["http://zotero.org/users/local/XxmvPi45/items/KM5YLGWU"],"itemData":{"id":294,"type":"article-journal","abstract":"We determine the contribution of glacial isostatic adjustment (GIA) to future relative sea-level change for the North American coastline between Newfoundland and Texas. We infer GIA model parameters using recently compiled and quality-assessed databases of past sea-level changes, including new databases for the United States Gulf Coast and Atlantic Canada. At 13 cities along this coastline, we estimate the GIA contribution to range from a few centimeters (e.g., 3 [−1 to 9] cm Miami) to a few decimeters (e.g., 18 [12–22] cm, Halifax) for the period 2085–2100 relative to 2006–2015 (1−</w:instrText>
      </w:r>
      <w:r w:rsidR="002A7AC0">
        <w:rPr>
          <w:rFonts w:ascii="Tahoma" w:hAnsi="Tahoma" w:cs="Tahoma"/>
        </w:rPr>
        <w:instrText>������</w:instrText>
      </w:r>
      <w:r w:rsidR="002A7AC0">
        <w:instrText xml:space="preserve"> ranges given). We provide estimates of uncertainty in the GIA component using two diﬀerent methods; the more conservative approach produces total ranges (1−</w:instrText>
      </w:r>
      <w:r w:rsidR="002A7AC0">
        <w:rPr>
          <w:rFonts w:ascii="Tahoma" w:hAnsi="Tahoma" w:cs="Tahoma"/>
        </w:rPr>
        <w:instrText>������</w:instrText>
      </w:r>
      <w:r w:rsidR="002A7AC0">
        <w:instrText xml:space="preserve"> conﬁdence) that vary from 3 to 16 cm for the cities considered. Contributions from ocean steric and dynamic changes as well as those from changes in land ice are also estimated to provide context for the GIA projections. When summing the contributions from all three processes at the 13 cities considered along this coastline, using median or best-estimate values, the GIA signal comprises 5–38% of the total depending on the adopted climate forcing and location.","container-title":"Earth's Future","DOI":"10.1002/2016EF000363","ISSN":"23284277","issue":"10","language":"en","page":"440-464","source":"Crossref","title":"The contribution of glacial isostatic adjustment to projections of sea-level change along the Atlantic and Gulf coasts of North America: GIA AND FUTURE SEA-LEVEL CHANGE","title-short":"The contribution of glacial isostatic adjustment to projections of sea-level change along the Atlantic and Gulf coasts of North America","volume":"4","author":[{"family":"Love","given":"Ryan"},{"family":"Milne","given":"Glenn A."},{"family":"Tarasov","given":"Lev"},{"family":"Engelhart","given":"Simon E."},{"family":"Hijma","given":"Marc P."},{"family":"Latychev","given":"Konstantin"},{"family":"Horton","given":"Benjamin P."},{"family":"Törnqvist","given":"Torbjörn E."}],"issued":{"date-parts":[["2016",10]]}},"label":"page"}],"schema":"https://github.com/citation-style-language/schema/raw/master/csl-citation.json"} </w:instrText>
      </w:r>
      <w:r w:rsidR="00324297">
        <w:fldChar w:fldCharType="separate"/>
      </w:r>
      <w:r w:rsidR="002A7AC0" w:rsidRPr="002A7AC0">
        <w:rPr>
          <w:szCs w:val="24"/>
          <w:vertAlign w:val="superscript"/>
        </w:rPr>
        <w:t>13</w:t>
      </w:r>
      <w:r w:rsidR="00324297">
        <w:fldChar w:fldCharType="end"/>
      </w:r>
      <w:r w:rsidR="00CA3625">
        <w:t>.</w:t>
      </w:r>
      <w:r w:rsidR="00F6755B">
        <w:t xml:space="preserve"> </w:t>
      </w:r>
    </w:p>
    <w:p w14:paraId="759769AB" w14:textId="212FCFDC" w:rsidR="00E215EA" w:rsidRPr="00506EAC" w:rsidRDefault="00D17BDB" w:rsidP="00BC6BE1">
      <w:pPr>
        <w:ind w:firstLine="720"/>
        <w:jc w:val="left"/>
      </w:pPr>
      <w:r>
        <w:t>The reconstructions o</w:t>
      </w:r>
      <w:r w:rsidR="006352F7">
        <w:t>ver the last 300 years</w:t>
      </w:r>
      <w:r>
        <w:t xml:space="preserve"> show elevated RSL</w:t>
      </w:r>
      <w:r w:rsidR="006352F7">
        <w:t xml:space="preserve"> rates at all six sites, ranging from 1.7 ± 0.3 </w:t>
      </w:r>
      <w:r w:rsidR="00AE7551" w:rsidRPr="00B9538C">
        <w:t>m</w:t>
      </w:r>
      <w:r w:rsidR="00AE7551">
        <w:t xml:space="preserve">m </w:t>
      </w:r>
      <w:r w:rsidR="00AE7551" w:rsidRPr="00B9538C">
        <w:t>yr</w:t>
      </w:r>
      <w:r w:rsidR="00AE7551" w:rsidRPr="00E86180">
        <w:rPr>
          <w:vertAlign w:val="superscript"/>
        </w:rPr>
        <w:t>-1</w:t>
      </w:r>
      <w:r w:rsidR="006352F7">
        <w:t xml:space="preserve"> in C</w:t>
      </w:r>
      <w:r w:rsidR="00720B1E">
        <w:t xml:space="preserve">onnecticut to 2.5 ± 0.3 </w:t>
      </w:r>
      <w:r w:rsidR="00AE7551" w:rsidRPr="00B9538C">
        <w:t>m</w:t>
      </w:r>
      <w:r w:rsidR="00AE7551">
        <w:t xml:space="preserve">m </w:t>
      </w:r>
      <w:r w:rsidR="00AE7551" w:rsidRPr="00B9538C">
        <w:t>yr</w:t>
      </w:r>
      <w:r w:rsidR="00AE7551" w:rsidRPr="00E86180">
        <w:rPr>
          <w:vertAlign w:val="superscript"/>
        </w:rPr>
        <w:t>-1</w:t>
      </w:r>
      <w:r w:rsidR="00720B1E">
        <w:t xml:space="preserve"> in southern New Jersey (CMC).</w:t>
      </w:r>
      <w:r w:rsidR="006352F7">
        <w:t xml:space="preserve"> </w:t>
      </w:r>
      <w:r w:rsidR="006A33F9">
        <w:t xml:space="preserve">It is </w:t>
      </w:r>
      <w:r w:rsidR="00F70D5A">
        <w:t>extremely likely</w:t>
      </w:r>
      <w:r w:rsidR="006A33F9">
        <w:t xml:space="preserve"> (probability </w:t>
      </w:r>
      <w:r w:rsidR="006A33F9" w:rsidRPr="00980F6A">
        <w:rPr>
          <w:i/>
        </w:rPr>
        <w:t>P</w:t>
      </w:r>
      <w:r w:rsidR="006A33F9">
        <w:t xml:space="preserve"> ≥ 0.98) that the average rate of rise from 1700-2000 CE at all six sites </w:t>
      </w:r>
      <w:r w:rsidR="00A766F9">
        <w:t xml:space="preserve">was </w:t>
      </w:r>
      <w:r w:rsidR="006A33F9">
        <w:t xml:space="preserve">faster than </w:t>
      </w:r>
      <w:r w:rsidR="006352F7">
        <w:t xml:space="preserve">during </w:t>
      </w:r>
      <w:r w:rsidR="006A33F9">
        <w:t xml:space="preserve">any preceding </w:t>
      </w:r>
      <w:r w:rsidR="004B65C2">
        <w:t>300-year period during the pre-i</w:t>
      </w:r>
      <w:r w:rsidR="006A33F9">
        <w:t>ndustrial Common Era (0-1700 CE).</w:t>
      </w:r>
      <w:r w:rsidR="00506EAC">
        <w:t xml:space="preserve"> </w:t>
      </w:r>
      <w:r w:rsidR="008A7D63">
        <w:t>Furthermore</w:t>
      </w:r>
      <w:r w:rsidR="00506EAC">
        <w:t>,</w:t>
      </w:r>
      <w:r w:rsidR="00F70D5A">
        <w:t xml:space="preserve"> it is virtually certain (</w:t>
      </w:r>
      <w:r w:rsidR="00F70D5A" w:rsidRPr="00980F6A">
        <w:rPr>
          <w:i/>
        </w:rPr>
        <w:t>P</w:t>
      </w:r>
      <w:r w:rsidR="00F70D5A">
        <w:t xml:space="preserve"> &gt; 0.99) that</w:t>
      </w:r>
      <w:r w:rsidR="006A33F9">
        <w:t xml:space="preserve"> </w:t>
      </w:r>
      <w:r w:rsidR="00506EAC">
        <w:t>the 20</w:t>
      </w:r>
      <w:r w:rsidR="00506EAC" w:rsidRPr="00F90E71">
        <w:rPr>
          <w:vertAlign w:val="superscript"/>
        </w:rPr>
        <w:t>th</w:t>
      </w:r>
      <w:r w:rsidR="00506EAC">
        <w:t xml:space="preserve"> century rate of rise at all six sites was faster than during any preceding century in the Common Era.</w:t>
      </w:r>
      <w:r w:rsidR="00506EAC" w:rsidRPr="00506EAC" w:rsidDel="00506EAC">
        <w:t xml:space="preserve"> </w:t>
      </w:r>
    </w:p>
    <w:p w14:paraId="5B7842E6" w14:textId="57D5AA06" w:rsidR="00920EBD" w:rsidRDefault="004D6A8C" w:rsidP="00BC6BE1">
      <w:pPr>
        <w:ind w:firstLine="720"/>
        <w:jc w:val="left"/>
      </w:pPr>
      <w:r w:rsidRPr="00C069D2">
        <w:t xml:space="preserve">The </w:t>
      </w:r>
      <w:r>
        <w:t>updated global database of instrumental and proxy records of the Common Era</w:t>
      </w:r>
      <w:r w:rsidR="00BA7268">
        <w:t xml:space="preserve"> (Figure 3a)</w:t>
      </w:r>
      <w:r w:rsidRPr="00C069D2">
        <w:t xml:space="preserve"> </w:t>
      </w:r>
      <w:r w:rsidR="00C460E3">
        <w:t xml:space="preserve">illustrates </w:t>
      </w:r>
      <w:r w:rsidR="009E0025">
        <w:t xml:space="preserve">a </w:t>
      </w:r>
      <w:r w:rsidR="00C460E3">
        <w:t>global</w:t>
      </w:r>
      <w:r w:rsidR="009E0025">
        <w:t>-scale component</w:t>
      </w:r>
      <w:r w:rsidR="00DE4EDD">
        <w:t>, or globally uniform signal,</w:t>
      </w:r>
      <w:r w:rsidR="009E0025">
        <w:t xml:space="preserve"> of RSL</w:t>
      </w:r>
      <w:r w:rsidR="00C460E3">
        <w:t xml:space="preserve"> </w:t>
      </w:r>
      <w:r w:rsidR="00C460E3" w:rsidRPr="00C069D2">
        <w:t xml:space="preserve">trends </w:t>
      </w:r>
      <w:r w:rsidR="00C460E3">
        <w:t xml:space="preserve">similar </w:t>
      </w:r>
      <w:r w:rsidR="00C460E3" w:rsidRPr="00C069D2">
        <w:t xml:space="preserve">to </w:t>
      </w:r>
      <w:r w:rsidR="00F952A1">
        <w:t>previous</w:t>
      </w:r>
      <w:r w:rsidR="00C460E3" w:rsidRPr="00C069D2">
        <w:t xml:space="preserve"> results</w:t>
      </w:r>
      <w:r w:rsidR="00F952A1">
        <w:t xml:space="preserve"> </w:t>
      </w:r>
      <w:r w:rsidR="00F952A1">
        <w:fldChar w:fldCharType="begin"/>
      </w:r>
      <w:r w:rsidR="002A7AC0">
        <w:instrText xml:space="preserve"> ADDIN ZOTERO_ITEM CSL_CITATION {"citationID":"69uXXlJb","properties":{"unsorted":true,"formattedCitation":"\\super 11,16\\nosupersub{}","plainCitation":"11,16","noteIndex":0},"citationItems":[{"id":261,"uris":["http://zotero.org/users/local/XxmvPi45/items/6B2CJCNF"],"uri":["http://zotero.org/users/local/XxmvPi45/items/6B2CJCNF"],"itemData":{"id":261,"type":"article-journal","container-title":"Proceedings of the National Academy of Sciences","DOI":"10.1073/pnas.1517056113","ISSN":"0027-8424, 1091-6490","issue":"11","language":"en","page":"E1434-E1441","source":"Crossref","title":"Temperature-driven global sea-level variability in the Common Era","volume":"113","author":[{"family":"Kopp","given":"Robert E."},{"family":"Kemp","given":"Andrew C."},{"family":"Bittermann","given":"Klaus"},{"family":"Horton","given":"Benjamin P."},{"family":"Donnelly","given":"Jeffrey P."},{"family":"Gehrels","given":"W. Roland"},{"family":"Hay","given":"Carling C."},{"family":"Mitrovica","given":"Jerry X."},{"family":"Morrow","given":"Eric D."},{"family":"Rahmstorf","given":"Stefan"}],"issued":{"date-parts":[["2016",3,15]]}},"label":"page"},{"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A7AC0">
        <w:rPr>
          <w:rFonts w:ascii="Cambria Math" w:hAnsi="Cambria Math" w:cs="Cambria Math"/>
        </w:rPr>
        <w:instrText>∼</w:instrText>
      </w:r>
      <w:r w:rsidR="002A7AC0">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de"}],"issued":{"date-parts":[["2018",12]]}},"label":"page"}],"schema":"https://github.com/citation-style-language/schema/raw/master/csl-citation.json"} </w:instrText>
      </w:r>
      <w:r w:rsidR="00F952A1">
        <w:fldChar w:fldCharType="separate"/>
      </w:r>
      <w:r w:rsidR="002A7AC0" w:rsidRPr="002A7AC0">
        <w:rPr>
          <w:szCs w:val="24"/>
          <w:vertAlign w:val="superscript"/>
        </w:rPr>
        <w:t>11,16</w:t>
      </w:r>
      <w:r w:rsidR="00F952A1">
        <w:fldChar w:fldCharType="end"/>
      </w:r>
      <w:r w:rsidR="00AF68C4">
        <w:t>.</w:t>
      </w:r>
      <w:r w:rsidR="00C460E3" w:rsidRPr="00C069D2">
        <w:t xml:space="preserve"> </w:t>
      </w:r>
      <w:r w:rsidR="009E0025">
        <w:t>Global sea level</w:t>
      </w:r>
      <w:r w:rsidR="000A7DE4">
        <w:t xml:space="preserve"> </w:t>
      </w:r>
      <w:r w:rsidRPr="00C069D2">
        <w:t>gradually rose from 0 to</w:t>
      </w:r>
      <w:r>
        <w:t xml:space="preserve"> 500 CE at a rate of 0.1</w:t>
      </w:r>
      <w:r w:rsidRPr="00C069D2">
        <w:t xml:space="preserve"> ± 0</w:t>
      </w:r>
      <w:r>
        <w:t>.</w:t>
      </w:r>
      <w:r w:rsidR="0051562B">
        <w:t>1</w:t>
      </w:r>
      <w:r w:rsidRPr="00C069D2">
        <w:t xml:space="preserve"> </w:t>
      </w:r>
      <w:r w:rsidR="00AE7551" w:rsidRPr="00B9538C">
        <w:t>m</w:t>
      </w:r>
      <w:r w:rsidR="00AE7551">
        <w:t xml:space="preserve">m </w:t>
      </w:r>
      <w:r w:rsidR="00AE7551" w:rsidRPr="00B9538C">
        <w:t>yr</w:t>
      </w:r>
      <w:r w:rsidR="00AE7551" w:rsidRPr="00E86180">
        <w:rPr>
          <w:vertAlign w:val="superscript"/>
        </w:rPr>
        <w:t>-1</w:t>
      </w:r>
      <w:r>
        <w:t xml:space="preserve"> (1σ)</w:t>
      </w:r>
      <w:r w:rsidRPr="00C069D2">
        <w:t>, but then gradually fell from 500 to 1300 CE at a rate of -0.1 ± 0.</w:t>
      </w:r>
      <w:r w:rsidR="0051562B">
        <w:t>1</w:t>
      </w:r>
      <w:r w:rsidRPr="00C069D2">
        <w:t xml:space="preserve"> </w:t>
      </w:r>
      <w:r w:rsidR="00AE7551" w:rsidRPr="00B9538C">
        <w:t>m</w:t>
      </w:r>
      <w:r w:rsidR="00AE7551">
        <w:t xml:space="preserve">m </w:t>
      </w:r>
      <w:r w:rsidR="00AE7551" w:rsidRPr="00B9538C">
        <w:t>yr</w:t>
      </w:r>
      <w:r w:rsidR="00AE7551" w:rsidRPr="00E86180">
        <w:rPr>
          <w:vertAlign w:val="superscript"/>
        </w:rPr>
        <w:t>-1</w:t>
      </w:r>
      <w:r>
        <w:t xml:space="preserve"> (Figure 3b)</w:t>
      </w:r>
      <w:r w:rsidR="009E0025">
        <w:t>. It</w:t>
      </w:r>
      <w:r w:rsidRPr="00C069D2">
        <w:t xml:space="preserve"> then rose from 1300 to 1600 CE </w:t>
      </w:r>
      <w:r>
        <w:t xml:space="preserve">at a rate of </w:t>
      </w:r>
      <w:r w:rsidRPr="00C069D2">
        <w:t>0.1 ± 0.</w:t>
      </w:r>
      <w:r>
        <w:t>2</w:t>
      </w:r>
      <w:r w:rsidRPr="00C069D2">
        <w:t xml:space="preserve"> </w:t>
      </w:r>
      <w:r w:rsidR="00AE7551" w:rsidRPr="00B9538C">
        <w:t>m</w:t>
      </w:r>
      <w:r w:rsidR="00AE7551">
        <w:t xml:space="preserve">m </w:t>
      </w:r>
      <w:r w:rsidR="00AE7551" w:rsidRPr="00B9538C">
        <w:t>yr</w:t>
      </w:r>
      <w:r w:rsidR="00AE7551" w:rsidRPr="00E86180">
        <w:rPr>
          <w:vertAlign w:val="superscript"/>
        </w:rPr>
        <w:t>-1</w:t>
      </w:r>
      <w:r w:rsidRPr="00C069D2">
        <w:t xml:space="preserve"> and fell </w:t>
      </w:r>
      <w:r w:rsidR="00030B98">
        <w:t xml:space="preserve">again </w:t>
      </w:r>
      <w:r w:rsidRPr="00C069D2">
        <w:t>from 1600 to 1800 CE</w:t>
      </w:r>
      <w:r>
        <w:t xml:space="preserve"> at a rate of </w:t>
      </w:r>
      <w:r w:rsidRPr="00C069D2">
        <w:t>-0.1 ± 0.</w:t>
      </w:r>
      <w:r>
        <w:t>2</w:t>
      </w:r>
      <w:r w:rsidRPr="00C069D2">
        <w:t xml:space="preserve"> </w:t>
      </w:r>
      <w:r w:rsidR="00AE7551" w:rsidRPr="00B9538C">
        <w:t>m</w:t>
      </w:r>
      <w:r w:rsidR="00AE7551">
        <w:t xml:space="preserve">m </w:t>
      </w:r>
      <w:r w:rsidR="00AE7551" w:rsidRPr="00B9538C">
        <w:t>yr</w:t>
      </w:r>
      <w:r w:rsidR="00AE7551" w:rsidRPr="00E86180">
        <w:rPr>
          <w:vertAlign w:val="superscript"/>
        </w:rPr>
        <w:t>-1</w:t>
      </w:r>
      <w:r w:rsidRPr="00C069D2">
        <w:t>.</w:t>
      </w:r>
      <w:r>
        <w:t xml:space="preserve"> </w:t>
      </w:r>
      <w:r w:rsidR="009E0025">
        <w:t>Global sea</w:t>
      </w:r>
      <w:r w:rsidR="00030B98">
        <w:t>-</w:t>
      </w:r>
      <w:r w:rsidR="009E0025">
        <w:t>level</w:t>
      </w:r>
      <w:r w:rsidRPr="00C069D2">
        <w:t xml:space="preserve"> rise </w:t>
      </w:r>
      <w:r w:rsidR="009D601F">
        <w:t>beginning in the 19</w:t>
      </w:r>
      <w:r w:rsidR="009D601F" w:rsidRPr="00980F6A">
        <w:rPr>
          <w:vertAlign w:val="superscript"/>
        </w:rPr>
        <w:t>th</w:t>
      </w:r>
      <w:r w:rsidR="009D601F">
        <w:t xml:space="preserve"> century </w:t>
      </w:r>
      <w:r>
        <w:t>reach</w:t>
      </w:r>
      <w:r w:rsidR="009D601F">
        <w:t>ed</w:t>
      </w:r>
      <w:r>
        <w:t xml:space="preserve"> a</w:t>
      </w:r>
      <w:r w:rsidR="009D601F">
        <w:t>n average</w:t>
      </w:r>
      <w:r>
        <w:t xml:space="preserve"> rate of 1.3</w:t>
      </w:r>
      <w:r w:rsidRPr="00C069D2">
        <w:t xml:space="preserve"> ± 0.1 </w:t>
      </w:r>
      <w:r w:rsidR="00AE7551" w:rsidRPr="00B9538C">
        <w:t>m</w:t>
      </w:r>
      <w:r w:rsidR="00AE7551">
        <w:t xml:space="preserve">m </w:t>
      </w:r>
      <w:r w:rsidR="00AE7551" w:rsidRPr="00B9538C">
        <w:t>yr</w:t>
      </w:r>
      <w:r w:rsidR="00AE7551" w:rsidRPr="00E86180">
        <w:rPr>
          <w:vertAlign w:val="superscript"/>
        </w:rPr>
        <w:t>-1</w:t>
      </w:r>
      <w:r>
        <w:t xml:space="preserve"> in the 20</w:t>
      </w:r>
      <w:r w:rsidRPr="002222B4">
        <w:rPr>
          <w:vertAlign w:val="superscript"/>
        </w:rPr>
        <w:t>th</w:t>
      </w:r>
      <w:r w:rsidR="003D26E5">
        <w:t xml:space="preserve"> century. </w:t>
      </w:r>
      <w:r w:rsidR="00F952A1">
        <w:t>I</w:t>
      </w:r>
      <w:r w:rsidR="00186099" w:rsidRPr="00073A5D">
        <w:t xml:space="preserve">t </w:t>
      </w:r>
      <w:r w:rsidRPr="00073A5D">
        <w:t xml:space="preserve">is </w:t>
      </w:r>
      <w:r w:rsidR="00040841">
        <w:t>virtually certain</w:t>
      </w:r>
      <w:r w:rsidRPr="00073A5D">
        <w:t xml:space="preserve"> (</w:t>
      </w:r>
      <w:r w:rsidRPr="00980F6A">
        <w:rPr>
          <w:i/>
        </w:rPr>
        <w:t>P</w:t>
      </w:r>
      <w:r w:rsidRPr="00073A5D">
        <w:t xml:space="preserve"> </w:t>
      </w:r>
      <w:r w:rsidR="00C51A06">
        <w:t>&gt;</w:t>
      </w:r>
      <w:r w:rsidRPr="00073A5D">
        <w:t xml:space="preserve"> 0.9</w:t>
      </w:r>
      <w:r w:rsidR="00C51A06">
        <w:t>99</w:t>
      </w:r>
      <w:r w:rsidRPr="00073A5D">
        <w:t xml:space="preserve">) that the </w:t>
      </w:r>
      <w:r w:rsidR="00743DEE">
        <w:t xml:space="preserve">global </w:t>
      </w:r>
      <w:r w:rsidR="00C51A06">
        <w:t>20</w:t>
      </w:r>
      <w:r w:rsidR="00C51A06" w:rsidRPr="00C51A06">
        <w:rPr>
          <w:vertAlign w:val="superscript"/>
        </w:rPr>
        <w:t>th</w:t>
      </w:r>
      <w:r w:rsidR="00C51A06">
        <w:t xml:space="preserve"> century rate of rise was</w:t>
      </w:r>
      <w:r w:rsidRPr="00073A5D">
        <w:t xml:space="preserve"> faster than during any preceding </w:t>
      </w:r>
      <w:r>
        <w:t>century</w:t>
      </w:r>
      <w:r w:rsidRPr="00073A5D">
        <w:t xml:space="preserve"> during the Common Era</w:t>
      </w:r>
      <w:r>
        <w:t>.</w:t>
      </w:r>
    </w:p>
    <w:p w14:paraId="0FADCACC" w14:textId="32DE2F61" w:rsidR="000B587D" w:rsidRDefault="000B587D" w:rsidP="00845C15">
      <w:pPr>
        <w:jc w:val="left"/>
      </w:pPr>
    </w:p>
    <w:p w14:paraId="55582B62" w14:textId="4964023D" w:rsidR="00030B98" w:rsidRPr="00085860" w:rsidRDefault="00DE007E" w:rsidP="00923960">
      <w:pPr>
        <w:pStyle w:val="Heading3"/>
        <w:rPr>
          <w:b w:val="0"/>
          <w:i w:val="0"/>
        </w:rPr>
      </w:pPr>
      <w:r>
        <w:rPr>
          <w:b w:val="0"/>
          <w:i w:val="0"/>
        </w:rPr>
        <w:t>S</w:t>
      </w:r>
      <w:r w:rsidR="00EA1B0A" w:rsidRPr="00085860">
        <w:rPr>
          <w:b w:val="0"/>
          <w:i w:val="0"/>
        </w:rPr>
        <w:t>ea-level</w:t>
      </w:r>
      <w:r w:rsidR="00253B6F" w:rsidRPr="00085860">
        <w:rPr>
          <w:b w:val="0"/>
          <w:i w:val="0"/>
        </w:rPr>
        <w:t xml:space="preserve"> b</w:t>
      </w:r>
      <w:r w:rsidR="00EA1B0A" w:rsidRPr="00085860">
        <w:rPr>
          <w:b w:val="0"/>
          <w:i w:val="0"/>
        </w:rPr>
        <w:t>udgets</w:t>
      </w:r>
      <w:r w:rsidR="001376B4">
        <w:rPr>
          <w:b w:val="0"/>
          <w:i w:val="0"/>
        </w:rPr>
        <w:t>:</w:t>
      </w:r>
      <w:r>
        <w:rPr>
          <w:b w:val="0"/>
          <w:i w:val="0"/>
        </w:rPr>
        <w:t xml:space="preserve"> global component</w:t>
      </w:r>
    </w:p>
    <w:p w14:paraId="12D2BF52" w14:textId="54FDE380" w:rsidR="004076DE" w:rsidRDefault="005C78B7" w:rsidP="00264F55">
      <w:pPr>
        <w:ind w:firstLine="720"/>
        <w:jc w:val="left"/>
      </w:pPr>
      <w:r w:rsidRPr="00C069D2">
        <w:lastRenderedPageBreak/>
        <w:t xml:space="preserve">The global component of </w:t>
      </w:r>
      <w:r w:rsidR="00356A58">
        <w:t>RSL</w:t>
      </w:r>
      <w:r w:rsidR="008D4FED">
        <w:t xml:space="preserve">, </w:t>
      </w:r>
      <w:r w:rsidR="00935AB5">
        <w:t>identified as a signal common to</w:t>
      </w:r>
      <w:r w:rsidR="00264F55">
        <w:t xml:space="preserve"> all of the records in the Common Era database</w:t>
      </w:r>
      <w:r w:rsidR="008D4FED">
        <w:t>,</w:t>
      </w:r>
      <w:r w:rsidRPr="00C069D2">
        <w:t xml:space="preserve"> </w:t>
      </w:r>
      <w:r w:rsidR="004D6A8C">
        <w:t>is</w:t>
      </w:r>
      <w:r w:rsidR="00356A58">
        <w:t xml:space="preserve"> </w:t>
      </w:r>
      <w:r w:rsidR="006F579D">
        <w:t xml:space="preserve">relatively small </w:t>
      </w:r>
      <w:r w:rsidR="00570C1B">
        <w:t>(</w:t>
      </w:r>
      <w:r w:rsidR="000C1DD8">
        <w:t xml:space="preserve">i.e., </w:t>
      </w:r>
      <w:r w:rsidR="00DE4809">
        <w:t>c</w:t>
      </w:r>
      <w:r w:rsidR="00570C1B">
        <w:t>enti</w:t>
      </w:r>
      <w:r w:rsidR="00DE4809">
        <w:t>m</w:t>
      </w:r>
      <w:r w:rsidR="00570C1B">
        <w:t>eter-scale</w:t>
      </w:r>
      <w:r w:rsidR="00DE4809">
        <w:t xml:space="preserve">) </w:t>
      </w:r>
      <w:r w:rsidR="006F579D">
        <w:t xml:space="preserve">and </w:t>
      </w:r>
      <w:r w:rsidR="00356A58">
        <w:t xml:space="preserve">fairly stable </w:t>
      </w:r>
      <w:r w:rsidR="007E60F7">
        <w:t xml:space="preserve">without any consistent periodicity </w:t>
      </w:r>
      <w:r w:rsidR="00356A58">
        <w:t>at multi-decadal to multi-centennial timescales until the onset of modern rates of rise</w:t>
      </w:r>
      <w:r w:rsidR="00935AB5">
        <w:t xml:space="preserve"> (Figure 3</w:t>
      </w:r>
      <w:r w:rsidR="00264F55">
        <w:t>)</w:t>
      </w:r>
      <w:r w:rsidR="00356A58">
        <w:t>.</w:t>
      </w:r>
      <w:r w:rsidR="005C41FF">
        <w:t xml:space="preserve"> </w:t>
      </w:r>
      <w:r w:rsidR="009E0025">
        <w:t>Rates of t</w:t>
      </w:r>
      <w:r w:rsidR="009061C8">
        <w:t>he global component</w:t>
      </w:r>
      <w:r w:rsidR="006B0C76">
        <w:t xml:space="preserve"> fluctuated between -0.2 and 0.2 </w:t>
      </w:r>
      <w:r w:rsidR="00AE7551" w:rsidRPr="00B9538C">
        <w:t>m</w:t>
      </w:r>
      <w:r w:rsidR="00AE7551">
        <w:t xml:space="preserve">m </w:t>
      </w:r>
      <w:r w:rsidR="00AE7551" w:rsidRPr="00B9538C">
        <w:t>yr</w:t>
      </w:r>
      <w:r w:rsidR="00AE7551" w:rsidRPr="00E86180">
        <w:rPr>
          <w:vertAlign w:val="superscript"/>
        </w:rPr>
        <w:t>-1</w:t>
      </w:r>
      <w:r w:rsidR="006B0C76">
        <w:t xml:space="preserve"> from 0 to 1800 CE</w:t>
      </w:r>
      <w:r w:rsidR="00FD0213">
        <w:t xml:space="preserve">, </w:t>
      </w:r>
      <w:r w:rsidR="002364C9">
        <w:t>with</w:t>
      </w:r>
      <w:r w:rsidR="00251573">
        <w:t xml:space="preserve"> an</w:t>
      </w:r>
      <w:r w:rsidRPr="00C069D2">
        <w:t xml:space="preserve"> </w:t>
      </w:r>
      <w:r w:rsidR="00251573">
        <w:t>increasing rate of rise</w:t>
      </w:r>
      <w:r w:rsidR="001A239E" w:rsidRPr="00C069D2">
        <w:t xml:space="preserve"> </w:t>
      </w:r>
      <w:r w:rsidRPr="00C069D2">
        <w:t>since 1800 CE</w:t>
      </w:r>
      <w:r w:rsidR="00C7051A">
        <w:t>, reaching 1.3</w:t>
      </w:r>
      <w:r w:rsidRPr="00C069D2">
        <w:t xml:space="preserve"> ± 0.1 </w:t>
      </w:r>
      <w:r w:rsidR="00AE7551" w:rsidRPr="00B9538C">
        <w:t>m</w:t>
      </w:r>
      <w:r w:rsidR="00AE7551">
        <w:t xml:space="preserve">m </w:t>
      </w:r>
      <w:r w:rsidR="00AE7551" w:rsidRPr="00B9538C">
        <w:t>yr</w:t>
      </w:r>
      <w:r w:rsidR="00AE7551" w:rsidRPr="00E86180">
        <w:rPr>
          <w:vertAlign w:val="superscript"/>
        </w:rPr>
        <w:t>-1</w:t>
      </w:r>
      <w:r w:rsidR="003D340A">
        <w:t xml:space="preserve"> in </w:t>
      </w:r>
      <w:r>
        <w:t>the 20</w:t>
      </w:r>
      <w:r w:rsidRPr="002222B4">
        <w:rPr>
          <w:vertAlign w:val="superscript"/>
        </w:rPr>
        <w:t>th</w:t>
      </w:r>
      <w:r>
        <w:t xml:space="preserve"> century</w:t>
      </w:r>
      <w:r w:rsidR="006B0C76">
        <w:t xml:space="preserve"> (</w:t>
      </w:r>
      <w:r w:rsidR="00F96AF7">
        <w:t xml:space="preserve">Figure 4, </w:t>
      </w:r>
      <w:r w:rsidR="006B0C76">
        <w:t xml:space="preserve">Table 1). </w:t>
      </w:r>
    </w:p>
    <w:p w14:paraId="23CE9B1E" w14:textId="04B29622" w:rsidR="006231F9" w:rsidRDefault="00150CDF" w:rsidP="00090D86">
      <w:pPr>
        <w:ind w:firstLine="720"/>
        <w:jc w:val="left"/>
      </w:pPr>
      <w:r>
        <w:t>Our</w:t>
      </w:r>
      <w:r w:rsidR="00E0641E">
        <w:t xml:space="preserve"> global sea-level</w:t>
      </w:r>
      <w:r>
        <w:t xml:space="preserve"> estimate </w:t>
      </w:r>
      <w:r w:rsidR="006B1FD0">
        <w:t xml:space="preserve">using the globally uniform signal </w:t>
      </w:r>
      <w:r>
        <w:t xml:space="preserve">is consistent with </w:t>
      </w:r>
      <w:r w:rsidR="004076DE">
        <w:t>GMSL budget</w:t>
      </w:r>
      <w:r>
        <w:t>s</w:t>
      </w:r>
      <w:r w:rsidR="004076DE">
        <w:t xml:space="preserve"> </w:t>
      </w:r>
      <w:r w:rsidR="00494A0B">
        <w:t>for the 20</w:t>
      </w:r>
      <w:r w:rsidR="00494A0B" w:rsidRPr="00980F6A">
        <w:rPr>
          <w:vertAlign w:val="superscript"/>
        </w:rPr>
        <w:t>th</w:t>
      </w:r>
      <w:r w:rsidR="00494A0B">
        <w:t xml:space="preserve"> century which found</w:t>
      </w:r>
      <w:r w:rsidR="004076DE">
        <w:t xml:space="preserve"> total rate</w:t>
      </w:r>
      <w:r w:rsidR="00494A0B">
        <w:t>s</w:t>
      </w:r>
      <w:r w:rsidR="004076DE">
        <w:t xml:space="preserve"> of rise of 1.2 ± 0.2 </w:t>
      </w:r>
      <w:r w:rsidR="004076DE" w:rsidRPr="00B9538C">
        <w:t>m</w:t>
      </w:r>
      <w:r w:rsidR="004076DE">
        <w:t xml:space="preserve">m </w:t>
      </w:r>
      <w:r w:rsidR="004076DE" w:rsidRPr="00B9538C">
        <w:t>yr</w:t>
      </w:r>
      <w:r w:rsidR="004076DE" w:rsidRPr="00E86180">
        <w:rPr>
          <w:vertAlign w:val="superscript"/>
        </w:rPr>
        <w:t>-1</w:t>
      </w:r>
      <w:r w:rsidR="004076DE">
        <w:rPr>
          <w:vertAlign w:val="superscript"/>
        </w:rPr>
        <w:t xml:space="preserve"> </w:t>
      </w:r>
      <w:r>
        <w:t>(1901-1990)</w:t>
      </w:r>
      <w:r w:rsidR="000F4C8C">
        <w:t xml:space="preserve"> (90% confidence interval)</w:t>
      </w:r>
      <w:r>
        <w:t xml:space="preserve"> </w:t>
      </w:r>
      <w:r w:rsidR="004076DE">
        <w:fldChar w:fldCharType="begin"/>
      </w:r>
      <w:r w:rsidR="002A7AC0">
        <w:instrText xml:space="preserve"> ADDIN ZOTERO_ITEM CSL_CITATION {"citationID":"ugXbx4tz","properties":{"unsorted":true,"formattedCitation":"\\super 18\\nosupersub{}","plainCitation":"18","noteIndex":0},"citationItems":[{"id":770,"uris":["http://zotero.org/users/local/XxmvPi45/items/6JUBN3ZP"],"uri":["http://zotero.org/users/local/XxmvPi45/items/6JUBN3ZP"],"itemData":{"id":770,"type":"article-journal","container-title":"Nature","DOI":"10.1038/nature14093","ISSN":"0028-0836, 1476-4687","issue":"7535","language":"en","page":"481-484","source":"Crossref","title":"Probabilistic reanalysis of twentieth-century sea-level rise","volume":"517","author":[{"family":"Hay","given":"Carling C."},{"family":"Morrow","given":"Eric"},{"family":"Kopp","given":"Robert E."},{"family":"Mitrovica","given":"Jerry X."}],"issued":{"date-parts":[["2015",1]]}},"label":"page"}],"schema":"https://github.com/citation-style-language/schema/raw/master/csl-citation.json"} </w:instrText>
      </w:r>
      <w:r w:rsidR="004076DE">
        <w:fldChar w:fldCharType="separate"/>
      </w:r>
      <w:r w:rsidR="002A7AC0" w:rsidRPr="002A7AC0">
        <w:rPr>
          <w:szCs w:val="24"/>
          <w:vertAlign w:val="superscript"/>
        </w:rPr>
        <w:t>18</w:t>
      </w:r>
      <w:r w:rsidR="004076DE">
        <w:fldChar w:fldCharType="end"/>
      </w:r>
      <w:r w:rsidR="00E0641E">
        <w:t xml:space="preserve"> and 1.56 ± 0.33 mm yr</w:t>
      </w:r>
      <w:r w:rsidR="00E0641E" w:rsidRPr="00923960">
        <w:rPr>
          <w:vertAlign w:val="superscript"/>
        </w:rPr>
        <w:t>-1</w:t>
      </w:r>
      <w:r w:rsidR="004076DE">
        <w:t xml:space="preserve"> </w:t>
      </w:r>
      <w:r>
        <w:t>(1900-2018)</w:t>
      </w:r>
      <w:r w:rsidR="000F4C8C">
        <w:t xml:space="preserve"> (90% confidence interval)</w:t>
      </w:r>
      <w:r>
        <w:t xml:space="preserve"> </w:t>
      </w:r>
      <w:r w:rsidR="004076DE">
        <w:fldChar w:fldCharType="begin"/>
      </w:r>
      <w:r w:rsidR="002A7AC0">
        <w:instrText xml:space="preserve"> ADDIN ZOTERO_ITEM CSL_CITATION {"citationID":"Btwo22my","properties":{"formattedCitation":"\\super 19\\nosupersub{}","plainCitation":"19","noteIndex":0},"citationItems":[{"id":955,"uris":["http://zotero.org/users/local/XxmvPi45/items/VT4TMWQE"],"uri":["http://zotero.org/users/local/XxmvPi45/items/VT4TMWQE"],"itemData":{"id":955,"type":"article-journal","abstract":"The rate of global-mean sea-level rise since 1900 has varied over time, but the contributing factors are still poorly understood1. Previous assessments found that the summed contributions of ice-mass loss, terrestrial water storage and thermal expansion of the ocean could not be reconciled with observed changes in global-mean sea level, implying that changes in sea level or some contributions to those changes were poorly constrained2,3. Recent improvements to observational data, our understanding of the main contributing processes to sea-level change and methods for estimating the individual contributions, mean another attempt at reconciliation is warranted. Here we present a probabilistic framework to reconstruct sea level since 1900 using independent observations and their inherent uncertainties. The sum of the contributions to sea-level change from thermal expansion of the ocean, ice-mass loss and changes in terrestrial water storage is consistent with the trends and multidecadal variability in observed sea level on both global and basin scales, which we reconstruct from tide-gauge records. Ice-mass loss—predominantly from glaciers—has caused twice as much sea-level rise since 1900 as has thermal expansion. Mass loss from glaciers and the Greenland Ice Sheet explains the high rates of global sea-level rise during the 1940s, while a sharp increase in water impoundment by artificial reservoirs is the main cause of the lower-than-average rates during the 1970s. The acceleration in sea-level rise since the 1970s is caused by the combination of thermal expansion of the ocean and increased ice-mass loss from Greenland. Our results reconcile the magnitude of observed global-mean sea-level rise since 1900 with estimates based on the underlying processes, implying that no additional processes are required to explain the observed changes in sea level since 1900.","container-title":"Nature","DOI":"10.1038/s41586-020-2591-3","ISSN":"1476-4687","issue":"7821","language":"en","note":"number: 7821\npublisher: Nature Publishing Group","page":"393-397","source":"www.nature.com","title":"The causes of sea-level rise since 1900","volume":"584","author":[{"family":"Frederikse","given":"Thomas"},{"family":"Landerer","given":"Felix"},{"family":"Caron","given":"Lambert"},{"family":"Adhikari","given":"Surendra"},{"family":"Parkes","given":"David"},{"family":"Humphrey","given":"Vincent W."},{"family":"Dangendorf","given":"Sönke"},{"family":"Hogarth","given":"Peter"},{"family":"Zanna","given":"Laure"},{"family":"Cheng","given":"Lijing"},{"family":"Wu","given":"Yun-Hao"}],"issued":{"date-parts":[["2020",8]]}}}],"schema":"https://github.com/citation-style-language/schema/raw/master/csl-citation.json"} </w:instrText>
      </w:r>
      <w:r w:rsidR="004076DE">
        <w:fldChar w:fldCharType="separate"/>
      </w:r>
      <w:r w:rsidR="002A7AC0" w:rsidRPr="002A7AC0">
        <w:rPr>
          <w:szCs w:val="24"/>
          <w:vertAlign w:val="superscript"/>
        </w:rPr>
        <w:t>19</w:t>
      </w:r>
      <w:r w:rsidR="004076DE">
        <w:fldChar w:fldCharType="end"/>
      </w:r>
      <w:r w:rsidR="004076DE">
        <w:t xml:space="preserve">. </w:t>
      </w:r>
      <w:r w:rsidR="00D04870">
        <w:t>Prior to the 20</w:t>
      </w:r>
      <w:r w:rsidR="00D04870" w:rsidRPr="00D04870">
        <w:rPr>
          <w:vertAlign w:val="superscript"/>
        </w:rPr>
        <w:t>th</w:t>
      </w:r>
      <w:r w:rsidR="00D04870">
        <w:t xml:space="preserve"> century, </w:t>
      </w:r>
      <w:r w:rsidR="00F96AF7">
        <w:t xml:space="preserve">there is no </w:t>
      </w:r>
      <w:r w:rsidR="00090D86">
        <w:t xml:space="preserve">evidence for </w:t>
      </w:r>
      <w:r w:rsidR="00F96AF7">
        <w:t xml:space="preserve">global </w:t>
      </w:r>
      <w:r w:rsidR="00090D86">
        <w:t xml:space="preserve">sea-level rate changes </w:t>
      </w:r>
      <w:r w:rsidR="007C2013" w:rsidRPr="007C2013">
        <w:t>assoc</w:t>
      </w:r>
      <w:r w:rsidR="000E691C">
        <w:t xml:space="preserve">iated with </w:t>
      </w:r>
      <w:r w:rsidR="00BE3AFA">
        <w:t xml:space="preserve">the </w:t>
      </w:r>
      <w:r w:rsidR="00FC5104">
        <w:t xml:space="preserve">time period of the </w:t>
      </w:r>
      <w:r w:rsidR="000E691C">
        <w:t>Medieval Climate Anomaly</w:t>
      </w:r>
      <w:r w:rsidR="00090D86">
        <w:t xml:space="preserve">; however, there is a negative global contribution </w:t>
      </w:r>
      <w:r w:rsidR="00F96AF7">
        <w:t>during</w:t>
      </w:r>
      <w:r w:rsidR="00090D86">
        <w:t xml:space="preserve"> the latter part of the Little Ice Age </w:t>
      </w:r>
      <w:r w:rsidR="00F96AF7">
        <w:t>(Figure 5a) which coincides with</w:t>
      </w:r>
      <w:r w:rsidR="00090D86">
        <w:t xml:space="preserve"> a period of decreased global air </w:t>
      </w:r>
      <w:r w:rsidR="00F96AF7">
        <w:t xml:space="preserve">and sea surface </w:t>
      </w:r>
      <w:r w:rsidR="00090D86">
        <w:t>temperature</w:t>
      </w:r>
      <w:r w:rsidR="00F96AF7">
        <w:t xml:space="preserve">s </w:t>
      </w:r>
      <w:r w:rsidR="00090D86">
        <w:t xml:space="preserve">and the </w:t>
      </w:r>
      <w:r w:rsidR="00F96AF7">
        <w:t>most extensive</w:t>
      </w:r>
      <w:r w:rsidR="00090D86">
        <w:t xml:space="preserve"> glacial advances in the Common Era (Figure 5</w:t>
      </w:r>
      <w:r w:rsidR="00312B8F">
        <w:t>b,c</w:t>
      </w:r>
      <w:r w:rsidR="00090D86">
        <w:t>)</w:t>
      </w:r>
      <w:r w:rsidR="00BE3AFA">
        <w:t xml:space="preserve"> </w:t>
      </w:r>
      <w:r w:rsidR="00BE3AFA">
        <w:fldChar w:fldCharType="begin"/>
      </w:r>
      <w:r w:rsidR="002A7AC0">
        <w:instrText xml:space="preserve"> ADDIN ZOTERO_ITEM CSL_CITATION {"citationID":"OUSGXNGJ","properties":{"unsorted":true,"formattedCitation":"\\super 20,21\\nosupersub{}","plainCitation":"20,21","noteIndex":0},"citationItems":[{"id":1001,"uris":["http://zotero.org/users/local/XxmvPi45/items/4Z3UGEED"],"uri":["http://zotero.org/users/local/XxmvPi45/items/4Z3UGEED"],"itemData":{"id":1001,"type":"article-journal","abstract":"Multidecadal surface temperature changes may be forced by natural as well as anthropogenic factors, or arise unforced from the climate system. Distinguishing these factors is essential for estimating sensitivity to multiple climatic forcings and the amplitude of the unforced variability. Here we present 2,000-year-long global mean temperature reconstructions using seven different statistical methods that draw from a global collection of temperature-sensitive palaeoclimate records. Our reconstructions display synchronous multidecadal temperature fluctuations that are coherent with one another and with fully forced millennial model simulations from the Coupled Model Intercomparison Project Phase 5 across the Common Era. A substantial portion of pre-industrial (1300–1800 ce) variability at multidecadal timescales is attributed to volcanic aerosol forcing. Reconstructions and simulations qualitatively agree on the amplitude of the unforced global mean multidecadal temperature variability, thereby increasing confidence in future projections of climate change on these timescales. The largest warming trends at timescales of 20 years and longer occur during the second half of the twentieth century, highlighting the unusual character of the warming in recent decades.","container-title":"Nature Geoscience","DOI":"10.1038/s41561-019-0400-0","ISSN":"1752-0908","issue":"8","language":"en","note":"number: 8\npublisher: Nature Publishing Group","page":"643-649","source":"www.nature.com","title":"Consistent multidecadal variability in global temperature reconstructions and simulations over the Common Era","volume":"12","author":[{"family":"Neukom","given":"Raphael"},{"family":"Barboza","given":"Luis A."},{"family":"Erb","given":"Michael P."},{"family":"Shi","given":"Feng"},{"family":"Emile-Geay","given":"Julien"},{"family":"Evans","given":"Michael N."},{"family":"Franke","given":"Jörg"},{"family":"Kaufman","given":"Darrell S."},{"family":"Lücke","given":"Lucie"},{"family":"Rehfeld","given":"Kira"},{"family":"Schurer","given":"Andrew"},{"family":"Zhu","given":"Feng"},{"family":"Brönnimann","given":"Stefan"},{"family":"Hakim","given":"Gregory J."},{"family":"Henley","given":"Benjamin J."},{"family":"Ljungqvist","given":"Fredrik Charpentier"},{"family":"McKay","given":"Nicholas"},{"family":"Valler","given":"Veronika"},{"family":"Gunten","given":"Lucien","non-dropping-particle":"von"},{"literal":"PAGES 2k Consortium"}],"issued":{"date-parts":[["2019",8]]}},"label":"page"},{"id":994,"uris":["http://zotero.org/users/local/XxmvPi45/items/68Q35U9E"],"uri":["http://zotero.org/users/local/XxmvPi45/items/68Q35U9E"],"itemData":{"id":994,"type":"article-journal","abstract":"A global compilation of glacier advances and retreats for the past two millennia grouped by 17 regions (excluding Antarctica) highlights the nature of glacier fluctuations during the late Holocene. The dataset includes 275 time series of glacier fluctuations based on historical, tree ring, lake sediment, radiocarbon and terrestrial cosmogenic nuclide data. The most detailed and reliable series for individual glaciers and regional compilations are compared with summer temperature and, when available, winter precipitation reconstructions, the most important parameters for glacier mass balance. In many cases major glacier advances correlate with multi-decadal periods of decreased summer temperature. In a few cases, such as in Arctic Alaska and western Canada, some glacier advances occurred during relatively warm wet times. The timing and scale of glacier fluctuations over the past two millennia varies greatly from region to region. However, the number of glacier advances shows a clear pattern for the high, mid and low latitudes and, hence, points to common forcing factors acting at the global scale. Globally, during the first millennium CE glaciers were smaller than between the advances in 13th to early 20th centuries CE. The precise extent of glacier retreat in the first millennium is not well defined; however, the most conservative estimates indicate that during the 1st and 2nd centuries in some regions glaciers were smaller than at the end of 20th/early 21st centuries. Other periods of glacier retreat are identified regionally during the 5th and 8th centuries in the European Alps, in the 3rd–6th and 9th centuries in Norway, during the 10th–13th centuries in southern Alaska, and in the 18th century in Spitsbergen. However, no single period of common global glacier retreat of centennial duration, except for the past century, has yet been identified. In contrast, the view that the Little Ice Age was a period of global glacier expansion beginning in the 13th century (or earlier) and reaching a maximum in 17th–19th centuries is supported by our data. The pattern of glacier variations in the past two millennia corresponds with cooling in reconstructed temperature records at the continental and hemispheric scales. The number of glacier advances also broadly matches periods showing high volcanic activity and low solar irradiance over the past two millennia, although the resolution of most glacier chronologies is not enough for robust statistical correlations. Glacier retreat in the past 100–150 years corresponds to the anthropogenic global temperature increase. Many questions concerning the relative strength of forcing factors that drove glacier variations in the past 2 ka still remain.","container-title":"Quaternary Science Reviews","DOI":"10.1016/j.quascirev.2016.04.008","ISSN":"0277-3791","journalAbbreviation":"Quaternary Science Reviews","language":"en","page":"61-90","source":"ScienceDirect","title":"Glacier fluctuations during the past 2000 years","volume":"149","author":[{"family":"Solomina","given":"Olga N."},{"family":"Bradley","given":"Raymond S."},{"family":"Jomelli","given":"Vincent"},{"family":"Geirsdottir","given":"Aslaug"},{"family":"Kaufman","given":"Darrell S."},{"family":"Koch","given":"Johannes"},{"family":"McKay","given":"Nicholas P."},{"family":"Masiokas","given":"Mariano"},{"family":"Miller","given":"Gifford"},{"family":"Nesje","given":"Atle"},{"family":"Nicolussi","given":"Kurt"},{"family":"Owen","given":"Lewis A."},{"family":"Putnam","given":"Aaron E."},{"family":"Wanner","given":"Heinz"},{"family":"Wiles","given":"Gregory"},{"family":"Yang","given":"Bao"}],"issued":{"date-parts":[["2016",10,1]]}},"label":"page"}],"schema":"https://github.com/citation-style-language/schema/raw/master/csl-citation.json"} </w:instrText>
      </w:r>
      <w:r w:rsidR="00BE3AFA">
        <w:fldChar w:fldCharType="separate"/>
      </w:r>
      <w:r w:rsidR="002A7AC0" w:rsidRPr="002A7AC0">
        <w:rPr>
          <w:szCs w:val="24"/>
          <w:vertAlign w:val="superscript"/>
        </w:rPr>
        <w:t>20,21</w:t>
      </w:r>
      <w:r w:rsidR="00BE3AFA">
        <w:fldChar w:fldCharType="end"/>
      </w:r>
      <w:r w:rsidR="00090D86">
        <w:t xml:space="preserve">. </w:t>
      </w:r>
      <w:r w:rsidR="005C78B7">
        <w:t>The e</w:t>
      </w:r>
      <w:r w:rsidR="00F55E9D">
        <w:t>nhanced</w:t>
      </w:r>
      <w:r w:rsidR="005C78B7">
        <w:t xml:space="preserve"> rates of rise </w:t>
      </w:r>
      <w:r w:rsidR="00BE3AFA">
        <w:t xml:space="preserve">and greatest contribution </w:t>
      </w:r>
      <w:r w:rsidR="00F55E9D">
        <w:t xml:space="preserve">of the global component </w:t>
      </w:r>
      <w:r w:rsidR="00BE3AFA">
        <w:t xml:space="preserve">that followed </w:t>
      </w:r>
      <w:r w:rsidR="00F55E9D">
        <w:t>in the 20</w:t>
      </w:r>
      <w:r w:rsidR="00F55E9D" w:rsidRPr="00923960">
        <w:rPr>
          <w:vertAlign w:val="superscript"/>
        </w:rPr>
        <w:t>th</w:t>
      </w:r>
      <w:r w:rsidR="00F55E9D">
        <w:t xml:space="preserve"> century </w:t>
      </w:r>
      <w:r w:rsidR="005C78B7">
        <w:t xml:space="preserve">are caused primarily by increased ocean mass and volume from glacier </w:t>
      </w:r>
      <w:r w:rsidR="0036296A">
        <w:t xml:space="preserve">and ice sheet </w:t>
      </w:r>
      <w:r w:rsidR="005C78B7">
        <w:t>melt and thermal expansion</w:t>
      </w:r>
      <w:r w:rsidR="00EE72A4">
        <w:t xml:space="preserve"> on a global scale</w:t>
      </w:r>
      <w:r w:rsidR="005C78B7">
        <w:t xml:space="preserve"> in response to greenhouse forcing of warming sea surface and surface air temperatures</w:t>
      </w:r>
      <w:r w:rsidR="00312B8F">
        <w:t xml:space="preserve"> (Figure 5b,c)</w:t>
      </w:r>
      <w:r w:rsidR="005C78B7">
        <w:t xml:space="preserve"> </w:t>
      </w:r>
      <w:r w:rsidR="005C78B7">
        <w:fldChar w:fldCharType="begin"/>
      </w:r>
      <w:r w:rsidR="002A7AC0">
        <w:instrText xml:space="preserve"> ADDIN ZOTERO_ITEM CSL_CITATION {"citationID":"EL6c0uqz","properties":{"unsorted":true,"formattedCitation":"\\super 22\\nosupersub{}","plainCitation":"22","noteIndex":0},"citationItems":[{"id":754,"uris":["http://zotero.org/users/local/XxmvPi45/items/PVVRMV53"],"uri":["http://zotero.org/users/local/XxmvPi45/items/PVVRMV53"],"itemData":{"id":754,"type":"article-journal","abstract":"The evolution of industrial-era warming across the continents and oceans provides a context for future climate change and is important for determining climate sensitivity and the processes that control regional warming. Here we use post-ad 1500 palaeoclimate records to show that sustained industrial-era warming of the tropical oceans first developed during the mid-nineteenth century and was nearly synchronous with Northern Hemisphere continental warming. The early onset of sustained, significant warming in palaeoclimate records and model simulations suggests that greenhouse forcing of industrial-era warming commenced as early as the mid-nineteenth century and included an enhanced equatorial ocean response mechanism. The development of Southern Hemisphere warming is delayed in reconstructions, but this apparent delay is not reproduced in climate simulations. Our findings imply that instrumental records are too short to comprehensively assess anthropogenic climate change and that, in some regions, about 180 years of industrial-era warming has already caused surface temperatures to emerge above pre-industrial values, even when taking natural variability into account.","container-title":"Nature","DOI":"10.1038/nature19082","ISSN":"1476-4687","issue":"7617","language":"en","page":"411-418","source":"www.nature.com","title":"Early onset of industrial-era warming across the oceans and continents","volume":"536","author":[{"family":"Abram","given":"Nerilie J."},{"family":"McGregor","given":"Helen V."},{"family":"Tierney","given":"Jessica E."},{"family":"Evans","given":"Michael N."},{"family":"McKay","given":"Nicholas P."},{"family":"Kaufman","given":"Darrell S."},{"literal":"the PAGES 2k Consortium"},{"family":"Thirumalai","given":"Kaustubh"},{"family":"Martrat","given":"Belen"},{"family":"Goosse","given":"Hugues"},{"family":"Phipps","given":"Steven J."},{"family":"Steig","given":"Eric J."},{"family":"Kilbourne","given":"K. Halimeda"},{"family":"Saenger","given":"Casey P."},{"family":"Zinke","given":"Jens"},{"family":"Leduc","given":"Guillaume"},{"family":"Addison","given":"Jason A."},{"family":"Mortyn","given":"P. Graham"},{"family":"Seidenkrantz","given":"Marit-Solveig"},{"family":"Sicre","given":"Marie-Alexandrine"},{"family":"Selvaraj","given":"Kandasamy"},{"family":"Filipsson","given":"Helena L."},{"family":"Neukom","given":"Raphael"},{"family":"Gergis","given":"Joelle"},{"family":"Curran","given":"Mark A. J."},{"family":"Gunten","given":"Lucien","dropping-particle":"von"}],"issued":{"date-parts":[["2016",8]]}},"label":"page"}],"schema":"https://github.com/citation-style-language/schema/raw/master/csl-citation.json"} </w:instrText>
      </w:r>
      <w:r w:rsidR="005C78B7">
        <w:fldChar w:fldCharType="separate"/>
      </w:r>
      <w:r w:rsidR="002A7AC0" w:rsidRPr="002A7AC0">
        <w:rPr>
          <w:szCs w:val="24"/>
          <w:vertAlign w:val="superscript"/>
        </w:rPr>
        <w:t>22</w:t>
      </w:r>
      <w:r w:rsidR="005C78B7">
        <w:fldChar w:fldCharType="end"/>
      </w:r>
      <w:r w:rsidR="005C78B7">
        <w:t xml:space="preserve">. </w:t>
      </w:r>
      <w:r w:rsidR="005437C5" w:rsidRPr="005437C5">
        <w:t xml:space="preserve">The increasing influence of the global component is the </w:t>
      </w:r>
      <w:r w:rsidR="001C0FF7">
        <w:t>most significant change in the sea-level budgets</w:t>
      </w:r>
      <w:r w:rsidR="005437C5" w:rsidRPr="005437C5">
        <w:t xml:space="preserve"> at all s</w:t>
      </w:r>
      <w:r w:rsidR="00832F58">
        <w:t>ix sites through the Common Era</w:t>
      </w:r>
      <w:r w:rsidR="00FF4942">
        <w:t xml:space="preserve"> (Figure 4)</w:t>
      </w:r>
      <w:r w:rsidR="00832F58">
        <w:t xml:space="preserve">. </w:t>
      </w:r>
      <w:r w:rsidR="004D6A8C" w:rsidRPr="004D6A8C">
        <w:t>By 1950,</w:t>
      </w:r>
      <w:r w:rsidR="00484F23">
        <w:t xml:space="preserve"> global sea-level change </w:t>
      </w:r>
      <w:r w:rsidR="00751915">
        <w:t>wa</w:t>
      </w:r>
      <w:r w:rsidR="00484F23">
        <w:t>s responsible for 36-50% of RSL change at each site.</w:t>
      </w:r>
    </w:p>
    <w:p w14:paraId="5E1F0CCA" w14:textId="612D5F96" w:rsidR="004076DE" w:rsidRDefault="004076DE" w:rsidP="00845C15">
      <w:pPr>
        <w:jc w:val="left"/>
      </w:pPr>
    </w:p>
    <w:p w14:paraId="24B8DA55" w14:textId="52055913" w:rsidR="001376B4" w:rsidRPr="00AF68C4" w:rsidRDefault="001376B4" w:rsidP="00B75FCF">
      <w:pPr>
        <w:pStyle w:val="Heading3"/>
      </w:pPr>
      <w:r w:rsidRPr="00B75FCF">
        <w:rPr>
          <w:b w:val="0"/>
          <w:i w:val="0"/>
        </w:rPr>
        <w:t>Sea-level budgets: regional linear component</w:t>
      </w:r>
    </w:p>
    <w:p w14:paraId="4615CE72" w14:textId="1A3185EF" w:rsidR="00A255A0" w:rsidRPr="00803847" w:rsidRDefault="00463A85" w:rsidP="009E287E">
      <w:pPr>
        <w:ind w:firstLine="720"/>
        <w:jc w:val="left"/>
      </w:pPr>
      <w:r w:rsidRPr="00463A85">
        <w:rPr>
          <w:szCs w:val="24"/>
        </w:rPr>
        <w:lastRenderedPageBreak/>
        <w:t>Th</w:t>
      </w:r>
      <w:r w:rsidR="006C4570">
        <w:rPr>
          <w:szCs w:val="24"/>
        </w:rPr>
        <w:t xml:space="preserve">e dominant processes driving </w:t>
      </w:r>
      <w:r w:rsidRPr="00463A85">
        <w:rPr>
          <w:szCs w:val="24"/>
        </w:rPr>
        <w:t>RSL change at U</w:t>
      </w:r>
      <w:r w:rsidR="006C4570">
        <w:rPr>
          <w:szCs w:val="24"/>
        </w:rPr>
        <w:t>.</w:t>
      </w:r>
      <w:r w:rsidRPr="00463A85">
        <w:rPr>
          <w:szCs w:val="24"/>
        </w:rPr>
        <w:t>S</w:t>
      </w:r>
      <w:r w:rsidR="006C4570">
        <w:rPr>
          <w:szCs w:val="24"/>
        </w:rPr>
        <w:t>.</w:t>
      </w:r>
      <w:r w:rsidR="005E4F3D">
        <w:rPr>
          <w:szCs w:val="24"/>
        </w:rPr>
        <w:t xml:space="preserve"> Atlantic c</w:t>
      </w:r>
      <w:r w:rsidRPr="00463A85">
        <w:rPr>
          <w:szCs w:val="24"/>
        </w:rPr>
        <w:t>oast sites are regional-scale and temporally linear</w:t>
      </w:r>
      <w:r w:rsidR="00DE4809">
        <w:rPr>
          <w:szCs w:val="24"/>
        </w:rPr>
        <w:t xml:space="preserve">, contributing 2.1-3.2 m </w:t>
      </w:r>
      <w:r w:rsidR="006C4570">
        <w:rPr>
          <w:szCs w:val="24"/>
        </w:rPr>
        <w:t xml:space="preserve">of </w:t>
      </w:r>
      <w:r w:rsidR="00DE4809">
        <w:rPr>
          <w:szCs w:val="24"/>
        </w:rPr>
        <w:t>rise</w:t>
      </w:r>
      <w:r w:rsidR="00BD5DEC">
        <w:rPr>
          <w:szCs w:val="24"/>
        </w:rPr>
        <w:t xml:space="preserve"> over the Common Era</w:t>
      </w:r>
      <w:r w:rsidR="006231F9" w:rsidRPr="00906276">
        <w:rPr>
          <w:szCs w:val="24"/>
        </w:rPr>
        <w:t xml:space="preserve"> </w:t>
      </w:r>
      <w:r w:rsidR="00E90026">
        <w:rPr>
          <w:szCs w:val="24"/>
        </w:rPr>
        <w:t>(Figure 4</w:t>
      </w:r>
      <w:r w:rsidR="006231F9">
        <w:rPr>
          <w:szCs w:val="24"/>
        </w:rPr>
        <w:t>)</w:t>
      </w:r>
      <w:r w:rsidR="005C41FF">
        <w:rPr>
          <w:szCs w:val="24"/>
        </w:rPr>
        <w:t>.</w:t>
      </w:r>
      <w:r w:rsidR="00CA4FCF">
        <w:rPr>
          <w:szCs w:val="24"/>
        </w:rPr>
        <w:t xml:space="preserve"> </w:t>
      </w:r>
      <w:r w:rsidR="00480673">
        <w:rPr>
          <w:szCs w:val="24"/>
        </w:rPr>
        <w:t>In northern New Jersey, t</w:t>
      </w:r>
      <w:r w:rsidR="00480673" w:rsidRPr="00906276">
        <w:rPr>
          <w:szCs w:val="24"/>
        </w:rPr>
        <w:t xml:space="preserve">he linear </w:t>
      </w:r>
      <w:r w:rsidR="004A1F27">
        <w:rPr>
          <w:szCs w:val="24"/>
        </w:rPr>
        <w:t xml:space="preserve">rate </w:t>
      </w:r>
      <w:r w:rsidR="00480673">
        <w:rPr>
          <w:szCs w:val="24"/>
        </w:rPr>
        <w:t>contribution is</w:t>
      </w:r>
      <w:r w:rsidR="00480673" w:rsidRPr="00906276">
        <w:rPr>
          <w:szCs w:val="24"/>
        </w:rPr>
        <w:t xml:space="preserve"> </w:t>
      </w:r>
      <w:r w:rsidR="00480673" w:rsidRPr="00B9538C">
        <w:t>1.</w:t>
      </w:r>
      <w:r w:rsidR="005D7863">
        <w:t>3</w:t>
      </w:r>
      <w:r w:rsidR="00480673" w:rsidRPr="00B9538C">
        <w:t xml:space="preserve"> ±</w:t>
      </w:r>
      <w:r w:rsidR="005D7863">
        <w:t xml:space="preserve"> 0.</w:t>
      </w:r>
      <w:r w:rsidR="000C1DD8">
        <w:t>08</w:t>
      </w:r>
      <w:r w:rsidR="00480673" w:rsidRPr="00B9538C">
        <w:t xml:space="preserve"> </w:t>
      </w:r>
      <w:r w:rsidR="00AE7551" w:rsidRPr="00B9538C">
        <w:t>m</w:t>
      </w:r>
      <w:r w:rsidR="00AE7551">
        <w:t xml:space="preserve">m </w:t>
      </w:r>
      <w:r w:rsidR="00AE7551" w:rsidRPr="00B9538C">
        <w:t>yr</w:t>
      </w:r>
      <w:r w:rsidR="00AE7551" w:rsidRPr="00E86180">
        <w:rPr>
          <w:vertAlign w:val="superscript"/>
        </w:rPr>
        <w:t>-1</w:t>
      </w:r>
      <w:r w:rsidR="00B8150D">
        <w:t xml:space="preserve"> (Table 1)</w:t>
      </w:r>
      <w:r w:rsidR="00E509E9">
        <w:t xml:space="preserve">. </w:t>
      </w:r>
      <w:r w:rsidR="00C24726">
        <w:t>T</w:t>
      </w:r>
      <w:r w:rsidR="00CA4FCF" w:rsidRPr="00906276">
        <w:rPr>
          <w:szCs w:val="24"/>
        </w:rPr>
        <w:t xml:space="preserve">he linear component exhibits a </w:t>
      </w:r>
      <w:r w:rsidR="00CA4FCF">
        <w:rPr>
          <w:szCs w:val="24"/>
        </w:rPr>
        <w:t xml:space="preserve">spatially variable signal, </w:t>
      </w:r>
      <w:r w:rsidR="00CA4FCF">
        <w:t xml:space="preserve">with the greatest </w:t>
      </w:r>
      <w:r w:rsidR="00E509E9">
        <w:t>contribution</w:t>
      </w:r>
      <w:r w:rsidR="00F214FA">
        <w:t>s</w:t>
      </w:r>
      <w:r w:rsidR="00CA4FCF">
        <w:t xml:space="preserve"> in southern New Jersey of </w:t>
      </w:r>
      <w:r w:rsidR="005D7863">
        <w:t>1.6 ± 0.02</w:t>
      </w:r>
      <w:r w:rsidR="00720B1E">
        <w:t xml:space="preserve"> </w:t>
      </w:r>
      <w:r w:rsidR="00AE7551" w:rsidRPr="00B9538C">
        <w:t>m</w:t>
      </w:r>
      <w:r w:rsidR="00AE7551">
        <w:t xml:space="preserve">m </w:t>
      </w:r>
      <w:r w:rsidR="00AE7551" w:rsidRPr="00B9538C">
        <w:t>yr</w:t>
      </w:r>
      <w:r w:rsidR="00AE7551" w:rsidRPr="00E86180">
        <w:rPr>
          <w:vertAlign w:val="superscript"/>
        </w:rPr>
        <w:t>-1</w:t>
      </w:r>
      <w:r w:rsidR="00720B1E">
        <w:t xml:space="preserve"> (LP</w:t>
      </w:r>
      <w:r w:rsidR="00CA4FCF" w:rsidRPr="00B9538C">
        <w:t xml:space="preserve">) and </w:t>
      </w:r>
      <w:r w:rsidR="005D7863">
        <w:t>1.5 ± 0.05</w:t>
      </w:r>
      <w:r w:rsidR="00CA4FCF" w:rsidRPr="00B9538C">
        <w:t xml:space="preserve"> </w:t>
      </w:r>
      <w:r w:rsidR="00AE7551" w:rsidRPr="00B9538C">
        <w:t>m</w:t>
      </w:r>
      <w:r w:rsidR="00AE7551">
        <w:t xml:space="preserve">m </w:t>
      </w:r>
      <w:r w:rsidR="00AE7551" w:rsidRPr="00B9538C">
        <w:t>yr</w:t>
      </w:r>
      <w:r w:rsidR="00AE7551" w:rsidRPr="00E86180">
        <w:rPr>
          <w:vertAlign w:val="superscript"/>
        </w:rPr>
        <w:t>-1</w:t>
      </w:r>
      <w:r w:rsidR="00720B1E">
        <w:t xml:space="preserve"> (CMC</w:t>
      </w:r>
      <w:r w:rsidR="00CA4FCF">
        <w:t xml:space="preserve">) </w:t>
      </w:r>
      <w:r w:rsidR="00CA4FCF" w:rsidRPr="00FF31BE">
        <w:rPr>
          <w:szCs w:val="24"/>
        </w:rPr>
        <w:t>and smaller contribution</w:t>
      </w:r>
      <w:r w:rsidR="00F214FA">
        <w:rPr>
          <w:szCs w:val="24"/>
        </w:rPr>
        <w:t>s</w:t>
      </w:r>
      <w:r w:rsidR="00CA4FCF" w:rsidRPr="00FF31BE">
        <w:rPr>
          <w:szCs w:val="24"/>
        </w:rPr>
        <w:t xml:space="preserve"> to the north and south</w:t>
      </w:r>
      <w:r w:rsidR="00CA4FCF">
        <w:rPr>
          <w:szCs w:val="24"/>
        </w:rPr>
        <w:t xml:space="preserve">, with the </w:t>
      </w:r>
      <w:r w:rsidR="00865F54">
        <w:rPr>
          <w:szCs w:val="24"/>
        </w:rPr>
        <w:t>smallest</w:t>
      </w:r>
      <w:r w:rsidR="00CA4FCF">
        <w:rPr>
          <w:szCs w:val="24"/>
        </w:rPr>
        <w:t xml:space="preserve"> in Connecticut at</w:t>
      </w:r>
      <w:r w:rsidR="00CA4FCF">
        <w:t xml:space="preserve"> </w:t>
      </w:r>
      <w:r w:rsidR="005D7863">
        <w:t>1.0</w:t>
      </w:r>
      <w:r w:rsidR="00C21306">
        <w:t xml:space="preserve"> ± 0.03</w:t>
      </w:r>
      <w:r w:rsidR="00CA4FCF" w:rsidRPr="00B9538C">
        <w:t xml:space="preserve"> </w:t>
      </w:r>
      <w:r w:rsidR="00AE7551" w:rsidRPr="00B9538C">
        <w:t>m</w:t>
      </w:r>
      <w:r w:rsidR="00AE7551">
        <w:t xml:space="preserve">m </w:t>
      </w:r>
      <w:r w:rsidR="00AE7551" w:rsidRPr="00B9538C">
        <w:t>yr</w:t>
      </w:r>
      <w:r w:rsidR="00AE7551" w:rsidRPr="00E86180">
        <w:rPr>
          <w:vertAlign w:val="superscript"/>
        </w:rPr>
        <w:t>-1</w:t>
      </w:r>
      <w:r w:rsidR="00CA4FCF">
        <w:t xml:space="preserve">. The </w:t>
      </w:r>
      <w:r w:rsidR="00E9255D">
        <w:t xml:space="preserve">spatial variability of the </w:t>
      </w:r>
      <w:r w:rsidR="00CA4FCF">
        <w:t xml:space="preserve">dominant linear contribution </w:t>
      </w:r>
      <w:r w:rsidR="00803847">
        <w:t>is</w:t>
      </w:r>
      <w:r w:rsidR="00CA4FCF">
        <w:t xml:space="preserve"> </w:t>
      </w:r>
      <w:r w:rsidR="00865F54">
        <w:t xml:space="preserve">consistent with the effects of GIA. As the Laurentide ice sheet retreated, the peripheral forebulge began to collapse, </w:t>
      </w:r>
      <w:r w:rsidR="00865F54">
        <w:rPr>
          <w:szCs w:val="24"/>
        </w:rPr>
        <w:t>causing land subsidence and maximum rates of RSL rise in the m</w:t>
      </w:r>
      <w:r w:rsidR="005E603E">
        <w:rPr>
          <w:szCs w:val="24"/>
        </w:rPr>
        <w:t>id-Atlantic region (e.g.</w:t>
      </w:r>
      <w:r w:rsidR="00865F54">
        <w:rPr>
          <w:szCs w:val="24"/>
        </w:rPr>
        <w:t xml:space="preserve"> New Jersey) </w:t>
      </w:r>
      <w:r w:rsidR="00865F54">
        <w:rPr>
          <w:szCs w:val="24"/>
        </w:rPr>
        <w:fldChar w:fldCharType="begin"/>
      </w:r>
      <w:r w:rsidR="002A7AC0">
        <w:rPr>
          <w:szCs w:val="24"/>
        </w:rPr>
        <w:instrText xml:space="preserve"> ADDIN ZOTERO_ITEM CSL_CITATION {"citationID":"3r5pyB3d","properties":{"unsorted":true,"formattedCitation":"\\super 12\\nosupersub{}","plainCitation":"12","noteIndex":0},"citationItems":[{"id":292,"uris":["http://zotero.org/users/local/XxmvPi45/items/GI9CX2W9"],"uri":["http://zotero.org/users/local/XxmvPi45/items/GI9CX2W9"],"itemData":{"id":292,"type":"article-journal","abstract":"Models of the glacial isostatic adjustment process, which is dominated by the inﬂuence of the Late Pleistocene cycle of glaciation and deglaciation, depend on two fundamental inputs: a history of ice-sheet loading and a model of the radial variation of mantle viscosity. These models may be tested and reﬁned by comparing their local predictions of relative sea level history to geological inferences based upon appropriate sea level indicators. The U.S. Atlantic coast is a region of particular interest in this regard, due to the fact that data from the length of this coast provides a transect of the forebulge associated with the former Laurentide ice sheet. High-quality relative sea level histories from this region are employed herein to explore the ability of current models of mantle viscosity to explain the inferred evolution of relative sea level that have accompanied forebulge collapse following deglaciation. Existing misﬁts are characterized, and alternatives are explored for their reconciliation. It is demonstrated that a new model of mantle viscosity, referred to herein as VM6, when coupled with the latest model of deglaciation history ICE-6G_C, is able to eliminate the majority of these misﬁts, while continuing to reconcile a wide range of other important geophysical observables, as well as additional relative sea level data from the North American. West coast which also record the collapse of the forebulge but which have not been employed in tuning the viscosity proﬁle to enable ICE-6G_C (VM6) to ﬁt the East coast data set.","container-title":"Geophysical Journal International","DOI":"10.1093/gji/ggv066","ISSN":"1365-246X, 0956-540X","issue":"2","language":"en","page":"1156-1181","source":"Crossref","title":"Glacial isostatic adjustment, relative sea level history and mantle viscosity: reconciling relative sea level model predictions for the U.S. East coast with geological constraints","title-short":"Glacial isostatic adjustment, relative sea level history and mantle viscosity","volume":"201","author":[{"family":"Roy","given":"Keven"},{"family":"Peltier","given":"W.R."}],"issued":{"date-parts":[["2015",5,1]]}},"label":"page"}],"schema":"https://github.com/citation-style-language/schema/raw/master/csl-citation.json"} </w:instrText>
      </w:r>
      <w:r w:rsidR="00865F54">
        <w:rPr>
          <w:szCs w:val="24"/>
        </w:rPr>
        <w:fldChar w:fldCharType="separate"/>
      </w:r>
      <w:r w:rsidR="002A7AC0" w:rsidRPr="002A7AC0">
        <w:rPr>
          <w:szCs w:val="24"/>
          <w:vertAlign w:val="superscript"/>
        </w:rPr>
        <w:t>12</w:t>
      </w:r>
      <w:r w:rsidR="00865F54">
        <w:rPr>
          <w:szCs w:val="24"/>
        </w:rPr>
        <w:fldChar w:fldCharType="end"/>
      </w:r>
      <w:r w:rsidR="00865F54">
        <w:rPr>
          <w:szCs w:val="24"/>
        </w:rPr>
        <w:t>.</w:t>
      </w:r>
      <w:r w:rsidR="00E9625C">
        <w:rPr>
          <w:szCs w:val="24"/>
        </w:rPr>
        <w:t xml:space="preserve"> </w:t>
      </w:r>
      <w:r w:rsidR="00E30999">
        <w:rPr>
          <w:szCs w:val="24"/>
        </w:rPr>
        <w:t>A similar spatial pattern</w:t>
      </w:r>
      <w:r w:rsidR="00702A27">
        <w:rPr>
          <w:szCs w:val="24"/>
        </w:rPr>
        <w:t xml:space="preserve"> and magnitude of land subsidence</w:t>
      </w:r>
      <w:r w:rsidR="00F214FA">
        <w:rPr>
          <w:szCs w:val="24"/>
        </w:rPr>
        <w:t>, likewise attributed to GIA,</w:t>
      </w:r>
      <w:r w:rsidR="00E30999">
        <w:rPr>
          <w:szCs w:val="24"/>
        </w:rPr>
        <w:t xml:space="preserve"> has been described</w:t>
      </w:r>
      <w:r w:rsidR="00E9625C">
        <w:rPr>
          <w:szCs w:val="24"/>
        </w:rPr>
        <w:t xml:space="preserve"> on the U.S. Atlantic coast from the late Holocene through the 20</w:t>
      </w:r>
      <w:r w:rsidR="00E9625C" w:rsidRPr="00E9625C">
        <w:rPr>
          <w:szCs w:val="24"/>
          <w:vertAlign w:val="superscript"/>
        </w:rPr>
        <w:t>th</w:t>
      </w:r>
      <w:r w:rsidR="00E9625C">
        <w:rPr>
          <w:szCs w:val="24"/>
        </w:rPr>
        <w:t xml:space="preserve"> century </w:t>
      </w:r>
      <w:r w:rsidR="00E30999">
        <w:rPr>
          <w:szCs w:val="24"/>
        </w:rPr>
        <w:fldChar w:fldCharType="begin"/>
      </w:r>
      <w:r w:rsidR="002A7AC0">
        <w:rPr>
          <w:szCs w:val="24"/>
        </w:rPr>
        <w:instrText xml:space="preserve"> ADDIN ZOTERO_ITEM CSL_CITATION {"citationID":"o2FGzVwA","properties":{"unsorted":true,"formattedCitation":"\\super 23\\nosupersub{}","plainCitation":"23","noteIndex":0},"citationItems":[{"id":912,"uris":["http://zotero.org/users/local/XxmvPi45/items/XU2AC3CB"],"uri":["http://zotero.org/users/local/XxmvPi45/items/XU2AC3CB"],"itemData":{"id":912,"type":"article-journal","abstract":"Vertical motions of Earth’s crust had the greatest effect on regional spatial differences in relative sea-level trends along the eastern coast of the USA during 1900–2017, explaining most of the large-scale spatial variance in regional rates of sea-level rise.","container-title":"Nature","DOI":"10.1038/s41586-018-0787-6","ISSN":"1476-4687","issue":"7736","language":"en","note":"number: 7736\npublisher: Nature Publishing Group","page":"400-404","source":"www.nature.com","title":"Origin of spatial variation in US East Coast sea-level trends during 1900–2017","volume":"564","author":[{"family":"Piecuch","given":"Christopher G."},{"family":"Huybers","given":"Peter"},{"family":"Hay","given":"Carling C."},{"family":"Kemp","given":"Andrew C."},{"family":"Little","given":"Christopher M."},{"family":"Mitrovica","given":"Jerry X."},{"family":"Ponte","given":"Rui M."},{"family":"Tingley","given":"Martin P."}],"issued":{"date-parts":[["2018",12]]}},"label":"page"}],"schema":"https://github.com/citation-style-language/schema/raw/master/csl-citation.json"} </w:instrText>
      </w:r>
      <w:r w:rsidR="00E30999">
        <w:rPr>
          <w:szCs w:val="24"/>
        </w:rPr>
        <w:fldChar w:fldCharType="separate"/>
      </w:r>
      <w:r w:rsidR="002A7AC0" w:rsidRPr="002A7AC0">
        <w:rPr>
          <w:szCs w:val="24"/>
          <w:vertAlign w:val="superscript"/>
        </w:rPr>
        <w:t>23</w:t>
      </w:r>
      <w:r w:rsidR="00E30999">
        <w:rPr>
          <w:szCs w:val="24"/>
        </w:rPr>
        <w:fldChar w:fldCharType="end"/>
      </w:r>
      <w:r w:rsidR="00E9625C">
        <w:rPr>
          <w:szCs w:val="24"/>
        </w:rPr>
        <w:t xml:space="preserve">. </w:t>
      </w:r>
      <w:r w:rsidR="00A255A0">
        <w:t>Coastal plain locations (e.g. New Jersey) have also experienced higher rates of RSL rise than</w:t>
      </w:r>
      <w:r w:rsidR="00F214FA">
        <w:t xml:space="preserve"> locations underlain by</w:t>
      </w:r>
      <w:r w:rsidR="001E76BA">
        <w:t xml:space="preserve"> bedrock</w:t>
      </w:r>
      <w:r w:rsidR="00A255A0">
        <w:t xml:space="preserve"> (e.g. New York City) due to the natural compaction of unconsolidated </w:t>
      </w:r>
      <w:r w:rsidR="00F214FA">
        <w:t xml:space="preserve">Late Quaternary </w:t>
      </w:r>
      <w:r w:rsidR="00A255A0">
        <w:t>coastal plain sediments, with an average 20</w:t>
      </w:r>
      <w:r w:rsidR="00A255A0" w:rsidRPr="00525272">
        <w:rPr>
          <w:vertAlign w:val="superscript"/>
        </w:rPr>
        <w:t>th</w:t>
      </w:r>
      <w:r w:rsidR="00A255A0">
        <w:t xml:space="preserve"> century compaction rate of 0.16 </w:t>
      </w:r>
      <w:r w:rsidR="00AE7551" w:rsidRPr="00B9538C">
        <w:t>m</w:t>
      </w:r>
      <w:r w:rsidR="00AE7551">
        <w:t xml:space="preserve">m </w:t>
      </w:r>
      <w:r w:rsidR="00AE7551" w:rsidRPr="00B9538C">
        <w:t>yr</w:t>
      </w:r>
      <w:r w:rsidR="00AE7551" w:rsidRPr="00E86180">
        <w:rPr>
          <w:vertAlign w:val="superscript"/>
        </w:rPr>
        <w:t>-1</w:t>
      </w:r>
      <w:r w:rsidR="00A255A0">
        <w:t xml:space="preserve"> (90% confidence interval, 0.06-0.32 </w:t>
      </w:r>
      <w:r w:rsidR="00AE7551" w:rsidRPr="00B9538C">
        <w:t>m</w:t>
      </w:r>
      <w:r w:rsidR="00AE7551">
        <w:t xml:space="preserve">m </w:t>
      </w:r>
      <w:r w:rsidR="00AE7551" w:rsidRPr="00B9538C">
        <w:t>yr</w:t>
      </w:r>
      <w:r w:rsidR="00AE7551" w:rsidRPr="00E86180">
        <w:rPr>
          <w:vertAlign w:val="superscript"/>
        </w:rPr>
        <w:t>-1</w:t>
      </w:r>
      <w:r w:rsidR="00A255A0">
        <w:t xml:space="preserve">) </w:t>
      </w:r>
      <w:r w:rsidR="00A255A0">
        <w:fldChar w:fldCharType="begin"/>
      </w:r>
      <w:r w:rsidR="002A7AC0">
        <w:instrText xml:space="preserve"> ADDIN ZOTERO_ITEM CSL_CITATION {"citationID":"jWeu1lAh","properties":{"unsorted":true,"formattedCitation":"\\super 24\\nosupersub{}","plainCitation":"24","noteIndex":0},"citationItems":[{"id":288,"uris":["http://zotero.org/users/local/XxmvPi45/items/2J9YZ5V9"],"uri":["http://zotero.org/users/local/XxmvPi45/items/2J9YZ5V9"],"itemData":{"id":288,"type":"article-journal","abstract":"The rate of relative sea-level (RSL) rise at Sandy Hook, NJ (4.0 ± 0.5 mm/yr) was higher than The Battery, NY (3.0 ± 0.3 mm/yr) from 1900 to 2012 despite being separated by just 26 km. The difference cannot be explained by differential glacial isostatic adjustment (GIA; 1.4 ± 0.4 and 1.3 ± 0.4 mm/yr RSL rise, respectively) alone. We estimate the contribution of sediment compaction to subsidence at Sandy Hook using high-resolution grain size, percent organic matter, and porosity data from three upper Quaternary ( 13,350 cal yr) cores. The organic matter content (&lt;2%) is too low to contribute to local subsidence. However, numerical modeling of the grain size-depth-age-porosity relationship indicates that compaction of deglacial silts likely reduced the column thickness by 10e20% over the past 13,350 cal yrs. While compaction rates were high immediately after the main silt deposition (13,350e13,150 cal yrs BP), rates decreased exponentially after deposition to an average 20th century rate of 0.16 mm/yr (90% Conﬁdence Interval (C.I.), 0.06e0.32 mm/yr). The remaining ~0.7 mm/yr (90% C.I. 0.3e1.2 mm/yr) difference in subsidence between Sandy Hook and The Battery is likely due to anthropogenic groundwater withdrawal. Historical data from Fort Hancock wells (2 km to the southeast of the Sandy Hook tide gauge) and previous regional work show that local and regional water extraction lowered the water levels in the aquifers underlying Sandy Hook. We suggest that the modern order of contribution to subsidence (highest to lowest) appears to be GIA, local/regional groundwater extraction, and compaction of thick Quaternary silts.","container-title":"Quaternary Science Reviews","DOI":"10.1016/j.quascirev.2017.11.031","ISSN":"02773791","language":"en","page":"30-42","source":"Crossref","title":"The role of sediment compaction and groundwater withdrawal in local sea-level rise, Sandy Hook, New Jersey, USA","volume":"181","author":[{"family":"Johnson","given":"Christopher S."},{"family":"Miller","given":"Kenneth G."},{"family":"Browning","given":"James V."},{"family":"Kopp","given":"Robert E."},{"family":"Khan","given":"Nicole S."},{"family":"Fan","given":"Ying"},{"family":"Stanford","given":"Scott D."},{"family":"Horton","given":"Benjamin P."}],"issued":{"date-parts":[["2018",2]]}},"label":"page"}],"schema":"https://github.com/citation-style-language/schema/raw/master/csl-citation.json"} </w:instrText>
      </w:r>
      <w:r w:rsidR="00A255A0">
        <w:fldChar w:fldCharType="separate"/>
      </w:r>
      <w:r w:rsidR="002A7AC0" w:rsidRPr="002A7AC0">
        <w:rPr>
          <w:szCs w:val="24"/>
          <w:vertAlign w:val="superscript"/>
        </w:rPr>
        <w:t>24</w:t>
      </w:r>
      <w:r w:rsidR="00A255A0">
        <w:fldChar w:fldCharType="end"/>
      </w:r>
      <w:r w:rsidR="00A255A0">
        <w:t xml:space="preserve">. </w:t>
      </w:r>
      <w:r w:rsidR="0094144B">
        <w:t xml:space="preserve">Therefore, coastal plain subsidence </w:t>
      </w:r>
      <w:r w:rsidR="00AE78C2">
        <w:t>may also</w:t>
      </w:r>
      <w:r w:rsidR="00A255A0">
        <w:t xml:space="preserve"> contribute to the greater linear </w:t>
      </w:r>
      <w:r w:rsidR="00865F54">
        <w:t xml:space="preserve">contribution </w:t>
      </w:r>
      <w:r w:rsidR="00A255A0">
        <w:t xml:space="preserve">in New Jersey. </w:t>
      </w:r>
      <w:r w:rsidR="00A255A0">
        <w:rPr>
          <w:szCs w:val="24"/>
        </w:rPr>
        <w:t xml:space="preserve">At all sites, the </w:t>
      </w:r>
      <w:r w:rsidR="00A87A24">
        <w:rPr>
          <w:szCs w:val="24"/>
        </w:rPr>
        <w:t xml:space="preserve">temporally </w:t>
      </w:r>
      <w:r w:rsidR="00A255A0">
        <w:rPr>
          <w:szCs w:val="24"/>
        </w:rPr>
        <w:t xml:space="preserve">linear </w:t>
      </w:r>
      <w:r w:rsidR="00A87A24">
        <w:rPr>
          <w:szCs w:val="24"/>
        </w:rPr>
        <w:t>processes</w:t>
      </w:r>
      <w:r w:rsidR="00A255A0">
        <w:rPr>
          <w:szCs w:val="24"/>
        </w:rPr>
        <w:t xml:space="preserve"> </w:t>
      </w:r>
      <w:r w:rsidR="00AE78C2">
        <w:rPr>
          <w:szCs w:val="24"/>
        </w:rPr>
        <w:t xml:space="preserve">provide </w:t>
      </w:r>
      <w:r w:rsidR="00A255A0">
        <w:rPr>
          <w:szCs w:val="24"/>
        </w:rPr>
        <w:t xml:space="preserve">the dominant </w:t>
      </w:r>
      <w:r w:rsidR="00AE78C2">
        <w:rPr>
          <w:szCs w:val="24"/>
        </w:rPr>
        <w:t>contribution to</w:t>
      </w:r>
      <w:r w:rsidR="00A255A0">
        <w:rPr>
          <w:szCs w:val="24"/>
        </w:rPr>
        <w:t xml:space="preserve"> sea-level rise through</w:t>
      </w:r>
      <w:r w:rsidR="00D40274">
        <w:rPr>
          <w:szCs w:val="24"/>
        </w:rPr>
        <w:t>out</w:t>
      </w:r>
      <w:r w:rsidR="00A255A0">
        <w:rPr>
          <w:szCs w:val="24"/>
        </w:rPr>
        <w:t xml:space="preserve"> the Common Era</w:t>
      </w:r>
      <w:r w:rsidR="00FF73D4">
        <w:rPr>
          <w:szCs w:val="24"/>
        </w:rPr>
        <w:t xml:space="preserve">, </w:t>
      </w:r>
      <w:r w:rsidR="00FF73D4" w:rsidRPr="00C95F97">
        <w:rPr>
          <w:szCs w:val="24"/>
        </w:rPr>
        <w:t>while</w:t>
      </w:r>
      <w:r w:rsidR="00FF73D4">
        <w:rPr>
          <w:szCs w:val="24"/>
        </w:rPr>
        <w:t xml:space="preserve"> the non-linear signal</w:t>
      </w:r>
      <w:r w:rsidR="00A8211D">
        <w:rPr>
          <w:szCs w:val="24"/>
        </w:rPr>
        <w:t>s</w:t>
      </w:r>
      <w:r w:rsidR="00FF73D4">
        <w:rPr>
          <w:szCs w:val="24"/>
        </w:rPr>
        <w:t xml:space="preserve"> from global, regional, a</w:t>
      </w:r>
      <w:r w:rsidR="00A8211D">
        <w:rPr>
          <w:szCs w:val="24"/>
        </w:rPr>
        <w:t xml:space="preserve">nd local-scale processes </w:t>
      </w:r>
      <w:r w:rsidR="00AE78C2">
        <w:rPr>
          <w:szCs w:val="24"/>
        </w:rPr>
        <w:t>yield</w:t>
      </w:r>
      <w:r w:rsidR="00FF73D4">
        <w:rPr>
          <w:szCs w:val="24"/>
        </w:rPr>
        <w:t xml:space="preserve"> comparatively smaller </w:t>
      </w:r>
      <w:r w:rsidR="00AE78C2">
        <w:rPr>
          <w:szCs w:val="24"/>
        </w:rPr>
        <w:t xml:space="preserve">contributions </w:t>
      </w:r>
      <w:r w:rsidR="00FF73D4">
        <w:rPr>
          <w:szCs w:val="24"/>
        </w:rPr>
        <w:t xml:space="preserve">(Supplementary Figure 10, 11). </w:t>
      </w:r>
      <w:r w:rsidR="00C95F97">
        <w:rPr>
          <w:szCs w:val="24"/>
        </w:rPr>
        <w:t>Although</w:t>
      </w:r>
      <w:r w:rsidR="00FF73D4">
        <w:rPr>
          <w:szCs w:val="24"/>
        </w:rPr>
        <w:t xml:space="preserve"> the combined non-linear signal varies on multidecadal to mu</w:t>
      </w:r>
      <w:r w:rsidR="00AE78C2">
        <w:rPr>
          <w:szCs w:val="24"/>
        </w:rPr>
        <w:t>lticentennial timescales, we do</w:t>
      </w:r>
      <w:r w:rsidR="00FF73D4">
        <w:rPr>
          <w:szCs w:val="24"/>
        </w:rPr>
        <w:t xml:space="preserve"> not identify any consistent periodicity</w:t>
      </w:r>
      <w:r w:rsidR="007D3A7D">
        <w:rPr>
          <w:szCs w:val="24"/>
        </w:rPr>
        <w:t>,</w:t>
      </w:r>
      <w:r w:rsidR="00FF73D4">
        <w:rPr>
          <w:szCs w:val="24"/>
        </w:rPr>
        <w:t xml:space="preserve"> </w:t>
      </w:r>
      <w:r w:rsidR="00AE78C2">
        <w:rPr>
          <w:szCs w:val="24"/>
        </w:rPr>
        <w:t>n</w:t>
      </w:r>
      <w:r w:rsidR="00FF73D4">
        <w:rPr>
          <w:szCs w:val="24"/>
        </w:rPr>
        <w:t xml:space="preserve">or </w:t>
      </w:r>
      <w:r w:rsidR="00AE78C2">
        <w:rPr>
          <w:szCs w:val="24"/>
        </w:rPr>
        <w:t xml:space="preserve">any </w:t>
      </w:r>
      <w:r w:rsidR="00FD6662">
        <w:rPr>
          <w:szCs w:val="24"/>
        </w:rPr>
        <w:t>rapid, large magnitude</w:t>
      </w:r>
      <w:r w:rsidR="00AE78C2">
        <w:rPr>
          <w:szCs w:val="24"/>
        </w:rPr>
        <w:t xml:space="preserve"> </w:t>
      </w:r>
      <w:r w:rsidR="00FD6662">
        <w:rPr>
          <w:szCs w:val="24"/>
        </w:rPr>
        <w:t xml:space="preserve">changes in rate as have been described recently </w:t>
      </w:r>
      <w:r w:rsidR="00FD6662">
        <w:rPr>
          <w:szCs w:val="24"/>
        </w:rPr>
        <w:fldChar w:fldCharType="begin"/>
      </w:r>
      <w:r w:rsidR="002A7AC0">
        <w:rPr>
          <w:szCs w:val="24"/>
        </w:rPr>
        <w:instrText xml:space="preserve"> ADDIN ZOTERO_ITEM CSL_CITATION {"citationID":"pSCZSPbJ","properties":{"formattedCitation":"\\super 25\\nosupersub{}","plainCitation":"25","noteIndex":0},"citationItems":[{"id":985,"uris":["http://zotero.org/users/local/XxmvPi45/items/KECRMR9G"],"uri":["http://zotero.org/users/local/XxmvPi45/items/KECRMR9G"],"itemData":{"id":985,"type":"article-journal","abstract":"The Atlantic coast of North America north of Cape Hatteras has been proposed as a “hotspot” of late 20th century sea-level rise. Here we test, using salt-marsh proxy sea-level records, if this coast experienced enhanced sea-level rise over earlier multidecadal-centennial periods. While we find in agreement with previous studies that 20th century rates of sea-level change were higher compared to rates during preceding centuries, rates of 18th century sea-level rise were only slightly lower, suggesting that the “hotspot” is a reoccurring feature for at least three centuries. Proxy sea-level records from North America (Iceland) are negatively (positively) correlated with centennial changes in the North Atlantic Oscillation. They are consistent with sea-level “fingerprints” of Arctic ice melt, and we therefore hypothesize that sea-level fluctuations are related to changes in Arctic land-ice mass. Predictions of future sea-level rise should take into account these long-term fluctuating rates of natural sea-level change.","container-title":"Geophysical Research Letters","DOI":"https://doi.org/10.1029/2019GL085814","ISSN":"1944-8007","issue":"4","language":"en","note":"_eprint: https://agupubs.onlinelibrary.wiley.com/doi/pdf/10.1029/2019GL085814","page":"e2019GL085814","source":"Wiley Online Library","title":"A Preindustrial Sea-Level Rise Hotspot Along the Atlantic Coast of North America","volume":"47","author":[{"family":"Gehrels","given":"W. R."},{"family":"Dangendorf","given":"S."},{"family":"Barlow","given":"N. L. M."},{"family":"Saher","given":"M. H."},{"family":"Long","given":"A. J."},{"family":"Woodworth","given":"P. L."},{"family":"Piecuch","given":"C. G."},{"family":"Berk","given":"K."}],"issued":{"date-parts":[["2020"]]}}}],"schema":"https://github.com/citation-style-language/schema/raw/master/csl-citation.json"} </w:instrText>
      </w:r>
      <w:r w:rsidR="00FD6662">
        <w:rPr>
          <w:szCs w:val="24"/>
        </w:rPr>
        <w:fldChar w:fldCharType="separate"/>
      </w:r>
      <w:r w:rsidR="002A7AC0" w:rsidRPr="002A7AC0">
        <w:rPr>
          <w:szCs w:val="24"/>
          <w:vertAlign w:val="superscript"/>
        </w:rPr>
        <w:t>25</w:t>
      </w:r>
      <w:r w:rsidR="00FD6662">
        <w:rPr>
          <w:szCs w:val="24"/>
        </w:rPr>
        <w:fldChar w:fldCharType="end"/>
      </w:r>
      <w:r w:rsidR="00FF73D4">
        <w:rPr>
          <w:szCs w:val="24"/>
        </w:rPr>
        <w:t xml:space="preserve">. Instead the linear contribution clearly dominates RSL rise through the Common Era </w:t>
      </w:r>
      <w:r w:rsidR="00A255A0">
        <w:rPr>
          <w:szCs w:val="24"/>
        </w:rPr>
        <w:t>until it is matched or surpassed by the global contribution in the 20</w:t>
      </w:r>
      <w:r w:rsidR="00A255A0" w:rsidRPr="00E57D2F">
        <w:rPr>
          <w:szCs w:val="24"/>
          <w:vertAlign w:val="superscript"/>
        </w:rPr>
        <w:t>th</w:t>
      </w:r>
      <w:r w:rsidR="00A255A0">
        <w:rPr>
          <w:szCs w:val="24"/>
        </w:rPr>
        <w:t xml:space="preserve"> century. </w:t>
      </w:r>
    </w:p>
    <w:p w14:paraId="06A0BFA8" w14:textId="77777777" w:rsidR="00FF73D4" w:rsidRDefault="00FF73D4" w:rsidP="00845C15">
      <w:pPr>
        <w:jc w:val="left"/>
      </w:pPr>
    </w:p>
    <w:p w14:paraId="00DE3572" w14:textId="147DF6B7" w:rsidR="001376B4" w:rsidRPr="00B75FCF" w:rsidRDefault="001376B4" w:rsidP="00B75FCF">
      <w:pPr>
        <w:pStyle w:val="Heading3"/>
        <w:rPr>
          <w:i w:val="0"/>
        </w:rPr>
      </w:pPr>
      <w:r w:rsidRPr="00B75FCF">
        <w:rPr>
          <w:b w:val="0"/>
          <w:i w:val="0"/>
        </w:rPr>
        <w:t>Sea-level budgets</w:t>
      </w:r>
      <w:r w:rsidRPr="001376B4">
        <w:rPr>
          <w:b w:val="0"/>
          <w:i w:val="0"/>
        </w:rPr>
        <w:t>:</w:t>
      </w:r>
      <w:r w:rsidRPr="00B75FCF">
        <w:rPr>
          <w:b w:val="0"/>
          <w:i w:val="0"/>
        </w:rPr>
        <w:t xml:space="preserve"> regional non-linear component</w:t>
      </w:r>
    </w:p>
    <w:p w14:paraId="1BEC5EF0" w14:textId="67D311A8" w:rsidR="00766DB6" w:rsidRDefault="00155768" w:rsidP="00F8137F">
      <w:pPr>
        <w:ind w:firstLine="720"/>
        <w:jc w:val="left"/>
      </w:pPr>
      <w:r>
        <w:rPr>
          <w:szCs w:val="24"/>
        </w:rPr>
        <w:t>R</w:t>
      </w:r>
      <w:r w:rsidRPr="00906276">
        <w:rPr>
          <w:szCs w:val="24"/>
        </w:rPr>
        <w:t>egiona</w:t>
      </w:r>
      <w:r>
        <w:rPr>
          <w:szCs w:val="24"/>
        </w:rPr>
        <w:t xml:space="preserve">l-scale non-linear contributions are </w:t>
      </w:r>
      <w:r w:rsidR="001F0F5A">
        <w:rPr>
          <w:szCs w:val="24"/>
        </w:rPr>
        <w:t>similar</w:t>
      </w:r>
      <w:r>
        <w:rPr>
          <w:szCs w:val="24"/>
        </w:rPr>
        <w:t xml:space="preserve"> </w:t>
      </w:r>
      <w:r w:rsidR="002D1E52">
        <w:rPr>
          <w:szCs w:val="24"/>
        </w:rPr>
        <w:t>across</w:t>
      </w:r>
      <w:r w:rsidR="002D1E52" w:rsidRPr="002D1E52">
        <w:rPr>
          <w:szCs w:val="24"/>
        </w:rPr>
        <w:t xml:space="preserve"> U.S. </w:t>
      </w:r>
      <w:r w:rsidR="00112490">
        <w:rPr>
          <w:szCs w:val="24"/>
        </w:rPr>
        <w:t xml:space="preserve">Atlantic coast </w:t>
      </w:r>
      <w:r w:rsidR="002D1E52">
        <w:rPr>
          <w:szCs w:val="24"/>
        </w:rPr>
        <w:t>sites</w:t>
      </w:r>
      <w:r w:rsidR="00B954B4">
        <w:rPr>
          <w:szCs w:val="24"/>
        </w:rPr>
        <w:t xml:space="preserve"> </w:t>
      </w:r>
      <w:r w:rsidR="001F0F5A">
        <w:rPr>
          <w:szCs w:val="24"/>
        </w:rPr>
        <w:t xml:space="preserve">and </w:t>
      </w:r>
      <w:r w:rsidR="001F0F5A">
        <w:t>have a</w:t>
      </w:r>
      <w:r w:rsidR="00384998">
        <w:t>n amplitude</w:t>
      </w:r>
      <w:r w:rsidR="001F0F5A">
        <w:t xml:space="preserve"> of </w:t>
      </w:r>
      <w:r w:rsidR="001F0F5A" w:rsidRPr="00D5690A">
        <w:t>&lt;15 cm</w:t>
      </w:r>
      <w:r w:rsidR="001F0F5A">
        <w:t xml:space="preserve"> </w:t>
      </w:r>
      <w:r>
        <w:rPr>
          <w:szCs w:val="24"/>
        </w:rPr>
        <w:t>through the Common Era</w:t>
      </w:r>
      <w:r>
        <w:t xml:space="preserve"> </w:t>
      </w:r>
      <w:r w:rsidR="00B954B4">
        <w:t>(Figure 4, Supplementary Figure 1</w:t>
      </w:r>
      <w:r w:rsidR="00430FF0">
        <w:t>2</w:t>
      </w:r>
      <w:r w:rsidR="00B954B4">
        <w:t>)</w:t>
      </w:r>
      <w:r w:rsidR="00E92AFC">
        <w:t>.</w:t>
      </w:r>
      <w:r>
        <w:t xml:space="preserve"> </w:t>
      </w:r>
      <w:r w:rsidR="006F579D">
        <w:t>For example, i</w:t>
      </w:r>
      <w:r w:rsidR="00B132BF">
        <w:t xml:space="preserve">n northern New Jersey, regional non-linear </w:t>
      </w:r>
      <w:r w:rsidR="00457138">
        <w:t xml:space="preserve">processes </w:t>
      </w:r>
      <w:r w:rsidR="00C228A9">
        <w:t>contributed a negative influence</w:t>
      </w:r>
      <w:r w:rsidR="00457138">
        <w:t xml:space="preserve"> </w:t>
      </w:r>
      <w:r w:rsidR="00B132BF">
        <w:t xml:space="preserve">from 0-500 CE, </w:t>
      </w:r>
      <w:r w:rsidR="00B132BF" w:rsidRPr="00E86C33">
        <w:t xml:space="preserve">followed by a </w:t>
      </w:r>
      <w:r w:rsidR="00B132BF">
        <w:t xml:space="preserve">period of </w:t>
      </w:r>
      <w:r w:rsidR="00B132BF" w:rsidRPr="00E86C33">
        <w:t>stab</w:t>
      </w:r>
      <w:r w:rsidR="00B132BF">
        <w:t xml:space="preserve">ility </w:t>
      </w:r>
      <w:r w:rsidR="00B132BF" w:rsidRPr="00E86C33">
        <w:t xml:space="preserve">from 500-1000 CE. A second </w:t>
      </w:r>
      <w:r w:rsidR="00457138">
        <w:t xml:space="preserve">interval of </w:t>
      </w:r>
      <w:r w:rsidR="00B132BF" w:rsidRPr="00E86C33">
        <w:t xml:space="preserve">negative </w:t>
      </w:r>
      <w:r w:rsidR="00B132BF">
        <w:t>influence</w:t>
      </w:r>
      <w:r w:rsidR="00B132BF" w:rsidRPr="00E86C33">
        <w:t xml:space="preserve"> </w:t>
      </w:r>
      <w:r w:rsidR="00457138">
        <w:t>occurred from</w:t>
      </w:r>
      <w:r w:rsidR="00B132BF" w:rsidRPr="00E86C33">
        <w:t xml:space="preserve"> ~1000 CE </w:t>
      </w:r>
      <w:r w:rsidR="00457138">
        <w:t>until</w:t>
      </w:r>
      <w:r w:rsidR="00B132BF" w:rsidRPr="00E86C33">
        <w:t xml:space="preserve"> 1600 CE, </w:t>
      </w:r>
      <w:r w:rsidR="00457138">
        <w:t xml:space="preserve">after </w:t>
      </w:r>
      <w:r w:rsidR="00B132BF" w:rsidRPr="00E86C33">
        <w:t>whi</w:t>
      </w:r>
      <w:r w:rsidR="00B132BF">
        <w:t>ch</w:t>
      </w:r>
      <w:r w:rsidR="00457138">
        <w:t xml:space="preserve"> the regional non-linear contribution became positive and</w:t>
      </w:r>
      <w:r w:rsidR="00B132BF">
        <w:t xml:space="preserve"> increased until present. The contribution of the regio</w:t>
      </w:r>
      <w:r w:rsidR="00952F3D">
        <w:t xml:space="preserve">nal non-linear component to </w:t>
      </w:r>
      <w:r w:rsidR="00743DEE">
        <w:t xml:space="preserve">northern New Jersey </w:t>
      </w:r>
      <w:r w:rsidR="00E9255D">
        <w:t xml:space="preserve">RSL </w:t>
      </w:r>
      <w:r w:rsidR="00B132BF">
        <w:t>fluctuated between -</w:t>
      </w:r>
      <w:r w:rsidR="00B132BF" w:rsidRPr="00D5690A">
        <w:t xml:space="preserve">0.2 and 0.2 </w:t>
      </w:r>
      <w:r w:rsidR="00AE7551" w:rsidRPr="00B9538C">
        <w:t>m</w:t>
      </w:r>
      <w:r w:rsidR="00AE7551">
        <w:t xml:space="preserve">m </w:t>
      </w:r>
      <w:r w:rsidR="00AE7551" w:rsidRPr="00B9538C">
        <w:t>yr</w:t>
      </w:r>
      <w:r w:rsidR="00AE7551" w:rsidRPr="00E86180">
        <w:rPr>
          <w:vertAlign w:val="superscript"/>
        </w:rPr>
        <w:t>-1</w:t>
      </w:r>
      <w:r w:rsidR="00B132BF">
        <w:t xml:space="preserve"> during the pre-industrial Common Era before increasing to a rate of 0.4 </w:t>
      </w:r>
      <w:r w:rsidR="00B132BF" w:rsidRPr="00C069D2">
        <w:t>±</w:t>
      </w:r>
      <w:r w:rsidR="00B132BF">
        <w:t xml:space="preserve"> 0.2 </w:t>
      </w:r>
      <w:r w:rsidR="00AE7551" w:rsidRPr="00B9538C">
        <w:t>m</w:t>
      </w:r>
      <w:r w:rsidR="00AE7551">
        <w:t xml:space="preserve">m </w:t>
      </w:r>
      <w:r w:rsidR="00AE7551" w:rsidRPr="00B9538C">
        <w:t>yr</w:t>
      </w:r>
      <w:r w:rsidR="00AE7551" w:rsidRPr="00E86180">
        <w:rPr>
          <w:vertAlign w:val="superscript"/>
        </w:rPr>
        <w:t>-1</w:t>
      </w:r>
      <w:r w:rsidR="00B132BF">
        <w:t xml:space="preserve"> in the 20</w:t>
      </w:r>
      <w:r w:rsidR="00B132BF" w:rsidRPr="0079031F">
        <w:rPr>
          <w:vertAlign w:val="superscript"/>
        </w:rPr>
        <w:t>th</w:t>
      </w:r>
      <w:r w:rsidR="00B132BF">
        <w:t xml:space="preserve"> century (Table 1). Across the U.S. </w:t>
      </w:r>
      <w:r w:rsidR="00C24726">
        <w:t xml:space="preserve">Atlantic coast </w:t>
      </w:r>
      <w:r w:rsidR="00B132BF">
        <w:t>sites, t</w:t>
      </w:r>
      <w:r>
        <w:t xml:space="preserve">he regional non-linear contribution is nearly identical from Connecticut to southern New Jersey and </w:t>
      </w:r>
      <w:r w:rsidR="00457138">
        <w:t xml:space="preserve">differs </w:t>
      </w:r>
      <w:r>
        <w:t xml:space="preserve">only slightly in North Carolina, where rates fluctuated between -0.3 and 0.2 </w:t>
      </w:r>
      <w:r w:rsidR="00AE7551" w:rsidRPr="00B9538C">
        <w:t>m</w:t>
      </w:r>
      <w:r w:rsidR="00AE7551">
        <w:t xml:space="preserve">m </w:t>
      </w:r>
      <w:r w:rsidR="00AE7551" w:rsidRPr="00B9538C">
        <w:t>yr</w:t>
      </w:r>
      <w:r w:rsidR="00AE7551" w:rsidRPr="00E86180">
        <w:rPr>
          <w:vertAlign w:val="superscript"/>
        </w:rPr>
        <w:t>-1</w:t>
      </w:r>
      <w:r>
        <w:t xml:space="preserve"> during the pre-industrial Common Era before increasing to a rate of 0.4 </w:t>
      </w:r>
      <w:r w:rsidRPr="00C069D2">
        <w:t>±</w:t>
      </w:r>
      <w:r>
        <w:t xml:space="preserve"> 0.2 </w:t>
      </w:r>
      <w:r w:rsidR="00AE7551" w:rsidRPr="00B9538C">
        <w:t>m</w:t>
      </w:r>
      <w:r w:rsidR="00AE7551">
        <w:t xml:space="preserve">m </w:t>
      </w:r>
      <w:r w:rsidR="00AE7551" w:rsidRPr="00B9538C">
        <w:t>yr</w:t>
      </w:r>
      <w:r w:rsidR="00AE7551" w:rsidRPr="00E86180">
        <w:rPr>
          <w:vertAlign w:val="superscript"/>
        </w:rPr>
        <w:t>-1</w:t>
      </w:r>
      <w:r>
        <w:t xml:space="preserve"> in the 20</w:t>
      </w:r>
      <w:r w:rsidRPr="0079031F">
        <w:rPr>
          <w:vertAlign w:val="superscript"/>
        </w:rPr>
        <w:t>th</w:t>
      </w:r>
      <w:r w:rsidR="00E90026">
        <w:t xml:space="preserve"> century (Figure 4</w:t>
      </w:r>
      <w:r>
        <w:t>).</w:t>
      </w:r>
      <w:r w:rsidR="00B132BF">
        <w:t xml:space="preserve"> </w:t>
      </w:r>
    </w:p>
    <w:p w14:paraId="6490D8A0" w14:textId="5A9C2F5A" w:rsidR="00D53F26" w:rsidRDefault="00866260" w:rsidP="00F8137F">
      <w:pPr>
        <w:ind w:firstLine="720"/>
        <w:jc w:val="left"/>
      </w:pPr>
      <w:r>
        <w:t>The regional non-linear contribution</w:t>
      </w:r>
      <w:r w:rsidR="00A255A0">
        <w:t xml:space="preserve"> is likely </w:t>
      </w:r>
      <w:r w:rsidR="00E6117F">
        <w:t>explained by</w:t>
      </w:r>
      <w:r w:rsidR="00A255A0">
        <w:t xml:space="preserve"> a combination of </w:t>
      </w:r>
      <w:r w:rsidR="00D53F26">
        <w:t xml:space="preserve">changing </w:t>
      </w:r>
      <w:r w:rsidR="00A255A0">
        <w:t>physical processes</w:t>
      </w:r>
      <w:r w:rsidR="00D53F26">
        <w:t xml:space="preserve"> through the Common Era</w:t>
      </w:r>
      <w:r w:rsidR="00A255A0">
        <w:t xml:space="preserve">. </w:t>
      </w:r>
      <w:r w:rsidR="00D53F26">
        <w:t xml:space="preserve">The negative regional non-linear influence from 0-500 CE could be driven by regional-scale steric effects </w:t>
      </w:r>
      <w:r w:rsidR="00D53F26">
        <w:fldChar w:fldCharType="begin"/>
      </w:r>
      <w:r w:rsidR="002A7AC0">
        <w:instrText xml:space="preserve"> ADDIN ZOTERO_ITEM CSL_CITATION {"citationID":"anMCQJOE","properties":{"unsorted":true,"formattedCitation":"\\super 26\\nosupersub{}","plainCitation":"26","noteIndex":0},"citationItems":[{"id":447,"uris":["http://zotero.org/users/local/XxmvPi45/items/Z9UT4QEJ"],"uri":["http://zotero.org/users/local/XxmvPi45/items/Z9UT4QEJ"],"itemData":{"id":447,"type":"article-journal","abstract":"The Argo Program has achieved 5years of global coverage, growing from a very sparse global array of 1000 profiling floats in early 2004 to more than 3000 instruments from late 2007 to the present. Using nearly 350,000 temperature and salinity profiles, we constructed an upper-ocean climatology and monthly anomaly fields for the 5-year era, 2004–2008. A basic description of the modern upper ocean based entirely on Argo data is presented here, to provide a baseline for comparison with past datasets and with ongoing Argo data, to test the adequacy of Argo sampling of large-scale variability, and to examine the consistency of the Argo dataset with related ocean observations from other programs. The Argo 5-year mean is compared to the World Ocean Atlas, highlighting the middle and high latitudes of the southern hemisphere as a region of strong multi-decadal warming and freshening. Moreover the region is one where Argo data have contributed an enormous increment to historical sampling, and where more Argo floats are needed for documenting large-scale variability. Globally, the Argo-era ocean is warmer than the historical climatology at nearly all depths, by an increasing amount toward the sea surface; it is saltier in the surface layer and fresher at intermediate levels. Annual cycles in temperature and salinity are compared, again to WOA01, and to the National Oceanography Center air–sea flux climatology, the Reynolds SST product, and AVISO satellite altimetric height. These products are consistent with Argo data on hemispheric and global scales, but show regional differences that may either point to systematic errors in the datasets or their syntheses, to physical processes, or to temporal variability. The present work is viewed as an initial step toward integrating Argo and other climate-relevant global ocean datasets.","container-title":"Progress in Oceanography","DOI":"10.1016/j.pocean.2009.03.004","ISSN":"0079-6611","issue":"2","journalAbbreviation":"Progress in Oceanography","page":"81-100","source":"ScienceDirect","title":"The 2004–2008 mean and annual cycle of temperature, salinity, and steric height in the global ocean from the Argo Program","volume":"82","author":[{"family":"Roemmich","given":"Dean"},{"family":"Gilson","given":"John"}],"issued":{"date-parts":[["2009",8,1]]}},"label":"page"}],"schema":"https://github.com/citation-style-language/schema/raw/master/csl-citation.json"} </w:instrText>
      </w:r>
      <w:r w:rsidR="00D53F26">
        <w:fldChar w:fldCharType="separate"/>
      </w:r>
      <w:r w:rsidR="002A7AC0" w:rsidRPr="002A7AC0">
        <w:rPr>
          <w:szCs w:val="24"/>
          <w:vertAlign w:val="superscript"/>
        </w:rPr>
        <w:t>26</w:t>
      </w:r>
      <w:r w:rsidR="00D53F26">
        <w:fldChar w:fldCharType="end"/>
      </w:r>
      <w:r w:rsidR="00D53F26">
        <w:t xml:space="preserve"> associated with long-term cooling broadly in the Northern Hemisphere and within the North Atlantic following early to mid-Holocene maxima </w:t>
      </w:r>
      <w:r w:rsidR="00D53F26">
        <w:fldChar w:fldCharType="begin"/>
      </w:r>
      <w:r w:rsidR="002A7AC0">
        <w:instrText xml:space="preserve"> ADDIN ZOTERO_ITEM CSL_CITATION {"citationID":"Scatahos","properties":{"unsorted":true,"formattedCitation":"\\super 16,27\\nosupersub{}","plainCitation":"16,27","noteIndex":0},"citationItems":[{"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A7AC0">
        <w:rPr>
          <w:rFonts w:ascii="Cambria Math" w:hAnsi="Cambria Math" w:cs="Cambria Math"/>
        </w:rPr>
        <w:instrText>∼</w:instrText>
      </w:r>
      <w:r w:rsidR="002A7AC0">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de"}],"issued":{"date-parts":[["2018",12]]}},"label":"page"},{"id":445,"uris":["http://zotero.org/users/local/XxmvPi45/items/NAEMTI66"],"uri":["http://zotero.org/users/local/XxmvPi45/items/NAEMTI66"],"itemData":{"id":445,"type":"article-journal","abstract":"Cooling during most of the past two millennia has been widely recognized1,2 and has been inferred to be the dominant global temperature trend of the past 11,700 years (the Holocene epoch)3. However, long-term cooling has been difficult to reconcile with global forcing4, and climate models consistently simulate long-term warming4. The divergence between simulations and reconstructions emerges primarily for northern mid-latitudes, for which pronounced cooling has been inferred from marine and coastal records using multiple approaches3. Here we show that temperatures reconstructed from sub-fossil pollen from 642 sites across North America and Europe closely match simulations, and that long-term warming, not cooling, defined the Holocene until around 2,000 years ago. The reconstructions indicate that evidence of long-term cooling was limited to North Atlantic records. Early Holocene temperatures on the continents were more than two degrees Celsius below those of the past two millennia, consistent with the simulated effects of remnant ice sheets in the climate model Community Climate System Model 3 (CCSM3)5. CCSM3 simulates increases in ‘growing degree days’—a measure of the accumulated warmth above five degrees Celsius per year—of more than 300 kelvin days over the Holocene, consistent with inferences from the pollen data. It also simulates a decrease in mean summer temperatures of more than two degrees Celsius, which correlates with reconstructed marine trends and highlights the potential importance of the different subseasonal sensitivities of the records. Despite the differing trends, pollen- and marine-based reconstructions are correlated at millennial-to-centennial scales, probably in response to ice-sheet and meltwater dynamics, and to stochastic dynamics similar to the temperature variations produced by CCSM3. Although our results depend on a single source of palaeoclimatic data (pollen) and a single climate-model simulation, they reinforce the notion that climate models can adequately simulate climates for periods other than the present-day. They also demonstrate that amplified warming in recent decades increased temperatures above the mean of any century during the past 11,000 years.","container-title":"Nature","DOI":"10.1038/nature25464","ISSN":"1476-4687","issue":"7690","language":"en","page":"92-96","source":"www.nature.com","title":"Reconciling divergent trends and millennial variations in Holocene temperatures","volume":"554","author":[{"family":"Marsicek","given":"Jeremiah"},{"family":"Shuman","given":"Bryan N."},{"family":"Bartlein","given":"Patrick J."},{"family":"Shafer","given":"Sarah L."},{"family":"Brewer","given":"Simon"}],"issued":{"date-parts":[["2018",2]]}},"label":"page"}],"schema":"https://github.com/citation-style-language/schema/raw/master/csl-citation.json"} </w:instrText>
      </w:r>
      <w:r w:rsidR="00D53F26">
        <w:fldChar w:fldCharType="separate"/>
      </w:r>
      <w:r w:rsidR="002A7AC0" w:rsidRPr="002A7AC0">
        <w:rPr>
          <w:szCs w:val="24"/>
          <w:vertAlign w:val="superscript"/>
        </w:rPr>
        <w:t>16,27</w:t>
      </w:r>
      <w:r w:rsidR="00D53F26">
        <w:fldChar w:fldCharType="end"/>
      </w:r>
      <w:r w:rsidR="00821C30">
        <w:t>. The stabiliz</w:t>
      </w:r>
      <w:r w:rsidR="00D53F26">
        <w:t xml:space="preserve">ation of the regional non-linear contribution from 500-1000 CE could indicate a reduction in long-term cooling or, alternatively, additional processes driving an opposing influence on regional sea-level trends to offset the cooling effects. </w:t>
      </w:r>
      <w:r w:rsidR="008B31D0">
        <w:t>C</w:t>
      </w:r>
      <w:r w:rsidR="004A362E">
        <w:t xml:space="preserve">hanges in atmosphere and ocean circulation that have altered prevailing winds and ocean currents </w:t>
      </w:r>
      <w:r w:rsidR="008B31D0">
        <w:t xml:space="preserve">can </w:t>
      </w:r>
      <w:r w:rsidR="004A362E">
        <w:t xml:space="preserve">drive regional sea-level changes </w:t>
      </w:r>
      <w:r w:rsidR="004A362E">
        <w:fldChar w:fldCharType="begin"/>
      </w:r>
      <w:r w:rsidR="002A7AC0">
        <w:instrText xml:space="preserve"> ADDIN ZOTERO_ITEM CSL_CITATION {"citationID":"UTfHz9Yi","properties":{"formattedCitation":"\\super 16\\nosupersub{}","plainCitation":"16","noteIndex":0},"citationItems":[{"id":316,"uris":["http://zotero.org/users/local/XxmvPi45/items/WIISWD8J"],"uri":["http://zotero.org/users/local/XxmvPi45/items/WIISWD8J"],"itemData":{"id":316,"type":"article-journal","abstract":"Several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A7AC0">
        <w:rPr>
          <w:rFonts w:ascii="Cambria Math" w:hAnsi="Cambria Math" w:cs="Cambria Math"/>
        </w:rPr>
        <w:instrText>∼</w:instrText>
      </w:r>
      <w:r w:rsidR="002A7AC0">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de"}],"issued":{"date-parts":[["2018",12]]}}}],"schema":"https://github.com/citation-style-language/schema/raw/master/csl-citation.json"} </w:instrText>
      </w:r>
      <w:r w:rsidR="004A362E">
        <w:fldChar w:fldCharType="separate"/>
      </w:r>
      <w:r w:rsidR="002A7AC0" w:rsidRPr="002A7AC0">
        <w:rPr>
          <w:szCs w:val="24"/>
          <w:vertAlign w:val="superscript"/>
        </w:rPr>
        <w:t>16</w:t>
      </w:r>
      <w:r w:rsidR="004A362E">
        <w:fldChar w:fldCharType="end"/>
      </w:r>
      <w:r w:rsidR="004A362E">
        <w:t xml:space="preserve">. For example, changes in the strength of the Atlantic Meridional </w:t>
      </w:r>
      <w:r w:rsidR="004A362E">
        <w:lastRenderedPageBreak/>
        <w:t xml:space="preserve">Overturning Circulation </w:t>
      </w:r>
      <w:r w:rsidR="00DB07C2">
        <w:t xml:space="preserve">(AMOC) </w:t>
      </w:r>
      <w:r w:rsidR="004A362E">
        <w:t xml:space="preserve">and the Gulf Stream can cause sea-level changes on centimeter </w:t>
      </w:r>
      <w:r w:rsidR="0049175E">
        <w:t xml:space="preserve">to decimeter </w:t>
      </w:r>
      <w:r w:rsidR="004A362E">
        <w:t xml:space="preserve">scales on the U.S. Atlantic coast </w:t>
      </w:r>
      <w:r w:rsidR="004A362E">
        <w:fldChar w:fldCharType="begin"/>
      </w:r>
      <w:r w:rsidR="002A7AC0">
        <w:instrText xml:space="preserve"> ADDIN ZOTERO_ITEM CSL_CITATION {"citationID":"wW7NZLB6","properties":{"unsorted":true,"formattedCitation":"\\super 28\\nosupersub{}","plainCitation":"28","noteIndex":0},"citationItems":[{"id":453,"uris":["http://zotero.org/users/local/XxmvPi45/items/5ZCXLZ8P"],"uri":["http://zotero.org/users/local/XxmvPi45/items/5ZCXLZ8P"],"itemData":{"id":453,"type":"article-journal","abstract":"Much attention has been given in recent years to observations and models that show that variations in the transport of the Atlantic Meridional Overturning Circulation (AMOC) and in the Gulf Stream (GS) can contribute to interannual, decadal, and multi-decadal variations in coastal sea level (CSL) along the US East Coast. However, less is known about the impact of short-term (time scales of days to weeks) fluctuations in the GS and their impact on CSL anomalies. Some observations suggest that these anomalies can cause unpredictable minor tidal flooding in low-lying areas when the GS suddenly weakens. Can these short-term CSL variations be attributed to changes in the transport of the GS? An idealized numerical model of the GS has been set up to test this proposition. The regional model uses a 1/12° grid with a simplified coastline to eliminate impacts from estuaries and small-scale coastal features and thus isolate the GS impact. The GS in the model is driven by inflows/outflows, representing the Florida Current (FC), the Slope Current (SC), and the Sargasso Sea (SS) flows. Forcing the model with an oscillatory FC transport with a period of 2, 5, and 10 days produced coherent CSL variations from Florida to the Gulf of Maine with similar periods. However, when imposing variations in the transports of the SC or the SS, they induce CSL variations only north of Cape Hatteras. The suggested mechanism is that variations in GS transport produce variations in sea level gradient across the entire GS length and this large-scale signal is then transmitted into the shelf by the generation of coastal-trapped waves (CTW). In this idealized model, the CSL variations induced by variations of </w:instrText>
      </w:r>
      <w:r w:rsidR="002A7AC0">
        <w:rPr>
          <w:rFonts w:ascii="Cambria Math" w:hAnsi="Cambria Math" w:cs="Cambria Math"/>
        </w:rPr>
        <w:instrText>∼</w:instrText>
      </w:r>
      <w:r w:rsidR="002A7AC0">
        <w:instrText xml:space="preserve">10 Sv in the transport of the GS are found to resemble CSL variations induced by </w:instrText>
      </w:r>
      <w:r w:rsidR="002A7AC0">
        <w:rPr>
          <w:rFonts w:ascii="Cambria Math" w:hAnsi="Cambria Math" w:cs="Cambria Math"/>
        </w:rPr>
        <w:instrText>∼</w:instrText>
      </w:r>
      <w:r w:rsidR="002A7AC0">
        <w:instrText xml:space="preserve">5 m s−1 zonal wind fluctuations, though the mechanisms of wind-driven and GS-driven sea level are quite different. Better understanding of the relation between variations in offshore currents and CSL will help to improve the prediction of both short-term water level anomalies that cause flooding, as well as spatial variations in long-term sea level variability and coastal sea level rise.","container-title":"Ocean Dynamics","DOI":"10.1007/s10236-016-0928-0","ISSN":"1616-7228","issue":"2","journalAbbreviation":"Ocean Dynamics","language":"en","page":"207-220","source":"Springer Link","title":"Can the Gulf Stream induce coherent short-term fluctuations in sea level along the US East Coast? A modeling study","title-short":"Can the Gulf Stream induce coherent short-term fluctuations in sea level along the US East Coast?","volume":"66","author":[{"family":"Ezer","given":"Tal"}],"issued":{"date-parts":[["2016",2,1]]}},"label":"page"}],"schema":"https://github.com/citation-style-language/schema/raw/master/csl-citation.json"} </w:instrText>
      </w:r>
      <w:r w:rsidR="004A362E">
        <w:fldChar w:fldCharType="separate"/>
      </w:r>
      <w:r w:rsidR="002A7AC0" w:rsidRPr="002A7AC0">
        <w:rPr>
          <w:szCs w:val="24"/>
          <w:vertAlign w:val="superscript"/>
        </w:rPr>
        <w:t>28</w:t>
      </w:r>
      <w:r w:rsidR="004A362E">
        <w:fldChar w:fldCharType="end"/>
      </w:r>
      <w:r w:rsidR="004A362E">
        <w:t xml:space="preserve">. Additionally, proxy reconstructions of the North Atlantic Oscillation </w:t>
      </w:r>
      <w:r w:rsidR="00DB07C2">
        <w:t xml:space="preserve">(NAO) </w:t>
      </w:r>
      <w:r w:rsidR="004A362E">
        <w:t xml:space="preserve">provide evidence for changing atmospheric circulation over the Common Era, which could manifest in centimeter-scale changes in regional sea level </w:t>
      </w:r>
      <w:r w:rsidR="004A362E">
        <w:fldChar w:fldCharType="begin"/>
      </w:r>
      <w:r w:rsidR="002A7AC0">
        <w:instrText xml:space="preserve"> ADDIN ZOTERO_ITEM CSL_CITATION {"citationID":"jKeImI4k","properties":{"unsorted":true,"formattedCitation":"\\super 29\\nosupersub{}","plainCitation":"29","noteIndex":0},"citationItems":[{"id":901,"uris":["http://zotero.org/users/local/XxmvPi45/items/6Z2N97MI"],"uri":["http://zotero.org/users/local/XxmvPi45/items/6Z2N97MI"],"itemData":{"id":901,"type":"article-journal","abstract":"We consider the extent to which the difference in mean sea level (MSL) measured on the North American Atlantic coast either side of Cape Hatteras varies as a consequence of dynamical changes in the ocean caused by fluctuations in the North Atlantic Oscillation (NAO). From analysis of tide gauge data, we know that changes in MSL-difference and NAO index are correlated on decadal to century timescales enabling a scale factor of MSL-difference change per unit change in NAO index to be estimated. Changes in trend in the NAO index have been small during the past few centuries (when measured using windows of order 60–120 years). Therefore, if the same scale factor applies through this period of time, the corresponding changes in trend in MSL-difference for the past few centuries should also have been small. It is suggested thereby that the sea level records for recent centuries obtained from salt marshes (adjusted for long-term vertical land movements) should have essentially the same NAO-driven trends south and north of Cape Hatteras, only differing due to contributions from other processes such as changes in the Meridional Overturning Circulation or ‘geophysical fingerprints’. The salt marsh data evidently support this interpretation within their uncertainties for the past few centuries, and perhaps even for the past millennium. Recommendations are made on how greater insight might be obtained by acquiring more measurements and by improved modelling of the sea level response to wind along the shelf.","container-title":"Climate Dynamics","DOI":"10.1007/s00382-016-3464-1","ISSN":"1432-0894","issue":"7","journalAbbreviation":"Clim Dyn","language":"en","page":"2451-2469","source":"Springer Link","title":"Variations in the difference between mean sea level measured either side of Cape Hatteras and their relation to the North Atlantic Oscillation","volume":"49","author":[{"family":"Woodworth","given":"P. L."},{"family":"Morales Maqueda","given":"M. Á."},{"family":"Gehrels","given":"W. R."},{"family":"Roussenov","given":"V. M."},{"family":"Williams","given":"R. G."},{"family":"Hughes","given":"C. W."}],"issued":{"date-parts":[["2017",10,1]]}},"label":"page"}],"schema":"https://github.com/citation-style-language/schema/raw/master/csl-citation.json"} </w:instrText>
      </w:r>
      <w:r w:rsidR="004A362E">
        <w:fldChar w:fldCharType="separate"/>
      </w:r>
      <w:r w:rsidR="002A7AC0" w:rsidRPr="002A7AC0">
        <w:rPr>
          <w:szCs w:val="24"/>
          <w:vertAlign w:val="superscript"/>
        </w:rPr>
        <w:t>29</w:t>
      </w:r>
      <w:r w:rsidR="004A362E">
        <w:fldChar w:fldCharType="end"/>
      </w:r>
      <w:r w:rsidR="004A362E">
        <w:t xml:space="preserve">. </w:t>
      </w:r>
      <w:r w:rsidR="008B31D0">
        <w:t xml:space="preserve">The shift from a negative to positive regional non-linear contribution around 1600 CE </w:t>
      </w:r>
      <w:r w:rsidR="00312B8F">
        <w:t xml:space="preserve">(Figure 5a) </w:t>
      </w:r>
      <w:r w:rsidR="00BD2C76">
        <w:t xml:space="preserve">may be explained by </w:t>
      </w:r>
      <w:r w:rsidR="00FC5104">
        <w:t xml:space="preserve">broad </w:t>
      </w:r>
      <w:r w:rsidR="0089263A">
        <w:t xml:space="preserve">climate </w:t>
      </w:r>
      <w:r w:rsidR="00DB07C2">
        <w:t>t</w:t>
      </w:r>
      <w:r w:rsidR="0089263A">
        <w:t xml:space="preserve">ransitions </w:t>
      </w:r>
      <w:r w:rsidR="008B31D0">
        <w:t>in the North Atlantic</w:t>
      </w:r>
      <w:r w:rsidR="00DB07C2">
        <w:t xml:space="preserve">. Beginning around 1400 CE, </w:t>
      </w:r>
      <w:r w:rsidR="00043378">
        <w:t xml:space="preserve">the NAO changed from a </w:t>
      </w:r>
      <w:r w:rsidR="008B31D0">
        <w:t xml:space="preserve">sustained positive </w:t>
      </w:r>
      <w:r w:rsidR="00043378">
        <w:t>phase</w:t>
      </w:r>
      <w:r w:rsidR="008B31D0">
        <w:t xml:space="preserve"> to </w:t>
      </w:r>
      <w:r w:rsidR="00043378">
        <w:t xml:space="preserve">a </w:t>
      </w:r>
      <w:r w:rsidR="008B31D0">
        <w:t xml:space="preserve">negative </w:t>
      </w:r>
      <w:r w:rsidR="00043378">
        <w:t>phase and AMOC experienced a weakening</w:t>
      </w:r>
      <w:r w:rsidR="007F43F4">
        <w:t xml:space="preserve"> (Figure 5</w:t>
      </w:r>
      <w:r w:rsidR="00312B8F">
        <w:t>d</w:t>
      </w:r>
      <w:r w:rsidR="007F43F4">
        <w:t>)</w:t>
      </w:r>
      <w:r w:rsidR="008B31D0">
        <w:t xml:space="preserve"> </w:t>
      </w:r>
      <w:r w:rsidR="008B31D0">
        <w:fldChar w:fldCharType="begin"/>
      </w:r>
      <w:r w:rsidR="002A7AC0">
        <w:instrText xml:space="preserve"> ADDIN ZOTERO_ITEM CSL_CITATION {"citationID":"WD8S9hUF","properties":{"unsorted":true,"formattedCitation":"\\super 30\\nosupersub{}","plainCitation":"30","noteIndex":0},"citationItems":[{"id":964,"uris":["http://zotero.org/users/local/XxmvPi45/items/EZ7MVKE2"],"uri":["http://zotero.org/users/local/XxmvPi45/items/EZ7MVKE2"],"itemData":{"id":964,"type":"article-journal","abstract":"Annually laminated stalagmites can be used to construct a precise chronology and variations in laminae thickness provide an annual growth-rate record that can be used as a proxy for past climate and environmental change. Here, we present and analyse the first composite speleothem annual growth-rate record based on five stalagmites from the same cave system in northwest Scotland, where precipitation is sensitive to North Atlantic climate variability and the winter North Atlantic Oscillation (NAO). Our 3000-year record confirms persistently low growth-rates, reflective of positive NAO states, during the Medieval Climate Anomaly (MCA). Another persistently low growth period occurring at 290-550 CE coincides with the European Migration Period and a subsequent period of sustained fast growth-rate (negative NAO) from 600-900 AD provides the climate context for the Viking Age in northern and western Europe.","container-title":"Scientific Reports","DOI":"10.1038/srep10307","ISSN":"2045-2322","issue":"1","language":"en","note":"number: 1\npublisher: Nature Publishing Group","page":"10307","source":"www.nature.com","title":"A composite annual-resolution stalagmite record of North Atlantic climate over the last three millennia","volume":"5","author":[{"family":"Baker","given":"Andy"},{"family":"C. Hellstrom","given":"John"},{"family":"Kelly","given":"Bryce F. J."},{"family":"Mariethoz","given":"Gregoire"},{"family":"Trouet","given":"Valerie"}],"issued":{"date-parts":[["2015",6,11]]}},"label":"page"}],"schema":"https://github.com/citation-style-language/schema/raw/master/csl-citation.json"} </w:instrText>
      </w:r>
      <w:r w:rsidR="008B31D0">
        <w:fldChar w:fldCharType="separate"/>
      </w:r>
      <w:r w:rsidR="002A7AC0" w:rsidRPr="002A7AC0">
        <w:rPr>
          <w:szCs w:val="24"/>
          <w:vertAlign w:val="superscript"/>
        </w:rPr>
        <w:t>30</w:t>
      </w:r>
      <w:r w:rsidR="008B31D0">
        <w:fldChar w:fldCharType="end"/>
      </w:r>
      <w:r w:rsidR="00043378">
        <w:t>.</w:t>
      </w:r>
      <w:r w:rsidR="00C70767">
        <w:t xml:space="preserve"> If a decrease of 1 Sv in overturning transport can cause an increase in sea level of approximately 1.5 cm on the northeast U.S. Atlantic coast </w:t>
      </w:r>
      <w:r w:rsidR="00C70767">
        <w:fldChar w:fldCharType="begin"/>
      </w:r>
      <w:r w:rsidR="002A7AC0">
        <w:instrText xml:space="preserve"> ADDIN ZOTERO_ITEM CSL_CITATION {"citationID":"MdiitmHO","properties":{"formattedCitation":"\\super 31\\nosupersub{}","plainCitation":"31","noteIndex":0},"citationItems":[{"id":967,"uris":["http://zotero.org/users/local/XxmvPi45/items/CNKIN57B"],"uri":["http://zotero.org/users/local/XxmvPi45/items/CNKIN57B"],"itemData":{"id":967,"type":"article-journal","abstract":"The variability in mean sea level (MSL) during 1950–2009 along the northeast American Atlantic coast north of Cape Hatteras has been studied, using data from tide gauges and satellite altimetry and information from the Liverpool/Hadley Centre (LHC) ocean model, thereby providing new insights into the spatial and temporal scales of the variability. Although a relationship between sea level and the overturning circulation can be identified (an increase of approximately 1.5 cm in MSL for a decrease of 1 Sv in overturning transport), it is the effect of the nearshore wind forcing on the shelf that is found to dominate the interannual sea-level variability. In particular, winds are found to be capable of producing low-frequency changes in MSL (“accelerations”) in a narrow coastal band, comparable to those observed by the tide gauges. Evidence is presented supporting the idea of a “'common mode” of spatially coherent low-frequency MSL variability, both to the north and south of Cape Hatteras and throughout the northwest Atlantic, which is associated with large spatial-scale density changes from year to year.","container-title":"Journal of Geophysical Research: Oceans","DOI":"10.1002/2014JC010520","ISSN":"2169-9291","issue":"12","language":"en","note":"_eprint: https://agupubs.onlinelibrary.wiley.com/doi/pdf/10.1002/2014JC010520","page":"8916-8935","source":"Wiley Online Library","title":"Mean sea-level variability along the northeast American Atlantic coast and the roles of the wind and the overturning circulation","volume":"119","author":[{"family":"Woodworth","given":"Philip L."},{"family":"Maqueda","given":"Miguel Á Morales"},{"family":"Roussenov","given":"Vassil M."},{"family":"Williams","given":"Richard G."},{"family":"Hughes","given":"Chris W."}],"issued":{"date-parts":[["2014"]]}}}],"schema":"https://github.com/citation-style-language/schema/raw/master/csl-citation.json"} </w:instrText>
      </w:r>
      <w:r w:rsidR="00C70767">
        <w:fldChar w:fldCharType="separate"/>
      </w:r>
      <w:r w:rsidR="002A7AC0" w:rsidRPr="002A7AC0">
        <w:rPr>
          <w:szCs w:val="24"/>
          <w:vertAlign w:val="superscript"/>
        </w:rPr>
        <w:t>31</w:t>
      </w:r>
      <w:r w:rsidR="00C70767">
        <w:fldChar w:fldCharType="end"/>
      </w:r>
      <w:r w:rsidR="00C70767">
        <w:t>, then the positive contributions from the regional non-linear component could at least be partially explained by an AMOC weakening over the last 500 years. There is additional evidence for a weakening AMOC over the industrial period</w:t>
      </w:r>
      <w:r w:rsidR="00312B8F">
        <w:t xml:space="preserve"> (Figure 5d)</w:t>
      </w:r>
      <w:r w:rsidR="008C6A73">
        <w:t xml:space="preserve"> </w:t>
      </w:r>
      <w:r w:rsidR="008C6A73">
        <w:fldChar w:fldCharType="begin"/>
      </w:r>
      <w:r w:rsidR="002A7AC0">
        <w:instrText xml:space="preserve"> ADDIN ZOTERO_ITEM CSL_CITATION {"citationID":"0f9Fe69n","properties":{"unsorted":true,"formattedCitation":"\\super 32\\nosupersub{}","plainCitation":"32","noteIndex":0},"citationItems":[{"id":961,"uris":["http://zotero.org/users/local/XxmvPi45/items/S8LEGAF3"],"uri":["http://zotero.org/users/local/XxmvPi45/items/S8LEGAF3"],"itemData":{"id":961,"type":"article-journal","abstract":"The Atlantic meridional overturning circulation (AMOC) is a system of ocean currents that has an essential role in Earth’s climate, redistributing heat and influencing the carbon cycle1, 2. The AMOC has been shown to be weakening in recent years1; this decline may reflect decadal-scale variability in convection in the Labrador Sea, but short observational datasets preclude a longer-term perspective on the modern state and variability of Labrador Sea convection and the AMOC1, 3–5. Here we provide several lines of palaeo-oceanographic evidence that Labrador Sea deep convection and the AMOC have been anomalously weak over the past 150 years or so (since the end of the Little Ice Age, LIA, approximately ad 1850) compared with the preceding 1,500 years. Our palaeoclimate reconstructions indicate that the transition occurred either as a predominantly abrupt shift towards the end of the LIA, or as a more gradual, continued decline over the past 150 years; this ambiguity probably arises from non-AMOC influences on the various proxies or from the different sensitivities of these proxies to individual components of the AMOC. We suggest that enhanced freshwater fluxes from the Arctic and Nordic seas towards the end of the LIA—sourced from melting glaciers and thickened sea ice that developed earlier in the LIA—weakened Labrador Sea convection and the AMOC. The lack of a subsequent recovery may have resulted from hysteresis or from twentieth-century melting of the Greenland Ice Sheet6. Our results suggest that recent decadal variability in Labrador Sea convection and the AMOC has occurred during an atypical, weak background state. Future work should aim to constrain the roles of internal climate variability and early anthropogenic forcing in the AMOC weakening described here.","container-title":"Nature","DOI":"10.1038/s41586-018-0007-4","ISSN":"1476-4687","issue":"7700","language":"en","note":"number: 7700\npublisher: Nature Publishing Group","page":"227-230","source":"www.nature.com","title":"Anomalously weak Labrador Sea convection and Atlantic overturning during the past 150 years","volume":"556","author":[{"family":"Thornalley","given":"David J. R."},{"family":"Oppo","given":"Delia W."},{"family":"Ortega","given":"Pablo"},{"family":"Robson","given":"Jon I."},{"family":"Brierley","given":"Chris M."},{"family":"Davis","given":"Renee"},{"family":"Hall","given":"Ian R."},{"family":"Moffa-Sanchez","given":"Paola"},{"family":"Rose","given":"Neil L."},{"family":"Spooner","given":"Peter T."},{"family":"Yashayaev","given":"Igor"},{"family":"Keigwin","given":"Lloyd D."}],"issued":{"date-parts":[["2018",4]]}},"label":"page"}],"schema":"https://github.com/citation-style-language/schema/raw/master/csl-citation.json"} </w:instrText>
      </w:r>
      <w:r w:rsidR="008C6A73">
        <w:fldChar w:fldCharType="separate"/>
      </w:r>
      <w:r w:rsidR="002A7AC0" w:rsidRPr="002A7AC0">
        <w:rPr>
          <w:szCs w:val="24"/>
          <w:vertAlign w:val="superscript"/>
        </w:rPr>
        <w:t>32</w:t>
      </w:r>
      <w:r w:rsidR="008C6A73">
        <w:fldChar w:fldCharType="end"/>
      </w:r>
      <w:r w:rsidR="00C70767">
        <w:t xml:space="preserve">, which may also correspond to the positive regional non-linear contribution specifically in the last century. </w:t>
      </w:r>
    </w:p>
    <w:p w14:paraId="5977E0ED" w14:textId="2D96AC23" w:rsidR="004A362E" w:rsidRDefault="00D53F26" w:rsidP="00F8137F">
      <w:pPr>
        <w:ind w:firstLine="720"/>
        <w:jc w:val="left"/>
      </w:pPr>
      <w:r>
        <w:t xml:space="preserve">Additionally, </w:t>
      </w:r>
      <w:r w:rsidR="004A362E">
        <w:t xml:space="preserve">the evolving mass of </w:t>
      </w:r>
      <w:r w:rsidR="006F1E56">
        <w:t xml:space="preserve">ice sheets </w:t>
      </w:r>
      <w:r w:rsidR="004A362E">
        <w:t>could contribute to regional-scale non-linear RSL trends in the mid-Atlantic over the Common Era</w:t>
      </w:r>
      <w:r w:rsidR="006F1E56">
        <w:t>. H</w:t>
      </w:r>
      <w:r w:rsidR="004A362E">
        <w:t xml:space="preserve">owever, the behaviour of the </w:t>
      </w:r>
      <w:r w:rsidR="006F1E56">
        <w:t>Antarctic I</w:t>
      </w:r>
      <w:r w:rsidR="004A362E">
        <w:t xml:space="preserve">ce </w:t>
      </w:r>
      <w:r w:rsidR="006F1E56">
        <w:t>S</w:t>
      </w:r>
      <w:r w:rsidR="004A362E">
        <w:t xml:space="preserve">heet is </w:t>
      </w:r>
      <w:r w:rsidR="006F1E56">
        <w:t>poorly</w:t>
      </w:r>
      <w:r w:rsidR="004A362E">
        <w:t xml:space="preserve"> constrained over this time period</w:t>
      </w:r>
      <w:r w:rsidR="001E28E8">
        <w:t xml:space="preserve"> </w:t>
      </w:r>
      <w:r w:rsidR="00F138A8">
        <w:fldChar w:fldCharType="begin"/>
      </w:r>
      <w:r w:rsidR="002A7AC0">
        <w:instrText xml:space="preserve"> ADDIN ZOTERO_ITEM CSL_CITATION {"citationID":"msAfgn8R","properties":{"formattedCitation":"\\super 33\\nosupersub{}","plainCitation":"33","noteIndex":0},"citationItems":[{"id":981,"uris":["http://zotero.org/users/local/XxmvPi45/items/Q7NLWE67"],"uri":["http://zotero.org/users/local/XxmvPi45/items/Q7NLWE67"],"itemData":{"id":981,"type":"article-journal","abstract":"The Antarctic Ice Sheet (AIS) is out of equilibrium with the current anthropogenic-enhanced climate forcing. Paleoenvironmental records and ice sheet models reveal that the AIS has been tightly coupled to the climate system during the past and indicate the potential for accelerated and sustained Antarctic ice mass loss into the future. Modern observations by contrast suggest that the AIS has only just started to respond to climate change in recent decades. The maximum projected sea level contribution from Antarctica to 2100 has increased significantly since the Intergovernmental Panel on Climate Change (IPCC) 5th Assessment Report, although estimates continue to evolve with new observational and theoretical advances. This review brings together recent literature highlighting the progress made on the known processes and feedbacks that influence the stability of the AIS. Reducing the uncertainty in the magnitude and timing of the future sea level response to AIS change requires a multidisciplinary approach that integrates knowledge of the interactions between the ice sheet, solid Earth, atmosphere, and ocean systems and across time scales of days to millennia. We start by reviewing the processes affecting AIS mass change, from atmospheric and oceanic processes acting on short time scales (days to decades), through to ice processes acting on intermediate time scales (decades to centuries) and the response to solid Earth interactions over longer time scales (decades to millennia). We then review the evidence of AIS changes from the Pliocene to the present and consider the projections of global sea level rise and their consequences. We highlight priority research areas required to improve our understanding of the processes and feedbacks governing AIS change.","container-title":"Reviews of Geophysics","DOI":"https://doi.org/10.1029/2019RG000663","ISSN":"1944-9208","issue":"4","language":"en","note":"_eprint: https://agupubs.onlinelibrary.wiley.com/doi/pdf/10.1029/2019RG000663","page":"e2019RG000663","source":"Wiley Online Library","title":"The Sensitivity of the Antarctic Ice Sheet to a Changing Climate: Past, Present, and Future","title-short":"The Sensitivity of the Antarctic Ice Sheet to a Changing Climate","volume":"58","author":[{"family":"Noble","given":"T. L."},{"family":"Rohling","given":"E. J."},{"family":"Aitken","given":"A. R. A."},{"family":"Bostock","given":"H. C."},{"family":"Chase","given":"Z."},{"family":"Gomez","given":"N."},{"family":"Jong","given":"L. M."},{"family":"King","given":"M. A."},{"family":"Mackintosh","given":"A. N."},{"family":"McCormack","given":"F. S."},{"family":"McKay","given":"R. M."},{"family":"Menviel","given":"L."},{"family":"Phipps","given":"S. J."},{"family":"Weber","given":"M. E."},{"family":"Fogwill","given":"C. J."},{"family":"Gayen","given":"B."},{"family":"Golledge","given":"N. R."},{"family":"Gwyther","given":"D. E."},{"family":"Hogg","given":"A. McC"},{"family":"Martos","given":"Y. M."},{"family":"Pena‐Molino","given":"B."},{"family":"Roberts","given":"J."},{"family":"Flierdt","given":"T.","dropping-particle":"van de"},{"family":"Williams","given":"T."}],"issued":{"date-parts":[["2020"]]}}}],"schema":"https://github.com/citation-style-language/schema/raw/master/csl-citation.json"} </w:instrText>
      </w:r>
      <w:r w:rsidR="00F138A8">
        <w:fldChar w:fldCharType="separate"/>
      </w:r>
      <w:r w:rsidR="002A7AC0" w:rsidRPr="002A7AC0">
        <w:rPr>
          <w:szCs w:val="24"/>
          <w:vertAlign w:val="superscript"/>
        </w:rPr>
        <w:t>33</w:t>
      </w:r>
      <w:r w:rsidR="00F138A8">
        <w:fldChar w:fldCharType="end"/>
      </w:r>
      <w:r w:rsidR="006F1E56">
        <w:t xml:space="preserve"> and while the Greenland Ice Sheet is better constrained</w:t>
      </w:r>
      <w:r w:rsidR="00B55686">
        <w:t>, its potential influence on the regional non-linear trends is uncertain</w:t>
      </w:r>
      <w:r w:rsidR="004A362E">
        <w:t xml:space="preserve"> </w:t>
      </w:r>
      <w:r w:rsidR="004A362E">
        <w:fldChar w:fldCharType="begin"/>
      </w:r>
      <w:r w:rsidR="002A7AC0">
        <w:instrText xml:space="preserve"> ADDIN ZOTERO_ITEM CSL_CITATION {"citationID":"X8P2qWCi","properties":{"unsorted":true,"formattedCitation":"\\super 34\\nosupersub{}","plainCitation":"34","noteIndex":0},"citationItems":[{"id":924,"uris":["http://zotero.org/users/local/XxmvPi45/items/38J2QPE4"],"uri":["http://zotero.org/users/local/XxmvPi45/items/38J2QPE4"],"itemData":{"id":924,"type":"article-journal","abstract":"During the Last Interglacial (LIG) period, between 130 and 116 thousand years before present (ka BP), the Greenland Ice Sheet (GrIS) was considerably reduced in size, contributing to a global mean sea-level (MSL) rise of 0.5–4.2m relative to the present. This is not sufficient to explain the 6–9m MSL rise estimated for the LIG, which implies that a significant contribution to the LIG highstand came from Antarctica. Following the LIG the GrIS grew and attained its maximum volume of about 12m global sea-level equivalents (SLEs) between 18 and 16ka BP. Since then the GrIS margins have retreated on an order of several hundred km, following a general pattern of lagged response to changes in high-latitude summer insolation and global greenhouse gas concentrations. On shorter timescales and over smaller spatial scales the combination of internal ice-sheet dynamics and external climate dynamics has often resulted in a more complex and asynchronous behaviour of the ice-sheet margin. The GrIS probably reached its minimum Holocene extent around 4ka BP, and modelling studies suggest that it contributed to a rise in global MSL of less than 0.2m relative to the present at this time. A period of steady growth followed the Holocene minimum and in many areas the ice sheet advanced beyond its present limits during the ‘Little Ice Age’ (i.e. the last few centuries). Currently the GrIS occupies an area of ~1.7×106km2 and features a volume of ~2.96×106km3, which amounts to ~7.4m SLE. Observations show that the rate of mass loss from the GrIS has been accelerating over the past few decades, and ice sheet modelling indicates that we have to go back to the last deglaciation (around 10ka BP) in order to find sustained melt rates that were higher than those experienced over the last decade. The future development of the GrIS will have a profound influence on sea level, both globally and regionally, but there are large uncertainties related to how the GrIS will respond to future global warming. Based on a range of modelling studies employing different emission scenarios, the GrIS is expected to contribute about 0.1–0.3m to global MSL rise by the end of the 21st century. In a longer time perspective, modelling suggests that melting of the GrIS may replace ocean thermal expansion as the most important factor in future sea-level rise, potentially contributing with 0.7–2.6m SLE within the next 500years. Multi-millennial simulations show that the entire ice sheet (~7.4m SLE) might disappear completely within less than three thousand years under high-emission scenarios, i.e. with atmospheric CO2 reaching four times preindustrial levels.","container-title":"Earth-Science Reviews","DOI":"10.1016/j.earscirev.2015.07.006","ISSN":"0012-8252","journalAbbreviation":"Earth-Science Reviews","language":"en","page":"45-67","source":"ScienceDirect","title":"The Greenland Ice Sheet during the last glacial cycle: Current ice loss and contribution to sea-level rise from a palaeoclimatic perspective","title-short":"The Greenland Ice Sheet during the last glacial cycle","volume":"150","author":[{"family":"Vasskog","given":"Kristian"},{"family":"Langebroek","given":"Petra M."},{"family":"Andrews","given":"John T."},{"family":"Nilsen","given":"Jan Even Ø."},{"family":"Nesje","given":"Atle"}],"issued":{"date-parts":[["2015",11,1]]}},"label":"page"}],"schema":"https://github.com/citation-style-language/schema/raw/master/csl-citation.json"} </w:instrText>
      </w:r>
      <w:r w:rsidR="004A362E">
        <w:fldChar w:fldCharType="separate"/>
      </w:r>
      <w:r w:rsidR="002A7AC0" w:rsidRPr="002A7AC0">
        <w:rPr>
          <w:szCs w:val="24"/>
          <w:vertAlign w:val="superscript"/>
        </w:rPr>
        <w:t>34</w:t>
      </w:r>
      <w:r w:rsidR="004A362E">
        <w:fldChar w:fldCharType="end"/>
      </w:r>
      <w:r w:rsidR="004A362E">
        <w:t xml:space="preserve">. The Greenland Ice Sheet </w:t>
      </w:r>
      <w:r w:rsidR="00A00D2A">
        <w:t>may have</w:t>
      </w:r>
      <w:r w:rsidR="004A362E">
        <w:t xml:space="preserve"> advanced and reached a peak in mass by the end of the Little Ice Age and subsequently began melting and losing mass to the global ocean </w:t>
      </w:r>
      <w:r w:rsidR="004A362E">
        <w:fldChar w:fldCharType="begin"/>
      </w:r>
      <w:r w:rsidR="002A7AC0">
        <w:instrText xml:space="preserve"> ADDIN ZOTERO_ITEM CSL_CITATION {"citationID":"lW560Tun","properties":{"unsorted":true,"formattedCitation":"\\super 35\\nosupersub{}","plainCitation":"35","noteIndex":0},"citationItems":[{"id":915,"uris":["http://zotero.org/users/local/XxmvPi45/items/9SKR4RSM"],"uri":["http://zotero.org/users/local/XxmvPi45/items/9SKR4RSM"],"itemData":{"id":915,"type":"article-journal","abstract":"Mountain glaciers at the periphery of the Greenland ice sheet are a crucial freshwater and sediment source to the North Atlantic and strongly impact Arctic terrestrial, fjord, and coastal biogeochemical cycles. In this study we mapped the extent of 1,848 mountain glaciers in NE Greenland at the Little Ice Age. We determined area and volume changes for the time periods Little Ice Age to 1980s and 1980s to 2014 and equilibrium line altitudes. There was at least 172.76 ± 34.55-km3 volume lost between 1910 and 1980s, that is, a rate of 2.61 ± 0.52 km3/year. Between 1980s and 2014 the volume lost was 90.55 ± 18.11 km3, that is, a rate of 3.22 ± 0.64 km3/year, implying an increase of 23% in the rate of ice volume loss. Overall, at least 7% of mass loss from Greenland mountain glaciers and ice caps has come from the NE sector.","container-title":"Geophysical Research Letters","DOI":"10.1029/2018GL081383","ISSN":"1944-8007","issue":"3","language":"en","note":"_eprint: https://agupubs.onlinelibrary.wiley.com/doi/pdf/10.1029/2018GL081383","page":"1476-1484","source":"Wiley Online Library","title":"Accelerated Volume Loss in Glacier Ablation Zones of NE Greenland, Little Ice Age to Present","volume":"46","author":[{"family":"Carrivick","given":"Jonathan L."},{"family":"Boston","given":"Clare M."},{"family":"King","given":"Owen"},{"family":"James","given":"William H. M."},{"family":"Quincey","given":"Duncan J."},{"family":"Smith","given":"Mark W."},{"family":"Grimes","given":"Michael"},{"family":"Evans","given":"Jeff"}],"issued":{"date-parts":[["2019"]]}},"label":"page"}],"schema":"https://github.com/citation-style-language/schema/raw/master/csl-citation.json"} </w:instrText>
      </w:r>
      <w:r w:rsidR="004A362E">
        <w:fldChar w:fldCharType="separate"/>
      </w:r>
      <w:r w:rsidR="002A7AC0" w:rsidRPr="002A7AC0">
        <w:rPr>
          <w:szCs w:val="24"/>
          <w:vertAlign w:val="superscript"/>
        </w:rPr>
        <w:t>35</w:t>
      </w:r>
      <w:r w:rsidR="004A362E">
        <w:fldChar w:fldCharType="end"/>
      </w:r>
      <w:r w:rsidR="004A362E">
        <w:t xml:space="preserve">. However, </w:t>
      </w:r>
      <w:r w:rsidR="00A00D2A">
        <w:t>other studies show minimal variability in ice-mass loss over the Common Era</w:t>
      </w:r>
      <w:r w:rsidR="005778E9">
        <w:t xml:space="preserve"> (Figure 5c)</w:t>
      </w:r>
      <w:r w:rsidR="00A00D2A">
        <w:t xml:space="preserve"> </w:t>
      </w:r>
      <w:r w:rsidR="00A00D2A">
        <w:fldChar w:fldCharType="begin"/>
      </w:r>
      <w:r w:rsidR="002A7AC0">
        <w:instrText xml:space="preserve"> ADDIN ZOTERO_ITEM CSL_CITATION {"citationID":"JHNOFpcl","properties":{"formattedCitation":"\\super 36\\nosupersub{}","plainCitation":"36","noteIndex":0},"citationItems":[{"id":1008,"uris":["http://zotero.org/users/local/XxmvPi45/items/GVLERQWC"],"uri":["http://zotero.org/users/local/XxmvPi45/items/GVLERQWC"],"itemData":{"id":1008,"type":"article-journal","abstract":"The Greenland Ice Sheet (GIS) is losing mass at a high rate1. Given the short-term nature of the observational record, it is difficult to assess the historical importance of this mass-loss trend. Unlike records of greenhouse gas concentrations and global temperature, in which observations have been merged with palaeoclimate datasets, there are no comparably long records for rates of GIS mass change. Here we reveal unprecedented mass loss from the GIS this century, by placing contemporary and future rates of GIS mass loss within the context of the natural variability over the past 12,000 years. We force a high-resolution ice-sheet model with an ensemble of climate histories constrained by ice-core data2. Our simulation domain covers southwestern Greenland, the mass change of which is dominated by surface mass balance. The results agree favourably with an independent chronology of the history of the GIS margin3,4. The largest pre-industrial rates of mass loss (up to 6,000 billion tonnes per century) occurred in the early Holocene, and were similar to the contemporary (ad 2000–2018) rate of around 6,100 billion tonnes per century5. Simulations of future mass loss from southwestern GIS, based on Representative Concentration Pathway (RCP) scenarios corresponding to low (RCP2.6) and high (RCP8.5) greenhouse gas concentration trajectories6, predict mass loss of between 8,800 and 35,900 billion tonnes over the twenty-first century. These rates of GIS mass loss exceed the maximum rates over the past 12,000 years. Because rates of mass loss from the southwestern GIS scale linearly5 with the GIS as a whole, our results indicate, with high confidence, that the rate of mass loss from the GIS will exceed Holocene rates this century.","container-title":"Nature","DOI":"10.1038/s41586-020-2742-6","ISSN":"1476-4687","issue":"7827","language":"en","note":"number: 7827\npublisher: Nature Publishing Group","page":"70-74","source":"www.nature.com","title":"Rate of mass loss from the Greenland Ice Sheet will exceed Holocene values this century","volume":"586","author":[{"family":"Briner","given":"Jason P."},{"family":"Cuzzone","given":"Joshua K."},{"family":"Badgeley","given":"Jessica A."},{"family":"Young","given":"Nicolás E."},{"family":"Steig","given":"Eric J."},{"family":"Morlighem","given":"Mathieu"},{"family":"Schlegel","given":"Nicole-Jeanne"},{"family":"Hakim","given":"Gregory J."},{"family":"Schaefer","given":"Joerg M."},{"family":"Johnson","given":"Jesse V."},{"family":"Lesnek","given":"Alia J."},{"family":"Thomas","given":"Elizabeth K."},{"family":"Allan","given":"Estelle"},{"family":"Bennike","given":"Ole"},{"family":"Cluett","given":"Allison A."},{"family":"Csatho","given":"Beata"},{"family":"Vernal","given":"Anne","non-dropping-particle":"de"},{"family":"Downs","given":"Jacob"},{"family":"Larour","given":"Eric"},{"family":"Nowicki","given":"Sophie"}],"issued":{"date-parts":[["2020",10]]}}}],"schema":"https://github.com/citation-style-language/schema/raw/master/csl-citation.json"} </w:instrText>
      </w:r>
      <w:r w:rsidR="00A00D2A">
        <w:fldChar w:fldCharType="separate"/>
      </w:r>
      <w:r w:rsidR="002A7AC0" w:rsidRPr="002A7AC0">
        <w:rPr>
          <w:szCs w:val="24"/>
          <w:vertAlign w:val="superscript"/>
        </w:rPr>
        <w:t>36</w:t>
      </w:r>
      <w:r w:rsidR="00A00D2A">
        <w:fldChar w:fldCharType="end"/>
      </w:r>
      <w:r w:rsidR="00F813A2">
        <w:t xml:space="preserve">, which is supported by the fact that </w:t>
      </w:r>
      <w:r w:rsidR="004010F8">
        <w:t xml:space="preserve">non-linear </w:t>
      </w:r>
      <w:r w:rsidR="004A362E">
        <w:t xml:space="preserve">changes in mass of the Greenland Ice Sheet should produce a spatially variable fingerprint along the U.S. Atlantic coast, increasing from north to south, </w:t>
      </w:r>
      <w:r w:rsidR="009F761A">
        <w:t>and such a fingerprint</w:t>
      </w:r>
      <w:r w:rsidR="004A362E">
        <w:t xml:space="preserve"> is not discernible in the six sites analy</w:t>
      </w:r>
      <w:r w:rsidR="009F761A">
        <w:t>s</w:t>
      </w:r>
      <w:r w:rsidR="004A362E">
        <w:t xml:space="preserve">ed here. Additionally, the effects of the </w:t>
      </w:r>
      <w:r w:rsidR="004A362E">
        <w:lastRenderedPageBreak/>
        <w:t xml:space="preserve">ice sheet may be too small or overprinted by other processes </w:t>
      </w:r>
      <w:r w:rsidR="00572791">
        <w:t>that exhibit a</w:t>
      </w:r>
      <w:r w:rsidR="004010F8">
        <w:t xml:space="preserve"> gr</w:t>
      </w:r>
      <w:r w:rsidR="00572791">
        <w:t>eater non-linear</w:t>
      </w:r>
      <w:r w:rsidR="004010F8">
        <w:t xml:space="preserve"> </w:t>
      </w:r>
      <w:r w:rsidR="00572791">
        <w:t xml:space="preserve">signal </w:t>
      </w:r>
      <w:r w:rsidR="004010F8">
        <w:t xml:space="preserve">(e.g. steric effects, ocean circulation changes) </w:t>
      </w:r>
      <w:r w:rsidR="004A362E">
        <w:t xml:space="preserve">to be detected in the regional-scale non-linear trends </w:t>
      </w:r>
      <w:r w:rsidR="004A362E">
        <w:fldChar w:fldCharType="begin"/>
      </w:r>
      <w:r w:rsidR="002A7AC0">
        <w:instrText xml:space="preserve"> ADDIN ZOTERO_ITEM CSL_CITATION {"citationID":"MVuxuBBF","properties":{"formattedCitation":"\\super 16\\nosupersub{}","plainCitation":"16","noteIndex":0},"citationItems":[{"id":316,"uris":["http://zotero.org/users/local/XxmvPi45/items/WIISWD8J"],"uri":["http://zotero.org/users/local/XxmvPi45/items/WIISWD8J"],"itemData":{"id":316,"type":"article-journal","abstract":"Several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A7AC0">
        <w:rPr>
          <w:rFonts w:ascii="Cambria Math" w:hAnsi="Cambria Math" w:cs="Cambria Math"/>
        </w:rPr>
        <w:instrText>∼</w:instrText>
      </w:r>
      <w:r w:rsidR="002A7AC0">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de"}],"issued":{"date-parts":[["2018",12]]}}}],"schema":"https://github.com/citation-style-language/schema/raw/master/csl-citation.json"} </w:instrText>
      </w:r>
      <w:r w:rsidR="004A362E">
        <w:fldChar w:fldCharType="separate"/>
      </w:r>
      <w:r w:rsidR="002A7AC0" w:rsidRPr="002A7AC0">
        <w:rPr>
          <w:szCs w:val="24"/>
          <w:vertAlign w:val="superscript"/>
        </w:rPr>
        <w:t>16</w:t>
      </w:r>
      <w:r w:rsidR="004A362E">
        <w:fldChar w:fldCharType="end"/>
      </w:r>
      <w:r w:rsidR="004A362E">
        <w:t>.</w:t>
      </w:r>
      <w:r w:rsidR="001449B8">
        <w:t xml:space="preserve"> As multiple processes may act simultaneously and with opposing influences on regional sea-level trends, the methods used here cannot fully distinguish and quantify the relative magnitude o</w:t>
      </w:r>
      <w:r w:rsidR="009F761A">
        <w:t>f each individual process comprising</w:t>
      </w:r>
      <w:r w:rsidR="001449B8">
        <w:t xml:space="preserve"> the regional non-linear contribution.</w:t>
      </w:r>
    </w:p>
    <w:p w14:paraId="27108CBE" w14:textId="24ED3ECA" w:rsidR="00A255A0" w:rsidRDefault="00A255A0" w:rsidP="00845C15">
      <w:pPr>
        <w:jc w:val="left"/>
      </w:pPr>
    </w:p>
    <w:p w14:paraId="3C8E9A22" w14:textId="75DA545B" w:rsidR="001376B4" w:rsidRPr="00AF68C4" w:rsidRDefault="001376B4" w:rsidP="00B75FCF">
      <w:pPr>
        <w:pStyle w:val="Heading3"/>
      </w:pPr>
      <w:r w:rsidRPr="00B75FCF">
        <w:rPr>
          <w:b w:val="0"/>
          <w:i w:val="0"/>
        </w:rPr>
        <w:t>Sea-level budgets: local component</w:t>
      </w:r>
    </w:p>
    <w:p w14:paraId="3A25D0C1" w14:textId="686D4799" w:rsidR="00BD0785" w:rsidRDefault="006231F9" w:rsidP="002D416A">
      <w:pPr>
        <w:ind w:firstLine="720"/>
        <w:jc w:val="left"/>
      </w:pPr>
      <w:r w:rsidRPr="005C0961">
        <w:t>The local-scale contribution</w:t>
      </w:r>
      <w:r>
        <w:t xml:space="preserve"> </w:t>
      </w:r>
      <w:r w:rsidR="005F6B4A">
        <w:t xml:space="preserve">comprises those trends unique to each individual site </w:t>
      </w:r>
      <w:r w:rsidR="001E1FB6">
        <w:t xml:space="preserve">that are not </w:t>
      </w:r>
      <w:r w:rsidR="002349AC">
        <w:t>observed</w:t>
      </w:r>
      <w:r w:rsidR="001E1FB6">
        <w:t xml:space="preserve"> over larger </w:t>
      </w:r>
      <w:r w:rsidR="0020234C">
        <w:t xml:space="preserve">spatial </w:t>
      </w:r>
      <w:r w:rsidR="001E1FB6">
        <w:t>scales</w:t>
      </w:r>
      <w:r w:rsidR="002349AC">
        <w:t>.</w:t>
      </w:r>
      <w:r w:rsidR="005F6B4A">
        <w:t xml:space="preserve"> </w:t>
      </w:r>
      <w:r w:rsidR="002349AC">
        <w:t xml:space="preserve">The local component </w:t>
      </w:r>
      <w:r w:rsidRPr="005C0961">
        <w:t xml:space="preserve">is </w:t>
      </w:r>
      <w:r w:rsidR="00EB1196">
        <w:t xml:space="preserve">spatially and </w:t>
      </w:r>
      <w:r w:rsidR="00F5208F">
        <w:t xml:space="preserve">temporally variable; </w:t>
      </w:r>
      <w:r>
        <w:t>however, its interpretation is limited</w:t>
      </w:r>
      <w:r w:rsidR="00984DBF">
        <w:t xml:space="preserve"> by</w:t>
      </w:r>
      <w:r>
        <w:t xml:space="preserve"> the extent </w:t>
      </w:r>
      <w:r w:rsidR="00EB1196">
        <w:t xml:space="preserve">and resolution </w:t>
      </w:r>
      <w:r>
        <w:t>of the available Common Era RSL data</w:t>
      </w:r>
      <w:r w:rsidR="00EB1196">
        <w:t xml:space="preserve"> </w:t>
      </w:r>
      <w:r w:rsidR="00BA2A81">
        <w:t>at each site</w:t>
      </w:r>
      <w:r w:rsidR="00E90026">
        <w:t xml:space="preserve"> (Figure 4</w:t>
      </w:r>
      <w:r w:rsidR="00430FF0">
        <w:t>, Supplementary Figure 13</w:t>
      </w:r>
      <w:r>
        <w:t xml:space="preserve">). </w:t>
      </w:r>
      <w:r w:rsidR="000B4FED">
        <w:t>In northern New Jersey, t</w:t>
      </w:r>
      <w:r>
        <w:t xml:space="preserve">he </w:t>
      </w:r>
      <w:r w:rsidR="00384998">
        <w:t xml:space="preserve">amplitude </w:t>
      </w:r>
      <w:r>
        <w:t>of local-scale sea-level</w:t>
      </w:r>
      <w:r w:rsidR="00AC6153">
        <w:t xml:space="preserve"> change is &lt;2</w:t>
      </w:r>
      <w:r w:rsidR="00EE4589">
        <w:t xml:space="preserve"> cm </w:t>
      </w:r>
      <w:r w:rsidR="005E5AE0">
        <w:t xml:space="preserve">and it has the smallest </w:t>
      </w:r>
      <w:r w:rsidR="00F53F98">
        <w:t xml:space="preserve">contribution to </w:t>
      </w:r>
      <w:r w:rsidR="00E9255D">
        <w:t>RSL</w:t>
      </w:r>
      <w:r w:rsidR="002349AC">
        <w:t>, with rates</w:t>
      </w:r>
      <w:r w:rsidR="00F53F98">
        <w:t xml:space="preserve"> </w:t>
      </w:r>
      <w:r w:rsidR="005E5AE0">
        <w:t>ranging</w:t>
      </w:r>
      <w:r w:rsidR="00F5208F">
        <w:t xml:space="preserve"> from -0.1 to 0.1 </w:t>
      </w:r>
      <w:r w:rsidR="00AE7551" w:rsidRPr="00B9538C">
        <w:t>m</w:t>
      </w:r>
      <w:r w:rsidR="00AE7551">
        <w:t xml:space="preserve">m </w:t>
      </w:r>
      <w:r w:rsidR="00AE7551" w:rsidRPr="00B9538C">
        <w:t>yr</w:t>
      </w:r>
      <w:r w:rsidR="00AE7551" w:rsidRPr="00E86180">
        <w:rPr>
          <w:vertAlign w:val="superscript"/>
        </w:rPr>
        <w:t>-1</w:t>
      </w:r>
      <w:r w:rsidR="00F5208F">
        <w:t xml:space="preserve"> </w:t>
      </w:r>
      <w:r w:rsidR="005E5AE0">
        <w:t xml:space="preserve">throughout the Common Era </w:t>
      </w:r>
      <w:r w:rsidR="0084028E">
        <w:t>(Table 1</w:t>
      </w:r>
      <w:r>
        <w:t xml:space="preserve">). </w:t>
      </w:r>
      <w:r w:rsidR="000B4FED">
        <w:t>At all sites, t</w:t>
      </w:r>
      <w:r w:rsidR="00A61E16">
        <w:t xml:space="preserve">he </w:t>
      </w:r>
      <w:r w:rsidR="00384998">
        <w:t xml:space="preserve">amplitude </w:t>
      </w:r>
      <w:r w:rsidR="00A61E16">
        <w:t xml:space="preserve">of local-scale sea-level change is &lt;16 cm and </w:t>
      </w:r>
      <w:r w:rsidR="00984DBF">
        <w:t>its</w:t>
      </w:r>
      <w:r w:rsidR="00A61E16">
        <w:t xml:space="preserve"> contribution to </w:t>
      </w:r>
      <w:r w:rsidR="001C0FF7">
        <w:t>RSL change</w:t>
      </w:r>
      <w:r w:rsidR="00A61E16">
        <w:t xml:space="preserve"> rang</w:t>
      </w:r>
      <w:r w:rsidR="00984DBF">
        <w:t>es</w:t>
      </w:r>
      <w:r w:rsidR="00A61E16">
        <w:t xml:space="preserve"> from -0.3 to 0.3 </w:t>
      </w:r>
      <w:r w:rsidR="00AE7551" w:rsidRPr="00B9538C">
        <w:t>m</w:t>
      </w:r>
      <w:r w:rsidR="00AE7551">
        <w:t xml:space="preserve">m </w:t>
      </w:r>
      <w:r w:rsidR="00AE7551" w:rsidRPr="00B9538C">
        <w:t>yr</w:t>
      </w:r>
      <w:r w:rsidR="00AE7551" w:rsidRPr="00E86180">
        <w:rPr>
          <w:vertAlign w:val="superscript"/>
        </w:rPr>
        <w:t>-1</w:t>
      </w:r>
      <w:r w:rsidR="00381BD6">
        <w:t>,</w:t>
      </w:r>
      <w:r w:rsidR="00EE4CF0">
        <w:t xml:space="preserve"> with persist</w:t>
      </w:r>
      <w:r w:rsidR="00381BD6">
        <w:t>ent positive or negative contributions</w:t>
      </w:r>
      <w:r w:rsidR="00EE4CF0">
        <w:t xml:space="preserve"> for several centuries at a time</w:t>
      </w:r>
      <w:r w:rsidR="00A61E16">
        <w:t>,</w:t>
      </w:r>
      <w:r w:rsidR="003A44D0">
        <w:t xml:space="preserve"> and</w:t>
      </w:r>
      <w:r w:rsidR="00A61E16">
        <w:t xml:space="preserve"> the greatest contributions in New York City and North Carolina. </w:t>
      </w:r>
    </w:p>
    <w:p w14:paraId="20F075E1" w14:textId="0E1C4794" w:rsidR="005B242D" w:rsidRDefault="00E732C7" w:rsidP="002D416A">
      <w:pPr>
        <w:ind w:firstLine="720"/>
        <w:jc w:val="left"/>
      </w:pPr>
      <w:r>
        <w:t>Local-scale</w:t>
      </w:r>
      <w:r w:rsidR="006D7975">
        <w:t xml:space="preserve"> sediment compaction </w:t>
      </w:r>
      <w:r w:rsidR="00CA70CD">
        <w:t>can</w:t>
      </w:r>
      <w:r>
        <w:t xml:space="preserve"> </w:t>
      </w:r>
      <w:r w:rsidR="006D7975">
        <w:t>contribut</w:t>
      </w:r>
      <w:r w:rsidR="00CA70CD">
        <w:t>e to RSL change</w:t>
      </w:r>
      <w:r>
        <w:t xml:space="preserve">, but </w:t>
      </w:r>
      <w:r w:rsidR="00984DBF">
        <w:t xml:space="preserve">the </w:t>
      </w:r>
      <w:r w:rsidR="00CA70CD">
        <w:t xml:space="preserve">sequences from these sites have been decompacted </w:t>
      </w:r>
      <w:r w:rsidR="009250B9">
        <w:t>(e.g. Supplementary Figure 6)</w:t>
      </w:r>
      <w:r w:rsidR="00984DBF">
        <w:t xml:space="preserve">, </w:t>
      </w:r>
      <w:r w:rsidR="00CA70CD">
        <w:t xml:space="preserve">and </w:t>
      </w:r>
      <w:r w:rsidR="005A2B6F">
        <w:t xml:space="preserve">furthermore, </w:t>
      </w:r>
      <w:r w:rsidR="006D7975">
        <w:t xml:space="preserve">sediment compaction has been shown to have a minimal </w:t>
      </w:r>
      <w:r w:rsidR="00AE435B">
        <w:t>effect on</w:t>
      </w:r>
      <w:r w:rsidR="006D7975">
        <w:t xml:space="preserve"> RSL reconstructions from continuous sequences of high salt-marsh peat</w:t>
      </w:r>
      <w:r w:rsidR="00F8074A">
        <w:t xml:space="preserve"> with small overburden</w:t>
      </w:r>
      <w:r w:rsidR="00C66180">
        <w:t xml:space="preserve"> </w:t>
      </w:r>
      <w:r w:rsidR="00C66180">
        <w:fldChar w:fldCharType="begin"/>
      </w:r>
      <w:r w:rsidR="002349AC">
        <w:instrText xml:space="preserve"> ADDIN ZOTERO_ITEM CSL_CITATION {"citationID":"PffApDj1","properties":{"unsorted":true,"formattedCitation":"\\super 16,37\\nosupersub{}","plainCitation":"16,37","noteIndex":0},"citationItems":[{"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349AC">
        <w:rPr>
          <w:rFonts w:ascii="Cambria Math" w:hAnsi="Cambria Math" w:cs="Cambria Math"/>
        </w:rPr>
        <w:instrText>∼</w:instrText>
      </w:r>
      <w:r w:rsidR="002349AC">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de"}],"issued":{"date-parts":[["2018",12]]}},"label":"page"},{"id":879,"uris":["http://zotero.org/users/local/XxmvPi45/items/TLT54V44"],"uri":["http://zotero.org/users/local/XxmvPi45/items/TLT54V44"],"itemData":{"id":879,"type":"article-journal","container-title":"Quaternary Science Reviews","DOI":"10.1016/j.quascirev.2017.04.027","page":"96-111","title":"Exploring mechanisms of compaction in salt-marsh sediments using Common Era relative sea-level reconstructions","volume":"167","author":[{"family":"Brain","given":"M. J."},{"family":"Kemp","given":"A. C."},{"family":"Hawkes","given":"Andrea D."},{"family":"Engelhart","given":"S. E."},{"family":"Vane","given":"Christopher H."},{"family":"Cahill","given":"Niamh"},{"family":"Hill","given":"Troy D."},{"family":"Donnelly","given":"Jeffrey P."},{"family":"Horton","given":"B. P."}],"issued":{"date-parts":[["2017"]]}},"label":"page"}],"schema":"https://github.com/citation-style-language/schema/raw/master/csl-citation.json"} </w:instrText>
      </w:r>
      <w:r w:rsidR="00C66180">
        <w:fldChar w:fldCharType="separate"/>
      </w:r>
      <w:r w:rsidR="002349AC" w:rsidRPr="002349AC">
        <w:rPr>
          <w:szCs w:val="24"/>
          <w:vertAlign w:val="superscript"/>
        </w:rPr>
        <w:t>16,37</w:t>
      </w:r>
      <w:r w:rsidR="00C66180">
        <w:fldChar w:fldCharType="end"/>
      </w:r>
      <w:r w:rsidR="006D7975">
        <w:t>.</w:t>
      </w:r>
      <w:r w:rsidR="00CA70CD">
        <w:t xml:space="preserve"> </w:t>
      </w:r>
      <w:r w:rsidR="00D75D78">
        <w:t>A</w:t>
      </w:r>
      <w:r w:rsidR="009F0690">
        <w:t>nthropogenic groundwater withdrawal can cause local-scale RSL differe</w:t>
      </w:r>
      <w:r w:rsidR="00962D55">
        <w:t>nces across geographically proximal</w:t>
      </w:r>
      <w:r w:rsidR="009F0690">
        <w:t xml:space="preserve"> locations</w:t>
      </w:r>
      <w:r w:rsidR="00C66180">
        <w:t xml:space="preserve"> </w:t>
      </w:r>
      <w:r w:rsidR="00C66180">
        <w:fldChar w:fldCharType="begin"/>
      </w:r>
      <w:r w:rsidR="002A7AC0">
        <w:instrText xml:space="preserve"> ADDIN ZOTERO_ITEM CSL_CITATION {"citationID":"SHIkke83","properties":{"unsorted":true,"formattedCitation":"\\super 24\\nosupersub{}","plainCitation":"24","noteIndex":0},"citationItems":[{"id":288,"uris":["http://zotero.org/users/local/XxmvPi45/items/2J9YZ5V9"],"uri":["http://zotero.org/users/local/XxmvPi45/items/2J9YZ5V9"],"itemData":{"id":288,"type":"article-journal","abstract":"The rate of relative sea-level (RSL) rise at Sandy Hook, NJ (4.0 ± 0.5 mm/yr) was higher than The Battery, NY (3.0 ± 0.3 mm/yr) from 1900 to 2012 despite being separated by just 26 km. The difference cannot be explained by differential glacial isostatic adjustment (GIA; 1.4 ± 0.4 and 1.3 ± 0.4 mm/yr RSL rise, respectively) alone. We estimate the contribution of sediment compaction to subsidence at Sandy Hook using high-resolution grain size, percent organic matter, and porosity data from three upper Quaternary ( 13,350 cal yr) cores. The organic matter content (&lt;2%) is too low to contribute to local subsidence. However, numerical modeling of the grain size-depth-age-porosity relationship indicates that compaction of deglacial silts likely reduced the column thickness by 10e20% over the past 13,350 cal yrs. While compaction rates were high immediately after the main silt deposition (13,350e13,150 cal yrs BP), rates decreased exponentially after deposition to an average 20th century rate of 0.16 mm/yr (90% Conﬁdence Interval (C.I.), 0.06e0.32 mm/yr). The remaining ~0.7 mm/yr (90% C.I. 0.3e1.2 mm/yr) difference in subsidence between Sandy Hook and The Battery is likely due to anthropogenic groundwater withdrawal. Historical data from Fort Hancock wells (2 km to the southeast of the Sandy Hook tide gauge) and previous regional work show that local and regional water extraction lowered the water levels in the aquifers underlying Sandy Hook. We suggest that the modern order of contribution to subsidence (highest to lowest) appears to be GIA, local/regional groundwater extraction, and compaction of thick Quaternary silts.","container-title":"Quaternary Science Reviews","DOI":"10.1016/j.quascirev.2017.11.031","ISSN":"02773791","language":"en","page":"30-42","source":"Crossref","title":"The role of sediment compaction and groundwater withdrawal in local sea-level rise, Sandy Hook, New Jersey, USA","volume":"181","author":[{"family":"Johnson","given":"Christopher S."},{"family":"Miller","given":"Kenneth G."},{"family":"Browning","given":"James V."},{"family":"Kopp","given":"Robert E."},{"family":"Khan","given":"Nicole S."},{"family":"Fan","given":"Ying"},{"family":"Stanford","given":"Scott D."},{"family":"Horton","given":"Benjamin P."}],"issued":{"date-parts":[["2018",2]]}},"label":"page"}],"schema":"https://github.com/citation-style-language/schema/raw/master/csl-citation.json"} </w:instrText>
      </w:r>
      <w:r w:rsidR="00C66180">
        <w:fldChar w:fldCharType="separate"/>
      </w:r>
      <w:r w:rsidR="002A7AC0" w:rsidRPr="002A7AC0">
        <w:rPr>
          <w:szCs w:val="24"/>
          <w:vertAlign w:val="superscript"/>
        </w:rPr>
        <w:t>24</w:t>
      </w:r>
      <w:r w:rsidR="00C66180">
        <w:fldChar w:fldCharType="end"/>
      </w:r>
      <w:r w:rsidR="009F0690">
        <w:t>.</w:t>
      </w:r>
      <w:r w:rsidR="00962D55">
        <w:t xml:space="preserve"> </w:t>
      </w:r>
      <w:r w:rsidR="00D75D78">
        <w:t xml:space="preserve">Coastal New Jersey has been shown to experience up to ~0.7 </w:t>
      </w:r>
      <w:r w:rsidR="00AE7551" w:rsidRPr="00B9538C">
        <w:t>m</w:t>
      </w:r>
      <w:r w:rsidR="00AE7551">
        <w:t xml:space="preserve">m </w:t>
      </w:r>
      <w:r w:rsidR="00AE7551" w:rsidRPr="00B9538C">
        <w:t>yr</w:t>
      </w:r>
      <w:r w:rsidR="00AE7551" w:rsidRPr="00E86180">
        <w:rPr>
          <w:vertAlign w:val="superscript"/>
        </w:rPr>
        <w:t>-1</w:t>
      </w:r>
      <w:r w:rsidR="00D75D78">
        <w:t xml:space="preserve"> of subsidence due to groundwater withdrawal in the 20</w:t>
      </w:r>
      <w:r w:rsidR="00D75D78" w:rsidRPr="00D75D78">
        <w:rPr>
          <w:vertAlign w:val="superscript"/>
        </w:rPr>
        <w:t>th</w:t>
      </w:r>
      <w:r w:rsidR="00D75D78">
        <w:t xml:space="preserve"> century</w:t>
      </w:r>
      <w:r w:rsidR="00C66180">
        <w:t xml:space="preserve"> </w:t>
      </w:r>
      <w:r w:rsidR="00C66180">
        <w:fldChar w:fldCharType="begin"/>
      </w:r>
      <w:r w:rsidR="002A7AC0">
        <w:instrText xml:space="preserve"> ADDIN ZOTERO_ITEM CSL_CITATION {"citationID":"mm9IDykJ","properties":{"formattedCitation":"\\super 24\\nosupersub{}","plainCitation":"24","noteIndex":0},"citationItems":[{"id":288,"uris":["http://zotero.org/users/local/XxmvPi45/items/2J9YZ5V9"],"uri":["http://zotero.org/users/local/XxmvPi45/items/2J9YZ5V9"],"itemData":{"id":288,"type":"article-journal","abstract":"The rate of relative sea-level (RSL) rise at Sandy Hook, NJ (4.0 ± 0.5 mm/yr) was higher than The Battery, NY (3.0 ± 0.3 mm/yr) from 1900 to 2012 despite being separated by just 26 km. The difference cannot be explained by differential glacial isostatic adjustment (GIA; 1.4 ± 0.4 and 1.3 ± 0.4 mm/yr RSL rise, respectively) alone. We estimate the contribution of sediment compaction to subsidence at Sandy Hook using high-resolution grain size, percent organic matter, and porosity data from three upper Quaternary ( 13,350 cal yr) cores. The organic matter content (&lt;2%) is too low to contribute to local subsidence. However, numerical modeling of the grain size-depth-age-porosity relationship indicates that compaction of deglacial silts likely reduced the column thickness by 10e20% over the past 13,350 cal yrs. While compaction rates were high immediately after the main silt deposition (13,350e13,150 cal yrs BP), rates decreased exponentially after deposition to an average 20th century rate of 0.16 mm/yr (90% Conﬁdence Interval (C.I.), 0.06e0.32 mm/yr). The remaining ~0.7 mm/yr (90% C.I. 0.3e1.2 mm/yr) difference in subsidence between Sandy Hook and The Battery is likely due to anthropogenic groundwater withdrawal. Historical data from Fort Hancock wells (2 km to the southeast of the Sandy Hook tide gauge) and previous regional work show that local and regional water extraction lowered the water levels in the aquifers underlying Sandy Hook. We suggest that the modern order of contribution to subsidence (highest to lowest) appears to be GIA, local/regional groundwater extraction, and compaction of thick Quaternary silts.","container-title":"Quaternary Science Reviews","DOI":"10.1016/j.quascirev.2017.11.031","ISSN":"02773791","language":"en","page":"30-42","source":"Crossref","title":"The role of sediment compaction and groundwater withdrawal in local sea-level rise, Sandy Hook, New Jersey, USA","volume":"181","author":[{"family":"Johnson","given":"Christopher S."},{"family":"Miller","given":"Kenneth G."},{"family":"Browning","given":"James V."},{"family":"Kopp","given":"Robert E."},{"family":"Khan","given":"Nicole S."},{"family":"Fan","given":"Ying"},{"family":"Stanford","given":"Scott D."},{"family":"Horton","given":"Benjamin P."}],"issued":{"date-parts":[["2018",2]]}}}],"schema":"https://github.com/citation-style-language/schema/raw/master/csl-citation.json"} </w:instrText>
      </w:r>
      <w:r w:rsidR="00C66180">
        <w:fldChar w:fldCharType="separate"/>
      </w:r>
      <w:r w:rsidR="002A7AC0" w:rsidRPr="002A7AC0">
        <w:rPr>
          <w:szCs w:val="24"/>
          <w:vertAlign w:val="superscript"/>
        </w:rPr>
        <w:t>24</w:t>
      </w:r>
      <w:r w:rsidR="00C66180">
        <w:fldChar w:fldCharType="end"/>
      </w:r>
      <w:r w:rsidR="00D512F6">
        <w:t xml:space="preserve">, which could </w:t>
      </w:r>
      <w:r w:rsidR="00C91E1F">
        <w:t>explain some of the</w:t>
      </w:r>
      <w:r w:rsidR="00D512F6">
        <w:t xml:space="preserve"> local </w:t>
      </w:r>
      <w:r w:rsidR="00D512F6">
        <w:lastRenderedPageBreak/>
        <w:t xml:space="preserve">contribution </w:t>
      </w:r>
      <w:r w:rsidR="00C91E1F">
        <w:t xml:space="preserve">observed in northern and southern New Jersey </w:t>
      </w:r>
      <w:r w:rsidR="00D512F6">
        <w:t>in the last century</w:t>
      </w:r>
      <w:r w:rsidR="00D75D78">
        <w:t>.</w:t>
      </w:r>
      <w:r w:rsidR="00984DBF">
        <w:t xml:space="preserve"> The effects of groundwater withdrawal-induced subsidence are l</w:t>
      </w:r>
      <w:r w:rsidR="00A839C3">
        <w:t xml:space="preserve">ikely highly localized, however, </w:t>
      </w:r>
      <w:r w:rsidR="00EF2A45">
        <w:t>considering t</w:t>
      </w:r>
      <w:r w:rsidR="00C02807">
        <w:t xml:space="preserve">he </w:t>
      </w:r>
      <w:r w:rsidR="0084045B">
        <w:t xml:space="preserve">NOAA-operated </w:t>
      </w:r>
      <w:r w:rsidR="00C02807" w:rsidRPr="004A5100">
        <w:t xml:space="preserve">tide gauge at </w:t>
      </w:r>
      <w:r w:rsidR="00C02807">
        <w:t>Sandy Hook, New Jersey</w:t>
      </w:r>
      <w:r w:rsidR="0084045B">
        <w:t xml:space="preserve"> (station number </w:t>
      </w:r>
      <w:r w:rsidR="0084045B" w:rsidRPr="00BC0062">
        <w:t>8531680</w:t>
      </w:r>
      <w:r w:rsidR="0084045B">
        <w:t>)</w:t>
      </w:r>
      <w:r w:rsidR="00C02807">
        <w:t>, located ~20 km from Cheesequake State Park</w:t>
      </w:r>
      <w:r w:rsidR="0084045B">
        <w:t xml:space="preserve"> (Figure 1b, 1d)</w:t>
      </w:r>
      <w:r w:rsidR="00C02807">
        <w:t xml:space="preserve">, shows a rate of rise of 4.1 ± 0.1 </w:t>
      </w:r>
      <w:r w:rsidR="00AE7551" w:rsidRPr="00B9538C">
        <w:t>m</w:t>
      </w:r>
      <w:r w:rsidR="00AE7551">
        <w:t xml:space="preserve">m </w:t>
      </w:r>
      <w:r w:rsidR="00AE7551" w:rsidRPr="00B9538C">
        <w:t>yr</w:t>
      </w:r>
      <w:r w:rsidR="00AE7551" w:rsidRPr="00E86180">
        <w:rPr>
          <w:vertAlign w:val="superscript"/>
        </w:rPr>
        <w:t>-1</w:t>
      </w:r>
      <w:r w:rsidR="00C02807">
        <w:t xml:space="preserve"> </w:t>
      </w:r>
      <w:r w:rsidR="00871A70">
        <w:t xml:space="preserve">from 1940-2000 CE </w:t>
      </w:r>
      <w:r w:rsidR="00C02807">
        <w:t xml:space="preserve">compared to the proxy-based reconstruction </w:t>
      </w:r>
      <w:r w:rsidR="00D255BC">
        <w:t xml:space="preserve">at Cheesequake </w:t>
      </w:r>
      <w:r w:rsidR="00C02807">
        <w:t xml:space="preserve">of 3.2 ± 0.8 </w:t>
      </w:r>
      <w:r w:rsidR="00AE7551" w:rsidRPr="00B9538C">
        <w:t>m</w:t>
      </w:r>
      <w:r w:rsidR="00AE7551">
        <w:t xml:space="preserve">m </w:t>
      </w:r>
      <w:r w:rsidR="00AE7551" w:rsidRPr="00B9538C">
        <w:t>yr</w:t>
      </w:r>
      <w:r w:rsidR="00AE7551" w:rsidRPr="00E86180">
        <w:rPr>
          <w:vertAlign w:val="superscript"/>
        </w:rPr>
        <w:t>-1</w:t>
      </w:r>
      <w:r w:rsidR="00C02807">
        <w:t>.</w:t>
      </w:r>
      <w:r w:rsidR="006340E0">
        <w:t xml:space="preserve"> </w:t>
      </w:r>
    </w:p>
    <w:p w14:paraId="65F91DB0" w14:textId="315E29FD" w:rsidR="00C226B2" w:rsidRDefault="00DA7644" w:rsidP="002D416A">
      <w:pPr>
        <w:ind w:firstLine="720"/>
        <w:jc w:val="left"/>
      </w:pPr>
      <w:r>
        <w:t>T</w:t>
      </w:r>
      <w:r w:rsidR="00D75D78">
        <w:t xml:space="preserve">idal range changes </w:t>
      </w:r>
      <w:r w:rsidR="009842AF">
        <w:t xml:space="preserve">through time </w:t>
      </w:r>
      <w:r w:rsidR="00D75D78">
        <w:t xml:space="preserve">could </w:t>
      </w:r>
      <w:r w:rsidR="00E732C7">
        <w:t xml:space="preserve">be a contributing factor </w:t>
      </w:r>
      <w:r w:rsidR="00A92CC3">
        <w:t>to</w:t>
      </w:r>
      <w:r w:rsidR="00D75D78">
        <w:t xml:space="preserve"> local differences in RSL </w:t>
      </w:r>
      <w:r w:rsidR="00FA139F">
        <w:t xml:space="preserve">because the foraminifera indicators </w:t>
      </w:r>
      <w:r w:rsidR="00462767">
        <w:t xml:space="preserve">used as a proxy to reconstruct RSL </w:t>
      </w:r>
      <w:r w:rsidR="00FA139F">
        <w:t>are linked to modern tidal levels</w:t>
      </w:r>
      <w:r w:rsidR="00C25611">
        <w:t xml:space="preserve"> </w:t>
      </w:r>
      <w:r w:rsidR="00C25611">
        <w:fldChar w:fldCharType="begin"/>
      </w:r>
      <w:r w:rsidR="002A7AC0">
        <w:instrText xml:space="preserve"> ADDIN ZOTERO_ITEM CSL_CITATION {"citationID":"mGEQA3He","properties":{"unsorted":true,"formattedCitation":"\\super 38,39\\nosupersub{}","plainCitation":"38,39","noteIndex":0},"citationItems":[{"id":143,"uris":["http://zotero.org/users/local/XxmvPi45/items/QPA75LX5"],"uri":["http://zotero.org/users/local/XxmvPi45/items/QPA75LX5"],"itemData":{"id":143,"type":"article-journal","abstract":"MANY attempts to reconstruct the pattern of apparent sea-level rise that took place during the Holocene have used salt-marsh deposits as indicators of former sea level1,2. Contemporary mature salt marshes occupy a vertical range covering the upper half of the tidal range, from mean sea level to higher high water3,4, and geologists have arbitrarily equated ancient marsh deposits with various fixed elevations within this range. This method, disregarding any other source of inaccuracy, can introduce an error of 1–5 m depending on the tidal range. Apparent sea level movements during the late Holocene (2,000–3,000 yr BP) have been of the order of 1–2 m; hence such a method introduces errors larger than the movements being measured. Even less adequate sea-level estimates are derived from other commonly used indicators such as raised beaches, oyster beds, and submerged or emerged terraces and deltas. We describe here how marsh foraminifera can be used to delimit small-scale vertical zones along modern marsh surfaces generally corresponding to the floral zones in vertical range. This relationship was first established in the marshes of southern California5, and has recently been shown to be valid in other areas6.","container-title":"Nature","DOI":"10.1038/272528a0","ISSN":"1476-4687","issue":"5653","language":"En","page":"528","source":"www.nature.com","title":"Vertical zonations of marsh foraminifera as accurate indicators of former sea-levels","volume":"272","author":[{"family":"Scott","given":"D. S."},{"family":"Medioli","given":"F. S."}],"issued":{"date-parts":[["1978",4]]}},"label":"page"},{"id":510,"uris":["http://zotero.org/users/local/XxmvPi45/items/ZQ3Z6N3T"],"uri":["http://zotero.org/users/local/XxmvPi45/items/ZQ3Z6N3T"],"itemData":{"id":510,"type":"article-journal","abstract":"Salt-marsh foraminifera have been used to reconstruct Holocene sea-level changes from coastlines around the world. In this work, we compile the results of surface foraminiferal surveys from fifteen study sites located on the east, south and west coasts of Great Britain, and the west coast of Ireland. These data, which comprise 236 samples and 84 species, are used to summarize the contemporary distributions of intertidal foraminifera around the British Isles, and to examine the environmental controls governing them.","container-title":"Cushman Foundation for Foraminiferal Research Special Publication","language":"en","page":"100","source":"Zotero","title":"Quantifying Holocene sea level change using intertidal foraminifera: Lessons from the British Isles","volume":"40","author":[{"family":"Horton","given":"Benjamin P"},{"family":"Edwards","given":"Robin J"}],"issued":{"date-parts":[["2006"]]}},"label":"page"}],"schema":"https://github.com/citation-style-language/schema/raw/master/csl-citation.json"} </w:instrText>
      </w:r>
      <w:r w:rsidR="00C25611">
        <w:fldChar w:fldCharType="separate"/>
      </w:r>
      <w:r w:rsidR="002A7AC0" w:rsidRPr="002A7AC0">
        <w:rPr>
          <w:szCs w:val="24"/>
          <w:vertAlign w:val="superscript"/>
        </w:rPr>
        <w:t>38,39</w:t>
      </w:r>
      <w:r w:rsidR="00C25611">
        <w:fldChar w:fldCharType="end"/>
      </w:r>
      <w:r w:rsidR="00FA139F">
        <w:t>. Therefore, if the local tidal range differed in the past, the RSL reconstructions using these tide-level indicators will not match the true RSL curve</w:t>
      </w:r>
      <w:r w:rsidR="000A61C3">
        <w:t xml:space="preserve"> </w:t>
      </w:r>
      <w:r w:rsidR="000A61C3">
        <w:fldChar w:fldCharType="begin"/>
      </w:r>
      <w:r w:rsidR="002A7AC0">
        <w:instrText xml:space="preserve"> ADDIN ZOTERO_ITEM CSL_CITATION {"citationID":"FWwmxgrS","properties":{"formattedCitation":"\\super 40\\nosupersub{}","plainCitation":"40","noteIndex":0},"citationItems":[{"id":286,"uris":["http://zotero.org/users/local/XxmvPi45/items/VZVQHRPQ"],"uri":["http://zotero.org/users/local/XxmvPi45/items/VZVQHRPQ"],"itemData":{"id":286,"type":"article-journal","abstract":"We investigated the effect of tidal-range change and sediment compaction on reconstructions of Holocene relative sea level (RSL) in New Jersey, USA. We updated a published sea-level database to generate 50 sea-level index points and ten limiting dates that deﬁne continuously rising RSL in New Jersey during the Holocene. There is scatter among the index points, particularly those older than 7 ka. A numerical model estimated that paleotidal range was relatively constant during the mid and late Holocene, but rapidly increased between 9 and 8 ka, leading to an underestimation of RSL by $0.5 m. We adjusted the sea-level index points using the paleotidal model prior to assessing the inﬂuence of compaction on organic samples with clastic deposits above and below (an intercalated sea-level index point). We found a signiﬁcant relationship (p ¼ 0.01) with the thickness of the overburden (r ¼ 0.85). We altered the altitude of intercalated index points using this simple stratigraphic relationship, which reduced vertical scatter in sea-level reconstructions. We conclude that RSL rose at an average rate of 4 mm aÀ1 from 10 ka to 6 ka, 2 mm aÀ1 from 6 ka to 2 ka, and 1.3 mm aÀ1 from 2 ka to AD 1900.","container-title":"Journal of Quaternary Science","DOI":"10.1002/jqs.2634","ISSN":"02678179","issue":"4","language":"en","page":"403-411","source":"Crossref","title":"Influence of tidal-range change and sediment compaction on Holocene relative sea-level change in New Jersey, USA: Influence of Tidal-Range Change and Sediment Compaction","title-short":"Influence of tidal-range change and sediment compaction on Holocene relative sea-level change in New Jersey, USA","volume":"28","author":[{"family":"Horton","given":"Benjamin P."},{"family":"Engelhart","given":"Simon E."},{"family":"Hill","given":"David F."},{"family":"Kemp","given":"Andrew C."},{"family":"Nikitina","given":"Daria"},{"family":"Miller","given":"Kenneth G."},{"family":"Peltier","given":"W. Richard"}],"issued":{"date-parts":[["2013",5]]}}}],"schema":"https://github.com/citation-style-language/schema/raw/master/csl-citation.json"} </w:instrText>
      </w:r>
      <w:r w:rsidR="000A61C3">
        <w:fldChar w:fldCharType="separate"/>
      </w:r>
      <w:r w:rsidR="002A7AC0" w:rsidRPr="002A7AC0">
        <w:rPr>
          <w:szCs w:val="24"/>
          <w:vertAlign w:val="superscript"/>
        </w:rPr>
        <w:t>40</w:t>
      </w:r>
      <w:r w:rsidR="000A61C3">
        <w:fldChar w:fldCharType="end"/>
      </w:r>
      <w:r w:rsidR="00FA139F">
        <w:t>. C</w:t>
      </w:r>
      <w:r w:rsidR="00D75D78">
        <w:t xml:space="preserve">hanging bathymetric depths </w:t>
      </w:r>
      <w:r w:rsidR="00FA139F">
        <w:t xml:space="preserve">or coastline shapes </w:t>
      </w:r>
      <w:r w:rsidR="00D75D78">
        <w:t xml:space="preserve">from the effects of sedimentation </w:t>
      </w:r>
      <w:r w:rsidR="008A2A47">
        <w:t>can affect tidal ranges over centuries to millennia</w:t>
      </w:r>
      <w:r w:rsidR="00A037F5">
        <w:t xml:space="preserve"> </w:t>
      </w:r>
      <w:r w:rsidR="00A037F5">
        <w:fldChar w:fldCharType="begin"/>
      </w:r>
      <w:r w:rsidR="002A7AC0">
        <w:instrText xml:space="preserve"> ADDIN ZOTERO_ITEM CSL_CITATION {"citationID":"Odu5Amqd","properties":{"unsorted":true,"formattedCitation":"\\super 41,42\\nosupersub{}","plainCitation":"41,42","noteIndex":0},"citationItems":[{"id":881,"uris":["http://zotero.org/users/local/XxmvPi45/items/NSE46U28"],"uri":["http://zotero.org/users/local/XxmvPi45/items/NSE46U28"],"itemData":{"id":881,"type":"article-journal","container-title":"Journal of Geophysical Research","DOI":"10.1029/2010JC006896","title":"High-resolution numerical modeling of tides in the western Atlantic, Gulf of Mexico, and Caribbean Sea during the Holocene","volume":"116","author":[{"family":"Hill","given":"David F."},{"family":"Griffiths","given":"Stephen D."},{"family":"Peltier","given":"W. R."},{"family":"Horton","given":"B. P."},{"family":"Törnqvist","given":"T. E."}],"issued":{"date-parts":[["2011"]]}},"label":"page"},{"id":918,"uris":["http://zotero.org/users/local/XxmvPi45/items/2L9NHJZ2"],"uri":["http://zotero.org/users/local/XxmvPi45/items/2L9NHJZ2"],"itemData":{"id":918,"type":"article-journal","abstract":"Tides in the Delaware Bay (USA) have been modeled from 7000 years before present (7 ka) to the present day and for selected future sea-level rise scenarios (100 years, 300 years). Historic bathymetries were constructed through use of glacial isostatic adjustment models and a very high spatial resolution (&lt; 100 m) was used at the shoreline. Future bathymetries were obtained by extrapolating these glacial isostatic adjustment models and applying an additional eustatic sea-level rise. It was found that tides in the lower bay have remained fairly constant through time but that tides in the upper bay have increased steadily from about 4 ka to the present day; a nearly 100% increase in total. The future runs demonstrated spatially complex behavior with tidal-range changes of up to 10%.","container-title":"Geophysical Research Letters","DOI":"10.1029/2012GL054675","ISSN":"1944-8007","issue":"2","language":"en","note":"_eprint: https://agupubs.onlinelibrary.wiley.com/doi/pdf/10.1029/2012GL054675","page":"338-342","source":"Wiley Online Library","title":"A high-resolution study of tides in the Delaware Bay: Past conditions and future scenarios","title-short":"A high-resolution study of tides in the Delaware Bay","volume":"40","author":[{"family":"Hall","given":"George F."},{"family":"Hill","given":"David F."},{"family":"Horton","given":"Benjamin P."},{"family":"Engelhart","given":"Simon E."},{"family":"Peltier","given":"W. R."}],"issued":{"date-parts":[["2013"]]}},"label":"page"}],"schema":"https://github.com/citation-style-language/schema/raw/master/csl-citation.json"} </w:instrText>
      </w:r>
      <w:r w:rsidR="00A037F5">
        <w:fldChar w:fldCharType="separate"/>
      </w:r>
      <w:r w:rsidR="002A7AC0" w:rsidRPr="002A7AC0">
        <w:rPr>
          <w:szCs w:val="24"/>
          <w:vertAlign w:val="superscript"/>
        </w:rPr>
        <w:t>41,42</w:t>
      </w:r>
      <w:r w:rsidR="00A037F5">
        <w:fldChar w:fldCharType="end"/>
      </w:r>
      <w:r w:rsidR="008A2A47">
        <w:t>.</w:t>
      </w:r>
      <w:r w:rsidR="00D75D78">
        <w:t xml:space="preserve"> </w:t>
      </w:r>
      <w:r w:rsidR="00FF2ABD">
        <w:t>More recent tidal range changes, such as those observed at tide gauge sites worldwide in the last century, due to natural or a</w:t>
      </w:r>
      <w:r w:rsidR="00D75D78">
        <w:t>nthropogenic changes such as a loss of we</w:t>
      </w:r>
      <w:r w:rsidR="00D512F6">
        <w:t>tlands</w:t>
      </w:r>
      <w:r w:rsidR="005213BD">
        <w:t>, dredging,</w:t>
      </w:r>
      <w:r w:rsidR="00B26927">
        <w:t xml:space="preserve"> or changes in sedimentation due to deforestation</w:t>
      </w:r>
      <w:r w:rsidR="008A2A47">
        <w:t xml:space="preserve"> could </w:t>
      </w:r>
      <w:r w:rsidR="00FF2ABD">
        <w:t xml:space="preserve">also </w:t>
      </w:r>
      <w:r w:rsidR="003C7802">
        <w:t>contribute</w:t>
      </w:r>
      <w:r w:rsidR="008A2A47">
        <w:t xml:space="preserve"> to changes in the local component over the 20</w:t>
      </w:r>
      <w:r w:rsidR="008A2A47" w:rsidRPr="00923960">
        <w:rPr>
          <w:vertAlign w:val="superscript"/>
        </w:rPr>
        <w:t>th</w:t>
      </w:r>
      <w:r w:rsidR="008A2A47">
        <w:t xml:space="preserve"> century</w:t>
      </w:r>
      <w:r w:rsidR="003263C7">
        <w:t xml:space="preserve"> </w:t>
      </w:r>
      <w:r w:rsidR="003263C7">
        <w:fldChar w:fldCharType="begin"/>
      </w:r>
      <w:r w:rsidR="002A7AC0">
        <w:instrText xml:space="preserve"> ADDIN ZOTERO_ITEM CSL_CITATION {"citationID":"VOQf6OW1","properties":{"formattedCitation":"\\super 43\\nosupersub{}","plainCitation":"43","noteIndex":0},"citationItems":[{"id":952,"uris":["http://zotero.org/users/local/XxmvPi45/items/F2EADTDY"],"uri":["http://zotero.org/users/local/XxmvPi45/items/F2EADTDY"],"itemData":{"id":952,"type":"article-journal","abstract":"Tides exert a major control on the coastal zone by influencing high sea levels and coastal flooding, navigation, sediment dynamics, and ecology. Therefore, any changes to tides have wide ranging and important implications. In this paper, we uniquely assess secular changes in 15 regularly used tidal levels (five high water, five low water and five tidal ranges), which have direct practical applications. Using sea level data from 220 tide gauge sites, we found changes have occured in all analyzed tidal levels in many parts of the world. For the tidal levels assessed, between 36% and 63% of sites had trends significantly different (at 95% confidence level) from zero. At certain locations, the magnitude of the trends in tidal levels were similar to trends in mean sea level over the last century, with observed changes in tidal range and high water levels of over 5 mm yr−1 and 2 mm yr−1, respectively. More positive than negative trends were observed in tidal ranges and high water levels, and vice versa for low water levels. However we found no significant correlation between trends in mean sea level (MSL) and any tidal levels. Spatially coherent trends were observed in some regions, including the north-east Pacific, German Bight and Australasia, and we also found that differences in trends occur between different tidal levels. This implies that analyzing different tidal levels is important. Because changes in the tide are widespread and of similar magnitude to MSL rise at a number sites, changes in tides should be considered in coastal risk assessments.","container-title":"Earth's Future","DOI":"10.1002/2014EF000282","ISSN":"2328-4277","issue":"2","language":"en","note":"_eprint: https://agupubs.onlinelibrary.wiley.com/doi/pdf/10.1002/2014EF000282","page":"66-81","source":"Wiley Online Library","title":"Global secular changes in different tidal high water, low water and range levels","volume":"3","author":[{"family":"Mawdsley","given":"Robert J."},{"family":"Haigh","given":"Ivan D."},{"family":"Wells","given":"Neil C."}],"issued":{"date-parts":[["2015"]]}}}],"schema":"https://github.com/citation-style-language/schema/raw/master/csl-citation.json"} </w:instrText>
      </w:r>
      <w:r w:rsidR="003263C7">
        <w:fldChar w:fldCharType="separate"/>
      </w:r>
      <w:r w:rsidR="002A7AC0" w:rsidRPr="002A7AC0">
        <w:rPr>
          <w:szCs w:val="24"/>
          <w:vertAlign w:val="superscript"/>
        </w:rPr>
        <w:t>43</w:t>
      </w:r>
      <w:r w:rsidR="003263C7">
        <w:fldChar w:fldCharType="end"/>
      </w:r>
      <w:r w:rsidR="00FA139F">
        <w:t>.</w:t>
      </w:r>
      <w:r w:rsidR="00C44132">
        <w:t xml:space="preserve"> </w:t>
      </w:r>
      <w:r w:rsidR="00100CE2">
        <w:t>For example, in New York Cit</w:t>
      </w:r>
      <w:r w:rsidR="00C16ED0">
        <w:t>y, the local component underwent an abrupt shift during</w:t>
      </w:r>
      <w:r w:rsidR="00100CE2">
        <w:t xml:space="preserve"> the last century. </w:t>
      </w:r>
      <w:r w:rsidR="008B169D">
        <w:t xml:space="preserve">The </w:t>
      </w:r>
      <w:r w:rsidR="000A61C3">
        <w:t xml:space="preserve">six U.S. Atlantic coast </w:t>
      </w:r>
      <w:r w:rsidR="008B169D">
        <w:t xml:space="preserve">sites analysed here were not corrected for tidal range changes, but they were reconstructed from depositional environments with small tidal ranges </w:t>
      </w:r>
      <w:r w:rsidR="000B524B">
        <w:t>that</w:t>
      </w:r>
      <w:r w:rsidR="008B169D">
        <w:t xml:space="preserve"> have been shown to produce the most precise RSL reconstructions</w:t>
      </w:r>
      <w:r w:rsidR="00BE5ED1">
        <w:t xml:space="preserve"> </w:t>
      </w:r>
      <w:r w:rsidR="00BE5ED1">
        <w:fldChar w:fldCharType="begin"/>
      </w:r>
      <w:r w:rsidR="002A7AC0">
        <w:instrText xml:space="preserve"> ADDIN ZOTERO_ITEM CSL_CITATION {"citationID":"evo43eJt","properties":{"formattedCitation":"\\super 44\\nosupersub{}","plainCitation":"44","noteIndex":0},"citationItems":[{"id":950,"uris":["http://zotero.org/users/local/XxmvPi45/items/AZHYLBZB"],"uri":["http://zotero.org/users/local/XxmvPi45/items/AZHYLBZB"],"itemData":{"id":950,"type":"article-journal","abstract":"Understanding late Holocene to present relative sea-level changes at centennial or sub-centennial scales requires geological records that dovetail with the instrumental era. Salt marsh sediments are one of the most reliable geological tide gauges. In this paper we review the methodological and technical advances that promoted research on ‘high resolution’ late Holocene sea-level change. We work through an example to demonstrate different pathways to quantitative reconstructions of relative sea level based on salt marsh sediments. We demonstrate that any reconstruction is in part a result of the environment from which the record is taken, the modern dataset used to calibrate the fossil changes, statistical assumptions behind calibrating microfossil assemblages and choices made by the researchers. With the error term of typical transfer function models ~10–15% of the tidal range, micro-tidal environments should produce the most precise sea-level reconstructions. Sampled elevation range of the modern dataset also has a strong influence on model predictive ability. Model-specific errors may under represent total uncertainty which comes from field practices, sedimentary environment, palaeo-tidal changes and sediment compaction as well as statistical uncertainties. Geological tide gauges require a detailed chronology but we must be certain that apparent relative sea-level fluctuations are not simply a consequence of an age–depth model. We make six suggestions to aid the development and interpretation of geological tide gauge records.","container-title":"Global and Planetary Change","DOI":"10.1016/j.gloplacha.2013.03.003","ISSN":"0921-8181","journalAbbreviation":"Global and Planetary Change","language":"en","page":"90-110","source":"ScienceDirect","title":"Salt marshes as late Holocene tide gauges","volume":"106","author":[{"family":"Barlow","given":"Natasha L. M."},{"family":"Shennan","given":"Ian"},{"family":"Long","given":"Antony J."},{"family":"Gehrels","given":"W. Roland"},{"family":"Saher","given":"Margot H."},{"family":"Woodroffe","given":"Sarah A."},{"family":"Hillier","given":"Caroline"}],"issued":{"date-parts":[["2013",7,1]]}}}],"schema":"https://github.com/citation-style-language/schema/raw/master/csl-citation.json"} </w:instrText>
      </w:r>
      <w:r w:rsidR="00BE5ED1">
        <w:fldChar w:fldCharType="separate"/>
      </w:r>
      <w:r w:rsidR="002A7AC0" w:rsidRPr="002A7AC0">
        <w:rPr>
          <w:szCs w:val="24"/>
          <w:vertAlign w:val="superscript"/>
        </w:rPr>
        <w:t>44</w:t>
      </w:r>
      <w:r w:rsidR="00BE5ED1">
        <w:fldChar w:fldCharType="end"/>
      </w:r>
      <w:r w:rsidR="00B51669">
        <w:t>; therefore, even a large percentage change in tidal range would have a minimal influence on the absolute elevation of foraminiferal indicators</w:t>
      </w:r>
      <w:r w:rsidR="008B169D">
        <w:t>. Further,</w:t>
      </w:r>
      <w:r w:rsidR="00A47D0D">
        <w:t xml:space="preserve"> </w:t>
      </w:r>
      <w:r w:rsidR="00C64BE0">
        <w:t>paleotidal modelling efforts on the U.S Atlantic coast</w:t>
      </w:r>
      <w:r w:rsidR="003C7802">
        <w:t xml:space="preserve"> have demonstrated that</w:t>
      </w:r>
      <w:r w:rsidR="00C64BE0">
        <w:t xml:space="preserve"> </w:t>
      </w:r>
      <w:r w:rsidR="00A47D0D">
        <w:t>past tidal range changes have minimal influence on rates of sea-level change</w:t>
      </w:r>
      <w:r w:rsidR="00C64BE0">
        <w:t xml:space="preserve">, at least on basin scales; </w:t>
      </w:r>
      <w:r w:rsidR="003C7802">
        <w:t>nevertheless</w:t>
      </w:r>
      <w:r w:rsidR="00A47D0D">
        <w:t xml:space="preserve">, </w:t>
      </w:r>
      <w:r w:rsidR="00D95346">
        <w:t>site-specific factors</w:t>
      </w:r>
      <w:r w:rsidR="003C7802">
        <w:t xml:space="preserve">, such as the location of a site within a bay system, </w:t>
      </w:r>
      <w:r w:rsidR="00D95346">
        <w:t xml:space="preserve">must be </w:t>
      </w:r>
      <w:r w:rsidR="00D95346">
        <w:lastRenderedPageBreak/>
        <w:t xml:space="preserve">considered, </w:t>
      </w:r>
      <w:r w:rsidR="00803F0E">
        <w:fldChar w:fldCharType="begin"/>
      </w:r>
      <w:r w:rsidR="002A7AC0">
        <w:instrText xml:space="preserve"> ADDIN ZOTERO_ITEM CSL_CITATION {"citationID":"Gs1WGjid","properties":{"unsorted":true,"formattedCitation":"\\super 42,41\\nosupersub{}","plainCitation":"42,41","noteIndex":0},"citationItems":[{"id":918,"uris":["http://zotero.org/users/local/XxmvPi45/items/2L9NHJZ2"],"uri":["http://zotero.org/users/local/XxmvPi45/items/2L9NHJZ2"],"itemData":{"id":918,"type":"article-journal","abstract":"Tides in the Delaware Bay (USA) have been modeled from 7000 years before present (7 ka) to the present day and for selected future sea-level rise scenarios (100 years, 300 years). Historic bathymetries were constructed through use of glacial isostatic adjustment models and a very high spatial resolution (&lt; 100 m) was used at the shoreline. Future bathymetries were obtained by extrapolating these glacial isostatic adjustment models and applying an additional eustatic sea-level rise. It was found that tides in the lower bay have remained fairly constant through time but that tides in the upper bay have increased steadily from about 4 ka to the present day; a nearly 100% increase in total. The future runs demonstrated spatially complex behavior with tidal-range changes of up to 10%.","container-title":"Geophysical Research Letters","DOI":"10.1029/2012GL054675","ISSN":"1944-8007","issue":"2","language":"en","note":"_eprint: https://agupubs.onlinelibrary.wiley.com/doi/pdf/10.1029/2012GL054675","page":"338-342","source":"Wiley Online Library","title":"A high-resolution study of tides in the Delaware Bay: Past conditions and future scenarios","title-short":"A high-resolution study of tides in the Delaware Bay","volume":"40","author":[{"family":"Hall","given":"George F."},{"family":"Hill","given":"David F."},{"family":"Horton","given":"Benjamin P."},{"family":"Engelhart","given":"Simon E."},{"family":"Peltier","given":"W. R."}],"issued":{"date-parts":[["2013"]]}},"label":"page"},{"id":881,"uris":["http://zotero.org/users/local/XxmvPi45/items/NSE46U28"],"uri":["http://zotero.org/users/local/XxmvPi45/items/NSE46U28"],"itemData":{"id":881,"type":"article-journal","container-title":"Journal of Geophysical Research","DOI":"10.1029/2010JC006896","title":"High-resolution numerical modeling of tides in the western Atlantic, Gulf of Mexico, and Caribbean Sea during the Holocene","volume":"116","author":[{"family":"Hill","given":"David F."},{"family":"Griffiths","given":"Stephen D."},{"family":"Peltier","given":"W. R."},{"family":"Horton","given":"B. P."},{"family":"Törnqvist","given":"T. E."}],"issued":{"date-parts":[["2011"]]}},"label":"page"}],"schema":"https://github.com/citation-style-language/schema/raw/master/csl-citation.json"} </w:instrText>
      </w:r>
      <w:r w:rsidR="00803F0E">
        <w:fldChar w:fldCharType="separate"/>
      </w:r>
      <w:r w:rsidR="002A7AC0" w:rsidRPr="002A7AC0">
        <w:rPr>
          <w:szCs w:val="24"/>
          <w:vertAlign w:val="superscript"/>
        </w:rPr>
        <w:t>42,41</w:t>
      </w:r>
      <w:r w:rsidR="00803F0E">
        <w:fldChar w:fldCharType="end"/>
      </w:r>
      <w:r w:rsidR="00803F0E">
        <w:t xml:space="preserve">. </w:t>
      </w:r>
      <w:r w:rsidR="008B169D">
        <w:t xml:space="preserve">For example, in North Carolina, Kemp et al. </w:t>
      </w:r>
      <w:r w:rsidR="006436A7">
        <w:fldChar w:fldCharType="begin"/>
      </w:r>
      <w:r w:rsidR="006436A7">
        <w:instrText xml:space="preserve"> ADDIN ZOTERO_ITEM CSL_CITATION {"citationID":"atUq1xVK","properties":{"formattedCitation":"\\super 45\\nosupersub{}","plainCitation":"45","noteIndex":0},"citationItems":[{"id":396,"uris":["http://zotero.org/users/local/XxmvPi45/items/IVEN6I8Z"],"uri":["http://zotero.org/users/local/XxmvPi45/items/IVEN6I8Z"],"itemData":{"id":396,"type":"article-journal","abstract":"We produced ~3000-year long relative sea-level (RSL) histories for two sites in North Carolina (USA) using foraminifera preserved in new and existing cores of dated salt-marsh sediment. At Cedar Island, RSL rose by ~2.4 m during the past ~3000 years compared to ~3.3 m at Roanoke Island. This spatial difference arises primarily from differential GIA that caused late Holocene RSL rise to be 0.1e0.2 mm/yr faster at Roanoke Island than at Cedar Island. However, a non-linear difference in RSL between the two study regions (particularly from ~0 CE to ~1250 CE) indicates that additional local- to regional-scale processes drove centennial-scale RSL change in North Carolina. Therefore, the Cedar Island and Roanoke Island records should be considered as independent of one another. Between-site differences on sub-millennial timescales cannot be adequately explained by non-stationary tides, sediment compaction, or local sediment dynamics. We propose that a period of accelerating RSL rise from ~600 CE to 1100 CE that is present at Roanoke Island (and other sites north of Cape Hatteras at least as far as Connecticut), but absent at Cedar Island (and other sites south of Cape Hatteras at least as far as northeastern Florida) is a local-to regional-scale effect of dynamic ocean and/or atmospheric circulation.","container-title":"Quaternary Science Reviews","DOI":"10.1016/j.quascirev.2017.01.012","ISSN":"02773791","language":"en","page":"13-30","source":"Crossref","title":"Extended late Holocene relative sea-level histories for North Carolina, USA","volume":"160","author":[{"family":"Kemp","given":"Andrew C."},{"family":"Kegel","given":"Jessica J."},{"family":"Culver","given":"Stephen J."},{"family":"Barber","given":"Donald C."},{"family":"Mallinson","given":"David J."},{"family":"Leorri","given":"Eduardo"},{"family":"Bernhardt","given":"Christopher E."},{"family":"Cahill","given":"Niamh"},{"family":"Riggs","given":"Stanley R."},{"family":"Woodson","given":"Anna L."},{"family":"Mulligan","given":"Ryan P."},{"family":"Horton","given":"Benjamin P."}],"issued":{"literal":"2017a"}}}],"schema":"https://github.com/citation-style-language/schema/raw/master/csl-citation.json"} </w:instrText>
      </w:r>
      <w:r w:rsidR="006436A7">
        <w:fldChar w:fldCharType="separate"/>
      </w:r>
      <w:r w:rsidR="006436A7" w:rsidRPr="006436A7">
        <w:rPr>
          <w:szCs w:val="24"/>
          <w:vertAlign w:val="superscript"/>
        </w:rPr>
        <w:t>45</w:t>
      </w:r>
      <w:r w:rsidR="006436A7">
        <w:fldChar w:fldCharType="end"/>
      </w:r>
      <w:r w:rsidR="008B169D">
        <w:t xml:space="preserve"> explores the influence of tidal range changes on RSL reconstructions from changes in paleogeography through the opening and closing of inlets</w:t>
      </w:r>
      <w:r w:rsidR="00B51669">
        <w:t xml:space="preserve"> </w:t>
      </w:r>
      <w:r w:rsidR="00B51669">
        <w:fldChar w:fldCharType="begin"/>
      </w:r>
      <w:r w:rsidR="006436A7">
        <w:instrText xml:space="preserve"> ADDIN ZOTERO_ITEM CSL_CITATION {"citationID":"C0rr7m20","properties":{"formattedCitation":"\\super 46\\nosupersub{}","plainCitation":"46","noteIndex":0},"citationItems":[{"id":1010,"uris":["http://zotero.org/users/local/XxmvPi45/items/4AVL55R9"],"uri":["http://zotero.org/users/local/XxmvPi45/items/4AVL55R9"],"itemData":{"id":1010,"type":"article-journal","abstract":"Foraminiferal analyses of 404 contiguous samples, supported by diatom, lithologic, geochronologic and seismic data, reveal both rapid and gradual Holocene paleoenvironmental changes in an 8.21-m vibracore taken from southern Pamlico Sound, North Carolina. Data record initial flooding of a latest Pleistocene river drainage and the formation of an estuary 9000yr ago. Estuarine conditions were punctuated by two intervals of marine influence from approximately 4100 to 3700 and 1150 to 500calyr BP. Foraminiferal assemblages in the muddy sand facies that accumulated during these intervals contain many well-preserved benthic foraminiferal species, which occur today in open marine settings as deep as the mid shelf, and significant numbers of well-preserved planktonic foraminifera, some typical of Gulf Stream waters. We postulate that these marine-influenced units resulted from temporary destruction of the southern Outer Banks barrier islands by hurricanes. The second increase in marine influence is coeval with increased rate of sea-level rise and a peak in Atlantic tropical cyclone activity during the Medieval Climate Anomaly. This high-resolution analysis demonstrates the range of environmental variability and the rapidity of coastal change that can result from the interplay of changing climate, sea level and geomorphology in an estuarine setting.","container-title":"Quaternary Research","DOI":"10.1016/j.yqres.2011.06.012","ISSN":"0033-5894","issue":"3","journalAbbreviation":"Quaternary Research","language":"en","page":"319-334","source":"ScienceDirect","title":"Rapid Holocene coastal change revealed by high-resolution micropaleontological analysis, Pamlico Sound, North Carolina, USA","volume":"76","author":[{"family":"Grand Pre","given":"Candace"},{"family":"Culver","given":"Stephen J."},{"family":"Mallinson","given":"David J."},{"family":"Farrell","given":"Kathleen M."},{"family":"Corbett","given":"D. Reide"},{"family":"Horton","given":"Benjamin P."},{"family":"Hillier","given":"Caroline"},{"family":"Riggs","given":"Stanley R."},{"family":"Snyder","given":"Scott W."},{"family":"Buzas","given":"Martin A."}],"issued":{"date-parts":[["2011",11,1]]}}}],"schema":"https://github.com/citation-style-language/schema/raw/master/csl-citation.json"} </w:instrText>
      </w:r>
      <w:r w:rsidR="00B51669">
        <w:fldChar w:fldCharType="separate"/>
      </w:r>
      <w:r w:rsidR="006436A7" w:rsidRPr="006436A7">
        <w:rPr>
          <w:szCs w:val="24"/>
          <w:vertAlign w:val="superscript"/>
        </w:rPr>
        <w:t>46</w:t>
      </w:r>
      <w:r w:rsidR="00B51669">
        <w:fldChar w:fldCharType="end"/>
      </w:r>
      <w:r w:rsidR="008B169D">
        <w:t xml:space="preserve"> in the Outer Banks barrier islands. </w:t>
      </w:r>
      <w:r w:rsidR="00E80F83">
        <w:t>In the case of a doubling of tidal range through the opening of a barrier, the RSL reconstr</w:t>
      </w:r>
      <w:r w:rsidR="003C7802">
        <w:t xml:space="preserve">uction is altered on centimeter </w:t>
      </w:r>
      <w:r w:rsidR="00E80F83">
        <w:t>scales</w:t>
      </w:r>
      <w:r w:rsidR="000C7FDA">
        <w:t xml:space="preserve"> </w:t>
      </w:r>
      <w:r w:rsidR="000C7FDA">
        <w:fldChar w:fldCharType="begin"/>
      </w:r>
      <w:r w:rsidR="000C7FDA">
        <w:instrText xml:space="preserve"> ADDIN ZOTERO_ITEM CSL_CITATION {"citationID":"BR6hWWFd","properties":{"formattedCitation":"\\super 45\\nosupersub{}","plainCitation":"45","noteIndex":0},"citationItems":[{"id":396,"uris":["http://zotero.org/users/local/XxmvPi45/items/IVEN6I8Z"],"uri":["http://zotero.org/users/local/XxmvPi45/items/IVEN6I8Z"],"itemData":{"id":396,"type":"article-journal","abstract":"We produced ~3000-year long relative sea-level (RSL) histories for two sites in North Carolina (USA) using foraminifera preserved in new and existing cores of dated salt-marsh sediment. At Cedar Island, RSL rose by ~2.4 m during the past ~3000 years compared to ~3.3 m at Roanoke Island. This spatial difference arises primarily from differential GIA that caused late Holocene RSL rise to be 0.1e0.2 mm/yr faster at Roanoke Island than at Cedar Island. However, a non-linear difference in RSL between the two study regions (particularly from ~0 CE to ~1250 CE) indicates that additional local- to regional-scale processes drove centennial-scale RSL change in North Carolina. Therefore, the Cedar Island and Roanoke Island records should be considered as independent of one another. Between-site differences on sub-millennial timescales cannot be adequately explained by non-stationary tides, sediment compaction, or local sediment dynamics. We propose that a period of accelerating RSL rise from ~600 CE to 1100 CE that is present at Roanoke Island (and other sites north of Cape Hatteras at least as far as Connecticut), but absent at Cedar Island (and other sites south of Cape Hatteras at least as far as northeastern Florida) is a local-to regional-scale effect of dynamic ocean and/or atmospheric circulation.","container-title":"Quaternary Science Reviews","DOI":"10.1016/j.quascirev.2017.01.012","ISSN":"02773791","language":"en","page":"13-30","source":"Crossref","title":"Extended late Holocene relative sea-level histories for North Carolina, USA","volume":"160","author":[{"family":"Kemp","given":"Andrew C."},{"family":"Kegel","given":"Jessica J."},{"family":"Culver","given":"Stephen J."},{"family":"Barber","given":"Donald C."},{"family":"Mallinson","given":"David J."},{"family":"Leorri","given":"Eduardo"},{"family":"Bernhardt","given":"Christopher E."},{"family":"Cahill","given":"Niamh"},{"family":"Riggs","given":"Stanley R."},{"family":"Woodson","given":"Anna L."},{"family":"Mulligan","given":"Ryan P."},{"family":"Horton","given":"Benjamin P."}],"issued":{"literal":"2017a"}}}],"schema":"https://github.com/citation-style-language/schema/raw/master/csl-citation.json"} </w:instrText>
      </w:r>
      <w:r w:rsidR="000C7FDA">
        <w:fldChar w:fldCharType="separate"/>
      </w:r>
      <w:r w:rsidR="000C7FDA" w:rsidRPr="000C7FDA">
        <w:rPr>
          <w:szCs w:val="24"/>
          <w:vertAlign w:val="superscript"/>
        </w:rPr>
        <w:t>45</w:t>
      </w:r>
      <w:r w:rsidR="000C7FDA">
        <w:fldChar w:fldCharType="end"/>
      </w:r>
      <w:r w:rsidR="00E80F83">
        <w:t xml:space="preserve">. </w:t>
      </w:r>
      <w:r w:rsidR="00C64BE0">
        <w:t>In N</w:t>
      </w:r>
      <w:r w:rsidR="006436A7">
        <w:t xml:space="preserve">ew York City, Kemp et al. </w:t>
      </w:r>
      <w:r w:rsidR="006436A7">
        <w:fldChar w:fldCharType="begin"/>
      </w:r>
      <w:r w:rsidR="006436A7">
        <w:instrText xml:space="preserve"> ADDIN ZOTERO_ITEM CSL_CITATION {"citationID":"ft8kt2yR","properties":{"formattedCitation":"\\super 15\\nosupersub{}","plainCitation":"15","noteIndex":0},"citationItems":[{"id":246,"uris":["http://zotero.org/users/local/XxmvPi45/items/2HXYQNKX"],"uri":["http://zotero.org/users/local/XxmvPi45/items/2HXYQNKX"],"itemData":{"id":246,"type":"article-journal","abstract":"New York City (NYC) is threatened by 21st-century relative sea-level (RSL) rise because it will experience a trend that exceeds the global mean and has high concentrations of low-lying infrastructure and socioeconomic activity. To provide a long-term context for anticipated trends, we reconstructed RSL change during the past ~1500 years using a core of salt-marsh sediment from Pelham Bay in The Bronx. Foraminifera and bulk-sediment δ13C values were used as sea-level indicators. The history of sediment accumulation was established by radiocarbon dating and recognition of pollution and land-use trends of known age in down-core elemental, isotopic, and pollen profiles. The reconstruction was generated within a Bayesian hierarchical model to accommodate multiple proxies and to provide a unified statistical framework for quantifying uncertainty. We show that RSL in NYC rose by ~1.70 m since ~575 CE (including ~0.38 m since 1850 CE). The rate of RSL rise increased markedly at 1812–1913 CE from ~1.0 to ~2.5 mm/yr, which coincides with other reconstructions along the US Atlantic coast. We investigated the possible influence of tidal-range change in Long Island Sound on our reconstruction using a regional tidal model, and we demonstrate that this effect was likely small. However, future tidal-range change could exacerbate the impacts of RSL rise in communities bordering Long Island Sound. The current rate of RSL rise is the fastest that NYC has experienced for &gt;1500 years, and its ongoing acceleration suggests that projections of 21st-century local RSL rise will be realized.","container-title":"The Holocene","DOI":"10.1177/0959683616683263","ISSN":"0959-6836, 1477-0911","issue":"8","language":"en","page":"1169-1186","source":"Crossref","title":"Relative sea-level trends in New York City during the past 1500 years","volume":"27","author":[{"family":"Kemp","given":"Andrew C."},{"family":"Hill","given":"Troy D"},{"family":"Vane","given":"Christopher H"},{"family":"Cahill","given":"Niamh"},{"family":"Orton","given":"Philip M"},{"family":"Talke","given":"Stefan A"},{"family":"Parnell","given":"Andrew C"},{"family":"Sanborn","given":"Kelsey"},{"family":"Hartig","given":"Ellen K"}],"issued":{"literal":"2017b"}}}],"schema":"https://github.com/citation-style-language/schema/raw/master/csl-citation.json"} </w:instrText>
      </w:r>
      <w:r w:rsidR="006436A7">
        <w:fldChar w:fldCharType="separate"/>
      </w:r>
      <w:r w:rsidR="006436A7" w:rsidRPr="006436A7">
        <w:rPr>
          <w:szCs w:val="24"/>
          <w:vertAlign w:val="superscript"/>
        </w:rPr>
        <w:t>15</w:t>
      </w:r>
      <w:r w:rsidR="006436A7">
        <w:fldChar w:fldCharType="end"/>
      </w:r>
      <w:r w:rsidR="00C64BE0">
        <w:t xml:space="preserve"> used hydrodynamic modelling to examine the in</w:t>
      </w:r>
      <w:r w:rsidR="00BE5ED1">
        <w:t>fluence of tidal range changes as RSL rise likely increased the tidal range in Long Island Sound over the past 1500 years. A reconstruction adjusted for past tidal range change results in an average difference from the original reconstruction of 0.05 m (up to 0.11</w:t>
      </w:r>
      <w:r w:rsidR="00564BC7">
        <w:t xml:space="preserve"> m</w:t>
      </w:r>
      <w:r w:rsidR="00BE5ED1">
        <w:t xml:space="preserve">); however, the overall RSL trends remain the same as these changes are within </w:t>
      </w:r>
      <w:r w:rsidR="000C2852">
        <w:t xml:space="preserve">the boundary of </w:t>
      </w:r>
      <w:r w:rsidR="00BE5ED1">
        <w:t>uncertainties</w:t>
      </w:r>
      <w:r w:rsidR="000C7FDA">
        <w:t xml:space="preserve"> </w:t>
      </w:r>
      <w:r w:rsidR="000C7FDA">
        <w:fldChar w:fldCharType="begin"/>
      </w:r>
      <w:r w:rsidR="000C7FDA">
        <w:instrText xml:space="preserve"> ADDIN ZOTERO_ITEM CSL_CITATION {"citationID":"tQwAH595","properties":{"formattedCitation":"\\super 15\\nosupersub{}","plainCitation":"15","noteIndex":0},"citationItems":[{"id":246,"uris":["http://zotero.org/users/local/XxmvPi45/items/2HXYQNKX"],"uri":["http://zotero.org/users/local/XxmvPi45/items/2HXYQNKX"],"itemData":{"id":246,"type":"article-journal","abstract":"New York City (NYC) is threatened by 21st-century relative sea-level (RSL) rise because it will experience a trend that exceeds the global mean and has high concentrations of low-lying infrastructure and socioeconomic activity. To provide a long-term context for anticipated trends, we reconstructed RSL change during the past ~1500 years using a core of salt-marsh sediment from Pelham Bay in The Bronx. Foraminifera and bulk-sediment δ13C values were used as sea-level indicators. The history of sediment accumulation was established by radiocarbon dating and recognition of pollution and land-use trends of known age in down-core elemental, isotopic, and pollen profiles. The reconstruction was generated within a Bayesian hierarchical model to accommodate multiple proxies and to provide a unified statistical framework for quantifying uncertainty. We show that RSL in NYC rose by ~1.70 m since ~575 CE (including ~0.38 m since 1850 CE). The rate of RSL rise increased markedly at 1812–1913 CE from ~1.0 to ~2.5 mm/yr, which coincides with other reconstructions along the US Atlantic coast. We investigated the possible influence of tidal-range change in Long Island Sound on our reconstruction using a regional tidal model, and we demonstrate that this effect was likely small. However, future tidal-range change could exacerbate the impacts of RSL rise in communities bordering Long Island Sound. The current rate of RSL rise is the fastest that NYC has experienced for &gt;1500 years, and its ongoing acceleration suggests that projections of 21st-century local RSL rise will be realized.","container-title":"The Holocene","DOI":"10.1177/0959683616683263","ISSN":"0959-6836, 1477-0911","issue":"8","language":"en","page":"1169-1186","source":"Crossref","title":"Relative sea-level trends in New York City during the past 1500 years","volume":"27","author":[{"family":"Kemp","given":"Andrew C."},{"family":"Hill","given":"Troy D"},{"family":"Vane","given":"Christopher H"},{"family":"Cahill","given":"Niamh"},{"family":"Orton","given":"Philip M"},{"family":"Talke","given":"Stefan A"},{"family":"Parnell","given":"Andrew C"},{"family":"Sanborn","given":"Kelsey"},{"family":"Hartig","given":"Ellen K"}],"issued":{"literal":"2017b"}}}],"schema":"https://github.com/citation-style-language/schema/raw/master/csl-citation.json"} </w:instrText>
      </w:r>
      <w:r w:rsidR="000C7FDA">
        <w:fldChar w:fldCharType="separate"/>
      </w:r>
      <w:r w:rsidR="000C7FDA" w:rsidRPr="000C7FDA">
        <w:rPr>
          <w:szCs w:val="24"/>
          <w:vertAlign w:val="superscript"/>
        </w:rPr>
        <w:t>15</w:t>
      </w:r>
      <w:r w:rsidR="000C7FDA">
        <w:fldChar w:fldCharType="end"/>
      </w:r>
      <w:r w:rsidR="00BE5ED1">
        <w:t xml:space="preserve">. </w:t>
      </w:r>
      <w:r w:rsidR="00803F0E">
        <w:t xml:space="preserve">Therefore, </w:t>
      </w:r>
      <w:r w:rsidR="00BE5ED1">
        <w:t>there is p</w:t>
      </w:r>
      <w:r w:rsidR="007F43F4">
        <w:t>otential for tidal range change</w:t>
      </w:r>
      <w:r w:rsidR="00BE5ED1">
        <w:t xml:space="preserve"> to influence </w:t>
      </w:r>
      <w:r w:rsidR="00440FE4">
        <w:t xml:space="preserve">reconstructed </w:t>
      </w:r>
      <w:r w:rsidR="00BE5ED1">
        <w:t xml:space="preserve">RSL </w:t>
      </w:r>
      <w:r w:rsidR="00122216">
        <w:t>rates</w:t>
      </w:r>
      <w:r w:rsidR="00BE5ED1">
        <w:t xml:space="preserve">, but </w:t>
      </w:r>
      <w:r w:rsidR="00122216">
        <w:t>the magnitud</w:t>
      </w:r>
      <w:r w:rsidR="00457622">
        <w:t xml:space="preserve">e of </w:t>
      </w:r>
      <w:r w:rsidR="00440FE4">
        <w:t>RSL change</w:t>
      </w:r>
      <w:r w:rsidR="00457622">
        <w:t xml:space="preserve"> is relatively small </w:t>
      </w:r>
      <w:r w:rsidR="00122216">
        <w:t xml:space="preserve">and </w:t>
      </w:r>
      <w:r w:rsidR="00BE5ED1">
        <w:t xml:space="preserve">the extent of its influence is site-specific. </w:t>
      </w:r>
      <w:r w:rsidR="00457622">
        <w:t>In particular</w:t>
      </w:r>
      <w:r w:rsidR="00BE5ED1">
        <w:t xml:space="preserve">, </w:t>
      </w:r>
      <w:r w:rsidR="00803F0E">
        <w:t>t</w:t>
      </w:r>
      <w:r w:rsidR="00C44132">
        <w:t xml:space="preserve">he </w:t>
      </w:r>
      <w:r w:rsidR="00E80F83">
        <w:t xml:space="preserve">precise </w:t>
      </w:r>
      <w:r w:rsidR="00C226B2">
        <w:t xml:space="preserve">local-scale geomorphologic evolution </w:t>
      </w:r>
      <w:r w:rsidR="00C44132">
        <w:t xml:space="preserve">at each individual site is needed </w:t>
      </w:r>
      <w:r w:rsidR="00C226B2">
        <w:t xml:space="preserve">to understand </w:t>
      </w:r>
      <w:r w:rsidR="00C44132">
        <w:t xml:space="preserve">the </w:t>
      </w:r>
      <w:r w:rsidR="00C226B2">
        <w:t>full effects of potential tidal range changes</w:t>
      </w:r>
      <w:r w:rsidR="00C44132">
        <w:t xml:space="preserve"> driven by geomorphologic changes that could contribut</w:t>
      </w:r>
      <w:r w:rsidR="00AE1996">
        <w:t>e</w:t>
      </w:r>
      <w:r w:rsidR="00C44132">
        <w:t xml:space="preserve"> to the local component of sea-level change.</w:t>
      </w:r>
    </w:p>
    <w:p w14:paraId="4CD6698C" w14:textId="4151CBC3" w:rsidR="0066374F" w:rsidRDefault="0066374F" w:rsidP="00845C15">
      <w:pPr>
        <w:jc w:val="left"/>
      </w:pPr>
    </w:p>
    <w:p w14:paraId="035D103E" w14:textId="1491473D" w:rsidR="007B6657" w:rsidRDefault="00AE1996" w:rsidP="00640061">
      <w:pPr>
        <w:ind w:firstLine="720"/>
        <w:jc w:val="left"/>
      </w:pPr>
      <w:r>
        <w:t>In this study, we use t</w:t>
      </w:r>
      <w:r w:rsidR="00F361B5">
        <w:t xml:space="preserve">he distinct </w:t>
      </w:r>
      <w:r w:rsidR="00CA2465">
        <w:t xml:space="preserve">spatial scales of </w:t>
      </w:r>
      <w:r w:rsidR="00772E81">
        <w:t xml:space="preserve">processes </w:t>
      </w:r>
      <w:r w:rsidR="00F361B5">
        <w:t>driving</w:t>
      </w:r>
      <w:r w:rsidR="00CA2465">
        <w:t xml:space="preserve"> </w:t>
      </w:r>
      <w:r w:rsidR="00772E81">
        <w:t>sea-level change</w:t>
      </w:r>
      <w:r w:rsidR="00CA2465">
        <w:t xml:space="preserve"> </w:t>
      </w:r>
      <w:r>
        <w:t>to</w:t>
      </w:r>
      <w:r w:rsidR="00F361B5">
        <w:t xml:space="preserve"> distinguish the</w:t>
      </w:r>
      <w:r w:rsidR="00772E81">
        <w:t>ir</w:t>
      </w:r>
      <w:r w:rsidR="00F361B5">
        <w:t xml:space="preserve"> </w:t>
      </w:r>
      <w:r w:rsidR="00772E81">
        <w:t xml:space="preserve">varying contributions </w:t>
      </w:r>
      <w:r w:rsidR="00F361B5">
        <w:t xml:space="preserve">through time. </w:t>
      </w:r>
      <w:r w:rsidR="00BD5DEC">
        <w:t>Along the U</w:t>
      </w:r>
      <w:r w:rsidR="00FD7C90">
        <w:t>.</w:t>
      </w:r>
      <w:r w:rsidR="00BD5DEC">
        <w:t>S</w:t>
      </w:r>
      <w:r w:rsidR="00FD7C90">
        <w:t>.</w:t>
      </w:r>
      <w:r w:rsidR="005E4F3D">
        <w:t xml:space="preserve"> Atlantic c</w:t>
      </w:r>
      <w:r w:rsidR="00BD5DEC">
        <w:t xml:space="preserve">oast, </w:t>
      </w:r>
      <w:r w:rsidR="00930CBF">
        <w:t xml:space="preserve">Common Era </w:t>
      </w:r>
      <w:r w:rsidR="001C0FF7">
        <w:t>RSL change is</w:t>
      </w:r>
      <w:r w:rsidR="00CA2465">
        <w:t xml:space="preserve"> dominated by regional-scale linear processes due to the effects of GIA</w:t>
      </w:r>
      <w:r w:rsidR="00C30185">
        <w:t xml:space="preserve">, with the fastest rates of rise </w:t>
      </w:r>
      <w:r w:rsidR="00457622">
        <w:t xml:space="preserve">of 1.6 ± 0.02 </w:t>
      </w:r>
      <w:r w:rsidR="00457622" w:rsidRPr="00B9538C">
        <w:t>m</w:t>
      </w:r>
      <w:r w:rsidR="00457622">
        <w:t xml:space="preserve">m </w:t>
      </w:r>
      <w:r w:rsidR="00457622" w:rsidRPr="00B9538C">
        <w:t>yr</w:t>
      </w:r>
      <w:r w:rsidR="00457622" w:rsidRPr="00E86180">
        <w:rPr>
          <w:vertAlign w:val="superscript"/>
        </w:rPr>
        <w:t>-1</w:t>
      </w:r>
      <w:r w:rsidR="00457622">
        <w:rPr>
          <w:vertAlign w:val="superscript"/>
        </w:rPr>
        <w:t xml:space="preserve"> </w:t>
      </w:r>
      <w:r w:rsidR="00C30185">
        <w:t xml:space="preserve">in southern New Jersey. </w:t>
      </w:r>
      <w:r w:rsidR="00CA2465">
        <w:t xml:space="preserve">Regional non-linear </w:t>
      </w:r>
      <w:r w:rsidR="00C30185">
        <w:t>changes from atmosphere/ocean dynamics and</w:t>
      </w:r>
      <w:r w:rsidR="00B21DF7">
        <w:t xml:space="preserve"> gravitational, rotational</w:t>
      </w:r>
      <w:r w:rsidR="00CE3320">
        <w:t>,</w:t>
      </w:r>
      <w:r w:rsidR="00B21DF7">
        <w:t xml:space="preserve"> and deformational </w:t>
      </w:r>
      <w:r w:rsidR="00C30185">
        <w:t xml:space="preserve">effects of land-ice change are </w:t>
      </w:r>
      <w:r w:rsidR="003A5788">
        <w:t>similar</w:t>
      </w:r>
      <w:r w:rsidR="00C30185">
        <w:t xml:space="preserve"> among the sites, contributing between -0.3 and 0.4 </w:t>
      </w:r>
      <w:r w:rsidR="00AE7551" w:rsidRPr="00B9538C">
        <w:t>m</w:t>
      </w:r>
      <w:r w:rsidR="00AE7551">
        <w:t xml:space="preserve">m </w:t>
      </w:r>
      <w:r w:rsidR="00AE7551" w:rsidRPr="00B9538C">
        <w:t>yr</w:t>
      </w:r>
      <w:r w:rsidR="00AE7551" w:rsidRPr="00E86180">
        <w:rPr>
          <w:vertAlign w:val="superscript"/>
        </w:rPr>
        <w:t>-1</w:t>
      </w:r>
      <w:r w:rsidR="00C30185">
        <w:t xml:space="preserve"> at each site through the Common Era. </w:t>
      </w:r>
      <w:r w:rsidR="00BD5DEC">
        <w:t>Th</w:t>
      </w:r>
      <w:r w:rsidR="00457622">
        <w:t>e</w:t>
      </w:r>
      <w:r w:rsidR="00BD5DEC">
        <w:t xml:space="preserve"> consistency of this signal north of </w:t>
      </w:r>
      <w:r w:rsidR="00FD7C90">
        <w:t>the North Carolina site argues that atmospher</w:t>
      </w:r>
      <w:r w:rsidR="00BD5DEC">
        <w:t xml:space="preserve">e/ocean dynamics are the dominant driver of this term. </w:t>
      </w:r>
      <w:r w:rsidR="00C30185">
        <w:t xml:space="preserve">The local signal, likely </w:t>
      </w:r>
      <w:r w:rsidR="00C30185">
        <w:lastRenderedPageBreak/>
        <w:t xml:space="preserve">primarily due to tidal range changes and anthropogenic groundwater withdrawal, vary spatially and temporally among sites between -0.3 and 0.3 </w:t>
      </w:r>
      <w:r w:rsidR="00AE7551" w:rsidRPr="00B9538C">
        <w:t>m</w:t>
      </w:r>
      <w:r w:rsidR="00AE7551">
        <w:t xml:space="preserve">m </w:t>
      </w:r>
      <w:r w:rsidR="00AE7551" w:rsidRPr="00B9538C">
        <w:t>yr</w:t>
      </w:r>
      <w:r w:rsidR="00AE7551" w:rsidRPr="00E86180">
        <w:rPr>
          <w:vertAlign w:val="superscript"/>
        </w:rPr>
        <w:t>-1</w:t>
      </w:r>
      <w:r w:rsidR="00C30185">
        <w:t xml:space="preserve">. </w:t>
      </w:r>
      <w:r w:rsidR="00E20B7D">
        <w:t>The most</w:t>
      </w:r>
      <w:r w:rsidR="001C0FF7">
        <w:t xml:space="preserve"> significant feature of each sea-level budget</w:t>
      </w:r>
      <w:r w:rsidR="00E20B7D">
        <w:t xml:space="preserve"> is the</w:t>
      </w:r>
      <w:r w:rsidR="00F361B5">
        <w:t xml:space="preserve"> recent redistribution of budget components due to the </w:t>
      </w:r>
      <w:r w:rsidR="00E20B7D">
        <w:t xml:space="preserve">increasing contribution of the common global component, </w:t>
      </w:r>
      <w:r w:rsidR="007650D0">
        <w:t xml:space="preserve">associated with the global-mean effects of thermosteric sea-level change and land-ice mass loss, </w:t>
      </w:r>
      <w:r w:rsidR="00E20B7D">
        <w:t xml:space="preserve">which </w:t>
      </w:r>
      <w:r w:rsidR="00930CBF">
        <w:t xml:space="preserve">matches or surpasses </w:t>
      </w:r>
      <w:r w:rsidR="00E20B7D">
        <w:t xml:space="preserve">the </w:t>
      </w:r>
      <w:r w:rsidR="00930CBF">
        <w:t xml:space="preserve">influence of GIA </w:t>
      </w:r>
      <w:r w:rsidR="00E20B7D">
        <w:t xml:space="preserve">at each site </w:t>
      </w:r>
      <w:r w:rsidR="00930CBF">
        <w:t xml:space="preserve">in </w:t>
      </w:r>
      <w:r w:rsidR="00E20B7D">
        <w:t xml:space="preserve">the </w:t>
      </w:r>
      <w:r w:rsidR="00930CBF">
        <w:t>20</w:t>
      </w:r>
      <w:r w:rsidR="00930CBF" w:rsidRPr="00930CBF">
        <w:rPr>
          <w:vertAlign w:val="superscript"/>
        </w:rPr>
        <w:t>th</w:t>
      </w:r>
      <w:r w:rsidR="00930CBF">
        <w:t xml:space="preserve"> century</w:t>
      </w:r>
      <w:r w:rsidR="007650D0">
        <w:t>,</w:t>
      </w:r>
      <w:r w:rsidR="00E207C6">
        <w:t xml:space="preserve"> when the global signal reaches a rate of 1.3</w:t>
      </w:r>
      <w:r w:rsidR="00E207C6" w:rsidRPr="00C069D2">
        <w:t xml:space="preserve"> ± 0.1 </w:t>
      </w:r>
      <w:r w:rsidR="00AE7551" w:rsidRPr="00B9538C">
        <w:t>m</w:t>
      </w:r>
      <w:r w:rsidR="00AE7551">
        <w:t xml:space="preserve">m </w:t>
      </w:r>
      <w:r w:rsidR="00AE7551" w:rsidRPr="00B9538C">
        <w:t>yr</w:t>
      </w:r>
      <w:r w:rsidR="00AE7551" w:rsidRPr="00E86180">
        <w:rPr>
          <w:vertAlign w:val="superscript"/>
        </w:rPr>
        <w:t>-1</w:t>
      </w:r>
      <w:r w:rsidR="00E207C6">
        <w:t>.</w:t>
      </w:r>
      <w:r w:rsidR="00F361B5">
        <w:t xml:space="preserve"> </w:t>
      </w:r>
      <w:r w:rsidR="00A57A26">
        <w:t>Based on the</w:t>
      </w:r>
      <w:r w:rsidR="00772E81">
        <w:t>se</w:t>
      </w:r>
      <w:r w:rsidR="00A57A26">
        <w:t xml:space="preserve"> results </w:t>
      </w:r>
      <w:r w:rsidR="00C24726">
        <w:t>on the</w:t>
      </w:r>
      <w:r w:rsidR="00A57A26">
        <w:t xml:space="preserve"> U.S.</w:t>
      </w:r>
      <w:r w:rsidR="00C24726">
        <w:t xml:space="preserve"> Atlantic coast</w:t>
      </w:r>
      <w:r w:rsidR="00A57A26">
        <w:t>, this m</w:t>
      </w:r>
      <w:r w:rsidR="007B6657">
        <w:t xml:space="preserve">ethod </w:t>
      </w:r>
      <w:r w:rsidR="00A57A26">
        <w:t xml:space="preserve">could be applied to </w:t>
      </w:r>
      <w:r w:rsidR="007B6657">
        <w:t>more sites</w:t>
      </w:r>
      <w:r w:rsidR="00A57A26">
        <w:t xml:space="preserve"> globally to produce </w:t>
      </w:r>
      <w:r w:rsidR="001C0FF7">
        <w:t>site-specific Common Era sea</w:t>
      </w:r>
      <w:r w:rsidR="00457622">
        <w:t>-</w:t>
      </w:r>
      <w:r w:rsidR="001C0FF7">
        <w:t>level budget</w:t>
      </w:r>
      <w:r w:rsidR="00F361B5">
        <w:t xml:space="preserve">s, which could be </w:t>
      </w:r>
      <w:r w:rsidR="00A77E51">
        <w:t>used</w:t>
      </w:r>
      <w:r w:rsidR="00E962BD">
        <w:t xml:space="preserve"> </w:t>
      </w:r>
      <w:r w:rsidR="00F361B5">
        <w:t xml:space="preserve">to </w:t>
      </w:r>
      <w:r w:rsidR="00772E81">
        <w:t xml:space="preserve">resolve </w:t>
      </w:r>
      <w:r w:rsidR="00F361B5">
        <w:t>the</w:t>
      </w:r>
      <w:r w:rsidR="00A57A26">
        <w:t xml:space="preserve"> </w:t>
      </w:r>
      <w:r w:rsidR="00772E81">
        <w:t xml:space="preserve">spatially distinct </w:t>
      </w:r>
      <w:r w:rsidR="00A57A26">
        <w:t xml:space="preserve">processes </w:t>
      </w:r>
      <w:r w:rsidR="00E962BD">
        <w:t xml:space="preserve">in </w:t>
      </w:r>
      <w:r w:rsidR="00142123">
        <w:t xml:space="preserve">even </w:t>
      </w:r>
      <w:r w:rsidR="00772E81">
        <w:t xml:space="preserve">greater </w:t>
      </w:r>
      <w:r w:rsidR="00E962BD">
        <w:t>detail.</w:t>
      </w:r>
    </w:p>
    <w:p w14:paraId="7194D3D8" w14:textId="3FACCA71" w:rsidR="004A190B" w:rsidRDefault="004A190B" w:rsidP="00845C15">
      <w:pPr>
        <w:jc w:val="left"/>
      </w:pPr>
    </w:p>
    <w:p w14:paraId="524715F7" w14:textId="77777777" w:rsidR="00274233" w:rsidRPr="00085860" w:rsidRDefault="00274233" w:rsidP="00274233">
      <w:pPr>
        <w:pStyle w:val="Heading2"/>
        <w:jc w:val="left"/>
        <w:rPr>
          <w:b w:val="0"/>
          <w:sz w:val="28"/>
        </w:rPr>
      </w:pPr>
      <w:r w:rsidRPr="00085860">
        <w:rPr>
          <w:b w:val="0"/>
          <w:sz w:val="28"/>
        </w:rPr>
        <w:t>Methods</w:t>
      </w:r>
    </w:p>
    <w:p w14:paraId="0C228910" w14:textId="77777777" w:rsidR="00274233" w:rsidRPr="00085860" w:rsidRDefault="00274233" w:rsidP="00274233">
      <w:pPr>
        <w:pStyle w:val="Heading3"/>
        <w:jc w:val="left"/>
        <w:rPr>
          <w:b w:val="0"/>
          <w:i w:val="0"/>
        </w:rPr>
      </w:pPr>
      <w:r w:rsidRPr="00085860">
        <w:rPr>
          <w:b w:val="0"/>
          <w:i w:val="0"/>
        </w:rPr>
        <w:t>Relative sea-level reconstructions</w:t>
      </w:r>
    </w:p>
    <w:p w14:paraId="23F0E69B" w14:textId="243C298B" w:rsidR="00274233" w:rsidRDefault="00274233" w:rsidP="00640061">
      <w:pPr>
        <w:ind w:firstLine="720"/>
        <w:jc w:val="left"/>
      </w:pPr>
      <w:r>
        <w:t xml:space="preserve">The RSL reconstructions along the </w:t>
      </w:r>
      <w:r w:rsidRPr="00C237B7">
        <w:t>U.S. Atlantic coast</w:t>
      </w:r>
      <w:r>
        <w:t xml:space="preserve"> (Figure 1a) use s</w:t>
      </w:r>
      <w:r w:rsidRPr="004F1F68">
        <w:t xml:space="preserve">alt-marsh foraminifera </w:t>
      </w:r>
      <w:r>
        <w:t>a</w:t>
      </w:r>
      <w:r w:rsidRPr="004F1F68">
        <w:t xml:space="preserve">s </w:t>
      </w:r>
      <w:r>
        <w:t>a proxy</w:t>
      </w:r>
      <w:r w:rsidRPr="004F1F68">
        <w:t xml:space="preserve"> because their modern distributions </w:t>
      </w:r>
      <w:r>
        <w:t xml:space="preserve">exhibit vertical zonation in relation to tidal levels </w:t>
      </w:r>
      <w:r>
        <w:fldChar w:fldCharType="begin"/>
      </w:r>
      <w:r w:rsidR="002A7AC0">
        <w:instrText xml:space="preserve"> ADDIN ZOTERO_ITEM CSL_CITATION {"citationID":"R3k282Hq","properties":{"unsorted":true,"formattedCitation":"\\super 38,39\\nosupersub{}","plainCitation":"38,39","noteIndex":0},"citationItems":[{"id":143,"uris":["http://zotero.org/users/local/XxmvPi45/items/QPA75LX5"],"uri":["http://zotero.org/users/local/XxmvPi45/items/QPA75LX5"],"itemData":{"id":143,"type":"article-journal","abstract":"MANY attempts to reconstruct the pattern of apparent sea-level rise that took place during the Holocene have used salt-marsh deposits as indicators of former sea level1,2. Contemporary mature salt marshes occupy a vertical range covering the upper half of the tidal range, from mean sea level to higher high water3,4, and geologists have arbitrarily equated ancient marsh deposits with various fixed elevations within this range. This method, disregarding any other source of inaccuracy, can introduce an error of 1–5 m depending on the tidal range. Apparent sea level movements during the late Holocene (2,000–3,000 yr BP) have been of the order of 1–2 m; hence such a method introduces errors larger than the movements being measured. Even less adequate sea-level estimates are derived from other commonly used indicators such as raised beaches, oyster beds, and submerged or emerged terraces and deltas. We describe here how marsh foraminifera can be used to delimit small-scale vertical zones along modern marsh surfaces generally corresponding to the floral zones in vertical range. This relationship was first established in the marshes of southern California5, and has recently been shown to be valid in other areas6.","container-title":"Nature","DOI":"10.1038/272528a0","ISSN":"1476-4687","issue":"5653","language":"En","page":"528","source":"www.nature.com","title":"Vertical zonations of marsh foraminifera as accurate indicators of former sea-levels","volume":"272","author":[{"family":"Scott","given":"D. S."},{"family":"Medioli","given":"F. S."}],"issued":{"date-parts":[["1978",4]]}},"label":"page"},{"id":510,"uris":["http://zotero.org/users/local/XxmvPi45/items/ZQ3Z6N3T"],"uri":["http://zotero.org/users/local/XxmvPi45/items/ZQ3Z6N3T"],"itemData":{"id":510,"type":"article-journal","abstract":"Salt-marsh foraminifera have been used to reconstruct Holocene sea-level changes from coastlines around the world. In this work, we compile the results of surface foraminiferal surveys from fifteen study sites located on the east, south and west coasts of Great Britain, and the west coast of Ireland. These data, which comprise 236 samples and 84 species, are used to summarize the contemporary distributions of intertidal foraminifera around the British Isles, and to examine the environmental controls governing them.","container-title":"Cushman Foundation for Foraminiferal Research Special Publication","language":"en","page":"100","source":"Zotero","title":"Quantifying Holocene sea level change using intertidal foraminifera: Lessons from the British Isles","volume":"40","author":[{"family":"Horton","given":"Benjamin P"},{"family":"Edwards","given":"Robin J"}],"issued":{"date-parts":[["2006"]]}},"label":"page"}],"schema":"https://github.com/citation-style-language/schema/raw/master/csl-citation.json"} </w:instrText>
      </w:r>
      <w:r>
        <w:fldChar w:fldCharType="separate"/>
      </w:r>
      <w:r w:rsidR="002A7AC0" w:rsidRPr="002A7AC0">
        <w:rPr>
          <w:szCs w:val="24"/>
          <w:vertAlign w:val="superscript"/>
        </w:rPr>
        <w:t>38,39</w:t>
      </w:r>
      <w:r>
        <w:fldChar w:fldCharType="end"/>
      </w:r>
      <w:r>
        <w:t>.</w:t>
      </w:r>
      <w:r>
        <w:rPr>
          <w:lang w:val="en-US"/>
        </w:rPr>
        <w:t xml:space="preserve"> </w:t>
      </w:r>
      <w:r>
        <w:t xml:space="preserve">Foraminiferal-based transfer functions utilize a modern foraminifera training set to quantify species assemblages’ relationship with elevation, which is then applied to sediment core fossil assemblages to produce </w:t>
      </w:r>
      <w:r w:rsidRPr="004F1F68">
        <w:t>continuous records of sea</w:t>
      </w:r>
      <w:r>
        <w:t xml:space="preserve"> </w:t>
      </w:r>
      <w:r w:rsidRPr="004F1F68">
        <w:t xml:space="preserve">level </w:t>
      </w:r>
      <w:r w:rsidRPr="002419E9">
        <w:t xml:space="preserve">at </w:t>
      </w:r>
      <w:r>
        <w:t xml:space="preserve">decadal and </w:t>
      </w:r>
      <w:r w:rsidRPr="002419E9">
        <w:t xml:space="preserve">decimeter </w:t>
      </w:r>
      <w:r>
        <w:t xml:space="preserve">scale </w:t>
      </w:r>
      <w:r w:rsidRPr="002419E9">
        <w:t>resolution</w:t>
      </w:r>
      <w:r>
        <w:t xml:space="preserve"> </w:t>
      </w:r>
      <w:r>
        <w:fldChar w:fldCharType="begin"/>
      </w:r>
      <w:r w:rsidR="002A7AC0">
        <w:instrText xml:space="preserve"> ADDIN ZOTERO_ITEM CSL_CITATION {"citationID":"X2zsYiPm","properties":{"unsorted":true,"formattedCitation":"\\super 39\\nosupersub{}","plainCitation":"39","noteIndex":0},"citationItems":[{"id":510,"uris":["http://zotero.org/users/local/XxmvPi45/items/ZQ3Z6N3T"],"uri":["http://zotero.org/users/local/XxmvPi45/items/ZQ3Z6N3T"],"itemData":{"id":510,"type":"article-journal","abstract":"Salt-marsh foraminifera have been used to reconstruct Holocene sea-level changes from coastlines around the world. In this work, we compile the results of surface foraminiferal surveys from fifteen study sites located on the east, south and west coasts of Great Britain, and the west coast of Ireland. These data, which comprise 236 samples and 84 species, are used to summarize the contemporary distributions of intertidal foraminifera around the British Isles, and to examine the environmental controls governing them.","container-title":"Cushman Foundation for Foraminiferal Research Special Publication","language":"en","page":"100","source":"Zotero","title":"Quantifying Holocene sea level change using intertidal foraminifera: Lessons from the British Isles","volume":"40","author":[{"family":"Horton","given":"Benjamin P"},{"family":"Edwards","given":"Robin J"}],"issued":{"date-parts":[["2006"]]}},"label":"page"}],"schema":"https://github.com/citation-style-language/schema/raw/master/csl-citation.json"} </w:instrText>
      </w:r>
      <w:r>
        <w:fldChar w:fldCharType="separate"/>
      </w:r>
      <w:r w:rsidR="002A7AC0" w:rsidRPr="002A7AC0">
        <w:rPr>
          <w:szCs w:val="24"/>
          <w:vertAlign w:val="superscript"/>
        </w:rPr>
        <w:t>39</w:t>
      </w:r>
      <w:r>
        <w:fldChar w:fldCharType="end"/>
      </w:r>
      <w:r>
        <w:t xml:space="preserve">. </w:t>
      </w:r>
    </w:p>
    <w:p w14:paraId="7DCDA0D6" w14:textId="73050D35" w:rsidR="00274233" w:rsidRPr="00257252" w:rsidRDefault="00274233" w:rsidP="00640061">
      <w:pPr>
        <w:ind w:firstLine="720"/>
        <w:jc w:val="left"/>
      </w:pPr>
      <w:r>
        <w:t xml:space="preserve">We constructed a new Common Era RSL record from a </w:t>
      </w:r>
      <w:r w:rsidRPr="00636B48">
        <w:t>salt-marsh site at Cheese</w:t>
      </w:r>
      <w:r>
        <w:t>quake State Park in northern New Jersey off of Raritan Bay, ~4 miles from the southern tip of Staten Island and ~23 miles from The Battery (Figure 1, Supplementary Figure 1). The foraminiferal-based transfer function for northern New Jersey uses a Bayesian approach that employs foraminifera,</w:t>
      </w:r>
      <w:r w:rsidRPr="004F1F68">
        <w:t xml:space="preserve"> </w:t>
      </w:r>
      <w:r>
        <w:t>as well as</w:t>
      </w:r>
      <w:r w:rsidRPr="00D07237">
        <w:t xml:space="preserve"> </w:t>
      </w:r>
      <w:r>
        <w:t xml:space="preserve">bulk sediment </w:t>
      </w:r>
      <w:r w:rsidRPr="00D07237">
        <w:t>δ</w:t>
      </w:r>
      <w:r w:rsidRPr="00D07237">
        <w:rPr>
          <w:vertAlign w:val="superscript"/>
        </w:rPr>
        <w:t>13</w:t>
      </w:r>
      <w:r w:rsidRPr="00EB74B0">
        <w:t>C</w:t>
      </w:r>
      <w:r>
        <w:t xml:space="preserve"> measurements</w:t>
      </w:r>
      <w:r w:rsidRPr="00D07237">
        <w:t xml:space="preserve"> as an </w:t>
      </w:r>
      <w:r>
        <w:t xml:space="preserve">additional constraint to reduce </w:t>
      </w:r>
      <w:r>
        <w:lastRenderedPageBreak/>
        <w:t xml:space="preserve">vertical uncertainty </w:t>
      </w:r>
      <w:r>
        <w:fldChar w:fldCharType="begin"/>
      </w:r>
      <w:r w:rsidR="006436A7">
        <w:instrText xml:space="preserve"> ADDIN ZOTERO_ITEM CSL_CITATION {"citationID":"lYik8iRi","properties":{"unsorted":true,"formattedCitation":"\\super 47,15\\nosupersub{}","plainCitation":"47,15","noteIndex":0},"citationItems":[{"id":305,"uris":["http://zotero.org/users/local/XxmvPi45/items/MY4ABCWX"],"uri":["http://zotero.org/users/local/XxmvPi45/items/MY4ABCWX"],"itemData":{"id":305,"type":"article-journal","container-title":"Climate of the Past","DOI":"10.5194/cp-12-525-2016","ISSN":"1814-9332","issue":"2","language":"en","page":"525-542","source":"Crossref","title":"A Bayesian hierarchical model for reconstructing relative sea level: from raw data to rates of change","title-short":"A Bayesian hierarchical model for reconstructing relative sea level","volume":"12","author":[{"family":"Cahill","given":"Niamh"},{"family":"Kemp","given":"Andrew C."},{"family":"Horton","given":"Benjamin P."},{"family":"Parnell","given":"Andrew C."}],"issued":{"date-parts":[["2016",2,29]]}},"label":"page"},{"id":246,"uris":["http://zotero.org/users/local/XxmvPi45/items/2HXYQNKX"],"uri":["http://zotero.org/users/local/XxmvPi45/items/2HXYQNKX"],"itemData":{"id":246,"type":"article-journal","abstract":"New York City (NYC) is threatened by 21st-century relative sea-level (RSL) rise because it will experience a trend that exceeds the global mean and has high concentrations of low-lying infrastructure and socioeconomic activity. To provide a long-term context for anticipated trends, we reconstructed RSL change during the past ~1500 years using a core of salt-marsh sediment from Pelham Bay in The Bronx. Foraminifera and bulk-sediment δ13C values were used as sea-level indicators. The history of sediment accumulation was established by radiocarbon dating and recognition of pollution and land-use trends of known age in down-core elemental, isotopic, and pollen profiles. The reconstruction was generated within a Bayesian hierarchical model to accommodate multiple proxies and to provide a unified statistical framework for quantifying uncertainty. We show that RSL in NYC rose by ~1.70 m since ~575 CE (including ~0.38 m since 1850 CE). The rate of RSL rise increased markedly at 1812–1913 CE from ~1.0 to ~2.5 mm/yr, which coincides with other reconstructions along the US Atlantic coast. We investigated the possible influence of tidal-range change in Long Island Sound on our reconstruction using a regional tidal model, and we demonstrate that this effect was likely small. However, future tidal-range change could exacerbate the impacts of RSL rise in communities bordering Long Island Sound. The current rate of RSL rise is the fastest that NYC has experienced for &gt;1500 years, and its ongoing acceleration suggests that projections of 21st-century local RSL rise will be realized.","container-title":"The Holocene","DOI":"10.1177/0959683616683263","ISSN":"0959-6836, 1477-0911","issue":"8","language":"en","page":"1169-1186","source":"Crossref","title":"Relative sea-level trends in New York City during the past 1500 years","volume":"27","author":[{"family":"Kemp","given":"Andrew C."},{"family":"Hill","given":"Troy D"},{"family":"Vane","given":"Christopher H"},{"family":"Cahill","given":"Niamh"},{"family":"Orton","given":"Philip M"},{"family":"Talke","given":"Stefan A"},{"family":"Parnell","given":"Andrew C"},{"family":"Sanborn","given":"Kelsey"},{"family":"Hartig","given":"Ellen K"}],"issued":{"literal":"2017b"}},"label":"page"}],"schema":"https://github.com/citation-style-language/schema/raw/master/csl-citation.json"} </w:instrText>
      </w:r>
      <w:r>
        <w:fldChar w:fldCharType="separate"/>
      </w:r>
      <w:r w:rsidR="006436A7" w:rsidRPr="006436A7">
        <w:rPr>
          <w:szCs w:val="24"/>
          <w:vertAlign w:val="superscript"/>
        </w:rPr>
        <w:t>47,15</w:t>
      </w:r>
      <w:r>
        <w:fldChar w:fldCharType="end"/>
      </w:r>
      <w:r w:rsidRPr="004F1F68">
        <w:t xml:space="preserve">. </w:t>
      </w:r>
      <w:r w:rsidRPr="00DB4882">
        <w:t>Stable carbon isotope geochemistry (δ</w:t>
      </w:r>
      <w:r w:rsidRPr="00DB4882">
        <w:rPr>
          <w:vertAlign w:val="superscript"/>
        </w:rPr>
        <w:t>13</w:t>
      </w:r>
      <w:r w:rsidRPr="00DB4882">
        <w:t>C)</w:t>
      </w:r>
      <w:r w:rsidRPr="007054F0">
        <w:t xml:space="preserve"> in bulk sediment represents the dominant vegetation type and can be used as a proxy for sea level because the transition between C</w:t>
      </w:r>
      <w:r w:rsidRPr="0004610A">
        <w:rPr>
          <w:vertAlign w:val="subscript"/>
        </w:rPr>
        <w:t>3</w:t>
      </w:r>
      <w:r>
        <w:t>-</w:t>
      </w:r>
      <w:r w:rsidRPr="007054F0">
        <w:t xml:space="preserve"> and C</w:t>
      </w:r>
      <w:r w:rsidRPr="0004610A">
        <w:rPr>
          <w:vertAlign w:val="subscript"/>
        </w:rPr>
        <w:t>4</w:t>
      </w:r>
      <w:r>
        <w:t>-</w:t>
      </w:r>
      <w:r w:rsidRPr="007054F0">
        <w:t xml:space="preserve">dominated salt-marsh plant communities </w:t>
      </w:r>
      <w:r>
        <w:t>has been shown to</w:t>
      </w:r>
      <w:r w:rsidRPr="007054F0">
        <w:t xml:space="preserve"> </w:t>
      </w:r>
      <w:r w:rsidR="00457622">
        <w:t>occur at</w:t>
      </w:r>
      <w:r w:rsidRPr="007054F0">
        <w:t xml:space="preserve"> the mean higher high water (MHHW) tidal datum on the U.S. mid-Atlantic coast </w:t>
      </w:r>
      <w:r>
        <w:fldChar w:fldCharType="begin"/>
      </w:r>
      <w:r w:rsidR="006436A7">
        <w:instrText xml:space="preserve"> ADDIN ZOTERO_ITEM CSL_CITATION {"citationID":"oH2SpC0T","properties":{"unsorted":true,"formattedCitation":"\\super 48\\nosupersub{}","plainCitation":"48","noteIndex":0},"citationItems":[{"id":311,"uris":["http://zotero.org/users/local/XxmvPi45/items/M6M3L6C8"],"uri":["http://zotero.org/users/local/XxmvPi45/items/M6M3L6C8"],"itemData":{"id":311,"type":"article-journal","abstract":"We investigated use of d13C in bulk organic sediment to deﬁne the botanical origin of samples preserved in coastal sediment as a means to reconstruct relative sea level in New Jersey, USA. Modern transects at three sites demonstrated that low and high salt-marsh ﬂoral zones dominated by C4 species (Spartina alterniﬂora and Spartina patens) were associated with sediment d13C values between À18.9% and À15.8% and occurred from mean tide level (MTL) to mean higher high water (MHHW). Brackish transitional settings vegetated by Phragmites australis with Iva fructescens and Typha sp. (C3 species) and freshwater upland samples (C3 species) were characterized by bulk sediment d13C values of À27.0% to À22.0% and existed above MHHW. Parallel transects at one site suggested that intra-site variability was not discernible. The utility of d13C values for reconstructing relative sea level in New Jersey is limited by an inability to differentiate between brackish sediments related to sea level and freshwater upland samples. To facilitate this distinction in a 4.4 m core, we used a multi-proxy approach (d13C values with presence or absence of agglutinated foraminifera) to recognize indicative meanings for four sample types. Sediment with d13C values greater than À18.9% was derived from a vegetated salt-marsh and formed between MTL and MHHW. Sediment with d13C values less than À22.0% and containing agglutinated foraminifera formed in a brackish transitional zone between MHHW and highest astronomical tide (HAT). This is the narrowest elevational range of the four sample types and most precise sea-level indicator. Sediment with d13C values less than À22.0% and lacking foraminifera can only constrain the upper bound of former sea level. Samples with intermediate values (À22.0% to À18.9%) formed between MTL and HAT. Using these indicative meanings and radiocarbon dates, we suggest that a transition from brackish to salt-marsh d13C values recorded in the core took approximately 350 years (from 1800 to 1450 cal. a BP). Copyright # 2011 John Wiley &amp; Sons, Ltd.","container-title":"Journal of Quaternary Science","DOI":"10.1002/jqs.1561","ISSN":"02678179","issue":"4","language":"en","page":"404-414","source":"Crossref","title":"Application of stable carbon isotopes for reconstructing salt-marsh floral zones and relative sea level, New Jersey, USA","volume":"27","author":[{"family":"Kemp","given":"Andrew C."},{"family":"Vane","given":"Christopher H."},{"family":"Horton","given":"Benjamin P."},{"family":"Engelhart","given":"Simon E."},{"family":"Nikitina","given":"Daria"}],"issued":{"date-parts":[["2012",5]]}},"label":"page"}],"schema":"https://github.com/citation-style-language/schema/raw/master/csl-citation.json"} </w:instrText>
      </w:r>
      <w:r>
        <w:fldChar w:fldCharType="separate"/>
      </w:r>
      <w:r w:rsidR="006436A7" w:rsidRPr="006436A7">
        <w:rPr>
          <w:szCs w:val="24"/>
          <w:vertAlign w:val="superscript"/>
        </w:rPr>
        <w:t>48</w:t>
      </w:r>
      <w:r>
        <w:fldChar w:fldCharType="end"/>
      </w:r>
      <w:r w:rsidRPr="007054F0">
        <w:t>.</w:t>
      </w:r>
      <w:r>
        <w:t xml:space="preserve"> The Bayesian transfer function (BTF) was developed using a New Jersey modern training set of salt-marsh foraminifera and δ</w:t>
      </w:r>
      <w:r w:rsidRPr="004E7BD3">
        <w:rPr>
          <w:vertAlign w:val="superscript"/>
        </w:rPr>
        <w:t>13</w:t>
      </w:r>
      <w:r>
        <w:t>C in southern New Jersey from Kemp et al. (2013), in addition to 32 modern samples collected at Cheesequake State Park (Supplementary Figure 2, 3).</w:t>
      </w:r>
      <w:r w:rsidRPr="007F28C2">
        <w:t xml:space="preserve"> </w:t>
      </w:r>
      <w:r>
        <w:t xml:space="preserve">We measured bulk sediment </w:t>
      </w:r>
      <w:r w:rsidRPr="00D07237">
        <w:t>δ</w:t>
      </w:r>
      <w:r w:rsidRPr="00D07237">
        <w:rPr>
          <w:vertAlign w:val="superscript"/>
        </w:rPr>
        <w:t>13</w:t>
      </w:r>
      <w:r w:rsidRPr="00EB74B0">
        <w:t>C</w:t>
      </w:r>
      <w:r>
        <w:t xml:space="preserve"> on modern and down-core samples at Bryn Mawr College </w:t>
      </w:r>
      <w:r w:rsidRPr="009E2551">
        <w:t xml:space="preserve">using cavity ring-down </w:t>
      </w:r>
      <w:r>
        <w:t xml:space="preserve">laser spectroscopy using techniques following Balslev-Clausen et al. </w:t>
      </w:r>
      <w:r>
        <w:fldChar w:fldCharType="begin"/>
      </w:r>
      <w:r w:rsidR="006436A7">
        <w:instrText xml:space="preserve"> ADDIN ZOTERO_ITEM CSL_CITATION {"citationID":"9ge0umMA","properties":{"formattedCitation":"\\super 49\\nosupersub{}","plainCitation":"49","noteIndex":0},"citationItems":[{"id":87,"uris":["http://zotero.org/users/local/XxmvPi45/items/IKFPZH35"],"uri":["http://zotero.org/users/local/XxmvPi45/items/IKFPZH35"],"itemData":{"id":87,"type":"article-journal","container-title":"Journal of Analytical Atomic Spectrometry","DOI":"10.1039/c2ja30240c","ISSN":"0267-9477, 1364-5544","issue":"4","language":"en","page":"516","source":"Crossref","title":"Precise and accurate δ13C analysis of rock samples using Flash Combustion–Cavity Ring Down Laser Spectroscopy","volume":"28","author":[{"family":"Balslev-Clausen","given":"David"},{"family":"Dahl","given":"Tais W."},{"family":"Saad","given":"Nabil"},{"family":"Rosing","given":"Minik T."}],"issued":{"date-parts":[["2013"]]}},"suppress-author":true}],"schema":"https://github.com/citation-style-language/schema/raw/master/csl-citation.json"} </w:instrText>
      </w:r>
      <w:r>
        <w:fldChar w:fldCharType="separate"/>
      </w:r>
      <w:r w:rsidR="006436A7" w:rsidRPr="006436A7">
        <w:rPr>
          <w:szCs w:val="24"/>
          <w:vertAlign w:val="superscript"/>
        </w:rPr>
        <w:t>49</w:t>
      </w:r>
      <w:r>
        <w:fldChar w:fldCharType="end"/>
      </w:r>
      <w:r w:rsidRPr="009E2551">
        <w:t xml:space="preserve">. </w:t>
      </w:r>
      <w:r>
        <w:rPr>
          <w:lang w:val="en-US"/>
        </w:rPr>
        <w:t xml:space="preserve">We calibrated the BTF using the combined New Jersey modern training set and evaluated its performance using cross validation </w:t>
      </w:r>
      <w:r>
        <w:rPr>
          <w:lang w:val="en-US"/>
        </w:rPr>
        <w:fldChar w:fldCharType="begin"/>
      </w:r>
      <w:r w:rsidR="006436A7">
        <w:rPr>
          <w:lang w:val="en-US"/>
        </w:rPr>
        <w:instrText xml:space="preserve"> ADDIN ZOTERO_ITEM CSL_CITATION {"citationID":"cVEKHMvX","properties":{"formattedCitation":"\\super 47\\nosupersub{}","plainCitation":"47","noteIndex":0},"citationItems":[{"id":305,"uris":["http://zotero.org/users/local/XxmvPi45/items/MY4ABCWX"],"uri":["http://zotero.org/users/local/XxmvPi45/items/MY4ABCWX"],"itemData":{"id":305,"type":"article-journal","container-title":"Climate of the Past","DOI":"10.5194/cp-12-525-2016","ISSN":"1814-9332","issue":"2","language":"en","page":"525-542","source":"Crossref","title":"A Bayesian hierarchical model for reconstructing relative sea level: from raw data to rates of change","title-short":"A Bayesian hierarchical model for reconstructing relative sea level","volume":"12","author":[{"family":"Cahill","given":"Niamh"},{"family":"Kemp","given":"Andrew C."},{"family":"Horton","given":"Benjamin P."},{"family":"Parnell","given":"Andrew C."}],"issued":{"date-parts":[["2016",2,29]]}}}],"schema":"https://github.com/citation-style-language/schema/raw/master/csl-citation.json"} </w:instrText>
      </w:r>
      <w:r>
        <w:rPr>
          <w:lang w:val="en-US"/>
        </w:rPr>
        <w:fldChar w:fldCharType="separate"/>
      </w:r>
      <w:r w:rsidR="006436A7" w:rsidRPr="006436A7">
        <w:rPr>
          <w:szCs w:val="24"/>
          <w:vertAlign w:val="superscript"/>
        </w:rPr>
        <w:t>47</w:t>
      </w:r>
      <w:r>
        <w:rPr>
          <w:lang w:val="en-US"/>
        </w:rPr>
        <w:fldChar w:fldCharType="end"/>
      </w:r>
      <w:r>
        <w:rPr>
          <w:lang w:val="en-US"/>
        </w:rPr>
        <w:t xml:space="preserve"> (Supplementary Figure 4). </w:t>
      </w:r>
      <w:r>
        <w:t xml:space="preserve">We formally accounted for temporal and spatial variability of modern foraminifera distributions in the BTF by including informative foraminifera variability priors for individual species using data from a monitoring study of modern foraminifera in southern New Jersey </w:t>
      </w:r>
      <w:r>
        <w:fldChar w:fldCharType="begin"/>
      </w:r>
      <w:r w:rsidR="006436A7">
        <w:instrText xml:space="preserve"> ADDIN ZOTERO_ITEM CSL_CITATION {"citationID":"6Bv91WeW","properties":{"formattedCitation":"\\super 50\\nosupersub{}","plainCitation":"50","noteIndex":0},"citationItems":[{"id":992,"uris":["http://zotero.org/users/local/XxmvPi45/items/N39TLVKC"],"uri":["http://zotero.org/users/local/XxmvPi45/items/N39TLVKC"],"itemData":{"id":992,"type":"article-journal","abstract":"Foraminifera from salt-marsh environments have been used extensively in quantitative relative sea-level reconstructions due to their strong relationship with tidal level. However, the influence of temporal and spatial variability of salt-marsh foraminifera on quantitative reconstructions remains unconstrained. Here, we conducted a monitoring study of foraminifera from four intertidal monitoring stations in New Jersey from high marsh environments over three years that included several extreme weather (temperature, precipitation, and storm surge) events. We sampled four replicates from each station seasonally (four times per year) for a total of 188 samples. The dead foraminiferal assemblages were separated into four site-specific assemblages. After accounting for systematic trends in changes in foraminifera over time among stations, the distribution of foraminiferal assemblages across monitoring stations explained ~87% of the remaining variation, while ~13% can be explained by temporal and/or spatial variability among the replicate samples. We applied a Bayesian transfer function to estimate the elevation of the four monitoring stations. All samples from each station predicted an elevation estimate within a 95% uncertainty interval consistent with the observed elevation of that station. Combining samples into replicate- and seasonal-aggregate datasets decreased elevation estimate uncertainty, with the greatest decrease in aggregate datasets from Fall and Winter. Information about the temporal and spatial variability of modern foraminiferal distributions was formally incorporated into the Bayesian transfer function through informative foraminifera variability priors and was applied to a Common Era relative sea-level record in New Jersey. The average difference in paleomarsh elevation estimates and uncertainties using an informative vs uninformative prior was minimal (&lt;0.01 m and 0.01 m, respectively). The dead foraminiferal assemblages remained consistent on temporal and small spatial scales, even during extreme weather events. Therefore, even when accounting for variability of modern foraminifera, foraminiferal-based relative sea-level reconstructions from high marsh environments remain robust and reproducible.","container-title":"Marine Geology","DOI":"10.1016/j.margeo.2020.106293","ISSN":"0025-3227","journalAbbreviation":"Marine Geology","language":"en","page":"106293","source":"ScienceDirect","title":"Incorporating temporal and spatial variability of salt-marsh foraminifera into sea-level reconstructions","volume":"429","author":[{"family":"Walker","given":"Jennifer S."},{"family":"Cahill","given":"Niamh"},{"family":"Khan","given":"Nicole S."},{"family":"Shaw","given":"Timothy A."},{"family":"Barber","given":"Don"},{"family":"Miller","given":"Kenneth G."},{"family":"Kopp","given":"Robert E."},{"family":"Horton","given":"Benjamin P."}],"issued":{"date-parts":[["2020",11,1]]}}}],"schema":"https://github.com/citation-style-language/schema/raw/master/csl-citation.json"} </w:instrText>
      </w:r>
      <w:r>
        <w:fldChar w:fldCharType="separate"/>
      </w:r>
      <w:r w:rsidR="006436A7" w:rsidRPr="006436A7">
        <w:rPr>
          <w:szCs w:val="24"/>
          <w:vertAlign w:val="superscript"/>
        </w:rPr>
        <w:t>50</w:t>
      </w:r>
      <w:r>
        <w:fldChar w:fldCharType="end"/>
      </w:r>
      <w:r>
        <w:t>. The BTF was applied to sediment core foraminifera and δ</w:t>
      </w:r>
      <w:r w:rsidRPr="00155E12">
        <w:rPr>
          <w:vertAlign w:val="superscript"/>
        </w:rPr>
        <w:t>13</w:t>
      </w:r>
      <w:r>
        <w:t xml:space="preserve">C data to provide paleomarsh elevation (PME) estimates with 95% credible intervals for each core sample (Supplementary Figure 5). We calculated RSL by subtracting the PME estimates from the sample altitude. In addition, we used a geotechnical model </w:t>
      </w:r>
      <w:r>
        <w:fldChar w:fldCharType="begin"/>
      </w:r>
      <w:r w:rsidR="006436A7">
        <w:instrText xml:space="preserve"> ADDIN ZOTERO_ITEM CSL_CITATION {"citationID":"5WXo5gas","properties":{"unsorted":true,"formattedCitation":"\\super 51,52\\nosupersub{}","plainCitation":"51,52","noteIndex":0},"citationItems":[{"id":387,"uris":["http://zotero.org/users/local/XxmvPi45/items/3F8RIWDA"],"uri":["http://zotero.org/users/local/XxmvPi45/items/3F8RIWDA"],"itemData":{"id":387,"type":"article-journal","abstract":"This paper quantiﬁes the potential inﬂuence of sediment compaction on the magnitude of nineteenth and twentieth century sea-level rise, as reconstructed from salt marsh sediments. We ﬁrstly develop a database of the physical and compression properties of low energy intertidal and salt marsh sediments. Key compression parameters are controlled by organic content (loss on ignition), though compressibility is modulated by local-scale processes, notably the potential for desiccation of sediments. Using this database and standard geotechnical theory, we use a numerical modelling approach to generate and subsequently ‘decompact’ a range of idealised intertidal stratigraphies. We ﬁnd that compression can signiﬁcantly contribute to reconstructed accelerations in recent sea level, notably in transgressive stratigraphies. The magnitude of this effect can be sufﬁcient to add between 0.1 and 0.4 mm yrÀ1 of local sea-level rise, depending on the thickness of the stratigraphic column. In contrast, records from shallow (o 0.5 m) uniform-lithology stratigraphies, or shallow near-surface salt marsh deposits in regressive successions, experience negligible compaction. Spatial variations in compression could be interpreted as ‘sea-level ﬁngerprints’ that might, in turn, be wrongly attributed to oceanic or cryospheric processes. However, consideration of existing sea-level records suggests that this is not the case and that compaction cannot be invoked as the sole cause of recent accelerations in sea level inferred from salt marsh sediments.","container-title":"Earth and Planetary Science Letters","DOI":"10.1016/j.epsl.2012.06.045","ISSN":"0012821X","language":"en","page":"180-193","source":"Crossref","title":"Modelling the effects of sediment compaction on salt marsh reconstructions of recent sea-level rise","volume":"345-348","author":[{"family":"Brain","given":"Matthew J."},{"family":"Long","given":"Antony J."},{"family":"Woodroffe","given":"Sarah A."},{"family":"Petley","given":"David N."},{"family":"Milledge","given":"David G."},{"family":"Parnell","given":"Andrew C."}],"issued":{"date-parts":[["2012",9]]}},"label":"page"},{"id":314,"uris":["http://zotero.org/users/local/XxmvPi45/items/ISJ93MQK"],"uri":["http://zotero.org/users/local/XxmvPi45/items/ISJ93MQK"],"itemData":{"id":314,"type":"article-journal","container-title":"Quaternary Research","DOI":"10.1016/j.yqres.2014.08.003","ISSN":"0033-5894, 1096-0287","issue":"1","language":"en","page":"41-51","source":"Crossref","title":"Quantifying the contribution of sediment compaction to late Holocene salt-marsh sea-level reconstructions, North Carolina, USA","volume":"83","author":[{"family":"Brain","given":"Matthew J."},{"family":"Kemp","given":"Andrew C."},{"family":"Horton","given":"Benjamin P."},{"family":"Culver","given":"Stephen J."},{"family":"Parnell","given":"Andrew C."},{"family":"Cahill","given":"Niamh"}],"issued":{"date-parts":[["2015",1]]}},"label":"page"}],"schema":"https://github.com/citation-style-language/schema/raw/master/csl-citation.json"} </w:instrText>
      </w:r>
      <w:r>
        <w:fldChar w:fldCharType="separate"/>
      </w:r>
      <w:r w:rsidR="006436A7" w:rsidRPr="006436A7">
        <w:rPr>
          <w:szCs w:val="24"/>
          <w:vertAlign w:val="superscript"/>
        </w:rPr>
        <w:t>51,52</w:t>
      </w:r>
      <w:r>
        <w:fldChar w:fldCharType="end"/>
      </w:r>
      <w:r>
        <w:t xml:space="preserve"> to correct the RSL record for post-depositional lowering through sediment compaction (Supplementary Figure 6) that has been used previously to correct salt-marsh RSL reconstructions for compaction </w:t>
      </w:r>
      <w:r>
        <w:fldChar w:fldCharType="begin"/>
      </w:r>
      <w:r w:rsidR="002A7AC0">
        <w:instrText xml:space="preserve"> ADDIN ZOTERO_ITEM CSL_CITATION {"citationID":"yJRJ6OoA","properties":{"unsorted":true,"formattedCitation":"\\super 16\\nosupersub{}","plainCitation":"16","noteIndex":0},"citationItems":[{"id":316,"uris":["http://zotero.org/users/local/XxmvPi45/items/WIISWD8J"],"uri":["http://zotero.org/users/local/XxmvPi45/items/WIISWD8J"],"itemData":{"id":316,"type":"article-journal","abstract":"Several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A7AC0">
        <w:rPr>
          <w:rFonts w:ascii="Cambria Math" w:hAnsi="Cambria Math" w:cs="Cambria Math"/>
        </w:rPr>
        <w:instrText>∼</w:instrText>
      </w:r>
      <w:r w:rsidR="002A7AC0">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de"}],"issued":{"date-parts":[["2018",12]]}},"label":"page"}],"schema":"https://github.com/citation-style-language/schema/raw/master/csl-citation.json"} </w:instrText>
      </w:r>
      <w:r>
        <w:fldChar w:fldCharType="separate"/>
      </w:r>
      <w:r w:rsidR="002A7AC0" w:rsidRPr="002A7AC0">
        <w:rPr>
          <w:szCs w:val="24"/>
          <w:vertAlign w:val="superscript"/>
        </w:rPr>
        <w:t>16</w:t>
      </w:r>
      <w:r>
        <w:fldChar w:fldCharType="end"/>
      </w:r>
      <w:r>
        <w:t xml:space="preserve">. </w:t>
      </w:r>
    </w:p>
    <w:p w14:paraId="1F66F126" w14:textId="392D84E5" w:rsidR="00274233" w:rsidRDefault="00274233" w:rsidP="00640061">
      <w:pPr>
        <w:ind w:firstLine="720"/>
        <w:jc w:val="left"/>
      </w:pPr>
      <w:r>
        <w:t>We reconstructed RSL using the transfer function estimates of PME in combination with a sediment core chronology. A sediment core chronology was constructed using</w:t>
      </w:r>
      <w:r w:rsidRPr="00C11CC8">
        <w:t xml:space="preserve"> </w:t>
      </w:r>
      <w:r>
        <w:t xml:space="preserve">Accelerator Mass Spectrometry </w:t>
      </w:r>
      <w:r w:rsidRPr="00BE6DC6">
        <w:t>radiocarbon (</w:t>
      </w:r>
      <w:r w:rsidRPr="00BE6DC6">
        <w:rPr>
          <w:vertAlign w:val="superscript"/>
        </w:rPr>
        <w:t>14</w:t>
      </w:r>
      <w:r w:rsidRPr="00BE6DC6">
        <w:t>C) dating</w:t>
      </w:r>
      <w:r>
        <w:t xml:space="preserve"> on identifiable plant macrofossils (stems and </w:t>
      </w:r>
      <w:r>
        <w:lastRenderedPageBreak/>
        <w:t xml:space="preserve">rhizomes) in the sediment core (Supplementary Table 1). A plateau in the radiocarbon calibration curve often results in radiocarbon dated material from the past ~300 years having multimodal age estimates and large uncertainties </w:t>
      </w:r>
      <w:r>
        <w:fldChar w:fldCharType="begin"/>
      </w:r>
      <w:r w:rsidR="006436A7">
        <w:instrText xml:space="preserve"> ADDIN ZOTERO_ITEM CSL_CITATION {"citationID":"8HxJlai2","properties":{"formattedCitation":"\\super 53\\nosupersub{}","plainCitation":"53","noteIndex":0},"citationItems":[{"id":403,"uris":["http://zotero.org/users/local/XxmvPi45/items/TZT9H5BE"],"uri":["http://zotero.org/users/local/XxmvPi45/items/TZT9H5BE"],"itemData":{"id":403,"type":"article-journal","abstract":"The radiocarbon ages of dendrochronologically dated wood spanning the AD 1950–6000 BC interval are now available for Seattle (10-yr samples, Stuiver &amp; Becker 1993) and Belfast (20-yr samples, Pearson, Becker &amp; Qua 1993; Pearson &amp; Qua 1993). The results of both laboratories were previously combined to generate a bidecadal calibration curve spanning nearly 4500 years (Stuiver &amp; Pearson 1986; Pearson &amp; Stuiver 1986). We now find that minor corrections must be applied to the published data sets, and therefore, give new bidecadal radiocarbon age information for 2500–6000 BC, as well as corrected radiocarbon age averages for AD 1950–500 BC. Corrected average 14C ages for the 500–2500 BC interval are given separately (Pearson &amp; Stuiver 1993). The Seattle corrections (in the 10–30 14C-yr range) are discussed in Stuiver and Becker (1993), whereas Pearson and Qua (1993) provide information on Belfast corrections (averaging 16 yr). All dates reported here are conventional radiocarbon dates, as defined in Stuiver and Polach (1977). Belfast 14C ages back to 5210 BC were obtained on wood from the Irish oak chronology (Pearson et al. 1986). Wood from the German oak chronology (Becker 1993) was used by Belfast for the 5000–6000 BC interval. For the overlapping interval (5000–5210 BC), Belfast reports weighted Irish wood/German wood 14C age averages. The Seattle 14C ages for the AD interval were either on Douglas fir wood from the US Pacific Northwest, or Sequoia wood from California (Stuiver 1982). The BC materials measured in Seattle were mostly part of the German oak chronology. Thirteen samples (5680–5810 BC) from the US bristlecone pine chronology (Ferguson &amp; Graybill 1983) were measured in Seattle as well. Here, the final Seattle decadal 14C ages resulted from averaging German oak and bristlecone pine ages.","container-title":"Radiocarbon","DOI":"10.1017/S0033822200013783","ISSN":"0033-8222, 1945-5755","issue":"1","language":"en","page":"1-23","source":"Cambridge Core","title":"High-precision bidecadal calibration of the radiocarbon time scale, AD 1950–500 BC and 2500–6000 BC","volume":"35","author":[{"family":"Stuiver","given":"Minze"},{"family":"Pearson","given":"Gordon W."}],"issued":{"date-parts":[["1993"]],"season":"ed"}}}],"schema":"https://github.com/citation-style-language/schema/raw/master/csl-citation.json"} </w:instrText>
      </w:r>
      <w:r>
        <w:fldChar w:fldCharType="separate"/>
      </w:r>
      <w:r w:rsidR="006436A7" w:rsidRPr="006436A7">
        <w:rPr>
          <w:szCs w:val="24"/>
          <w:vertAlign w:val="superscript"/>
        </w:rPr>
        <w:t>53</w:t>
      </w:r>
      <w:r>
        <w:fldChar w:fldCharType="end"/>
      </w:r>
      <w:r>
        <w:t xml:space="preserve">. Therefore, to provide a chronology for the last several hundred years, we used changes in </w:t>
      </w:r>
      <w:r w:rsidRPr="00350006">
        <w:rPr>
          <w:i/>
        </w:rPr>
        <w:t>Ambrosia</w:t>
      </w:r>
      <w:r>
        <w:t xml:space="preserve"> pollen abundances, regional-scale pollution markers (recognized in changes in down-core concentrations of lead, copper, cadmium, and nickel), the ratio of lead isotopes (</w:t>
      </w:r>
      <w:r w:rsidRPr="00A94612">
        <w:rPr>
          <w:vertAlign w:val="superscript"/>
        </w:rPr>
        <w:t>206</w:t>
      </w:r>
      <w:r>
        <w:t>Pb:</w:t>
      </w:r>
      <w:r w:rsidRPr="00A94612">
        <w:rPr>
          <w:vertAlign w:val="superscript"/>
        </w:rPr>
        <w:t>207</w:t>
      </w:r>
      <w:r>
        <w:t xml:space="preserve">Pb), and </w:t>
      </w:r>
      <w:r w:rsidRPr="00C143F9">
        <w:rPr>
          <w:vertAlign w:val="superscript"/>
        </w:rPr>
        <w:t>137</w:t>
      </w:r>
      <w:r>
        <w:t xml:space="preserve">Cs activity (Supplementary Figure 7). Radiocarbon dates, pollen abundances, pollution markers, and </w:t>
      </w:r>
      <w:r w:rsidRPr="00D03E3B">
        <w:rPr>
          <w:vertAlign w:val="superscript"/>
        </w:rPr>
        <w:t>137</w:t>
      </w:r>
      <w:r w:rsidRPr="00D03E3B">
        <w:t>Cs</w:t>
      </w:r>
      <w:r>
        <w:t xml:space="preserve"> activity</w:t>
      </w:r>
      <w:r w:rsidRPr="00D03E3B">
        <w:t xml:space="preserve"> </w:t>
      </w:r>
      <w:r>
        <w:t xml:space="preserve">were compiled using the Bchron package in R </w:t>
      </w:r>
      <w:r>
        <w:fldChar w:fldCharType="begin"/>
      </w:r>
      <w:r w:rsidR="006436A7">
        <w:instrText xml:space="preserve"> ADDIN ZOTERO_ITEM CSL_CITATION {"citationID":"R7HQize2","properties":{"formattedCitation":"\\super 54,55\\nosupersub{}","plainCitation":"54,55","noteIndex":0},"citationItems":[{"id":425,"uris":["http://zotero.org/users/local/XxmvPi45/items/UUF8M795"],"uri":["http://zotero.org/users/local/XxmvPi45/items/UUF8M795"],"itemData":{"id":425,"type":"article-journal","abstract":"Summary. We propose a new and simple continuous Markov monotone stochastic process and use it to make inference on a partially observed monotone stochastic process. The process is piecewise linear, based on additive independent gamma increments arriving in a Poisson fashion. An independent increments variation allows very simple conditional simulation of sample paths given known values of the process. We take advantage of a reparameterization involving the Tweedie distribution to provide efficient computation. The motivating problem is the establishment of a chronology for samples taken from lake sediment cores, i.e. the attribution of a set of dates to samples of the core given their depths, knowing that the age–depth relationship is monotone. The chronological information arises from radiocarbon (14C) dating at a subset of depths. We use the process to model the stochastically varying rate of sedimentation.","container-title":"Journal of the Royal Statistical Society: Series C (Applied Statistics)","DOI":"10.1111/j.1467-9876.2008.00623.x","ISSN":"1467-9876","issue":"4","language":"en","page":"399-418","source":"Wiley Online Library","title":"A simple monotone process with application to radiocarbon-dated depth chronologies","volume":"57","author":[{"family":"Haslett","given":"John"},{"family":"Parnell","given":"Andrew"}],"issued":{"date-parts":[["2008"]]}},"label":"page"},{"id":428,"uris":["http://zotero.org/users/local/XxmvPi45/items/2KGDD8T6"],"uri":["http://zotero.org/users/local/XxmvPi45/items/2KGDD8T6"],"itemData":{"id":428,"type":"article-journal","abstract":"The dating of depths in two or more cores is frequently followed by a study of the synchroneity or otherwise of events reflected in the cores. The difficulties most frequently encountered are: (a) determining precisely the depths associated with the events; and (b) determining the ages associated with the depths. There has been much progress in recent years in developing tools for the study of uncertainties in establishing chronologies. This has not yet been matched by similar progress in modelling event/depth relationships. This paper proposes a simple and flexible approach, showing how uncertain events can be married to uncertain chronologies. Difficulties in studying event/depth/age relationships typically involve a confounding of two different problems. First, what exactly do we mean by an ‘event’ – a point in history, a single depth in the core corresponding to a single time, or a depth/time range? Sometimes ‘event’ is in fact a shorthand for a space-time process. Do the data reflect more than one type of event/process? This can reflect vagueness in definition. Second, what are the sources and implications of the uncertainties? Here we illustrate the issues involved by examination of several features seen in north European Holocene pollen records. The Alnus rise is regarded as a diachronous early Holocene event; in contrast the Ulmus decline is widely seen as a near synchronous event in the mid-Holocene. The third feature we examine is the interval between the Ulmus decline and the first occurrence of Cerealia-type pollen. The evidence for these events lies in cores of lake sediment from which are determined: (a) the proportions of pollen at many depths; and (b) radiocarbon age estimates from, usually, fewer depths. For this illustration we focus on six sites. We draw attention to a new and flexible method (implemented in the free R software package Bchron; [Haslett, J., Parnell, A., 2008. A simple monotone process with application to radiocarbon dated depth chronologies. Journal of the Royal Statistical Society: Series C 57 (4), 399–418]) for the establishment of the uncertainties surrounding the dating of samples in such cores. We illustrate its flexibility by assessing the synchroneity of past events.","container-title":"Quaternary Science Reviews","DOI":"10.1016/j.quascirev.2008.07.009","ISSN":"0277-3791","issue":"19","journalAbbreviation":"Quaternary Science Reviews","page":"1872-1885","source":"ScienceDirect","title":"A flexible approach to assessing synchroneity of past events using Bayesian reconstructions of sedimentation history","volume":"27","author":[{"family":"Parnell","given":"A. C."},{"family":"Haslett","given":"J."},{"family":"Allen","given":"J. R. M."},{"family":"Buck","given":"C. E."},{"family":"Huntley","given":"B."}],"issued":{"date-parts":[["2008",10,1]]}},"label":"page"}],"schema":"https://github.com/citation-style-language/schema/raw/master/csl-citation.json"} </w:instrText>
      </w:r>
      <w:r>
        <w:fldChar w:fldCharType="separate"/>
      </w:r>
      <w:r w:rsidR="006436A7" w:rsidRPr="006436A7">
        <w:rPr>
          <w:szCs w:val="24"/>
          <w:vertAlign w:val="superscript"/>
        </w:rPr>
        <w:t>54,55</w:t>
      </w:r>
      <w:r>
        <w:fldChar w:fldCharType="end"/>
      </w:r>
      <w:r>
        <w:t xml:space="preserve">, which uses a Bayesian framework to produce an age-depth model and estimates ages with associated uncertainties for every 1-cm thick interval in the core (Supplementary Figure 8). The age estimates and uncertainties from Bchron were applied to all core samples with a reconstructed </w:t>
      </w:r>
      <w:r w:rsidRPr="00D07237">
        <w:t>PME</w:t>
      </w:r>
      <w:r>
        <w:t xml:space="preserve"> (Supplementary Figure 9). The </w:t>
      </w:r>
      <w:r w:rsidRPr="00BD1479">
        <w:t>data for the northern New Jersey RSL record can be found in the Supplementary Materials.</w:t>
      </w:r>
    </w:p>
    <w:p w14:paraId="4B3DF9FF" w14:textId="77777777" w:rsidR="00274233" w:rsidRDefault="00274233" w:rsidP="00274233">
      <w:pPr>
        <w:jc w:val="left"/>
      </w:pPr>
    </w:p>
    <w:p w14:paraId="23AC9882" w14:textId="77777777" w:rsidR="00274233" w:rsidRPr="00085860" w:rsidRDefault="00274233" w:rsidP="00274233">
      <w:pPr>
        <w:pStyle w:val="Heading3"/>
        <w:jc w:val="left"/>
        <w:rPr>
          <w:b w:val="0"/>
          <w:i w:val="0"/>
        </w:rPr>
      </w:pPr>
      <w:r w:rsidRPr="00085860">
        <w:rPr>
          <w:b w:val="0"/>
          <w:i w:val="0"/>
        </w:rPr>
        <w:t xml:space="preserve">Spatiotemporal statistical model </w:t>
      </w:r>
    </w:p>
    <w:p w14:paraId="2F638A25" w14:textId="19F1CEE7" w:rsidR="00274233" w:rsidRDefault="00274233" w:rsidP="00640061">
      <w:pPr>
        <w:ind w:firstLine="720"/>
        <w:jc w:val="left"/>
      </w:pPr>
      <w:r>
        <w:t>To e</w:t>
      </w:r>
      <w:r w:rsidRPr="00843072">
        <w:t>stimate</w:t>
      </w:r>
      <w:r>
        <w:t xml:space="preserve"> past RSL and rates of RSL</w:t>
      </w:r>
      <w:r w:rsidRPr="00843072">
        <w:t xml:space="preserve"> change</w:t>
      </w:r>
      <w:r>
        <w:t xml:space="preserve"> and their</w:t>
      </w:r>
      <w:r w:rsidRPr="00843072">
        <w:t xml:space="preserve"> associated uncertaint</w:t>
      </w:r>
      <w:r>
        <w:t xml:space="preserve">ies, we used a spatiotemporal empirical hierarchical model </w:t>
      </w:r>
      <w:r>
        <w:fldChar w:fldCharType="begin"/>
      </w:r>
      <w:r w:rsidR="002A7AC0">
        <w:instrText xml:space="preserve"> ADDIN ZOTERO_ITEM CSL_CITATION {"citationID":"Aea9rZof","properties":{"unsorted":true,"formattedCitation":"\\super 11,17\\nosupersub{}","plainCitation":"11,17","noteIndex":0},"citationItems":[{"id":261,"uris":["http://zotero.org/users/local/XxmvPi45/items/6B2CJCNF"],"uri":["http://zotero.org/users/local/XxmvPi45/items/6B2CJCNF"],"itemData":{"id":261,"type":"article-journal","container-title":"Proceedings of the National Academy of Sciences","DOI":"10.1073/pnas.1517056113","ISSN":"0027-8424, 1091-6490","issue":"11","language":"en","page":"E1434-E1441","source":"Crossref","title":"Temperature-driven global sea-level variability in the Common Era","volume":"113","author":[{"family":"Kopp","given":"Robert E."},{"family":"Kemp","given":"Andrew C."},{"family":"Bittermann","given":"Klaus"},{"family":"Horton","given":"Benjamin P."},{"family":"Donnelly","given":"Jeffrey P."},{"family":"Gehrels","given":"W. Roland"},{"family":"Hay","given":"Carling C."},{"family":"Mitrovica","given":"Jerry X."},{"family":"Morrow","given":"Eric D."},{"family":"Rahmstorf","given":"Stefan"}],"issued":{"date-parts":[["2016",3,15]]}},"label":"page"},{"id":281,"uris":["http://zotero.org/users/local/XxmvPi45/items/4NTAIMBZ"],"uri":["http://zotero.org/users/local/XxmvPi45/items/4NTAIMBZ"],"itemData":{"id":281,"type":"article-journal","abstract":"Characterizing the spatio-temporal variability of relative sea level (RSL) and estimating local, regional, and global RSL trends requires statistical analysis of RSL data. Formal statistical treatments, needed to account for the spatially and temporally sparse distribution of data and for geochronological and elevational uncertainties, have advanced considerably over the last decade. Time-series models have adopted more ﬂexible and physically-informed speciﬁcations with more rigorous quantiﬁcation of uncertainties. Spatio-temporal models have evolved from simple regional averaging to frameworks that more richly represent the correlation structure of RSL across space and time. More complex statistical approaches enable rigorous quantiﬁcation of spatial and temporal variability, the combination of geographically disparate data, and the separation of the RSL ﬁeld into various components associated with different driving processes. We review the range of statistical modeling and analysis choices used in the literature, reformulating them for ease of comparison in a common hierarchical statistical framework. The hierarchical framework separates each model into different levels, clearly partitioning measurement and inferential uncertainty from process variability. Placing models in a hierarchical framework enables us to highlight both the similarities and differences among modeling and analysis choices. We illustrate the implications of some modeling and analysis choices currently used in the literature by comparing the results of their application to common datasets within a hierarchical framework. In light of the complex patterns of spatial and temporal variability exhibited by RSL, we recommend non-parametric approaches for modeling temporal and spatio-temporal RSL.","container-title":"Quaternary Science Reviews","DOI":"10.1016/j.quascirev.2018.10.032","ISSN":"02773791","language":"en","page":"58-77","source":"Crossref","title":"Statistical modeling of rates and trends in Holocene relative sea level","volume":"204","author":[{"family":"Ashe","given":"Erica L."},{"family":"Cahill","given":"Niamh"},{"family":"Hay","given":"Carling"},{"family":"Khan","given":"Nicole S."},{"family":"Kemp","given":"Andrew"},{"family":"Engelhart","given":"Simon E."},{"family":"Horton","given":"Benjamin P."},{"family":"Parnell","given":"Andrew C."},{"family":"Kopp","given":"Robert E."}],"issued":{"date-parts":[["2019",1]]}},"label":"page"}],"schema":"https://github.com/citation-style-language/schema/raw/master/csl-citation.json"} </w:instrText>
      </w:r>
      <w:r>
        <w:fldChar w:fldCharType="separate"/>
      </w:r>
      <w:r w:rsidR="002A7AC0" w:rsidRPr="002A7AC0">
        <w:rPr>
          <w:szCs w:val="24"/>
          <w:vertAlign w:val="superscript"/>
        </w:rPr>
        <w:t>11,17</w:t>
      </w:r>
      <w:r>
        <w:fldChar w:fldCharType="end"/>
      </w:r>
      <w:r>
        <w:t xml:space="preserve"> with a sea-level database comprising proxy sea-level records with high-resolution chronologies from </w:t>
      </w:r>
      <w:r w:rsidRPr="009145F7">
        <w:t>3</w:t>
      </w:r>
      <w:r>
        <w:t xml:space="preserve">6 regions around the world, including </w:t>
      </w:r>
      <w:r w:rsidR="00A708CB">
        <w:t>the</w:t>
      </w:r>
      <w:r>
        <w:t xml:space="preserve"> new northern New Jersey RSL record (Figure 3a). The 2,274 individual data points in the database use proxies such as foraminifera, diatoms, testate amoebae, coral microatolls, archaeological evidence, and sediment geochemistry. </w:t>
      </w:r>
      <w:r w:rsidR="00A708CB">
        <w:t>We have updated t</w:t>
      </w:r>
      <w:r>
        <w:t xml:space="preserve">he database </w:t>
      </w:r>
      <w:r w:rsidR="00E8596C">
        <w:t xml:space="preserve">(Supplementary Data) </w:t>
      </w:r>
      <w:r>
        <w:t xml:space="preserve">from Kemp et al. (2018) to include 390 new RSL data points from northern New Jersey, USA (this study); Croatia </w:t>
      </w:r>
      <w:r>
        <w:fldChar w:fldCharType="begin"/>
      </w:r>
      <w:r w:rsidR="006436A7">
        <w:instrText xml:space="preserve"> ADDIN ZOTERO_ITEM CSL_CITATION {"citationID":"6mx7wbN3","properties":{"formattedCitation":"\\super 56\\nosupersub{}","plainCitation":"56","noteIndex":0},"citationItems":[{"id":338,"uris":["http://zotero.org/users/local/XxmvPi45/items/U7ZSVYWZ"],"uri":["http://zotero.org/users/local/XxmvPi45/items/U7ZSVYWZ"],"itemData":{"id":338,"type":"article-journal","abstract":"Differential tectonic activity is a key factor responsible for variable relative sea-level (RSL) changes during the late Holocene in the Adriatic. Here, we compare reconstructions of RSL from the central-eastern Adriatic coast of Croatia with ICE-7G_NA (VM7) glacial-isostatic model RSL predictions to assess underlying driving mechanisms of RSL change during the past ~ 2700 years. Local standardized published sea-level index points (n ¼ 23) were combined with a new salt-marsh RSL reconstruction and tide-gauge measurements. We enumerated fossil foraminifera from a short salt-marsh sediment core constrained vertically by modern foraminiferal distributions, and temporally by radiometric analyses providing subcentury resolution within a Bayesian age-depth framework. We modelled changes in RSL using an ErrorsIn-Variables Integrated Gaussian Process (EIV-IGP) model with full consideration of the available uncertainty. Previously established index points show RSL rising from À1.48 m at 715 BCE to À1.05 m by 100 CE at 0.52 mm/yr (À0.82-1.87 mm/yr). Between 500 and 1000 CE RSL was À0.7 m below present rising to À0.25 m at 1700 CE. RSL rise decreased to a minimum rate of 0.13 mm/yr (À0.37-0.64 mm/yr) at ~1450 CE. The salt-marsh reconstruction shows RSL rose ~0.28 m since the early 18th century at an average rate of 0.95 mm/yr. Magnitudes and rates of RSL change during the twentieth century are concurrent with long-term tide-gauge measurements, with a rise of ~1.1 mm/yr. Predictions of RSL from the ICE-7G_NA (VM7) glacial-isostatic model (À0.25 m at 715 BCE) are consistently higher than the reconstruction (À1.48 m at 715 BCE) during the Late Holocene suggesting a subsidence rate of 0.45 ± 0.6 mm/yr. The new salt-marsh reconstruction and regional index points coupled with glacial-isostatic and statistical models estimate the magnitude and rate of RSL change and subsidence caused by the Adriatic tectonic framework.","container-title":"Quaternary Science Reviews","DOI":"10.1016/j.quascirev.2018.09.015","ISSN":"02773791","language":"en","page":"262-275","source":"Crossref","title":"Tectonic influences on late Holocene relative sea levels from the central-eastern Adriatic coast of Croatia","volume":"200","author":[{"family":"Shaw","given":"Timothy A."},{"family":"Plater","given":"Andrew J."},{"family":"Kirby","given":"Jason R."},{"family":"Roy","given":"Keven"},{"family":"Holgate","given":"Simon"},{"family":"Tutman","given":"Pero"},{"family":"Cahill","given":"Niamh"},{"family":"Horton","given":"Benjamin P."}],"issued":{"date-parts":[["2018",11]]}}}],"schema":"https://github.com/citation-style-language/schema/raw/master/csl-citation.json"} </w:instrText>
      </w:r>
      <w:r>
        <w:fldChar w:fldCharType="separate"/>
      </w:r>
      <w:r w:rsidR="006436A7" w:rsidRPr="006436A7">
        <w:rPr>
          <w:szCs w:val="24"/>
          <w:vertAlign w:val="superscript"/>
        </w:rPr>
        <w:t>56</w:t>
      </w:r>
      <w:r>
        <w:fldChar w:fldCharType="end"/>
      </w:r>
      <w:r>
        <w:t xml:space="preserve">; French Polynesia </w:t>
      </w:r>
      <w:r>
        <w:fldChar w:fldCharType="begin"/>
      </w:r>
      <w:r w:rsidR="006436A7">
        <w:instrText xml:space="preserve"> ADDIN ZOTERO_ITEM CSL_CITATION {"citationID":"7lh8m2iO","properties":{"formattedCitation":"\\super 57\\nosupersub{}","plainCitation":"57","noteIndex":0},"citationItems":[{"id":883,"uris":["http://zotero.org/users/local/XxmvPi45/items/I54CJYNS"],"uri":["http://zotero.org/users/local/XxmvPi45/items/I54CJYNS"],"itemData":{"id":883,"type":"article-journal","abstract":"Past sea-level records serve as an important baseline of natural variability in sea level and global ice volume prior to the Anthropocene. Here, the authors reconstruct relative sea-level changes over the last 6000 years based on coral microatolls, which are the most accurate low-tide recorders.","container-title":"Nature Communications","DOI":"10.1038/s41467-017-02695-7","ISSN":"2041-1723","issue":"1","language":"en","note":"number: 1\npublisher: Nature Publishing Group","page":"1-12","source":"www.nature.com","title":"Ice volume and climate changes from a 6000 year sea-level record in French Polynesia","volume":"9","author":[{"family":"Hallmann","given":"N."},{"family":"Camoin","given":"G."},{"family":"Eisenhauer","given":"A."},{"family":"Botella","given":"A."},{"family":"Milne","given":"G. A."},{"family":"Vella","given":"C."},{"family":"Samankassou","given":"E."},{"family":"Pothin","given":"V."},{"family":"Dussouillez","given":"P."},{"family":"Fleury","given":"J."},{"family":"Fietzke","given":"J."}],"issued":{"date-parts":[["2018",1,18]]}}}],"schema":"https://github.com/citation-style-language/schema/raw/master/csl-citation.json"} </w:instrText>
      </w:r>
      <w:r>
        <w:fldChar w:fldCharType="separate"/>
      </w:r>
      <w:r w:rsidR="006436A7" w:rsidRPr="006436A7">
        <w:rPr>
          <w:szCs w:val="24"/>
          <w:vertAlign w:val="superscript"/>
        </w:rPr>
        <w:t>57</w:t>
      </w:r>
      <w:r>
        <w:fldChar w:fldCharType="end"/>
      </w:r>
      <w:r>
        <w:t xml:space="preserve">; Israel </w:t>
      </w:r>
      <w:r>
        <w:fldChar w:fldCharType="begin"/>
      </w:r>
      <w:r w:rsidR="006436A7">
        <w:instrText xml:space="preserve"> ADDIN ZOTERO_ITEM CSL_CITATION {"citationID":"QYGy1XkK","properties":{"formattedCitation":"\\super 58\\nosupersub{}","plainCitation":"58","noteIndex":0},"citationItems":[{"id":506,"uris":["http://zotero.org/users/local/XxmvPi45/items/TT4C733E"],"uri":["http://zotero.org/users/local/XxmvPi45/items/TT4C733E"],"itemData":{"id":506,"type":"article-journal","abstract":"Archaeological remains are valuable relative sea-level (RSL) indicators in Israel, a tectonically stable coast with minor isostatic inputs. Previous research has used archaeological indicators to argue for centennial sea-level fluctuations. Here, we place archaeological indicators in a quality-controlled dataset where all indicators have consistently calculated vertical and chronological uncertainties, and we subject the data to statistical analysis. We combine the archaeological data with bio-construction data from Dendropoma petraeum colonial vermetids. The final dataset consists of 99 relative sea-level index points and 12 limiting points from the last 4000 a. The temporal distribution of the index points is uneven; Israel has only four index points before 2000 a BP. We apply an Errors-In-Variables Integrated Gaussian Process (EIV IGP) to the index points to model the evolution of RSL. Results show RSL in Israel rose from −0.8 ± 0.5 m at </w:instrText>
      </w:r>
      <w:r w:rsidR="006436A7">
        <w:rPr>
          <w:rFonts w:ascii="Cambria Math" w:hAnsi="Cambria Math" w:cs="Cambria Math"/>
        </w:rPr>
        <w:instrText>∼</w:instrText>
      </w:r>
      <w:r w:rsidR="006436A7">
        <w:instrText xml:space="preserve">2750 a BP (Iron Age) to 0.0 ± 0.1 m by </w:instrText>
      </w:r>
      <w:r w:rsidR="006436A7">
        <w:rPr>
          <w:rFonts w:ascii="Cambria Math" w:hAnsi="Cambria Math" w:cs="Cambria Math"/>
        </w:rPr>
        <w:instrText>∼</w:instrText>
      </w:r>
      <w:r w:rsidR="006436A7">
        <w:instrText xml:space="preserve">1850 a BP (Roman period) at 0.8 mm/a, and continued rising to 0.1 ± 0.1 m until </w:instrText>
      </w:r>
      <w:r w:rsidR="006436A7">
        <w:rPr>
          <w:rFonts w:ascii="Cambria Math" w:hAnsi="Cambria Math" w:cs="Cambria Math"/>
        </w:rPr>
        <w:instrText>∼</w:instrText>
      </w:r>
      <w:r w:rsidR="006436A7">
        <w:instrText xml:space="preserve">1600 a BP (Byzantine Period). RSL then fell to −0.3 ± 0.1 m by 0.5 mm/a until </w:instrText>
      </w:r>
      <w:r w:rsidR="006436A7">
        <w:rPr>
          <w:rFonts w:ascii="Cambria Math" w:hAnsi="Cambria Math" w:cs="Cambria Math"/>
        </w:rPr>
        <w:instrText>∼</w:instrText>
      </w:r>
      <w:r w:rsidR="006436A7">
        <w:instrText xml:space="preserve">650 a BP (Late Arab period), before returning to present levels at a rate of 0.4 mm/a. The re-assessed Israeli record supports centennial-scale RSL fluctuations during the last 3000 a BP, although the magnitude of the RSL fall during the last 2000 a BP is 50% less. The new Israel RSL record demonstrates correspondence with regional climate proxies. This quality-controlled Israeli RSL dataset can serve as a reference for comparisons with other sea-level records from the Eastern Mediterranean.","container-title":"Quaternary Science Reviews","DOI":"10.1016/j.quascirev.2019.02.021","ISSN":"0277-3791","journalAbbreviation":"Quaternary Science Reviews","page":"125-135","source":"ScienceDirect","title":"Can we detect centennial sea-level variations over the last three thousand years in Israeli archaeological records?","volume":"210","author":[{"family":"Dean","given":"S."},{"family":"Horton","given":"Benjamin P."},{"family":"Evelpidou","given":"Niki"},{"family":"Cahill","given":"Niamh"},{"family":"Spada","given":"Giorgio"},{"family":"Sivan","given":"Dorit"}],"issued":{"date-parts":[["2019",4,15]]}}}],"schema":"https://github.com/citation-style-language/schema/raw/master/csl-citation.json"} </w:instrText>
      </w:r>
      <w:r>
        <w:fldChar w:fldCharType="separate"/>
      </w:r>
      <w:r w:rsidR="006436A7" w:rsidRPr="006436A7">
        <w:rPr>
          <w:szCs w:val="24"/>
          <w:vertAlign w:val="superscript"/>
        </w:rPr>
        <w:t>58</w:t>
      </w:r>
      <w:r>
        <w:fldChar w:fldCharType="end"/>
      </w:r>
      <w:r>
        <w:t xml:space="preserve">; Quebec </w:t>
      </w:r>
      <w:r>
        <w:fldChar w:fldCharType="begin"/>
      </w:r>
      <w:r w:rsidR="006436A7">
        <w:instrText xml:space="preserve"> ADDIN ZOTERO_ITEM CSL_CITATION {"citationID":"FqYqqIHM","properties":{"formattedCitation":"\\super 59\\nosupersub{}","plainCitation":"59","noteIndex":0},"citationItems":[{"id":886,"uris":["http://zotero.org/users/local/XxmvPi45/items/4NAFUDUS"],"uri":["http://zotero.org/users/local/XxmvPi45/items/4NAFUDUS"],"itemData":{"id":886,"type":"article-journal","abstract":"Late Holocene sea-level changes can be reconstructed from salt-marsh sediments with decimetre-scale precision and decadal-scale resolution. These records of relative sea-level changes comprise the net sea-level contributions from mechanisms that act across local, regional and global scales. Recent efforts help to constrain the relative significance of these mechanisms that include sediment dynamics and isostasy, which cause relative sea-level changes via vertical land motion, ocean-atmosphere processes that influence regional-scale ocean mass redistribution, and ocean-cryosphere and steric interactions that drive global scale ocean-volume changes. There remains a paucity of high-resolution Late Holocene sea-level data from eastern Canada. This precludes an interrogation of the mechanisms that define sea-level changes over recent centuries and millennia in a region sensitive to oceanic (Atlantic Multidecadal Variability, Atlantic Meridional Overturning Circulation), atmospheric (North Atlantic Oscillation, Arctic Oscillation) and cryospheric (ice-mass balance) changes. We present new relative sea-level data that span the past three millennia from Baie des Chaleurs in the Gulf of St. Lawrence generated using salt-marsh foraminifera supported with plant macrofossil analyses. The accompanying chronology is based on radiocarbon and radionuclide analyses, which are independently verified using trace metal and microcharcoal records. Relative sea level has risen at a mean rate of 0.93 ± 1.25 mm yr−1 over the past </w:instrText>
      </w:r>
      <w:r w:rsidR="006436A7">
        <w:rPr>
          <w:rFonts w:ascii="Cambria Math" w:hAnsi="Cambria Math" w:cs="Cambria Math"/>
        </w:rPr>
        <w:instrText>∼</w:instrText>
      </w:r>
      <w:r w:rsidR="006436A7">
        <w:instrText xml:space="preserve">1500 years. Residual structure within the reconstruction (‘internal variability’) has contributed up to an additional 0.61 ± 0.46 mm yr−1 of short-lived RSL rise prior to 1800 CE. Following a sea-level low stand during the Little Ice Age, acceleration in relative sea-level rise is identified between 1800 and 1900 CE within the estimates of internal variability and from 1950 CE to present in both the secular and residual trends. Phases of relative sea-level changes in the Gulf of St. Lawrence are concomitant with periods of glacier mass loss following the Little Ice Age, phase periods of the North Atlantic Oscillation and the Atlantic Meridional Overturning Circulation and Northern Hemisphere warming. Quantifying the individual effects of these different mechanisms is important for understanding how ocean-atmosphere processes redistribute ocean-mass upon larger scale background ocean-volume changes.","container-title":"Quaternary Science Reviews","DOI":"10.1016/j.quascirev.2018.10.039","ISSN":"0277-3791","journalAbbreviation":"Quaternary Science Reviews","language":"en","page":"151-169","source":"ScienceDirect","title":"Late Holocene sea-level changes in eastern Québec and potential drivers","volume":"203","author":[{"family":"Barnett","given":"R. L."},{"family":"Bernatchez","given":"P."},{"family":"Garneau","given":"M."},{"family":"Brain","given":"M. J."},{"family":"Charman","given":"D. J."},{"family":"Stephenson","given":"D. B."},{"family":"Haley","given":"S."},{"family":"Sanderson","given":"N."}],"issued":{"date-parts":[["2019",1,1]]}}}],"schema":"https://github.com/citation-style-language/schema/raw/master/csl-citation.json"} </w:instrText>
      </w:r>
      <w:r>
        <w:fldChar w:fldCharType="separate"/>
      </w:r>
      <w:r w:rsidR="006436A7" w:rsidRPr="006436A7">
        <w:rPr>
          <w:szCs w:val="24"/>
          <w:vertAlign w:val="superscript"/>
        </w:rPr>
        <w:t>59</w:t>
      </w:r>
      <w:r>
        <w:fldChar w:fldCharType="end"/>
      </w:r>
      <w:r>
        <w:t xml:space="preserve">; Connecticut </w:t>
      </w:r>
      <w:r>
        <w:fldChar w:fldCharType="begin"/>
      </w:r>
      <w:r w:rsidR="006436A7">
        <w:instrText xml:space="preserve"> ADDIN ZOTERO_ITEM CSL_CITATION {"citationID":"DSjbgYib","properties":{"formattedCitation":"\\super 60\\nosupersub{}","plainCitation":"60","noteIndex":0},"citationItems":[{"id":889,"uris":["http://zotero.org/users/local/XxmvPi45/items/YLHZPBEE"],"uri":["http://zotero.org/users/local/XxmvPi45/items/YLHZPBEE"],"itemData":{"id":889,"type":"article-journal","abstract":"The Atlantic coast of North America north of Cape Hatteras has been proposed as a “hotspot” of late 20th century sea-level rise. Here we test, using salt-marsh proxy sea-level records, if this coast experienced enhanced sea-level rise over earlier multidecadal-centennial periods. While we find in agreement with previous studies that 20th century rates of sea-level change were higher compared to rates during preceding centuries, rates of 18th century sea-level rise were only slightly lower, suggesting that the “hotspot” is a reoccurring feature for at least three centuries. Proxy sea-level records from North America (Iceland) are negatively (positively) correlated with centennial changes in the North Atlantic Oscillation. They are consistent with sea-level “fingerprints” of Arctic ice melt, and we therefore hypothesize that sea-level fluctuations are related to changes in Arctic land-ice mass. Predictions of future sea-level rise should take into account these long-term fluctuating rates of natural sea-level change.","container-title":"Geophysical Research Letters","DOI":"10.1029/2019GL085814","ISSN":"1944-8007","issue":"4","language":"en","note":"_eprint: https://agupubs.onlinelibrary.wiley.com/doi/pdf/10.1029/2019GL085814","page":"e2019GL085814","source":"Wiley Online Library","title":"A Preindustrial Sea-Level Rise Hotspot Along the Atlantic Coast of North America","volume":"47","author":[{"family":"Gehrels","given":"W. R."},{"family":"Dangendorf","given":"S."},{"family":"Barlow","given":"N. L. M."},{"family":"Saher","given":"M. H."},{"family":"Long","given":"A. J."},{"family":"Woodworth","given":"P. L."},{"family":"Piecuch","given":"C. G."},{"family":"Berk","given":"K."}],"issued":{"date-parts":[["2020"]]}}}],"schema":"https://github.com/citation-style-language/schema/raw/master/csl-citation.json"} </w:instrText>
      </w:r>
      <w:r>
        <w:fldChar w:fldCharType="separate"/>
      </w:r>
      <w:r w:rsidR="006436A7" w:rsidRPr="006436A7">
        <w:rPr>
          <w:szCs w:val="24"/>
          <w:vertAlign w:val="superscript"/>
        </w:rPr>
        <w:t>60</w:t>
      </w:r>
      <w:r>
        <w:fldChar w:fldCharType="end"/>
      </w:r>
      <w:r>
        <w:t xml:space="preserve">; Maine </w:t>
      </w:r>
      <w:r>
        <w:fldChar w:fldCharType="begin"/>
      </w:r>
      <w:r w:rsidR="006436A7">
        <w:instrText xml:space="preserve"> ADDIN ZOTERO_ITEM CSL_CITATION {"citationID":"o8NKAS7J","properties":{"formattedCitation":"\\super 60\\nosupersub{}","plainCitation":"60","noteIndex":0},"citationItems":[{"id":889,"uris":["http://zotero.org/users/local/XxmvPi45/items/YLHZPBEE"],"uri":["http://zotero.org/users/local/XxmvPi45/items/YLHZPBEE"],"itemData":{"id":889,"type":"article-journal","abstract":"The Atlantic coast of North America north of Cape Hatteras has been proposed as a “hotspot” of late 20th century sea-level rise. Here we test, using salt-marsh proxy sea-level records, if this coast experienced enhanced sea-level rise over earlier multidecadal-centennial periods. While we find in agreement with previous studies that 20th century rates of sea-level change were higher compared to rates during preceding centuries, rates of 18th century sea-level rise were only slightly lower, suggesting that the “hotspot” is a reoccurring feature for at least three centuries. Proxy sea-level records from North America (Iceland) are negatively (positively) correlated with centennial changes in the North Atlantic Oscillation. They are consistent with sea-level “fingerprints” of Arctic ice melt, and we therefore hypothesize that sea-level fluctuations are related to changes in Arctic land-ice mass. Predictions of future sea-level rise should take into account these long-term fluctuating rates of natural sea-level change.","container-title":"Geophysical Research Letters","DOI":"10.1029/2019GL085814","ISSN":"1944-8007","issue":"4","language":"en","note":"_eprint: https://agupubs.onlinelibrary.wiley.com/doi/pdf/10.1029/2019GL085814","page":"e2019GL085814","source":"Wiley Online Library","title":"A Preindustrial Sea-Level Rise Hotspot Along the Atlantic Coast of North America","volume":"47","author":[{"family":"Gehrels","given":"W. R."},{"family":"Dangendorf","given":"S."},{"family":"Barlow","given":"N. L. M."},{"family":"Saher","given":"M. H."},{"family":"Long","given":"A. J."},{"family":"Woodworth","given":"P. L."},{"family":"Piecuch","given":"C. G."},{"family":"Berk","given":"K."}],"issued":{"date-parts":[["2020"]]}}}],"schema":"https://github.com/citation-style-language/schema/raw/master/csl-citation.json"} </w:instrText>
      </w:r>
      <w:r>
        <w:fldChar w:fldCharType="separate"/>
      </w:r>
      <w:r w:rsidR="006436A7" w:rsidRPr="006436A7">
        <w:rPr>
          <w:szCs w:val="24"/>
          <w:vertAlign w:val="superscript"/>
        </w:rPr>
        <w:t>60</w:t>
      </w:r>
      <w:r>
        <w:fldChar w:fldCharType="end"/>
      </w:r>
      <w:r>
        <w:t xml:space="preserve">; and Nova Scotia </w:t>
      </w:r>
      <w:r>
        <w:fldChar w:fldCharType="begin"/>
      </w:r>
      <w:r w:rsidR="006436A7">
        <w:instrText xml:space="preserve"> ADDIN ZOTERO_ITEM CSL_CITATION {"citationID":"1LiqVFpn","properties":{"formattedCitation":"\\super 60\\nosupersub{}","plainCitation":"60","noteIndex":0},"citationItems":[{"id":889,"uris":["http://zotero.org/users/local/XxmvPi45/items/YLHZPBEE"],"uri":["http://zotero.org/users/local/XxmvPi45/items/YLHZPBEE"],"itemData":{"id":889,"type":"article-journal","abstract":"The Atlantic coast of North America north of Cape Hatteras has been proposed as a “hotspot” of late 20th century sea-level rise. Here we test, using salt-marsh proxy sea-level records, if this coast experienced enhanced sea-level rise over earlier multidecadal-centennial periods. While we find in agreement with previous studies that 20th century rates of sea-level change were higher compared to rates during preceding centuries, rates of 18th century sea-level rise were only slightly lower, suggesting that the “hotspot” is a reoccurring feature for at least three centuries. Proxy sea-level records from North America (Iceland) are negatively (positively) correlated with centennial changes in the North Atlantic Oscillation. They are consistent with sea-level “fingerprints” of Arctic ice melt, and we therefore hypothesize that sea-level fluctuations are related to changes in Arctic land-ice mass. Predictions of future sea-level rise should take into account these long-term fluctuating rates of natural sea-level change.","container-title":"Geophysical Research Letters","DOI":"10.1029/2019GL085814","ISSN":"1944-8007","issue":"4","language":"en","note":"_eprint: https://agupubs.onlinelibrary.wiley.com/doi/pdf/10.1029/2019GL085814","page":"e2019GL085814","source":"Wiley Online Library","title":"A Preindustrial Sea-Level Rise Hotspot Along the Atlantic Coast of North America","volume":"47","author":[{"family":"Gehrels","given":"W. R."},{"family":"Dangendorf","given":"S."},{"family":"Barlow","given":"N. L. M."},{"family":"Saher","given":"M. H."},{"family":"Long","given":"A. J."},{"family":"Woodworth","given":"P. L."},{"family":"Piecuch","given":"C. G."},{"family":"Berk","given":"K."}],"issued":{"date-parts":[["2020"]]}}}],"schema":"https://github.com/citation-style-language/schema/raw/master/csl-citation.json"} </w:instrText>
      </w:r>
      <w:r>
        <w:fldChar w:fldCharType="separate"/>
      </w:r>
      <w:r w:rsidR="006436A7" w:rsidRPr="006436A7">
        <w:rPr>
          <w:szCs w:val="24"/>
          <w:vertAlign w:val="superscript"/>
        </w:rPr>
        <w:t>60</w:t>
      </w:r>
      <w:r>
        <w:fldChar w:fldCharType="end"/>
      </w:r>
      <w:r>
        <w:t xml:space="preserve">. We compared </w:t>
      </w:r>
      <w:r w:rsidR="00A708CB">
        <w:t>the</w:t>
      </w:r>
      <w:r>
        <w:t xml:space="preserve"> new northern New Jersey record </w:t>
      </w:r>
      <w:r>
        <w:lastRenderedPageBreak/>
        <w:t xml:space="preserve">with other published records along the </w:t>
      </w:r>
      <w:r w:rsidRPr="00C237B7">
        <w:t>U.S. Atlantic coast</w:t>
      </w:r>
      <w:r>
        <w:t xml:space="preserve"> </w:t>
      </w:r>
      <w:r w:rsidRPr="00522B39">
        <w:t>from southern New Jersey (Leed</w:t>
      </w:r>
      <w:r>
        <w:t xml:space="preserve">s Point and Cape May Courthouse </w:t>
      </w:r>
      <w:r>
        <w:fldChar w:fldCharType="begin"/>
      </w:r>
      <w:r w:rsidR="002A7AC0">
        <w:instrText xml:space="preserve"> ADDIN ZOTERO_ITEM CSL_CITATION {"citationID":"nZdIMBGM","properties":{"formattedCitation":"\\super 14\\nosupersub{}","plainCitation":"14","noteIndex":0},"citationItems":[{"id":247,"uris":["http://zotero.org/users/local/XxmvPi45/items/ZKIY8U3Q"],"uri":["http://zotero.org/users/local/XxmvPi45/items/ZKIY8U3Q"],"itemData":{"id":247,"type":"article-journal","abstract":"Relative sea-level changes during the last w2500 years in New Jersey, USA were reconstructed to test if late Holocene sea level was stable or included persistent and distinctive phases of variability. Foraminifera and bulk-sediment d13C values were combined to reconstruct paleomarsh elevation with decimeter precision from sequences of salt-marsh sediment at two sites using a multi-proxy approach. The additional paleoenvironmental information provided by bulk-sediment d13C values reduced vertical uncertainty in the sea-level reconstruction by about one third of that estimated from foraminifera alone using a transfer function. The history of sediment deposition was constrained by a composite chronology. An ageedepth model developed for each core enabled reconstruction of sea level with multi-decadal resolution. Following correction for land-level change (1.4 mm/yr), four successive and sustained (multi-centennial) sea-level trends were objectively identiﬁed and quantiﬁed (95% conﬁdence interval) using error-in-variables change point analysis to account for age and sea-level uncertainties. From at least 500 BC to 250 AD, sea-level fell at 0.11 mm/yr. The second period saw sea-level rise at 0.62 mm/yr from 250 AD to 733 AD. Between 733 AD and 1850 AD, sea level fell at 0.12 mm/yr. The reconstructed rate of sea-level rise since w1850 AD was 3.1 mm/yr and represents the most rapid period of change for at least 2500 years. This trend began between 1830 AD and 1873 AD. Since this change point, reconstructed sea-level rise is in agreement with regional tide-gauge records and exceeds the global average estimate for the 20th century. These positive and negative departures from background rates demonstrate that the late Holocene sea level was not stable in New Jersey.","container-title":"Quaternary Science Reviews","DOI":"10.1016/j.quascirev.2013.09.024","ISSN":"02773791","language":"en","page":"90-104","source":"Crossref","title":"Sea-level change during the last 2500 years in New Jersey, USA","volume":"81","author":[{"family":"Kemp","given":"Andrew C."},{"family":"Horton","given":"Benjamin P."},{"family":"Vane","given":"Christopher H."},{"family":"Bernhardt","given":"Christopher E."},{"family":"Corbett","given":"D. Reide"},{"family":"Engelhart","given":"Simon E."},{"family":"Anisfeld","given":"Shimon C."},{"family":"Parnell","given":"Andrew C."},{"family":"Cahill","given":"Niamh"}],"issued":{"date-parts":[["2013",12]]}}}],"schema":"https://github.com/citation-style-language/schema/raw/master/csl-citation.json"} </w:instrText>
      </w:r>
      <w:r>
        <w:fldChar w:fldCharType="separate"/>
      </w:r>
      <w:r w:rsidR="002A7AC0" w:rsidRPr="002A7AC0">
        <w:rPr>
          <w:szCs w:val="24"/>
          <w:vertAlign w:val="superscript"/>
        </w:rPr>
        <w:t>14</w:t>
      </w:r>
      <w:r>
        <w:fldChar w:fldCharType="end"/>
      </w:r>
      <w:r>
        <w:t>)</w:t>
      </w:r>
      <w:r w:rsidRPr="00522B39">
        <w:t xml:space="preserve">, New York City </w:t>
      </w:r>
      <w:r>
        <w:fldChar w:fldCharType="begin"/>
      </w:r>
      <w:r w:rsidR="002A7AC0">
        <w:instrText xml:space="preserve"> ADDIN ZOTERO_ITEM CSL_CITATION {"citationID":"A8x2bPha","properties":{"formattedCitation":"\\super 15\\nosupersub{}","plainCitation":"15","noteIndex":0},"citationItems":[{"id":246,"uris":["http://zotero.org/users/local/XxmvPi45/items/2HXYQNKX"],"uri":["http://zotero.org/users/local/XxmvPi45/items/2HXYQNKX"],"itemData":{"id":246,"type":"article-journal","abstract":"New York City (NYC) is threatened by 21st-century relative sea-level (RSL) rise because it will experience a trend that exceeds the global mean and has high concentrations of low-lying infrastructure and socioeconomic activity. To provide a long-term context for anticipated trends, we reconstructed RSL change during the past ~1500 years using a core of salt-marsh sediment from Pelham Bay in The Bronx. Foraminifera and bulk-sediment δ13C values were used as sea-level indicators. The history of sediment accumulation was established by radiocarbon dating and recognition of pollution and land-use trends of known age in down-core elemental, isotopic, and pollen profiles. The reconstruction was generated within a Bayesian hierarchical model to accommodate multiple proxies and to provide a unified statistical framework for quantifying uncertainty. We show that RSL in NYC rose by ~1.70 m since ~575 CE (including ~0.38 m since 1850 CE). The rate of RSL rise increased markedly at 1812–1913 CE from ~1.0 to ~2.5 mm/yr, which coincides with other reconstructions along the US Atlantic coast. We investigated the possible influence of tidal-range change in Long Island Sound on our reconstruction using a regional tidal model, and we demonstrate that this effect was likely small. However, future tidal-range change could exacerbate the impacts of RSL rise in communities bordering Long Island Sound. The current rate of RSL rise is the fastest that NYC has experienced for &gt;1500 years, and its ongoing acceleration suggests that projections of 21st-century local RSL rise will be realized.","container-title":"The Holocene","DOI":"10.1177/0959683616683263","ISSN":"0959-6836, 1477-0911","issue":"8","language":"en","page":"1169-1186","source":"Crossref","title":"Relative sea-level trends in New York City during the past 1500 years","volume":"27","author":[{"family":"Kemp","given":"Andrew C."},{"family":"Hill","given":"Troy D"},{"family":"Vane","given":"Christopher H"},{"family":"Cahill","given":"Niamh"},{"family":"Orton","given":"Philip M"},{"family":"Talke","given":"Stefan A"},{"family":"Parnell","given":"Andrew C"},{"family":"Sanborn","given":"Kelsey"},{"family":"Hartig","given":"Ellen K"}],"issued":{"literal":"2017b"}}}],"schema":"https://github.com/citation-style-language/schema/raw/master/csl-citation.json"} </w:instrText>
      </w:r>
      <w:r>
        <w:fldChar w:fldCharType="separate"/>
      </w:r>
      <w:r w:rsidR="002A7AC0" w:rsidRPr="002A7AC0">
        <w:rPr>
          <w:szCs w:val="24"/>
          <w:vertAlign w:val="superscript"/>
        </w:rPr>
        <w:t>15</w:t>
      </w:r>
      <w:r>
        <w:fldChar w:fldCharType="end"/>
      </w:r>
      <w:r w:rsidRPr="00522B39">
        <w:t xml:space="preserve">, Connecticut </w:t>
      </w:r>
      <w:r>
        <w:fldChar w:fldCharType="begin"/>
      </w:r>
      <w:r w:rsidR="006436A7">
        <w:instrText xml:space="preserve"> ADDIN ZOTERO_ITEM CSL_CITATION {"citationID":"7268yQZq","properties":{"formattedCitation":"\\super 61\\nosupersub{}","plainCitation":"61","noteIndex":0},"citationItems":[{"id":273,"uris":["http://zotero.org/users/local/XxmvPi45/items/MZJPEFVK"],"uri":["http://zotero.org/users/local/XxmvPi45/items/MZJPEFVK"],"itemData":{"id":273,"type":"article-journal","abstract":"We produced a relative sea-level (RSL) reconstruction from Connecticut (USA) spanning the last </w:instrText>
      </w:r>
      <w:r w:rsidR="006436A7">
        <w:rPr>
          <w:rFonts w:ascii="Cambria Math" w:hAnsi="Cambria Math" w:cs="Cambria Math"/>
        </w:rPr>
        <w:instrText>∼</w:instrText>
      </w:r>
      <w:r w:rsidR="006436A7">
        <w:instrText xml:space="preserve">2200 yrs that is free from the inﬂuence of sediment compaction. The reconstruction used a suite of vertically- and laterally-ordered sediment samples ≤2 cm above bedrock that were collected by excavating a trench along an evenly-sloped bedrock surface. Paleomarsh elevation was reconstructed using a regional-scale transfer function trained on the modern distribution of foraminifera on Long Island Sound salt marshes and supported by bulk-sediment δ13C measurements. The history of sediment accumulation was estimated using an age-elevation model constrained by radiocarbon dates and recognition of pollution horizons of known age. The RSL reconstruction was combined with regional tide-gauge measurements spanning the last </w:instrText>
      </w:r>
      <w:r w:rsidR="006436A7">
        <w:rPr>
          <w:rFonts w:ascii="Cambria Math" w:hAnsi="Cambria Math" w:cs="Cambria Math"/>
        </w:rPr>
        <w:instrText>∼</w:instrText>
      </w:r>
      <w:r w:rsidR="006436A7">
        <w:instrText>150 yrs before being quantitatively analyzed using an errorin-variables integrated Gaussian process model to identify sea-level trends with formal and appropriate treatment of uncertainty and the temporal distribution of data. RSL rise was stable (</w:instrText>
      </w:r>
      <w:r w:rsidR="006436A7">
        <w:rPr>
          <w:rFonts w:ascii="Cambria Math" w:hAnsi="Cambria Math" w:cs="Cambria Math"/>
        </w:rPr>
        <w:instrText>∼</w:instrText>
      </w:r>
      <w:r w:rsidR="006436A7">
        <w:instrText xml:space="preserve">1 mm/yr) from </w:instrText>
      </w:r>
      <w:r w:rsidR="006436A7">
        <w:rPr>
          <w:rFonts w:ascii="Cambria Math" w:hAnsi="Cambria Math" w:cs="Cambria Math"/>
        </w:rPr>
        <w:instrText>∼</w:instrText>
      </w:r>
      <w:r w:rsidR="006436A7">
        <w:instrText xml:space="preserve">200 BCE to </w:instrText>
      </w:r>
      <w:r w:rsidR="006436A7">
        <w:rPr>
          <w:rFonts w:ascii="Cambria Math" w:hAnsi="Cambria Math" w:cs="Cambria Math"/>
        </w:rPr>
        <w:instrText>∼</w:instrText>
      </w:r>
      <w:r w:rsidR="006436A7">
        <w:instrText xml:space="preserve">1000 CE, slowed to a minimum rate of rise (0.41 mm/yr) at </w:instrText>
      </w:r>
      <w:r w:rsidR="006436A7">
        <w:rPr>
          <w:rFonts w:ascii="Cambria Math" w:hAnsi="Cambria Math" w:cs="Cambria Math"/>
        </w:rPr>
        <w:instrText>∼</w:instrText>
      </w:r>
      <w:r w:rsidR="006436A7">
        <w:instrText>1400 CE, and then accelerated continuously to reach a current rate of 3.2 mm/yr, which is the fastest, century-scale rate of the last 2200 yrs. Change point analysis identiﬁed that modern rates of rise in Connecticut began at 1850–1886 CE. This timing is synchronous with changes recorded at other sites on the U.S. Atlantic coast and is likely the local expression of a global sea-level change. Earlier sea-level trends show coherence north of Cape Hatteras that are contrasted with southern sites. This pattern may represent centennialscale variability in the position and/or strength of the Gulf Stream. Comparison of the new record to three existing and reanalyzed RSL reconstructions from the same site developed using sediment cores indicates that compaction is unlikely to signiﬁcantly distort RSL reconstructions produced from shallow (</w:instrText>
      </w:r>
      <w:r w:rsidR="006436A7">
        <w:rPr>
          <w:rFonts w:ascii="Cambria Math" w:hAnsi="Cambria Math" w:cs="Cambria Math"/>
        </w:rPr>
        <w:instrText>∼</w:instrText>
      </w:r>
      <w:r w:rsidR="006436A7">
        <w:instrText xml:space="preserve">2–3 m thick) sequences of salt-marsh peat.","container-title":"Earth and Planetary Science Letters","DOI":"10.1016/j.epsl.2015.07.034","ISSN":"0012821X","language":"en","page":"217-229","source":"Crossref","title":"Relative sea-level change in Connecticut (USA) during the last 2200 yrs","volume":"428","author":[{"family":"Kemp","given":"Andrew C."},{"family":"Hawkes","given":"Andrea D."},{"family":"Donnelly","given":"Jeffrey P."},{"family":"Vane","given":"Christopher H."},{"family":"Horton","given":"Benjamin P."},{"family":"Hill","given":"Troy D."},{"family":"Anisfeld","given":"Shimon C."},{"family":"Parnell","given":"Andrew C."},{"family":"Cahill","given":"Niamh"}],"issued":{"date-parts":[["2015",10]]}}}],"schema":"https://github.com/citation-style-language/schema/raw/master/csl-citation.json"} </w:instrText>
      </w:r>
      <w:r>
        <w:fldChar w:fldCharType="separate"/>
      </w:r>
      <w:r w:rsidR="006436A7" w:rsidRPr="006436A7">
        <w:rPr>
          <w:szCs w:val="24"/>
          <w:vertAlign w:val="superscript"/>
        </w:rPr>
        <w:t>61</w:t>
      </w:r>
      <w:r>
        <w:fldChar w:fldCharType="end"/>
      </w:r>
      <w:r w:rsidRPr="00522B39">
        <w:t xml:space="preserve">, and North Carolina </w:t>
      </w:r>
      <w:r>
        <w:fldChar w:fldCharType="begin"/>
      </w:r>
      <w:r w:rsidR="006436A7">
        <w:instrText xml:space="preserve"> ADDIN ZOTERO_ITEM CSL_CITATION {"citationID":"rA5u2hps","properties":{"formattedCitation":"\\super 45\\nosupersub{}","plainCitation":"45","noteIndex":0},"citationItems":[{"id":396,"uris":["http://zotero.org/users/local/XxmvPi45/items/IVEN6I8Z"],"uri":["http://zotero.org/users/local/XxmvPi45/items/IVEN6I8Z"],"itemData":{"id":396,"type":"article-journal","abstract":"We produced ~3000-year long relative sea-level (RSL) histories for two sites in North Carolina (USA) using foraminifera preserved in new and existing cores of dated salt-marsh sediment. At Cedar Island, RSL rose by ~2.4 m during the past ~3000 years compared to ~3.3 m at Roanoke Island. This spatial difference arises primarily from differential GIA that caused late Holocene RSL rise to be 0.1e0.2 mm/yr faster at Roanoke Island than at Cedar Island. However, a non-linear difference in RSL between the two study regions (particularly from ~0 CE to ~1250 CE) indicates that additional local- to regional-scale processes drove centennial-scale RSL change in North Carolina. Therefore, the Cedar Island and Roanoke Island records should be considered as independent of one another. Between-site differences on sub-millennial timescales cannot be adequately explained by non-stationary tides, sediment compaction, or local sediment dynamics. We propose that a period of accelerating RSL rise from ~600 CE to 1100 CE that is present at Roanoke Island (and other sites north of Cape Hatteras at least as far as Connecticut), but absent at Cedar Island (and other sites south of Cape Hatteras at least as far as northeastern Florida) is a local-to regional-scale effect of dynamic ocean and/or atmospheric circulation.","container-title":"Quaternary Science Reviews","DOI":"10.1016/j.quascirev.2017.01.012","ISSN":"02773791","language":"en","page":"13-30","source":"Crossref","title":"Extended late Holocene relative sea-level histories for North Carolina, USA","volume":"160","author":[{"family":"Kemp","given":"Andrew C."},{"family":"Kegel","given":"Jessica J."},{"family":"Culver","given":"Stephen J."},{"family":"Barber","given":"Donald C."},{"family":"Mallinson","given":"David J."},{"family":"Leorri","given":"Eduardo"},{"family":"Bernhardt","given":"Christopher E."},{"family":"Cahill","given":"Niamh"},{"family":"Riggs","given":"Stanley R."},{"family":"Woodson","given":"Anna L."},{"family":"Mulligan","given":"Ryan P."},{"family":"Horton","given":"Benjamin P."}],"issued":{"literal":"2017a"}}}],"schema":"https://github.com/citation-style-language/schema/raw/master/csl-citation.json"} </w:instrText>
      </w:r>
      <w:r>
        <w:fldChar w:fldCharType="separate"/>
      </w:r>
      <w:r w:rsidR="006436A7" w:rsidRPr="006436A7">
        <w:rPr>
          <w:szCs w:val="24"/>
          <w:vertAlign w:val="superscript"/>
        </w:rPr>
        <w:t>45</w:t>
      </w:r>
      <w:r>
        <w:fldChar w:fldCharType="end"/>
      </w:r>
      <w:r w:rsidRPr="00522B39">
        <w:t xml:space="preserve"> </w:t>
      </w:r>
      <w:r>
        <w:t>to examine regional variability in magnitudes and rates of past RSL change, as well as variability in regional Common Era sea-level budgets.</w:t>
      </w:r>
    </w:p>
    <w:p w14:paraId="5218BA7C" w14:textId="6799E538" w:rsidR="00274233" w:rsidRDefault="00274233" w:rsidP="00640061">
      <w:pPr>
        <w:ind w:firstLine="720"/>
        <w:jc w:val="left"/>
      </w:pPr>
      <w:r>
        <w:t>As in Kopp et al.</w:t>
      </w:r>
      <w:r w:rsidR="00BC723C">
        <w:fldChar w:fldCharType="begin"/>
      </w:r>
      <w:r w:rsidR="00BC723C">
        <w:instrText xml:space="preserve"> ADDIN ZOTERO_ITEM CSL_CITATION {"citationID":"jtp0Jzkg","properties":{"formattedCitation":"\\super 11\\nosupersub{}","plainCitation":"11","noteIndex":0},"citationItems":[{"id":261,"uris":["http://zotero.org/users/local/XxmvPi45/items/6B2CJCNF"],"uri":["http://zotero.org/users/local/XxmvPi45/items/6B2CJCNF"],"itemData":{"id":261,"type":"article-journal","container-title":"Proceedings of the National Academy of Sciences","DOI":"10.1073/pnas.1517056113","ISSN":"0027-8424, 1091-6490","issue":"11","language":"en","page":"E1434-E1441","source":"Crossref","title":"Temperature-driven global sea-level variability in the Common Era","volume":"113","author":[{"family":"Kopp","given":"Robert E."},{"family":"Kemp","given":"Andrew C."},{"family":"Bittermann","given":"Klaus"},{"family":"Horton","given":"Benjamin P."},{"family":"Donnelly","given":"Jeffrey P."},{"family":"Gehrels","given":"W. Roland"},{"family":"Hay","given":"Carling C."},{"family":"Mitrovica","given":"Jerry X."},{"family":"Morrow","given":"Eric D."},{"family":"Rahmstorf","given":"Stefan"}],"issued":{"date-parts":[["2016",3,15]]}}}],"schema":"https://github.com/citation-style-language/schema/raw/master/csl-citation.json"} </w:instrText>
      </w:r>
      <w:r w:rsidR="00BC723C">
        <w:fldChar w:fldCharType="separate"/>
      </w:r>
      <w:r w:rsidR="00BC723C" w:rsidRPr="00BC723C">
        <w:rPr>
          <w:szCs w:val="24"/>
          <w:vertAlign w:val="superscript"/>
        </w:rPr>
        <w:t>11</w:t>
      </w:r>
      <w:r w:rsidR="00BC723C">
        <w:fldChar w:fldCharType="end"/>
      </w:r>
      <w:r>
        <w:t xml:space="preserve">  and Kemp et al.</w:t>
      </w:r>
      <w:r w:rsidR="00BC723C">
        <w:fldChar w:fldCharType="begin"/>
      </w:r>
      <w:r w:rsidR="00BC723C">
        <w:instrText xml:space="preserve"> ADDIN ZOTERO_ITEM CSL_CITATION {"citationID":"R48mhels","properties":{"formattedCitation":"\\super 16\\nosupersub{}","plainCitation":"16","noteIndex":0},"citationItems":[{"id":316,"uris":["http://zotero.org/users/local/XxmvPi45/items/WIISWD8J"],"uri":["http://zotero.org/users/local/XxmvPi45/items/WIISWD8J"],"itemData":{"id":316,"type":"article-journal","abstract":"Several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BC723C">
        <w:rPr>
          <w:rFonts w:ascii="Cambria Math" w:hAnsi="Cambria Math" w:cs="Cambria Math"/>
        </w:rPr>
        <w:instrText>∼</w:instrText>
      </w:r>
      <w:r w:rsidR="00BC723C">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de"}],"issued":{"date-parts":[["2018",12]]}}}],"schema":"https://github.com/citation-style-language/schema/raw/master/csl-citation.json"} </w:instrText>
      </w:r>
      <w:r w:rsidR="00BC723C">
        <w:fldChar w:fldCharType="separate"/>
      </w:r>
      <w:r w:rsidR="00BC723C" w:rsidRPr="00BC723C">
        <w:rPr>
          <w:szCs w:val="24"/>
          <w:vertAlign w:val="superscript"/>
        </w:rPr>
        <w:t>16</w:t>
      </w:r>
      <w:r w:rsidR="00BC723C">
        <w:fldChar w:fldCharType="end"/>
      </w:r>
      <w:r>
        <w:t xml:space="preserve"> , decadal-average values from instrumental tide gauge records in the Permanent Service for Mean Sea Level (PSMSL </w:t>
      </w:r>
      <w:r>
        <w:fldChar w:fldCharType="begin"/>
      </w:r>
      <w:r w:rsidR="002A7AC0">
        <w:instrText xml:space="preserve"> ADDIN ZOTERO_ITEM CSL_CITATION {"citationID":"v6yrX6Mu","properties":{"formattedCitation":"\\super 62\\nosupersub{}","plainCitation":"62","noteIndex":0},"citationItems":[{"id":762,"uris":["http://zotero.org/users/local/XxmvPi45/items/L3NAU774"],"uri":["http://zotero.org/users/local/XxmvPi45/items/L3NAU774"],"itemData":{"id":762,"type":"article-journal","abstract":"Holgate, S.J.; Matthews, A.; Woodworth, P.L.; Rickards, L.J.; Tamisiea, M.E.; Bradshaw, E.; Foden, P.R.; Gordon, K.M.; Jevrejeva, S., and Pugh, J., 2013. New data systems and products at the Permanent Service for Mean Sea Level. Sea-level rise remains one of the most pressing societal concerns relating to climate change. A significant proportion of the global population, including many of the world's large cities, are located close to the coast in potentially vulnerable regions such as river deltas. The Permanent Service for Mean Sea Level (PSMSL) continues to evolve and provide global coastal sea-level information and products that help to develop our understanding of sea-level and land motion processes. Its work aids a range of scientific research, not only in long-term change, but also in the measurement and understanding of higher frequency variability such as storm surges and tsunamis. The PSMSL has changed considerably over the past 10 years, and the aim of this paper is to update the community about these changes as well as provide an overview of our continuing work.","container-title":"Journal of Coastal Research","DOI":"10.2112/JCOASTRES-D-12-00175.1","ISSN":"0749-0208","journalAbbreviation":"Journal of Coastal Research","page":"493-504","source":"jcronline.org (Atypon)","title":"New data systems and products at the Permanent Service for Mean Sea Level","author":[{"family":"Holgate","given":"Simon J."},{"family":"Matthews","given":"Andrew"},{"family":"Woodworth","given":"Philip L."},{"family":"Rickards","given":"Lesley J."},{"family":"Tamisiea","given":"Mark E."},{"family":"Bradshaw","given":"Elizabeth"},{"family":"Foden","given":"Peter R."},{"family":"Gordon","given":"Kathleen M."},{"family":"Jevrejeva","given":"Svetlana"},{"family":"Pugh","given":"Jeff"}],"issued":{"date-parts":[["2013"]]}}}],"schema":"https://github.com/citation-style-language/schema/raw/master/csl-citation.json"} </w:instrText>
      </w:r>
      <w:r>
        <w:fldChar w:fldCharType="separate"/>
      </w:r>
      <w:r w:rsidR="002A7AC0" w:rsidRPr="002A7AC0">
        <w:rPr>
          <w:szCs w:val="24"/>
          <w:vertAlign w:val="superscript"/>
        </w:rPr>
        <w:t>62</w:t>
      </w:r>
      <w:r>
        <w:fldChar w:fldCharType="end"/>
      </w:r>
      <w:r>
        <w:t>) were included in the analysis, provided they were either (1) longer than 150 years, (2) within 5 degrees distance of a proxy site and longer than 70 years, or (3) the nearest tide gauge to a proxy site that is longer than 20 years</w:t>
      </w:r>
      <w:r w:rsidR="009E617C">
        <w:t xml:space="preserve"> </w:t>
      </w:r>
      <w:r>
        <w:fldChar w:fldCharType="begin"/>
      </w:r>
      <w:r w:rsidR="002A7AC0">
        <w:instrText xml:space="preserve"> ADDIN ZOTERO_ITEM CSL_CITATION {"citationID":"7oMfNMy7","properties":{"unsorted":true,"formattedCitation":"\\super 11,16\\nosupersub{}","plainCitation":"11,16","noteIndex":0},"citationItems":[{"id":261,"uris":["http://zotero.org/users/local/XxmvPi45/items/6B2CJCNF"],"uri":["http://zotero.org/users/local/XxmvPi45/items/6B2CJCNF"],"itemData":{"id":261,"type":"article-journal","container-title":"Proceedings of the National Academy of Sciences","DOI":"10.1073/pnas.1517056113","ISSN":"0027-8424, 1091-6490","issue":"11","language":"en","page":"E1434-E1441","source":"Crossref","title":"Temperature-driven global sea-level variability in the Common Era","volume":"113","author":[{"family":"Kopp","given":"Robert E."},{"family":"Kemp","given":"Andrew C."},{"family":"Bittermann","given":"Klaus"},{"family":"Horton","given":"Benjamin P."},{"family":"Donnelly","given":"Jeffrey P."},{"family":"Gehrels","given":"W. Roland"},{"family":"Hay","given":"Carling C."},{"family":"Mitrovica","given":"Jerry X."},{"family":"Morrow","given":"Eric D."},{"family":"Rahmstorf","given":"Stefan"}],"issued":{"date-parts":[["2016",3,15]]}},"label":"page"},{"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A7AC0">
        <w:rPr>
          <w:rFonts w:ascii="Cambria Math" w:hAnsi="Cambria Math" w:cs="Cambria Math"/>
        </w:rPr>
        <w:instrText>∼</w:instrText>
      </w:r>
      <w:r w:rsidR="002A7AC0">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de"}],"issued":{"date-parts":[["2018",12]]}},"label":"page"}],"schema":"https://github.com/citation-style-language/schema/raw/master/csl-citation.json"} </w:instrText>
      </w:r>
      <w:r>
        <w:fldChar w:fldCharType="separate"/>
      </w:r>
      <w:r w:rsidR="002A7AC0" w:rsidRPr="002A7AC0">
        <w:rPr>
          <w:szCs w:val="24"/>
          <w:vertAlign w:val="superscript"/>
        </w:rPr>
        <w:t>11,16</w:t>
      </w:r>
      <w:r>
        <w:fldChar w:fldCharType="end"/>
      </w:r>
      <w:r>
        <w:t xml:space="preserve">. We also include multi-century records from Amsterdam (1700-1925 CE) </w:t>
      </w:r>
      <w:r>
        <w:fldChar w:fldCharType="begin"/>
      </w:r>
      <w:r w:rsidR="002A7AC0">
        <w:instrText xml:space="preserve"> ADDIN ZOTERO_ITEM CSL_CITATION {"citationID":"iVDkmohn","properties":{"formattedCitation":"\\super 63\\nosupersub{}","plainCitation":"63","noteIndex":0},"citationItems":[{"id":765,"uris":["http://zotero.org/users/local/XxmvPi45/items/IFC7NDWU"],"uri":["http://zotero.org/users/local/XxmvPi45/items/IFC7NDWU"],"itemData":{"id":765,"type":"article-journal","container-title":"Tijdschr K Ned Aardr Gen","page":"2-36","title":"Bestaat er een geologische bodemdaling te amsterdam sedert 1700","volume":"62","author":[{"family":"Veen","given":"J","non-dropping-particle":"van"}],"issued":{"date-parts":[["1945"]]}}}],"schema":"https://github.com/citation-style-language/schema/raw/master/csl-citation.json"} </w:instrText>
      </w:r>
      <w:r>
        <w:fldChar w:fldCharType="separate"/>
      </w:r>
      <w:r w:rsidR="002A7AC0" w:rsidRPr="002A7AC0">
        <w:rPr>
          <w:szCs w:val="24"/>
          <w:vertAlign w:val="superscript"/>
        </w:rPr>
        <w:t>63</w:t>
      </w:r>
      <w:r>
        <w:fldChar w:fldCharType="end"/>
      </w:r>
      <w:r>
        <w:t xml:space="preserve">, Kronstadt (1773-1993 CE) </w:t>
      </w:r>
      <w:r>
        <w:fldChar w:fldCharType="begin"/>
      </w:r>
      <w:r w:rsidR="002A7AC0">
        <w:instrText xml:space="preserve"> ADDIN ZOTERO_ITEM CSL_CITATION {"citationID":"zMW8za8s","properties":{"formattedCitation":"\\super 64\\nosupersub{}","plainCitation":"64","noteIndex":0},"citationItems":[{"id":766,"uris":["http://zotero.org/users/local/XxmvPi45/items/DEY8BMQR"],"uri":["http://zotero.org/users/local/XxmvPi45/items/DEY8BMQR"],"itemData":{"id":766,"type":"article-journal","container-title":"Finnish Geodetic Inst","title":"Mean monthly series of sea level observations (1777-1993) at the Kronstadt Gauge","author":[{"family":"Bogdanov","given":"VI"},{"family":"Laitos","given":"G"}],"issued":{"date-parts":[["2000"]]}}}],"schema":"https://github.com/citation-style-language/schema/raw/master/csl-citation.json"} </w:instrText>
      </w:r>
      <w:r>
        <w:fldChar w:fldCharType="separate"/>
      </w:r>
      <w:r w:rsidR="002A7AC0" w:rsidRPr="002A7AC0">
        <w:rPr>
          <w:szCs w:val="24"/>
          <w:vertAlign w:val="superscript"/>
        </w:rPr>
        <w:t>64</w:t>
      </w:r>
      <w:r>
        <w:fldChar w:fldCharType="end"/>
      </w:r>
      <w:r>
        <w:t xml:space="preserve">, and Stockholm (1774-2000 CE) </w:t>
      </w:r>
      <w:r>
        <w:fldChar w:fldCharType="begin"/>
      </w:r>
      <w:r w:rsidR="002A7AC0">
        <w:instrText xml:space="preserve"> ADDIN ZOTERO_ITEM CSL_CITATION {"citationID":"AvrxApTQ","properties":{"formattedCitation":"\\super 65\\nosupersub{}","plainCitation":"65","noteIndex":0},"citationItems":[{"id":767,"uris":["http://zotero.org/users/local/XxmvPi45/items/J8XGJSYY"],"uri":["http://zotero.org/users/local/XxmvPi45/items/J8XGJSYY"],"itemData":{"id":767,"type":"article-journal","abstract":"Sea level data from Stockholm, with the initial year 1774, have been recalculated using old information hitherto not taken into account. Since the resultant series of annual mean sea levels is the longest continued one in the world, and of very good reliability, it is published here. Also some results on eustatic changes of sea level, due to changes of climate, are given.","container-title":"pure and applied geophysics","DOI":"10.1007/BF00878691","ISSN":"1420-9136","issue":"1","journalAbbreviation":"PAGEOPH","language":"en","page":"73-77","source":"Springer Link","title":"The world's longest continued series of sea level observations","volume":"127","author":[{"family":"Ekman","given":"Martin"}],"issued":{"date-parts":[["1988",3,1]]}}}],"schema":"https://github.com/citation-style-language/schema/raw/master/csl-citation.json"} </w:instrText>
      </w:r>
      <w:r>
        <w:fldChar w:fldCharType="separate"/>
      </w:r>
      <w:r w:rsidR="002A7AC0" w:rsidRPr="002A7AC0">
        <w:rPr>
          <w:szCs w:val="24"/>
          <w:vertAlign w:val="superscript"/>
        </w:rPr>
        <w:t>65</w:t>
      </w:r>
      <w:r>
        <w:fldChar w:fldCharType="end"/>
      </w:r>
      <w:r>
        <w:t xml:space="preserve">, as compiled by PSMSL. The input data also include the global mean sea-level reconstruction of Hay et al. </w:t>
      </w:r>
      <w:r>
        <w:fldChar w:fldCharType="begin"/>
      </w:r>
      <w:r w:rsidR="002A7AC0">
        <w:instrText xml:space="preserve"> ADDIN ZOTERO_ITEM CSL_CITATION {"citationID":"qjAbv0LN","properties":{"formattedCitation":"\\super 18\\nosupersub{}","plainCitation":"18","noteIndex":0},"citationItems":[{"id":770,"uris":["http://zotero.org/users/local/XxmvPi45/items/6JUBN3ZP"],"uri":["http://zotero.org/users/local/XxmvPi45/items/6JUBN3ZP"],"itemData":{"id":770,"type":"article-journal","container-title":"Nature","DOI":"10.1038/nature14093","ISSN":"0028-0836, 1476-4687","issue":"7535","language":"en","page":"481-484","source":"Crossref","title":"Probabilistic reanalysis of twentieth-century sea-level rise","volume":"517","author":[{"family":"Hay","given":"Carling C."},{"family":"Morrow","given":"Eric"},{"family":"Kopp","given":"Robert E."},{"family":"Mitrovica","given":"Jerry X."}],"issued":{"date-parts":[["2015",1]]}},"suppress-author":true}],"schema":"https://github.com/citation-style-language/schema/raw/master/csl-citation.json"} </w:instrText>
      </w:r>
      <w:r>
        <w:fldChar w:fldCharType="separate"/>
      </w:r>
      <w:r w:rsidR="002A7AC0" w:rsidRPr="002A7AC0">
        <w:rPr>
          <w:szCs w:val="24"/>
          <w:vertAlign w:val="superscript"/>
        </w:rPr>
        <w:t>18</w:t>
      </w:r>
      <w:r>
        <w:fldChar w:fldCharType="end"/>
      </w:r>
      <w:r>
        <w:t xml:space="preserve"> from tide-gauge records for 1880-2010.</w:t>
      </w:r>
    </w:p>
    <w:p w14:paraId="1E7B8130" w14:textId="5E7F72D3" w:rsidR="00274233" w:rsidRDefault="00274233" w:rsidP="00640061">
      <w:pPr>
        <w:ind w:firstLine="720"/>
        <w:jc w:val="left"/>
      </w:pPr>
      <w:r>
        <w:t>The model has (1) a process level that characterizes RSL over space and time</w:t>
      </w:r>
      <w:r w:rsidR="00FE7822">
        <w:t xml:space="preserve"> and</w:t>
      </w:r>
      <w:r w:rsidR="00522D30">
        <w:t xml:space="preserve"> </w:t>
      </w:r>
      <w:r>
        <w:t>(2) a data level that links RSL observations (reconstructions) to the RSL process</w:t>
      </w:r>
      <w:r w:rsidR="00FE7822">
        <w:t>.</w:t>
      </w:r>
      <w:r>
        <w:t xml:space="preserve"> </w:t>
      </w:r>
      <w:r w:rsidR="00FE7822">
        <w:t>H</w:t>
      </w:r>
      <w:r>
        <w:t>yperparameter</w:t>
      </w:r>
      <w:r w:rsidR="00FE7822">
        <w:t>s</w:t>
      </w:r>
      <w:r>
        <w:t xml:space="preserve"> characterize prior expectations of dominant spatial and temporal scales of RSL variability, set through maximum-likelihood optimization. </w:t>
      </w:r>
    </w:p>
    <w:p w14:paraId="44D558E2" w14:textId="47339CBD" w:rsidR="00274233" w:rsidRDefault="00274233" w:rsidP="00640061">
      <w:pPr>
        <w:ind w:firstLine="720"/>
        <w:jc w:val="left"/>
      </w:pPr>
      <w:r>
        <w:t xml:space="preserve">At the process level, the RSL field </w:t>
      </w:r>
      <m:oMath>
        <m:r>
          <w:rPr>
            <w:rFonts w:ascii="Cambria Math" w:hAnsi="Cambria Math"/>
          </w:rPr>
          <m:t>f</m:t>
        </m:r>
        <m:d>
          <m:dPr>
            <m:ctrlPr>
              <w:rPr>
                <w:rFonts w:ascii="Cambria Math" w:hAnsi="Cambria Math"/>
                <w:i/>
              </w:rPr>
            </m:ctrlPr>
          </m:dPr>
          <m:e>
            <m:r>
              <m:rPr>
                <m:sty m:val="bi"/>
              </m:rPr>
              <w:rPr>
                <w:rFonts w:ascii="Cambria Math" w:hAnsi="Cambria Math"/>
              </w:rPr>
              <m:t>x</m:t>
            </m:r>
            <m:r>
              <w:rPr>
                <w:rFonts w:ascii="Cambria Math" w:hAnsi="Cambria Math"/>
              </w:rPr>
              <m:t>,t</m:t>
            </m:r>
          </m:e>
        </m:d>
      </m:oMath>
      <w:r>
        <w:rPr>
          <w:rFonts w:eastAsiaTheme="minorEastAsia"/>
        </w:rPr>
        <w:t xml:space="preserve"> </w:t>
      </w:r>
      <w:r>
        <w:t xml:space="preserve">is modelled as the sum of seven components </w:t>
      </w:r>
      <w:r>
        <w:fldChar w:fldCharType="begin"/>
      </w:r>
      <w:r w:rsidR="002A7AC0">
        <w:instrText xml:space="preserve"> ADDIN ZOTERO_ITEM CSL_CITATION {"citationID":"wZq21C7r","properties":{"formattedCitation":"\\super 16\\nosupersub{}","plainCitation":"16","noteIndex":0},"citationItems":[{"id":316,"uris":["http://zotero.org/users/local/XxmvPi45/items/WIISWD8J"],"uri":["http://zotero.org/users/local/XxmvPi45/items/WIISWD8J"],"itemData":{"id":316,"type":"article-journal","abstract":"Several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A7AC0">
        <w:rPr>
          <w:rFonts w:ascii="Cambria Math" w:hAnsi="Cambria Math" w:cs="Cambria Math"/>
        </w:rPr>
        <w:instrText>∼</w:instrText>
      </w:r>
      <w:r w:rsidR="002A7AC0">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de"}],"issued":{"date-parts":[["2018",12]]}}}],"schema":"https://github.com/citation-style-language/schema/raw/master/csl-citation.json"} </w:instrText>
      </w:r>
      <w:r>
        <w:fldChar w:fldCharType="separate"/>
      </w:r>
      <w:r w:rsidR="002A7AC0" w:rsidRPr="002A7AC0">
        <w:rPr>
          <w:szCs w:val="24"/>
          <w:vertAlign w:val="superscript"/>
        </w:rPr>
        <w:t>16</w:t>
      </w:r>
      <w:r>
        <w:fldChar w:fldCharType="end"/>
      </w:r>
      <w:r>
        <w:t>:</w:t>
      </w:r>
    </w:p>
    <w:p w14:paraId="47BFA6CD" w14:textId="77777777" w:rsidR="00274233" w:rsidRPr="00BC6E09" w:rsidRDefault="00274233" w:rsidP="00274233">
      <w:pPr>
        <w:jc w:val="left"/>
      </w:pPr>
      <m:oMath>
        <m:r>
          <w:rPr>
            <w:rFonts w:ascii="Cambria Math" w:hAnsi="Cambria Math"/>
          </w:rPr>
          <m:t>f</m:t>
        </m:r>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d>
          <m:dPr>
            <m:ctrlPr>
              <w:rPr>
                <w:rFonts w:ascii="Cambria Math" w:hAnsi="Cambria Math"/>
                <w:i/>
              </w:rPr>
            </m:ctrlPr>
          </m:dPr>
          <m:e>
            <m:r>
              <w:rPr>
                <w:rFonts w:ascii="Cambria Math" w:hAnsi="Cambria Math"/>
              </w:rPr>
              <m:t>t</m:t>
            </m:r>
          </m:e>
        </m:d>
        <m:r>
          <w:rPr>
            <w:rFonts w:ascii="Cambria Math" w:hAnsi="Cambria Math"/>
          </w:rPr>
          <m:t>+m</m:t>
        </m:r>
        <m:d>
          <m:dPr>
            <m:ctrlPr>
              <w:rPr>
                <w:rFonts w:ascii="Cambria Math" w:hAnsi="Cambria Math"/>
                <w:i/>
              </w:rPr>
            </m:ctrlPr>
          </m:dPr>
          <m:e>
            <m:r>
              <m:rPr>
                <m:sty m:val="bi"/>
              </m:rPr>
              <w:rPr>
                <w:rFonts w:ascii="Cambria Math" w:hAnsi="Cambria Math"/>
              </w:rPr>
              <m:t>x</m:t>
            </m:r>
          </m:e>
        </m:d>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m:t>
            </m:r>
          </m:sub>
        </m:sSub>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m:t>
        </m:r>
        <m:r>
          <m:rPr>
            <m:sty m:val="bi"/>
          </m:rPr>
          <w:rPr>
            <w:rFonts w:ascii="Cambria Math" w:hAnsi="Cambria Math"/>
          </w:rPr>
          <m:t>x</m:t>
        </m:r>
        <m:r>
          <w:rPr>
            <w:rFonts w:ascii="Cambria Math" w:hAnsi="Cambria Math"/>
          </w:rPr>
          <m:t>,t)</m:t>
        </m:r>
      </m:oMath>
      <w:r>
        <w:rPr>
          <w:rFonts w:eastAsiaTheme="minorEastAsia"/>
        </w:rPr>
        <w:t xml:space="preserve"> </w:t>
      </w:r>
      <w:r>
        <w:rPr>
          <w:rFonts w:eastAsiaTheme="minorEastAsia"/>
        </w:rPr>
        <w:tab/>
        <w:t xml:space="preserve">       (1)</w:t>
      </w:r>
    </w:p>
    <w:p w14:paraId="1FED9FBC" w14:textId="1BD7FD2C" w:rsidR="00274233" w:rsidRPr="00BC6E09" w:rsidRDefault="00274233" w:rsidP="00274233">
      <w:pPr>
        <w:jc w:val="left"/>
        <w:rPr>
          <w:i/>
        </w:rPr>
      </w:pPr>
      <w:r>
        <w:t xml:space="preserve">where </w:t>
      </w:r>
      <m:oMath>
        <m:r>
          <m:rPr>
            <m:sty m:val="bi"/>
          </m:rPr>
          <w:rPr>
            <w:rFonts w:ascii="Cambria Math" w:hAnsi="Cambria Math"/>
          </w:rPr>
          <m:t>x</m:t>
        </m:r>
      </m:oMath>
      <w:r>
        <w:rPr>
          <w:rFonts w:eastAsiaTheme="minorEastAsia"/>
          <w:b/>
        </w:rPr>
        <w:t xml:space="preserve"> </w:t>
      </w:r>
      <w:r>
        <w:rPr>
          <w:rFonts w:eastAsiaTheme="minorEastAsia"/>
        </w:rPr>
        <w:t xml:space="preserve">represent geographic location, </w:t>
      </w:r>
      <m:oMath>
        <m:r>
          <w:rPr>
            <w:rFonts w:ascii="Cambria Math" w:hAnsi="Cambria Math"/>
          </w:rPr>
          <m:t>t</m:t>
        </m:r>
      </m:oMath>
      <w:r>
        <w:rPr>
          <w:rFonts w:eastAsiaTheme="minorEastAsia"/>
        </w:rPr>
        <w:t xml:space="preserve"> represents time, and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Pr>
          <w:rFonts w:eastAsiaTheme="minorEastAsia"/>
        </w:rPr>
        <w:t xml:space="preserve"> is a reference time point (2000 CE). The seven components include fast and slow common global</w:t>
      </w:r>
      <w:r w:rsidR="00AE56D5">
        <w:rPr>
          <w:rFonts w:eastAsiaTheme="minorEastAsia"/>
        </w:rPr>
        <w:t xml:space="preserve"> (or globally uniform)</w:t>
      </w:r>
      <w:r>
        <w:rPr>
          <w:rFonts w:eastAsiaTheme="minorEastAsia"/>
        </w:rPr>
        <w:t xml:space="preserve"> terms (</w:t>
      </w:r>
      <m:oMath>
        <m:sSub>
          <m:sSubPr>
            <m:ctrlPr>
              <w:rPr>
                <w:rFonts w:ascii="Cambria Math" w:hAnsi="Cambria Math"/>
                <w:i/>
              </w:rPr>
            </m:ctrlPr>
          </m:sSubPr>
          <m:e>
            <m:r>
              <w:rPr>
                <w:rFonts w:ascii="Cambria Math" w:hAnsi="Cambria Math"/>
              </w:rPr>
              <m:t>g</m:t>
            </m:r>
          </m:e>
          <m:sub>
            <m:r>
              <w:rPr>
                <w:rFonts w:ascii="Cambria Math" w:hAnsi="Cambria Math"/>
              </w:rPr>
              <m:t>f</m:t>
            </m:r>
          </m:sub>
        </m:sSub>
        <m:d>
          <m:dPr>
            <m:ctrlPr>
              <w:rPr>
                <w:rFonts w:ascii="Cambria Math" w:hAnsi="Cambria Math"/>
                <w:i/>
              </w:rPr>
            </m:ctrlPr>
          </m:dPr>
          <m:e>
            <m:r>
              <w:rPr>
                <w:rFonts w:ascii="Cambria Math" w:hAnsi="Cambria Math"/>
              </w:rPr>
              <m:t>t</m:t>
            </m:r>
          </m:e>
        </m:d>
      </m:oMath>
      <w:r>
        <w:rPr>
          <w:rFonts w:eastAsiaTheme="minorEastAsia"/>
        </w:rPr>
        <w:t xml:space="preserve"> and </w:t>
      </w:r>
      <m:oMath>
        <m:sSub>
          <m:sSubPr>
            <m:ctrlPr>
              <w:rPr>
                <w:rFonts w:ascii="Cambria Math" w:hAnsi="Cambria Math"/>
                <w:i/>
              </w:rPr>
            </m:ctrlPr>
          </m:sSubPr>
          <m:e>
            <m:r>
              <w:rPr>
                <w:rFonts w:ascii="Cambria Math" w:hAnsi="Cambria Math"/>
              </w:rPr>
              <m:t>g</m:t>
            </m:r>
          </m:e>
          <m:sub>
            <m:r>
              <w:rPr>
                <w:rFonts w:ascii="Cambria Math" w:hAnsi="Cambria Math"/>
              </w:rPr>
              <m:t>s</m:t>
            </m:r>
          </m:sub>
        </m:sSub>
        <m:d>
          <m:dPr>
            <m:ctrlPr>
              <w:rPr>
                <w:rFonts w:ascii="Cambria Math" w:hAnsi="Cambria Math"/>
                <w:i/>
              </w:rPr>
            </m:ctrlPr>
          </m:dPr>
          <m:e>
            <m:r>
              <w:rPr>
                <w:rFonts w:ascii="Cambria Math" w:hAnsi="Cambria Math"/>
              </w:rPr>
              <m:t>t</m:t>
            </m:r>
          </m:e>
        </m:d>
      </m:oMath>
      <w:r>
        <w:rPr>
          <w:rFonts w:eastAsiaTheme="minorEastAsia"/>
        </w:rPr>
        <w:t>), a regional linear term (</w:t>
      </w:r>
      <m:oMath>
        <m:r>
          <w:rPr>
            <w:rFonts w:ascii="Cambria Math" w:hAnsi="Cambria Math"/>
          </w:rPr>
          <m:t>m</m:t>
        </m:r>
        <m:d>
          <m:dPr>
            <m:ctrlPr>
              <w:rPr>
                <w:rFonts w:ascii="Cambria Math" w:hAnsi="Cambria Math"/>
                <w:i/>
              </w:rPr>
            </m:ctrlPr>
          </m:dPr>
          <m:e>
            <m:r>
              <m:rPr>
                <m:sty m:val="bi"/>
              </m:rPr>
              <w:rPr>
                <w:rFonts w:ascii="Cambria Math" w:hAnsi="Cambria Math"/>
              </w:rPr>
              <m:t>x</m:t>
            </m:r>
          </m:e>
        </m:d>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oMath>
      <w:r>
        <w:rPr>
          <w:rFonts w:eastAsiaTheme="minorEastAsia"/>
        </w:rPr>
        <w:t>), fast and slow regional non-linear terms (</w:t>
      </w:r>
      <m:oMath>
        <m:sSub>
          <m:sSubPr>
            <m:ctrlPr>
              <w:rPr>
                <w:rFonts w:ascii="Cambria Math" w:hAnsi="Cambria Math"/>
                <w:i/>
              </w:rPr>
            </m:ctrlPr>
          </m:sSubPr>
          <m:e>
            <m:r>
              <w:rPr>
                <w:rFonts w:ascii="Cambria Math" w:hAnsi="Cambria Math"/>
              </w:rPr>
              <m:t>r</m:t>
            </m:r>
          </m:e>
          <m:sub>
            <m:r>
              <w:rPr>
                <w:rFonts w:ascii="Cambria Math" w:hAnsi="Cambria Math"/>
              </w:rPr>
              <m:t>f</m:t>
            </m:r>
          </m:sub>
        </m:sSub>
        <m:d>
          <m:dPr>
            <m:ctrlPr>
              <w:rPr>
                <w:rFonts w:ascii="Cambria Math" w:hAnsi="Cambria Math"/>
                <w:i/>
              </w:rPr>
            </m:ctrlPr>
          </m:dPr>
          <m:e>
            <m:r>
              <m:rPr>
                <m:sty m:val="bi"/>
              </m:rPr>
              <w:rPr>
                <w:rFonts w:ascii="Cambria Math" w:hAnsi="Cambria Math"/>
              </w:rPr>
              <m:t>x</m:t>
            </m:r>
            <m:r>
              <w:rPr>
                <w:rFonts w:ascii="Cambria Math" w:hAnsi="Cambria Math"/>
              </w:rPr>
              <m:t>,t</m:t>
            </m:r>
          </m:e>
        </m:d>
      </m:oMath>
      <w:r>
        <w:rPr>
          <w:rFonts w:eastAsiaTheme="minorEastAsia"/>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s</m:t>
            </m:r>
          </m:sub>
        </m:sSub>
        <m:d>
          <m:dPr>
            <m:ctrlPr>
              <w:rPr>
                <w:rFonts w:ascii="Cambria Math" w:hAnsi="Cambria Math"/>
                <w:i/>
              </w:rPr>
            </m:ctrlPr>
          </m:dPr>
          <m:e>
            <m:r>
              <m:rPr>
                <m:sty m:val="bi"/>
              </m:rPr>
              <w:rPr>
                <w:rFonts w:ascii="Cambria Math" w:hAnsi="Cambria Math"/>
              </w:rPr>
              <m:t>x</m:t>
            </m:r>
            <m:r>
              <w:rPr>
                <w:rFonts w:ascii="Cambria Math" w:hAnsi="Cambria Math"/>
              </w:rPr>
              <m:t>,t</m:t>
            </m:r>
          </m:e>
        </m:d>
      </m:oMath>
      <w:r>
        <w:rPr>
          <w:rFonts w:eastAsiaTheme="minorEastAsia"/>
        </w:rPr>
        <w:t>), and fast and slow local terms (</w:t>
      </w:r>
      <m:oMath>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m:t>
        </m:r>
        <m:r>
          <m:rPr>
            <m:sty m:val="bi"/>
          </m:rPr>
          <w:rPr>
            <w:rFonts w:ascii="Cambria Math" w:hAnsi="Cambria Math"/>
          </w:rPr>
          <m:t>x</m:t>
        </m:r>
        <m:r>
          <w:rPr>
            <w:rFonts w:ascii="Cambria Math" w:hAnsi="Cambria Math"/>
          </w:rPr>
          <m:t>,t)</m:t>
        </m:r>
      </m:oMath>
      <w:r>
        <w:rPr>
          <w:rFonts w:eastAsiaTheme="minorEastAsia"/>
        </w:rPr>
        <w:t xml:space="preserve"> and </w:t>
      </w:r>
      <m:oMath>
        <m:sSub>
          <m:sSubPr>
            <m:ctrlPr>
              <w:rPr>
                <w:rFonts w:ascii="Cambria Math" w:hAnsi="Cambria Math"/>
                <w:i/>
              </w:rPr>
            </m:ctrlPr>
          </m:sSubPr>
          <m:e>
            <m:r>
              <w:rPr>
                <w:rFonts w:ascii="Cambria Math" w:hAnsi="Cambria Math"/>
              </w:rPr>
              <m:t>l</m:t>
            </m:r>
          </m:e>
          <m:sub>
            <m:r>
              <w:rPr>
                <w:rFonts w:ascii="Cambria Math" w:hAnsi="Cambria Math"/>
              </w:rPr>
              <m:t>s</m:t>
            </m:r>
          </m:sub>
        </m:sSub>
        <m:d>
          <m:dPr>
            <m:ctrlPr>
              <w:rPr>
                <w:rFonts w:ascii="Cambria Math" w:hAnsi="Cambria Math"/>
                <w:i/>
              </w:rPr>
            </m:ctrlPr>
          </m:dPr>
          <m:e>
            <m:r>
              <m:rPr>
                <m:sty m:val="bi"/>
              </m:rPr>
              <w:rPr>
                <w:rFonts w:ascii="Cambria Math" w:hAnsi="Cambria Math"/>
              </w:rPr>
              <m:t>x</m:t>
            </m:r>
            <m:r>
              <w:rPr>
                <w:rFonts w:ascii="Cambria Math" w:hAnsi="Cambria Math"/>
              </w:rPr>
              <m:t>,t</m:t>
            </m:r>
          </m:e>
        </m:d>
      </m:oMath>
      <w:r>
        <w:rPr>
          <w:rFonts w:eastAsiaTheme="minorEastAsia"/>
        </w:rPr>
        <w:t xml:space="preserve">). The regional linear </w:t>
      </w:r>
      <w:r>
        <w:rPr>
          <w:rFonts w:eastAsiaTheme="minorEastAsia"/>
        </w:rPr>
        <w:lastRenderedPageBreak/>
        <w:t xml:space="preserve">term uses predictions from the ICE5G–VM2– 90 Earth-ice model </w:t>
      </w:r>
      <w:r>
        <w:rPr>
          <w:rFonts w:eastAsiaTheme="minorEastAsia"/>
        </w:rPr>
        <w:fldChar w:fldCharType="begin"/>
      </w:r>
      <w:r w:rsidR="002A7AC0">
        <w:rPr>
          <w:rFonts w:eastAsiaTheme="minorEastAsia"/>
        </w:rPr>
        <w:instrText xml:space="preserve"> ADDIN ZOTERO_ITEM CSL_CITATION {"citationID":"2ob8Nikj","properties":{"formattedCitation":"\\super 66\\nosupersub{}","plainCitation":"66","noteIndex":0},"citationItems":[{"id":431,"uris":["http://zotero.org/users/local/XxmvPi45/items/SULXFRQZ"],"uri":["http://zotero.org/users/local/XxmvPi45/items/SULXFRQZ"],"itemData":{"id":431,"type":"article-journal","abstract":"The 100 kyr quasiperiodic variation of continental ice cover, which has been a persistent feature of climate system evolution throughout the most recent 900 kyr of Earth history, has occurred as a consequence of changes in the seasonal insolation regime forced by the influence of gravitational n-body effects in the Solar System on the geometry of Earth's orbit around the Sun. The impacts of the changing surface ice load upon both Earth's shape and gravitational field, as well as upon sea-level history, have come to be measurable using a variety of geological and geophysical techniques. These observations are invertible to obtain useful information on both the internal viscoelastic structure of the solid Earth and on the detailed spatiotemporal characteristics of glaciation history. This review focuses upon the most recent advances that have been achieved in each of these areas, advances that have proven to be central to the construction of the refined model of the global process of glacial isostatic adjustment, denoted ICE-5G (VM2). A significant test of this new global model will be provided by the global measurement of the time dependence of the gravity field of the planet that will be delivered by the GRACE satellite system that is now in space.","container-title":"Annual Review of Earth and Planetary Sciences","DOI":"10.1146/annurev.earth.32.082503.144359","issue":"1","page":"111-149","source":"Annual Reviews","title":"Global glacial isostasy and the surface of the Ice-Age Earth: The ICE-5G (VM2) model and GRACE","title-short":"GLOBAL GLACIAL ISOSTASY AND THE SURFACE OF THE ICE-AGE EARTH","volume":"32","author":[{"family":"Peltier","given":"W.R."}],"issued":{"date-parts":[["2004"]]}}}],"schema":"https://github.com/citation-style-language/schema/raw/master/csl-citation.json"} </w:instrText>
      </w:r>
      <w:r>
        <w:rPr>
          <w:rFonts w:eastAsiaTheme="minorEastAsia"/>
        </w:rPr>
        <w:fldChar w:fldCharType="separate"/>
      </w:r>
      <w:r w:rsidR="002A7AC0" w:rsidRPr="002A7AC0">
        <w:rPr>
          <w:szCs w:val="24"/>
          <w:vertAlign w:val="superscript"/>
        </w:rPr>
        <w:t>66</w:t>
      </w:r>
      <w:r>
        <w:rPr>
          <w:rFonts w:eastAsiaTheme="minorEastAsia"/>
        </w:rPr>
        <w:fldChar w:fldCharType="end"/>
      </w:r>
      <w:r>
        <w:rPr>
          <w:rFonts w:eastAsiaTheme="minorEastAsia"/>
        </w:rPr>
        <w:t xml:space="preserve"> as prior means.</w:t>
      </w:r>
      <w:r w:rsidR="00E540E6">
        <w:rPr>
          <w:rFonts w:eastAsiaTheme="minorEastAsia"/>
        </w:rPr>
        <w:t xml:space="preserve"> We also ran the model using predictions from the ICE6G</w:t>
      </w:r>
      <w:r w:rsidR="00AE72B2">
        <w:rPr>
          <w:rFonts w:eastAsiaTheme="minorEastAsia"/>
        </w:rPr>
        <w:t>–VM5a</w:t>
      </w:r>
      <w:r w:rsidR="00E540E6">
        <w:rPr>
          <w:rFonts w:eastAsiaTheme="minorEastAsia"/>
        </w:rPr>
        <w:t xml:space="preserve"> model</w:t>
      </w:r>
      <w:r w:rsidR="00AE72B2">
        <w:rPr>
          <w:rFonts w:eastAsiaTheme="minorEastAsia"/>
        </w:rPr>
        <w:t xml:space="preserve"> </w:t>
      </w:r>
      <w:r w:rsidR="00AE72B2">
        <w:rPr>
          <w:rFonts w:eastAsiaTheme="minorEastAsia"/>
        </w:rPr>
        <w:fldChar w:fldCharType="begin"/>
      </w:r>
      <w:r w:rsidR="002A7AC0">
        <w:rPr>
          <w:rFonts w:eastAsiaTheme="minorEastAsia"/>
        </w:rPr>
        <w:instrText xml:space="preserve"> ADDIN ZOTERO_ITEM CSL_CITATION {"citationID":"Ee5q9Hff","properties":{"formattedCitation":"\\super 67\\nosupersub{}","plainCitation":"67","noteIndex":0},"citationItems":[{"id":989,"uris":["http://zotero.org/users/local/XxmvPi45/items/SKM5MXXK"],"uri":["http://zotero.org/users/local/XxmvPi45/items/SKM5MXXK"],"itemData":{"id":989,"type":"article-journal","abstract":"A new model of the last deglaciation event of the Late Quaternary ice age is here described and denoted as ICE-6G_C (VM5a). It differs from previously published models in this sequence in that it has been explicitly refined by applying all of the available Global Positioning System (GPS) measurements of vertical motion of the crust that may be brought to bear to constrain the thickness of local ice cover as well as the timing of its removal. Additional space geodetic constraints have also been applied to specify the reference frame within which the GPS data are described. The focus of the paper is upon the three main regions of Last Glacial Maximum ice cover, namely, North America, Northwestern Europe/Eurasia, and Antarctica, although Greenland and the British Isles will also be included, if peripherally, in the discussion. In each of the three major regions, the model predictions of the time rate of change of the gravitational field are also compared to that being measured by the Gravity Recovery and Climate Experiment satellites as an independent means of verifying the improvement of the model achieved by applying the GPS constraints. Several aspects of the global characteristics of this new model are also discussed, including the nature of relative sea level history predictions at far-field locations, in particular the Caribbean island of Barbados, from which especially high-quality records of postglacial sea level change are available but which records were not employed in the development of the model. Although ICE-6G_C (VM5a) is a significant improvement insofar as the most recently available GPS observations are concerned, comparison of model predictions with such far-field relative sea level histories enables us to identify a series of additional improvements that should follow from a further stage of model iteration.","container-title":"Journal of Geophysical Research: Solid Earth","DOI":"https://doi.org/10.1002/2014JB011176","ISSN":"2169-9356","issue":"1","language":"en","note":"_eprint: https://agupubs.onlinelibrary.wiley.com/doi/pdf/10.1002/2014JB011176","page":"450-487","source":"Wiley Online Library","title":"Space geodesy constrains ice age terminal deglaciation: The global ICE-6G_C (VM5a) model","title-short":"Space geodesy constrains ice age terminal deglaciation","volume":"120","author":[{"family":"Peltier","given":"W. R."},{"family":"Argus","given":"D. F."},{"family":"Drummond","given":"R."}],"issued":{"date-parts":[["2015"]]}}}],"schema":"https://github.com/citation-style-language/schema/raw/master/csl-citation.json"} </w:instrText>
      </w:r>
      <w:r w:rsidR="00AE72B2">
        <w:rPr>
          <w:rFonts w:eastAsiaTheme="minorEastAsia"/>
        </w:rPr>
        <w:fldChar w:fldCharType="separate"/>
      </w:r>
      <w:r w:rsidR="002A7AC0" w:rsidRPr="002A7AC0">
        <w:rPr>
          <w:szCs w:val="24"/>
          <w:vertAlign w:val="superscript"/>
        </w:rPr>
        <w:t>67</w:t>
      </w:r>
      <w:r w:rsidR="00AE72B2">
        <w:rPr>
          <w:rFonts w:eastAsiaTheme="minorEastAsia"/>
        </w:rPr>
        <w:fldChar w:fldCharType="end"/>
      </w:r>
      <w:r w:rsidR="00E540E6">
        <w:rPr>
          <w:rFonts w:eastAsiaTheme="minorEastAsia"/>
        </w:rPr>
        <w:t xml:space="preserve">, but the differences </w:t>
      </w:r>
      <w:r w:rsidR="00AE72B2">
        <w:rPr>
          <w:rFonts w:eastAsiaTheme="minorEastAsia"/>
        </w:rPr>
        <w:t xml:space="preserve">in regional linear rates </w:t>
      </w:r>
      <w:r w:rsidR="00E540E6">
        <w:rPr>
          <w:rFonts w:eastAsiaTheme="minorEastAsia"/>
        </w:rPr>
        <w:t>were negligible</w:t>
      </w:r>
      <w:r w:rsidR="00AE72B2">
        <w:rPr>
          <w:rFonts w:eastAsiaTheme="minorEastAsia"/>
        </w:rPr>
        <w:t xml:space="preserve"> (Supplementary Table 3).</w:t>
      </w:r>
    </w:p>
    <w:p w14:paraId="2E1A74AF" w14:textId="7B7C0096" w:rsidR="00274233" w:rsidRDefault="00274233" w:rsidP="00640061">
      <w:pPr>
        <w:ind w:firstLine="720"/>
        <w:jc w:val="left"/>
        <w:rPr>
          <w:rFonts w:eastAsiaTheme="minorEastAsia"/>
        </w:rPr>
      </w:pPr>
      <w:r>
        <w:t xml:space="preserve">The data level includes the RSL reconstructions with observations,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eastAsiaTheme="minorEastAsia"/>
        </w:rPr>
        <w:t>, where:</w:t>
      </w:r>
    </w:p>
    <w:p w14:paraId="47FB36D0" w14:textId="17611D7E" w:rsidR="00274233" w:rsidRPr="009145F7" w:rsidRDefault="00CD57D5" w:rsidP="00274233">
      <w:pPr>
        <w:jc w:val="left"/>
        <w:rPr>
          <w:rFonts w:eastAsiaTheme="minorEastAsia"/>
        </w:rPr>
      </w:pP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m:t>
            </m:r>
          </m:sub>
        </m:sSub>
        <m:r>
          <w:rPr>
            <w:rFonts w:ascii="Cambria Math" w:eastAsiaTheme="minorEastAsia" w:hAnsi="Cambria Math"/>
          </w:rPr>
          <m:t>+w</m:t>
        </m:r>
        <m:d>
          <m:dPr>
            <m:ctrlPr>
              <w:rPr>
                <w:rFonts w:ascii="Cambria Math" w:eastAsiaTheme="minorEastAsia" w:hAnsi="Cambria Math"/>
                <w:i/>
              </w:rPr>
            </m:ctrlPr>
          </m:dPr>
          <m:e>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d>
      </m:oMath>
      <w:r w:rsidR="00274233">
        <w:rPr>
          <w:rFonts w:eastAsiaTheme="minorEastAsia"/>
        </w:rPr>
        <w:t xml:space="preserve"> </w:t>
      </w:r>
      <w:r w:rsidR="00274233">
        <w:rPr>
          <w:rFonts w:eastAsiaTheme="minorEastAsia"/>
        </w:rPr>
        <w:tab/>
      </w:r>
      <w:r w:rsidR="00274233">
        <w:rPr>
          <w:rFonts w:eastAsiaTheme="minorEastAsia"/>
        </w:rPr>
        <w:tab/>
      </w:r>
      <w:r w:rsidR="00274233">
        <w:rPr>
          <w:rFonts w:eastAsiaTheme="minorEastAsia"/>
        </w:rPr>
        <w:tab/>
      </w:r>
      <w:r w:rsidR="00274233">
        <w:rPr>
          <w:rFonts w:eastAsiaTheme="minorEastAsia"/>
        </w:rPr>
        <w:tab/>
      </w:r>
      <w:r w:rsidR="00274233">
        <w:rPr>
          <w:rFonts w:eastAsiaTheme="minorEastAsia"/>
        </w:rPr>
        <w:tab/>
      </w:r>
      <w:r w:rsidR="00274233">
        <w:rPr>
          <w:rFonts w:eastAsiaTheme="minorEastAsia"/>
        </w:rPr>
        <w:tab/>
      </w:r>
      <w:r w:rsidR="00274233">
        <w:rPr>
          <w:rFonts w:eastAsiaTheme="minorEastAsia"/>
        </w:rPr>
        <w:tab/>
        <w:t xml:space="preserve">       (2)</w:t>
      </w:r>
    </w:p>
    <w:p w14:paraId="0B72B038" w14:textId="77777777" w:rsidR="00274233" w:rsidRPr="007F478E" w:rsidRDefault="00CD57D5" w:rsidP="00274233">
      <w:pPr>
        <w:jc w:val="left"/>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i</m:t>
                </m:r>
              </m:sub>
            </m:sSub>
          </m:e>
        </m:acc>
        <m:r>
          <w:rPr>
            <w:rFonts w:ascii="Cambria Math" w:hAnsi="Cambria Math"/>
          </w:rPr>
          <m:t>+</m:t>
        </m:r>
        <m:sSub>
          <m:sSubPr>
            <m:ctrlPr>
              <w:rPr>
                <w:rFonts w:ascii="Cambria Math" w:hAnsi="Cambria Math"/>
                <w:i/>
              </w:rPr>
            </m:ctrlPr>
          </m:sSubPr>
          <m:e>
            <m:r>
              <w:rPr>
                <w:rFonts w:ascii="Cambria Math" w:eastAsiaTheme="minorEastAsia" w:hAnsi="Cambria Math"/>
              </w:rPr>
              <m:t>δ</m:t>
            </m:r>
          </m:e>
          <m:sub>
            <m:r>
              <w:rPr>
                <w:rFonts w:ascii="Cambria Math" w:hAnsi="Cambria Math"/>
              </w:rPr>
              <m:t>i</m:t>
            </m:r>
          </m:sub>
        </m:sSub>
      </m:oMath>
      <w:r w:rsidR="00274233" w:rsidRPr="009145F7">
        <w:rPr>
          <w:rFonts w:eastAsiaTheme="minorEastAsia"/>
        </w:rPr>
        <w:t xml:space="preserve"> </w:t>
      </w:r>
      <w:r w:rsidR="00274233" w:rsidRPr="009145F7">
        <w:rPr>
          <w:rFonts w:eastAsiaTheme="minorEastAsia"/>
        </w:rPr>
        <w:tab/>
      </w:r>
      <w:r w:rsidR="00274233" w:rsidRPr="009145F7">
        <w:rPr>
          <w:rFonts w:eastAsiaTheme="minorEastAsia"/>
        </w:rPr>
        <w:tab/>
      </w:r>
      <w:r w:rsidR="00274233" w:rsidRPr="009145F7">
        <w:rPr>
          <w:rFonts w:eastAsiaTheme="minorEastAsia"/>
        </w:rPr>
        <w:tab/>
      </w:r>
      <w:r w:rsidR="00274233" w:rsidRPr="009145F7">
        <w:rPr>
          <w:rFonts w:eastAsiaTheme="minorEastAsia"/>
        </w:rPr>
        <w:tab/>
      </w:r>
      <w:r w:rsidR="00274233" w:rsidRPr="009145F7">
        <w:rPr>
          <w:rFonts w:eastAsiaTheme="minorEastAsia"/>
        </w:rPr>
        <w:tab/>
      </w:r>
      <w:r w:rsidR="00274233" w:rsidRPr="009145F7">
        <w:rPr>
          <w:rFonts w:eastAsiaTheme="minorEastAsia"/>
        </w:rPr>
        <w:tab/>
      </w:r>
      <w:r w:rsidR="00274233" w:rsidRPr="009145F7">
        <w:rPr>
          <w:rFonts w:eastAsiaTheme="minorEastAsia"/>
        </w:rPr>
        <w:tab/>
      </w:r>
      <w:r w:rsidR="00274233" w:rsidRPr="009145F7">
        <w:rPr>
          <w:rFonts w:eastAsiaTheme="minorEastAsia"/>
        </w:rPr>
        <w:tab/>
      </w:r>
      <w:r w:rsidR="00274233" w:rsidRPr="009145F7">
        <w:rPr>
          <w:rFonts w:eastAsiaTheme="minorEastAsia"/>
        </w:rPr>
        <w:tab/>
      </w:r>
      <w:r w:rsidR="00274233" w:rsidRPr="009145F7">
        <w:rPr>
          <w:rFonts w:eastAsiaTheme="minorEastAsia"/>
        </w:rPr>
        <w:tab/>
      </w:r>
      <w:r w:rsidR="00274233" w:rsidRPr="009145F7">
        <w:rPr>
          <w:rFonts w:eastAsiaTheme="minorEastAsia"/>
        </w:rPr>
        <w:tab/>
        <w:t xml:space="preserve">       </w:t>
      </w:r>
      <w:r w:rsidR="00274233">
        <w:rPr>
          <w:rFonts w:eastAsiaTheme="minorEastAsia"/>
        </w:rPr>
        <w:t>(3)</w:t>
      </w:r>
    </w:p>
    <w:p w14:paraId="0B5B9F0D" w14:textId="267174BB" w:rsidR="00274233" w:rsidRDefault="00274233" w:rsidP="00274233">
      <w:pPr>
        <w:jc w:val="left"/>
        <w:rPr>
          <w:rFonts w:eastAsiaTheme="minorEastAsia"/>
        </w:rPr>
      </w:pPr>
      <w:r>
        <w:t xml:space="preserve">where </w:t>
      </w:r>
      <m:oMath>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d>
      </m:oMath>
      <w:r>
        <w:rPr>
          <w:rFonts w:eastAsiaTheme="minorEastAsia"/>
        </w:rPr>
        <w:t xml:space="preserve"> is the true RSL value at location </w:t>
      </w:r>
      <m:oMath>
        <m:r>
          <m:rPr>
            <m:sty m:val="bi"/>
          </m:rPr>
          <w:rPr>
            <w:rFonts w:ascii="Cambria Math" w:hAnsi="Cambria Math"/>
          </w:rPr>
          <m:t>x</m:t>
        </m:r>
      </m:oMath>
      <w:r>
        <w:rPr>
          <w:rFonts w:eastAsiaTheme="minorEastAsia"/>
          <w:b/>
        </w:rPr>
        <w:t xml:space="preserve"> </w:t>
      </w:r>
      <w:r>
        <w:rPr>
          <w:rFonts w:eastAsiaTheme="minorEastAsia"/>
        </w:rPr>
        <w:t xml:space="preserve">and time </w:t>
      </w:r>
      <m:oMath>
        <m:r>
          <w:rPr>
            <w:rFonts w:ascii="Cambria Math" w:hAnsi="Cambria Math"/>
          </w:rPr>
          <m:t>t</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oMath>
      <w:r>
        <w:rPr>
          <w:rFonts w:eastAsiaTheme="minorEastAsia"/>
        </w:rPr>
        <w:t xml:space="preserve"> is a site-specific vertical datum correction to ensure that the RSL reconstructions are directly comparable to one another</w:t>
      </w:r>
      <w:r w:rsidR="00EF028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m:t>
            </m:r>
          </m:sub>
        </m:sSub>
      </m:oMath>
      <w:r w:rsidR="00EF028E">
        <w:rPr>
          <w:rFonts w:eastAsiaTheme="minorEastAsia"/>
        </w:rPr>
        <w:t xml:space="preserve"> is the vertical uncertainty which is treated as independent and normally distributed (with a standard deviation for each data point from the original publication), and </w:t>
      </w:r>
      <m:oMath>
        <m:r>
          <w:rPr>
            <w:rFonts w:ascii="Cambria Math" w:eastAsiaTheme="minorEastAsia" w:hAnsi="Cambria Math"/>
          </w:rPr>
          <m:t>w</m:t>
        </m:r>
        <m:d>
          <m:dPr>
            <m:ctrlPr>
              <w:rPr>
                <w:rFonts w:ascii="Cambria Math" w:eastAsiaTheme="minorEastAsia" w:hAnsi="Cambria Math"/>
                <w:i/>
              </w:rPr>
            </m:ctrlPr>
          </m:dPr>
          <m:e>
            <m:sSub>
              <m:sSubPr>
                <m:ctrlPr>
                  <w:rPr>
                    <w:rFonts w:ascii="Cambria Math" w:eastAsiaTheme="minorEastAsia" w:hAnsi="Cambria Math"/>
                    <w:b/>
                    <w:i/>
                  </w:rPr>
                </m:ctrlPr>
              </m:sSubPr>
              <m:e>
                <m:r>
                  <m:rPr>
                    <m:sty m:val="bi"/>
                  </m:rPr>
                  <w:rPr>
                    <w:rFonts w:ascii="Cambria Math" w:eastAsiaTheme="minorEastAsia" w:hAnsi="Cambria Math"/>
                  </w:rPr>
                  <m:t>x</m:t>
                </m:r>
              </m:e>
              <m:sub>
                <m:r>
                  <m:rPr>
                    <m:sty m:val="bi"/>
                  </m:rP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d>
      </m:oMath>
      <w:r w:rsidR="00EF028E">
        <w:rPr>
          <w:rFonts w:eastAsiaTheme="minorEastAsia"/>
        </w:rPr>
        <w:t xml:space="preserve"> is supplemental white noise</w:t>
      </w:r>
      <w:r>
        <w:rPr>
          <w:rFonts w:eastAsiaTheme="minorEastAsia"/>
        </w:rPr>
        <w:t>. The true age of a RSL observation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Pr>
          <w:rFonts w:eastAsiaTheme="minorEastAsia"/>
        </w:rPr>
        <w:t>) is the mean estimate (</w:t>
      </w:r>
      <m:oMath>
        <m:acc>
          <m:accPr>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i</m:t>
                </m:r>
              </m:sub>
            </m:sSub>
          </m:e>
        </m:acc>
      </m:oMath>
      <w:r>
        <w:rPr>
          <w:rFonts w:eastAsiaTheme="minorEastAsia"/>
        </w:rPr>
        <w:t>) and its error (</w:t>
      </w:r>
      <m:oMath>
        <m:sSub>
          <m:sSubPr>
            <m:ctrlPr>
              <w:rPr>
                <w:rFonts w:ascii="Cambria Math" w:hAnsi="Cambria Math"/>
                <w:i/>
              </w:rPr>
            </m:ctrlPr>
          </m:sSubPr>
          <m:e>
            <m:r>
              <w:rPr>
                <w:rFonts w:ascii="Cambria Math" w:eastAsiaTheme="minorEastAsia" w:hAnsi="Cambria Math"/>
              </w:rPr>
              <m:t>δ</m:t>
            </m:r>
          </m:e>
          <m:sub>
            <m:r>
              <w:rPr>
                <w:rFonts w:ascii="Cambria Math" w:hAnsi="Cambria Math"/>
              </w:rPr>
              <m:t>i</m:t>
            </m:r>
          </m:sub>
        </m:sSub>
      </m:oMath>
      <w:r>
        <w:rPr>
          <w:rFonts w:eastAsiaTheme="minorEastAsia"/>
        </w:rPr>
        <w:t>).</w:t>
      </w:r>
    </w:p>
    <w:p w14:paraId="52B0CAFA" w14:textId="45571182" w:rsidR="00374B9C" w:rsidRDefault="00274233" w:rsidP="00640061">
      <w:pPr>
        <w:ind w:firstLine="720"/>
        <w:jc w:val="left"/>
      </w:pPr>
      <w:r>
        <w:t>The hyperparameter</w:t>
      </w:r>
      <w:r w:rsidR="00FE7822">
        <w:t>s</w:t>
      </w:r>
      <w:r>
        <w:t xml:space="preserve"> characterize prior expectations of amplitudes and spatial and temporal scales of RSL variability (Supplementary Table 2). These amplitudes and scales are </w:t>
      </w:r>
      <w:r w:rsidR="00F53CBB">
        <w:t>estimated using</w:t>
      </w:r>
      <w:r>
        <w:t xml:space="preserve"> a maximum-likelihood optimization. The non-linear terms were characterized by three spatial scales (global, regional, and local) and two temporal scales (fast and slow). These different spatial and temporal scales allow RSL to be decomposed into </w:t>
      </w:r>
      <w:r w:rsidR="00AE56D5">
        <w:t xml:space="preserve">common </w:t>
      </w:r>
      <w:r>
        <w:t>global, regional</w:t>
      </w:r>
      <w:r w:rsidR="00640061">
        <w:t xml:space="preserve"> temporally</w:t>
      </w:r>
      <w:r>
        <w:t xml:space="preserve"> linear, regional non-linear, and local components. </w:t>
      </w:r>
      <w:r w:rsidR="00120B68">
        <w:t>As in Kopp et al.</w:t>
      </w:r>
      <w:r w:rsidR="00120B68">
        <w:fldChar w:fldCharType="begin"/>
      </w:r>
      <w:r w:rsidR="00120B68">
        <w:instrText xml:space="preserve"> ADDIN ZOTERO_ITEM CSL_CITATION {"citationID":"bt0VaEqD","properties":{"formattedCitation":"\\super 11\\nosupersub{}","plainCitation":"11","noteIndex":0},"citationItems":[{"id":261,"uris":["http://zotero.org/users/local/XxmvPi45/items/6B2CJCNF"],"uri":["http://zotero.org/users/local/XxmvPi45/items/6B2CJCNF"],"itemData":{"id":261,"type":"article-journal","container-title":"Proceedings of the National Academy of Sciences","DOI":"10.1073/pnas.1517056113","ISSN":"0027-8424, 1091-6490","issue":"11","language":"en","page":"E1434-E1441","source":"Crossref","title":"Temperature-driven global sea-level variability in the Common Era","volume":"113","author":[{"family":"Kopp","given":"Robert E."},{"family":"Kemp","given":"Andrew C."},{"family":"Bittermann","given":"Klaus"},{"family":"Horton","given":"Benjamin P."},{"family":"Donnelly","given":"Jeffrey P."},{"family":"Gehrels","given":"W. Roland"},{"family":"Hay","given":"Carling C."},{"family":"Mitrovica","given":"Jerry X."},{"family":"Morrow","given":"Eric D."},{"family":"Rahmstorf","given":"Stefan"}],"issued":{"date-parts":[["2016",3,15]]}}}],"schema":"https://github.com/citation-style-language/schema/raw/master/csl-citation.json"} </w:instrText>
      </w:r>
      <w:r w:rsidR="00120B68">
        <w:fldChar w:fldCharType="separate"/>
      </w:r>
      <w:r w:rsidR="00120B68" w:rsidRPr="00120B68">
        <w:rPr>
          <w:szCs w:val="24"/>
          <w:vertAlign w:val="superscript"/>
        </w:rPr>
        <w:t>11</w:t>
      </w:r>
      <w:r w:rsidR="00120B68">
        <w:fldChar w:fldCharType="end"/>
      </w:r>
      <w:r w:rsidR="00120B68">
        <w:t xml:space="preserve"> and Kemp et al.</w:t>
      </w:r>
      <w:r w:rsidR="00120B68">
        <w:fldChar w:fldCharType="begin"/>
      </w:r>
      <w:r w:rsidR="00120B68">
        <w:instrText xml:space="preserve"> ADDIN ZOTERO_ITEM CSL_CITATION {"citationID":"EtvXhsSX","properties":{"formattedCitation":"\\super 16\\nosupersub{}","plainCitation":"16","noteIndex":0},"citationItems":[{"id":316,"uris":["http://zotero.org/users/local/XxmvPi45/items/WIISWD8J"],"uri":["http://zotero.org/users/local/XxmvPi45/items/WIISWD8J"],"itemData":{"id":316,"type":"article-journal","abstract":"Several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120B68">
        <w:rPr>
          <w:rFonts w:ascii="Cambria Math" w:hAnsi="Cambria Math" w:cs="Cambria Math"/>
        </w:rPr>
        <w:instrText>∼</w:instrText>
      </w:r>
      <w:r w:rsidR="00120B68">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de"}],"issued":{"date-parts":[["2018",12]]}}}],"schema":"https://github.com/citation-style-language/schema/raw/master/csl-citation.json"} </w:instrText>
      </w:r>
      <w:r w:rsidR="00120B68">
        <w:fldChar w:fldCharType="separate"/>
      </w:r>
      <w:r w:rsidR="00120B68" w:rsidRPr="00120B68">
        <w:rPr>
          <w:szCs w:val="24"/>
          <w:vertAlign w:val="superscript"/>
        </w:rPr>
        <w:t>16</w:t>
      </w:r>
      <w:r w:rsidR="00120B68">
        <w:fldChar w:fldCharType="end"/>
      </w:r>
      <w:r w:rsidR="00374B9C">
        <w:t xml:space="preserve">, we apply a constraint on the model that mean global sea level over -100-100 CE is equal to mean global sea level over 1600-1800 CE because a constant global rate could also be interpreted as a regional linear trend (Supplementary Figure 14). The decomposed components are used to produce Common Era sea-level budgets for northern New Jersey and </w:t>
      </w:r>
      <w:r w:rsidR="00120B68">
        <w:t>five</w:t>
      </w:r>
      <w:r w:rsidR="00374B9C">
        <w:t xml:space="preserve"> other sites </w:t>
      </w:r>
      <w:r w:rsidR="00374B9C">
        <w:lastRenderedPageBreak/>
        <w:t>along the U.S. Atlantic coast using 100-year average rates in 20-year timesteps to examine the evolving contribution of each component through time.</w:t>
      </w:r>
    </w:p>
    <w:p w14:paraId="4E7A02E3" w14:textId="6D57DC89" w:rsidR="00274233" w:rsidRDefault="00274233" w:rsidP="008C342F">
      <w:pPr>
        <w:ind w:firstLine="720"/>
        <w:jc w:val="left"/>
      </w:pPr>
      <w:r>
        <w:t xml:space="preserve">We also </w:t>
      </w:r>
      <w:r w:rsidR="00374B9C">
        <w:t xml:space="preserve">conduct several sensitivity tests on the model. We </w:t>
      </w:r>
      <w:r>
        <w:t xml:space="preserve">ran a sensitivity check to test the prior specifications </w:t>
      </w:r>
      <w:r w:rsidR="008C342F">
        <w:t xml:space="preserve">by fixing the prior amplitudes for all nonlinear terms to be the same and then optimizing all of the </w:t>
      </w:r>
      <w:r w:rsidR="008C342F" w:rsidRPr="00FF3F13">
        <w:t>hyperparameters</w:t>
      </w:r>
      <w:r w:rsidR="008C342F">
        <w:t xml:space="preserve">; the objective is to maximize the log likelihood and in this case with new hyperparameter values, the posterior likelihood decreased (log-likelihood changed from -10352 to -10438), </w:t>
      </w:r>
      <w:r>
        <w:t>and RSL trends remained largely consistent</w:t>
      </w:r>
      <w:r w:rsidRPr="00FF3F13">
        <w:t>.</w:t>
      </w:r>
      <w:r w:rsidR="00374B9C">
        <w:t xml:space="preserve"> </w:t>
      </w:r>
      <w:r w:rsidR="008C342F">
        <w:t>Additionally, we assess the effect of initial values (within the upper to lower bounds) of each hyperparameter on the optimized maximum-likelihood values. We find that different initial values have very little influence on the optimized hyperparameters: differences in timescale estimates were &lt;2 years, differences in length scale estimates were &lt;0.03 degrees, and differences in prior SD were &lt;0.3 cm. We also performed a “leave-one-</w:t>
      </w:r>
      <w:r w:rsidR="00943517">
        <w:t>site-</w:t>
      </w:r>
      <w:r w:rsidR="008C342F">
        <w:t xml:space="preserve">out” cross-validation of the six study sites using the original optimized hyperparameters, individually removing the data from each site and predicting the RSL change at each site given the rest of the data. </w:t>
      </w:r>
      <w:r w:rsidR="008C342F" w:rsidRPr="00B431E8">
        <w:t xml:space="preserve">Overall the model is </w:t>
      </w:r>
      <w:r w:rsidR="00943517" w:rsidRPr="00B431E8">
        <w:t xml:space="preserve">reasonably </w:t>
      </w:r>
      <w:r w:rsidR="008C342F" w:rsidRPr="00B431E8">
        <w:t>well calibrated with a coverage probability based on a “leave-one-</w:t>
      </w:r>
      <w:r w:rsidR="00943517" w:rsidRPr="00B431E8">
        <w:t>site-</w:t>
      </w:r>
      <w:r w:rsidR="008C342F" w:rsidRPr="00B431E8">
        <w:t>out” validation of 88%. The mean error is -0.105 m, suggesting that the model tends to over predict on average and the mean absolute error is 0.165 m (Supplementary Table 4). Further, the rate predictions at the other five sites remained consistent and the uncertainties increased by &lt;0.01 mm/yr (Supplementary Figure 15). Therefore, the model results are generally robust to the removal of site data.</w:t>
      </w:r>
      <w:r w:rsidR="008C342F">
        <w:t xml:space="preserve"> </w:t>
      </w:r>
      <w:r w:rsidR="00970562">
        <w:t xml:space="preserve">Additionally, </w:t>
      </w:r>
      <w:r w:rsidR="009575E8">
        <w:t xml:space="preserve">Supplementary Figure 16 illustrates </w:t>
      </w:r>
      <w:r w:rsidR="00E4650C">
        <w:t>a comparison of</w:t>
      </w:r>
      <w:r w:rsidR="00970562">
        <w:t xml:space="preserve"> RSL predictions for northern New Jersey</w:t>
      </w:r>
      <w:r w:rsidR="009575E8">
        <w:t xml:space="preserve"> </w:t>
      </w:r>
      <w:r w:rsidR="00970562">
        <w:t>using different model variations, including removing the northern New Jersey data and predicting RSL, using only the northern New Jersey data, and re-optimizing hyperparameters using only the northern New Jersey data.</w:t>
      </w:r>
    </w:p>
    <w:p w14:paraId="764C501C" w14:textId="77777777" w:rsidR="00274233" w:rsidRPr="00A91C98" w:rsidRDefault="00274233" w:rsidP="00274233">
      <w:pPr>
        <w:jc w:val="left"/>
      </w:pPr>
    </w:p>
    <w:p w14:paraId="41FDA6D4" w14:textId="17230B33" w:rsidR="00274233" w:rsidRPr="00085860" w:rsidRDefault="00274233" w:rsidP="00845C15">
      <w:pPr>
        <w:pStyle w:val="Heading2"/>
        <w:jc w:val="left"/>
        <w:rPr>
          <w:b w:val="0"/>
          <w:sz w:val="28"/>
          <w:szCs w:val="28"/>
        </w:rPr>
      </w:pPr>
      <w:r w:rsidRPr="00085860">
        <w:rPr>
          <w:b w:val="0"/>
          <w:sz w:val="28"/>
          <w:szCs w:val="28"/>
        </w:rPr>
        <w:t>Data availability</w:t>
      </w:r>
    </w:p>
    <w:p w14:paraId="0A18E6F4" w14:textId="655831B8" w:rsidR="00274233" w:rsidRPr="004A65E3" w:rsidRDefault="004A65E3" w:rsidP="00923960">
      <w:pPr>
        <w:jc w:val="left"/>
      </w:pPr>
      <w:r w:rsidRPr="00107CD0">
        <w:t>Data related to this article can be found</w:t>
      </w:r>
      <w:r>
        <w:t xml:space="preserve"> </w:t>
      </w:r>
      <w:r w:rsidR="00E42D88">
        <w:t>in the Supplementary Information and Supplementary Data file.</w:t>
      </w:r>
    </w:p>
    <w:p w14:paraId="5D9FE41D" w14:textId="448B819C" w:rsidR="00274233" w:rsidRDefault="00274233" w:rsidP="00923960"/>
    <w:p w14:paraId="4DF39E50" w14:textId="6AA0DED9" w:rsidR="003F1BAE" w:rsidRPr="00085860" w:rsidRDefault="003F1BAE" w:rsidP="003F1BAE">
      <w:pPr>
        <w:pStyle w:val="Heading2"/>
        <w:jc w:val="left"/>
        <w:rPr>
          <w:b w:val="0"/>
          <w:sz w:val="28"/>
          <w:szCs w:val="28"/>
        </w:rPr>
      </w:pPr>
      <w:r w:rsidRPr="00085860">
        <w:rPr>
          <w:b w:val="0"/>
          <w:sz w:val="28"/>
          <w:szCs w:val="28"/>
        </w:rPr>
        <w:t>Code availability</w:t>
      </w:r>
    </w:p>
    <w:p w14:paraId="3675CAA3" w14:textId="17EE3E5F" w:rsidR="004857A9" w:rsidRPr="00DD38E1" w:rsidRDefault="0033598F" w:rsidP="00923960">
      <w:r>
        <w:t xml:space="preserve">Code </w:t>
      </w:r>
      <w:r w:rsidR="004857A9">
        <w:t>for the spatiotemporal model</w:t>
      </w:r>
      <w:r>
        <w:t xml:space="preserve"> results that are reported in the paper are available </w:t>
      </w:r>
      <w:r w:rsidR="004857A9">
        <w:t>at</w:t>
      </w:r>
      <w:r w:rsidR="00DD38E1">
        <w:t xml:space="preserve"> </w:t>
      </w:r>
      <w:hyperlink r:id="rId11" w:history="1">
        <w:r w:rsidR="00DD38E1">
          <w:rPr>
            <w:rStyle w:val="Hyperlink"/>
          </w:rPr>
          <w:t>https://github.com/bobkopp/CESL-STEHM-GP</w:t>
        </w:r>
      </w:hyperlink>
      <w:r w:rsidR="00E443E9">
        <w:rPr>
          <w:rStyle w:val="Hyperlink"/>
        </w:rPr>
        <w:t xml:space="preserve"> (</w:t>
      </w:r>
      <w:r w:rsidR="00E443E9" w:rsidRPr="00E443E9">
        <w:rPr>
          <w:rStyle w:val="Hyperlink"/>
        </w:rPr>
        <w:t>doi:10.5281/zenodo.4549924 for CESL-STEHM-GP</w:t>
      </w:r>
      <w:r w:rsidR="00E443E9">
        <w:rPr>
          <w:rStyle w:val="Hyperlink"/>
        </w:rPr>
        <w:t>)</w:t>
      </w:r>
      <w:r w:rsidR="009536F2">
        <w:rPr>
          <w:rStyle w:val="Hyperlink"/>
        </w:rPr>
        <w:fldChar w:fldCharType="begin"/>
      </w:r>
      <w:r w:rsidR="00755410">
        <w:rPr>
          <w:rStyle w:val="Hyperlink"/>
        </w:rPr>
        <w:instrText xml:space="preserve"> ADDIN ZOTERO_ITEM CSL_CITATION {"citationID":"YDtRSw8f","properties":{"formattedCitation":"\\super 68\\nosupersub{}","plainCitation":"68","noteIndex":0},"citationItems":[{"id":937,"uris":["http://zotero.org/users/local/XxmvPi45/items/WAZPSQS9"],"uri":["http://zotero.org/users/local/XxmvPi45/items/WAZPSQS9"],"itemData":{"id":937,"type":"article-journal","container-title":"Zenodo","DOI":"10.5281/zenodo.4549924 for CESL-STEHM-GP","title":"Common Era sea-level budgets along the U.S. Atlantic coast","author":[{"family":"Walker","given":"Jennifer S."},{"family":"Kopp","given":"Robert E."},{"family":"Shaw","given":"Timothy A."},{"family":"Cahill","given":"Niamh"},{"family":"Khan","given":"Nicole S."},{"family":"Barber","given":"Donald C."},{"family":"Ashe","given":"Erica L."},{"family":"Brain","given":"Matthew J."},{"family":"Clear","given":"Jennifer"},{"family":"Corbett","given":"D. Reide"},{"family":"Horton","given":"Benjamin P."}],"issued":{"date-parts":[["2021"]]}}}],"schema":"https://github.com/citation-style-language/schema/raw/master/csl-citation.json"} </w:instrText>
      </w:r>
      <w:r w:rsidR="009536F2">
        <w:rPr>
          <w:rStyle w:val="Hyperlink"/>
        </w:rPr>
        <w:fldChar w:fldCharType="separate"/>
      </w:r>
      <w:r w:rsidR="009536F2" w:rsidRPr="009536F2">
        <w:rPr>
          <w:szCs w:val="24"/>
          <w:vertAlign w:val="superscript"/>
        </w:rPr>
        <w:t>68</w:t>
      </w:r>
      <w:r w:rsidR="009536F2">
        <w:rPr>
          <w:rStyle w:val="Hyperlink"/>
        </w:rPr>
        <w:fldChar w:fldCharType="end"/>
      </w:r>
      <w:r w:rsidR="00DD38E1">
        <w:t>.</w:t>
      </w:r>
    </w:p>
    <w:p w14:paraId="46356371" w14:textId="77777777" w:rsidR="003F1BAE" w:rsidRPr="00923960" w:rsidRDefault="003F1BAE" w:rsidP="00923960"/>
    <w:p w14:paraId="5E213F67" w14:textId="77777777" w:rsidR="00C41FE5" w:rsidRPr="00085860" w:rsidRDefault="00C41FE5" w:rsidP="00C41FE5">
      <w:pPr>
        <w:pStyle w:val="Heading2"/>
        <w:jc w:val="left"/>
        <w:rPr>
          <w:b w:val="0"/>
          <w:sz w:val="28"/>
          <w:szCs w:val="28"/>
        </w:rPr>
      </w:pPr>
      <w:r w:rsidRPr="00085860">
        <w:rPr>
          <w:b w:val="0"/>
          <w:sz w:val="28"/>
          <w:szCs w:val="28"/>
        </w:rPr>
        <w:t>References</w:t>
      </w:r>
    </w:p>
    <w:p w14:paraId="714F8B29" w14:textId="77777777" w:rsidR="00755410" w:rsidRDefault="00CF6FBB" w:rsidP="00755410">
      <w:pPr>
        <w:pStyle w:val="Bibliography"/>
      </w:pPr>
      <w:r>
        <w:fldChar w:fldCharType="begin"/>
      </w:r>
      <w:r w:rsidR="00755410">
        <w:instrText xml:space="preserve"> ADDIN ZOTERO_BIBL {"uncited":[],"omitted":[],"custom":[]} CSL_BIBLIOGRAPHY </w:instrText>
      </w:r>
      <w:r>
        <w:fldChar w:fldCharType="separate"/>
      </w:r>
      <w:r w:rsidR="00755410">
        <w:t>1.</w:t>
      </w:r>
      <w:r w:rsidR="00755410">
        <w:tab/>
        <w:t xml:space="preserve">Cazenave, A., Palanisamy, H. &amp; Ablain, M. Contemporary sea level changes from satellite altimetry: What have we learned? What are the new challenges? </w:t>
      </w:r>
      <w:r w:rsidR="00755410">
        <w:rPr>
          <w:i/>
          <w:iCs/>
        </w:rPr>
        <w:t>Adv. Space Res.</w:t>
      </w:r>
      <w:r w:rsidR="00755410">
        <w:t xml:space="preserve"> </w:t>
      </w:r>
      <w:r w:rsidR="00755410">
        <w:rPr>
          <w:b/>
          <w:bCs/>
        </w:rPr>
        <w:t>62</w:t>
      </w:r>
      <w:r w:rsidR="00755410">
        <w:t>, 1639–1653 (2018).</w:t>
      </w:r>
    </w:p>
    <w:p w14:paraId="139A88AD" w14:textId="77777777" w:rsidR="00755410" w:rsidRDefault="00755410" w:rsidP="00755410">
      <w:pPr>
        <w:pStyle w:val="Bibliography"/>
      </w:pPr>
      <w:r>
        <w:t>2.</w:t>
      </w:r>
      <w:r>
        <w:tab/>
        <w:t xml:space="preserve">Rietbroek, R., Brunnabend, S.-E., Kusche, J., Schröter, J. &amp; Dahle, C. Revisiting the contemporary sea-level budget on global and regional scales. </w:t>
      </w:r>
      <w:r>
        <w:rPr>
          <w:i/>
          <w:iCs/>
        </w:rPr>
        <w:t>Proc. Natl. Acad. Sci.</w:t>
      </w:r>
      <w:r>
        <w:t xml:space="preserve"> </w:t>
      </w:r>
      <w:r>
        <w:rPr>
          <w:b/>
          <w:bCs/>
        </w:rPr>
        <w:t>113</w:t>
      </w:r>
      <w:r>
        <w:t>, 1504–1509 (2016).</w:t>
      </w:r>
    </w:p>
    <w:p w14:paraId="2A7A142A" w14:textId="77777777" w:rsidR="00755410" w:rsidRDefault="00755410" w:rsidP="00755410">
      <w:pPr>
        <w:pStyle w:val="Bibliography"/>
      </w:pPr>
      <w:r>
        <w:t>3.</w:t>
      </w:r>
      <w:r>
        <w:tab/>
        <w:t xml:space="preserve">Cazenave, A. </w:t>
      </w:r>
      <w:r>
        <w:rPr>
          <w:i/>
          <w:iCs/>
        </w:rPr>
        <w:t>et al.</w:t>
      </w:r>
      <w:r>
        <w:t xml:space="preserve"> Global sea-level budget 1993-present. </w:t>
      </w:r>
      <w:r>
        <w:rPr>
          <w:i/>
          <w:iCs/>
        </w:rPr>
        <w:t>Earth Syst. Sci. Data</w:t>
      </w:r>
      <w:r>
        <w:t xml:space="preserve"> </w:t>
      </w:r>
      <w:r>
        <w:rPr>
          <w:b/>
          <w:bCs/>
        </w:rPr>
        <w:t>10</w:t>
      </w:r>
      <w:r>
        <w:t>, 1551–1590 (2018).</w:t>
      </w:r>
    </w:p>
    <w:p w14:paraId="28645564" w14:textId="77777777" w:rsidR="00755410" w:rsidRDefault="00755410" w:rsidP="00755410">
      <w:pPr>
        <w:pStyle w:val="Bibliography"/>
      </w:pPr>
      <w:r>
        <w:t>4.</w:t>
      </w:r>
      <w:r>
        <w:tab/>
        <w:t xml:space="preserve">Jevrejeva, S., Matthews, A. &amp; Slangen, A. The twentieth-century sea level budget: Recent progress and challenges. </w:t>
      </w:r>
      <w:r>
        <w:rPr>
          <w:i/>
          <w:iCs/>
        </w:rPr>
        <w:t>Surv. Geophys.</w:t>
      </w:r>
      <w:r>
        <w:t xml:space="preserve"> </w:t>
      </w:r>
      <w:r>
        <w:rPr>
          <w:b/>
          <w:bCs/>
        </w:rPr>
        <w:t>38</w:t>
      </w:r>
      <w:r>
        <w:t>, 295–307 (2017).</w:t>
      </w:r>
    </w:p>
    <w:p w14:paraId="2C2CB7C5" w14:textId="77777777" w:rsidR="00755410" w:rsidRDefault="00755410" w:rsidP="00755410">
      <w:pPr>
        <w:pStyle w:val="Bibliography"/>
      </w:pPr>
      <w:r>
        <w:t>5.</w:t>
      </w:r>
      <w:r>
        <w:tab/>
        <w:t xml:space="preserve">Simms, A. R., Lisiecki, L., Gebbie, G., Whitehouse, P. L. &amp; Clark, J. F. Balancing the last glacial maximum (LGM) sea-level budget. </w:t>
      </w:r>
      <w:r>
        <w:rPr>
          <w:i/>
          <w:iCs/>
        </w:rPr>
        <w:t>Quat. Sci. Rev.</w:t>
      </w:r>
      <w:r>
        <w:t xml:space="preserve"> </w:t>
      </w:r>
      <w:r>
        <w:rPr>
          <w:b/>
          <w:bCs/>
        </w:rPr>
        <w:t>205</w:t>
      </w:r>
      <w:r>
        <w:t>, 143–153 (2019).</w:t>
      </w:r>
    </w:p>
    <w:p w14:paraId="4A92BD42" w14:textId="77777777" w:rsidR="00755410" w:rsidRDefault="00755410" w:rsidP="00755410">
      <w:pPr>
        <w:pStyle w:val="Bibliography"/>
      </w:pPr>
      <w:r>
        <w:lastRenderedPageBreak/>
        <w:t>6.</w:t>
      </w:r>
      <w:r>
        <w:tab/>
        <w:t xml:space="preserve">Frederikse, T., Simon, K., Katsman, C. &amp; Riva, R. The sea‐level budget along the Northwest Atlantic coast: GIA, mass changes, and large‐scale ocean dynamics. </w:t>
      </w:r>
      <w:r>
        <w:rPr>
          <w:i/>
          <w:iCs/>
        </w:rPr>
        <w:t>J. Geophys. Res. Oceans</w:t>
      </w:r>
      <w:r>
        <w:t xml:space="preserve"> </w:t>
      </w:r>
      <w:r>
        <w:rPr>
          <w:b/>
          <w:bCs/>
        </w:rPr>
        <w:t>122</w:t>
      </w:r>
      <w:r>
        <w:t>, 5486–5501 (2017).</w:t>
      </w:r>
    </w:p>
    <w:p w14:paraId="7A736BC2" w14:textId="77777777" w:rsidR="00755410" w:rsidRDefault="00755410" w:rsidP="00755410">
      <w:pPr>
        <w:pStyle w:val="Bibliography"/>
      </w:pPr>
      <w:r>
        <w:t>7.</w:t>
      </w:r>
      <w:r>
        <w:tab/>
        <w:t xml:space="preserve">Horton, B. P. </w:t>
      </w:r>
      <w:r>
        <w:rPr>
          <w:i/>
          <w:iCs/>
        </w:rPr>
        <w:t>et al.</w:t>
      </w:r>
      <w:r>
        <w:t xml:space="preserve"> Mapping sea-level change in time, space, and probability. 44 (2018).</w:t>
      </w:r>
    </w:p>
    <w:p w14:paraId="38F9E910" w14:textId="77777777" w:rsidR="00755410" w:rsidRDefault="00755410" w:rsidP="00755410">
      <w:pPr>
        <w:pStyle w:val="Bibliography"/>
      </w:pPr>
      <w:r>
        <w:t>8.</w:t>
      </w:r>
      <w:r>
        <w:tab/>
        <w:t xml:space="preserve">Gregory, J. M. </w:t>
      </w:r>
      <w:r>
        <w:rPr>
          <w:i/>
          <w:iCs/>
        </w:rPr>
        <w:t>et al.</w:t>
      </w:r>
      <w:r>
        <w:t xml:space="preserve"> Concepts and Terminology for Sea Level: Mean, Variability and Change, Both Local and Global. </w:t>
      </w:r>
      <w:r>
        <w:rPr>
          <w:i/>
          <w:iCs/>
        </w:rPr>
        <w:t>Surv. Geophys.</w:t>
      </w:r>
      <w:r>
        <w:t xml:space="preserve"> </w:t>
      </w:r>
      <w:r>
        <w:rPr>
          <w:b/>
          <w:bCs/>
        </w:rPr>
        <w:t>40</w:t>
      </w:r>
      <w:r>
        <w:t>, 1251–1289 (2019).</w:t>
      </w:r>
    </w:p>
    <w:p w14:paraId="666EE0C1" w14:textId="77777777" w:rsidR="00755410" w:rsidRDefault="00755410" w:rsidP="00755410">
      <w:pPr>
        <w:pStyle w:val="Bibliography"/>
      </w:pPr>
      <w:r>
        <w:t>9.</w:t>
      </w:r>
      <w:r>
        <w:tab/>
        <w:t xml:space="preserve">Stammer, D., Cazenave, A., Ponte, R. M. &amp; Tamisiea, M. E. Causes for Contemporary Regional Sea Level Changes. </w:t>
      </w:r>
      <w:r>
        <w:rPr>
          <w:i/>
          <w:iCs/>
        </w:rPr>
        <w:t>Annu. Rev. Mar. Sci.</w:t>
      </w:r>
      <w:r>
        <w:t xml:space="preserve"> </w:t>
      </w:r>
      <w:r>
        <w:rPr>
          <w:b/>
          <w:bCs/>
        </w:rPr>
        <w:t>5</w:t>
      </w:r>
      <w:r>
        <w:t>, 21–46 (2013).</w:t>
      </w:r>
    </w:p>
    <w:p w14:paraId="46B13311" w14:textId="77777777" w:rsidR="00755410" w:rsidRDefault="00755410" w:rsidP="00755410">
      <w:pPr>
        <w:pStyle w:val="Bibliography"/>
      </w:pPr>
      <w:r>
        <w:t>10.</w:t>
      </w:r>
      <w:r>
        <w:tab/>
        <w:t xml:space="preserve">Kemp, A. C. </w:t>
      </w:r>
      <w:r>
        <w:rPr>
          <w:i/>
          <w:iCs/>
        </w:rPr>
        <w:t>et al.</w:t>
      </w:r>
      <w:r>
        <w:t xml:space="preserve"> Climate related sea-level variations over the past two millennia. </w:t>
      </w:r>
      <w:r>
        <w:rPr>
          <w:i/>
          <w:iCs/>
        </w:rPr>
        <w:t>Proc. Natl. Acad. Sci.</w:t>
      </w:r>
      <w:r>
        <w:t xml:space="preserve"> 6 (2011).</w:t>
      </w:r>
    </w:p>
    <w:p w14:paraId="1700DCAF" w14:textId="77777777" w:rsidR="00755410" w:rsidRDefault="00755410" w:rsidP="00755410">
      <w:pPr>
        <w:pStyle w:val="Bibliography"/>
      </w:pPr>
      <w:r>
        <w:t>11.</w:t>
      </w:r>
      <w:r>
        <w:tab/>
        <w:t xml:space="preserve">Kopp, R. E. </w:t>
      </w:r>
      <w:r>
        <w:rPr>
          <w:i/>
          <w:iCs/>
        </w:rPr>
        <w:t>et al.</w:t>
      </w:r>
      <w:r>
        <w:t xml:space="preserve"> Temperature-driven global sea-level variability in the Common Era. </w:t>
      </w:r>
      <w:r>
        <w:rPr>
          <w:i/>
          <w:iCs/>
        </w:rPr>
        <w:t>Proc. Natl. Acad. Sci.</w:t>
      </w:r>
      <w:r>
        <w:t xml:space="preserve"> </w:t>
      </w:r>
      <w:r>
        <w:rPr>
          <w:b/>
          <w:bCs/>
        </w:rPr>
        <w:t>113</w:t>
      </w:r>
      <w:r>
        <w:t>, E1434–E1441 (2016).</w:t>
      </w:r>
    </w:p>
    <w:p w14:paraId="171EE052" w14:textId="77777777" w:rsidR="00755410" w:rsidRDefault="00755410" w:rsidP="00755410">
      <w:pPr>
        <w:pStyle w:val="Bibliography"/>
      </w:pPr>
      <w:r>
        <w:t>12.</w:t>
      </w:r>
      <w:r>
        <w:tab/>
        <w:t xml:space="preserve">Roy, K. &amp; Peltier, W. R. Glacial isostatic adjustment, relative sea level history and mantle viscosity: reconciling relative sea level model predictions for the U.S. East coast with geological constraints. </w:t>
      </w:r>
      <w:r>
        <w:rPr>
          <w:i/>
          <w:iCs/>
        </w:rPr>
        <w:t>Geophys. J. Int.</w:t>
      </w:r>
      <w:r>
        <w:t xml:space="preserve"> </w:t>
      </w:r>
      <w:r>
        <w:rPr>
          <w:b/>
          <w:bCs/>
        </w:rPr>
        <w:t>201</w:t>
      </w:r>
      <w:r>
        <w:t>, 1156–1181 (2015).</w:t>
      </w:r>
    </w:p>
    <w:p w14:paraId="16906CDA" w14:textId="77777777" w:rsidR="00755410" w:rsidRDefault="00755410" w:rsidP="00755410">
      <w:pPr>
        <w:pStyle w:val="Bibliography"/>
      </w:pPr>
      <w:r>
        <w:t>13.</w:t>
      </w:r>
      <w:r>
        <w:tab/>
        <w:t xml:space="preserve">Love, R. </w:t>
      </w:r>
      <w:r>
        <w:rPr>
          <w:i/>
          <w:iCs/>
        </w:rPr>
        <w:t>et al.</w:t>
      </w:r>
      <w:r>
        <w:t xml:space="preserve"> The contribution of glacial isostatic adjustment to projections of sea-level change along the Atlantic and Gulf coasts of North America: GIA AND FUTURE SEA-LEVEL CHANGE. </w:t>
      </w:r>
      <w:r>
        <w:rPr>
          <w:i/>
          <w:iCs/>
        </w:rPr>
        <w:t>Earths Future</w:t>
      </w:r>
      <w:r>
        <w:t xml:space="preserve"> </w:t>
      </w:r>
      <w:r>
        <w:rPr>
          <w:b/>
          <w:bCs/>
        </w:rPr>
        <w:t>4</w:t>
      </w:r>
      <w:r>
        <w:t>, 440–464 (2016).</w:t>
      </w:r>
    </w:p>
    <w:p w14:paraId="3DACB07A" w14:textId="77777777" w:rsidR="00755410" w:rsidRDefault="00755410" w:rsidP="00755410">
      <w:pPr>
        <w:pStyle w:val="Bibliography"/>
      </w:pPr>
      <w:r>
        <w:t>14.</w:t>
      </w:r>
      <w:r>
        <w:tab/>
        <w:t xml:space="preserve">Kemp, A. C. </w:t>
      </w:r>
      <w:r>
        <w:rPr>
          <w:i/>
          <w:iCs/>
        </w:rPr>
        <w:t>et al.</w:t>
      </w:r>
      <w:r>
        <w:t xml:space="preserve"> Sea-level change during the last 2500 years in New Jersey, USA. </w:t>
      </w:r>
      <w:r>
        <w:rPr>
          <w:i/>
          <w:iCs/>
        </w:rPr>
        <w:t>Quat. Sci. Rev.</w:t>
      </w:r>
      <w:r>
        <w:t xml:space="preserve"> </w:t>
      </w:r>
      <w:r>
        <w:rPr>
          <w:b/>
          <w:bCs/>
        </w:rPr>
        <w:t>81</w:t>
      </w:r>
      <w:r>
        <w:t>, 90–104 (2013).</w:t>
      </w:r>
    </w:p>
    <w:p w14:paraId="24FB0486" w14:textId="77777777" w:rsidR="00755410" w:rsidRDefault="00755410" w:rsidP="00755410">
      <w:pPr>
        <w:pStyle w:val="Bibliography"/>
      </w:pPr>
      <w:r>
        <w:t>15.</w:t>
      </w:r>
      <w:r>
        <w:tab/>
        <w:t xml:space="preserve">Kemp, A. C. </w:t>
      </w:r>
      <w:r>
        <w:rPr>
          <w:i/>
          <w:iCs/>
        </w:rPr>
        <w:t>et al.</w:t>
      </w:r>
      <w:r>
        <w:t xml:space="preserve"> Relative sea-level trends in New York City during the past 1500 years. </w:t>
      </w:r>
      <w:r>
        <w:rPr>
          <w:i/>
          <w:iCs/>
        </w:rPr>
        <w:t>The Holocene</w:t>
      </w:r>
      <w:r>
        <w:t xml:space="preserve"> </w:t>
      </w:r>
      <w:r>
        <w:rPr>
          <w:b/>
          <w:bCs/>
        </w:rPr>
        <w:t>27</w:t>
      </w:r>
      <w:r>
        <w:t>, 1169–1186 (2017b).</w:t>
      </w:r>
    </w:p>
    <w:p w14:paraId="4CE9581A" w14:textId="77777777" w:rsidR="00755410" w:rsidRDefault="00755410" w:rsidP="00755410">
      <w:pPr>
        <w:pStyle w:val="Bibliography"/>
      </w:pPr>
      <w:r>
        <w:lastRenderedPageBreak/>
        <w:t>16.</w:t>
      </w:r>
      <w:r>
        <w:tab/>
        <w:t xml:space="preserve">Kemp, A. C. </w:t>
      </w:r>
      <w:r>
        <w:rPr>
          <w:i/>
          <w:iCs/>
        </w:rPr>
        <w:t>et al.</w:t>
      </w:r>
      <w:r>
        <w:t xml:space="preserve"> Relative sea-level change in Newfoundland, Canada during the past </w:t>
      </w:r>
      <w:r>
        <w:rPr>
          <w:rFonts w:ascii="Cambria Math" w:hAnsi="Cambria Math" w:cs="Cambria Math"/>
        </w:rPr>
        <w:t>∼</w:t>
      </w:r>
      <w:r>
        <w:t xml:space="preserve">3000 years. </w:t>
      </w:r>
      <w:r>
        <w:rPr>
          <w:i/>
          <w:iCs/>
        </w:rPr>
        <w:t>Quat. Sci. Rev.</w:t>
      </w:r>
      <w:r>
        <w:t xml:space="preserve"> </w:t>
      </w:r>
      <w:r>
        <w:rPr>
          <w:b/>
          <w:bCs/>
        </w:rPr>
        <w:t>201</w:t>
      </w:r>
      <w:r>
        <w:t>, 89–110 (2018).</w:t>
      </w:r>
    </w:p>
    <w:p w14:paraId="2EE5CBF7" w14:textId="77777777" w:rsidR="00755410" w:rsidRDefault="00755410" w:rsidP="00755410">
      <w:pPr>
        <w:pStyle w:val="Bibliography"/>
      </w:pPr>
      <w:r>
        <w:t>17.</w:t>
      </w:r>
      <w:r>
        <w:tab/>
        <w:t xml:space="preserve">Ashe, E. L. </w:t>
      </w:r>
      <w:r>
        <w:rPr>
          <w:i/>
          <w:iCs/>
        </w:rPr>
        <w:t>et al.</w:t>
      </w:r>
      <w:r>
        <w:t xml:space="preserve"> Statistical modeling of rates and trends in Holocene relative sea level. </w:t>
      </w:r>
      <w:r>
        <w:rPr>
          <w:i/>
          <w:iCs/>
        </w:rPr>
        <w:t>Quat. Sci. Rev.</w:t>
      </w:r>
      <w:r>
        <w:t xml:space="preserve"> </w:t>
      </w:r>
      <w:r>
        <w:rPr>
          <w:b/>
          <w:bCs/>
        </w:rPr>
        <w:t>204</w:t>
      </w:r>
      <w:r>
        <w:t>, 58–77 (2019).</w:t>
      </w:r>
    </w:p>
    <w:p w14:paraId="40CE997F" w14:textId="77777777" w:rsidR="00755410" w:rsidRDefault="00755410" w:rsidP="00755410">
      <w:pPr>
        <w:pStyle w:val="Bibliography"/>
      </w:pPr>
      <w:r>
        <w:t>18.</w:t>
      </w:r>
      <w:r>
        <w:tab/>
        <w:t xml:space="preserve">Hay, C. C., Morrow, E., Kopp, R. E. &amp; Mitrovica, J. X. Probabilistic reanalysis of twentieth-century sea-level rise. </w:t>
      </w:r>
      <w:r>
        <w:rPr>
          <w:i/>
          <w:iCs/>
        </w:rPr>
        <w:t>Nature</w:t>
      </w:r>
      <w:r>
        <w:t xml:space="preserve"> </w:t>
      </w:r>
      <w:r>
        <w:rPr>
          <w:b/>
          <w:bCs/>
        </w:rPr>
        <w:t>517</w:t>
      </w:r>
      <w:r>
        <w:t>, 481–484 (2015).</w:t>
      </w:r>
    </w:p>
    <w:p w14:paraId="50E38403" w14:textId="77777777" w:rsidR="00755410" w:rsidRDefault="00755410" w:rsidP="00755410">
      <w:pPr>
        <w:pStyle w:val="Bibliography"/>
      </w:pPr>
      <w:r>
        <w:t>19.</w:t>
      </w:r>
      <w:r>
        <w:tab/>
        <w:t xml:space="preserve">Frederikse, T. </w:t>
      </w:r>
      <w:r>
        <w:rPr>
          <w:i/>
          <w:iCs/>
        </w:rPr>
        <w:t>et al.</w:t>
      </w:r>
      <w:r>
        <w:t xml:space="preserve"> The causes of sea-level rise since 1900. </w:t>
      </w:r>
      <w:r>
        <w:rPr>
          <w:i/>
          <w:iCs/>
        </w:rPr>
        <w:t>Nature</w:t>
      </w:r>
      <w:r>
        <w:t xml:space="preserve"> </w:t>
      </w:r>
      <w:r>
        <w:rPr>
          <w:b/>
          <w:bCs/>
        </w:rPr>
        <w:t>584</w:t>
      </w:r>
      <w:r>
        <w:t>, 393–397 (2020).</w:t>
      </w:r>
    </w:p>
    <w:p w14:paraId="434C4FFD" w14:textId="77777777" w:rsidR="00755410" w:rsidRDefault="00755410" w:rsidP="00755410">
      <w:pPr>
        <w:pStyle w:val="Bibliography"/>
      </w:pPr>
      <w:r>
        <w:t>20.</w:t>
      </w:r>
      <w:r>
        <w:tab/>
        <w:t xml:space="preserve">Neukom, R. </w:t>
      </w:r>
      <w:r>
        <w:rPr>
          <w:i/>
          <w:iCs/>
        </w:rPr>
        <w:t>et al.</w:t>
      </w:r>
      <w:r>
        <w:t xml:space="preserve"> Consistent multidecadal variability in global temperature reconstructions and simulations over the Common Era. </w:t>
      </w:r>
      <w:r>
        <w:rPr>
          <w:i/>
          <w:iCs/>
        </w:rPr>
        <w:t>Nat. Geosci.</w:t>
      </w:r>
      <w:r>
        <w:t xml:space="preserve"> </w:t>
      </w:r>
      <w:r>
        <w:rPr>
          <w:b/>
          <w:bCs/>
        </w:rPr>
        <w:t>12</w:t>
      </w:r>
      <w:r>
        <w:t>, 643–649 (2019).</w:t>
      </w:r>
    </w:p>
    <w:p w14:paraId="61A58223" w14:textId="77777777" w:rsidR="00755410" w:rsidRDefault="00755410" w:rsidP="00755410">
      <w:pPr>
        <w:pStyle w:val="Bibliography"/>
      </w:pPr>
      <w:r>
        <w:t>21.</w:t>
      </w:r>
      <w:r>
        <w:tab/>
        <w:t xml:space="preserve">Solomina, O. N. </w:t>
      </w:r>
      <w:r>
        <w:rPr>
          <w:i/>
          <w:iCs/>
        </w:rPr>
        <w:t>et al.</w:t>
      </w:r>
      <w:r>
        <w:t xml:space="preserve"> Glacier fluctuations during the past 2000 years. </w:t>
      </w:r>
      <w:r>
        <w:rPr>
          <w:i/>
          <w:iCs/>
        </w:rPr>
        <w:t>Quat. Sci. Rev.</w:t>
      </w:r>
      <w:r>
        <w:t xml:space="preserve"> </w:t>
      </w:r>
      <w:r>
        <w:rPr>
          <w:b/>
          <w:bCs/>
        </w:rPr>
        <w:t>149</w:t>
      </w:r>
      <w:r>
        <w:t>, 61–90 (2016).</w:t>
      </w:r>
    </w:p>
    <w:p w14:paraId="257E61C4" w14:textId="77777777" w:rsidR="00755410" w:rsidRDefault="00755410" w:rsidP="00755410">
      <w:pPr>
        <w:pStyle w:val="Bibliography"/>
      </w:pPr>
      <w:r>
        <w:t>22.</w:t>
      </w:r>
      <w:r>
        <w:tab/>
        <w:t xml:space="preserve">Abram, N. J. </w:t>
      </w:r>
      <w:r>
        <w:rPr>
          <w:i/>
          <w:iCs/>
        </w:rPr>
        <w:t>et al.</w:t>
      </w:r>
      <w:r>
        <w:t xml:space="preserve"> Early onset of industrial-era warming across the oceans and continents. </w:t>
      </w:r>
      <w:r>
        <w:rPr>
          <w:i/>
          <w:iCs/>
        </w:rPr>
        <w:t>Nature</w:t>
      </w:r>
      <w:r>
        <w:t xml:space="preserve"> </w:t>
      </w:r>
      <w:r>
        <w:rPr>
          <w:b/>
          <w:bCs/>
        </w:rPr>
        <w:t>536</w:t>
      </w:r>
      <w:r>
        <w:t>, 411–418 (2016).</w:t>
      </w:r>
    </w:p>
    <w:p w14:paraId="7C796900" w14:textId="77777777" w:rsidR="00755410" w:rsidRDefault="00755410" w:rsidP="00755410">
      <w:pPr>
        <w:pStyle w:val="Bibliography"/>
      </w:pPr>
      <w:r>
        <w:t>23.</w:t>
      </w:r>
      <w:r>
        <w:tab/>
        <w:t xml:space="preserve">Piecuch, C. G. </w:t>
      </w:r>
      <w:r>
        <w:rPr>
          <w:i/>
          <w:iCs/>
        </w:rPr>
        <w:t>et al.</w:t>
      </w:r>
      <w:r>
        <w:t xml:space="preserve"> Origin of spatial variation in US East Coast sea-level trends during 1900–2017. </w:t>
      </w:r>
      <w:r>
        <w:rPr>
          <w:i/>
          <w:iCs/>
        </w:rPr>
        <w:t>Nature</w:t>
      </w:r>
      <w:r>
        <w:t xml:space="preserve"> </w:t>
      </w:r>
      <w:r>
        <w:rPr>
          <w:b/>
          <w:bCs/>
        </w:rPr>
        <w:t>564</w:t>
      </w:r>
      <w:r>
        <w:t>, 400–404 (2018).</w:t>
      </w:r>
    </w:p>
    <w:p w14:paraId="58BE2C2B" w14:textId="77777777" w:rsidR="00755410" w:rsidRDefault="00755410" w:rsidP="00755410">
      <w:pPr>
        <w:pStyle w:val="Bibliography"/>
      </w:pPr>
      <w:r>
        <w:t>24.</w:t>
      </w:r>
      <w:r>
        <w:tab/>
        <w:t xml:space="preserve">Johnson, C. S. </w:t>
      </w:r>
      <w:r>
        <w:rPr>
          <w:i/>
          <w:iCs/>
        </w:rPr>
        <w:t>et al.</w:t>
      </w:r>
      <w:r>
        <w:t xml:space="preserve"> The role of sediment compaction and groundwater withdrawal in local sea-level rise, Sandy Hook, New Jersey, USA. </w:t>
      </w:r>
      <w:r>
        <w:rPr>
          <w:i/>
          <w:iCs/>
        </w:rPr>
        <w:t>Quat. Sci. Rev.</w:t>
      </w:r>
      <w:r>
        <w:t xml:space="preserve"> </w:t>
      </w:r>
      <w:r>
        <w:rPr>
          <w:b/>
          <w:bCs/>
        </w:rPr>
        <w:t>181</w:t>
      </w:r>
      <w:r>
        <w:t>, 30–42 (2018).</w:t>
      </w:r>
    </w:p>
    <w:p w14:paraId="12B1618A" w14:textId="77777777" w:rsidR="00755410" w:rsidRDefault="00755410" w:rsidP="00755410">
      <w:pPr>
        <w:pStyle w:val="Bibliography"/>
      </w:pPr>
      <w:r>
        <w:t>25.</w:t>
      </w:r>
      <w:r>
        <w:tab/>
        <w:t xml:space="preserve">Gehrels, W. R. </w:t>
      </w:r>
      <w:r>
        <w:rPr>
          <w:i/>
          <w:iCs/>
        </w:rPr>
        <w:t>et al.</w:t>
      </w:r>
      <w:r>
        <w:t xml:space="preserve"> A Preindustrial Sea-Level Rise Hotspot Along the Atlantic Coast of North America. </w:t>
      </w:r>
      <w:r>
        <w:rPr>
          <w:i/>
          <w:iCs/>
        </w:rPr>
        <w:t>Geophys. Res. Lett.</w:t>
      </w:r>
      <w:r>
        <w:t xml:space="preserve"> </w:t>
      </w:r>
      <w:r>
        <w:rPr>
          <w:b/>
          <w:bCs/>
        </w:rPr>
        <w:t>47</w:t>
      </w:r>
      <w:r>
        <w:t>, e2019GL085814 (2020).</w:t>
      </w:r>
    </w:p>
    <w:p w14:paraId="39F79E89" w14:textId="77777777" w:rsidR="00755410" w:rsidRDefault="00755410" w:rsidP="00755410">
      <w:pPr>
        <w:pStyle w:val="Bibliography"/>
      </w:pPr>
      <w:r>
        <w:t>26.</w:t>
      </w:r>
      <w:r>
        <w:tab/>
        <w:t xml:space="preserve">Roemmich, D. &amp; Gilson, J. The 2004–2008 mean and annual cycle of temperature, salinity, and steric height in the global ocean from the Argo Program. </w:t>
      </w:r>
      <w:r>
        <w:rPr>
          <w:i/>
          <w:iCs/>
        </w:rPr>
        <w:t>Prog. Oceanogr.</w:t>
      </w:r>
      <w:r>
        <w:t xml:space="preserve"> </w:t>
      </w:r>
      <w:r>
        <w:rPr>
          <w:b/>
          <w:bCs/>
        </w:rPr>
        <w:t>82</w:t>
      </w:r>
      <w:r>
        <w:t>, 81–100 (2009).</w:t>
      </w:r>
    </w:p>
    <w:p w14:paraId="6B89B879" w14:textId="77777777" w:rsidR="00755410" w:rsidRDefault="00755410" w:rsidP="00755410">
      <w:pPr>
        <w:pStyle w:val="Bibliography"/>
      </w:pPr>
      <w:r>
        <w:lastRenderedPageBreak/>
        <w:t>27.</w:t>
      </w:r>
      <w:r>
        <w:tab/>
        <w:t xml:space="preserve">Marsicek, J., Shuman, B. N., Bartlein, P. J., Shafer, S. L. &amp; Brewer, S. Reconciling divergent trends and millennial variations in Holocene temperatures. </w:t>
      </w:r>
      <w:r>
        <w:rPr>
          <w:i/>
          <w:iCs/>
        </w:rPr>
        <w:t>Nature</w:t>
      </w:r>
      <w:r>
        <w:t xml:space="preserve"> </w:t>
      </w:r>
      <w:r>
        <w:rPr>
          <w:b/>
          <w:bCs/>
        </w:rPr>
        <w:t>554</w:t>
      </w:r>
      <w:r>
        <w:t>, 92–96 (2018).</w:t>
      </w:r>
    </w:p>
    <w:p w14:paraId="1D76D778" w14:textId="77777777" w:rsidR="00755410" w:rsidRDefault="00755410" w:rsidP="00755410">
      <w:pPr>
        <w:pStyle w:val="Bibliography"/>
      </w:pPr>
      <w:r>
        <w:t>28.</w:t>
      </w:r>
      <w:r>
        <w:tab/>
        <w:t xml:space="preserve">Ezer, T. Can the Gulf Stream induce coherent short-term fluctuations in sea level along the US East Coast? A modeling study. </w:t>
      </w:r>
      <w:r>
        <w:rPr>
          <w:i/>
          <w:iCs/>
        </w:rPr>
        <w:t>Ocean Dyn.</w:t>
      </w:r>
      <w:r>
        <w:t xml:space="preserve"> </w:t>
      </w:r>
      <w:r>
        <w:rPr>
          <w:b/>
          <w:bCs/>
        </w:rPr>
        <w:t>66</w:t>
      </w:r>
      <w:r>
        <w:t>, 207–220 (2016).</w:t>
      </w:r>
    </w:p>
    <w:p w14:paraId="7334E471" w14:textId="77777777" w:rsidR="00755410" w:rsidRDefault="00755410" w:rsidP="00755410">
      <w:pPr>
        <w:pStyle w:val="Bibliography"/>
      </w:pPr>
      <w:r>
        <w:t>29.</w:t>
      </w:r>
      <w:r>
        <w:tab/>
        <w:t xml:space="preserve">Woodworth, P. L. </w:t>
      </w:r>
      <w:r>
        <w:rPr>
          <w:i/>
          <w:iCs/>
        </w:rPr>
        <w:t>et al.</w:t>
      </w:r>
      <w:r>
        <w:t xml:space="preserve"> Variations in the difference between mean sea level measured either side of Cape Hatteras and their relation to the North Atlantic Oscillation. </w:t>
      </w:r>
      <w:r>
        <w:rPr>
          <w:i/>
          <w:iCs/>
        </w:rPr>
        <w:t>Clim. Dyn.</w:t>
      </w:r>
      <w:r>
        <w:t xml:space="preserve"> </w:t>
      </w:r>
      <w:r>
        <w:rPr>
          <w:b/>
          <w:bCs/>
        </w:rPr>
        <w:t>49</w:t>
      </w:r>
      <w:r>
        <w:t>, 2451–2469 (2017).</w:t>
      </w:r>
    </w:p>
    <w:p w14:paraId="4F2CB8B0" w14:textId="77777777" w:rsidR="00755410" w:rsidRDefault="00755410" w:rsidP="00755410">
      <w:pPr>
        <w:pStyle w:val="Bibliography"/>
      </w:pPr>
      <w:r>
        <w:t>30.</w:t>
      </w:r>
      <w:r>
        <w:tab/>
        <w:t xml:space="preserve">Baker, A., C. Hellstrom, J., Kelly, B. F. J., Mariethoz, G. &amp; Trouet, V. A composite annual-resolution stalagmite record of North Atlantic climate over the last three millennia. </w:t>
      </w:r>
      <w:r>
        <w:rPr>
          <w:i/>
          <w:iCs/>
        </w:rPr>
        <w:t>Sci. Rep.</w:t>
      </w:r>
      <w:r>
        <w:t xml:space="preserve"> </w:t>
      </w:r>
      <w:r>
        <w:rPr>
          <w:b/>
          <w:bCs/>
        </w:rPr>
        <w:t>5</w:t>
      </w:r>
      <w:r>
        <w:t>, 10307 (2015).</w:t>
      </w:r>
    </w:p>
    <w:p w14:paraId="01B618AD" w14:textId="77777777" w:rsidR="00755410" w:rsidRDefault="00755410" w:rsidP="00755410">
      <w:pPr>
        <w:pStyle w:val="Bibliography"/>
      </w:pPr>
      <w:r>
        <w:t>31.</w:t>
      </w:r>
      <w:r>
        <w:tab/>
        <w:t xml:space="preserve">Woodworth, P. L., Maqueda, M. Á. M., Roussenov, V. M., Williams, R. G. &amp; Hughes, C. W. Mean sea-level variability along the northeast American Atlantic coast and the roles of the wind and the overturning circulation. </w:t>
      </w:r>
      <w:r>
        <w:rPr>
          <w:i/>
          <w:iCs/>
        </w:rPr>
        <w:t>J. Geophys. Res. Oceans</w:t>
      </w:r>
      <w:r>
        <w:t xml:space="preserve"> </w:t>
      </w:r>
      <w:r>
        <w:rPr>
          <w:b/>
          <w:bCs/>
        </w:rPr>
        <w:t>119</w:t>
      </w:r>
      <w:r>
        <w:t>, 8916–8935 (2014).</w:t>
      </w:r>
    </w:p>
    <w:p w14:paraId="41DD4511" w14:textId="77777777" w:rsidR="00755410" w:rsidRDefault="00755410" w:rsidP="00755410">
      <w:pPr>
        <w:pStyle w:val="Bibliography"/>
      </w:pPr>
      <w:r>
        <w:t>32.</w:t>
      </w:r>
      <w:r>
        <w:tab/>
        <w:t xml:space="preserve">Thornalley, D. J. R. </w:t>
      </w:r>
      <w:r>
        <w:rPr>
          <w:i/>
          <w:iCs/>
        </w:rPr>
        <w:t>et al.</w:t>
      </w:r>
      <w:r>
        <w:t xml:space="preserve"> Anomalously weak Labrador Sea convection and Atlantic overturning during the past 150 years. </w:t>
      </w:r>
      <w:r>
        <w:rPr>
          <w:i/>
          <w:iCs/>
        </w:rPr>
        <w:t>Nature</w:t>
      </w:r>
      <w:r>
        <w:t xml:space="preserve"> </w:t>
      </w:r>
      <w:r>
        <w:rPr>
          <w:b/>
          <w:bCs/>
        </w:rPr>
        <w:t>556</w:t>
      </w:r>
      <w:r>
        <w:t>, 227–230 (2018).</w:t>
      </w:r>
    </w:p>
    <w:p w14:paraId="60AF7B10" w14:textId="77777777" w:rsidR="00755410" w:rsidRDefault="00755410" w:rsidP="00755410">
      <w:pPr>
        <w:pStyle w:val="Bibliography"/>
      </w:pPr>
      <w:r>
        <w:t>33.</w:t>
      </w:r>
      <w:r>
        <w:tab/>
        <w:t xml:space="preserve">Noble, T. L. </w:t>
      </w:r>
      <w:r>
        <w:rPr>
          <w:i/>
          <w:iCs/>
        </w:rPr>
        <w:t>et al.</w:t>
      </w:r>
      <w:r>
        <w:t xml:space="preserve"> The Sensitivity of the Antarctic Ice Sheet to a Changing Climate: Past, Present, and Future. </w:t>
      </w:r>
      <w:r>
        <w:rPr>
          <w:i/>
          <w:iCs/>
        </w:rPr>
        <w:t>Rev. Geophys.</w:t>
      </w:r>
      <w:r>
        <w:t xml:space="preserve"> </w:t>
      </w:r>
      <w:r>
        <w:rPr>
          <w:b/>
          <w:bCs/>
        </w:rPr>
        <w:t>58</w:t>
      </w:r>
      <w:r>
        <w:t>, e2019RG000663 (2020).</w:t>
      </w:r>
    </w:p>
    <w:p w14:paraId="4710F625" w14:textId="77777777" w:rsidR="00755410" w:rsidRDefault="00755410" w:rsidP="00755410">
      <w:pPr>
        <w:pStyle w:val="Bibliography"/>
      </w:pPr>
      <w:r>
        <w:t>34.</w:t>
      </w:r>
      <w:r>
        <w:tab/>
        <w:t xml:space="preserve">Vasskog, K., Langebroek, P. M., Andrews, J. T., Nilsen, J. E. Ø. &amp; Nesje, A. The Greenland Ice Sheet during the last glacial cycle: Current ice loss and contribution to sea-level rise from a palaeoclimatic perspective. </w:t>
      </w:r>
      <w:r>
        <w:rPr>
          <w:i/>
          <w:iCs/>
        </w:rPr>
        <w:t>Earth-Sci. Rev.</w:t>
      </w:r>
      <w:r>
        <w:t xml:space="preserve"> </w:t>
      </w:r>
      <w:r>
        <w:rPr>
          <w:b/>
          <w:bCs/>
        </w:rPr>
        <w:t>150</w:t>
      </w:r>
      <w:r>
        <w:t>, 45–67 (2015).</w:t>
      </w:r>
    </w:p>
    <w:p w14:paraId="70BFC168" w14:textId="77777777" w:rsidR="00755410" w:rsidRDefault="00755410" w:rsidP="00755410">
      <w:pPr>
        <w:pStyle w:val="Bibliography"/>
      </w:pPr>
      <w:r>
        <w:t>35.</w:t>
      </w:r>
      <w:r>
        <w:tab/>
        <w:t xml:space="preserve">Carrivick, J. L. </w:t>
      </w:r>
      <w:r>
        <w:rPr>
          <w:i/>
          <w:iCs/>
        </w:rPr>
        <w:t>et al.</w:t>
      </w:r>
      <w:r>
        <w:t xml:space="preserve"> Accelerated Volume Loss in Glacier Ablation Zones of NE Greenland, Little Ice Age to Present. </w:t>
      </w:r>
      <w:r>
        <w:rPr>
          <w:i/>
          <w:iCs/>
        </w:rPr>
        <w:t>Geophys. Res. Lett.</w:t>
      </w:r>
      <w:r>
        <w:t xml:space="preserve"> </w:t>
      </w:r>
      <w:r>
        <w:rPr>
          <w:b/>
          <w:bCs/>
        </w:rPr>
        <w:t>46</w:t>
      </w:r>
      <w:r>
        <w:t>, 1476–1484 (2019).</w:t>
      </w:r>
    </w:p>
    <w:p w14:paraId="076B9611" w14:textId="77777777" w:rsidR="00755410" w:rsidRDefault="00755410" w:rsidP="00755410">
      <w:pPr>
        <w:pStyle w:val="Bibliography"/>
      </w:pPr>
      <w:r>
        <w:lastRenderedPageBreak/>
        <w:t>36.</w:t>
      </w:r>
      <w:r>
        <w:tab/>
        <w:t xml:space="preserve">Briner, J. P. </w:t>
      </w:r>
      <w:r>
        <w:rPr>
          <w:i/>
          <w:iCs/>
        </w:rPr>
        <w:t>et al.</w:t>
      </w:r>
      <w:r>
        <w:t xml:space="preserve"> Rate of mass loss from the Greenland Ice Sheet will exceed Holocene values this century. </w:t>
      </w:r>
      <w:r>
        <w:rPr>
          <w:i/>
          <w:iCs/>
        </w:rPr>
        <w:t>Nature</w:t>
      </w:r>
      <w:r>
        <w:t xml:space="preserve"> </w:t>
      </w:r>
      <w:r>
        <w:rPr>
          <w:b/>
          <w:bCs/>
        </w:rPr>
        <w:t>586</w:t>
      </w:r>
      <w:r>
        <w:t>, 70–74 (2020).</w:t>
      </w:r>
    </w:p>
    <w:p w14:paraId="4568B137" w14:textId="77777777" w:rsidR="00755410" w:rsidRDefault="00755410" w:rsidP="00755410">
      <w:pPr>
        <w:pStyle w:val="Bibliography"/>
      </w:pPr>
      <w:r>
        <w:t>37.</w:t>
      </w:r>
      <w:r>
        <w:tab/>
        <w:t xml:space="preserve">Brain, M. J. </w:t>
      </w:r>
      <w:r>
        <w:rPr>
          <w:i/>
          <w:iCs/>
        </w:rPr>
        <w:t>et al.</w:t>
      </w:r>
      <w:r>
        <w:t xml:space="preserve"> Exploring mechanisms of compaction in salt-marsh sediments using Common Era relative sea-level reconstructions. </w:t>
      </w:r>
      <w:r>
        <w:rPr>
          <w:i/>
          <w:iCs/>
        </w:rPr>
        <w:t>Quat. Sci. Rev.</w:t>
      </w:r>
      <w:r>
        <w:t xml:space="preserve"> </w:t>
      </w:r>
      <w:r>
        <w:rPr>
          <w:b/>
          <w:bCs/>
        </w:rPr>
        <w:t>167</w:t>
      </w:r>
      <w:r>
        <w:t>, 96–111 (2017).</w:t>
      </w:r>
    </w:p>
    <w:p w14:paraId="5C6356CE" w14:textId="77777777" w:rsidR="00755410" w:rsidRDefault="00755410" w:rsidP="00755410">
      <w:pPr>
        <w:pStyle w:val="Bibliography"/>
      </w:pPr>
      <w:r>
        <w:t>38.</w:t>
      </w:r>
      <w:r>
        <w:tab/>
        <w:t xml:space="preserve">Scott, D. S. &amp; Medioli, F. S. Vertical zonations of marsh foraminifera as accurate indicators of former sea-levels. </w:t>
      </w:r>
      <w:r>
        <w:rPr>
          <w:i/>
          <w:iCs/>
        </w:rPr>
        <w:t>Nature</w:t>
      </w:r>
      <w:r>
        <w:t xml:space="preserve"> </w:t>
      </w:r>
      <w:r>
        <w:rPr>
          <w:b/>
          <w:bCs/>
        </w:rPr>
        <w:t>272</w:t>
      </w:r>
      <w:r>
        <w:t>, 528 (1978).</w:t>
      </w:r>
    </w:p>
    <w:p w14:paraId="6A061625" w14:textId="77777777" w:rsidR="00755410" w:rsidRDefault="00755410" w:rsidP="00755410">
      <w:pPr>
        <w:pStyle w:val="Bibliography"/>
      </w:pPr>
      <w:r>
        <w:t>39.</w:t>
      </w:r>
      <w:r>
        <w:tab/>
        <w:t xml:space="preserve">Horton, B. P. &amp; Edwards, R. J. Quantifying Holocene sea level change using intertidal foraminifera: Lessons from the British Isles. </w:t>
      </w:r>
      <w:r>
        <w:rPr>
          <w:i/>
          <w:iCs/>
        </w:rPr>
        <w:t>Cushman Found. Foraminifer. Res. Spec. Publ.</w:t>
      </w:r>
      <w:r>
        <w:t xml:space="preserve"> </w:t>
      </w:r>
      <w:r>
        <w:rPr>
          <w:b/>
          <w:bCs/>
        </w:rPr>
        <w:t>40</w:t>
      </w:r>
      <w:r>
        <w:t>, 100 (2006).</w:t>
      </w:r>
    </w:p>
    <w:p w14:paraId="068C6635" w14:textId="77777777" w:rsidR="00755410" w:rsidRDefault="00755410" w:rsidP="00755410">
      <w:pPr>
        <w:pStyle w:val="Bibliography"/>
      </w:pPr>
      <w:r>
        <w:t>40.</w:t>
      </w:r>
      <w:r>
        <w:tab/>
        <w:t xml:space="preserve">Horton, B. P. </w:t>
      </w:r>
      <w:r>
        <w:rPr>
          <w:i/>
          <w:iCs/>
        </w:rPr>
        <w:t>et al.</w:t>
      </w:r>
      <w:r>
        <w:t xml:space="preserve"> Influence of tidal-range change and sediment compaction on Holocene relative sea-level change in New Jersey, USA: Influence of Tidal-Range Change and Sediment Compaction. </w:t>
      </w:r>
      <w:r>
        <w:rPr>
          <w:i/>
          <w:iCs/>
        </w:rPr>
        <w:t>J. Quat. Sci.</w:t>
      </w:r>
      <w:r>
        <w:t xml:space="preserve"> </w:t>
      </w:r>
      <w:r>
        <w:rPr>
          <w:b/>
          <w:bCs/>
        </w:rPr>
        <w:t>28</w:t>
      </w:r>
      <w:r>
        <w:t>, 403–411 (2013).</w:t>
      </w:r>
    </w:p>
    <w:p w14:paraId="5339ADC9" w14:textId="77777777" w:rsidR="00755410" w:rsidRDefault="00755410" w:rsidP="00755410">
      <w:pPr>
        <w:pStyle w:val="Bibliography"/>
      </w:pPr>
      <w:r>
        <w:t>41.</w:t>
      </w:r>
      <w:r>
        <w:tab/>
        <w:t xml:space="preserve">Hill, D. F., Griffiths, S. D., Peltier, W. R., Horton, B. P. &amp; Törnqvist, T. E. High-resolution numerical modeling of tides in the western Atlantic, Gulf of Mexico, and Caribbean Sea during the Holocene. </w:t>
      </w:r>
      <w:r>
        <w:rPr>
          <w:i/>
          <w:iCs/>
        </w:rPr>
        <w:t>J. Geophys. Res.</w:t>
      </w:r>
      <w:r>
        <w:t xml:space="preserve"> </w:t>
      </w:r>
      <w:r>
        <w:rPr>
          <w:b/>
          <w:bCs/>
        </w:rPr>
        <w:t>116</w:t>
      </w:r>
      <w:r>
        <w:t>, (2011).</w:t>
      </w:r>
    </w:p>
    <w:p w14:paraId="66CCCA24" w14:textId="77777777" w:rsidR="00755410" w:rsidRDefault="00755410" w:rsidP="00755410">
      <w:pPr>
        <w:pStyle w:val="Bibliography"/>
      </w:pPr>
      <w:r>
        <w:t>42.</w:t>
      </w:r>
      <w:r>
        <w:tab/>
        <w:t xml:space="preserve">Hall, G. F., Hill, D. F., Horton, B. P., Engelhart, S. E. &amp; Peltier, W. R. A high-resolution study of tides in the Delaware Bay: Past conditions and future scenarios. </w:t>
      </w:r>
      <w:r>
        <w:rPr>
          <w:i/>
          <w:iCs/>
        </w:rPr>
        <w:t>Geophys. Res. Lett.</w:t>
      </w:r>
      <w:r>
        <w:t xml:space="preserve"> </w:t>
      </w:r>
      <w:r>
        <w:rPr>
          <w:b/>
          <w:bCs/>
        </w:rPr>
        <w:t>40</w:t>
      </w:r>
      <w:r>
        <w:t>, 338–342 (2013).</w:t>
      </w:r>
    </w:p>
    <w:p w14:paraId="5973A3EA" w14:textId="77777777" w:rsidR="00755410" w:rsidRDefault="00755410" w:rsidP="00755410">
      <w:pPr>
        <w:pStyle w:val="Bibliography"/>
      </w:pPr>
      <w:r>
        <w:t>43.</w:t>
      </w:r>
      <w:r>
        <w:tab/>
        <w:t xml:space="preserve">Mawdsley, R. J., Haigh, I. D. &amp; Wells, N. C. Global secular changes in different tidal high water, low water and range levels. </w:t>
      </w:r>
      <w:r>
        <w:rPr>
          <w:i/>
          <w:iCs/>
        </w:rPr>
        <w:t>Earths Future</w:t>
      </w:r>
      <w:r>
        <w:t xml:space="preserve"> </w:t>
      </w:r>
      <w:r>
        <w:rPr>
          <w:b/>
          <w:bCs/>
        </w:rPr>
        <w:t>3</w:t>
      </w:r>
      <w:r>
        <w:t>, 66–81 (2015).</w:t>
      </w:r>
    </w:p>
    <w:p w14:paraId="446423DF" w14:textId="77777777" w:rsidR="00755410" w:rsidRDefault="00755410" w:rsidP="00755410">
      <w:pPr>
        <w:pStyle w:val="Bibliography"/>
      </w:pPr>
      <w:r>
        <w:t>44.</w:t>
      </w:r>
      <w:r>
        <w:tab/>
        <w:t xml:space="preserve">Barlow, N. L. M. </w:t>
      </w:r>
      <w:r>
        <w:rPr>
          <w:i/>
          <w:iCs/>
        </w:rPr>
        <w:t>et al.</w:t>
      </w:r>
      <w:r>
        <w:t xml:space="preserve"> Salt marshes as late Holocene tide gauges. </w:t>
      </w:r>
      <w:r>
        <w:rPr>
          <w:i/>
          <w:iCs/>
        </w:rPr>
        <w:t>Glob. Planet. Change</w:t>
      </w:r>
      <w:r>
        <w:t xml:space="preserve"> </w:t>
      </w:r>
      <w:r>
        <w:rPr>
          <w:b/>
          <w:bCs/>
        </w:rPr>
        <w:t>106</w:t>
      </w:r>
      <w:r>
        <w:t>, 90–110 (2013).</w:t>
      </w:r>
    </w:p>
    <w:p w14:paraId="50C0F003" w14:textId="77777777" w:rsidR="00755410" w:rsidRDefault="00755410" w:rsidP="00755410">
      <w:pPr>
        <w:pStyle w:val="Bibliography"/>
      </w:pPr>
      <w:r>
        <w:lastRenderedPageBreak/>
        <w:t>45.</w:t>
      </w:r>
      <w:r>
        <w:tab/>
        <w:t xml:space="preserve">Kemp, A. C. </w:t>
      </w:r>
      <w:r>
        <w:rPr>
          <w:i/>
          <w:iCs/>
        </w:rPr>
        <w:t>et al.</w:t>
      </w:r>
      <w:r>
        <w:t xml:space="preserve"> Extended late Holocene relative sea-level histories for North Carolina, USA. </w:t>
      </w:r>
      <w:r>
        <w:rPr>
          <w:i/>
          <w:iCs/>
        </w:rPr>
        <w:t>Quat. Sci. Rev.</w:t>
      </w:r>
      <w:r>
        <w:t xml:space="preserve"> </w:t>
      </w:r>
      <w:r>
        <w:rPr>
          <w:b/>
          <w:bCs/>
        </w:rPr>
        <w:t>160</w:t>
      </w:r>
      <w:r>
        <w:t>, 13–30 (2017a).</w:t>
      </w:r>
    </w:p>
    <w:p w14:paraId="14C4804E" w14:textId="77777777" w:rsidR="00755410" w:rsidRDefault="00755410" w:rsidP="00755410">
      <w:pPr>
        <w:pStyle w:val="Bibliography"/>
      </w:pPr>
      <w:r>
        <w:t>46.</w:t>
      </w:r>
      <w:r>
        <w:tab/>
        <w:t xml:space="preserve">Grand Pre, C. </w:t>
      </w:r>
      <w:r>
        <w:rPr>
          <w:i/>
          <w:iCs/>
        </w:rPr>
        <w:t>et al.</w:t>
      </w:r>
      <w:r>
        <w:t xml:space="preserve"> Rapid Holocene coastal change revealed by high-resolution micropaleontological analysis, Pamlico Sound, North Carolina, USA. </w:t>
      </w:r>
      <w:r>
        <w:rPr>
          <w:i/>
          <w:iCs/>
        </w:rPr>
        <w:t>Quat. Res.</w:t>
      </w:r>
      <w:r>
        <w:t xml:space="preserve"> </w:t>
      </w:r>
      <w:r>
        <w:rPr>
          <w:b/>
          <w:bCs/>
        </w:rPr>
        <w:t>76</w:t>
      </w:r>
      <w:r>
        <w:t>, 319–334 (2011).</w:t>
      </w:r>
    </w:p>
    <w:p w14:paraId="517AE250" w14:textId="77777777" w:rsidR="00755410" w:rsidRDefault="00755410" w:rsidP="00755410">
      <w:pPr>
        <w:pStyle w:val="Bibliography"/>
      </w:pPr>
      <w:r>
        <w:t>47.</w:t>
      </w:r>
      <w:r>
        <w:tab/>
        <w:t xml:space="preserve">Cahill, N., Kemp, A. C., Horton, B. P. &amp; Parnell, A. C. A Bayesian hierarchical model for reconstructing relative sea level: from raw data to rates of change. </w:t>
      </w:r>
      <w:r>
        <w:rPr>
          <w:i/>
          <w:iCs/>
        </w:rPr>
        <w:t>Clim. Past</w:t>
      </w:r>
      <w:r>
        <w:t xml:space="preserve"> </w:t>
      </w:r>
      <w:r>
        <w:rPr>
          <w:b/>
          <w:bCs/>
        </w:rPr>
        <w:t>12</w:t>
      </w:r>
      <w:r>
        <w:t>, 525–542 (2016).</w:t>
      </w:r>
    </w:p>
    <w:p w14:paraId="7248F6D1" w14:textId="77777777" w:rsidR="00755410" w:rsidRDefault="00755410" w:rsidP="00755410">
      <w:pPr>
        <w:pStyle w:val="Bibliography"/>
      </w:pPr>
      <w:r>
        <w:t>48.</w:t>
      </w:r>
      <w:r>
        <w:tab/>
        <w:t xml:space="preserve">Kemp, A. C., Vane, C. H., Horton, B. P., Engelhart, S. E. &amp; Nikitina, D. Application of stable carbon isotopes for reconstructing salt-marsh floral zones and relative sea level, New Jersey, USA. </w:t>
      </w:r>
      <w:r>
        <w:rPr>
          <w:i/>
          <w:iCs/>
        </w:rPr>
        <w:t>J. Quat. Sci.</w:t>
      </w:r>
      <w:r>
        <w:t xml:space="preserve"> </w:t>
      </w:r>
      <w:r>
        <w:rPr>
          <w:b/>
          <w:bCs/>
        </w:rPr>
        <w:t>27</w:t>
      </w:r>
      <w:r>
        <w:t>, 404–414 (2012).</w:t>
      </w:r>
    </w:p>
    <w:p w14:paraId="7431B55F" w14:textId="77777777" w:rsidR="00755410" w:rsidRDefault="00755410" w:rsidP="00755410">
      <w:pPr>
        <w:pStyle w:val="Bibliography"/>
      </w:pPr>
      <w:r>
        <w:t>49.</w:t>
      </w:r>
      <w:r>
        <w:tab/>
        <w:t xml:space="preserve">Balslev-Clausen, D., Dahl, T. W., Saad, N. &amp; Rosing, M. T. Precise and accurate δ13C analysis of rock samples using Flash Combustion–Cavity Ring Down Laser Spectroscopy. </w:t>
      </w:r>
      <w:r>
        <w:rPr>
          <w:i/>
          <w:iCs/>
        </w:rPr>
        <w:t>J. Anal. At. Spectrom.</w:t>
      </w:r>
      <w:r>
        <w:t xml:space="preserve"> </w:t>
      </w:r>
      <w:r>
        <w:rPr>
          <w:b/>
          <w:bCs/>
        </w:rPr>
        <w:t>28</w:t>
      </w:r>
      <w:r>
        <w:t>, 516 (2013).</w:t>
      </w:r>
    </w:p>
    <w:p w14:paraId="3207EAAF" w14:textId="77777777" w:rsidR="00755410" w:rsidRDefault="00755410" w:rsidP="00755410">
      <w:pPr>
        <w:pStyle w:val="Bibliography"/>
      </w:pPr>
      <w:r>
        <w:t>50.</w:t>
      </w:r>
      <w:r>
        <w:tab/>
        <w:t xml:space="preserve">Walker, J. S. </w:t>
      </w:r>
      <w:r>
        <w:rPr>
          <w:i/>
          <w:iCs/>
        </w:rPr>
        <w:t>et al.</w:t>
      </w:r>
      <w:r>
        <w:t xml:space="preserve"> Incorporating temporal and spatial variability of salt-marsh foraminifera into sea-level reconstructions. </w:t>
      </w:r>
      <w:r>
        <w:rPr>
          <w:i/>
          <w:iCs/>
        </w:rPr>
        <w:t>Mar. Geol.</w:t>
      </w:r>
      <w:r>
        <w:t xml:space="preserve"> </w:t>
      </w:r>
      <w:r>
        <w:rPr>
          <w:b/>
          <w:bCs/>
        </w:rPr>
        <w:t>429</w:t>
      </w:r>
      <w:r>
        <w:t>, 106293 (2020).</w:t>
      </w:r>
    </w:p>
    <w:p w14:paraId="74C30813" w14:textId="77777777" w:rsidR="00755410" w:rsidRDefault="00755410" w:rsidP="00755410">
      <w:pPr>
        <w:pStyle w:val="Bibliography"/>
      </w:pPr>
      <w:r>
        <w:t>51.</w:t>
      </w:r>
      <w:r>
        <w:tab/>
        <w:t xml:space="preserve">Brain, M. J. </w:t>
      </w:r>
      <w:r>
        <w:rPr>
          <w:i/>
          <w:iCs/>
        </w:rPr>
        <w:t>et al.</w:t>
      </w:r>
      <w:r>
        <w:t xml:space="preserve"> Modelling the effects of sediment compaction on salt marsh reconstructions of recent sea-level rise. </w:t>
      </w:r>
      <w:r>
        <w:rPr>
          <w:i/>
          <w:iCs/>
        </w:rPr>
        <w:t>Earth Planet. Sci. Lett.</w:t>
      </w:r>
      <w:r>
        <w:t xml:space="preserve"> </w:t>
      </w:r>
      <w:r>
        <w:rPr>
          <w:b/>
          <w:bCs/>
        </w:rPr>
        <w:t>345–348</w:t>
      </w:r>
      <w:r>
        <w:t>, 180–193 (2012).</w:t>
      </w:r>
    </w:p>
    <w:p w14:paraId="7919AC32" w14:textId="77777777" w:rsidR="00755410" w:rsidRDefault="00755410" w:rsidP="00755410">
      <w:pPr>
        <w:pStyle w:val="Bibliography"/>
      </w:pPr>
      <w:r>
        <w:t>52.</w:t>
      </w:r>
      <w:r>
        <w:tab/>
        <w:t xml:space="preserve">Brain, M. J. </w:t>
      </w:r>
      <w:r>
        <w:rPr>
          <w:i/>
          <w:iCs/>
        </w:rPr>
        <w:t>et al.</w:t>
      </w:r>
      <w:r>
        <w:t xml:space="preserve"> Quantifying the contribution of sediment compaction to late Holocene salt-marsh sea-level reconstructions, North Carolina, USA. </w:t>
      </w:r>
      <w:r>
        <w:rPr>
          <w:i/>
          <w:iCs/>
        </w:rPr>
        <w:t>Quat. Res.</w:t>
      </w:r>
      <w:r>
        <w:t xml:space="preserve"> </w:t>
      </w:r>
      <w:r>
        <w:rPr>
          <w:b/>
          <w:bCs/>
        </w:rPr>
        <w:t>83</w:t>
      </w:r>
      <w:r>
        <w:t>, 41–51 (2015).</w:t>
      </w:r>
    </w:p>
    <w:p w14:paraId="68EFFE8F" w14:textId="77777777" w:rsidR="00755410" w:rsidRDefault="00755410" w:rsidP="00755410">
      <w:pPr>
        <w:pStyle w:val="Bibliography"/>
      </w:pPr>
      <w:r>
        <w:t>53.</w:t>
      </w:r>
      <w:r>
        <w:tab/>
        <w:t xml:space="preserve">Stuiver, M. &amp; Pearson, G. W. High-precision bidecadal calibration of the radiocarbon time scale, AD 1950–500 BC and 2500–6000 BC. </w:t>
      </w:r>
      <w:r>
        <w:rPr>
          <w:i/>
          <w:iCs/>
        </w:rPr>
        <w:t>Radiocarbon</w:t>
      </w:r>
      <w:r>
        <w:t xml:space="preserve"> </w:t>
      </w:r>
      <w:r>
        <w:rPr>
          <w:b/>
          <w:bCs/>
        </w:rPr>
        <w:t>35</w:t>
      </w:r>
      <w:r>
        <w:t>, 1–23 (1993).</w:t>
      </w:r>
    </w:p>
    <w:p w14:paraId="5A05B2A7" w14:textId="77777777" w:rsidR="00755410" w:rsidRDefault="00755410" w:rsidP="00755410">
      <w:pPr>
        <w:pStyle w:val="Bibliography"/>
      </w:pPr>
      <w:r>
        <w:lastRenderedPageBreak/>
        <w:t>54.</w:t>
      </w:r>
      <w:r>
        <w:tab/>
        <w:t xml:space="preserve">Haslett, J. &amp; Parnell, A. A simple monotone process with application to radiocarbon-dated depth chronologies. </w:t>
      </w:r>
      <w:r>
        <w:rPr>
          <w:i/>
          <w:iCs/>
        </w:rPr>
        <w:t>J. R. Stat. Soc. Ser. C Appl. Stat.</w:t>
      </w:r>
      <w:r>
        <w:t xml:space="preserve"> </w:t>
      </w:r>
      <w:r>
        <w:rPr>
          <w:b/>
          <w:bCs/>
        </w:rPr>
        <w:t>57</w:t>
      </w:r>
      <w:r>
        <w:t>, 399–418 (2008).</w:t>
      </w:r>
    </w:p>
    <w:p w14:paraId="27A3906E" w14:textId="77777777" w:rsidR="00755410" w:rsidRDefault="00755410" w:rsidP="00755410">
      <w:pPr>
        <w:pStyle w:val="Bibliography"/>
      </w:pPr>
      <w:r>
        <w:t>55.</w:t>
      </w:r>
      <w:r>
        <w:tab/>
        <w:t xml:space="preserve">Parnell, A. C., Haslett, J., Allen, J. R. M., Buck, C. E. &amp; Huntley, B. A flexible approach to assessing synchroneity of past events using Bayesian reconstructions of sedimentation history. </w:t>
      </w:r>
      <w:r>
        <w:rPr>
          <w:i/>
          <w:iCs/>
        </w:rPr>
        <w:t>Quat. Sci. Rev.</w:t>
      </w:r>
      <w:r>
        <w:t xml:space="preserve"> </w:t>
      </w:r>
      <w:r>
        <w:rPr>
          <w:b/>
          <w:bCs/>
        </w:rPr>
        <w:t>27</w:t>
      </w:r>
      <w:r>
        <w:t>, 1872–1885 (2008).</w:t>
      </w:r>
    </w:p>
    <w:p w14:paraId="48E884AE" w14:textId="77777777" w:rsidR="00755410" w:rsidRDefault="00755410" w:rsidP="00755410">
      <w:pPr>
        <w:pStyle w:val="Bibliography"/>
      </w:pPr>
      <w:r>
        <w:t>56.</w:t>
      </w:r>
      <w:r>
        <w:tab/>
        <w:t xml:space="preserve">Shaw, T. A. </w:t>
      </w:r>
      <w:r>
        <w:rPr>
          <w:i/>
          <w:iCs/>
        </w:rPr>
        <w:t>et al.</w:t>
      </w:r>
      <w:r>
        <w:t xml:space="preserve"> Tectonic influences on late Holocene relative sea levels from the central-eastern Adriatic coast of Croatia. </w:t>
      </w:r>
      <w:r>
        <w:rPr>
          <w:i/>
          <w:iCs/>
        </w:rPr>
        <w:t>Quat. Sci. Rev.</w:t>
      </w:r>
      <w:r>
        <w:t xml:space="preserve"> </w:t>
      </w:r>
      <w:r>
        <w:rPr>
          <w:b/>
          <w:bCs/>
        </w:rPr>
        <w:t>200</w:t>
      </w:r>
      <w:r>
        <w:t>, 262–275 (2018).</w:t>
      </w:r>
    </w:p>
    <w:p w14:paraId="1B36F44F" w14:textId="77777777" w:rsidR="00755410" w:rsidRDefault="00755410" w:rsidP="00755410">
      <w:pPr>
        <w:pStyle w:val="Bibliography"/>
      </w:pPr>
      <w:r>
        <w:t>57.</w:t>
      </w:r>
      <w:r>
        <w:tab/>
        <w:t xml:space="preserve">Hallmann, N. </w:t>
      </w:r>
      <w:r>
        <w:rPr>
          <w:i/>
          <w:iCs/>
        </w:rPr>
        <w:t>et al.</w:t>
      </w:r>
      <w:r>
        <w:t xml:space="preserve"> Ice volume and climate changes from a 6000 year sea-level record in French Polynesia. </w:t>
      </w:r>
      <w:r>
        <w:rPr>
          <w:i/>
          <w:iCs/>
        </w:rPr>
        <w:t>Nat. Commun.</w:t>
      </w:r>
      <w:r>
        <w:t xml:space="preserve"> </w:t>
      </w:r>
      <w:r>
        <w:rPr>
          <w:b/>
          <w:bCs/>
        </w:rPr>
        <w:t>9</w:t>
      </w:r>
      <w:r>
        <w:t>, 1–12 (2018).</w:t>
      </w:r>
    </w:p>
    <w:p w14:paraId="26474029" w14:textId="77777777" w:rsidR="00755410" w:rsidRDefault="00755410" w:rsidP="00755410">
      <w:pPr>
        <w:pStyle w:val="Bibliography"/>
      </w:pPr>
      <w:r>
        <w:t>58.</w:t>
      </w:r>
      <w:r>
        <w:tab/>
        <w:t xml:space="preserve">Dean, S. </w:t>
      </w:r>
      <w:r>
        <w:rPr>
          <w:i/>
          <w:iCs/>
        </w:rPr>
        <w:t>et al.</w:t>
      </w:r>
      <w:r>
        <w:t xml:space="preserve"> Can we detect centennial sea-level variations over the last three thousand years in Israeli archaeological records? </w:t>
      </w:r>
      <w:r>
        <w:rPr>
          <w:i/>
          <w:iCs/>
        </w:rPr>
        <w:t>Quat. Sci. Rev.</w:t>
      </w:r>
      <w:r>
        <w:t xml:space="preserve"> </w:t>
      </w:r>
      <w:r>
        <w:rPr>
          <w:b/>
          <w:bCs/>
        </w:rPr>
        <w:t>210</w:t>
      </w:r>
      <w:r>
        <w:t>, 125–135 (2019).</w:t>
      </w:r>
    </w:p>
    <w:p w14:paraId="167526FC" w14:textId="77777777" w:rsidR="00755410" w:rsidRDefault="00755410" w:rsidP="00755410">
      <w:pPr>
        <w:pStyle w:val="Bibliography"/>
      </w:pPr>
      <w:r>
        <w:t>59.</w:t>
      </w:r>
      <w:r>
        <w:tab/>
        <w:t xml:space="preserve">Barnett, R. L. </w:t>
      </w:r>
      <w:r>
        <w:rPr>
          <w:i/>
          <w:iCs/>
        </w:rPr>
        <w:t>et al.</w:t>
      </w:r>
      <w:r>
        <w:t xml:space="preserve"> Late Holocene sea-level changes in eastern Québec and potential drivers. </w:t>
      </w:r>
      <w:r>
        <w:rPr>
          <w:i/>
          <w:iCs/>
        </w:rPr>
        <w:t>Quat. Sci. Rev.</w:t>
      </w:r>
      <w:r>
        <w:t xml:space="preserve"> </w:t>
      </w:r>
      <w:r>
        <w:rPr>
          <w:b/>
          <w:bCs/>
        </w:rPr>
        <w:t>203</w:t>
      </w:r>
      <w:r>
        <w:t>, 151–169 (2019).</w:t>
      </w:r>
    </w:p>
    <w:p w14:paraId="27654CF8" w14:textId="77777777" w:rsidR="00755410" w:rsidRDefault="00755410" w:rsidP="00755410">
      <w:pPr>
        <w:pStyle w:val="Bibliography"/>
      </w:pPr>
      <w:r>
        <w:t>60.</w:t>
      </w:r>
      <w:r>
        <w:tab/>
        <w:t xml:space="preserve">Gehrels, W. R. </w:t>
      </w:r>
      <w:r>
        <w:rPr>
          <w:i/>
          <w:iCs/>
        </w:rPr>
        <w:t>et al.</w:t>
      </w:r>
      <w:r>
        <w:t xml:space="preserve"> A Preindustrial Sea-Level Rise Hotspot Along the Atlantic Coast of North America. </w:t>
      </w:r>
      <w:r>
        <w:rPr>
          <w:i/>
          <w:iCs/>
        </w:rPr>
        <w:t>Geophys. Res. Lett.</w:t>
      </w:r>
      <w:r>
        <w:t xml:space="preserve"> </w:t>
      </w:r>
      <w:r>
        <w:rPr>
          <w:b/>
          <w:bCs/>
        </w:rPr>
        <w:t>47</w:t>
      </w:r>
      <w:r>
        <w:t>, e2019GL085814 (2020).</w:t>
      </w:r>
    </w:p>
    <w:p w14:paraId="74467B24" w14:textId="77777777" w:rsidR="00755410" w:rsidRDefault="00755410" w:rsidP="00755410">
      <w:pPr>
        <w:pStyle w:val="Bibliography"/>
      </w:pPr>
      <w:r>
        <w:t>61.</w:t>
      </w:r>
      <w:r>
        <w:tab/>
        <w:t xml:space="preserve">Kemp, A. C. </w:t>
      </w:r>
      <w:r>
        <w:rPr>
          <w:i/>
          <w:iCs/>
        </w:rPr>
        <w:t>et al.</w:t>
      </w:r>
      <w:r>
        <w:t xml:space="preserve"> Relative sea-level change in Connecticut (USA) during the last 2200 yrs. </w:t>
      </w:r>
      <w:r>
        <w:rPr>
          <w:i/>
          <w:iCs/>
        </w:rPr>
        <w:t>Earth Planet. Sci. Lett.</w:t>
      </w:r>
      <w:r>
        <w:t xml:space="preserve"> </w:t>
      </w:r>
      <w:r>
        <w:rPr>
          <w:b/>
          <w:bCs/>
        </w:rPr>
        <w:t>428</w:t>
      </w:r>
      <w:r>
        <w:t>, 217–229 (2015).</w:t>
      </w:r>
    </w:p>
    <w:p w14:paraId="4EEF04FF" w14:textId="77777777" w:rsidR="00755410" w:rsidRDefault="00755410" w:rsidP="00755410">
      <w:pPr>
        <w:pStyle w:val="Bibliography"/>
      </w:pPr>
      <w:r>
        <w:t>62.</w:t>
      </w:r>
      <w:r>
        <w:tab/>
        <w:t xml:space="preserve">Holgate, S. J. </w:t>
      </w:r>
      <w:r>
        <w:rPr>
          <w:i/>
          <w:iCs/>
        </w:rPr>
        <w:t>et al.</w:t>
      </w:r>
      <w:r>
        <w:t xml:space="preserve"> New data systems and products at the Permanent Service for Mean Sea Level. </w:t>
      </w:r>
      <w:r>
        <w:rPr>
          <w:i/>
          <w:iCs/>
        </w:rPr>
        <w:t>J. Coast. Res.</w:t>
      </w:r>
      <w:r>
        <w:t xml:space="preserve"> 493–504 (2013) doi:10.2112/JCOASTRES-D-12-00175.1.</w:t>
      </w:r>
    </w:p>
    <w:p w14:paraId="429F7A49" w14:textId="77777777" w:rsidR="00755410" w:rsidRDefault="00755410" w:rsidP="00755410">
      <w:pPr>
        <w:pStyle w:val="Bibliography"/>
      </w:pPr>
      <w:r>
        <w:t>63.</w:t>
      </w:r>
      <w:r>
        <w:tab/>
        <w:t xml:space="preserve">van Veen, J. Bestaat er een geologische bodemdaling te amsterdam sedert 1700. </w:t>
      </w:r>
      <w:r>
        <w:rPr>
          <w:i/>
          <w:iCs/>
        </w:rPr>
        <w:t>Tijdschr K Ned Aardr Gen</w:t>
      </w:r>
      <w:r>
        <w:t xml:space="preserve"> </w:t>
      </w:r>
      <w:r>
        <w:rPr>
          <w:b/>
          <w:bCs/>
        </w:rPr>
        <w:t>62</w:t>
      </w:r>
      <w:r>
        <w:t>, 2–36 (1945).</w:t>
      </w:r>
    </w:p>
    <w:p w14:paraId="7B231F94" w14:textId="77777777" w:rsidR="00755410" w:rsidRDefault="00755410" w:rsidP="00755410">
      <w:pPr>
        <w:pStyle w:val="Bibliography"/>
      </w:pPr>
      <w:r>
        <w:t>64.</w:t>
      </w:r>
      <w:r>
        <w:tab/>
        <w:t xml:space="preserve">Bogdanov, V. &amp; Laitos, G. Mean monthly series of sea level observations (1777-1993) at the Kronstadt Gauge. </w:t>
      </w:r>
      <w:r>
        <w:rPr>
          <w:i/>
          <w:iCs/>
        </w:rPr>
        <w:t>Finn. Geod. Inst</w:t>
      </w:r>
      <w:r>
        <w:t xml:space="preserve"> (2000).</w:t>
      </w:r>
    </w:p>
    <w:p w14:paraId="0D7F6189" w14:textId="77777777" w:rsidR="00755410" w:rsidRDefault="00755410" w:rsidP="00755410">
      <w:pPr>
        <w:pStyle w:val="Bibliography"/>
      </w:pPr>
      <w:r>
        <w:lastRenderedPageBreak/>
        <w:t>65.</w:t>
      </w:r>
      <w:r>
        <w:tab/>
        <w:t xml:space="preserve">Ekman, M. The world’s longest continued series of sea level observations. </w:t>
      </w:r>
      <w:r>
        <w:rPr>
          <w:i/>
          <w:iCs/>
        </w:rPr>
        <w:t>Pure Appl. Geophys.</w:t>
      </w:r>
      <w:r>
        <w:t xml:space="preserve"> </w:t>
      </w:r>
      <w:r>
        <w:rPr>
          <w:b/>
          <w:bCs/>
        </w:rPr>
        <w:t>127</w:t>
      </w:r>
      <w:r>
        <w:t>, 73–77 (1988).</w:t>
      </w:r>
    </w:p>
    <w:p w14:paraId="6ACD867B" w14:textId="77777777" w:rsidR="00755410" w:rsidRDefault="00755410" w:rsidP="00755410">
      <w:pPr>
        <w:pStyle w:val="Bibliography"/>
      </w:pPr>
      <w:r>
        <w:t>66.</w:t>
      </w:r>
      <w:r>
        <w:tab/>
        <w:t xml:space="preserve">Peltier, W. R. Global glacial isostasy and the surface of the Ice-Age Earth: The ICE-5G (VM2) model and GRACE. </w:t>
      </w:r>
      <w:r>
        <w:rPr>
          <w:i/>
          <w:iCs/>
        </w:rPr>
        <w:t>Annu. Rev. Earth Planet. Sci.</w:t>
      </w:r>
      <w:r>
        <w:t xml:space="preserve"> </w:t>
      </w:r>
      <w:r>
        <w:rPr>
          <w:b/>
          <w:bCs/>
        </w:rPr>
        <w:t>32</w:t>
      </w:r>
      <w:r>
        <w:t>, 111–149 (2004).</w:t>
      </w:r>
    </w:p>
    <w:p w14:paraId="69AD01FC" w14:textId="77777777" w:rsidR="00755410" w:rsidRDefault="00755410" w:rsidP="00755410">
      <w:pPr>
        <w:pStyle w:val="Bibliography"/>
      </w:pPr>
      <w:r>
        <w:t>67.</w:t>
      </w:r>
      <w:r>
        <w:tab/>
        <w:t xml:space="preserve">Peltier, W. R., Argus, D. F. &amp; Drummond, R. Space geodesy constrains ice age terminal deglaciation: The global ICE-6G_C (VM5a) model. </w:t>
      </w:r>
      <w:r>
        <w:rPr>
          <w:i/>
          <w:iCs/>
        </w:rPr>
        <w:t>J. Geophys. Res. Solid Earth</w:t>
      </w:r>
      <w:r>
        <w:t xml:space="preserve"> </w:t>
      </w:r>
      <w:r>
        <w:rPr>
          <w:b/>
          <w:bCs/>
        </w:rPr>
        <w:t>120</w:t>
      </w:r>
      <w:r>
        <w:t>, 450–487 (2015).</w:t>
      </w:r>
    </w:p>
    <w:p w14:paraId="2D321091" w14:textId="77777777" w:rsidR="00755410" w:rsidRDefault="00755410" w:rsidP="00755410">
      <w:pPr>
        <w:pStyle w:val="Bibliography"/>
      </w:pPr>
      <w:r>
        <w:t>68.</w:t>
      </w:r>
      <w:r>
        <w:tab/>
        <w:t xml:space="preserve">Walker, J. S. </w:t>
      </w:r>
      <w:r>
        <w:rPr>
          <w:i/>
          <w:iCs/>
        </w:rPr>
        <w:t>et al.</w:t>
      </w:r>
      <w:r>
        <w:t xml:space="preserve"> Common Era sea-level budgets along the U.S. Atlantic coast. </w:t>
      </w:r>
      <w:r>
        <w:rPr>
          <w:i/>
          <w:iCs/>
        </w:rPr>
        <w:t>Zenodo</w:t>
      </w:r>
      <w:r>
        <w:t xml:space="preserve"> (2021) doi:10.5281/zenodo.4549924 for CESL-STEHM-GP.</w:t>
      </w:r>
    </w:p>
    <w:p w14:paraId="74B2535A" w14:textId="77777777" w:rsidR="00755410" w:rsidRDefault="00755410" w:rsidP="00755410">
      <w:pPr>
        <w:pStyle w:val="Bibliography"/>
      </w:pPr>
      <w:r>
        <w:t>69.</w:t>
      </w:r>
      <w:r>
        <w:tab/>
        <w:t xml:space="preserve">McGregor, H. V. </w:t>
      </w:r>
      <w:r>
        <w:rPr>
          <w:i/>
          <w:iCs/>
        </w:rPr>
        <w:t>et al.</w:t>
      </w:r>
      <w:r>
        <w:t xml:space="preserve"> Robust global ocean cooling trend for the pre-industrial Common Era. </w:t>
      </w:r>
      <w:r>
        <w:rPr>
          <w:i/>
          <w:iCs/>
        </w:rPr>
        <w:t>Nat. Geosci.</w:t>
      </w:r>
      <w:r>
        <w:t xml:space="preserve"> </w:t>
      </w:r>
      <w:r>
        <w:rPr>
          <w:b/>
          <w:bCs/>
        </w:rPr>
        <w:t>8</w:t>
      </w:r>
      <w:r>
        <w:t>, 671–677 (2015).</w:t>
      </w:r>
    </w:p>
    <w:p w14:paraId="7834AB3D" w14:textId="77777777" w:rsidR="00755410" w:rsidRDefault="00755410" w:rsidP="00755410">
      <w:pPr>
        <w:pStyle w:val="Bibliography"/>
      </w:pPr>
      <w:r>
        <w:t>70.</w:t>
      </w:r>
      <w:r>
        <w:tab/>
        <w:t xml:space="preserve">Rahmstorf, S. </w:t>
      </w:r>
      <w:r>
        <w:rPr>
          <w:i/>
          <w:iCs/>
        </w:rPr>
        <w:t>et al.</w:t>
      </w:r>
      <w:r>
        <w:t xml:space="preserve"> Exceptional twentieth-century slowdown in Atlantic Ocean overturning circulation. </w:t>
      </w:r>
      <w:r>
        <w:rPr>
          <w:i/>
          <w:iCs/>
        </w:rPr>
        <w:t>Nat. Clim. Change</w:t>
      </w:r>
      <w:r>
        <w:t xml:space="preserve"> </w:t>
      </w:r>
      <w:r>
        <w:rPr>
          <w:b/>
          <w:bCs/>
        </w:rPr>
        <w:t>5</w:t>
      </w:r>
      <w:r>
        <w:t>, 475–480 (2015).</w:t>
      </w:r>
    </w:p>
    <w:p w14:paraId="179A33A1" w14:textId="77777777" w:rsidR="00755410" w:rsidRDefault="00755410" w:rsidP="00755410">
      <w:pPr>
        <w:pStyle w:val="Bibliography"/>
      </w:pPr>
      <w:r>
        <w:t>71.</w:t>
      </w:r>
      <w:r>
        <w:tab/>
        <w:t xml:space="preserve">Neukom, R., Steiger, N., Gómez-Navarro, J. J., Wang, J. &amp; Werner, J. P. No evidence for globally coherent warm and cold periods over the preindustrial Common Era. </w:t>
      </w:r>
      <w:r>
        <w:rPr>
          <w:i/>
          <w:iCs/>
        </w:rPr>
        <w:t>Nature</w:t>
      </w:r>
      <w:r>
        <w:t xml:space="preserve"> </w:t>
      </w:r>
      <w:r>
        <w:rPr>
          <w:b/>
          <w:bCs/>
        </w:rPr>
        <w:t>571</w:t>
      </w:r>
      <w:r>
        <w:t>, 550–554 (2019).</w:t>
      </w:r>
    </w:p>
    <w:p w14:paraId="0D71AF1A" w14:textId="69C2A62A" w:rsidR="007A1619" w:rsidRDefault="00CF6FBB" w:rsidP="00C41FE5">
      <w:r>
        <w:fldChar w:fldCharType="end"/>
      </w:r>
    </w:p>
    <w:p w14:paraId="1A3646E0" w14:textId="45C8C36B" w:rsidR="0052219C" w:rsidRPr="00085860" w:rsidRDefault="00537BBB" w:rsidP="00845C15">
      <w:pPr>
        <w:pStyle w:val="Heading2"/>
        <w:jc w:val="left"/>
        <w:rPr>
          <w:b w:val="0"/>
          <w:sz w:val="28"/>
          <w:szCs w:val="28"/>
        </w:rPr>
      </w:pPr>
      <w:r w:rsidRPr="00085860">
        <w:rPr>
          <w:b w:val="0"/>
          <w:sz w:val="28"/>
          <w:szCs w:val="28"/>
        </w:rPr>
        <w:t>Acknowledgements</w:t>
      </w:r>
    </w:p>
    <w:p w14:paraId="31E118DB" w14:textId="04EDA5D1" w:rsidR="002623DD" w:rsidRDefault="00FA499C" w:rsidP="00845C15">
      <w:pPr>
        <w:jc w:val="left"/>
      </w:pPr>
      <w:r>
        <w:t>J</w:t>
      </w:r>
      <w:r w:rsidR="00C36237">
        <w:t>S</w:t>
      </w:r>
      <w:r>
        <w:t xml:space="preserve">W </w:t>
      </w:r>
      <w:r w:rsidR="002623DD">
        <w:t>thanks Kristen Joyse, Ane Garcia-Artola, and Margaret Christie for their assistance in the field</w:t>
      </w:r>
      <w:r w:rsidR="00F918CA">
        <w:t xml:space="preserve"> to produce the northern New Jersey record</w:t>
      </w:r>
      <w:r w:rsidR="00996CC0">
        <w:t xml:space="preserve"> and Andrew Kemp for discussion of interpretation of the RSL data</w:t>
      </w:r>
      <w:r w:rsidR="002623DD">
        <w:t>. J</w:t>
      </w:r>
      <w:r w:rsidR="00C36237">
        <w:t>S</w:t>
      </w:r>
      <w:r w:rsidR="002623DD">
        <w:t>W was funded by the David</w:t>
      </w:r>
      <w:r w:rsidR="00E16C1F">
        <w:t xml:space="preserve"> and Arleen McGlade Foundation and </w:t>
      </w:r>
      <w:r w:rsidR="002623DD">
        <w:t xml:space="preserve">a Cushman Foundation for Foraminiferal Research Student Research Award. </w:t>
      </w:r>
      <w:r w:rsidR="00F07670">
        <w:t>J</w:t>
      </w:r>
      <w:r w:rsidR="00C36237">
        <w:t>S</w:t>
      </w:r>
      <w:r w:rsidR="00F07670">
        <w:t xml:space="preserve">W and REK were supported by the U.S. National Science Foundation </w:t>
      </w:r>
      <w:r w:rsidR="004022C6">
        <w:t xml:space="preserve">(NSF) </w:t>
      </w:r>
      <w:r w:rsidR="00F07670">
        <w:t>award OCE-</w:t>
      </w:r>
      <w:r w:rsidR="00AF4702" w:rsidRPr="008F5EDB">
        <w:t>1804999</w:t>
      </w:r>
      <w:r w:rsidR="00AF4702">
        <w:t>.</w:t>
      </w:r>
      <w:r w:rsidR="00A255A0">
        <w:t xml:space="preserve"> </w:t>
      </w:r>
      <w:r w:rsidR="005E7C88" w:rsidRPr="005E7C88">
        <w:t xml:space="preserve">REK and </w:t>
      </w:r>
      <w:r w:rsidR="005E7C88" w:rsidRPr="005E7C88">
        <w:lastRenderedPageBreak/>
        <w:t xml:space="preserve">ELA were supported by NSF grants OCE-1702587 and OCE-2002437. </w:t>
      </w:r>
      <w:r w:rsidR="00977FE9">
        <w:t>B</w:t>
      </w:r>
      <w:r w:rsidR="00BA5491">
        <w:t>P</w:t>
      </w:r>
      <w:r w:rsidR="00977FE9">
        <w:t>H</w:t>
      </w:r>
      <w:r w:rsidR="007A249F">
        <w:t xml:space="preserve"> </w:t>
      </w:r>
      <w:r w:rsidR="00977FE9">
        <w:t>and T</w:t>
      </w:r>
      <w:r w:rsidR="00BA5491">
        <w:t xml:space="preserve">S are supported by the Singapore Ministry of Education Academic Research Fund </w:t>
      </w:r>
      <w:r w:rsidR="00BA5491" w:rsidRPr="00BA5491">
        <w:t>MOE2019-T3-1-004</w:t>
      </w:r>
      <w:r w:rsidR="00BA5491">
        <w:t xml:space="preserve">, the National Research Foundation Singapore, and the Singapore Ministry of Education, under the Research Centers of Excellence initiative. </w:t>
      </w:r>
      <w:r w:rsidR="00772E81">
        <w:t>D</w:t>
      </w:r>
      <w:r w:rsidR="00800F9A">
        <w:t>C</w:t>
      </w:r>
      <w:r w:rsidR="00772E81">
        <w:t xml:space="preserve">B receives support from the H.F. Alderfer Fund for Environmental Studies at Bryn Mawr College. </w:t>
      </w:r>
      <w:r w:rsidR="00092B15" w:rsidRPr="00092B15">
        <w:t>The authors acknowledge PALSEA</w:t>
      </w:r>
      <w:r w:rsidR="00092B15">
        <w:t xml:space="preserve"> (Palaeo-Constraints on Sea-Level Rise)</w:t>
      </w:r>
      <w:r w:rsidR="00092B15" w:rsidRPr="00092B15">
        <w:t>, a working group of the International Union for Quaternary Sciences (INQUA) and Past Global Changes (PAGES), which in turn received support from the Swiss Academy of Sciences and the Ch</w:t>
      </w:r>
      <w:r w:rsidR="00092B15">
        <w:t xml:space="preserve">inese Academy of Sciences. This article is a contribution to </w:t>
      </w:r>
      <w:r w:rsidR="00BA5491">
        <w:t>HOLSEA</w:t>
      </w:r>
      <w:r w:rsidR="00A766F9">
        <w:t xml:space="preserve"> (Geographic variability of Holocene sea level)</w:t>
      </w:r>
      <w:r w:rsidR="00092B15">
        <w:t xml:space="preserve"> </w:t>
      </w:r>
      <w:r w:rsidR="00BA5491">
        <w:t>and International Geoscience Program (IGCP) Project 639, “Sea-Level Changes from Minutes to Millennia”. This work is Earth Observatory of Singapore contribution XXX.</w:t>
      </w:r>
      <w:r w:rsidR="00BA5491" w:rsidDel="00BA5491">
        <w:t xml:space="preserve"> </w:t>
      </w:r>
    </w:p>
    <w:p w14:paraId="20CCC7CB" w14:textId="709420CA" w:rsidR="00AB5BBD" w:rsidRDefault="00AB5BBD" w:rsidP="00845C15">
      <w:pPr>
        <w:jc w:val="left"/>
      </w:pPr>
    </w:p>
    <w:p w14:paraId="13916489" w14:textId="406E4BD3" w:rsidR="00C36237" w:rsidRPr="00085860" w:rsidRDefault="00C36237" w:rsidP="00C36237">
      <w:pPr>
        <w:pStyle w:val="Heading2"/>
        <w:jc w:val="left"/>
        <w:rPr>
          <w:b w:val="0"/>
          <w:sz w:val="28"/>
          <w:szCs w:val="28"/>
        </w:rPr>
      </w:pPr>
      <w:r w:rsidRPr="00085860">
        <w:rPr>
          <w:b w:val="0"/>
          <w:sz w:val="28"/>
          <w:szCs w:val="28"/>
        </w:rPr>
        <w:t>A</w:t>
      </w:r>
      <w:r w:rsidR="00253B6F" w:rsidRPr="00085860">
        <w:rPr>
          <w:b w:val="0"/>
          <w:sz w:val="28"/>
          <w:szCs w:val="28"/>
        </w:rPr>
        <w:t>uthor c</w:t>
      </w:r>
      <w:r w:rsidRPr="00085860">
        <w:rPr>
          <w:b w:val="0"/>
          <w:sz w:val="28"/>
          <w:szCs w:val="28"/>
        </w:rPr>
        <w:t>ontributions</w:t>
      </w:r>
    </w:p>
    <w:p w14:paraId="25F4D8FC" w14:textId="23DBD45A" w:rsidR="00C36237" w:rsidRDefault="00C36237" w:rsidP="00C36237">
      <w:pPr>
        <w:rPr>
          <w:lang w:val="en-US"/>
        </w:rPr>
      </w:pPr>
      <w:r>
        <w:rPr>
          <w:lang w:val="en-US"/>
        </w:rPr>
        <w:t xml:space="preserve">JSW, REK, and BPH designed the research approach. JSW </w:t>
      </w:r>
      <w:r w:rsidR="002854B3">
        <w:rPr>
          <w:lang w:val="en-US"/>
        </w:rPr>
        <w:t>led</w:t>
      </w:r>
      <w:r>
        <w:rPr>
          <w:lang w:val="en-US"/>
        </w:rPr>
        <w:t xml:space="preserve"> the research and wrote the first draft of the paper. All authors contributed to producing the new relative sea-level reconst</w:t>
      </w:r>
      <w:r w:rsidR="002854B3">
        <w:rPr>
          <w:lang w:val="en-US"/>
        </w:rPr>
        <w:t xml:space="preserve">ruction in northern New Jersey </w:t>
      </w:r>
      <w:r>
        <w:rPr>
          <w:lang w:val="en-US"/>
        </w:rPr>
        <w:t xml:space="preserve">and to the writing of the manuscript. </w:t>
      </w:r>
    </w:p>
    <w:p w14:paraId="140B7B33" w14:textId="1267ED84" w:rsidR="00C36237" w:rsidRDefault="00C36237" w:rsidP="00C36237">
      <w:pPr>
        <w:rPr>
          <w:lang w:val="en-US"/>
        </w:rPr>
      </w:pPr>
    </w:p>
    <w:p w14:paraId="7DBAE07D" w14:textId="23EA4615" w:rsidR="00C36237" w:rsidRPr="00085860" w:rsidRDefault="00253B6F" w:rsidP="00C36237">
      <w:pPr>
        <w:pStyle w:val="Heading2"/>
        <w:jc w:val="left"/>
        <w:rPr>
          <w:b w:val="0"/>
        </w:rPr>
      </w:pPr>
      <w:r w:rsidRPr="00085860">
        <w:rPr>
          <w:b w:val="0"/>
          <w:sz w:val="28"/>
          <w:szCs w:val="28"/>
        </w:rPr>
        <w:t>Competing i</w:t>
      </w:r>
      <w:r w:rsidR="00C36237" w:rsidRPr="00085860">
        <w:rPr>
          <w:b w:val="0"/>
          <w:sz w:val="28"/>
          <w:szCs w:val="28"/>
        </w:rPr>
        <w:t>nterests</w:t>
      </w:r>
    </w:p>
    <w:p w14:paraId="391AF94D" w14:textId="3EABA3A3" w:rsidR="00C36237" w:rsidRDefault="008174DD" w:rsidP="00845C15">
      <w:pPr>
        <w:jc w:val="left"/>
      </w:pPr>
      <w:r>
        <w:t>The authors declare no competing interests.</w:t>
      </w:r>
    </w:p>
    <w:p w14:paraId="59B1858C" w14:textId="28B7B488" w:rsidR="00B624FA" w:rsidRDefault="00B624FA" w:rsidP="00845C15">
      <w:pPr>
        <w:jc w:val="left"/>
      </w:pPr>
    </w:p>
    <w:p w14:paraId="181FE97A" w14:textId="3BCCD99E" w:rsidR="00B624FA" w:rsidRPr="00085860" w:rsidRDefault="00B624FA" w:rsidP="00B624FA">
      <w:pPr>
        <w:pStyle w:val="Heading2"/>
        <w:jc w:val="left"/>
        <w:rPr>
          <w:b w:val="0"/>
        </w:rPr>
      </w:pPr>
      <w:r w:rsidRPr="00085860">
        <w:rPr>
          <w:b w:val="0"/>
          <w:sz w:val="28"/>
          <w:szCs w:val="28"/>
        </w:rPr>
        <w:t>Additional information</w:t>
      </w:r>
    </w:p>
    <w:p w14:paraId="2A957FDA" w14:textId="247D70D8" w:rsidR="00B624FA" w:rsidRDefault="00B624FA" w:rsidP="00874D7D">
      <w:pPr>
        <w:jc w:val="left"/>
      </w:pPr>
      <w:r>
        <w:t>Supplementary material is available for this paper at XXX.</w:t>
      </w:r>
    </w:p>
    <w:p w14:paraId="7B5EE289" w14:textId="60AC64AD" w:rsidR="00B624FA" w:rsidRDefault="00B624FA" w:rsidP="00845C15">
      <w:pPr>
        <w:jc w:val="left"/>
      </w:pPr>
    </w:p>
    <w:p w14:paraId="509F1A63" w14:textId="499C997A" w:rsidR="00B624FA" w:rsidRDefault="00B624FA" w:rsidP="00874D7D">
      <w:pPr>
        <w:jc w:val="left"/>
      </w:pPr>
      <w:r>
        <w:lastRenderedPageBreak/>
        <w:t>Correspondence and material requests should be addressed to JSW or REK.</w:t>
      </w:r>
    </w:p>
    <w:p w14:paraId="7E3E7110" w14:textId="77777777" w:rsidR="008174DD" w:rsidRDefault="008174DD" w:rsidP="00845C15">
      <w:pPr>
        <w:jc w:val="left"/>
      </w:pPr>
    </w:p>
    <w:p w14:paraId="2EB02F3C" w14:textId="3C4C4C5D" w:rsidR="004E20DF" w:rsidRPr="002502CE" w:rsidRDefault="00C36237" w:rsidP="002502CE">
      <w:pPr>
        <w:pStyle w:val="Heading2"/>
        <w:jc w:val="left"/>
        <w:rPr>
          <w:b w:val="0"/>
          <w:sz w:val="28"/>
          <w:szCs w:val="28"/>
        </w:rPr>
      </w:pPr>
      <w:r w:rsidRPr="00085860">
        <w:rPr>
          <w:b w:val="0"/>
          <w:sz w:val="28"/>
          <w:szCs w:val="28"/>
        </w:rPr>
        <w:t>F</w:t>
      </w:r>
      <w:r w:rsidR="00253B6F" w:rsidRPr="00085860">
        <w:rPr>
          <w:b w:val="0"/>
          <w:sz w:val="28"/>
          <w:szCs w:val="28"/>
        </w:rPr>
        <w:t>igure l</w:t>
      </w:r>
      <w:r w:rsidRPr="00085860">
        <w:rPr>
          <w:b w:val="0"/>
          <w:sz w:val="28"/>
          <w:szCs w:val="28"/>
        </w:rPr>
        <w:t>egends</w:t>
      </w:r>
    </w:p>
    <w:p w14:paraId="277942AE" w14:textId="71DDCD59" w:rsidR="002502CE" w:rsidRDefault="007270A7" w:rsidP="00122216">
      <w:pPr>
        <w:jc w:val="center"/>
        <w:rPr>
          <w:lang w:val="en-US"/>
        </w:rPr>
      </w:pPr>
      <w:r>
        <w:rPr>
          <w:noProof/>
          <w:lang w:val="en-US"/>
        </w:rPr>
        <w:drawing>
          <wp:inline distT="0" distB="0" distL="0" distR="0" wp14:anchorId="651BD00F" wp14:editId="36A01CEB">
            <wp:extent cx="4097867" cy="2502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5615" cy="2513340"/>
                    </a:xfrm>
                    <a:prstGeom prst="rect">
                      <a:avLst/>
                    </a:prstGeom>
                  </pic:spPr>
                </pic:pic>
              </a:graphicData>
            </a:graphic>
          </wp:inline>
        </w:drawing>
      </w:r>
    </w:p>
    <w:p w14:paraId="66C238AE" w14:textId="26DF4EE1" w:rsidR="00C36237" w:rsidRDefault="00C36237" w:rsidP="00C36237">
      <w:pPr>
        <w:jc w:val="left"/>
        <w:rPr>
          <w:lang w:val="en-US"/>
        </w:rPr>
      </w:pPr>
      <w:r>
        <w:rPr>
          <w:lang w:val="en-US"/>
        </w:rPr>
        <w:t xml:space="preserve">Figure 1. Location of </w:t>
      </w:r>
      <w:r w:rsidR="004E630A">
        <w:rPr>
          <w:lang w:val="en-US"/>
        </w:rPr>
        <w:t>relative sea</w:t>
      </w:r>
      <w:r w:rsidR="004E0752">
        <w:rPr>
          <w:lang w:val="en-US"/>
        </w:rPr>
        <w:t>-</w:t>
      </w:r>
      <w:r w:rsidR="004E630A">
        <w:rPr>
          <w:lang w:val="en-US"/>
        </w:rPr>
        <w:t>level (</w:t>
      </w:r>
      <w:r>
        <w:rPr>
          <w:lang w:val="en-US"/>
        </w:rPr>
        <w:t>RSL</w:t>
      </w:r>
      <w:r w:rsidR="004E630A">
        <w:rPr>
          <w:lang w:val="en-US"/>
        </w:rPr>
        <w:t>)</w:t>
      </w:r>
      <w:r>
        <w:rPr>
          <w:lang w:val="en-US"/>
        </w:rPr>
        <w:t xml:space="preserve"> reconstructions on </w:t>
      </w:r>
      <w:r w:rsidR="00C24726">
        <w:rPr>
          <w:lang w:val="en-US"/>
        </w:rPr>
        <w:t xml:space="preserve">the </w:t>
      </w:r>
      <w:r>
        <w:rPr>
          <w:lang w:val="en-US"/>
        </w:rPr>
        <w:t>U.S. Atlantic coast</w:t>
      </w:r>
      <w:r w:rsidR="004E630A">
        <w:rPr>
          <w:lang w:val="en-US"/>
        </w:rPr>
        <w:t>.</w:t>
      </w:r>
      <w:r>
        <w:rPr>
          <w:lang w:val="en-US"/>
        </w:rPr>
        <w:t xml:space="preserve"> (a) The six sites used in analysis from north to south are: Connecticut </w:t>
      </w:r>
      <w:r>
        <w:rPr>
          <w:lang w:val="en-US"/>
        </w:rPr>
        <w:fldChar w:fldCharType="begin"/>
      </w:r>
      <w:r w:rsidR="006436A7">
        <w:rPr>
          <w:lang w:val="en-US"/>
        </w:rPr>
        <w:instrText xml:space="preserve"> ADDIN ZOTERO_ITEM CSL_CITATION {"citationID":"SRjAkXQg","properties":{"formattedCitation":"\\super 61\\nosupersub{}","plainCitation":"61","noteIndex":0},"citationItems":[{"id":273,"uris":["http://zotero.org/users/local/XxmvPi45/items/MZJPEFVK"],"uri":["http://zotero.org/users/local/XxmvPi45/items/MZJPEFVK"],"itemData":{"id":273,"type":"article-journal","abstract":"We produced a relative sea-level (RSL) reconstruction from Connecticut (USA) spanning the last </w:instrText>
      </w:r>
      <w:r w:rsidR="006436A7">
        <w:rPr>
          <w:rFonts w:ascii="Cambria Math" w:hAnsi="Cambria Math" w:cs="Cambria Math"/>
          <w:lang w:val="en-US"/>
        </w:rPr>
        <w:instrText>∼</w:instrText>
      </w:r>
      <w:r w:rsidR="006436A7">
        <w:rPr>
          <w:lang w:val="en-US"/>
        </w:rPr>
        <w:instrText xml:space="preserve">2200 yrs that is free from the inﬂuence of sediment compaction. The reconstruction used a suite of vertically- and laterally-ordered sediment samples ≤2 cm above bedrock that were collected by excavating a trench along an evenly-sloped bedrock surface. Paleomarsh elevation was reconstructed using a regional-scale transfer function trained on the modern distribution of foraminifera on Long Island Sound salt marshes and supported by bulk-sediment δ13C measurements. The history of sediment accumulation was estimated using an age-elevation model constrained by radiocarbon dates and recognition of pollution horizons of known age. The RSL reconstruction was combined with regional tide-gauge measurements spanning the last </w:instrText>
      </w:r>
      <w:r w:rsidR="006436A7">
        <w:rPr>
          <w:rFonts w:ascii="Cambria Math" w:hAnsi="Cambria Math" w:cs="Cambria Math"/>
          <w:lang w:val="en-US"/>
        </w:rPr>
        <w:instrText>∼</w:instrText>
      </w:r>
      <w:r w:rsidR="006436A7">
        <w:rPr>
          <w:lang w:val="en-US"/>
        </w:rPr>
        <w:instrText>150 yrs before being quantitatively analyzed using an errorin-variables integrated Gaussian process model to identify sea-level trends with formal and appropriate treatment of uncertainty and the temporal distribution of data. RSL rise was stable (</w:instrText>
      </w:r>
      <w:r w:rsidR="006436A7">
        <w:rPr>
          <w:rFonts w:ascii="Cambria Math" w:hAnsi="Cambria Math" w:cs="Cambria Math"/>
          <w:lang w:val="en-US"/>
        </w:rPr>
        <w:instrText>∼</w:instrText>
      </w:r>
      <w:r w:rsidR="006436A7">
        <w:rPr>
          <w:lang w:val="en-US"/>
        </w:rPr>
        <w:instrText xml:space="preserve">1 mm/yr) from </w:instrText>
      </w:r>
      <w:r w:rsidR="006436A7">
        <w:rPr>
          <w:rFonts w:ascii="Cambria Math" w:hAnsi="Cambria Math" w:cs="Cambria Math"/>
          <w:lang w:val="en-US"/>
        </w:rPr>
        <w:instrText>∼</w:instrText>
      </w:r>
      <w:r w:rsidR="006436A7">
        <w:rPr>
          <w:lang w:val="en-US"/>
        </w:rPr>
        <w:instrText xml:space="preserve">200 BCE to </w:instrText>
      </w:r>
      <w:r w:rsidR="006436A7">
        <w:rPr>
          <w:rFonts w:ascii="Cambria Math" w:hAnsi="Cambria Math" w:cs="Cambria Math"/>
          <w:lang w:val="en-US"/>
        </w:rPr>
        <w:instrText>∼</w:instrText>
      </w:r>
      <w:r w:rsidR="006436A7">
        <w:rPr>
          <w:lang w:val="en-US"/>
        </w:rPr>
        <w:instrText xml:space="preserve">1000 CE, slowed to a minimum rate of rise (0.41 mm/yr) at </w:instrText>
      </w:r>
      <w:r w:rsidR="006436A7">
        <w:rPr>
          <w:rFonts w:ascii="Cambria Math" w:hAnsi="Cambria Math" w:cs="Cambria Math"/>
          <w:lang w:val="en-US"/>
        </w:rPr>
        <w:instrText>∼</w:instrText>
      </w:r>
      <w:r w:rsidR="006436A7">
        <w:rPr>
          <w:lang w:val="en-US"/>
        </w:rPr>
        <w:instrText>1400 CE, and then accelerated continuously to reach a current rate of 3.2 mm/yr, which is the fastest, century-scale rate of the last 2200 yrs. Change point analysis identiﬁed that modern rates of rise in Connecticut began at 1850–1886 CE. This timing is synchronous with changes recorded at other sites on the U.S. Atlantic coast and is likely the local expression of a global sea-level change. Earlier sea-level trends show coherence north of Cape Hatteras that are contrasted with southern sites. This pattern may represent centennialscale variability in the position and/or strength of the Gulf Stream. Comparison of the new record to three existing and reanalyzed RSL reconstructions from the same site developed using sediment cores indicates that compaction is unlikely to signiﬁcantly distort RSL reconstructions produced from shallow (</w:instrText>
      </w:r>
      <w:r w:rsidR="006436A7">
        <w:rPr>
          <w:rFonts w:ascii="Cambria Math" w:hAnsi="Cambria Math" w:cs="Cambria Math"/>
          <w:lang w:val="en-US"/>
        </w:rPr>
        <w:instrText>∼</w:instrText>
      </w:r>
      <w:r w:rsidR="006436A7">
        <w:rPr>
          <w:lang w:val="en-US"/>
        </w:rPr>
        <w:instrText xml:space="preserve">2–3 m thick) sequences of salt-marsh peat.","container-title":"Earth and Planetary Science Letters","DOI":"10.1016/j.epsl.2015.07.034","ISSN":"0012821X","language":"en","page":"217-229","source":"Crossref","title":"Relative sea-level change in Connecticut (USA) during the last 2200 yrs","volume":"428","author":[{"family":"Kemp","given":"Andrew C."},{"family":"Hawkes","given":"Andrea D."},{"family":"Donnelly","given":"Jeffrey P."},{"family":"Vane","given":"Christopher H."},{"family":"Horton","given":"Benjamin P."},{"family":"Hill","given":"Troy D."},{"family":"Anisfeld","given":"Shimon C."},{"family":"Parnell","given":"Andrew C."},{"family":"Cahill","given":"Niamh"}],"issued":{"date-parts":[["2015",10]]}}}],"schema":"https://github.com/citation-style-language/schema/raw/master/csl-citation.json"} </w:instrText>
      </w:r>
      <w:r>
        <w:rPr>
          <w:lang w:val="en-US"/>
        </w:rPr>
        <w:fldChar w:fldCharType="separate"/>
      </w:r>
      <w:r w:rsidR="006436A7" w:rsidRPr="006436A7">
        <w:rPr>
          <w:szCs w:val="24"/>
          <w:vertAlign w:val="superscript"/>
        </w:rPr>
        <w:t>61</w:t>
      </w:r>
      <w:r>
        <w:rPr>
          <w:lang w:val="en-US"/>
        </w:rPr>
        <w:fldChar w:fldCharType="end"/>
      </w:r>
      <w:r>
        <w:rPr>
          <w:lang w:val="en-US"/>
        </w:rPr>
        <w:t xml:space="preserve">, New York City </w:t>
      </w:r>
      <w:r>
        <w:rPr>
          <w:lang w:val="en-US"/>
        </w:rPr>
        <w:fldChar w:fldCharType="begin"/>
      </w:r>
      <w:r w:rsidR="002A7AC0">
        <w:rPr>
          <w:lang w:val="en-US"/>
        </w:rPr>
        <w:instrText xml:space="preserve"> ADDIN ZOTERO_ITEM CSL_CITATION {"citationID":"hDGOLuOm","properties":{"formattedCitation":"\\super 15\\nosupersub{}","plainCitation":"15","noteIndex":0},"citationItems":[{"id":246,"uris":["http://zotero.org/users/local/XxmvPi45/items/2HXYQNKX"],"uri":["http://zotero.org/users/local/XxmvPi45/items/2HXYQNKX"],"itemData":{"id":246,"type":"article-journal","abstract":"New York City (NYC) is threatened by 21st-century relative sea-level (RSL) rise because it will experience a trend that exceeds the global mean and has high concentrations of low-lying infrastructure and socioeconomic activity. To provide a long-term context for anticipated trends, we reconstructed RSL change during the past ~1500 years using a core of salt-marsh sediment from Pelham Bay in The Bronx. Foraminifera and bulk-sediment δ13C values were used as sea-level indicators. The history of sediment accumulation was established by radiocarbon dating and recognition of pollution and land-use trends of known age in down-core elemental, isotopic, and pollen profiles. The reconstruction was generated within a Bayesian hierarchical model to accommodate multiple proxies and to provide a unified statistical framework for quantifying uncertainty. We show that RSL in NYC rose by ~1.70 m since ~575 CE (including ~0.38 m since 1850 CE). The rate of RSL rise increased markedly at 1812–1913 CE from ~1.0 to ~2.5 mm/yr, which coincides with other reconstructions along the US Atlantic coast. We investigated the possible influence of tidal-range change in Long Island Sound on our reconstruction using a regional tidal model, and we demonstrate that this effect was likely small. However, future tidal-range change could exacerbate the impacts of RSL rise in communities bordering Long Island Sound. The current rate of RSL rise is the fastest that NYC has experienced for &gt;1500 years, and its ongoing acceleration suggests that projections of 21st-century local RSL rise will be realized.","container-title":"The Holocene","DOI":"10.1177/0959683616683263","ISSN":"0959-6836, 1477-0911","issue":"8","language":"en","page":"1169-1186","source":"Crossref","title":"Relative sea-level trends in New York City during the past 1500 years","volume":"27","author":[{"family":"Kemp","given":"Andrew C."},{"family":"Hill","given":"Troy D"},{"family":"Vane","given":"Christopher H"},{"family":"Cahill","given":"Niamh"},{"family":"Orton","given":"Philip M"},{"family":"Talke","given":"Stefan A"},{"family":"Parnell","given":"Andrew C"},{"family":"Sanborn","given":"Kelsey"},{"family":"Hartig","given":"Ellen K"}],"issued":{"literal":"2017b"}}}],"schema":"https://github.com/citation-style-language/schema/raw/master/csl-citation.json"} </w:instrText>
      </w:r>
      <w:r>
        <w:rPr>
          <w:lang w:val="en-US"/>
        </w:rPr>
        <w:fldChar w:fldCharType="separate"/>
      </w:r>
      <w:r w:rsidR="002A7AC0" w:rsidRPr="002A7AC0">
        <w:rPr>
          <w:szCs w:val="24"/>
          <w:vertAlign w:val="superscript"/>
        </w:rPr>
        <w:t>15</w:t>
      </w:r>
      <w:r>
        <w:rPr>
          <w:lang w:val="en-US"/>
        </w:rPr>
        <w:fldChar w:fldCharType="end"/>
      </w:r>
      <w:r>
        <w:rPr>
          <w:lang w:val="en-US"/>
        </w:rPr>
        <w:t xml:space="preserve">, northern New Jersey (this study), southern New Jersey (Leeds Point </w:t>
      </w:r>
      <w:r w:rsidR="00122216">
        <w:rPr>
          <w:lang w:val="en-US"/>
        </w:rPr>
        <w:t xml:space="preserve">(LP) </w:t>
      </w:r>
      <w:r>
        <w:rPr>
          <w:lang w:val="en-US"/>
        </w:rPr>
        <w:t>and Cape May Courthouse</w:t>
      </w:r>
      <w:r w:rsidR="00122216">
        <w:rPr>
          <w:lang w:val="en-US"/>
        </w:rPr>
        <w:t xml:space="preserve"> (CMC)</w:t>
      </w:r>
      <w:r w:rsidR="00BA226F">
        <w:rPr>
          <w:lang w:val="en-US"/>
        </w:rPr>
        <w:t xml:space="preserve"> </w:t>
      </w:r>
      <w:r w:rsidR="00BA226F">
        <w:rPr>
          <w:lang w:val="en-US"/>
        </w:rPr>
        <w:fldChar w:fldCharType="begin"/>
      </w:r>
      <w:r w:rsidR="002A7AC0">
        <w:rPr>
          <w:lang w:val="en-US"/>
        </w:rPr>
        <w:instrText xml:space="preserve"> ADDIN ZOTERO_ITEM CSL_CITATION {"citationID":"WEomZI1i","properties":{"formattedCitation":"\\super 14\\nosupersub{}","plainCitation":"14","noteIndex":0},"citationItems":[{"id":247,"uris":["http://zotero.org/users/local/XxmvPi45/items/ZKIY8U3Q"],"uri":["http://zotero.org/users/local/XxmvPi45/items/ZKIY8U3Q"],"itemData":{"id":247,"type":"article-journal","abstract":"Relative sea-level changes during the last w2500 years in New Jersey, USA were reconstructed to test if late Holocene sea level was stable or included persistent and distinctive phases of variability. Foraminifera and bulk-sediment d13C values were combined to reconstruct paleomarsh elevation with decimeter precision from sequences of salt-marsh sediment at two sites using a multi-proxy approach. The additional paleoenvironmental information provided by bulk-sediment d13C values reduced vertical uncertainty in the sea-level reconstruction by about one third of that estimated from foraminifera alone using a transfer function. The history of sediment deposition was constrained by a composite chronology. An ageedepth model developed for each core enabled reconstruction of sea level with multi-decadal resolution. Following correction for land-level change (1.4 mm/yr), four successive and sustained (multi-centennial) sea-level trends were objectively identiﬁed and quantiﬁed (95% conﬁdence interval) using error-in-variables change point analysis to account for age and sea-level uncertainties. From at least 500 BC to 250 AD, sea-level fell at 0.11 mm/yr. The second period saw sea-level rise at 0.62 mm/yr from 250 AD to 733 AD. Between 733 AD and 1850 AD, sea level fell at 0.12 mm/yr. The reconstructed rate of sea-level rise since w1850 AD was 3.1 mm/yr and represents the most rapid period of change for at least 2500 years. This trend began between 1830 AD and 1873 AD. Since this change point, reconstructed sea-level rise is in agreement with regional tide-gauge records and exceeds the global average estimate for the 20th century. These positive and negative departures from background rates demonstrate that the late Holocene sea level was not stable in New Jersey.","container-title":"Quaternary Science Reviews","DOI":"10.1016/j.quascirev.2013.09.024","ISSN":"02773791","language":"en","page":"90-104","source":"Crossref","title":"Sea-level change during the last 2500 years in New Jersey, USA","volume":"81","author":[{"family":"Kemp","given":"Andrew C."},{"family":"Horton","given":"Benjamin P."},{"family":"Vane","given":"Christopher H."},{"family":"Bernhardt","given":"Christopher E."},{"family":"Corbett","given":"D. Reide"},{"family":"Engelhart","given":"Simon E."},{"family":"Anisfeld","given":"Shimon C."},{"family":"Parnell","given":"Andrew C."},{"family":"Cahill","given":"Niamh"}],"issued":{"date-parts":[["2013",12]]}}}],"schema":"https://github.com/citation-style-language/schema/raw/master/csl-citation.json"} </w:instrText>
      </w:r>
      <w:r w:rsidR="00BA226F">
        <w:rPr>
          <w:lang w:val="en-US"/>
        </w:rPr>
        <w:fldChar w:fldCharType="separate"/>
      </w:r>
      <w:r w:rsidR="002A7AC0" w:rsidRPr="002A7AC0">
        <w:rPr>
          <w:szCs w:val="24"/>
          <w:vertAlign w:val="superscript"/>
        </w:rPr>
        <w:t>14</w:t>
      </w:r>
      <w:r w:rsidR="00BA226F">
        <w:rPr>
          <w:lang w:val="en-US"/>
        </w:rPr>
        <w:fldChar w:fldCharType="end"/>
      </w:r>
      <w:r w:rsidR="00BA226F">
        <w:rPr>
          <w:lang w:val="en-US"/>
        </w:rPr>
        <w:t>),</w:t>
      </w:r>
      <w:r>
        <w:rPr>
          <w:lang w:val="en-US"/>
        </w:rPr>
        <w:t xml:space="preserve"> and North Carolina </w:t>
      </w:r>
      <w:r>
        <w:rPr>
          <w:lang w:val="en-US"/>
        </w:rPr>
        <w:fldChar w:fldCharType="begin"/>
      </w:r>
      <w:r w:rsidR="006436A7">
        <w:rPr>
          <w:lang w:val="en-US"/>
        </w:rPr>
        <w:instrText xml:space="preserve"> ADDIN ZOTERO_ITEM CSL_CITATION {"citationID":"00rLjCnv","properties":{"formattedCitation":"\\super 45\\nosupersub{}","plainCitation":"45","noteIndex":0},"citationItems":[{"id":396,"uris":["http://zotero.org/users/local/XxmvPi45/items/IVEN6I8Z"],"uri":["http://zotero.org/users/local/XxmvPi45/items/IVEN6I8Z"],"itemData":{"id":396,"type":"article-journal","abstract":"We produced ~3000-year long relative sea-level (RSL) histories for two sites in North Carolina (USA) using foraminifera preserved in new and existing cores of dated salt-marsh sediment. At Cedar Island, RSL rose by ~2.4 m during the past ~3000 years compared to ~3.3 m at Roanoke Island. This spatial difference arises primarily from differential GIA that caused late Holocene RSL rise to be 0.1e0.2 mm/yr faster at Roanoke Island than at Cedar Island. However, a non-linear difference in RSL between the two study regions (particularly from ~0 CE to ~1250 CE) indicates that additional local- to regional-scale processes drove centennial-scale RSL change in North Carolina. Therefore, the Cedar Island and Roanoke Island records should be considered as independent of one another. Between-site differences on sub-millennial timescales cannot be adequately explained by non-stationary tides, sediment compaction, or local sediment dynamics. We propose that a period of accelerating RSL rise from ~600 CE to 1100 CE that is present at Roanoke Island (and other sites north of Cape Hatteras at least as far as Connecticut), but absent at Cedar Island (and other sites south of Cape Hatteras at least as far as northeastern Florida) is a local-to regional-scale effect of dynamic ocean and/or atmospheric circulation.","container-title":"Quaternary Science Reviews","DOI":"10.1016/j.quascirev.2017.01.012","ISSN":"02773791","language":"en","page":"13-30","source":"Crossref","title":"Extended late Holocene relative sea-level histories for North Carolina, USA","volume":"160","author":[{"family":"Kemp","given":"Andrew C."},{"family":"Kegel","given":"Jessica J."},{"family":"Culver","given":"Stephen J."},{"family":"Barber","given":"Donald C."},{"family":"Mallinson","given":"David J."},{"family":"Leorri","given":"Eduardo"},{"family":"Bernhardt","given":"Christopher E."},{"family":"Cahill","given":"Niamh"},{"family":"Riggs","given":"Stanley R."},{"family":"Woodson","given":"Anna L."},{"family":"Mulligan","given":"Ryan P."},{"family":"Horton","given":"Benjamin P."}],"issued":{"literal":"2017a"}}}],"schema":"https://github.com/citation-style-language/schema/raw/master/csl-citation.json"} </w:instrText>
      </w:r>
      <w:r>
        <w:rPr>
          <w:lang w:val="en-US"/>
        </w:rPr>
        <w:fldChar w:fldCharType="separate"/>
      </w:r>
      <w:r w:rsidR="006436A7" w:rsidRPr="006436A7">
        <w:rPr>
          <w:szCs w:val="24"/>
          <w:vertAlign w:val="superscript"/>
        </w:rPr>
        <w:t>45</w:t>
      </w:r>
      <w:r>
        <w:rPr>
          <w:lang w:val="en-US"/>
        </w:rPr>
        <w:fldChar w:fldCharType="end"/>
      </w:r>
      <w:r>
        <w:rPr>
          <w:lang w:val="en-US"/>
        </w:rPr>
        <w:t>. (b) Map of New Jersey with location of new</w:t>
      </w:r>
      <w:r>
        <w:rPr>
          <w:sz w:val="23"/>
          <w:szCs w:val="23"/>
        </w:rPr>
        <w:t xml:space="preserve"> northern New Jersey record and Sandy Hook tide gauge. </w:t>
      </w:r>
      <w:r>
        <w:rPr>
          <w:lang w:val="en-US"/>
        </w:rPr>
        <w:t>(c) Salt-marsh study site at Cheesequake State Park in northern New Jersey off of Raritan Bay where new RSL record was produced. Fossil core transect locations shown, including location of the sampled core for detailed analysis. (d) RSL record from northern New Jersey with spatiotemporal model predictions</w:t>
      </w:r>
      <w:r w:rsidR="00E24C47">
        <w:rPr>
          <w:lang w:val="en-US"/>
        </w:rPr>
        <w:t xml:space="preserve"> (mean with 1σ uncertainty)</w:t>
      </w:r>
      <w:r>
        <w:rPr>
          <w:lang w:val="en-US"/>
        </w:rPr>
        <w:t xml:space="preserve"> and decadal average RSL measurements from the Sandy Hook tide gauge. Boxes represent the vertical </w:t>
      </w:r>
      <w:r w:rsidR="00B607C9">
        <w:rPr>
          <w:lang w:val="en-US"/>
        </w:rPr>
        <w:t xml:space="preserve">RSL (1σ) </w:t>
      </w:r>
      <w:r>
        <w:rPr>
          <w:lang w:val="en-US"/>
        </w:rPr>
        <w:t xml:space="preserve">and chronological </w:t>
      </w:r>
      <w:r w:rsidR="00B607C9">
        <w:rPr>
          <w:lang w:val="en-US"/>
        </w:rPr>
        <w:t xml:space="preserve">(2σ) </w:t>
      </w:r>
      <w:r>
        <w:rPr>
          <w:lang w:val="en-US"/>
        </w:rPr>
        <w:t>uncertainty for each data point.</w:t>
      </w:r>
    </w:p>
    <w:p w14:paraId="2C5C3FC5" w14:textId="05CB7F90" w:rsidR="00C232A3" w:rsidRDefault="007C1A6D" w:rsidP="00C36237">
      <w:pPr>
        <w:jc w:val="left"/>
        <w:rPr>
          <w:lang w:val="en-US"/>
        </w:rPr>
      </w:pPr>
      <w:r>
        <w:rPr>
          <w:noProof/>
          <w:lang w:val="en-US"/>
        </w:rPr>
        <w:lastRenderedPageBreak/>
        <w:drawing>
          <wp:inline distT="0" distB="0" distL="0" distR="0" wp14:anchorId="6AE95DC0" wp14:editId="7FC96167">
            <wp:extent cx="5943600" cy="31800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80080"/>
                    </a:xfrm>
                    <a:prstGeom prst="rect">
                      <a:avLst/>
                    </a:prstGeom>
                  </pic:spPr>
                </pic:pic>
              </a:graphicData>
            </a:graphic>
          </wp:inline>
        </w:drawing>
      </w:r>
    </w:p>
    <w:p w14:paraId="1C44B238" w14:textId="173A2C2F" w:rsidR="00C36237" w:rsidRDefault="00C36237" w:rsidP="00C36237">
      <w:pPr>
        <w:jc w:val="left"/>
        <w:rPr>
          <w:lang w:val="en-US"/>
        </w:rPr>
      </w:pPr>
      <w:r>
        <w:rPr>
          <w:lang w:val="en-US"/>
        </w:rPr>
        <w:t xml:space="preserve">Figure 2. Common Era </w:t>
      </w:r>
      <w:r w:rsidR="00673450">
        <w:rPr>
          <w:lang w:val="en-US"/>
        </w:rPr>
        <w:t>relative sea</w:t>
      </w:r>
      <w:r w:rsidR="004E0752">
        <w:rPr>
          <w:lang w:val="en-US"/>
        </w:rPr>
        <w:t>-</w:t>
      </w:r>
      <w:r w:rsidR="00673450">
        <w:rPr>
          <w:lang w:val="en-US"/>
        </w:rPr>
        <w:t>level</w:t>
      </w:r>
      <w:r>
        <w:rPr>
          <w:lang w:val="en-US"/>
        </w:rPr>
        <w:t xml:space="preserve"> model predictions for U.S. Atlantic coast sites. See Figure 1a for site locations. Model predictions are the mean with 1σ uncertainty.</w:t>
      </w:r>
      <w:r w:rsidR="004177C6">
        <w:rPr>
          <w:lang w:val="en-US"/>
        </w:rPr>
        <w:t xml:space="preserve"> LP = Leeds Point. CMC = Cape May Courthouse.</w:t>
      </w:r>
      <w:r>
        <w:rPr>
          <w:lang w:val="en-US"/>
        </w:rPr>
        <w:t xml:space="preserve"> </w:t>
      </w:r>
    </w:p>
    <w:p w14:paraId="1275DF58" w14:textId="0DD3887A" w:rsidR="00C36237" w:rsidRDefault="00C36237" w:rsidP="00C36237">
      <w:pPr>
        <w:jc w:val="left"/>
        <w:rPr>
          <w:lang w:val="en-US"/>
        </w:rPr>
      </w:pPr>
    </w:p>
    <w:p w14:paraId="07276034" w14:textId="75A4BE14" w:rsidR="004E20DF" w:rsidRDefault="004E20DF" w:rsidP="004E20DF">
      <w:pPr>
        <w:jc w:val="center"/>
        <w:rPr>
          <w:lang w:val="en-US"/>
        </w:rPr>
      </w:pPr>
    </w:p>
    <w:p w14:paraId="632A4B04" w14:textId="501D9FE7" w:rsidR="00C232A3" w:rsidRDefault="00C0651A" w:rsidP="004E20DF">
      <w:pPr>
        <w:jc w:val="center"/>
        <w:rPr>
          <w:lang w:val="en-US"/>
        </w:rPr>
      </w:pPr>
      <w:r>
        <w:rPr>
          <w:noProof/>
          <w:lang w:val="en-US"/>
        </w:rPr>
        <w:lastRenderedPageBreak/>
        <w:drawing>
          <wp:inline distT="0" distB="0" distL="0" distR="0" wp14:anchorId="1B8C5210" wp14:editId="2B90630B">
            <wp:extent cx="5156200" cy="530493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8590" cy="5307396"/>
                    </a:xfrm>
                    <a:prstGeom prst="rect">
                      <a:avLst/>
                    </a:prstGeom>
                  </pic:spPr>
                </pic:pic>
              </a:graphicData>
            </a:graphic>
          </wp:inline>
        </w:drawing>
      </w:r>
    </w:p>
    <w:p w14:paraId="4F05F402" w14:textId="6F87DD1A" w:rsidR="00C36237" w:rsidRDefault="00C36237" w:rsidP="00C36237">
      <w:pPr>
        <w:jc w:val="left"/>
        <w:rPr>
          <w:lang w:val="en-US"/>
        </w:rPr>
      </w:pPr>
      <w:r>
        <w:rPr>
          <w:lang w:val="en-US"/>
        </w:rPr>
        <w:t>Figure 3.</w:t>
      </w:r>
      <w:r w:rsidRPr="00BB52ED">
        <w:rPr>
          <w:lang w:val="en-US"/>
        </w:rPr>
        <w:t xml:space="preserve"> </w:t>
      </w:r>
      <w:r>
        <w:rPr>
          <w:lang w:val="en-US"/>
        </w:rPr>
        <w:t>Global sea-level contribution</w:t>
      </w:r>
      <w:r w:rsidR="00673450">
        <w:rPr>
          <w:lang w:val="en-US"/>
        </w:rPr>
        <w:t>.</w:t>
      </w:r>
      <w:r>
        <w:rPr>
          <w:lang w:val="en-US"/>
        </w:rPr>
        <w:t xml:space="preserve"> (a) Proxy sea-level records in the Common Era sea-level database, where new sites updated from Kemp et al. </w:t>
      </w:r>
      <w:r w:rsidR="004177C6">
        <w:rPr>
          <w:lang w:val="en-US"/>
        </w:rPr>
        <w:fldChar w:fldCharType="begin"/>
      </w:r>
      <w:r w:rsidR="002A7AC0">
        <w:rPr>
          <w:lang w:val="en-US"/>
        </w:rPr>
        <w:instrText xml:space="preserve"> ADDIN ZOTERO_ITEM CSL_CITATION {"citationID":"wCp5zCUY","properties":{"formattedCitation":"\\super 16\\nosupersub{}","plainCitation":"16","noteIndex":0},"citationItems":[{"id":316,"uris":["http://zotero.org/users/local/XxmvPi45/items/WIISWD8J"],"uri":["http://zotero.org/users/local/XxmvPi45/items/WIISWD8J"],"itemData":{"id":316,"type":"article-journal","abstract":"Several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A7AC0">
        <w:rPr>
          <w:rFonts w:ascii="Cambria Math" w:hAnsi="Cambria Math" w:cs="Cambria Math"/>
          <w:lang w:val="en-US"/>
        </w:rPr>
        <w:instrText>∼</w:instrText>
      </w:r>
      <w:r w:rsidR="002A7AC0">
        <w:rPr>
          <w:lang w:val="en-US"/>
        </w:rPr>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de"}],"issued":{"date-parts":[["2018",12]]}}}],"schema":"https://github.com/citation-style-language/schema/raw/master/csl-citation.json"} </w:instrText>
      </w:r>
      <w:r w:rsidR="004177C6">
        <w:rPr>
          <w:lang w:val="en-US"/>
        </w:rPr>
        <w:fldChar w:fldCharType="separate"/>
      </w:r>
      <w:r w:rsidR="002A7AC0" w:rsidRPr="002A7AC0">
        <w:rPr>
          <w:szCs w:val="24"/>
          <w:vertAlign w:val="superscript"/>
        </w:rPr>
        <w:t>16</w:t>
      </w:r>
      <w:r w:rsidR="004177C6">
        <w:rPr>
          <w:lang w:val="en-US"/>
        </w:rPr>
        <w:fldChar w:fldCharType="end"/>
      </w:r>
      <w:r w:rsidR="00BA226F">
        <w:rPr>
          <w:lang w:val="en-US"/>
        </w:rPr>
        <w:t xml:space="preserve"> </w:t>
      </w:r>
      <w:r>
        <w:rPr>
          <w:lang w:val="en-US"/>
        </w:rPr>
        <w:t xml:space="preserve">are shown in red. (b) </w:t>
      </w:r>
      <w:r>
        <w:t xml:space="preserve">Reconstructed global sea level from this study compared to </w:t>
      </w:r>
      <w:r w:rsidRPr="00C069D2">
        <w:t>the results from</w:t>
      </w:r>
      <w:r>
        <w:t xml:space="preserve"> Kopp et al. </w:t>
      </w:r>
      <w:r w:rsidR="004177C6">
        <w:fldChar w:fldCharType="begin"/>
      </w:r>
      <w:r w:rsidR="002A7AC0">
        <w:instrText xml:space="preserve"> ADDIN ZOTERO_ITEM CSL_CITATION {"citationID":"LyMg30rr","properties":{"formattedCitation":"\\super 11\\nosupersub{}","plainCitation":"11","noteIndex":0},"citationItems":[{"id":261,"uris":["http://zotero.org/users/local/XxmvPi45/items/6B2CJCNF"],"uri":["http://zotero.org/users/local/XxmvPi45/items/6B2CJCNF"],"itemData":{"id":261,"type":"article-journal","container-title":"Proceedings of the National Academy of Sciences","DOI":"10.1073/pnas.1517056113","ISSN":"0027-8424, 1091-6490","issue":"11","language":"en","page":"E1434-E1441","source":"Crossref","title":"Temperature-driven global sea-level variability in the Common Era","volume":"113","author":[{"family":"Kopp","given":"Robert E."},{"family":"Kemp","given":"Andrew C."},{"family":"Bittermann","given":"Klaus"},{"family":"Horton","given":"Benjamin P."},{"family":"Donnelly","given":"Jeffrey P."},{"family":"Gehrels","given":"W. Roland"},{"family":"Hay","given":"Carling C."},{"family":"Mitrovica","given":"Jerry X."},{"family":"Morrow","given":"Eric D."},{"family":"Rahmstorf","given":"Stefan"}],"issued":{"date-parts":[["2016",3,15]]}}}],"schema":"https://github.com/citation-style-language/schema/raw/master/csl-citation.json"} </w:instrText>
      </w:r>
      <w:r w:rsidR="004177C6">
        <w:fldChar w:fldCharType="separate"/>
      </w:r>
      <w:r w:rsidR="002A7AC0" w:rsidRPr="002A7AC0">
        <w:rPr>
          <w:szCs w:val="24"/>
          <w:vertAlign w:val="superscript"/>
        </w:rPr>
        <w:t>11</w:t>
      </w:r>
      <w:r w:rsidR="004177C6">
        <w:fldChar w:fldCharType="end"/>
      </w:r>
      <w:r w:rsidR="00BA226F">
        <w:t xml:space="preserve"> </w:t>
      </w:r>
      <w:r>
        <w:t>and Kemp et al.</w:t>
      </w:r>
      <w:r w:rsidR="0043169C">
        <w:t xml:space="preserve"> </w:t>
      </w:r>
      <w:r w:rsidR="004177C6">
        <w:fldChar w:fldCharType="begin"/>
      </w:r>
      <w:r w:rsidR="002A7AC0">
        <w:instrText xml:space="preserve"> ADDIN ZOTERO_ITEM CSL_CITATION {"citationID":"LTHhu7pz","properties":{"formattedCitation":"\\super 16\\nosupersub{}","plainCitation":"16","noteIndex":0},"citationItems":[{"id":316,"uris":["http://zotero.org/users/local/XxmvPi45/items/WIISWD8J"],"uri":["http://zotero.org/users/local/XxmvPi45/items/WIISWD8J"],"itemData":{"id":316,"type":"article-journal","abstract":"Several processes contributing to coastal relative sea-level (RSL) change in the North Atlantic Ocean are observed and/or predicted to have distinctive spatial expressions that vary by latitude. To expand the latitudinal range of RSL records spanning the past ~3000 years and the likelihood of recognizing the characteristic ﬁngerprints of these processes, we reconstructed RSL at two sites (Big River and Placentia) in Newfoundland from salt-marsh sediment. Bayesian transfer functions established the height of former sea level from preserved assemblages of foraminifera and testate amoebae. Age-depth models constrained by radiocarbon dates and chronohorizons estimated the timing of sediment deposition. During the past ~3000 years, RSL rose by ~3.0 m at Big River and by ~1.5 m at Placentia. A locally calibrated geotechnical model showed that post-depositional lowering through sediment compaction was minimal. To isolate and quantify contributions to RSL from global, regional linear, regional non-linear, and localscale processes, we decomposed the new reconstructions (and those in an expanded, global database) using a spatio-temporal statistical model. The global component conﬁrms that 20th century sea-level rise occurred at the fastest, century-scale rate in over 3000 years (P &gt; 0.999). Distinguishing the contributions from local and regional non-linear processes is made challenging by a sparse network of reconstructions. However, only a small contribution from local-scale processes is necessary to reconcile RSL reconstructions and modeled RSL trends. We identiﬁed three latitudinally-organized groups of sites that share coherent regional non-linear trends and indicate that dynamic redistribution of ocean mass by currents and/or winds was likely an important driver of sea-level change in the North Atlantic Ocean during the past ~3000 years.","container-title":"Quaternary Science Reviews","DOI":"10.1016/j.quascirev.2018.10.012","ISSN":"02773791","language":"en","page":"89-110","source":"Crossref","title":"Relative sea-level change in Newfoundland, Canada during the past </w:instrText>
      </w:r>
      <w:r w:rsidR="002A7AC0">
        <w:rPr>
          <w:rFonts w:ascii="Cambria Math" w:hAnsi="Cambria Math" w:cs="Cambria Math"/>
        </w:rPr>
        <w:instrText>∼</w:instrText>
      </w:r>
      <w:r w:rsidR="002A7AC0">
        <w:instrText xml:space="preserve">3000 years","volume":"201","author":[{"family":"Kemp","given":"Andrew C."},{"family":"Wright","given":"Alexander J."},{"family":"Edwards","given":"Robin J."},{"family":"Barnett","given":"Robert L."},{"family":"Brain","given":"Matthew J."},{"family":"Kopp","given":"Robert E."},{"family":"Cahill","given":"Niamh"},{"family":"Horton","given":"Benjamin P."},{"family":"Charman","given":"Dan J."},{"family":"Hawkes","given":"Andrea D."},{"family":"Hill","given":"Troy D."},{"family":"Plassche","given":"Orson","non-dropping-particle":"van de"}],"issued":{"date-parts":[["2018",12]]}}}],"schema":"https://github.com/citation-style-language/schema/raw/master/csl-citation.json"} </w:instrText>
      </w:r>
      <w:r w:rsidR="004177C6">
        <w:fldChar w:fldCharType="separate"/>
      </w:r>
      <w:r w:rsidR="002A7AC0" w:rsidRPr="002A7AC0">
        <w:rPr>
          <w:szCs w:val="24"/>
          <w:vertAlign w:val="superscript"/>
        </w:rPr>
        <w:t>16</w:t>
      </w:r>
      <w:r w:rsidR="004177C6">
        <w:fldChar w:fldCharType="end"/>
      </w:r>
      <w:r>
        <w:t xml:space="preserve">. </w:t>
      </w:r>
      <w:r>
        <w:rPr>
          <w:lang w:val="en-US"/>
        </w:rPr>
        <w:t>Model predictions are the mean with 1σ uncertainty.</w:t>
      </w:r>
    </w:p>
    <w:p w14:paraId="326EBDAE" w14:textId="77777777" w:rsidR="00C36237" w:rsidRDefault="00C36237" w:rsidP="00C36237">
      <w:pPr>
        <w:jc w:val="left"/>
        <w:rPr>
          <w:lang w:val="en-US"/>
        </w:rPr>
      </w:pPr>
    </w:p>
    <w:p w14:paraId="1BE6773E" w14:textId="490FEC46" w:rsidR="004E20DF" w:rsidRDefault="004E20DF" w:rsidP="004E20DF">
      <w:pPr>
        <w:jc w:val="center"/>
        <w:rPr>
          <w:lang w:val="en-US"/>
        </w:rPr>
      </w:pPr>
    </w:p>
    <w:p w14:paraId="4EB40FE0" w14:textId="074C22E8" w:rsidR="00C232A3" w:rsidRDefault="00B37537" w:rsidP="004E20DF">
      <w:pPr>
        <w:jc w:val="center"/>
        <w:rPr>
          <w:lang w:val="en-US"/>
        </w:rPr>
      </w:pPr>
      <w:r>
        <w:rPr>
          <w:noProof/>
          <w:lang w:val="en-US"/>
        </w:rPr>
        <w:lastRenderedPageBreak/>
        <w:drawing>
          <wp:inline distT="0" distB="0" distL="0" distR="0" wp14:anchorId="0EE3C59F" wp14:editId="66FBB154">
            <wp:extent cx="5719233" cy="593675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2302" cy="5939945"/>
                    </a:xfrm>
                    <a:prstGeom prst="rect">
                      <a:avLst/>
                    </a:prstGeom>
                  </pic:spPr>
                </pic:pic>
              </a:graphicData>
            </a:graphic>
          </wp:inline>
        </w:drawing>
      </w:r>
    </w:p>
    <w:p w14:paraId="5D6F8497" w14:textId="56A094BF" w:rsidR="00C36237" w:rsidRDefault="00C36237" w:rsidP="00C36237">
      <w:pPr>
        <w:jc w:val="left"/>
        <w:rPr>
          <w:lang w:val="en-US"/>
        </w:rPr>
      </w:pPr>
      <w:r>
        <w:rPr>
          <w:lang w:val="en-US"/>
        </w:rPr>
        <w:t>Figure 4.</w:t>
      </w:r>
      <w:r w:rsidRPr="00BB52ED">
        <w:t xml:space="preserve"> </w:t>
      </w:r>
      <w:r>
        <w:t xml:space="preserve">Common Era sea-level budgets. Budgets are separated into global, linear, regional non-linear, and local components for </w:t>
      </w:r>
      <w:r>
        <w:rPr>
          <w:lang w:val="en-US"/>
        </w:rPr>
        <w:t>(a) northern New Jersey; (b) Connecticut; (c) New York; (d) southern New Jersey – Leeds Point (LP); (e) southern New Jersey – Cape May Courthouse (CMC); (f) North Carolina. Total rates for each site are indicated by dashed black line. Percentage contributions of each budget component are also shown for northern New Jersey for five 100-year time intervals through the Common Era.</w:t>
      </w:r>
    </w:p>
    <w:p w14:paraId="76CBBA7C" w14:textId="0149035C" w:rsidR="00C232A3" w:rsidRDefault="002B2689" w:rsidP="00397386">
      <w:pPr>
        <w:jc w:val="center"/>
        <w:rPr>
          <w:lang w:val="en-US"/>
        </w:rPr>
      </w:pPr>
      <w:r>
        <w:rPr>
          <w:noProof/>
          <w:lang w:val="en-US"/>
        </w:rPr>
        <w:lastRenderedPageBreak/>
        <w:drawing>
          <wp:inline distT="0" distB="0" distL="0" distR="0" wp14:anchorId="69128D60" wp14:editId="35652EF1">
            <wp:extent cx="3474384" cy="506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6856" cy="5100075"/>
                    </a:xfrm>
                    <a:prstGeom prst="rect">
                      <a:avLst/>
                    </a:prstGeom>
                  </pic:spPr>
                </pic:pic>
              </a:graphicData>
            </a:graphic>
          </wp:inline>
        </w:drawing>
      </w:r>
    </w:p>
    <w:p w14:paraId="4105968F" w14:textId="469D83F3" w:rsidR="00477CDD" w:rsidRDefault="00C42CC1" w:rsidP="00C36237">
      <w:pPr>
        <w:jc w:val="left"/>
        <w:rPr>
          <w:lang w:val="en-US"/>
        </w:rPr>
      </w:pPr>
      <w:r>
        <w:rPr>
          <w:lang w:val="en-US"/>
        </w:rPr>
        <w:t xml:space="preserve">Figure 5. </w:t>
      </w:r>
      <w:r w:rsidR="00520D80">
        <w:rPr>
          <w:lang w:val="en-US"/>
        </w:rPr>
        <w:t xml:space="preserve">Sea-level budget compared with climate proxies over the Common Era. </w:t>
      </w:r>
      <w:r w:rsidR="00783138">
        <w:rPr>
          <w:lang w:val="en-US"/>
        </w:rPr>
        <w:t xml:space="preserve">(a) </w:t>
      </w:r>
      <w:r>
        <w:rPr>
          <w:lang w:val="en-US"/>
        </w:rPr>
        <w:t xml:space="preserve">Global and regional non-linear portion of </w:t>
      </w:r>
      <w:r w:rsidR="0068718F">
        <w:rPr>
          <w:lang w:val="en-US"/>
        </w:rPr>
        <w:t xml:space="preserve">the </w:t>
      </w:r>
      <w:r>
        <w:rPr>
          <w:lang w:val="en-US"/>
        </w:rPr>
        <w:t xml:space="preserve">sea-level </w:t>
      </w:r>
      <w:r w:rsidR="00673450">
        <w:rPr>
          <w:lang w:val="en-US"/>
        </w:rPr>
        <w:t>budget for</w:t>
      </w:r>
      <w:r>
        <w:rPr>
          <w:lang w:val="en-US"/>
        </w:rPr>
        <w:t xml:space="preserve"> northern New Jersey. </w:t>
      </w:r>
      <w:r w:rsidR="00516095">
        <w:rPr>
          <w:lang w:val="en-US"/>
        </w:rPr>
        <w:t xml:space="preserve">RSL = relative sea level. </w:t>
      </w:r>
      <w:r w:rsidR="00783138">
        <w:rPr>
          <w:lang w:val="en-US"/>
        </w:rPr>
        <w:t xml:space="preserve">(b) </w:t>
      </w:r>
      <w:r>
        <w:rPr>
          <w:lang w:val="en-US"/>
        </w:rPr>
        <w:t xml:space="preserve">PAGES2k global surface temperature anomaly from Neukom et al. </w:t>
      </w:r>
      <w:r>
        <w:rPr>
          <w:lang w:val="en-US"/>
        </w:rPr>
        <w:fldChar w:fldCharType="begin"/>
      </w:r>
      <w:r w:rsidR="002A7AC0">
        <w:rPr>
          <w:lang w:val="en-US"/>
        </w:rPr>
        <w:instrText xml:space="preserve"> ADDIN ZOTERO_ITEM CSL_CITATION {"citationID":"QXzzXPLk","properties":{"formattedCitation":"\\super 20\\nosupersub{}","plainCitation":"20","noteIndex":0},"citationItems":[{"id":1001,"uris":["http://zotero.org/users/local/XxmvPi45/items/4Z3UGEED"],"uri":["http://zotero.org/users/local/XxmvPi45/items/4Z3UGEED"],"itemData":{"id":1001,"type":"article-journal","abstract":"Multidecadal surface temperature changes may be forced by natural as well as anthropogenic factors, or arise unforced from the climate system. Distinguishing these factors is essential for estimating sensitivity to multiple climatic forcings and the amplitude of the unforced variability. Here we present 2,000-year-long global mean temperature reconstructions using seven different statistical methods that draw from a global collection of temperature-sensitive palaeoclimate records. Our reconstructions display synchronous multidecadal temperature fluctuations that are coherent with one another and with fully forced millennial model simulations from the Coupled Model Intercomparison Project Phase 5 across the Common Era. A substantial portion of pre-industrial (1300–1800 ce) variability at multidecadal timescales is attributed to volcanic aerosol forcing. Reconstructions and simulations qualitatively agree on the amplitude of the unforced global mean multidecadal temperature variability, thereby increasing confidence in future projections of climate change on these timescales. The largest warming trends at timescales of 20 years and longer occur during the second half of the twentieth century, highlighting the unusual character of the warming in recent decades.","container-title":"Nature Geoscience","DOI":"10.1038/s41561-019-0400-0","ISSN":"1752-0908","issue":"8","language":"en","note":"number: 8\npublisher: Nature Publishing Group","page":"643-649","source":"www.nature.com","title":"Consistent multidecadal variability in global temperature reconstructions and simulations over the Common Era","volume":"12","author":[{"family":"Neukom","given":"Raphael"},{"family":"Barboza","given":"Luis A."},{"family":"Erb","given":"Michael P."},{"family":"Shi","given":"Feng"},{"family":"Emile-Geay","given":"Julien"},{"family":"Evans","given":"Michael N."},{"family":"Franke","given":"Jörg"},{"family":"Kaufman","given":"Darrell S."},{"family":"Lücke","given":"Lucie"},{"family":"Rehfeld","given":"Kira"},{"family":"Schurer","given":"Andrew"},{"family":"Zhu","given":"Feng"},{"family":"Brönnimann","given":"Stefan"},{"family":"Hakim","given":"Gregory J."},{"family":"Henley","given":"Benjamin J."},{"family":"Ljungqvist","given":"Fredrik Charpentier"},{"family":"McKay","given":"Nicholas"},{"family":"Valler","given":"Veronika"},{"family":"Gunten","given":"Lucien","non-dropping-particle":"von"},{"literal":"PAGES 2k Consortium"}],"issued":{"date-parts":[["2019",8]]}},"suppress-author":true}],"schema":"https://github.com/citation-style-language/schema/raw/master/csl-citation.json"} </w:instrText>
      </w:r>
      <w:r>
        <w:rPr>
          <w:lang w:val="en-US"/>
        </w:rPr>
        <w:fldChar w:fldCharType="separate"/>
      </w:r>
      <w:r w:rsidR="002A7AC0" w:rsidRPr="002A7AC0">
        <w:rPr>
          <w:szCs w:val="24"/>
          <w:vertAlign w:val="superscript"/>
        </w:rPr>
        <w:t>20</w:t>
      </w:r>
      <w:r>
        <w:rPr>
          <w:lang w:val="en-US"/>
        </w:rPr>
        <w:fldChar w:fldCharType="end"/>
      </w:r>
      <w:r w:rsidR="00783138">
        <w:rPr>
          <w:lang w:val="en-US"/>
        </w:rPr>
        <w:t xml:space="preserve"> and</w:t>
      </w:r>
      <w:r>
        <w:rPr>
          <w:lang w:val="en-US"/>
        </w:rPr>
        <w:t xml:space="preserve"> standardized Ocean2k synthesis of median global sea surface temperature (SST) anomaly from McGregor et al. </w:t>
      </w:r>
      <w:r>
        <w:rPr>
          <w:lang w:val="en-US"/>
        </w:rPr>
        <w:fldChar w:fldCharType="begin"/>
      </w:r>
      <w:r w:rsidR="009536F2">
        <w:rPr>
          <w:lang w:val="en-US"/>
        </w:rPr>
        <w:instrText xml:space="preserve"> ADDIN ZOTERO_ITEM CSL_CITATION {"citationID":"UtH0V9hM","properties":{"formattedCitation":"\\super 69\\nosupersub{}","plainCitation":"69","noteIndex":0},"citationItems":[{"id":998,"uris":["http://zotero.org/users/local/XxmvPi45/items/QXKUWLYK"],"uri":["http://zotero.org/users/local/XxmvPi45/items/QXKUWLYK"],"itemData":{"id":998,"type":"article-journal","abstract":"Sea surface temperatures have varied over the past 2,000 years. A synthesis of surface-temperature reconstructions shows ocean surface cooling from ad 1 to 1800, with much of the trend from 800 to 1800 driven by volcanic eruptions.","container-title":"Nature Geoscience","DOI":"10.1038/ngeo2510","ISSN":"1752-0908","issue":"9","language":"en","note":"number: 9\npublisher: Nature Publishing Group","page":"671-677","source":"www.nature.com","title":"Robust global ocean cooling trend for the pre-industrial Common Era","volume":"8","author":[{"family":"McGregor","given":"Helen V."},{"family":"Evans","given":"Michael N."},{"family":"Goosse","given":"Hugues"},{"family":"Leduc","given":"Guillaume"},{"family":"Martrat","given":"Belen"},{"family":"Addison","given":"Jason A."},{"family":"Mortyn","given":"P. Graham"},{"family":"Oppo","given":"Delia W."},{"family":"Seidenkrantz","given":"Marit-Solveig"},{"family":"Sicre","given":"Marie-Alexandrine"},{"family":"Phipps","given":"Steven J."},{"family":"Selvaraj","given":"Kandasamy"},{"family":"Thirumalai","given":"Kaustubh"},{"family":"Filipsson","given":"Helena L."},{"family":"Ersek","given":"Vasile"}],"issued":{"date-parts":[["2015",9]]}},"suppress-author":true}],"schema":"https://github.com/citation-style-language/schema/raw/master/csl-citation.json"} </w:instrText>
      </w:r>
      <w:r>
        <w:rPr>
          <w:lang w:val="en-US"/>
        </w:rPr>
        <w:fldChar w:fldCharType="separate"/>
      </w:r>
      <w:r w:rsidR="009536F2" w:rsidRPr="009536F2">
        <w:rPr>
          <w:szCs w:val="24"/>
          <w:vertAlign w:val="superscript"/>
        </w:rPr>
        <w:t>69</w:t>
      </w:r>
      <w:r>
        <w:rPr>
          <w:lang w:val="en-US"/>
        </w:rPr>
        <w:fldChar w:fldCharType="end"/>
      </w:r>
      <w:r w:rsidR="00783138">
        <w:rPr>
          <w:lang w:val="en-US"/>
        </w:rPr>
        <w:t>. (c) N</w:t>
      </w:r>
      <w:r>
        <w:rPr>
          <w:lang w:val="en-US"/>
        </w:rPr>
        <w:t xml:space="preserve">umber of glacial advances by region from Solomina et al. </w:t>
      </w:r>
      <w:r>
        <w:rPr>
          <w:lang w:val="en-US"/>
        </w:rPr>
        <w:fldChar w:fldCharType="begin"/>
      </w:r>
      <w:r w:rsidR="002A7AC0">
        <w:rPr>
          <w:lang w:val="en-US"/>
        </w:rPr>
        <w:instrText xml:space="preserve"> ADDIN ZOTERO_ITEM CSL_CITATION {"citationID":"B738i2DR","properties":{"formattedCitation":"\\super 21\\nosupersub{}","plainCitation":"21","noteIndex":0},"citationItems":[{"id":994,"uris":["http://zotero.org/users/local/XxmvPi45/items/68Q35U9E"],"uri":["http://zotero.org/users/local/XxmvPi45/items/68Q35U9E"],"itemData":{"id":994,"type":"article-journal","abstract":"A global compilation of glacier advances and retreats for the past two millennia grouped by 17 regions (excluding Antarctica) highlights the nature of glacier fluctuations during the late Holocene. The dataset includes 275 time series of glacier fluctuations based on historical, tree ring, lake sediment, radiocarbon and terrestrial cosmogenic nuclide data. The most detailed and reliable series for individual glaciers and regional compilations are compared with summer temperature and, when available, winter precipitation reconstructions, the most important parameters for glacier mass balance. In many cases major glacier advances correlate with multi-decadal periods of decreased summer temperature. In a few cases, such as in Arctic Alaska and western Canada, some glacier advances occurred during relatively warm wet times. The timing and scale of glacier fluctuations over the past two millennia varies greatly from region to region. However, the number of glacier advances shows a clear pattern for the high, mid and low latitudes and, hence, points to common forcing factors acting at the global scale. Globally, during the first millennium CE glaciers were smaller than between the advances in 13th to early 20th centuries CE. The precise extent of glacier retreat in the first millennium is not well defined; however, the most conservative estimates indicate that during the 1st and 2nd centuries in some regions glaciers were smaller than at the end of 20th/early 21st centuries. Other periods of glacier retreat are identified regionally during the 5th and 8th centuries in the European Alps, in the 3rd–6th and 9th centuries in Norway, during the 10th–13th centuries in southern Alaska, and in the 18th century in Spitsbergen. However, no single period of common global glacier retreat of centennial duration, except for the past century, has yet been identified. In contrast, the view that the Little Ice Age was a period of global glacier expansion beginning in the 13th century (or earlier) and reaching a maximum in 17th–19th centuries is supported by our data. The pattern of glacier variations in the past two millennia corresponds with cooling in reconstructed temperature records at the continental and hemispheric scales. The number of glacier advances also broadly matches periods showing high volcanic activity and low solar irradiance over the past two millennia, although the resolution of most glacier chronologies is not enough for robust statistical correlations. Glacier retreat in the past 100–150 years corresponds to the anthropogenic global temperature increase. Many questions concerning the relative strength of forcing factors that drove glacier variations in the past 2 ka still remain.","container-title":"Quaternary Science Reviews","DOI":"10.1016/j.quascirev.2016.04.008","ISSN":"0277-3791","journalAbbreviation":"Quaternary Science Reviews","language":"en","page":"61-90","source":"ScienceDirect","title":"Glacier fluctuations during the past 2000 years","volume":"149","author":[{"family":"Solomina","given":"Olga N."},{"family":"Bradley","given":"Raymond S."},{"family":"Jomelli","given":"Vincent"},{"family":"Geirsdottir","given":"Aslaug"},{"family":"Kaufman","given":"Darrell S."},{"family":"Koch","given":"Johannes"},{"family":"McKay","given":"Nicholas P."},{"family":"Masiokas","given":"Mariano"},{"family":"Miller","given":"Gifford"},{"family":"Nesje","given":"Atle"},{"family":"Nicolussi","given":"Kurt"},{"family":"Owen","given":"Lewis A."},{"family":"Putnam","given":"Aaron E."},{"family":"Wanner","given":"Heinz"},{"family":"Wiles","given":"Gregory"},{"family":"Yang","given":"Bao"}],"issued":{"date-parts":[["2016",10,1]]}},"suppress-author":true}],"schema":"https://github.com/citation-style-language/schema/raw/master/csl-citation.json"} </w:instrText>
      </w:r>
      <w:r>
        <w:rPr>
          <w:lang w:val="en-US"/>
        </w:rPr>
        <w:fldChar w:fldCharType="separate"/>
      </w:r>
      <w:r w:rsidR="002A7AC0" w:rsidRPr="002A7AC0">
        <w:rPr>
          <w:szCs w:val="24"/>
          <w:vertAlign w:val="superscript"/>
        </w:rPr>
        <w:t>21</w:t>
      </w:r>
      <w:r>
        <w:rPr>
          <w:lang w:val="en-US"/>
        </w:rPr>
        <w:fldChar w:fldCharType="end"/>
      </w:r>
      <w:r w:rsidR="00783138">
        <w:rPr>
          <w:lang w:val="en-US"/>
        </w:rPr>
        <w:t xml:space="preserve"> and </w:t>
      </w:r>
      <w:r w:rsidR="00F079C3">
        <w:rPr>
          <w:lang w:val="en-US"/>
        </w:rPr>
        <w:t>rate of Greenland ice-mass change</w:t>
      </w:r>
      <w:r w:rsidR="00311332">
        <w:rPr>
          <w:lang w:val="en-US"/>
        </w:rPr>
        <w:t xml:space="preserve"> from Briner et al. </w:t>
      </w:r>
      <w:r w:rsidR="00311332">
        <w:rPr>
          <w:lang w:val="en-US"/>
        </w:rPr>
        <w:fldChar w:fldCharType="begin"/>
      </w:r>
      <w:r w:rsidR="002A7AC0">
        <w:rPr>
          <w:lang w:val="en-US"/>
        </w:rPr>
        <w:instrText xml:space="preserve"> ADDIN ZOTERO_ITEM CSL_CITATION {"citationID":"DAdPkmcl","properties":{"formattedCitation":"\\super 36\\nosupersub{}","plainCitation":"36","noteIndex":0},"citationItems":[{"id":1008,"uris":["http://zotero.org/users/local/XxmvPi45/items/GVLERQWC"],"uri":["http://zotero.org/users/local/XxmvPi45/items/GVLERQWC"],"itemData":{"id":1008,"type":"article-journal","abstract":"The Greenland Ice Sheet (GIS) is losing mass at a high rate1. Given the short-term nature of the observational record, it is difficult to assess the historical importance of this mass-loss trend. Unlike records of greenhouse gas concentrations and global temperature, in which observations have been merged with palaeoclimate datasets, there are no comparably long records for rates of GIS mass change. Here we reveal unprecedented mass loss from the GIS this century, by placing contemporary and future rates of GIS mass loss within the context of the natural variability over the past 12,000 years. We force a high-resolution ice-sheet model with an ensemble of climate histories constrained by ice-core data2. Our simulation domain covers southwestern Greenland, the mass change of which is dominated by surface mass balance. The results agree favourably with an independent chronology of the history of the GIS margin3,4. The largest pre-industrial rates of mass loss (up to 6,000 billion tonnes per century) occurred in the early Holocene, and were similar to the contemporary (ad 2000–2018) rate of around 6,100 billion tonnes per century5. Simulations of future mass loss from southwestern GIS, based on Representative Concentration Pathway (RCP) scenarios corresponding to low (RCP2.6) and high (RCP8.5) greenhouse gas concentration trajectories6, predict mass loss of between 8,800 and 35,900 billion tonnes over the twenty-first century. These rates of GIS mass loss exceed the maximum rates over the past 12,000 years. Because rates of mass loss from the southwestern GIS scale linearly5 with the GIS as a whole, our results indicate, with high confidence, that the rate of mass loss from the GIS will exceed Holocene rates this century.","container-title":"Nature","DOI":"10.1038/s41586-020-2742-6","ISSN":"1476-4687","issue":"7827","language":"en","note":"number: 7827\npublisher: Nature Publishing Group","page":"70-74","source":"www.nature.com","title":"Rate of mass loss from the Greenland Ice Sheet will exceed Holocene values this century","volume":"586","author":[{"family":"Briner","given":"Jason P."},{"family":"Cuzzone","given":"Joshua K."},{"family":"Badgeley","given":"Jessica A."},{"family":"Young","given":"Nicolás E."},{"family":"Steig","given":"Eric J."},{"family":"Morlighem","given":"Mathieu"},{"family":"Schlegel","given":"Nicole-Jeanne"},{"family":"Hakim","given":"Gregory J."},{"family":"Schaefer","given":"Joerg M."},{"family":"Johnson","given":"Jesse V."},{"family":"Lesnek","given":"Alia J."},{"family":"Thomas","given":"Elizabeth K."},{"family":"Allan","given":"Estelle"},{"family":"Bennike","given":"Ole"},{"family":"Cluett","given":"Allison A."},{"family":"Csatho","given":"Beata"},{"family":"Vernal","given":"Anne","non-dropping-particle":"de"},{"family":"Downs","given":"Jacob"},{"family":"Larour","given":"Eric"},{"family":"Nowicki","given":"Sophie"}],"issued":{"date-parts":[["2020",10]]}}}],"schema":"https://github.com/citation-style-language/schema/raw/master/csl-citation.json"} </w:instrText>
      </w:r>
      <w:r w:rsidR="00311332">
        <w:rPr>
          <w:lang w:val="en-US"/>
        </w:rPr>
        <w:fldChar w:fldCharType="separate"/>
      </w:r>
      <w:r w:rsidR="002A7AC0" w:rsidRPr="002A7AC0">
        <w:rPr>
          <w:szCs w:val="24"/>
          <w:vertAlign w:val="superscript"/>
        </w:rPr>
        <w:t>36</w:t>
      </w:r>
      <w:r w:rsidR="00311332">
        <w:rPr>
          <w:lang w:val="en-US"/>
        </w:rPr>
        <w:fldChar w:fldCharType="end"/>
      </w:r>
      <w:r w:rsidR="00783138">
        <w:rPr>
          <w:lang w:val="en-US"/>
        </w:rPr>
        <w:t>. (d)</w:t>
      </w:r>
      <w:r w:rsidR="00311332">
        <w:rPr>
          <w:lang w:val="en-US"/>
        </w:rPr>
        <w:t xml:space="preserve"> </w:t>
      </w:r>
      <w:r w:rsidR="0096648E">
        <w:rPr>
          <w:lang w:val="en-US"/>
        </w:rPr>
        <w:t>Atlantic Meridional Overturning Circulation (</w:t>
      </w:r>
      <w:r w:rsidR="007A41E9">
        <w:rPr>
          <w:lang w:val="en-US"/>
        </w:rPr>
        <w:t>AMOC</w:t>
      </w:r>
      <w:r w:rsidR="0096648E">
        <w:rPr>
          <w:lang w:val="en-US"/>
        </w:rPr>
        <w:t>)</w:t>
      </w:r>
      <w:r w:rsidR="007A41E9">
        <w:rPr>
          <w:lang w:val="en-US"/>
        </w:rPr>
        <w:t xml:space="preserve"> proxy reconstructions from Rahmstorf et al. </w:t>
      </w:r>
      <w:r w:rsidR="007A41E9">
        <w:rPr>
          <w:lang w:val="en-US"/>
        </w:rPr>
        <w:fldChar w:fldCharType="begin"/>
      </w:r>
      <w:r w:rsidR="009536F2">
        <w:rPr>
          <w:lang w:val="en-US"/>
        </w:rPr>
        <w:instrText xml:space="preserve"> ADDIN ZOTERO_ITEM CSL_CITATION {"citationID":"1OeesWmT","properties":{"formattedCitation":"\\super 70\\nosupersub{}","plainCitation":"70","noteIndex":0},"citationItems":[{"id":970,"uris":["http://zotero.org/users/local/XxmvPi45/items/86KSDJTX"],"uri":["http://zotero.org/users/local/XxmvPi45/items/86KSDJTX"],"itemData":{"id":970,"type":"article-journal","abstract":"Possible changes in Atlantic meridional overturning circulation (AMOC) provide a key source of uncertainty regarding future climate change. Maps of temperature trends over the twentieth century show a conspicuous region of cooling in the northern Atlantic. Here we present multiple lines of evidence suggesting that this cooling may be due to a reduction in the AMOC over the twentieth century and particularly after 1970. Since 1990 the AMOC seems to have partly recovered. This time evolution is consistently suggested by an AMOC index based on sea surface temperatures, by the hemispheric temperature difference, by coral-based proxies and by oceanic measurements. We discuss a possible contribution of the melting of the Greenland Ice Sheet to the slowdown. Using a multi-proxy temperature reconstruction for the AMOC index suggests that the AMOC weakness after 1975 is an unprecedented event in the past millennium (p &gt; 0.99). Further melting of Greenland in the coming decades could contribute to further weakening of the AMOC.","container-title":"Nature Climate Change","DOI":"10.1038/nclimate2554","ISSN":"1758-6798","issue":"5","language":"en","note":"number: 5\npublisher: Nature Publishing Group","page":"475-480","source":"www.nature.com","title":"Exceptional twentieth-century slowdown in Atlantic Ocean overturning circulation","volume":"5","author":[{"family":"Rahmstorf","given":"Stefan"},{"family":"Box","given":"Jason E."},{"family":"Feulner","given":"Georg"},{"family":"Mann","given":"Michael E."},{"family":"Robinson","given":"Alexander"},{"family":"Rutherford","given":"Scott"},{"family":"Schaffernicht","given":"Erik J."}],"issued":{"date-parts":[["2015",5]]}},"suppress-author":true}],"schema":"https://github.com/citation-style-language/schema/raw/master/csl-citation.json"} </w:instrText>
      </w:r>
      <w:r w:rsidR="007A41E9">
        <w:rPr>
          <w:lang w:val="en-US"/>
        </w:rPr>
        <w:fldChar w:fldCharType="separate"/>
      </w:r>
      <w:r w:rsidR="009536F2" w:rsidRPr="009536F2">
        <w:rPr>
          <w:szCs w:val="24"/>
          <w:vertAlign w:val="superscript"/>
        </w:rPr>
        <w:t>70</w:t>
      </w:r>
      <w:r w:rsidR="007A41E9">
        <w:rPr>
          <w:lang w:val="en-US"/>
        </w:rPr>
        <w:fldChar w:fldCharType="end"/>
      </w:r>
      <w:r w:rsidR="007A41E9">
        <w:rPr>
          <w:lang w:val="en-US"/>
        </w:rPr>
        <w:t xml:space="preserve"> and Thornalley et al. </w:t>
      </w:r>
      <w:r w:rsidR="007A41E9">
        <w:rPr>
          <w:lang w:val="en-US"/>
        </w:rPr>
        <w:fldChar w:fldCharType="begin"/>
      </w:r>
      <w:r w:rsidR="002A7AC0">
        <w:rPr>
          <w:lang w:val="en-US"/>
        </w:rPr>
        <w:instrText xml:space="preserve"> ADDIN ZOTERO_ITEM CSL_CITATION {"citationID":"uf7FhWMj","properties":{"formattedCitation":"\\super 32\\nosupersub{}","plainCitation":"32","noteIndex":0},"citationItems":[{"id":961,"uris":["http://zotero.org/users/local/XxmvPi45/items/S8LEGAF3"],"uri":["http://zotero.org/users/local/XxmvPi45/items/S8LEGAF3"],"itemData":{"id":961,"type":"article-journal","abstract":"The Atlantic meridional overturning circulation (AMOC) is a system of ocean currents that has an essential role in Earth’s climate, redistributing heat and influencing the carbon cycle1, 2. The AMOC has been shown to be weakening in recent years1; this decline may reflect decadal-scale variability in convection in the Labrador Sea, but short observational datasets preclude a longer-term perspective on the modern state and variability of Labrador Sea convection and the AMOC1, 3–5. Here we provide several lines of palaeo-oceanographic evidence that Labrador Sea deep convection and the AMOC have been anomalously weak over the past 150 years or so (since the end of the Little Ice Age, LIA, approximately ad 1850) compared with the preceding 1,500 years. Our palaeoclimate reconstructions indicate that the transition occurred either as a predominantly abrupt shift towards the end of the LIA, or as a more gradual, continued decline over the past 150 years; this ambiguity probably arises from non-AMOC influences on the various proxies or from the different sensitivities of these proxies to individual components of the AMOC. We suggest that enhanced freshwater fluxes from the Arctic and Nordic seas towards the end of the LIA—sourced from melting glaciers and thickened sea ice that developed earlier in the LIA—weakened Labrador Sea convection and the AMOC. The lack of a subsequent recovery may have resulted from hysteresis or from twentieth-century melting of the Greenland Ice Sheet6. Our results suggest that recent decadal variability in Labrador Sea convection and the AMOC has occurred during an atypical, weak background state. Future work should aim to constrain the roles of internal climate variability and early anthropogenic forcing in the AMOC weakening described here.","container-title":"Nature","DOI":"10.1038/s41586-018-0007-4","ISSN":"1476-4687","issue":"7700","language":"en","note":"number: 7700\npublisher: Nature Publishing Group","page":"227-230","source":"www.nature.com","title":"Anomalously weak Labrador Sea convection and Atlantic overturning during the past 150 years","volume":"556","author":[{"family":"Thornalley","given":"David J. R."},{"family":"Oppo","given":"Delia W."},{"family":"Ortega","given":"Pablo"},{"family":"Robson","given":"Jon I."},{"family":"Brierley","given":"Chris M."},{"family":"Davis","given":"Renee"},{"family":"Hall","given":"Ian R."},{"family":"Moffa-Sanchez","given":"Paola"},{"family":"Rose","given":"Neil L."},{"family":"Spooner","given":"Peter T."},{"family":"Yashayaev","given":"Igor"},{"family":"Keigwin","given":"Lloyd D."}],"issued":{"date-parts":[["2018",4]]}},"suppress-author":true}],"schema":"https://github.com/citation-style-language/schema/raw/master/csl-citation.json"} </w:instrText>
      </w:r>
      <w:r w:rsidR="007A41E9">
        <w:rPr>
          <w:lang w:val="en-US"/>
        </w:rPr>
        <w:fldChar w:fldCharType="separate"/>
      </w:r>
      <w:r w:rsidR="002A7AC0" w:rsidRPr="002A7AC0">
        <w:rPr>
          <w:szCs w:val="24"/>
          <w:vertAlign w:val="superscript"/>
        </w:rPr>
        <w:t>32</w:t>
      </w:r>
      <w:r w:rsidR="007A41E9">
        <w:rPr>
          <w:lang w:val="en-US"/>
        </w:rPr>
        <w:fldChar w:fldCharType="end"/>
      </w:r>
      <w:r w:rsidR="00783138">
        <w:rPr>
          <w:lang w:val="en-US"/>
        </w:rPr>
        <w:t xml:space="preserve"> and</w:t>
      </w:r>
      <w:r w:rsidR="007A41E9">
        <w:rPr>
          <w:lang w:val="en-US"/>
        </w:rPr>
        <w:t xml:space="preserve"> positive and negative </w:t>
      </w:r>
      <w:r w:rsidR="0096648E">
        <w:rPr>
          <w:lang w:val="en-US"/>
        </w:rPr>
        <w:t>North Atlantic Oscillation (</w:t>
      </w:r>
      <w:r w:rsidR="007A41E9">
        <w:rPr>
          <w:lang w:val="en-US"/>
        </w:rPr>
        <w:t>NAO</w:t>
      </w:r>
      <w:r w:rsidR="0096648E">
        <w:rPr>
          <w:lang w:val="en-US"/>
        </w:rPr>
        <w:t>)</w:t>
      </w:r>
      <w:r w:rsidR="007A41E9">
        <w:rPr>
          <w:lang w:val="en-US"/>
        </w:rPr>
        <w:t xml:space="preserve"> reconstruction adapted from Baker et al. </w:t>
      </w:r>
      <w:r w:rsidR="007A41E9">
        <w:rPr>
          <w:lang w:val="en-US"/>
        </w:rPr>
        <w:fldChar w:fldCharType="begin"/>
      </w:r>
      <w:r w:rsidR="002A7AC0">
        <w:rPr>
          <w:lang w:val="en-US"/>
        </w:rPr>
        <w:instrText xml:space="preserve"> ADDIN ZOTERO_ITEM CSL_CITATION {"citationID":"3ZMBh470","properties":{"formattedCitation":"\\super 30\\nosupersub{}","plainCitation":"30","noteIndex":0},"citationItems":[{"id":964,"uris":["http://zotero.org/users/local/XxmvPi45/items/EZ7MVKE2"],"uri":["http://zotero.org/users/local/XxmvPi45/items/EZ7MVKE2"],"itemData":{"id":964,"type":"article-journal","abstract":"Annually laminated stalagmites can be used to construct a precise chronology and variations in laminae thickness provide an annual growth-rate record that can be used as a proxy for past climate and environmental change. Here, we present and analyse the first composite speleothem annual growth-rate record based on five stalagmites from the same cave system in northwest Scotland, where precipitation is sensitive to North Atlantic climate variability and the winter North Atlantic Oscillation (NAO). Our 3000-year record confirms persistently low growth-rates, reflective of positive NAO states, during the Medieval Climate Anomaly (MCA). Another persistently low growth period occurring at 290-550 CE coincides with the European Migration Period and a subsequent period of sustained fast growth-rate (negative NAO) from 600-900 AD provides the climate context for the Viking Age in northern and western Europe.","container-title":"Scientific Reports","DOI":"10.1038/srep10307","ISSN":"2045-2322","issue":"1","language":"en","note":"number: 1\npublisher: Nature Publishing Group","page":"10307","source":"www.nature.com","title":"A composite annual-resolution stalagmite record of North Atlantic climate over the last three millennia","volume":"5","author":[{"family":"Baker","given":"Andy"},{"family":"C. Hellstrom","given":"John"},{"family":"Kelly","given":"Bryce F. J."},{"family":"Mariethoz","given":"Gregoire"},{"family":"Trouet","given":"Valerie"}],"issued":{"date-parts":[["2015",6,11]]}},"suppress-author":true}],"schema":"https://github.com/citation-style-language/schema/raw/master/csl-citation.json"} </w:instrText>
      </w:r>
      <w:r w:rsidR="007A41E9">
        <w:rPr>
          <w:lang w:val="en-US"/>
        </w:rPr>
        <w:fldChar w:fldCharType="separate"/>
      </w:r>
      <w:r w:rsidR="002A7AC0" w:rsidRPr="002A7AC0">
        <w:rPr>
          <w:szCs w:val="24"/>
          <w:vertAlign w:val="superscript"/>
        </w:rPr>
        <w:t>30</w:t>
      </w:r>
      <w:r w:rsidR="007A41E9">
        <w:rPr>
          <w:lang w:val="en-US"/>
        </w:rPr>
        <w:fldChar w:fldCharType="end"/>
      </w:r>
      <w:r w:rsidR="007A41E9">
        <w:rPr>
          <w:lang w:val="en-US"/>
        </w:rPr>
        <w:t>.</w:t>
      </w:r>
      <w:r w:rsidR="00FC5104">
        <w:rPr>
          <w:lang w:val="en-US"/>
        </w:rPr>
        <w:t xml:space="preserve"> </w:t>
      </w:r>
      <w:r w:rsidR="00A4284C">
        <w:rPr>
          <w:lang w:val="en-US"/>
        </w:rPr>
        <w:t xml:space="preserve">Timing of </w:t>
      </w:r>
      <w:r w:rsidR="00FC5104">
        <w:rPr>
          <w:lang w:val="en-US"/>
        </w:rPr>
        <w:t>Medieval Climate Anomaly</w:t>
      </w:r>
      <w:r w:rsidR="00A4284C">
        <w:rPr>
          <w:lang w:val="en-US"/>
        </w:rPr>
        <w:t xml:space="preserve"> (MCA) and </w:t>
      </w:r>
      <w:r w:rsidR="00FC5104">
        <w:rPr>
          <w:lang w:val="en-US"/>
        </w:rPr>
        <w:t>Little Ice Age</w:t>
      </w:r>
      <w:r w:rsidR="00A4284C">
        <w:rPr>
          <w:lang w:val="en-US"/>
        </w:rPr>
        <w:t xml:space="preserve"> (LIA) from Neukom et al. </w:t>
      </w:r>
      <w:r w:rsidR="00A4284C">
        <w:rPr>
          <w:lang w:val="en-US"/>
        </w:rPr>
        <w:fldChar w:fldCharType="begin"/>
      </w:r>
      <w:r w:rsidR="009536F2">
        <w:rPr>
          <w:lang w:val="en-US"/>
        </w:rPr>
        <w:instrText xml:space="preserve"> ADDIN ZOTERO_ITEM CSL_CITATION {"citationID":"k0PqYFPJ","properties":{"formattedCitation":"\\super 71\\nosupersub{}","plainCitation":"71","noteIndex":0},"citationItems":[{"id":1012,"uris":["http://zotero.org/users/local/XxmvPi45/items/4PMIPRBX"],"uri":["http://zotero.org/users/local/XxmvPi45/items/4PMIPRBX"],"itemData":{"id":1012,"type":"article-journal","abstract":"Earth’s climate history is often understood by breaking it down into constituent climatic epochs1. Over the Common Era (the past 2,000 years) these epochs, such as the Little Ice Age2–4, have been characterized as having occurred at the same time across extensive spatial scales5. Although the rapid global warming seen in observations over the past 150 years does show nearly global coherence6, the spatiotemporal coherence of climate epochs earlier in the Common Era has yet to be robustly tested. Here we use global palaeoclimate reconstructions for the past 2,000 years, and find no evidence for preindustrial globally coherent cold and warm epochs. In particular, we find that the coldest epoch of the last millennium—the putative Little Ice Age—is most likely to have experienced the coldest temperatures during the fifteenth century in the central and eastern Pacific Ocean, during the seventeenth century in northwestern Europe and southeastern North America, and during the mid-nineteenth century over most of the remaining regions. Furthermore, the spatial coherence that does exist over the preindustrial Common Era is consistent with the spatial coherence of stochastic climatic variability. This lack of spatiotemporal coherence indicates that preindustrial forcing was not sufficient to produce globally synchronous extreme temperatures at multidecadal and centennial timescales. By contrast, we find that the warmest period of the past two millennia occurred during the twentieth century for more than 98 per cent of the globe. This provides strong evidence that anthropogenic global warming is not only unparalleled in terms of absolute temperatures5, but also unprecedented in spatial consistency within the context of the past 2,000 years.","container-title":"Nature","DOI":"10.1038/s41586-019-1401-2","ISSN":"1476-4687","issue":"7766","language":"en","note":"number: 7766\npublisher: Nature Publishing Group","page":"550-554","source":"www.nature.com","title":"No evidence for globally coherent warm and cold periods over the preindustrial Common Era","volume":"571","author":[{"family":"Neukom","given":"Raphael"},{"family":"Steiger","given":"Nathan"},{"family":"Gómez-Navarro","given":"Juan José"},{"family":"Wang","given":"Jianghao"},{"family":"Werner","given":"Johannes P."}],"issued":{"date-parts":[["2019",7]]}}}],"schema":"https://github.com/citation-style-language/schema/raw/master/csl-citation.json"} </w:instrText>
      </w:r>
      <w:r w:rsidR="00A4284C">
        <w:rPr>
          <w:lang w:val="en-US"/>
        </w:rPr>
        <w:fldChar w:fldCharType="separate"/>
      </w:r>
      <w:r w:rsidR="009536F2" w:rsidRPr="009536F2">
        <w:rPr>
          <w:szCs w:val="24"/>
          <w:vertAlign w:val="superscript"/>
        </w:rPr>
        <w:t>71</w:t>
      </w:r>
      <w:r w:rsidR="00A4284C">
        <w:rPr>
          <w:lang w:val="en-US"/>
        </w:rPr>
        <w:fldChar w:fldCharType="end"/>
      </w:r>
      <w:r w:rsidR="00FC5104">
        <w:rPr>
          <w:lang w:val="en-US"/>
        </w:rPr>
        <w:t>.</w:t>
      </w:r>
    </w:p>
    <w:p w14:paraId="4C274566" w14:textId="1A588C9A" w:rsidR="00537BBB" w:rsidRPr="00085860" w:rsidRDefault="00537BBB" w:rsidP="00845C15">
      <w:pPr>
        <w:pStyle w:val="Heading2"/>
        <w:jc w:val="left"/>
        <w:rPr>
          <w:b w:val="0"/>
          <w:sz w:val="28"/>
          <w:szCs w:val="28"/>
        </w:rPr>
      </w:pPr>
      <w:r w:rsidRPr="00085860">
        <w:rPr>
          <w:b w:val="0"/>
          <w:sz w:val="28"/>
          <w:szCs w:val="28"/>
        </w:rPr>
        <w:lastRenderedPageBreak/>
        <w:t>Tables</w:t>
      </w:r>
    </w:p>
    <w:p w14:paraId="6BDE2E02" w14:textId="74221CA7" w:rsidR="004C3F2A" w:rsidRDefault="003124C6" w:rsidP="00845C15">
      <w:pPr>
        <w:jc w:val="left"/>
        <w:rPr>
          <w:lang w:val="en-US"/>
        </w:rPr>
      </w:pPr>
      <w:r>
        <w:rPr>
          <w:lang w:val="en-US"/>
        </w:rPr>
        <w:t xml:space="preserve">Table 1. </w:t>
      </w:r>
      <w:r w:rsidR="007F258E">
        <w:rPr>
          <w:lang w:val="en-US"/>
        </w:rPr>
        <w:t xml:space="preserve"> Common Era sea-level budget for northern New Jersey </w:t>
      </w:r>
      <w:r w:rsidR="004C3F2A">
        <w:rPr>
          <w:lang w:val="en-US"/>
        </w:rPr>
        <w:t>for five</w:t>
      </w:r>
      <w:r w:rsidR="007F258E">
        <w:rPr>
          <w:lang w:val="en-US"/>
        </w:rPr>
        <w:t xml:space="preserve"> 100-year time intervals.</w:t>
      </w:r>
      <w:r w:rsidR="005B2AAE">
        <w:rPr>
          <w:lang w:val="en-US"/>
        </w:rPr>
        <w:t xml:space="preserve"> </w:t>
      </w:r>
      <w:r w:rsidR="004C3F2A">
        <w:rPr>
          <w:lang w:val="en-US"/>
        </w:rPr>
        <w:t xml:space="preserve">Rates are </w:t>
      </w:r>
      <w:r w:rsidR="00AB2E49">
        <w:rPr>
          <w:lang w:val="en-US"/>
        </w:rPr>
        <w:t>the mean</w:t>
      </w:r>
      <w:r w:rsidR="004C3F2A">
        <w:rPr>
          <w:lang w:val="en-US"/>
        </w:rPr>
        <w:t xml:space="preserve"> with 1σ</w:t>
      </w:r>
      <w:r w:rsidR="005B2AAE">
        <w:rPr>
          <w:lang w:val="en-US"/>
        </w:rPr>
        <w:t xml:space="preserve"> uncertainty</w:t>
      </w:r>
      <w:r w:rsidR="004C3F2A">
        <w:rPr>
          <w:lang w:val="en-US"/>
        </w:rPr>
        <w:t>.</w:t>
      </w:r>
      <w:r w:rsidR="004177C6">
        <w:rPr>
          <w:lang w:val="en-US"/>
        </w:rPr>
        <w:t xml:space="preserve"> </w:t>
      </w:r>
      <w:r w:rsidR="00D27DE8">
        <w:rPr>
          <w:lang w:val="en-US"/>
        </w:rPr>
        <w:t xml:space="preserve">Processes are separated by spatial components. </w:t>
      </w:r>
      <w:r w:rsidR="004177C6">
        <w:rPr>
          <w:lang w:val="en-US"/>
        </w:rPr>
        <w:t>GRD = gravitational, rotational, and deformational</w:t>
      </w:r>
      <w:r w:rsidR="00D27DE8">
        <w:rPr>
          <w:lang w:val="en-US"/>
        </w:rPr>
        <w:t>.</w:t>
      </w:r>
    </w:p>
    <w:tbl>
      <w:tblPr>
        <w:tblStyle w:val="TableGrid"/>
        <w:tblW w:w="10105" w:type="dxa"/>
        <w:tblLook w:val="04A0" w:firstRow="1" w:lastRow="0" w:firstColumn="1" w:lastColumn="0" w:noHBand="0" w:noVBand="1"/>
      </w:tblPr>
      <w:tblGrid>
        <w:gridCol w:w="1705"/>
        <w:gridCol w:w="1574"/>
        <w:gridCol w:w="1756"/>
        <w:gridCol w:w="2160"/>
        <w:gridCol w:w="1519"/>
        <w:gridCol w:w="1391"/>
      </w:tblGrid>
      <w:tr w:rsidR="00E71C47" w14:paraId="09F7C2BB" w14:textId="1BD30963" w:rsidTr="0001275C">
        <w:tc>
          <w:tcPr>
            <w:tcW w:w="1705" w:type="dxa"/>
          </w:tcPr>
          <w:p w14:paraId="0E166A4A" w14:textId="77777777" w:rsidR="00E71C47" w:rsidRDefault="00E71C47" w:rsidP="00546AD8">
            <w:pPr>
              <w:jc w:val="left"/>
              <w:rPr>
                <w:lang w:val="en-US"/>
              </w:rPr>
            </w:pPr>
          </w:p>
        </w:tc>
        <w:tc>
          <w:tcPr>
            <w:tcW w:w="8400" w:type="dxa"/>
            <w:gridSpan w:val="5"/>
          </w:tcPr>
          <w:p w14:paraId="0A1BD3C4" w14:textId="08381CC0" w:rsidR="00E71C47" w:rsidRPr="00B75FCF" w:rsidRDefault="00E71C47" w:rsidP="00E71C47">
            <w:pPr>
              <w:jc w:val="center"/>
              <w:rPr>
                <w:lang w:val="en-US"/>
              </w:rPr>
            </w:pPr>
            <w:r w:rsidRPr="00B75FCF">
              <w:rPr>
                <w:lang w:val="en-US"/>
              </w:rPr>
              <w:t>Average rate (mm/yr)</w:t>
            </w:r>
          </w:p>
        </w:tc>
      </w:tr>
      <w:tr w:rsidR="00E71C47" w14:paraId="5DB5B069" w14:textId="6897AD8A" w:rsidTr="0001275C">
        <w:tc>
          <w:tcPr>
            <w:tcW w:w="1705" w:type="dxa"/>
          </w:tcPr>
          <w:p w14:paraId="49526F7B" w14:textId="525A44EA" w:rsidR="00E71C47" w:rsidRDefault="00E71C47" w:rsidP="00546AD8">
            <w:pPr>
              <w:jc w:val="left"/>
              <w:rPr>
                <w:lang w:val="en-US"/>
              </w:rPr>
            </w:pPr>
            <w:r>
              <w:rPr>
                <w:lang w:val="en-US"/>
              </w:rPr>
              <w:t>Time Interval</w:t>
            </w:r>
          </w:p>
        </w:tc>
        <w:tc>
          <w:tcPr>
            <w:tcW w:w="1574" w:type="dxa"/>
          </w:tcPr>
          <w:p w14:paraId="7A8BB0B9" w14:textId="013C7002" w:rsidR="00E71C47" w:rsidRDefault="00E71C47" w:rsidP="0001275C">
            <w:pPr>
              <w:jc w:val="center"/>
              <w:rPr>
                <w:lang w:val="en-US"/>
              </w:rPr>
            </w:pPr>
            <w:r>
              <w:rPr>
                <w:lang w:val="en-US"/>
              </w:rPr>
              <w:t>Global</w:t>
            </w:r>
          </w:p>
        </w:tc>
        <w:tc>
          <w:tcPr>
            <w:tcW w:w="1756" w:type="dxa"/>
          </w:tcPr>
          <w:p w14:paraId="5C07B0C0" w14:textId="3D967C94" w:rsidR="00E71C47" w:rsidRDefault="00E71C47" w:rsidP="0001275C">
            <w:pPr>
              <w:jc w:val="center"/>
              <w:rPr>
                <w:lang w:val="en-US"/>
              </w:rPr>
            </w:pPr>
            <w:r>
              <w:rPr>
                <w:lang w:val="en-US"/>
              </w:rPr>
              <w:t>Regional linear</w:t>
            </w:r>
          </w:p>
        </w:tc>
        <w:tc>
          <w:tcPr>
            <w:tcW w:w="2160" w:type="dxa"/>
          </w:tcPr>
          <w:p w14:paraId="2E14A638" w14:textId="3DBA23D6" w:rsidR="00E71C47" w:rsidRDefault="00E71C47" w:rsidP="0001275C">
            <w:pPr>
              <w:jc w:val="center"/>
              <w:rPr>
                <w:lang w:val="en-US"/>
              </w:rPr>
            </w:pPr>
            <w:r>
              <w:rPr>
                <w:lang w:val="en-US"/>
              </w:rPr>
              <w:t>Regional non-linear</w:t>
            </w:r>
          </w:p>
        </w:tc>
        <w:tc>
          <w:tcPr>
            <w:tcW w:w="1519" w:type="dxa"/>
          </w:tcPr>
          <w:p w14:paraId="69397E78" w14:textId="30F9471A" w:rsidR="00E71C47" w:rsidRDefault="00E71C47" w:rsidP="0001275C">
            <w:pPr>
              <w:jc w:val="center"/>
              <w:rPr>
                <w:lang w:val="en-US"/>
              </w:rPr>
            </w:pPr>
            <w:r>
              <w:rPr>
                <w:lang w:val="en-US"/>
              </w:rPr>
              <w:t>Local</w:t>
            </w:r>
          </w:p>
        </w:tc>
        <w:tc>
          <w:tcPr>
            <w:tcW w:w="1391" w:type="dxa"/>
          </w:tcPr>
          <w:p w14:paraId="1DE96ED6" w14:textId="31CE9B55" w:rsidR="00E71C47" w:rsidRPr="00B75FCF" w:rsidRDefault="00E71C47" w:rsidP="0001275C">
            <w:pPr>
              <w:jc w:val="center"/>
              <w:rPr>
                <w:lang w:val="en-US"/>
              </w:rPr>
            </w:pPr>
            <w:r w:rsidRPr="00B75FCF">
              <w:rPr>
                <w:lang w:val="en-US"/>
              </w:rPr>
              <w:t>Total</w:t>
            </w:r>
          </w:p>
        </w:tc>
      </w:tr>
      <w:tr w:rsidR="00E71C47" w14:paraId="34397135" w14:textId="1F4DCA35" w:rsidTr="0001275C">
        <w:tc>
          <w:tcPr>
            <w:tcW w:w="1705" w:type="dxa"/>
          </w:tcPr>
          <w:p w14:paraId="1E3D9ECA" w14:textId="19530C0B" w:rsidR="00E71C47" w:rsidRDefault="00E71C47" w:rsidP="00546AD8">
            <w:pPr>
              <w:jc w:val="left"/>
              <w:rPr>
                <w:lang w:val="en-US"/>
              </w:rPr>
            </w:pPr>
            <w:r>
              <w:rPr>
                <w:lang w:val="en-US"/>
              </w:rPr>
              <w:t>0-100 CE</w:t>
            </w:r>
          </w:p>
        </w:tc>
        <w:tc>
          <w:tcPr>
            <w:tcW w:w="1574" w:type="dxa"/>
          </w:tcPr>
          <w:p w14:paraId="3D015B6A" w14:textId="79D0D8DA" w:rsidR="00E71C47" w:rsidRDefault="00E71C47" w:rsidP="0001275C">
            <w:pPr>
              <w:jc w:val="center"/>
              <w:rPr>
                <w:lang w:val="en-US"/>
              </w:rPr>
            </w:pPr>
            <w:r>
              <w:rPr>
                <w:lang w:val="en-US"/>
              </w:rPr>
              <w:t>0.08 ± 0.20</w:t>
            </w:r>
          </w:p>
        </w:tc>
        <w:tc>
          <w:tcPr>
            <w:tcW w:w="1756" w:type="dxa"/>
          </w:tcPr>
          <w:p w14:paraId="781CB58A" w14:textId="56C52051" w:rsidR="00E71C47" w:rsidRDefault="00E71C47" w:rsidP="0001275C">
            <w:pPr>
              <w:jc w:val="center"/>
              <w:rPr>
                <w:lang w:val="en-US"/>
              </w:rPr>
            </w:pPr>
            <w:r>
              <w:rPr>
                <w:lang w:val="en-US"/>
              </w:rPr>
              <w:t>1.34 ± 0.08</w:t>
            </w:r>
          </w:p>
        </w:tc>
        <w:tc>
          <w:tcPr>
            <w:tcW w:w="2160" w:type="dxa"/>
          </w:tcPr>
          <w:p w14:paraId="006D6CA4" w14:textId="484C3BC1" w:rsidR="00E71C47" w:rsidRDefault="00E71C47" w:rsidP="0001275C">
            <w:pPr>
              <w:jc w:val="center"/>
              <w:rPr>
                <w:lang w:val="en-US"/>
              </w:rPr>
            </w:pPr>
            <w:r>
              <w:rPr>
                <w:lang w:val="en-US"/>
              </w:rPr>
              <w:t>-0.03 ± 0.26</w:t>
            </w:r>
          </w:p>
        </w:tc>
        <w:tc>
          <w:tcPr>
            <w:tcW w:w="1519" w:type="dxa"/>
          </w:tcPr>
          <w:p w14:paraId="00ED8CA6" w14:textId="113E1AF6" w:rsidR="00E71C47" w:rsidRDefault="00E71C47" w:rsidP="0001275C">
            <w:pPr>
              <w:jc w:val="center"/>
              <w:rPr>
                <w:lang w:val="en-US"/>
              </w:rPr>
            </w:pPr>
            <w:r>
              <w:rPr>
                <w:lang w:val="en-US"/>
              </w:rPr>
              <w:t>0 ± 0.25</w:t>
            </w:r>
          </w:p>
        </w:tc>
        <w:tc>
          <w:tcPr>
            <w:tcW w:w="1391" w:type="dxa"/>
          </w:tcPr>
          <w:p w14:paraId="06530B27" w14:textId="7891EF7A" w:rsidR="00E71C47" w:rsidRDefault="00E71C47" w:rsidP="0001275C">
            <w:pPr>
              <w:jc w:val="center"/>
              <w:rPr>
                <w:lang w:val="en-US"/>
              </w:rPr>
            </w:pPr>
            <w:r>
              <w:rPr>
                <w:lang w:val="en-US"/>
              </w:rPr>
              <w:t>1.39 ± 0.40</w:t>
            </w:r>
          </w:p>
        </w:tc>
      </w:tr>
      <w:tr w:rsidR="00E71C47" w14:paraId="44FF58B3" w14:textId="3ADF9DFA" w:rsidTr="0001275C">
        <w:tc>
          <w:tcPr>
            <w:tcW w:w="1705" w:type="dxa"/>
          </w:tcPr>
          <w:p w14:paraId="1AB8C65F" w14:textId="2A7AD76D" w:rsidR="00E71C47" w:rsidRDefault="00E71C47" w:rsidP="00546AD8">
            <w:pPr>
              <w:jc w:val="left"/>
              <w:rPr>
                <w:lang w:val="en-US"/>
              </w:rPr>
            </w:pPr>
            <w:r>
              <w:rPr>
                <w:lang w:val="en-US"/>
              </w:rPr>
              <w:t>400-500 CE</w:t>
            </w:r>
          </w:p>
        </w:tc>
        <w:tc>
          <w:tcPr>
            <w:tcW w:w="1574" w:type="dxa"/>
          </w:tcPr>
          <w:p w14:paraId="3D9EF9F9" w14:textId="71C9BED2" w:rsidR="00E71C47" w:rsidRDefault="00E71C47" w:rsidP="0001275C">
            <w:pPr>
              <w:jc w:val="center"/>
              <w:rPr>
                <w:lang w:val="en-US"/>
              </w:rPr>
            </w:pPr>
            <w:r>
              <w:rPr>
                <w:lang w:val="en-US"/>
              </w:rPr>
              <w:t>-0.06 ± 0.20</w:t>
            </w:r>
          </w:p>
        </w:tc>
        <w:tc>
          <w:tcPr>
            <w:tcW w:w="1756" w:type="dxa"/>
          </w:tcPr>
          <w:p w14:paraId="16E8A448" w14:textId="0FEC606C" w:rsidR="00E71C47" w:rsidRDefault="00442421" w:rsidP="0001275C">
            <w:pPr>
              <w:jc w:val="center"/>
              <w:rPr>
                <w:lang w:val="en-US"/>
              </w:rPr>
            </w:pPr>
            <w:r>
              <w:rPr>
                <w:lang w:val="en-US"/>
              </w:rPr>
              <w:t>1.34 ± 0.08</w:t>
            </w:r>
          </w:p>
        </w:tc>
        <w:tc>
          <w:tcPr>
            <w:tcW w:w="2160" w:type="dxa"/>
          </w:tcPr>
          <w:p w14:paraId="75F31FA4" w14:textId="7FC29332" w:rsidR="00E71C47" w:rsidRDefault="00442421" w:rsidP="0001275C">
            <w:pPr>
              <w:jc w:val="center"/>
              <w:rPr>
                <w:lang w:val="en-US"/>
              </w:rPr>
            </w:pPr>
            <w:r>
              <w:rPr>
                <w:lang w:val="en-US"/>
              </w:rPr>
              <w:t>-0.07 ±0.26</w:t>
            </w:r>
          </w:p>
        </w:tc>
        <w:tc>
          <w:tcPr>
            <w:tcW w:w="1519" w:type="dxa"/>
          </w:tcPr>
          <w:p w14:paraId="0B11CD58" w14:textId="1B0DFE6C" w:rsidR="00E71C47" w:rsidRDefault="00442421" w:rsidP="0001275C">
            <w:pPr>
              <w:jc w:val="center"/>
              <w:rPr>
                <w:lang w:val="en-US"/>
              </w:rPr>
            </w:pPr>
            <w:r>
              <w:rPr>
                <w:lang w:val="en-US"/>
              </w:rPr>
              <w:t>0 ± 0.25</w:t>
            </w:r>
          </w:p>
        </w:tc>
        <w:tc>
          <w:tcPr>
            <w:tcW w:w="1391" w:type="dxa"/>
          </w:tcPr>
          <w:p w14:paraId="2FBC4C40" w14:textId="6A3EBC31" w:rsidR="00E71C47" w:rsidRDefault="00442421" w:rsidP="0001275C">
            <w:pPr>
              <w:jc w:val="center"/>
              <w:rPr>
                <w:lang w:val="en-US"/>
              </w:rPr>
            </w:pPr>
            <w:r>
              <w:rPr>
                <w:lang w:val="en-US"/>
              </w:rPr>
              <w:t>1.22 ± 0.40</w:t>
            </w:r>
          </w:p>
        </w:tc>
      </w:tr>
      <w:tr w:rsidR="00E71C47" w14:paraId="390C27A8" w14:textId="65C5F137" w:rsidTr="0001275C">
        <w:tc>
          <w:tcPr>
            <w:tcW w:w="1705" w:type="dxa"/>
          </w:tcPr>
          <w:p w14:paraId="12FA998E" w14:textId="4AB99B35" w:rsidR="00E71C47" w:rsidRDefault="00E71C47" w:rsidP="00546AD8">
            <w:pPr>
              <w:jc w:val="left"/>
              <w:rPr>
                <w:lang w:val="en-US"/>
              </w:rPr>
            </w:pPr>
            <w:r>
              <w:rPr>
                <w:lang w:val="en-US"/>
              </w:rPr>
              <w:t>900-1000 CE</w:t>
            </w:r>
          </w:p>
        </w:tc>
        <w:tc>
          <w:tcPr>
            <w:tcW w:w="1574" w:type="dxa"/>
          </w:tcPr>
          <w:p w14:paraId="32E19DD9" w14:textId="39546CE7" w:rsidR="00E71C47" w:rsidRDefault="00442421" w:rsidP="0001275C">
            <w:pPr>
              <w:jc w:val="center"/>
              <w:rPr>
                <w:lang w:val="en-US"/>
              </w:rPr>
            </w:pPr>
            <w:r>
              <w:rPr>
                <w:lang w:val="en-US"/>
              </w:rPr>
              <w:t>-0.02 ± 0.20</w:t>
            </w:r>
          </w:p>
        </w:tc>
        <w:tc>
          <w:tcPr>
            <w:tcW w:w="1756" w:type="dxa"/>
          </w:tcPr>
          <w:p w14:paraId="14716FB1" w14:textId="22B6EEF6" w:rsidR="00E71C47" w:rsidRDefault="00442421" w:rsidP="0001275C">
            <w:pPr>
              <w:jc w:val="center"/>
              <w:rPr>
                <w:lang w:val="en-US"/>
              </w:rPr>
            </w:pPr>
            <w:r>
              <w:rPr>
                <w:lang w:val="en-US"/>
              </w:rPr>
              <w:t>1.34 ± 0.08</w:t>
            </w:r>
          </w:p>
        </w:tc>
        <w:tc>
          <w:tcPr>
            <w:tcW w:w="2160" w:type="dxa"/>
          </w:tcPr>
          <w:p w14:paraId="5ED69551" w14:textId="4DAE1C4C" w:rsidR="00E71C47" w:rsidRDefault="00442421" w:rsidP="0001275C">
            <w:pPr>
              <w:jc w:val="center"/>
              <w:rPr>
                <w:lang w:val="en-US"/>
              </w:rPr>
            </w:pPr>
            <w:r>
              <w:rPr>
                <w:lang w:val="en-US"/>
              </w:rPr>
              <w:t>-0.03 ± 0.26</w:t>
            </w:r>
          </w:p>
        </w:tc>
        <w:tc>
          <w:tcPr>
            <w:tcW w:w="1519" w:type="dxa"/>
          </w:tcPr>
          <w:p w14:paraId="692B3138" w14:textId="35B7063B" w:rsidR="00E71C47" w:rsidRDefault="00442421" w:rsidP="0001275C">
            <w:pPr>
              <w:jc w:val="center"/>
              <w:rPr>
                <w:lang w:val="en-US"/>
              </w:rPr>
            </w:pPr>
            <w:r>
              <w:rPr>
                <w:lang w:val="en-US"/>
              </w:rPr>
              <w:t>0.02 ± 0.25</w:t>
            </w:r>
          </w:p>
        </w:tc>
        <w:tc>
          <w:tcPr>
            <w:tcW w:w="1391" w:type="dxa"/>
          </w:tcPr>
          <w:p w14:paraId="75C3AD22" w14:textId="4897B1C7" w:rsidR="00E71C47" w:rsidRDefault="00442421" w:rsidP="0001275C">
            <w:pPr>
              <w:jc w:val="center"/>
              <w:rPr>
                <w:lang w:val="en-US"/>
              </w:rPr>
            </w:pPr>
            <w:r>
              <w:rPr>
                <w:lang w:val="en-US"/>
              </w:rPr>
              <w:t>1.31 ± 0.40</w:t>
            </w:r>
          </w:p>
        </w:tc>
      </w:tr>
      <w:tr w:rsidR="00E71C47" w14:paraId="7D4E8A87" w14:textId="6ED5EF9A" w:rsidTr="0001275C">
        <w:tc>
          <w:tcPr>
            <w:tcW w:w="1705" w:type="dxa"/>
          </w:tcPr>
          <w:p w14:paraId="225A2A9B" w14:textId="4374EB4E" w:rsidR="00E71C47" w:rsidRDefault="00E71C47" w:rsidP="00546AD8">
            <w:pPr>
              <w:jc w:val="left"/>
              <w:rPr>
                <w:lang w:val="en-US"/>
              </w:rPr>
            </w:pPr>
            <w:r>
              <w:rPr>
                <w:lang w:val="en-US"/>
              </w:rPr>
              <w:t>1400-1500 CE</w:t>
            </w:r>
          </w:p>
        </w:tc>
        <w:tc>
          <w:tcPr>
            <w:tcW w:w="1574" w:type="dxa"/>
          </w:tcPr>
          <w:p w14:paraId="7821363A" w14:textId="724FA2EC" w:rsidR="00E71C47" w:rsidRDefault="00442421" w:rsidP="0001275C">
            <w:pPr>
              <w:jc w:val="center"/>
              <w:rPr>
                <w:lang w:val="en-US"/>
              </w:rPr>
            </w:pPr>
            <w:r>
              <w:rPr>
                <w:lang w:val="en-US"/>
              </w:rPr>
              <w:t>0.13 ± 0.17</w:t>
            </w:r>
          </w:p>
        </w:tc>
        <w:tc>
          <w:tcPr>
            <w:tcW w:w="1756" w:type="dxa"/>
          </w:tcPr>
          <w:p w14:paraId="2D2A3892" w14:textId="3F1B70F5" w:rsidR="00E71C47" w:rsidRDefault="00442421" w:rsidP="0001275C">
            <w:pPr>
              <w:jc w:val="center"/>
              <w:rPr>
                <w:lang w:val="en-US"/>
              </w:rPr>
            </w:pPr>
            <w:r>
              <w:rPr>
                <w:lang w:val="en-US"/>
              </w:rPr>
              <w:t>1.34 ± 0.08</w:t>
            </w:r>
          </w:p>
        </w:tc>
        <w:tc>
          <w:tcPr>
            <w:tcW w:w="2160" w:type="dxa"/>
          </w:tcPr>
          <w:p w14:paraId="47C9094A" w14:textId="3CE8D943" w:rsidR="00E71C47" w:rsidRDefault="0003755F" w:rsidP="0001275C">
            <w:pPr>
              <w:jc w:val="center"/>
              <w:rPr>
                <w:lang w:val="en-US"/>
              </w:rPr>
            </w:pPr>
            <w:r>
              <w:rPr>
                <w:lang w:val="en-US"/>
              </w:rPr>
              <w:t>-0.17 ± 0.26</w:t>
            </w:r>
          </w:p>
        </w:tc>
        <w:tc>
          <w:tcPr>
            <w:tcW w:w="1519" w:type="dxa"/>
          </w:tcPr>
          <w:p w14:paraId="067623F8" w14:textId="6D36CE17" w:rsidR="00E71C47" w:rsidRDefault="0003755F" w:rsidP="0001275C">
            <w:pPr>
              <w:jc w:val="center"/>
              <w:rPr>
                <w:lang w:val="en-US"/>
              </w:rPr>
            </w:pPr>
            <w:r>
              <w:rPr>
                <w:lang w:val="en-US"/>
              </w:rPr>
              <w:t>-0.06 ± 0.25</w:t>
            </w:r>
          </w:p>
        </w:tc>
        <w:tc>
          <w:tcPr>
            <w:tcW w:w="1391" w:type="dxa"/>
          </w:tcPr>
          <w:p w14:paraId="2055E9B3" w14:textId="66B9D3A9" w:rsidR="00E71C47" w:rsidRDefault="0003755F" w:rsidP="0001275C">
            <w:pPr>
              <w:jc w:val="center"/>
              <w:rPr>
                <w:lang w:val="en-US"/>
              </w:rPr>
            </w:pPr>
            <w:r>
              <w:rPr>
                <w:lang w:val="en-US"/>
              </w:rPr>
              <w:t>1.24 ± 0.</w:t>
            </w:r>
            <w:r w:rsidR="00C04B44">
              <w:rPr>
                <w:lang w:val="en-US"/>
              </w:rPr>
              <w:t>38</w:t>
            </w:r>
          </w:p>
        </w:tc>
      </w:tr>
      <w:tr w:rsidR="00E71C47" w14:paraId="5C3395CE" w14:textId="1AF32A28" w:rsidTr="0001275C">
        <w:tc>
          <w:tcPr>
            <w:tcW w:w="1705" w:type="dxa"/>
            <w:tcBorders>
              <w:bottom w:val="thinThickThinLargeGap" w:sz="24" w:space="0" w:color="auto"/>
            </w:tcBorders>
          </w:tcPr>
          <w:p w14:paraId="4925480A" w14:textId="3557DFB8" w:rsidR="00E71C47" w:rsidRDefault="00E71C47" w:rsidP="00546AD8">
            <w:pPr>
              <w:jc w:val="left"/>
              <w:rPr>
                <w:lang w:val="en-US"/>
              </w:rPr>
            </w:pPr>
            <w:r>
              <w:rPr>
                <w:lang w:val="en-US"/>
              </w:rPr>
              <w:t>1900-2000 CE</w:t>
            </w:r>
          </w:p>
        </w:tc>
        <w:tc>
          <w:tcPr>
            <w:tcW w:w="1574" w:type="dxa"/>
            <w:tcBorders>
              <w:bottom w:val="thinThickThinLargeGap" w:sz="24" w:space="0" w:color="auto"/>
            </w:tcBorders>
          </w:tcPr>
          <w:p w14:paraId="36499029" w14:textId="66941C79" w:rsidR="00E71C47" w:rsidRDefault="0003755F" w:rsidP="0001275C">
            <w:pPr>
              <w:jc w:val="center"/>
              <w:rPr>
                <w:lang w:val="en-US"/>
              </w:rPr>
            </w:pPr>
            <w:r>
              <w:rPr>
                <w:lang w:val="en-US"/>
              </w:rPr>
              <w:t>1.30 ± 0.06</w:t>
            </w:r>
          </w:p>
        </w:tc>
        <w:tc>
          <w:tcPr>
            <w:tcW w:w="1756" w:type="dxa"/>
            <w:tcBorders>
              <w:bottom w:val="thinThickThinLargeGap" w:sz="24" w:space="0" w:color="auto"/>
            </w:tcBorders>
          </w:tcPr>
          <w:p w14:paraId="3F2C3748" w14:textId="5B09ED1D" w:rsidR="00E71C47" w:rsidRDefault="0003755F" w:rsidP="0001275C">
            <w:pPr>
              <w:jc w:val="center"/>
              <w:rPr>
                <w:lang w:val="en-US"/>
              </w:rPr>
            </w:pPr>
            <w:r>
              <w:rPr>
                <w:lang w:val="en-US"/>
              </w:rPr>
              <w:t>1.34 ± 0.08</w:t>
            </w:r>
          </w:p>
        </w:tc>
        <w:tc>
          <w:tcPr>
            <w:tcW w:w="2160" w:type="dxa"/>
            <w:tcBorders>
              <w:bottom w:val="thinThickThinLargeGap" w:sz="24" w:space="0" w:color="auto"/>
            </w:tcBorders>
          </w:tcPr>
          <w:p w14:paraId="1E519C73" w14:textId="5D659BB6" w:rsidR="00E71C47" w:rsidRDefault="0003755F" w:rsidP="0001275C">
            <w:pPr>
              <w:jc w:val="center"/>
              <w:rPr>
                <w:lang w:val="en-US"/>
              </w:rPr>
            </w:pPr>
            <w:r>
              <w:rPr>
                <w:lang w:val="en-US"/>
              </w:rPr>
              <w:t>0.37 ± 0.15</w:t>
            </w:r>
          </w:p>
        </w:tc>
        <w:tc>
          <w:tcPr>
            <w:tcW w:w="1519" w:type="dxa"/>
            <w:tcBorders>
              <w:bottom w:val="thinThickThinLargeGap" w:sz="24" w:space="0" w:color="auto"/>
            </w:tcBorders>
          </w:tcPr>
          <w:p w14:paraId="3BEBB2B5" w14:textId="22D76DEA" w:rsidR="00E71C47" w:rsidRDefault="0003755F" w:rsidP="0001275C">
            <w:pPr>
              <w:jc w:val="center"/>
              <w:rPr>
                <w:lang w:val="en-US"/>
              </w:rPr>
            </w:pPr>
            <w:r>
              <w:rPr>
                <w:lang w:val="en-US"/>
              </w:rPr>
              <w:t>0.04 ± 0.25</w:t>
            </w:r>
          </w:p>
        </w:tc>
        <w:tc>
          <w:tcPr>
            <w:tcW w:w="1391" w:type="dxa"/>
            <w:tcBorders>
              <w:bottom w:val="thinThickThinLargeGap" w:sz="24" w:space="0" w:color="auto"/>
            </w:tcBorders>
          </w:tcPr>
          <w:p w14:paraId="7DA507DC" w14:textId="69B6F441" w:rsidR="00E71C47" w:rsidRDefault="0003755F" w:rsidP="0001275C">
            <w:pPr>
              <w:jc w:val="center"/>
              <w:rPr>
                <w:lang w:val="en-US"/>
              </w:rPr>
            </w:pPr>
            <w:r>
              <w:rPr>
                <w:lang w:val="en-US"/>
              </w:rPr>
              <w:t>3.05 ± 0.29</w:t>
            </w:r>
          </w:p>
        </w:tc>
      </w:tr>
      <w:tr w:rsidR="0001275C" w14:paraId="262CAD76" w14:textId="77777777" w:rsidTr="004C1FCF">
        <w:trPr>
          <w:trHeight w:val="2883"/>
        </w:trPr>
        <w:tc>
          <w:tcPr>
            <w:tcW w:w="10105" w:type="dxa"/>
            <w:gridSpan w:val="6"/>
          </w:tcPr>
          <w:p w14:paraId="12500763" w14:textId="77777777" w:rsidR="0001275C" w:rsidRPr="00B75FCF" w:rsidRDefault="0001275C" w:rsidP="00546AD8">
            <w:pPr>
              <w:jc w:val="left"/>
              <w:rPr>
                <w:lang w:val="en-US"/>
              </w:rPr>
            </w:pPr>
            <w:r w:rsidRPr="00B75FCF">
              <w:rPr>
                <w:lang w:val="en-US"/>
              </w:rPr>
              <w:t>Controlling processes</w:t>
            </w:r>
          </w:p>
          <w:p w14:paraId="23382813" w14:textId="0F7BDF5A" w:rsidR="0001275C" w:rsidRDefault="0001275C" w:rsidP="00E71C47">
            <w:pPr>
              <w:jc w:val="left"/>
              <w:rPr>
                <w:lang w:val="en-US"/>
              </w:rPr>
            </w:pPr>
            <w:r w:rsidRPr="00B75FCF">
              <w:rPr>
                <w:lang w:val="en-US"/>
              </w:rPr>
              <w:t>Global component</w:t>
            </w:r>
            <w:r w:rsidR="0085582F">
              <w:rPr>
                <w:lang w:val="en-US"/>
              </w:rPr>
              <w:t>: ocean density changes;</w:t>
            </w:r>
            <w:r>
              <w:rPr>
                <w:lang w:val="en-US"/>
              </w:rPr>
              <w:t xml:space="preserve"> land-ice mass changes</w:t>
            </w:r>
          </w:p>
          <w:p w14:paraId="3C6622D7" w14:textId="77777777" w:rsidR="0001275C" w:rsidRDefault="0001275C" w:rsidP="00E71C47">
            <w:pPr>
              <w:jc w:val="left"/>
              <w:rPr>
                <w:lang w:val="en-US"/>
              </w:rPr>
            </w:pPr>
            <w:r w:rsidRPr="00B75FCF">
              <w:rPr>
                <w:lang w:val="en-US"/>
              </w:rPr>
              <w:t>Regional linear component</w:t>
            </w:r>
            <w:r>
              <w:rPr>
                <w:lang w:val="en-US"/>
              </w:rPr>
              <w:t>: glacial isostatic adjustment; long-wavelength sediment compaction</w:t>
            </w:r>
          </w:p>
          <w:p w14:paraId="355365F4" w14:textId="37997CEC" w:rsidR="0001275C" w:rsidRDefault="0001275C" w:rsidP="00546AD8">
            <w:pPr>
              <w:jc w:val="left"/>
              <w:rPr>
                <w:lang w:val="en-US"/>
              </w:rPr>
            </w:pPr>
            <w:r w:rsidRPr="00B75FCF">
              <w:rPr>
                <w:lang w:val="en-US"/>
              </w:rPr>
              <w:t>Regional non-linear component</w:t>
            </w:r>
            <w:r w:rsidR="0085582F">
              <w:rPr>
                <w:lang w:val="en-US"/>
              </w:rPr>
              <w:t>: atmosphere/ocean dynamics;</w:t>
            </w:r>
            <w:r>
              <w:rPr>
                <w:lang w:val="en-US"/>
              </w:rPr>
              <w:t xml:space="preserve"> GRD effects of land-ice changes</w:t>
            </w:r>
          </w:p>
          <w:p w14:paraId="57D1C984" w14:textId="5B7AFEEE" w:rsidR="0001275C" w:rsidRPr="0001275C" w:rsidRDefault="0001275C" w:rsidP="0001275C">
            <w:pPr>
              <w:spacing w:line="276" w:lineRule="auto"/>
              <w:jc w:val="left"/>
              <w:rPr>
                <w:b/>
                <w:lang w:val="en-US"/>
              </w:rPr>
            </w:pPr>
            <w:r w:rsidRPr="00B75FCF">
              <w:rPr>
                <w:lang w:val="en-US"/>
              </w:rPr>
              <w:t>Local component</w:t>
            </w:r>
            <w:r>
              <w:rPr>
                <w:lang w:val="en-US"/>
              </w:rPr>
              <w:t>: short-wavelength sediment compaction; tidal range change; anthropogenic groundwater withdrawal (20</w:t>
            </w:r>
            <w:r w:rsidRPr="00E71C47">
              <w:rPr>
                <w:vertAlign w:val="superscript"/>
                <w:lang w:val="en-US"/>
              </w:rPr>
              <w:t>th</w:t>
            </w:r>
            <w:r>
              <w:rPr>
                <w:lang w:val="en-US"/>
              </w:rPr>
              <w:t xml:space="preserve"> century)</w:t>
            </w:r>
          </w:p>
        </w:tc>
      </w:tr>
    </w:tbl>
    <w:p w14:paraId="7AB3547B" w14:textId="2FDC8519" w:rsidR="00BB52ED" w:rsidRPr="009B6FCD" w:rsidRDefault="00BB52ED" w:rsidP="00546AD8">
      <w:pPr>
        <w:jc w:val="left"/>
        <w:rPr>
          <w:lang w:val="en-US"/>
        </w:rPr>
      </w:pPr>
    </w:p>
    <w:sectPr w:rsidR="00BB52ED" w:rsidRPr="009B6FCD" w:rsidSect="009576B8">
      <w:footerReference w:type="even" r:id="rId17"/>
      <w:footerReference w:type="default" r:id="rId1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B170C" w14:textId="77777777" w:rsidR="00CD57D5" w:rsidRDefault="00CD57D5">
      <w:r>
        <w:separator/>
      </w:r>
    </w:p>
  </w:endnote>
  <w:endnote w:type="continuationSeparator" w:id="0">
    <w:p w14:paraId="0B791BED" w14:textId="77777777" w:rsidR="00CD57D5" w:rsidRDefault="00CD5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F6419" w14:textId="77777777" w:rsidR="004C1FCF" w:rsidRDefault="004C1FCF" w:rsidP="002B31C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8F3FA4" w14:textId="4D23A2F5" w:rsidR="004C1FCF" w:rsidRDefault="004C1FCF" w:rsidP="006340E0">
    <w:pPr>
      <w:pStyle w:val="Footer"/>
      <w:rPr>
        <w:rStyle w:val="PageNumber"/>
      </w:rPr>
    </w:pPr>
  </w:p>
  <w:p w14:paraId="5D7BCDB3" w14:textId="77777777" w:rsidR="004C1FCF" w:rsidRDefault="004C1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7AE4F" w14:textId="2A827C23" w:rsidR="004C1FCF" w:rsidRDefault="004C1FCF" w:rsidP="002B31C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22C6">
      <w:rPr>
        <w:rStyle w:val="PageNumber"/>
        <w:noProof/>
      </w:rPr>
      <w:t>32</w:t>
    </w:r>
    <w:r>
      <w:rPr>
        <w:rStyle w:val="PageNumber"/>
      </w:rPr>
      <w:fldChar w:fldCharType="end"/>
    </w:r>
  </w:p>
  <w:p w14:paraId="7019EE6D" w14:textId="141FFDC8" w:rsidR="004C1FCF" w:rsidRDefault="004C1FCF">
    <w:pPr>
      <w:pStyle w:val="Footer"/>
      <w:rPr>
        <w:rStyle w:val="PageNumber"/>
      </w:rPr>
    </w:pPr>
  </w:p>
  <w:p w14:paraId="736E78B7" w14:textId="77777777" w:rsidR="004C1FCF" w:rsidRDefault="004C1F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E6D48" w14:textId="77777777" w:rsidR="00CD57D5" w:rsidRDefault="00CD57D5" w:rsidP="006F4CA7">
      <w:r>
        <w:separator/>
      </w:r>
    </w:p>
  </w:footnote>
  <w:footnote w:type="continuationSeparator" w:id="0">
    <w:p w14:paraId="28470710" w14:textId="77777777" w:rsidR="00CD57D5" w:rsidRDefault="00CD57D5" w:rsidP="00634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570794"/>
    <w:multiLevelType w:val="hybridMultilevel"/>
    <w:tmpl w:val="8F4E24B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50F46441"/>
    <w:multiLevelType w:val="hybridMultilevel"/>
    <w:tmpl w:val="C558486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5A8B4B64"/>
    <w:multiLevelType w:val="hybridMultilevel"/>
    <w:tmpl w:val="4F9C915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5ACC0522"/>
    <w:multiLevelType w:val="hybridMultilevel"/>
    <w:tmpl w:val="0C823C6A"/>
    <w:lvl w:ilvl="0" w:tplc="097C44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DB8"/>
    <w:rsid w:val="00000614"/>
    <w:rsid w:val="000008AE"/>
    <w:rsid w:val="000010CC"/>
    <w:rsid w:val="000011F8"/>
    <w:rsid w:val="000013C5"/>
    <w:rsid w:val="000019B0"/>
    <w:rsid w:val="00001A7E"/>
    <w:rsid w:val="00001E6D"/>
    <w:rsid w:val="00001F11"/>
    <w:rsid w:val="00002159"/>
    <w:rsid w:val="000022FB"/>
    <w:rsid w:val="0000246B"/>
    <w:rsid w:val="00002618"/>
    <w:rsid w:val="0000261A"/>
    <w:rsid w:val="00002748"/>
    <w:rsid w:val="0000286B"/>
    <w:rsid w:val="00002918"/>
    <w:rsid w:val="00002C21"/>
    <w:rsid w:val="00002C5D"/>
    <w:rsid w:val="00003029"/>
    <w:rsid w:val="00003055"/>
    <w:rsid w:val="0000306A"/>
    <w:rsid w:val="000031E9"/>
    <w:rsid w:val="000032D8"/>
    <w:rsid w:val="000036D7"/>
    <w:rsid w:val="00003912"/>
    <w:rsid w:val="000039FC"/>
    <w:rsid w:val="00003D99"/>
    <w:rsid w:val="00003DAA"/>
    <w:rsid w:val="00003E73"/>
    <w:rsid w:val="00003EF5"/>
    <w:rsid w:val="00004224"/>
    <w:rsid w:val="000045FC"/>
    <w:rsid w:val="00004627"/>
    <w:rsid w:val="000047BC"/>
    <w:rsid w:val="00004C17"/>
    <w:rsid w:val="00004DE4"/>
    <w:rsid w:val="00004E3D"/>
    <w:rsid w:val="000053AA"/>
    <w:rsid w:val="000058A3"/>
    <w:rsid w:val="00005AF5"/>
    <w:rsid w:val="000061E7"/>
    <w:rsid w:val="00006C55"/>
    <w:rsid w:val="00006D6F"/>
    <w:rsid w:val="00006F3A"/>
    <w:rsid w:val="00006F8D"/>
    <w:rsid w:val="0000700D"/>
    <w:rsid w:val="0000707A"/>
    <w:rsid w:val="000071A0"/>
    <w:rsid w:val="00007649"/>
    <w:rsid w:val="00007713"/>
    <w:rsid w:val="000079E6"/>
    <w:rsid w:val="00007AF1"/>
    <w:rsid w:val="00007BAF"/>
    <w:rsid w:val="00007E3D"/>
    <w:rsid w:val="00007F52"/>
    <w:rsid w:val="00007FCA"/>
    <w:rsid w:val="00007FF3"/>
    <w:rsid w:val="00010037"/>
    <w:rsid w:val="000101A3"/>
    <w:rsid w:val="000103F6"/>
    <w:rsid w:val="00010515"/>
    <w:rsid w:val="000107A8"/>
    <w:rsid w:val="00010A7F"/>
    <w:rsid w:val="00010B52"/>
    <w:rsid w:val="0001114B"/>
    <w:rsid w:val="000114DA"/>
    <w:rsid w:val="00011878"/>
    <w:rsid w:val="00011938"/>
    <w:rsid w:val="000119D1"/>
    <w:rsid w:val="00011AB4"/>
    <w:rsid w:val="00011BA3"/>
    <w:rsid w:val="00011EA7"/>
    <w:rsid w:val="00011F58"/>
    <w:rsid w:val="00012007"/>
    <w:rsid w:val="00012339"/>
    <w:rsid w:val="00012537"/>
    <w:rsid w:val="000125CF"/>
    <w:rsid w:val="00012756"/>
    <w:rsid w:val="0001275C"/>
    <w:rsid w:val="000127BE"/>
    <w:rsid w:val="00012CE9"/>
    <w:rsid w:val="00012D2F"/>
    <w:rsid w:val="00012FDE"/>
    <w:rsid w:val="0001312C"/>
    <w:rsid w:val="000132D6"/>
    <w:rsid w:val="000133BF"/>
    <w:rsid w:val="000134A0"/>
    <w:rsid w:val="000134CF"/>
    <w:rsid w:val="00013A4E"/>
    <w:rsid w:val="00013CA1"/>
    <w:rsid w:val="00013FF1"/>
    <w:rsid w:val="000141E6"/>
    <w:rsid w:val="000143E6"/>
    <w:rsid w:val="000145EA"/>
    <w:rsid w:val="000146CD"/>
    <w:rsid w:val="000146FB"/>
    <w:rsid w:val="00014854"/>
    <w:rsid w:val="00014A53"/>
    <w:rsid w:val="00014C14"/>
    <w:rsid w:val="00014D87"/>
    <w:rsid w:val="0001517F"/>
    <w:rsid w:val="000153B2"/>
    <w:rsid w:val="000154DB"/>
    <w:rsid w:val="000155EE"/>
    <w:rsid w:val="00015CA3"/>
    <w:rsid w:val="00016211"/>
    <w:rsid w:val="000164B6"/>
    <w:rsid w:val="00016AA9"/>
    <w:rsid w:val="00016CA3"/>
    <w:rsid w:val="00016E5B"/>
    <w:rsid w:val="0001757B"/>
    <w:rsid w:val="00017ACB"/>
    <w:rsid w:val="00017EB6"/>
    <w:rsid w:val="00020007"/>
    <w:rsid w:val="00020104"/>
    <w:rsid w:val="000201E4"/>
    <w:rsid w:val="00020231"/>
    <w:rsid w:val="000202B3"/>
    <w:rsid w:val="000202B8"/>
    <w:rsid w:val="000202C8"/>
    <w:rsid w:val="000206E3"/>
    <w:rsid w:val="00020A46"/>
    <w:rsid w:val="00020C1C"/>
    <w:rsid w:val="00020E3A"/>
    <w:rsid w:val="000211E5"/>
    <w:rsid w:val="00021278"/>
    <w:rsid w:val="000214A6"/>
    <w:rsid w:val="00021836"/>
    <w:rsid w:val="0002186D"/>
    <w:rsid w:val="00021886"/>
    <w:rsid w:val="00021894"/>
    <w:rsid w:val="00021AF5"/>
    <w:rsid w:val="00021AFC"/>
    <w:rsid w:val="00021E4D"/>
    <w:rsid w:val="00021F47"/>
    <w:rsid w:val="00022004"/>
    <w:rsid w:val="000222C6"/>
    <w:rsid w:val="0002291C"/>
    <w:rsid w:val="0002296B"/>
    <w:rsid w:val="00022990"/>
    <w:rsid w:val="00022A5B"/>
    <w:rsid w:val="00022A6A"/>
    <w:rsid w:val="00022B22"/>
    <w:rsid w:val="00022D0E"/>
    <w:rsid w:val="0002397D"/>
    <w:rsid w:val="000239D3"/>
    <w:rsid w:val="00023A69"/>
    <w:rsid w:val="00023ADA"/>
    <w:rsid w:val="0002401A"/>
    <w:rsid w:val="00024268"/>
    <w:rsid w:val="000243FD"/>
    <w:rsid w:val="00024649"/>
    <w:rsid w:val="000247F0"/>
    <w:rsid w:val="000248EB"/>
    <w:rsid w:val="00024AB8"/>
    <w:rsid w:val="00024B14"/>
    <w:rsid w:val="00024E24"/>
    <w:rsid w:val="00024EFE"/>
    <w:rsid w:val="00025030"/>
    <w:rsid w:val="00025098"/>
    <w:rsid w:val="00025191"/>
    <w:rsid w:val="000253C4"/>
    <w:rsid w:val="000257AC"/>
    <w:rsid w:val="0002595E"/>
    <w:rsid w:val="0002596E"/>
    <w:rsid w:val="00025E26"/>
    <w:rsid w:val="000260CC"/>
    <w:rsid w:val="0002661C"/>
    <w:rsid w:val="0002663E"/>
    <w:rsid w:val="000268FF"/>
    <w:rsid w:val="00026A64"/>
    <w:rsid w:val="00026BC9"/>
    <w:rsid w:val="00026DB8"/>
    <w:rsid w:val="00026FBA"/>
    <w:rsid w:val="000271D1"/>
    <w:rsid w:val="000271DD"/>
    <w:rsid w:val="00027277"/>
    <w:rsid w:val="0002778C"/>
    <w:rsid w:val="00027D6D"/>
    <w:rsid w:val="00027DC0"/>
    <w:rsid w:val="00027F2D"/>
    <w:rsid w:val="000300BF"/>
    <w:rsid w:val="0003034B"/>
    <w:rsid w:val="000305D2"/>
    <w:rsid w:val="000306AF"/>
    <w:rsid w:val="0003091A"/>
    <w:rsid w:val="00030A68"/>
    <w:rsid w:val="00030B98"/>
    <w:rsid w:val="00030C33"/>
    <w:rsid w:val="00030CDE"/>
    <w:rsid w:val="00030DB1"/>
    <w:rsid w:val="00030E23"/>
    <w:rsid w:val="00031309"/>
    <w:rsid w:val="0003138E"/>
    <w:rsid w:val="0003182B"/>
    <w:rsid w:val="000318B7"/>
    <w:rsid w:val="00031A66"/>
    <w:rsid w:val="00031CD3"/>
    <w:rsid w:val="00031F28"/>
    <w:rsid w:val="00031FA2"/>
    <w:rsid w:val="00032068"/>
    <w:rsid w:val="000320AF"/>
    <w:rsid w:val="00032114"/>
    <w:rsid w:val="0003229C"/>
    <w:rsid w:val="000323A1"/>
    <w:rsid w:val="000324CC"/>
    <w:rsid w:val="0003271D"/>
    <w:rsid w:val="00032C23"/>
    <w:rsid w:val="00032D4E"/>
    <w:rsid w:val="00032E8F"/>
    <w:rsid w:val="00032F54"/>
    <w:rsid w:val="0003331A"/>
    <w:rsid w:val="00033530"/>
    <w:rsid w:val="000336CD"/>
    <w:rsid w:val="0003370E"/>
    <w:rsid w:val="0003394F"/>
    <w:rsid w:val="0003399D"/>
    <w:rsid w:val="00033AC0"/>
    <w:rsid w:val="000340DE"/>
    <w:rsid w:val="0003415F"/>
    <w:rsid w:val="00034200"/>
    <w:rsid w:val="00034311"/>
    <w:rsid w:val="00034350"/>
    <w:rsid w:val="00034450"/>
    <w:rsid w:val="0003445C"/>
    <w:rsid w:val="000347B9"/>
    <w:rsid w:val="0003498C"/>
    <w:rsid w:val="00034CF0"/>
    <w:rsid w:val="00034FE9"/>
    <w:rsid w:val="00035270"/>
    <w:rsid w:val="0003528A"/>
    <w:rsid w:val="000352A9"/>
    <w:rsid w:val="000357B0"/>
    <w:rsid w:val="00035D08"/>
    <w:rsid w:val="00036265"/>
    <w:rsid w:val="000364C4"/>
    <w:rsid w:val="000368A0"/>
    <w:rsid w:val="0003692A"/>
    <w:rsid w:val="00036B6B"/>
    <w:rsid w:val="00036BA5"/>
    <w:rsid w:val="00036CF3"/>
    <w:rsid w:val="00037204"/>
    <w:rsid w:val="000372DE"/>
    <w:rsid w:val="000372ED"/>
    <w:rsid w:val="0003755F"/>
    <w:rsid w:val="00037640"/>
    <w:rsid w:val="00037736"/>
    <w:rsid w:val="00037740"/>
    <w:rsid w:val="00037E73"/>
    <w:rsid w:val="00037F34"/>
    <w:rsid w:val="00037FE6"/>
    <w:rsid w:val="00040566"/>
    <w:rsid w:val="000407DF"/>
    <w:rsid w:val="00040841"/>
    <w:rsid w:val="00040ACC"/>
    <w:rsid w:val="00041382"/>
    <w:rsid w:val="000413D1"/>
    <w:rsid w:val="0004162A"/>
    <w:rsid w:val="00041871"/>
    <w:rsid w:val="00041BEC"/>
    <w:rsid w:val="00041C07"/>
    <w:rsid w:val="00041C64"/>
    <w:rsid w:val="00041E8A"/>
    <w:rsid w:val="000422D9"/>
    <w:rsid w:val="000424DE"/>
    <w:rsid w:val="00042635"/>
    <w:rsid w:val="00042752"/>
    <w:rsid w:val="00042789"/>
    <w:rsid w:val="000427AA"/>
    <w:rsid w:val="000428C4"/>
    <w:rsid w:val="00042911"/>
    <w:rsid w:val="00042DCE"/>
    <w:rsid w:val="00042E1F"/>
    <w:rsid w:val="00043378"/>
    <w:rsid w:val="000433B7"/>
    <w:rsid w:val="000436A1"/>
    <w:rsid w:val="00043723"/>
    <w:rsid w:val="00043732"/>
    <w:rsid w:val="00043763"/>
    <w:rsid w:val="00043868"/>
    <w:rsid w:val="00043991"/>
    <w:rsid w:val="00043B14"/>
    <w:rsid w:val="00043CAB"/>
    <w:rsid w:val="00043D1A"/>
    <w:rsid w:val="00043FE5"/>
    <w:rsid w:val="00044206"/>
    <w:rsid w:val="00044399"/>
    <w:rsid w:val="00044432"/>
    <w:rsid w:val="00044605"/>
    <w:rsid w:val="000447A7"/>
    <w:rsid w:val="0004491A"/>
    <w:rsid w:val="0004495F"/>
    <w:rsid w:val="00044A41"/>
    <w:rsid w:val="00044C05"/>
    <w:rsid w:val="00044E82"/>
    <w:rsid w:val="0004505F"/>
    <w:rsid w:val="000451D3"/>
    <w:rsid w:val="00045249"/>
    <w:rsid w:val="000455A0"/>
    <w:rsid w:val="000456AF"/>
    <w:rsid w:val="00045752"/>
    <w:rsid w:val="0004577B"/>
    <w:rsid w:val="00045B55"/>
    <w:rsid w:val="00045BE0"/>
    <w:rsid w:val="0004610A"/>
    <w:rsid w:val="00046355"/>
    <w:rsid w:val="0004642B"/>
    <w:rsid w:val="0004645C"/>
    <w:rsid w:val="00046526"/>
    <w:rsid w:val="00046718"/>
    <w:rsid w:val="00046A24"/>
    <w:rsid w:val="00046B5A"/>
    <w:rsid w:val="00046C23"/>
    <w:rsid w:val="00046CE0"/>
    <w:rsid w:val="00046E20"/>
    <w:rsid w:val="00046F28"/>
    <w:rsid w:val="00046FB4"/>
    <w:rsid w:val="000475A8"/>
    <w:rsid w:val="0004762F"/>
    <w:rsid w:val="000476BA"/>
    <w:rsid w:val="00047741"/>
    <w:rsid w:val="00047A58"/>
    <w:rsid w:val="00047BE9"/>
    <w:rsid w:val="00047F5F"/>
    <w:rsid w:val="0005020A"/>
    <w:rsid w:val="00050239"/>
    <w:rsid w:val="00050364"/>
    <w:rsid w:val="000503FC"/>
    <w:rsid w:val="0005053A"/>
    <w:rsid w:val="000505F2"/>
    <w:rsid w:val="00050757"/>
    <w:rsid w:val="00050954"/>
    <w:rsid w:val="00050ACA"/>
    <w:rsid w:val="00050F29"/>
    <w:rsid w:val="000511B6"/>
    <w:rsid w:val="000511BD"/>
    <w:rsid w:val="00051746"/>
    <w:rsid w:val="00051790"/>
    <w:rsid w:val="000517F3"/>
    <w:rsid w:val="0005180C"/>
    <w:rsid w:val="000519D7"/>
    <w:rsid w:val="00051D7B"/>
    <w:rsid w:val="00051F96"/>
    <w:rsid w:val="000523B1"/>
    <w:rsid w:val="0005263B"/>
    <w:rsid w:val="00052852"/>
    <w:rsid w:val="000529A9"/>
    <w:rsid w:val="00052ADC"/>
    <w:rsid w:val="00052AE2"/>
    <w:rsid w:val="00052CA9"/>
    <w:rsid w:val="00052DCC"/>
    <w:rsid w:val="00052ECE"/>
    <w:rsid w:val="00053004"/>
    <w:rsid w:val="00053055"/>
    <w:rsid w:val="000530A2"/>
    <w:rsid w:val="000530E4"/>
    <w:rsid w:val="000532D4"/>
    <w:rsid w:val="00053D7C"/>
    <w:rsid w:val="000541B9"/>
    <w:rsid w:val="000543AF"/>
    <w:rsid w:val="00054A1D"/>
    <w:rsid w:val="00054AF0"/>
    <w:rsid w:val="00054F35"/>
    <w:rsid w:val="000550A8"/>
    <w:rsid w:val="00055113"/>
    <w:rsid w:val="00055139"/>
    <w:rsid w:val="00055352"/>
    <w:rsid w:val="00055717"/>
    <w:rsid w:val="0005572F"/>
    <w:rsid w:val="0005574B"/>
    <w:rsid w:val="00055785"/>
    <w:rsid w:val="00055AFC"/>
    <w:rsid w:val="00055BF3"/>
    <w:rsid w:val="00055D7F"/>
    <w:rsid w:val="00055EEA"/>
    <w:rsid w:val="00055F05"/>
    <w:rsid w:val="000561D8"/>
    <w:rsid w:val="00056743"/>
    <w:rsid w:val="00056DBE"/>
    <w:rsid w:val="00056EC9"/>
    <w:rsid w:val="0005718E"/>
    <w:rsid w:val="0005741B"/>
    <w:rsid w:val="000574BD"/>
    <w:rsid w:val="00057509"/>
    <w:rsid w:val="00057B73"/>
    <w:rsid w:val="00060078"/>
    <w:rsid w:val="0006028A"/>
    <w:rsid w:val="00060597"/>
    <w:rsid w:val="000605F0"/>
    <w:rsid w:val="0006073E"/>
    <w:rsid w:val="0006081F"/>
    <w:rsid w:val="0006088F"/>
    <w:rsid w:val="00060AF6"/>
    <w:rsid w:val="00060C4A"/>
    <w:rsid w:val="00060C86"/>
    <w:rsid w:val="00060E46"/>
    <w:rsid w:val="00060EFE"/>
    <w:rsid w:val="00061037"/>
    <w:rsid w:val="00061058"/>
    <w:rsid w:val="00061290"/>
    <w:rsid w:val="00061295"/>
    <w:rsid w:val="0006154A"/>
    <w:rsid w:val="00061621"/>
    <w:rsid w:val="00061A23"/>
    <w:rsid w:val="00061B21"/>
    <w:rsid w:val="00061CEC"/>
    <w:rsid w:val="00061E00"/>
    <w:rsid w:val="00061F2F"/>
    <w:rsid w:val="00061F3C"/>
    <w:rsid w:val="000621A7"/>
    <w:rsid w:val="0006234F"/>
    <w:rsid w:val="000623AC"/>
    <w:rsid w:val="00062406"/>
    <w:rsid w:val="000626AB"/>
    <w:rsid w:val="000626B8"/>
    <w:rsid w:val="00062AE5"/>
    <w:rsid w:val="00062C75"/>
    <w:rsid w:val="000631B7"/>
    <w:rsid w:val="000633B0"/>
    <w:rsid w:val="0006375A"/>
    <w:rsid w:val="00063954"/>
    <w:rsid w:val="00063BF2"/>
    <w:rsid w:val="00063E08"/>
    <w:rsid w:val="00063F93"/>
    <w:rsid w:val="000641B7"/>
    <w:rsid w:val="00064295"/>
    <w:rsid w:val="00064B05"/>
    <w:rsid w:val="00064B70"/>
    <w:rsid w:val="00064DB5"/>
    <w:rsid w:val="00064E12"/>
    <w:rsid w:val="00064E23"/>
    <w:rsid w:val="000651C4"/>
    <w:rsid w:val="0006520C"/>
    <w:rsid w:val="0006539B"/>
    <w:rsid w:val="000653A7"/>
    <w:rsid w:val="00065520"/>
    <w:rsid w:val="000656C0"/>
    <w:rsid w:val="00065752"/>
    <w:rsid w:val="0006594B"/>
    <w:rsid w:val="00065BF4"/>
    <w:rsid w:val="00065DA8"/>
    <w:rsid w:val="00065DE5"/>
    <w:rsid w:val="00065E52"/>
    <w:rsid w:val="000660A5"/>
    <w:rsid w:val="00066231"/>
    <w:rsid w:val="00066ADF"/>
    <w:rsid w:val="00066B35"/>
    <w:rsid w:val="00066C32"/>
    <w:rsid w:val="0006725E"/>
    <w:rsid w:val="00067446"/>
    <w:rsid w:val="0006745D"/>
    <w:rsid w:val="000674E7"/>
    <w:rsid w:val="00067822"/>
    <w:rsid w:val="000678EE"/>
    <w:rsid w:val="00067A5E"/>
    <w:rsid w:val="00067AB2"/>
    <w:rsid w:val="00067AF3"/>
    <w:rsid w:val="00067B88"/>
    <w:rsid w:val="00067ED9"/>
    <w:rsid w:val="00067EDA"/>
    <w:rsid w:val="000703FB"/>
    <w:rsid w:val="00070829"/>
    <w:rsid w:val="000708E4"/>
    <w:rsid w:val="00070A42"/>
    <w:rsid w:val="00070D18"/>
    <w:rsid w:val="000710DF"/>
    <w:rsid w:val="000711F0"/>
    <w:rsid w:val="00071244"/>
    <w:rsid w:val="0007190A"/>
    <w:rsid w:val="00071B0C"/>
    <w:rsid w:val="00071B2F"/>
    <w:rsid w:val="00071B67"/>
    <w:rsid w:val="00071D00"/>
    <w:rsid w:val="00072091"/>
    <w:rsid w:val="0007251A"/>
    <w:rsid w:val="0007251C"/>
    <w:rsid w:val="00072922"/>
    <w:rsid w:val="0007294F"/>
    <w:rsid w:val="00072AD0"/>
    <w:rsid w:val="00072E49"/>
    <w:rsid w:val="00072F34"/>
    <w:rsid w:val="00072F3C"/>
    <w:rsid w:val="00072F9A"/>
    <w:rsid w:val="000732F2"/>
    <w:rsid w:val="00073337"/>
    <w:rsid w:val="00073469"/>
    <w:rsid w:val="000737B6"/>
    <w:rsid w:val="000738B8"/>
    <w:rsid w:val="00073927"/>
    <w:rsid w:val="00073AA7"/>
    <w:rsid w:val="00073B7E"/>
    <w:rsid w:val="00073E85"/>
    <w:rsid w:val="00073F57"/>
    <w:rsid w:val="000742C2"/>
    <w:rsid w:val="00074336"/>
    <w:rsid w:val="000746A7"/>
    <w:rsid w:val="00074810"/>
    <w:rsid w:val="0007485E"/>
    <w:rsid w:val="00074B15"/>
    <w:rsid w:val="00074B1E"/>
    <w:rsid w:val="00074C1F"/>
    <w:rsid w:val="00075766"/>
    <w:rsid w:val="00075A4E"/>
    <w:rsid w:val="00075B91"/>
    <w:rsid w:val="00075BD0"/>
    <w:rsid w:val="00076070"/>
    <w:rsid w:val="00076154"/>
    <w:rsid w:val="00076505"/>
    <w:rsid w:val="00076BBA"/>
    <w:rsid w:val="00076D0D"/>
    <w:rsid w:val="00076DBC"/>
    <w:rsid w:val="00076E2C"/>
    <w:rsid w:val="00076FB1"/>
    <w:rsid w:val="000770B2"/>
    <w:rsid w:val="000771C5"/>
    <w:rsid w:val="0007724E"/>
    <w:rsid w:val="00077258"/>
    <w:rsid w:val="00077456"/>
    <w:rsid w:val="00077720"/>
    <w:rsid w:val="00077AC2"/>
    <w:rsid w:val="00077DAE"/>
    <w:rsid w:val="00077F1E"/>
    <w:rsid w:val="00077F3B"/>
    <w:rsid w:val="00077FE5"/>
    <w:rsid w:val="00080464"/>
    <w:rsid w:val="000804DE"/>
    <w:rsid w:val="00080545"/>
    <w:rsid w:val="00080656"/>
    <w:rsid w:val="00080A78"/>
    <w:rsid w:val="00080AC3"/>
    <w:rsid w:val="00080B61"/>
    <w:rsid w:val="00080D86"/>
    <w:rsid w:val="00080F0F"/>
    <w:rsid w:val="0008168A"/>
    <w:rsid w:val="00081724"/>
    <w:rsid w:val="00081898"/>
    <w:rsid w:val="00081907"/>
    <w:rsid w:val="00081A6F"/>
    <w:rsid w:val="00081AD8"/>
    <w:rsid w:val="00081CFC"/>
    <w:rsid w:val="00081D4F"/>
    <w:rsid w:val="00081E0C"/>
    <w:rsid w:val="00081F36"/>
    <w:rsid w:val="000820E9"/>
    <w:rsid w:val="0008214B"/>
    <w:rsid w:val="0008229D"/>
    <w:rsid w:val="000824BB"/>
    <w:rsid w:val="000824BF"/>
    <w:rsid w:val="000825F9"/>
    <w:rsid w:val="000826F5"/>
    <w:rsid w:val="00082999"/>
    <w:rsid w:val="00082B26"/>
    <w:rsid w:val="00082B52"/>
    <w:rsid w:val="00082D53"/>
    <w:rsid w:val="00082DEF"/>
    <w:rsid w:val="00082FA4"/>
    <w:rsid w:val="00083206"/>
    <w:rsid w:val="000832A8"/>
    <w:rsid w:val="00083418"/>
    <w:rsid w:val="00083776"/>
    <w:rsid w:val="00083872"/>
    <w:rsid w:val="0008397D"/>
    <w:rsid w:val="00083D32"/>
    <w:rsid w:val="00083F24"/>
    <w:rsid w:val="00084229"/>
    <w:rsid w:val="00084640"/>
    <w:rsid w:val="00084C4A"/>
    <w:rsid w:val="00084E3B"/>
    <w:rsid w:val="00084EC4"/>
    <w:rsid w:val="00084F19"/>
    <w:rsid w:val="00084FC1"/>
    <w:rsid w:val="000851C6"/>
    <w:rsid w:val="0008522C"/>
    <w:rsid w:val="000854D6"/>
    <w:rsid w:val="00085620"/>
    <w:rsid w:val="00085860"/>
    <w:rsid w:val="000858AD"/>
    <w:rsid w:val="000858CB"/>
    <w:rsid w:val="00085B8E"/>
    <w:rsid w:val="00085EC2"/>
    <w:rsid w:val="000860B5"/>
    <w:rsid w:val="00086242"/>
    <w:rsid w:val="000862C5"/>
    <w:rsid w:val="00086362"/>
    <w:rsid w:val="000868FD"/>
    <w:rsid w:val="00086A52"/>
    <w:rsid w:val="00086C1E"/>
    <w:rsid w:val="00086EC9"/>
    <w:rsid w:val="00086FB9"/>
    <w:rsid w:val="00087488"/>
    <w:rsid w:val="00087661"/>
    <w:rsid w:val="000878F9"/>
    <w:rsid w:val="00087B7E"/>
    <w:rsid w:val="00087BC2"/>
    <w:rsid w:val="00087C78"/>
    <w:rsid w:val="00087C7D"/>
    <w:rsid w:val="0009000C"/>
    <w:rsid w:val="00090238"/>
    <w:rsid w:val="0009036D"/>
    <w:rsid w:val="000905C4"/>
    <w:rsid w:val="0009097E"/>
    <w:rsid w:val="000909C8"/>
    <w:rsid w:val="00090C4D"/>
    <w:rsid w:val="00090D86"/>
    <w:rsid w:val="00090F06"/>
    <w:rsid w:val="00091071"/>
    <w:rsid w:val="0009116A"/>
    <w:rsid w:val="000915BF"/>
    <w:rsid w:val="000915F9"/>
    <w:rsid w:val="000916E4"/>
    <w:rsid w:val="0009187F"/>
    <w:rsid w:val="00091D30"/>
    <w:rsid w:val="00091DB7"/>
    <w:rsid w:val="00091E9D"/>
    <w:rsid w:val="00091E9F"/>
    <w:rsid w:val="0009201F"/>
    <w:rsid w:val="0009203D"/>
    <w:rsid w:val="000922D4"/>
    <w:rsid w:val="00092411"/>
    <w:rsid w:val="00092598"/>
    <w:rsid w:val="0009270B"/>
    <w:rsid w:val="00092755"/>
    <w:rsid w:val="000929FC"/>
    <w:rsid w:val="00092A85"/>
    <w:rsid w:val="00092B15"/>
    <w:rsid w:val="00092B1A"/>
    <w:rsid w:val="00092D74"/>
    <w:rsid w:val="00092E32"/>
    <w:rsid w:val="00092E39"/>
    <w:rsid w:val="00092FB0"/>
    <w:rsid w:val="000930DE"/>
    <w:rsid w:val="00093288"/>
    <w:rsid w:val="00093AA8"/>
    <w:rsid w:val="000940FD"/>
    <w:rsid w:val="00094201"/>
    <w:rsid w:val="00094235"/>
    <w:rsid w:val="00094259"/>
    <w:rsid w:val="000945DF"/>
    <w:rsid w:val="00094913"/>
    <w:rsid w:val="0009510E"/>
    <w:rsid w:val="00095141"/>
    <w:rsid w:val="000951DB"/>
    <w:rsid w:val="000952F6"/>
    <w:rsid w:val="00095521"/>
    <w:rsid w:val="000956F5"/>
    <w:rsid w:val="000959B2"/>
    <w:rsid w:val="00095A49"/>
    <w:rsid w:val="00095B8C"/>
    <w:rsid w:val="00095C09"/>
    <w:rsid w:val="00095DAA"/>
    <w:rsid w:val="00095EC4"/>
    <w:rsid w:val="00096007"/>
    <w:rsid w:val="00096436"/>
    <w:rsid w:val="0009643D"/>
    <w:rsid w:val="00096621"/>
    <w:rsid w:val="00096661"/>
    <w:rsid w:val="00096718"/>
    <w:rsid w:val="00096A72"/>
    <w:rsid w:val="00096C0D"/>
    <w:rsid w:val="00096D03"/>
    <w:rsid w:val="00096DDB"/>
    <w:rsid w:val="00096F7A"/>
    <w:rsid w:val="00097319"/>
    <w:rsid w:val="00097462"/>
    <w:rsid w:val="000977FF"/>
    <w:rsid w:val="00097B33"/>
    <w:rsid w:val="00097E8E"/>
    <w:rsid w:val="00097EE4"/>
    <w:rsid w:val="00097EE6"/>
    <w:rsid w:val="000A001A"/>
    <w:rsid w:val="000A01A5"/>
    <w:rsid w:val="000A0316"/>
    <w:rsid w:val="000A0440"/>
    <w:rsid w:val="000A055D"/>
    <w:rsid w:val="000A0704"/>
    <w:rsid w:val="000A07C5"/>
    <w:rsid w:val="000A07EE"/>
    <w:rsid w:val="000A0A90"/>
    <w:rsid w:val="000A0AD5"/>
    <w:rsid w:val="000A0C4A"/>
    <w:rsid w:val="000A0C57"/>
    <w:rsid w:val="000A0D4B"/>
    <w:rsid w:val="000A0DE4"/>
    <w:rsid w:val="000A10AA"/>
    <w:rsid w:val="000A1168"/>
    <w:rsid w:val="000A1215"/>
    <w:rsid w:val="000A12B6"/>
    <w:rsid w:val="000A175E"/>
    <w:rsid w:val="000A198C"/>
    <w:rsid w:val="000A1A19"/>
    <w:rsid w:val="000A1CCB"/>
    <w:rsid w:val="000A1E67"/>
    <w:rsid w:val="000A1F91"/>
    <w:rsid w:val="000A2511"/>
    <w:rsid w:val="000A25E1"/>
    <w:rsid w:val="000A2A72"/>
    <w:rsid w:val="000A2AD6"/>
    <w:rsid w:val="000A2C47"/>
    <w:rsid w:val="000A2D46"/>
    <w:rsid w:val="000A2D4C"/>
    <w:rsid w:val="000A2E4B"/>
    <w:rsid w:val="000A3260"/>
    <w:rsid w:val="000A340D"/>
    <w:rsid w:val="000A341A"/>
    <w:rsid w:val="000A34F9"/>
    <w:rsid w:val="000A3554"/>
    <w:rsid w:val="000A365E"/>
    <w:rsid w:val="000A39B7"/>
    <w:rsid w:val="000A3A09"/>
    <w:rsid w:val="000A3FD8"/>
    <w:rsid w:val="000A469F"/>
    <w:rsid w:val="000A471F"/>
    <w:rsid w:val="000A493F"/>
    <w:rsid w:val="000A4B25"/>
    <w:rsid w:val="000A4DB3"/>
    <w:rsid w:val="000A4DF4"/>
    <w:rsid w:val="000A4FAE"/>
    <w:rsid w:val="000A571C"/>
    <w:rsid w:val="000A58E4"/>
    <w:rsid w:val="000A5AA6"/>
    <w:rsid w:val="000A5D4A"/>
    <w:rsid w:val="000A5D7C"/>
    <w:rsid w:val="000A5DB6"/>
    <w:rsid w:val="000A61C3"/>
    <w:rsid w:val="000A629C"/>
    <w:rsid w:val="000A69EB"/>
    <w:rsid w:val="000A6B84"/>
    <w:rsid w:val="000A6D94"/>
    <w:rsid w:val="000A6F18"/>
    <w:rsid w:val="000A702D"/>
    <w:rsid w:val="000A70F8"/>
    <w:rsid w:val="000A7144"/>
    <w:rsid w:val="000A7236"/>
    <w:rsid w:val="000A735C"/>
    <w:rsid w:val="000A748F"/>
    <w:rsid w:val="000A7794"/>
    <w:rsid w:val="000A78A7"/>
    <w:rsid w:val="000A79BC"/>
    <w:rsid w:val="000A7A61"/>
    <w:rsid w:val="000A7A81"/>
    <w:rsid w:val="000A7C9D"/>
    <w:rsid w:val="000A7DE4"/>
    <w:rsid w:val="000A7FAE"/>
    <w:rsid w:val="000B030B"/>
    <w:rsid w:val="000B060B"/>
    <w:rsid w:val="000B0982"/>
    <w:rsid w:val="000B09D9"/>
    <w:rsid w:val="000B0AEC"/>
    <w:rsid w:val="000B0BAF"/>
    <w:rsid w:val="000B0C95"/>
    <w:rsid w:val="000B0CE3"/>
    <w:rsid w:val="000B0F0D"/>
    <w:rsid w:val="000B0FCD"/>
    <w:rsid w:val="000B107F"/>
    <w:rsid w:val="000B1B0D"/>
    <w:rsid w:val="000B21FC"/>
    <w:rsid w:val="000B2541"/>
    <w:rsid w:val="000B2F8B"/>
    <w:rsid w:val="000B3479"/>
    <w:rsid w:val="000B3927"/>
    <w:rsid w:val="000B3951"/>
    <w:rsid w:val="000B39FE"/>
    <w:rsid w:val="000B3C62"/>
    <w:rsid w:val="000B3E64"/>
    <w:rsid w:val="000B401E"/>
    <w:rsid w:val="000B4072"/>
    <w:rsid w:val="000B41A5"/>
    <w:rsid w:val="000B44C4"/>
    <w:rsid w:val="000B4CAC"/>
    <w:rsid w:val="000B4D31"/>
    <w:rsid w:val="000B4F99"/>
    <w:rsid w:val="000B4FED"/>
    <w:rsid w:val="000B524B"/>
    <w:rsid w:val="000B5456"/>
    <w:rsid w:val="000B56F2"/>
    <w:rsid w:val="000B587D"/>
    <w:rsid w:val="000B58C7"/>
    <w:rsid w:val="000B5ECF"/>
    <w:rsid w:val="000B600B"/>
    <w:rsid w:val="000B61D6"/>
    <w:rsid w:val="000B6596"/>
    <w:rsid w:val="000B65ED"/>
    <w:rsid w:val="000B67DF"/>
    <w:rsid w:val="000B692C"/>
    <w:rsid w:val="000B69B4"/>
    <w:rsid w:val="000B6AE6"/>
    <w:rsid w:val="000B70D6"/>
    <w:rsid w:val="000B766C"/>
    <w:rsid w:val="000B7EE3"/>
    <w:rsid w:val="000C00B2"/>
    <w:rsid w:val="000C0249"/>
    <w:rsid w:val="000C02DC"/>
    <w:rsid w:val="000C0604"/>
    <w:rsid w:val="000C0812"/>
    <w:rsid w:val="000C086D"/>
    <w:rsid w:val="000C0BB5"/>
    <w:rsid w:val="000C0CA0"/>
    <w:rsid w:val="000C10D8"/>
    <w:rsid w:val="000C11A8"/>
    <w:rsid w:val="000C123E"/>
    <w:rsid w:val="000C1339"/>
    <w:rsid w:val="000C1ADC"/>
    <w:rsid w:val="000C1D67"/>
    <w:rsid w:val="000C1D86"/>
    <w:rsid w:val="000C1DD8"/>
    <w:rsid w:val="000C1E3D"/>
    <w:rsid w:val="000C2641"/>
    <w:rsid w:val="000C270B"/>
    <w:rsid w:val="000C2843"/>
    <w:rsid w:val="000C2852"/>
    <w:rsid w:val="000C2B78"/>
    <w:rsid w:val="000C2BCF"/>
    <w:rsid w:val="000C2F8C"/>
    <w:rsid w:val="000C3055"/>
    <w:rsid w:val="000C30B3"/>
    <w:rsid w:val="000C30D3"/>
    <w:rsid w:val="000C3149"/>
    <w:rsid w:val="000C31D4"/>
    <w:rsid w:val="000C3350"/>
    <w:rsid w:val="000C343F"/>
    <w:rsid w:val="000C34C9"/>
    <w:rsid w:val="000C3553"/>
    <w:rsid w:val="000C3899"/>
    <w:rsid w:val="000C3BEB"/>
    <w:rsid w:val="000C3D19"/>
    <w:rsid w:val="000C3D47"/>
    <w:rsid w:val="000C3F3B"/>
    <w:rsid w:val="000C45E8"/>
    <w:rsid w:val="000C46A3"/>
    <w:rsid w:val="000C477A"/>
    <w:rsid w:val="000C4A80"/>
    <w:rsid w:val="000C4B33"/>
    <w:rsid w:val="000C4C69"/>
    <w:rsid w:val="000C4CEA"/>
    <w:rsid w:val="000C4D93"/>
    <w:rsid w:val="000C4F30"/>
    <w:rsid w:val="000C527D"/>
    <w:rsid w:val="000C5654"/>
    <w:rsid w:val="000C5A88"/>
    <w:rsid w:val="000C5ADC"/>
    <w:rsid w:val="000C6101"/>
    <w:rsid w:val="000C6369"/>
    <w:rsid w:val="000C6424"/>
    <w:rsid w:val="000C6A65"/>
    <w:rsid w:val="000C6AB2"/>
    <w:rsid w:val="000C6C2D"/>
    <w:rsid w:val="000C70D5"/>
    <w:rsid w:val="000C7247"/>
    <w:rsid w:val="000C7496"/>
    <w:rsid w:val="000C74E4"/>
    <w:rsid w:val="000C776C"/>
    <w:rsid w:val="000C790B"/>
    <w:rsid w:val="000C79EE"/>
    <w:rsid w:val="000C7A2E"/>
    <w:rsid w:val="000C7E70"/>
    <w:rsid w:val="000C7EA0"/>
    <w:rsid w:val="000C7FDA"/>
    <w:rsid w:val="000D07FE"/>
    <w:rsid w:val="000D0BC4"/>
    <w:rsid w:val="000D1093"/>
    <w:rsid w:val="000D10A1"/>
    <w:rsid w:val="000D10C5"/>
    <w:rsid w:val="000D12FD"/>
    <w:rsid w:val="000D1362"/>
    <w:rsid w:val="000D1423"/>
    <w:rsid w:val="000D14BC"/>
    <w:rsid w:val="000D1604"/>
    <w:rsid w:val="000D182F"/>
    <w:rsid w:val="000D1C1E"/>
    <w:rsid w:val="000D1CC0"/>
    <w:rsid w:val="000D1D7D"/>
    <w:rsid w:val="000D2153"/>
    <w:rsid w:val="000D2295"/>
    <w:rsid w:val="000D29AE"/>
    <w:rsid w:val="000D2A65"/>
    <w:rsid w:val="000D2BC4"/>
    <w:rsid w:val="000D2BD9"/>
    <w:rsid w:val="000D2FEF"/>
    <w:rsid w:val="000D3087"/>
    <w:rsid w:val="000D325E"/>
    <w:rsid w:val="000D33ED"/>
    <w:rsid w:val="000D341A"/>
    <w:rsid w:val="000D349E"/>
    <w:rsid w:val="000D35DE"/>
    <w:rsid w:val="000D3652"/>
    <w:rsid w:val="000D3920"/>
    <w:rsid w:val="000D3CA4"/>
    <w:rsid w:val="000D40D0"/>
    <w:rsid w:val="000D4602"/>
    <w:rsid w:val="000D4650"/>
    <w:rsid w:val="000D48D4"/>
    <w:rsid w:val="000D49BE"/>
    <w:rsid w:val="000D4CBA"/>
    <w:rsid w:val="000D4D80"/>
    <w:rsid w:val="000D4E9C"/>
    <w:rsid w:val="000D5327"/>
    <w:rsid w:val="000D5423"/>
    <w:rsid w:val="000D5475"/>
    <w:rsid w:val="000D552A"/>
    <w:rsid w:val="000D5C12"/>
    <w:rsid w:val="000D5E09"/>
    <w:rsid w:val="000D5EB2"/>
    <w:rsid w:val="000D5ED3"/>
    <w:rsid w:val="000D629E"/>
    <w:rsid w:val="000D62A3"/>
    <w:rsid w:val="000D6404"/>
    <w:rsid w:val="000D64A4"/>
    <w:rsid w:val="000D67E8"/>
    <w:rsid w:val="000D692C"/>
    <w:rsid w:val="000D6A8E"/>
    <w:rsid w:val="000D6C40"/>
    <w:rsid w:val="000D6CF2"/>
    <w:rsid w:val="000D6D03"/>
    <w:rsid w:val="000D6F60"/>
    <w:rsid w:val="000D73AB"/>
    <w:rsid w:val="000D73CB"/>
    <w:rsid w:val="000D7649"/>
    <w:rsid w:val="000D767F"/>
    <w:rsid w:val="000D770C"/>
    <w:rsid w:val="000D775E"/>
    <w:rsid w:val="000D78CC"/>
    <w:rsid w:val="000D7A7E"/>
    <w:rsid w:val="000D7C18"/>
    <w:rsid w:val="000D7D21"/>
    <w:rsid w:val="000E022C"/>
    <w:rsid w:val="000E0955"/>
    <w:rsid w:val="000E0AE5"/>
    <w:rsid w:val="000E0C8C"/>
    <w:rsid w:val="000E0CAF"/>
    <w:rsid w:val="000E0CEE"/>
    <w:rsid w:val="000E0EFC"/>
    <w:rsid w:val="000E0FCB"/>
    <w:rsid w:val="000E10A8"/>
    <w:rsid w:val="000E137B"/>
    <w:rsid w:val="000E14D5"/>
    <w:rsid w:val="000E1BB4"/>
    <w:rsid w:val="000E1D81"/>
    <w:rsid w:val="000E1F46"/>
    <w:rsid w:val="000E1F93"/>
    <w:rsid w:val="000E208C"/>
    <w:rsid w:val="000E20D8"/>
    <w:rsid w:val="000E214B"/>
    <w:rsid w:val="000E22DC"/>
    <w:rsid w:val="000E259A"/>
    <w:rsid w:val="000E26B1"/>
    <w:rsid w:val="000E274F"/>
    <w:rsid w:val="000E27EF"/>
    <w:rsid w:val="000E27FC"/>
    <w:rsid w:val="000E2821"/>
    <w:rsid w:val="000E28B1"/>
    <w:rsid w:val="000E2E12"/>
    <w:rsid w:val="000E313E"/>
    <w:rsid w:val="000E3198"/>
    <w:rsid w:val="000E33BB"/>
    <w:rsid w:val="000E3514"/>
    <w:rsid w:val="000E3516"/>
    <w:rsid w:val="000E38F4"/>
    <w:rsid w:val="000E38FF"/>
    <w:rsid w:val="000E3EAE"/>
    <w:rsid w:val="000E4068"/>
    <w:rsid w:val="000E4171"/>
    <w:rsid w:val="000E4204"/>
    <w:rsid w:val="000E4320"/>
    <w:rsid w:val="000E450A"/>
    <w:rsid w:val="000E4679"/>
    <w:rsid w:val="000E46CC"/>
    <w:rsid w:val="000E494B"/>
    <w:rsid w:val="000E4A4E"/>
    <w:rsid w:val="000E4AFC"/>
    <w:rsid w:val="000E4B59"/>
    <w:rsid w:val="000E4CA0"/>
    <w:rsid w:val="000E4FCE"/>
    <w:rsid w:val="000E5549"/>
    <w:rsid w:val="000E5563"/>
    <w:rsid w:val="000E59D1"/>
    <w:rsid w:val="000E5AE7"/>
    <w:rsid w:val="000E5F5A"/>
    <w:rsid w:val="000E5FB4"/>
    <w:rsid w:val="000E6296"/>
    <w:rsid w:val="000E644E"/>
    <w:rsid w:val="000E6555"/>
    <w:rsid w:val="000E6684"/>
    <w:rsid w:val="000E67DE"/>
    <w:rsid w:val="000E691C"/>
    <w:rsid w:val="000E6B75"/>
    <w:rsid w:val="000E6C21"/>
    <w:rsid w:val="000E6C8F"/>
    <w:rsid w:val="000E6ED8"/>
    <w:rsid w:val="000E6F76"/>
    <w:rsid w:val="000E7063"/>
    <w:rsid w:val="000E7CA0"/>
    <w:rsid w:val="000F073B"/>
    <w:rsid w:val="000F099B"/>
    <w:rsid w:val="000F0BD2"/>
    <w:rsid w:val="000F0BD3"/>
    <w:rsid w:val="000F0C1D"/>
    <w:rsid w:val="000F1059"/>
    <w:rsid w:val="000F1249"/>
    <w:rsid w:val="000F1629"/>
    <w:rsid w:val="000F166D"/>
    <w:rsid w:val="000F1777"/>
    <w:rsid w:val="000F189E"/>
    <w:rsid w:val="000F1BEB"/>
    <w:rsid w:val="000F1BFA"/>
    <w:rsid w:val="000F1D44"/>
    <w:rsid w:val="000F1E7D"/>
    <w:rsid w:val="000F20AA"/>
    <w:rsid w:val="000F21D1"/>
    <w:rsid w:val="000F225F"/>
    <w:rsid w:val="000F24BB"/>
    <w:rsid w:val="000F2545"/>
    <w:rsid w:val="000F257F"/>
    <w:rsid w:val="000F2635"/>
    <w:rsid w:val="000F284F"/>
    <w:rsid w:val="000F2A27"/>
    <w:rsid w:val="000F2BBF"/>
    <w:rsid w:val="000F3349"/>
    <w:rsid w:val="000F34AC"/>
    <w:rsid w:val="000F36DF"/>
    <w:rsid w:val="000F3719"/>
    <w:rsid w:val="000F392B"/>
    <w:rsid w:val="000F39FD"/>
    <w:rsid w:val="000F3AE9"/>
    <w:rsid w:val="000F3C4A"/>
    <w:rsid w:val="000F4230"/>
    <w:rsid w:val="000F43AA"/>
    <w:rsid w:val="000F4845"/>
    <w:rsid w:val="000F4854"/>
    <w:rsid w:val="000F48B7"/>
    <w:rsid w:val="000F4A9D"/>
    <w:rsid w:val="000F4AFC"/>
    <w:rsid w:val="000F4BC6"/>
    <w:rsid w:val="000F4BCA"/>
    <w:rsid w:val="000F4BEE"/>
    <w:rsid w:val="000F4C8C"/>
    <w:rsid w:val="000F4F67"/>
    <w:rsid w:val="000F54EE"/>
    <w:rsid w:val="000F54FA"/>
    <w:rsid w:val="000F557B"/>
    <w:rsid w:val="000F559E"/>
    <w:rsid w:val="000F56D5"/>
    <w:rsid w:val="000F572C"/>
    <w:rsid w:val="000F57C3"/>
    <w:rsid w:val="000F5D23"/>
    <w:rsid w:val="000F5D93"/>
    <w:rsid w:val="000F5FE7"/>
    <w:rsid w:val="000F60C6"/>
    <w:rsid w:val="000F623B"/>
    <w:rsid w:val="000F643C"/>
    <w:rsid w:val="000F6559"/>
    <w:rsid w:val="000F6719"/>
    <w:rsid w:val="000F6928"/>
    <w:rsid w:val="000F69B9"/>
    <w:rsid w:val="000F6DE8"/>
    <w:rsid w:val="000F73EC"/>
    <w:rsid w:val="000F7513"/>
    <w:rsid w:val="000F76E5"/>
    <w:rsid w:val="000F77A5"/>
    <w:rsid w:val="000F78D0"/>
    <w:rsid w:val="000F792F"/>
    <w:rsid w:val="000F7AFA"/>
    <w:rsid w:val="000F7D32"/>
    <w:rsid w:val="000F7EC4"/>
    <w:rsid w:val="00100052"/>
    <w:rsid w:val="001002EA"/>
    <w:rsid w:val="001008B8"/>
    <w:rsid w:val="00100943"/>
    <w:rsid w:val="00100CE2"/>
    <w:rsid w:val="00100FC0"/>
    <w:rsid w:val="001012DA"/>
    <w:rsid w:val="001013D1"/>
    <w:rsid w:val="0010153C"/>
    <w:rsid w:val="00101686"/>
    <w:rsid w:val="0010192E"/>
    <w:rsid w:val="00101AF8"/>
    <w:rsid w:val="00101C19"/>
    <w:rsid w:val="00101D72"/>
    <w:rsid w:val="0010200F"/>
    <w:rsid w:val="001024EB"/>
    <w:rsid w:val="00102C5F"/>
    <w:rsid w:val="00102CCB"/>
    <w:rsid w:val="00102EDA"/>
    <w:rsid w:val="001031E7"/>
    <w:rsid w:val="00103240"/>
    <w:rsid w:val="00103458"/>
    <w:rsid w:val="001038C9"/>
    <w:rsid w:val="0010395C"/>
    <w:rsid w:val="00103AE2"/>
    <w:rsid w:val="00103C97"/>
    <w:rsid w:val="00103FDD"/>
    <w:rsid w:val="00104170"/>
    <w:rsid w:val="001043BE"/>
    <w:rsid w:val="001046E9"/>
    <w:rsid w:val="00104892"/>
    <w:rsid w:val="00104A36"/>
    <w:rsid w:val="00104AC8"/>
    <w:rsid w:val="00104D9C"/>
    <w:rsid w:val="00104F01"/>
    <w:rsid w:val="0010506A"/>
    <w:rsid w:val="00105081"/>
    <w:rsid w:val="001052FB"/>
    <w:rsid w:val="001053EF"/>
    <w:rsid w:val="00105830"/>
    <w:rsid w:val="00105BB5"/>
    <w:rsid w:val="00105E3B"/>
    <w:rsid w:val="00105E97"/>
    <w:rsid w:val="00105EE3"/>
    <w:rsid w:val="00105F7F"/>
    <w:rsid w:val="0010609A"/>
    <w:rsid w:val="00106127"/>
    <w:rsid w:val="001062BA"/>
    <w:rsid w:val="00106422"/>
    <w:rsid w:val="001067AC"/>
    <w:rsid w:val="0010691F"/>
    <w:rsid w:val="00106989"/>
    <w:rsid w:val="00106D54"/>
    <w:rsid w:val="00106DDC"/>
    <w:rsid w:val="00107149"/>
    <w:rsid w:val="0010729B"/>
    <w:rsid w:val="00107411"/>
    <w:rsid w:val="00107A60"/>
    <w:rsid w:val="00107B39"/>
    <w:rsid w:val="00107DBF"/>
    <w:rsid w:val="00110083"/>
    <w:rsid w:val="00110445"/>
    <w:rsid w:val="0011055A"/>
    <w:rsid w:val="00110905"/>
    <w:rsid w:val="00110C01"/>
    <w:rsid w:val="00110ED9"/>
    <w:rsid w:val="00110F34"/>
    <w:rsid w:val="00110FBA"/>
    <w:rsid w:val="00111212"/>
    <w:rsid w:val="0011130F"/>
    <w:rsid w:val="00111343"/>
    <w:rsid w:val="001116E0"/>
    <w:rsid w:val="00111756"/>
    <w:rsid w:val="0011178C"/>
    <w:rsid w:val="00111BC1"/>
    <w:rsid w:val="001120C1"/>
    <w:rsid w:val="001121AC"/>
    <w:rsid w:val="001121D5"/>
    <w:rsid w:val="001122CF"/>
    <w:rsid w:val="00112490"/>
    <w:rsid w:val="00112672"/>
    <w:rsid w:val="00112791"/>
    <w:rsid w:val="00112820"/>
    <w:rsid w:val="00112971"/>
    <w:rsid w:val="00112A53"/>
    <w:rsid w:val="00112AC9"/>
    <w:rsid w:val="00112EE2"/>
    <w:rsid w:val="00112F49"/>
    <w:rsid w:val="00112F7A"/>
    <w:rsid w:val="00112FCE"/>
    <w:rsid w:val="001132D4"/>
    <w:rsid w:val="00113564"/>
    <w:rsid w:val="001137B2"/>
    <w:rsid w:val="001137C7"/>
    <w:rsid w:val="001138A6"/>
    <w:rsid w:val="00113933"/>
    <w:rsid w:val="00113B26"/>
    <w:rsid w:val="00113BF7"/>
    <w:rsid w:val="00113E6C"/>
    <w:rsid w:val="00113F4A"/>
    <w:rsid w:val="00114098"/>
    <w:rsid w:val="00114139"/>
    <w:rsid w:val="0011468C"/>
    <w:rsid w:val="00114747"/>
    <w:rsid w:val="00114DDD"/>
    <w:rsid w:val="00114E86"/>
    <w:rsid w:val="0011501B"/>
    <w:rsid w:val="00115347"/>
    <w:rsid w:val="0011549D"/>
    <w:rsid w:val="00115647"/>
    <w:rsid w:val="0011582F"/>
    <w:rsid w:val="00115866"/>
    <w:rsid w:val="0011587E"/>
    <w:rsid w:val="00115980"/>
    <w:rsid w:val="00115B19"/>
    <w:rsid w:val="00115B67"/>
    <w:rsid w:val="00115E1C"/>
    <w:rsid w:val="00115EFD"/>
    <w:rsid w:val="0011606B"/>
    <w:rsid w:val="001160EF"/>
    <w:rsid w:val="001163D6"/>
    <w:rsid w:val="001163FF"/>
    <w:rsid w:val="00116452"/>
    <w:rsid w:val="00116544"/>
    <w:rsid w:val="00116963"/>
    <w:rsid w:val="00116C89"/>
    <w:rsid w:val="00116D69"/>
    <w:rsid w:val="00117157"/>
    <w:rsid w:val="001173EA"/>
    <w:rsid w:val="001174DF"/>
    <w:rsid w:val="001175EE"/>
    <w:rsid w:val="001177F7"/>
    <w:rsid w:val="0011792F"/>
    <w:rsid w:val="00117B54"/>
    <w:rsid w:val="00117DCF"/>
    <w:rsid w:val="00117EB3"/>
    <w:rsid w:val="00117F2F"/>
    <w:rsid w:val="00117F76"/>
    <w:rsid w:val="00120066"/>
    <w:rsid w:val="001200F5"/>
    <w:rsid w:val="001201DB"/>
    <w:rsid w:val="00120484"/>
    <w:rsid w:val="001204BA"/>
    <w:rsid w:val="00120666"/>
    <w:rsid w:val="0012091C"/>
    <w:rsid w:val="001209CF"/>
    <w:rsid w:val="00120A99"/>
    <w:rsid w:val="00120B53"/>
    <w:rsid w:val="00120B68"/>
    <w:rsid w:val="0012104C"/>
    <w:rsid w:val="00121115"/>
    <w:rsid w:val="0012123C"/>
    <w:rsid w:val="00121293"/>
    <w:rsid w:val="00121559"/>
    <w:rsid w:val="00121D25"/>
    <w:rsid w:val="00121D84"/>
    <w:rsid w:val="00121E55"/>
    <w:rsid w:val="0012201B"/>
    <w:rsid w:val="0012203F"/>
    <w:rsid w:val="00122105"/>
    <w:rsid w:val="00122179"/>
    <w:rsid w:val="00122216"/>
    <w:rsid w:val="0012259D"/>
    <w:rsid w:val="001226B2"/>
    <w:rsid w:val="001228B4"/>
    <w:rsid w:val="00122B34"/>
    <w:rsid w:val="00122B4D"/>
    <w:rsid w:val="00123479"/>
    <w:rsid w:val="001234C8"/>
    <w:rsid w:val="00123C20"/>
    <w:rsid w:val="00123CEB"/>
    <w:rsid w:val="00123DDA"/>
    <w:rsid w:val="00123E4F"/>
    <w:rsid w:val="00123F0E"/>
    <w:rsid w:val="0012473E"/>
    <w:rsid w:val="001247A2"/>
    <w:rsid w:val="00124ED6"/>
    <w:rsid w:val="00124F80"/>
    <w:rsid w:val="00125130"/>
    <w:rsid w:val="00125370"/>
    <w:rsid w:val="00125753"/>
    <w:rsid w:val="00125756"/>
    <w:rsid w:val="00125D7D"/>
    <w:rsid w:val="00126048"/>
    <w:rsid w:val="001261A0"/>
    <w:rsid w:val="001262BB"/>
    <w:rsid w:val="001262EC"/>
    <w:rsid w:val="00126704"/>
    <w:rsid w:val="00126902"/>
    <w:rsid w:val="001269EA"/>
    <w:rsid w:val="00126B63"/>
    <w:rsid w:val="00126D14"/>
    <w:rsid w:val="00126F3D"/>
    <w:rsid w:val="00127138"/>
    <w:rsid w:val="0012726C"/>
    <w:rsid w:val="00127288"/>
    <w:rsid w:val="001273A2"/>
    <w:rsid w:val="001273F1"/>
    <w:rsid w:val="00127536"/>
    <w:rsid w:val="0012772D"/>
    <w:rsid w:val="001278AE"/>
    <w:rsid w:val="00127942"/>
    <w:rsid w:val="00127E0C"/>
    <w:rsid w:val="00127FEB"/>
    <w:rsid w:val="00130115"/>
    <w:rsid w:val="00130374"/>
    <w:rsid w:val="0013045A"/>
    <w:rsid w:val="0013064C"/>
    <w:rsid w:val="00130774"/>
    <w:rsid w:val="00130801"/>
    <w:rsid w:val="00130834"/>
    <w:rsid w:val="001308E9"/>
    <w:rsid w:val="00130932"/>
    <w:rsid w:val="0013094E"/>
    <w:rsid w:val="0013098D"/>
    <w:rsid w:val="00130E3A"/>
    <w:rsid w:val="001310E6"/>
    <w:rsid w:val="0013113C"/>
    <w:rsid w:val="00131179"/>
    <w:rsid w:val="0013144A"/>
    <w:rsid w:val="001314A4"/>
    <w:rsid w:val="00131861"/>
    <w:rsid w:val="00131EA3"/>
    <w:rsid w:val="00131EFA"/>
    <w:rsid w:val="00131F3E"/>
    <w:rsid w:val="001320B2"/>
    <w:rsid w:val="00132256"/>
    <w:rsid w:val="001324BE"/>
    <w:rsid w:val="00132701"/>
    <w:rsid w:val="00132906"/>
    <w:rsid w:val="00132964"/>
    <w:rsid w:val="00132A14"/>
    <w:rsid w:val="001331B0"/>
    <w:rsid w:val="0013372A"/>
    <w:rsid w:val="0013387B"/>
    <w:rsid w:val="0013390D"/>
    <w:rsid w:val="00133C1D"/>
    <w:rsid w:val="00133E7D"/>
    <w:rsid w:val="00133F6E"/>
    <w:rsid w:val="0013401F"/>
    <w:rsid w:val="00134090"/>
    <w:rsid w:val="00134183"/>
    <w:rsid w:val="00134912"/>
    <w:rsid w:val="00134F94"/>
    <w:rsid w:val="00135296"/>
    <w:rsid w:val="00135305"/>
    <w:rsid w:val="0013544E"/>
    <w:rsid w:val="0013561C"/>
    <w:rsid w:val="001359EA"/>
    <w:rsid w:val="001359EC"/>
    <w:rsid w:val="00135B72"/>
    <w:rsid w:val="00135E68"/>
    <w:rsid w:val="00135EC2"/>
    <w:rsid w:val="00136010"/>
    <w:rsid w:val="001368D7"/>
    <w:rsid w:val="00136C17"/>
    <w:rsid w:val="00136E6B"/>
    <w:rsid w:val="001376B4"/>
    <w:rsid w:val="00137749"/>
    <w:rsid w:val="001378B2"/>
    <w:rsid w:val="00137EB4"/>
    <w:rsid w:val="00137F33"/>
    <w:rsid w:val="001402C4"/>
    <w:rsid w:val="0014040F"/>
    <w:rsid w:val="0014076C"/>
    <w:rsid w:val="00140A44"/>
    <w:rsid w:val="00140BDD"/>
    <w:rsid w:val="00140C73"/>
    <w:rsid w:val="00141088"/>
    <w:rsid w:val="00141267"/>
    <w:rsid w:val="00141312"/>
    <w:rsid w:val="00141461"/>
    <w:rsid w:val="00141539"/>
    <w:rsid w:val="0014155B"/>
    <w:rsid w:val="00141713"/>
    <w:rsid w:val="00141A78"/>
    <w:rsid w:val="00141CD5"/>
    <w:rsid w:val="00142077"/>
    <w:rsid w:val="00142123"/>
    <w:rsid w:val="00142566"/>
    <w:rsid w:val="00142613"/>
    <w:rsid w:val="00142722"/>
    <w:rsid w:val="00142AED"/>
    <w:rsid w:val="00142C2C"/>
    <w:rsid w:val="00142EE7"/>
    <w:rsid w:val="00143044"/>
    <w:rsid w:val="00143369"/>
    <w:rsid w:val="001438E1"/>
    <w:rsid w:val="00143AFC"/>
    <w:rsid w:val="00143FB8"/>
    <w:rsid w:val="0014427A"/>
    <w:rsid w:val="001443E1"/>
    <w:rsid w:val="0014440F"/>
    <w:rsid w:val="00144611"/>
    <w:rsid w:val="001447D7"/>
    <w:rsid w:val="001448C3"/>
    <w:rsid w:val="0014499E"/>
    <w:rsid w:val="001449B8"/>
    <w:rsid w:val="00144B27"/>
    <w:rsid w:val="00144CED"/>
    <w:rsid w:val="00144D10"/>
    <w:rsid w:val="00144F88"/>
    <w:rsid w:val="00145271"/>
    <w:rsid w:val="00145425"/>
    <w:rsid w:val="00145AAA"/>
    <w:rsid w:val="00145BEE"/>
    <w:rsid w:val="00145DC1"/>
    <w:rsid w:val="0014609D"/>
    <w:rsid w:val="001462A5"/>
    <w:rsid w:val="00146348"/>
    <w:rsid w:val="00146911"/>
    <w:rsid w:val="00146B6E"/>
    <w:rsid w:val="00146F4A"/>
    <w:rsid w:val="001474C1"/>
    <w:rsid w:val="00147640"/>
    <w:rsid w:val="00147C62"/>
    <w:rsid w:val="00147CD8"/>
    <w:rsid w:val="00147D1B"/>
    <w:rsid w:val="00147EC6"/>
    <w:rsid w:val="00150171"/>
    <w:rsid w:val="00150387"/>
    <w:rsid w:val="0015056A"/>
    <w:rsid w:val="001506F7"/>
    <w:rsid w:val="00150ADC"/>
    <w:rsid w:val="00150BE7"/>
    <w:rsid w:val="00150CB2"/>
    <w:rsid w:val="00150CDF"/>
    <w:rsid w:val="00150FA7"/>
    <w:rsid w:val="00151383"/>
    <w:rsid w:val="0015147B"/>
    <w:rsid w:val="00151A3A"/>
    <w:rsid w:val="00151E82"/>
    <w:rsid w:val="00151F13"/>
    <w:rsid w:val="00151F20"/>
    <w:rsid w:val="001524D0"/>
    <w:rsid w:val="00152602"/>
    <w:rsid w:val="001529C3"/>
    <w:rsid w:val="00152C59"/>
    <w:rsid w:val="00152CD6"/>
    <w:rsid w:val="00152D90"/>
    <w:rsid w:val="00152DE1"/>
    <w:rsid w:val="00152E42"/>
    <w:rsid w:val="00152EBE"/>
    <w:rsid w:val="00153345"/>
    <w:rsid w:val="001534B7"/>
    <w:rsid w:val="0015370A"/>
    <w:rsid w:val="00153981"/>
    <w:rsid w:val="00153A95"/>
    <w:rsid w:val="00153F96"/>
    <w:rsid w:val="00154049"/>
    <w:rsid w:val="00154188"/>
    <w:rsid w:val="001541B1"/>
    <w:rsid w:val="00154800"/>
    <w:rsid w:val="00154B56"/>
    <w:rsid w:val="00154D8B"/>
    <w:rsid w:val="00154F32"/>
    <w:rsid w:val="00154FCD"/>
    <w:rsid w:val="0015545D"/>
    <w:rsid w:val="00155482"/>
    <w:rsid w:val="00155768"/>
    <w:rsid w:val="001558B4"/>
    <w:rsid w:val="0015590F"/>
    <w:rsid w:val="00155E0A"/>
    <w:rsid w:val="00155E12"/>
    <w:rsid w:val="0015636D"/>
    <w:rsid w:val="001564CD"/>
    <w:rsid w:val="001565B3"/>
    <w:rsid w:val="00156900"/>
    <w:rsid w:val="00157002"/>
    <w:rsid w:val="0015712E"/>
    <w:rsid w:val="0015735F"/>
    <w:rsid w:val="001573F8"/>
    <w:rsid w:val="00160105"/>
    <w:rsid w:val="00160133"/>
    <w:rsid w:val="0016064A"/>
    <w:rsid w:val="001607B0"/>
    <w:rsid w:val="00160801"/>
    <w:rsid w:val="00160A4E"/>
    <w:rsid w:val="00160BFE"/>
    <w:rsid w:val="00160E15"/>
    <w:rsid w:val="00160EEA"/>
    <w:rsid w:val="001611A3"/>
    <w:rsid w:val="001613A5"/>
    <w:rsid w:val="001619DD"/>
    <w:rsid w:val="00161C1B"/>
    <w:rsid w:val="001622B7"/>
    <w:rsid w:val="00162722"/>
    <w:rsid w:val="00162785"/>
    <w:rsid w:val="001629B4"/>
    <w:rsid w:val="00162B6B"/>
    <w:rsid w:val="00162E0C"/>
    <w:rsid w:val="00162E7D"/>
    <w:rsid w:val="001633B5"/>
    <w:rsid w:val="00163457"/>
    <w:rsid w:val="001635E4"/>
    <w:rsid w:val="001636BE"/>
    <w:rsid w:val="001638D4"/>
    <w:rsid w:val="00163DB8"/>
    <w:rsid w:val="00163F99"/>
    <w:rsid w:val="00164209"/>
    <w:rsid w:val="001647C7"/>
    <w:rsid w:val="001647F4"/>
    <w:rsid w:val="001648E9"/>
    <w:rsid w:val="0016490C"/>
    <w:rsid w:val="001649F7"/>
    <w:rsid w:val="00164C74"/>
    <w:rsid w:val="00164F3A"/>
    <w:rsid w:val="00165564"/>
    <w:rsid w:val="00165769"/>
    <w:rsid w:val="0016591B"/>
    <w:rsid w:val="00165977"/>
    <w:rsid w:val="00165A4D"/>
    <w:rsid w:val="00165D86"/>
    <w:rsid w:val="00165E21"/>
    <w:rsid w:val="0016604B"/>
    <w:rsid w:val="0016616C"/>
    <w:rsid w:val="0016645C"/>
    <w:rsid w:val="00166787"/>
    <w:rsid w:val="00166968"/>
    <w:rsid w:val="0016730F"/>
    <w:rsid w:val="0016747E"/>
    <w:rsid w:val="00167609"/>
    <w:rsid w:val="00167629"/>
    <w:rsid w:val="00167707"/>
    <w:rsid w:val="0016773B"/>
    <w:rsid w:val="00167764"/>
    <w:rsid w:val="0016784B"/>
    <w:rsid w:val="0016785D"/>
    <w:rsid w:val="001678C1"/>
    <w:rsid w:val="00167B64"/>
    <w:rsid w:val="0017001E"/>
    <w:rsid w:val="001701E0"/>
    <w:rsid w:val="00170298"/>
    <w:rsid w:val="0017084A"/>
    <w:rsid w:val="00170876"/>
    <w:rsid w:val="00170AE3"/>
    <w:rsid w:val="00170B9F"/>
    <w:rsid w:val="00170C7B"/>
    <w:rsid w:val="00170EC4"/>
    <w:rsid w:val="00171150"/>
    <w:rsid w:val="0017133C"/>
    <w:rsid w:val="0017165B"/>
    <w:rsid w:val="0017178E"/>
    <w:rsid w:val="0017178F"/>
    <w:rsid w:val="00171BC8"/>
    <w:rsid w:val="00171C55"/>
    <w:rsid w:val="00171EE7"/>
    <w:rsid w:val="00171F51"/>
    <w:rsid w:val="0017250E"/>
    <w:rsid w:val="00172770"/>
    <w:rsid w:val="00172782"/>
    <w:rsid w:val="001727F3"/>
    <w:rsid w:val="001727FA"/>
    <w:rsid w:val="00172A19"/>
    <w:rsid w:val="00172A8B"/>
    <w:rsid w:val="00172D8B"/>
    <w:rsid w:val="00172F8E"/>
    <w:rsid w:val="00173277"/>
    <w:rsid w:val="001733AA"/>
    <w:rsid w:val="001734D7"/>
    <w:rsid w:val="001737F5"/>
    <w:rsid w:val="00173A46"/>
    <w:rsid w:val="00173C4A"/>
    <w:rsid w:val="00173D98"/>
    <w:rsid w:val="00173E86"/>
    <w:rsid w:val="00173ECB"/>
    <w:rsid w:val="001741F1"/>
    <w:rsid w:val="00174420"/>
    <w:rsid w:val="00174471"/>
    <w:rsid w:val="001745D8"/>
    <w:rsid w:val="001745DD"/>
    <w:rsid w:val="001745DF"/>
    <w:rsid w:val="00174707"/>
    <w:rsid w:val="00174919"/>
    <w:rsid w:val="00174A51"/>
    <w:rsid w:val="00174BEB"/>
    <w:rsid w:val="00174C25"/>
    <w:rsid w:val="00174D67"/>
    <w:rsid w:val="00174DA3"/>
    <w:rsid w:val="00174FC9"/>
    <w:rsid w:val="00175272"/>
    <w:rsid w:val="001753DF"/>
    <w:rsid w:val="001754BC"/>
    <w:rsid w:val="001755F8"/>
    <w:rsid w:val="00175771"/>
    <w:rsid w:val="00175793"/>
    <w:rsid w:val="00175CF4"/>
    <w:rsid w:val="00175DA8"/>
    <w:rsid w:val="00175E65"/>
    <w:rsid w:val="0017631E"/>
    <w:rsid w:val="001763D6"/>
    <w:rsid w:val="001764CA"/>
    <w:rsid w:val="0017671E"/>
    <w:rsid w:val="00176730"/>
    <w:rsid w:val="001768DF"/>
    <w:rsid w:val="00176BEA"/>
    <w:rsid w:val="00176C17"/>
    <w:rsid w:val="00176C4E"/>
    <w:rsid w:val="00176C5E"/>
    <w:rsid w:val="00176C8B"/>
    <w:rsid w:val="00176D97"/>
    <w:rsid w:val="00176ED8"/>
    <w:rsid w:val="0017712B"/>
    <w:rsid w:val="001773F6"/>
    <w:rsid w:val="001774AD"/>
    <w:rsid w:val="001774D7"/>
    <w:rsid w:val="00177584"/>
    <w:rsid w:val="00177652"/>
    <w:rsid w:val="00177A84"/>
    <w:rsid w:val="00177C57"/>
    <w:rsid w:val="00177E70"/>
    <w:rsid w:val="00177F7C"/>
    <w:rsid w:val="001803F0"/>
    <w:rsid w:val="00180608"/>
    <w:rsid w:val="001806A3"/>
    <w:rsid w:val="00180745"/>
    <w:rsid w:val="00180784"/>
    <w:rsid w:val="00180BA7"/>
    <w:rsid w:val="00180BF1"/>
    <w:rsid w:val="00180CC2"/>
    <w:rsid w:val="001810EA"/>
    <w:rsid w:val="001813C1"/>
    <w:rsid w:val="0018160A"/>
    <w:rsid w:val="0018165E"/>
    <w:rsid w:val="001816A3"/>
    <w:rsid w:val="001816CE"/>
    <w:rsid w:val="001818C2"/>
    <w:rsid w:val="00181A5B"/>
    <w:rsid w:val="00181FB9"/>
    <w:rsid w:val="001821FD"/>
    <w:rsid w:val="00182217"/>
    <w:rsid w:val="00182327"/>
    <w:rsid w:val="00182645"/>
    <w:rsid w:val="0018282B"/>
    <w:rsid w:val="00182840"/>
    <w:rsid w:val="001829D8"/>
    <w:rsid w:val="00182A7F"/>
    <w:rsid w:val="00182B87"/>
    <w:rsid w:val="00182BCF"/>
    <w:rsid w:val="00182F2C"/>
    <w:rsid w:val="00182F82"/>
    <w:rsid w:val="00183117"/>
    <w:rsid w:val="0018311B"/>
    <w:rsid w:val="00183651"/>
    <w:rsid w:val="00183909"/>
    <w:rsid w:val="00183A98"/>
    <w:rsid w:val="00183B7F"/>
    <w:rsid w:val="00183C36"/>
    <w:rsid w:val="00183C87"/>
    <w:rsid w:val="00183CBC"/>
    <w:rsid w:val="001842A0"/>
    <w:rsid w:val="00184472"/>
    <w:rsid w:val="00184482"/>
    <w:rsid w:val="0018448A"/>
    <w:rsid w:val="001844DE"/>
    <w:rsid w:val="00184589"/>
    <w:rsid w:val="00184700"/>
    <w:rsid w:val="0018477A"/>
    <w:rsid w:val="00184A8F"/>
    <w:rsid w:val="00184B54"/>
    <w:rsid w:val="00184C71"/>
    <w:rsid w:val="00184FC0"/>
    <w:rsid w:val="00185322"/>
    <w:rsid w:val="001853C5"/>
    <w:rsid w:val="0018542D"/>
    <w:rsid w:val="00185822"/>
    <w:rsid w:val="00185964"/>
    <w:rsid w:val="00185AE2"/>
    <w:rsid w:val="00186099"/>
    <w:rsid w:val="001861DF"/>
    <w:rsid w:val="0018654B"/>
    <w:rsid w:val="001866E6"/>
    <w:rsid w:val="00186788"/>
    <w:rsid w:val="00186901"/>
    <w:rsid w:val="00186AAB"/>
    <w:rsid w:val="00186CA6"/>
    <w:rsid w:val="00186E55"/>
    <w:rsid w:val="00186FB6"/>
    <w:rsid w:val="001870EF"/>
    <w:rsid w:val="0018745F"/>
    <w:rsid w:val="00187FEB"/>
    <w:rsid w:val="00190077"/>
    <w:rsid w:val="00190432"/>
    <w:rsid w:val="00190579"/>
    <w:rsid w:val="0019099B"/>
    <w:rsid w:val="00190ABF"/>
    <w:rsid w:val="00190C48"/>
    <w:rsid w:val="00191074"/>
    <w:rsid w:val="001910CE"/>
    <w:rsid w:val="001910CF"/>
    <w:rsid w:val="001910F1"/>
    <w:rsid w:val="0019117C"/>
    <w:rsid w:val="00191188"/>
    <w:rsid w:val="0019118A"/>
    <w:rsid w:val="001911A2"/>
    <w:rsid w:val="001915B6"/>
    <w:rsid w:val="001916BB"/>
    <w:rsid w:val="00191823"/>
    <w:rsid w:val="00191AA8"/>
    <w:rsid w:val="00191DEC"/>
    <w:rsid w:val="00191F2C"/>
    <w:rsid w:val="001920DF"/>
    <w:rsid w:val="00192188"/>
    <w:rsid w:val="00192375"/>
    <w:rsid w:val="001925D1"/>
    <w:rsid w:val="00192786"/>
    <w:rsid w:val="00192C35"/>
    <w:rsid w:val="00192EE6"/>
    <w:rsid w:val="00193611"/>
    <w:rsid w:val="00193648"/>
    <w:rsid w:val="001936EF"/>
    <w:rsid w:val="00193A37"/>
    <w:rsid w:val="00193AD3"/>
    <w:rsid w:val="00193B80"/>
    <w:rsid w:val="00193BC0"/>
    <w:rsid w:val="00193DE5"/>
    <w:rsid w:val="00193FA4"/>
    <w:rsid w:val="00194636"/>
    <w:rsid w:val="0019469E"/>
    <w:rsid w:val="00194D59"/>
    <w:rsid w:val="001952FB"/>
    <w:rsid w:val="001957D6"/>
    <w:rsid w:val="00195AA5"/>
    <w:rsid w:val="00195ACE"/>
    <w:rsid w:val="00195B15"/>
    <w:rsid w:val="00196316"/>
    <w:rsid w:val="0019687B"/>
    <w:rsid w:val="001969F4"/>
    <w:rsid w:val="00196A8C"/>
    <w:rsid w:val="00196B74"/>
    <w:rsid w:val="00196C64"/>
    <w:rsid w:val="00196D77"/>
    <w:rsid w:val="00196F2D"/>
    <w:rsid w:val="00196FAB"/>
    <w:rsid w:val="00196FD5"/>
    <w:rsid w:val="001974E9"/>
    <w:rsid w:val="0019796A"/>
    <w:rsid w:val="00197F45"/>
    <w:rsid w:val="00197F51"/>
    <w:rsid w:val="001A05B2"/>
    <w:rsid w:val="001A06AC"/>
    <w:rsid w:val="001A06D5"/>
    <w:rsid w:val="001A0881"/>
    <w:rsid w:val="001A0AB7"/>
    <w:rsid w:val="001A0AD1"/>
    <w:rsid w:val="001A0B6A"/>
    <w:rsid w:val="001A0C84"/>
    <w:rsid w:val="001A1047"/>
    <w:rsid w:val="001A10EA"/>
    <w:rsid w:val="001A11EC"/>
    <w:rsid w:val="001A126A"/>
    <w:rsid w:val="001A1306"/>
    <w:rsid w:val="001A137A"/>
    <w:rsid w:val="001A15AA"/>
    <w:rsid w:val="001A15FC"/>
    <w:rsid w:val="001A1889"/>
    <w:rsid w:val="001A2160"/>
    <w:rsid w:val="001A2331"/>
    <w:rsid w:val="001A2389"/>
    <w:rsid w:val="001A239E"/>
    <w:rsid w:val="001A2405"/>
    <w:rsid w:val="001A2549"/>
    <w:rsid w:val="001A2977"/>
    <w:rsid w:val="001A2A0B"/>
    <w:rsid w:val="001A2D7A"/>
    <w:rsid w:val="001A33A8"/>
    <w:rsid w:val="001A3800"/>
    <w:rsid w:val="001A3E20"/>
    <w:rsid w:val="001A3FE5"/>
    <w:rsid w:val="001A413B"/>
    <w:rsid w:val="001A421B"/>
    <w:rsid w:val="001A43B1"/>
    <w:rsid w:val="001A4566"/>
    <w:rsid w:val="001A46D1"/>
    <w:rsid w:val="001A49DE"/>
    <w:rsid w:val="001A4A06"/>
    <w:rsid w:val="001A4D93"/>
    <w:rsid w:val="001A4F1C"/>
    <w:rsid w:val="001A4FF2"/>
    <w:rsid w:val="001A5018"/>
    <w:rsid w:val="001A525D"/>
    <w:rsid w:val="001A5392"/>
    <w:rsid w:val="001A595B"/>
    <w:rsid w:val="001A5A0D"/>
    <w:rsid w:val="001A5CE1"/>
    <w:rsid w:val="001A5CFA"/>
    <w:rsid w:val="001A5D07"/>
    <w:rsid w:val="001A6026"/>
    <w:rsid w:val="001A609D"/>
    <w:rsid w:val="001A64B5"/>
    <w:rsid w:val="001A6578"/>
    <w:rsid w:val="001A670F"/>
    <w:rsid w:val="001A677C"/>
    <w:rsid w:val="001A684B"/>
    <w:rsid w:val="001A68AD"/>
    <w:rsid w:val="001A6933"/>
    <w:rsid w:val="001A6CE7"/>
    <w:rsid w:val="001A6E80"/>
    <w:rsid w:val="001A7011"/>
    <w:rsid w:val="001A7126"/>
    <w:rsid w:val="001A7829"/>
    <w:rsid w:val="001A7B2F"/>
    <w:rsid w:val="001A7C9C"/>
    <w:rsid w:val="001B0034"/>
    <w:rsid w:val="001B0112"/>
    <w:rsid w:val="001B029F"/>
    <w:rsid w:val="001B038F"/>
    <w:rsid w:val="001B07F2"/>
    <w:rsid w:val="001B08C9"/>
    <w:rsid w:val="001B0975"/>
    <w:rsid w:val="001B0AD6"/>
    <w:rsid w:val="001B0D86"/>
    <w:rsid w:val="001B10D5"/>
    <w:rsid w:val="001B123A"/>
    <w:rsid w:val="001B1460"/>
    <w:rsid w:val="001B15B3"/>
    <w:rsid w:val="001B1669"/>
    <w:rsid w:val="001B19A6"/>
    <w:rsid w:val="001B1C20"/>
    <w:rsid w:val="001B1CB7"/>
    <w:rsid w:val="001B1E33"/>
    <w:rsid w:val="001B21C5"/>
    <w:rsid w:val="001B2320"/>
    <w:rsid w:val="001B26A9"/>
    <w:rsid w:val="001B27B0"/>
    <w:rsid w:val="001B27DB"/>
    <w:rsid w:val="001B2C91"/>
    <w:rsid w:val="001B2CD2"/>
    <w:rsid w:val="001B2D16"/>
    <w:rsid w:val="001B2E8B"/>
    <w:rsid w:val="001B315E"/>
    <w:rsid w:val="001B3330"/>
    <w:rsid w:val="001B3521"/>
    <w:rsid w:val="001B3613"/>
    <w:rsid w:val="001B37AC"/>
    <w:rsid w:val="001B388C"/>
    <w:rsid w:val="001B3D72"/>
    <w:rsid w:val="001B3E1F"/>
    <w:rsid w:val="001B3FB5"/>
    <w:rsid w:val="001B4055"/>
    <w:rsid w:val="001B439E"/>
    <w:rsid w:val="001B4504"/>
    <w:rsid w:val="001B45E1"/>
    <w:rsid w:val="001B4647"/>
    <w:rsid w:val="001B5127"/>
    <w:rsid w:val="001B5357"/>
    <w:rsid w:val="001B57D7"/>
    <w:rsid w:val="001B59DB"/>
    <w:rsid w:val="001B5A8F"/>
    <w:rsid w:val="001B5C43"/>
    <w:rsid w:val="001B5DA7"/>
    <w:rsid w:val="001B5E54"/>
    <w:rsid w:val="001B5EFB"/>
    <w:rsid w:val="001B6033"/>
    <w:rsid w:val="001B6048"/>
    <w:rsid w:val="001B609C"/>
    <w:rsid w:val="001B64DA"/>
    <w:rsid w:val="001B65A9"/>
    <w:rsid w:val="001B6612"/>
    <w:rsid w:val="001B670E"/>
    <w:rsid w:val="001B6942"/>
    <w:rsid w:val="001B6E25"/>
    <w:rsid w:val="001B6F47"/>
    <w:rsid w:val="001B7558"/>
    <w:rsid w:val="001B7709"/>
    <w:rsid w:val="001B780C"/>
    <w:rsid w:val="001B78E5"/>
    <w:rsid w:val="001B7A71"/>
    <w:rsid w:val="001B7A8C"/>
    <w:rsid w:val="001B7B7D"/>
    <w:rsid w:val="001B7BA8"/>
    <w:rsid w:val="001B7E69"/>
    <w:rsid w:val="001C0064"/>
    <w:rsid w:val="001C009D"/>
    <w:rsid w:val="001C050E"/>
    <w:rsid w:val="001C051C"/>
    <w:rsid w:val="001C0660"/>
    <w:rsid w:val="001C07E0"/>
    <w:rsid w:val="001C08F8"/>
    <w:rsid w:val="001C0D76"/>
    <w:rsid w:val="001C0FF7"/>
    <w:rsid w:val="001C11D3"/>
    <w:rsid w:val="001C1388"/>
    <w:rsid w:val="001C1480"/>
    <w:rsid w:val="001C1540"/>
    <w:rsid w:val="001C192E"/>
    <w:rsid w:val="001C1B2F"/>
    <w:rsid w:val="001C1E44"/>
    <w:rsid w:val="001C206A"/>
    <w:rsid w:val="001C2094"/>
    <w:rsid w:val="001C209B"/>
    <w:rsid w:val="001C22C5"/>
    <w:rsid w:val="001C2349"/>
    <w:rsid w:val="001C2532"/>
    <w:rsid w:val="001C2563"/>
    <w:rsid w:val="001C25BC"/>
    <w:rsid w:val="001C29D5"/>
    <w:rsid w:val="001C2A4A"/>
    <w:rsid w:val="001C2B71"/>
    <w:rsid w:val="001C2CFE"/>
    <w:rsid w:val="001C3157"/>
    <w:rsid w:val="001C3178"/>
    <w:rsid w:val="001C3229"/>
    <w:rsid w:val="001C32A9"/>
    <w:rsid w:val="001C339C"/>
    <w:rsid w:val="001C34CA"/>
    <w:rsid w:val="001C36AF"/>
    <w:rsid w:val="001C375E"/>
    <w:rsid w:val="001C3877"/>
    <w:rsid w:val="001C41CB"/>
    <w:rsid w:val="001C4242"/>
    <w:rsid w:val="001C42AF"/>
    <w:rsid w:val="001C446D"/>
    <w:rsid w:val="001C4485"/>
    <w:rsid w:val="001C4583"/>
    <w:rsid w:val="001C4A09"/>
    <w:rsid w:val="001C4AFC"/>
    <w:rsid w:val="001C4B39"/>
    <w:rsid w:val="001C4C51"/>
    <w:rsid w:val="001C4D91"/>
    <w:rsid w:val="001C4F41"/>
    <w:rsid w:val="001C5056"/>
    <w:rsid w:val="001C50E2"/>
    <w:rsid w:val="001C539D"/>
    <w:rsid w:val="001C54AE"/>
    <w:rsid w:val="001C5A2E"/>
    <w:rsid w:val="001C5BE3"/>
    <w:rsid w:val="001C5E1B"/>
    <w:rsid w:val="001C61D7"/>
    <w:rsid w:val="001C637C"/>
    <w:rsid w:val="001C6412"/>
    <w:rsid w:val="001C6537"/>
    <w:rsid w:val="001C678E"/>
    <w:rsid w:val="001C6885"/>
    <w:rsid w:val="001C6D31"/>
    <w:rsid w:val="001C6E1A"/>
    <w:rsid w:val="001C6F53"/>
    <w:rsid w:val="001C70C3"/>
    <w:rsid w:val="001C7230"/>
    <w:rsid w:val="001C7318"/>
    <w:rsid w:val="001C7A55"/>
    <w:rsid w:val="001C7AD3"/>
    <w:rsid w:val="001C7C73"/>
    <w:rsid w:val="001D0327"/>
    <w:rsid w:val="001D0347"/>
    <w:rsid w:val="001D04CE"/>
    <w:rsid w:val="001D0533"/>
    <w:rsid w:val="001D05A3"/>
    <w:rsid w:val="001D072D"/>
    <w:rsid w:val="001D0927"/>
    <w:rsid w:val="001D09D1"/>
    <w:rsid w:val="001D0B45"/>
    <w:rsid w:val="001D0B66"/>
    <w:rsid w:val="001D0C05"/>
    <w:rsid w:val="001D0CA9"/>
    <w:rsid w:val="001D0EBB"/>
    <w:rsid w:val="001D13C3"/>
    <w:rsid w:val="001D145E"/>
    <w:rsid w:val="001D15DB"/>
    <w:rsid w:val="001D166A"/>
    <w:rsid w:val="001D1A01"/>
    <w:rsid w:val="001D1BDA"/>
    <w:rsid w:val="001D200D"/>
    <w:rsid w:val="001D2044"/>
    <w:rsid w:val="001D21F8"/>
    <w:rsid w:val="001D22AB"/>
    <w:rsid w:val="001D27DF"/>
    <w:rsid w:val="001D2A3D"/>
    <w:rsid w:val="001D2CBE"/>
    <w:rsid w:val="001D2ED1"/>
    <w:rsid w:val="001D30F6"/>
    <w:rsid w:val="001D31E9"/>
    <w:rsid w:val="001D3823"/>
    <w:rsid w:val="001D383A"/>
    <w:rsid w:val="001D3AE5"/>
    <w:rsid w:val="001D404D"/>
    <w:rsid w:val="001D4170"/>
    <w:rsid w:val="001D41DE"/>
    <w:rsid w:val="001D45AD"/>
    <w:rsid w:val="001D49C5"/>
    <w:rsid w:val="001D5181"/>
    <w:rsid w:val="001D5637"/>
    <w:rsid w:val="001D56FC"/>
    <w:rsid w:val="001D57FA"/>
    <w:rsid w:val="001D58B7"/>
    <w:rsid w:val="001D5970"/>
    <w:rsid w:val="001D5A9A"/>
    <w:rsid w:val="001D5C82"/>
    <w:rsid w:val="001D5D2F"/>
    <w:rsid w:val="001D5EC8"/>
    <w:rsid w:val="001D61E2"/>
    <w:rsid w:val="001D6355"/>
    <w:rsid w:val="001D6657"/>
    <w:rsid w:val="001D6F4B"/>
    <w:rsid w:val="001D6FA1"/>
    <w:rsid w:val="001D7225"/>
    <w:rsid w:val="001D724B"/>
    <w:rsid w:val="001D724D"/>
    <w:rsid w:val="001D73C8"/>
    <w:rsid w:val="001D7588"/>
    <w:rsid w:val="001D7616"/>
    <w:rsid w:val="001D76D2"/>
    <w:rsid w:val="001D7A29"/>
    <w:rsid w:val="001D7AB0"/>
    <w:rsid w:val="001D7B1C"/>
    <w:rsid w:val="001D7D86"/>
    <w:rsid w:val="001E011D"/>
    <w:rsid w:val="001E01C8"/>
    <w:rsid w:val="001E0567"/>
    <w:rsid w:val="001E0B39"/>
    <w:rsid w:val="001E0CB9"/>
    <w:rsid w:val="001E0CFB"/>
    <w:rsid w:val="001E0FAD"/>
    <w:rsid w:val="001E13BA"/>
    <w:rsid w:val="001E15A2"/>
    <w:rsid w:val="001E177C"/>
    <w:rsid w:val="001E1878"/>
    <w:rsid w:val="001E1D5D"/>
    <w:rsid w:val="001E1FB6"/>
    <w:rsid w:val="001E210F"/>
    <w:rsid w:val="001E2174"/>
    <w:rsid w:val="001E220C"/>
    <w:rsid w:val="001E257D"/>
    <w:rsid w:val="001E28E8"/>
    <w:rsid w:val="001E2B4A"/>
    <w:rsid w:val="001E2FEA"/>
    <w:rsid w:val="001E2FEE"/>
    <w:rsid w:val="001E31A1"/>
    <w:rsid w:val="001E3246"/>
    <w:rsid w:val="001E32CD"/>
    <w:rsid w:val="001E331C"/>
    <w:rsid w:val="001E36D5"/>
    <w:rsid w:val="001E3AB3"/>
    <w:rsid w:val="001E3C39"/>
    <w:rsid w:val="001E3DCC"/>
    <w:rsid w:val="001E3FE1"/>
    <w:rsid w:val="001E4009"/>
    <w:rsid w:val="001E40A2"/>
    <w:rsid w:val="001E432D"/>
    <w:rsid w:val="001E44E5"/>
    <w:rsid w:val="001E45C0"/>
    <w:rsid w:val="001E49ED"/>
    <w:rsid w:val="001E4DD5"/>
    <w:rsid w:val="001E5107"/>
    <w:rsid w:val="001E5263"/>
    <w:rsid w:val="001E5391"/>
    <w:rsid w:val="001E5705"/>
    <w:rsid w:val="001E5725"/>
    <w:rsid w:val="001E5956"/>
    <w:rsid w:val="001E5AF2"/>
    <w:rsid w:val="001E5BA3"/>
    <w:rsid w:val="001E5BCA"/>
    <w:rsid w:val="001E5CE5"/>
    <w:rsid w:val="001E6101"/>
    <w:rsid w:val="001E6147"/>
    <w:rsid w:val="001E634D"/>
    <w:rsid w:val="001E644D"/>
    <w:rsid w:val="001E64F2"/>
    <w:rsid w:val="001E6800"/>
    <w:rsid w:val="001E7162"/>
    <w:rsid w:val="001E7168"/>
    <w:rsid w:val="001E7185"/>
    <w:rsid w:val="001E71C4"/>
    <w:rsid w:val="001E72D2"/>
    <w:rsid w:val="001E7375"/>
    <w:rsid w:val="001E7679"/>
    <w:rsid w:val="001E769E"/>
    <w:rsid w:val="001E76BA"/>
    <w:rsid w:val="001E77F0"/>
    <w:rsid w:val="001E7B0F"/>
    <w:rsid w:val="001E7CE9"/>
    <w:rsid w:val="001E7EC8"/>
    <w:rsid w:val="001E7EF7"/>
    <w:rsid w:val="001E7F73"/>
    <w:rsid w:val="001F01F1"/>
    <w:rsid w:val="001F024A"/>
    <w:rsid w:val="001F02CC"/>
    <w:rsid w:val="001F04D1"/>
    <w:rsid w:val="001F05D0"/>
    <w:rsid w:val="001F0624"/>
    <w:rsid w:val="001F0686"/>
    <w:rsid w:val="001F07FF"/>
    <w:rsid w:val="001F08FD"/>
    <w:rsid w:val="001F0D4D"/>
    <w:rsid w:val="001F0F5A"/>
    <w:rsid w:val="001F121B"/>
    <w:rsid w:val="001F13A6"/>
    <w:rsid w:val="001F1571"/>
    <w:rsid w:val="001F18D5"/>
    <w:rsid w:val="001F1A61"/>
    <w:rsid w:val="001F1C6F"/>
    <w:rsid w:val="001F1E0A"/>
    <w:rsid w:val="001F21B9"/>
    <w:rsid w:val="001F2305"/>
    <w:rsid w:val="001F241B"/>
    <w:rsid w:val="001F24A3"/>
    <w:rsid w:val="001F2637"/>
    <w:rsid w:val="001F28CE"/>
    <w:rsid w:val="001F2A1A"/>
    <w:rsid w:val="001F2E8E"/>
    <w:rsid w:val="001F2F15"/>
    <w:rsid w:val="001F2F32"/>
    <w:rsid w:val="001F3181"/>
    <w:rsid w:val="001F3668"/>
    <w:rsid w:val="001F3DBD"/>
    <w:rsid w:val="001F3FBB"/>
    <w:rsid w:val="001F3FEF"/>
    <w:rsid w:val="001F402E"/>
    <w:rsid w:val="001F42B7"/>
    <w:rsid w:val="001F4301"/>
    <w:rsid w:val="001F4370"/>
    <w:rsid w:val="001F443D"/>
    <w:rsid w:val="001F446D"/>
    <w:rsid w:val="001F4593"/>
    <w:rsid w:val="001F48AE"/>
    <w:rsid w:val="001F557A"/>
    <w:rsid w:val="001F5584"/>
    <w:rsid w:val="001F563C"/>
    <w:rsid w:val="001F57C3"/>
    <w:rsid w:val="001F581F"/>
    <w:rsid w:val="001F5A2A"/>
    <w:rsid w:val="001F5BB1"/>
    <w:rsid w:val="001F63FC"/>
    <w:rsid w:val="001F6745"/>
    <w:rsid w:val="001F6878"/>
    <w:rsid w:val="001F6B87"/>
    <w:rsid w:val="001F6E2C"/>
    <w:rsid w:val="001F6FB0"/>
    <w:rsid w:val="001F6FF6"/>
    <w:rsid w:val="001F700D"/>
    <w:rsid w:val="001F7108"/>
    <w:rsid w:val="001F76B1"/>
    <w:rsid w:val="001F78CD"/>
    <w:rsid w:val="001F7A98"/>
    <w:rsid w:val="001F7B14"/>
    <w:rsid w:val="001F7F23"/>
    <w:rsid w:val="002002EB"/>
    <w:rsid w:val="0020086A"/>
    <w:rsid w:val="00200CDE"/>
    <w:rsid w:val="00200F77"/>
    <w:rsid w:val="00200F97"/>
    <w:rsid w:val="0020103D"/>
    <w:rsid w:val="00201204"/>
    <w:rsid w:val="0020134C"/>
    <w:rsid w:val="00201A4F"/>
    <w:rsid w:val="00201DF0"/>
    <w:rsid w:val="00201E07"/>
    <w:rsid w:val="00201EE2"/>
    <w:rsid w:val="00201EE6"/>
    <w:rsid w:val="00201FEE"/>
    <w:rsid w:val="002022D2"/>
    <w:rsid w:val="0020234C"/>
    <w:rsid w:val="002023EF"/>
    <w:rsid w:val="002026D9"/>
    <w:rsid w:val="00202E83"/>
    <w:rsid w:val="00203246"/>
    <w:rsid w:val="0020344E"/>
    <w:rsid w:val="00203B34"/>
    <w:rsid w:val="00203CE3"/>
    <w:rsid w:val="0020401E"/>
    <w:rsid w:val="002041D3"/>
    <w:rsid w:val="002041ED"/>
    <w:rsid w:val="002041EF"/>
    <w:rsid w:val="0020425C"/>
    <w:rsid w:val="0020443C"/>
    <w:rsid w:val="00204679"/>
    <w:rsid w:val="002049E6"/>
    <w:rsid w:val="00204DE9"/>
    <w:rsid w:val="00204FC7"/>
    <w:rsid w:val="002050FE"/>
    <w:rsid w:val="0020528E"/>
    <w:rsid w:val="00205634"/>
    <w:rsid w:val="00205DCC"/>
    <w:rsid w:val="00205E25"/>
    <w:rsid w:val="00206030"/>
    <w:rsid w:val="002061D8"/>
    <w:rsid w:val="0020626F"/>
    <w:rsid w:val="002063BA"/>
    <w:rsid w:val="002063E5"/>
    <w:rsid w:val="0020652B"/>
    <w:rsid w:val="002065B4"/>
    <w:rsid w:val="002065D6"/>
    <w:rsid w:val="00206685"/>
    <w:rsid w:val="002066C6"/>
    <w:rsid w:val="002066D1"/>
    <w:rsid w:val="0020686F"/>
    <w:rsid w:val="00206D8A"/>
    <w:rsid w:val="00207036"/>
    <w:rsid w:val="0020752F"/>
    <w:rsid w:val="002075E3"/>
    <w:rsid w:val="00207DCA"/>
    <w:rsid w:val="00207DD2"/>
    <w:rsid w:val="00207E89"/>
    <w:rsid w:val="00207F29"/>
    <w:rsid w:val="00210036"/>
    <w:rsid w:val="00210437"/>
    <w:rsid w:val="00210558"/>
    <w:rsid w:val="002106BF"/>
    <w:rsid w:val="00210806"/>
    <w:rsid w:val="00210976"/>
    <w:rsid w:val="00210BB8"/>
    <w:rsid w:val="00210BCE"/>
    <w:rsid w:val="00211032"/>
    <w:rsid w:val="0021111B"/>
    <w:rsid w:val="002111D7"/>
    <w:rsid w:val="00211599"/>
    <w:rsid w:val="00211A6E"/>
    <w:rsid w:val="00211A93"/>
    <w:rsid w:val="00211AFB"/>
    <w:rsid w:val="00211C52"/>
    <w:rsid w:val="00211C7C"/>
    <w:rsid w:val="00211D46"/>
    <w:rsid w:val="00211DF1"/>
    <w:rsid w:val="00211E3A"/>
    <w:rsid w:val="002120F0"/>
    <w:rsid w:val="00212153"/>
    <w:rsid w:val="00212182"/>
    <w:rsid w:val="002122E2"/>
    <w:rsid w:val="002126F7"/>
    <w:rsid w:val="00212BC6"/>
    <w:rsid w:val="00212BE9"/>
    <w:rsid w:val="00212C15"/>
    <w:rsid w:val="00212C99"/>
    <w:rsid w:val="00212CFD"/>
    <w:rsid w:val="00212E4B"/>
    <w:rsid w:val="00213118"/>
    <w:rsid w:val="002135A7"/>
    <w:rsid w:val="002135B0"/>
    <w:rsid w:val="0021362D"/>
    <w:rsid w:val="00213785"/>
    <w:rsid w:val="00213802"/>
    <w:rsid w:val="00213A5D"/>
    <w:rsid w:val="00213B33"/>
    <w:rsid w:val="00213BCF"/>
    <w:rsid w:val="00213EA8"/>
    <w:rsid w:val="00213ECC"/>
    <w:rsid w:val="00213F83"/>
    <w:rsid w:val="00214253"/>
    <w:rsid w:val="0021435F"/>
    <w:rsid w:val="0021436A"/>
    <w:rsid w:val="00214492"/>
    <w:rsid w:val="00214938"/>
    <w:rsid w:val="00214A18"/>
    <w:rsid w:val="00214E34"/>
    <w:rsid w:val="00214E92"/>
    <w:rsid w:val="00214E9E"/>
    <w:rsid w:val="00214ECA"/>
    <w:rsid w:val="00215567"/>
    <w:rsid w:val="0021557B"/>
    <w:rsid w:val="0021567E"/>
    <w:rsid w:val="0021569F"/>
    <w:rsid w:val="002156F6"/>
    <w:rsid w:val="00215855"/>
    <w:rsid w:val="00215856"/>
    <w:rsid w:val="002158A0"/>
    <w:rsid w:val="00215B2A"/>
    <w:rsid w:val="00215B67"/>
    <w:rsid w:val="00215B78"/>
    <w:rsid w:val="00215CA4"/>
    <w:rsid w:val="00215F7F"/>
    <w:rsid w:val="00216193"/>
    <w:rsid w:val="002162BA"/>
    <w:rsid w:val="00216682"/>
    <w:rsid w:val="002166CA"/>
    <w:rsid w:val="0021672D"/>
    <w:rsid w:val="0021698F"/>
    <w:rsid w:val="0021699D"/>
    <w:rsid w:val="002169A8"/>
    <w:rsid w:val="00216ABB"/>
    <w:rsid w:val="00216C22"/>
    <w:rsid w:val="00216D7F"/>
    <w:rsid w:val="002170FE"/>
    <w:rsid w:val="002175CA"/>
    <w:rsid w:val="002177E4"/>
    <w:rsid w:val="00217A20"/>
    <w:rsid w:val="00217A26"/>
    <w:rsid w:val="00220235"/>
    <w:rsid w:val="002202E5"/>
    <w:rsid w:val="0022030B"/>
    <w:rsid w:val="0022036F"/>
    <w:rsid w:val="00220846"/>
    <w:rsid w:val="00220946"/>
    <w:rsid w:val="002209D6"/>
    <w:rsid w:val="00220C57"/>
    <w:rsid w:val="00220E4F"/>
    <w:rsid w:val="002212E9"/>
    <w:rsid w:val="00221310"/>
    <w:rsid w:val="002216EA"/>
    <w:rsid w:val="0022184B"/>
    <w:rsid w:val="0022199D"/>
    <w:rsid w:val="002219A6"/>
    <w:rsid w:val="002222B4"/>
    <w:rsid w:val="0022234F"/>
    <w:rsid w:val="00222405"/>
    <w:rsid w:val="0022251C"/>
    <w:rsid w:val="002225DC"/>
    <w:rsid w:val="00222AD9"/>
    <w:rsid w:val="00222C0C"/>
    <w:rsid w:val="00222D3F"/>
    <w:rsid w:val="00223006"/>
    <w:rsid w:val="002231ED"/>
    <w:rsid w:val="00223373"/>
    <w:rsid w:val="002235D6"/>
    <w:rsid w:val="00223621"/>
    <w:rsid w:val="00223749"/>
    <w:rsid w:val="00223A79"/>
    <w:rsid w:val="00223B9A"/>
    <w:rsid w:val="0022407A"/>
    <w:rsid w:val="002240EA"/>
    <w:rsid w:val="00224174"/>
    <w:rsid w:val="002241EB"/>
    <w:rsid w:val="00224263"/>
    <w:rsid w:val="002249E5"/>
    <w:rsid w:val="00224C92"/>
    <w:rsid w:val="00224D03"/>
    <w:rsid w:val="00224EBA"/>
    <w:rsid w:val="00224FF3"/>
    <w:rsid w:val="002250D0"/>
    <w:rsid w:val="00225209"/>
    <w:rsid w:val="002254C4"/>
    <w:rsid w:val="00225546"/>
    <w:rsid w:val="00225588"/>
    <w:rsid w:val="002255FB"/>
    <w:rsid w:val="00225602"/>
    <w:rsid w:val="002256E4"/>
    <w:rsid w:val="00225813"/>
    <w:rsid w:val="00225A19"/>
    <w:rsid w:val="00225A3A"/>
    <w:rsid w:val="00226064"/>
    <w:rsid w:val="0022637F"/>
    <w:rsid w:val="002263F5"/>
    <w:rsid w:val="00226A9D"/>
    <w:rsid w:val="00226D7F"/>
    <w:rsid w:val="00226ECE"/>
    <w:rsid w:val="002270FF"/>
    <w:rsid w:val="00227123"/>
    <w:rsid w:val="00227467"/>
    <w:rsid w:val="0022774D"/>
    <w:rsid w:val="0022781E"/>
    <w:rsid w:val="002278B1"/>
    <w:rsid w:val="0022796C"/>
    <w:rsid w:val="002279BE"/>
    <w:rsid w:val="00227B73"/>
    <w:rsid w:val="00227D46"/>
    <w:rsid w:val="00227DDD"/>
    <w:rsid w:val="00227E64"/>
    <w:rsid w:val="002300FF"/>
    <w:rsid w:val="002302A9"/>
    <w:rsid w:val="0023037A"/>
    <w:rsid w:val="0023050F"/>
    <w:rsid w:val="00230907"/>
    <w:rsid w:val="00230C3A"/>
    <w:rsid w:val="00230DA9"/>
    <w:rsid w:val="00230E92"/>
    <w:rsid w:val="00230FAB"/>
    <w:rsid w:val="00231164"/>
    <w:rsid w:val="002313F4"/>
    <w:rsid w:val="0023195A"/>
    <w:rsid w:val="00231A07"/>
    <w:rsid w:val="00232035"/>
    <w:rsid w:val="002320C7"/>
    <w:rsid w:val="00232214"/>
    <w:rsid w:val="00232246"/>
    <w:rsid w:val="0023234C"/>
    <w:rsid w:val="00232370"/>
    <w:rsid w:val="00232795"/>
    <w:rsid w:val="002327B8"/>
    <w:rsid w:val="002327ED"/>
    <w:rsid w:val="00232899"/>
    <w:rsid w:val="002329CC"/>
    <w:rsid w:val="002329F1"/>
    <w:rsid w:val="00232B6E"/>
    <w:rsid w:val="00232BE7"/>
    <w:rsid w:val="00232F3E"/>
    <w:rsid w:val="00232F79"/>
    <w:rsid w:val="0023366E"/>
    <w:rsid w:val="00233696"/>
    <w:rsid w:val="00233940"/>
    <w:rsid w:val="00233B1A"/>
    <w:rsid w:val="00233DCE"/>
    <w:rsid w:val="00234069"/>
    <w:rsid w:val="00234191"/>
    <w:rsid w:val="00234835"/>
    <w:rsid w:val="00234898"/>
    <w:rsid w:val="002348F8"/>
    <w:rsid w:val="002349AC"/>
    <w:rsid w:val="002350ED"/>
    <w:rsid w:val="00235163"/>
    <w:rsid w:val="0023539F"/>
    <w:rsid w:val="002354B4"/>
    <w:rsid w:val="0023578E"/>
    <w:rsid w:val="0023589B"/>
    <w:rsid w:val="00235BD7"/>
    <w:rsid w:val="00235DBE"/>
    <w:rsid w:val="00235EEC"/>
    <w:rsid w:val="00235FDB"/>
    <w:rsid w:val="00236140"/>
    <w:rsid w:val="00236255"/>
    <w:rsid w:val="00236336"/>
    <w:rsid w:val="002364C9"/>
    <w:rsid w:val="00236980"/>
    <w:rsid w:val="002369DD"/>
    <w:rsid w:val="00236A8D"/>
    <w:rsid w:val="00236BC3"/>
    <w:rsid w:val="00236DB9"/>
    <w:rsid w:val="00236E72"/>
    <w:rsid w:val="00237104"/>
    <w:rsid w:val="00237391"/>
    <w:rsid w:val="00237A7F"/>
    <w:rsid w:val="0024000A"/>
    <w:rsid w:val="002400D8"/>
    <w:rsid w:val="00240231"/>
    <w:rsid w:val="002403B0"/>
    <w:rsid w:val="002403BA"/>
    <w:rsid w:val="0024055F"/>
    <w:rsid w:val="00240670"/>
    <w:rsid w:val="00240682"/>
    <w:rsid w:val="002409F2"/>
    <w:rsid w:val="00240A2A"/>
    <w:rsid w:val="00240D65"/>
    <w:rsid w:val="00240EDB"/>
    <w:rsid w:val="00241159"/>
    <w:rsid w:val="00241163"/>
    <w:rsid w:val="002412DD"/>
    <w:rsid w:val="002417CF"/>
    <w:rsid w:val="002417E0"/>
    <w:rsid w:val="00241A4C"/>
    <w:rsid w:val="00241AF1"/>
    <w:rsid w:val="00241B29"/>
    <w:rsid w:val="00241FFD"/>
    <w:rsid w:val="00242096"/>
    <w:rsid w:val="00242224"/>
    <w:rsid w:val="002422BE"/>
    <w:rsid w:val="002424D1"/>
    <w:rsid w:val="0024255E"/>
    <w:rsid w:val="00242563"/>
    <w:rsid w:val="0024260A"/>
    <w:rsid w:val="0024289A"/>
    <w:rsid w:val="00242A8E"/>
    <w:rsid w:val="00242B80"/>
    <w:rsid w:val="00242B81"/>
    <w:rsid w:val="0024326A"/>
    <w:rsid w:val="00243741"/>
    <w:rsid w:val="0024374B"/>
    <w:rsid w:val="00243B5D"/>
    <w:rsid w:val="00243D22"/>
    <w:rsid w:val="00243D48"/>
    <w:rsid w:val="00243DF7"/>
    <w:rsid w:val="00244721"/>
    <w:rsid w:val="00244AEB"/>
    <w:rsid w:val="00244DCF"/>
    <w:rsid w:val="002451FF"/>
    <w:rsid w:val="002454F4"/>
    <w:rsid w:val="00245712"/>
    <w:rsid w:val="00245770"/>
    <w:rsid w:val="002457F5"/>
    <w:rsid w:val="00245C3F"/>
    <w:rsid w:val="00245E88"/>
    <w:rsid w:val="00245EBC"/>
    <w:rsid w:val="00245ED1"/>
    <w:rsid w:val="002465EB"/>
    <w:rsid w:val="002469A7"/>
    <w:rsid w:val="00246A01"/>
    <w:rsid w:val="00246CC1"/>
    <w:rsid w:val="00246CD3"/>
    <w:rsid w:val="00246F21"/>
    <w:rsid w:val="00247073"/>
    <w:rsid w:val="002470E6"/>
    <w:rsid w:val="00247206"/>
    <w:rsid w:val="002478AB"/>
    <w:rsid w:val="00247BDB"/>
    <w:rsid w:val="00247C60"/>
    <w:rsid w:val="00247C8D"/>
    <w:rsid w:val="00247FF8"/>
    <w:rsid w:val="002502CE"/>
    <w:rsid w:val="002504D2"/>
    <w:rsid w:val="00250552"/>
    <w:rsid w:val="00250821"/>
    <w:rsid w:val="00250DCF"/>
    <w:rsid w:val="00250DFD"/>
    <w:rsid w:val="00251057"/>
    <w:rsid w:val="0025105F"/>
    <w:rsid w:val="0025116B"/>
    <w:rsid w:val="0025119F"/>
    <w:rsid w:val="00251309"/>
    <w:rsid w:val="00251573"/>
    <w:rsid w:val="0025158F"/>
    <w:rsid w:val="00251771"/>
    <w:rsid w:val="0025179F"/>
    <w:rsid w:val="002518FD"/>
    <w:rsid w:val="0025190C"/>
    <w:rsid w:val="00251A8F"/>
    <w:rsid w:val="00251C87"/>
    <w:rsid w:val="00251CFC"/>
    <w:rsid w:val="0025223F"/>
    <w:rsid w:val="00252407"/>
    <w:rsid w:val="002526DB"/>
    <w:rsid w:val="00252BB5"/>
    <w:rsid w:val="002530F9"/>
    <w:rsid w:val="00253492"/>
    <w:rsid w:val="00253526"/>
    <w:rsid w:val="0025375A"/>
    <w:rsid w:val="0025396C"/>
    <w:rsid w:val="0025398B"/>
    <w:rsid w:val="00253B14"/>
    <w:rsid w:val="00253B6F"/>
    <w:rsid w:val="00253C56"/>
    <w:rsid w:val="00253EEA"/>
    <w:rsid w:val="00254413"/>
    <w:rsid w:val="002548D5"/>
    <w:rsid w:val="00254D76"/>
    <w:rsid w:val="00255062"/>
    <w:rsid w:val="0025546D"/>
    <w:rsid w:val="002555C5"/>
    <w:rsid w:val="002558F0"/>
    <w:rsid w:val="00255956"/>
    <w:rsid w:val="00255D6D"/>
    <w:rsid w:val="00255DC7"/>
    <w:rsid w:val="00255E6B"/>
    <w:rsid w:val="00256814"/>
    <w:rsid w:val="00256888"/>
    <w:rsid w:val="00256C57"/>
    <w:rsid w:val="00256C7E"/>
    <w:rsid w:val="00256CA3"/>
    <w:rsid w:val="00256D95"/>
    <w:rsid w:val="00256DCC"/>
    <w:rsid w:val="00256EF3"/>
    <w:rsid w:val="00256F2D"/>
    <w:rsid w:val="00256F30"/>
    <w:rsid w:val="00257252"/>
    <w:rsid w:val="00257268"/>
    <w:rsid w:val="00257641"/>
    <w:rsid w:val="00257A4B"/>
    <w:rsid w:val="00257C66"/>
    <w:rsid w:val="00257D98"/>
    <w:rsid w:val="0026009D"/>
    <w:rsid w:val="00260261"/>
    <w:rsid w:val="002604C7"/>
    <w:rsid w:val="00260702"/>
    <w:rsid w:val="0026076C"/>
    <w:rsid w:val="002607E9"/>
    <w:rsid w:val="002608FF"/>
    <w:rsid w:val="00260A2B"/>
    <w:rsid w:val="00260C06"/>
    <w:rsid w:val="00260CDD"/>
    <w:rsid w:val="002614ED"/>
    <w:rsid w:val="00261727"/>
    <w:rsid w:val="00261A9A"/>
    <w:rsid w:val="00261EEB"/>
    <w:rsid w:val="00262302"/>
    <w:rsid w:val="002623DD"/>
    <w:rsid w:val="00262428"/>
    <w:rsid w:val="0026250C"/>
    <w:rsid w:val="0026269F"/>
    <w:rsid w:val="002627A3"/>
    <w:rsid w:val="002627A5"/>
    <w:rsid w:val="00262942"/>
    <w:rsid w:val="00262BB7"/>
    <w:rsid w:val="00262CCB"/>
    <w:rsid w:val="00262D7C"/>
    <w:rsid w:val="00262E22"/>
    <w:rsid w:val="00262ECF"/>
    <w:rsid w:val="0026325A"/>
    <w:rsid w:val="0026326F"/>
    <w:rsid w:val="00263291"/>
    <w:rsid w:val="0026335D"/>
    <w:rsid w:val="0026385F"/>
    <w:rsid w:val="0026386A"/>
    <w:rsid w:val="0026394D"/>
    <w:rsid w:val="00263E97"/>
    <w:rsid w:val="0026416F"/>
    <w:rsid w:val="002641B6"/>
    <w:rsid w:val="0026423D"/>
    <w:rsid w:val="002646FD"/>
    <w:rsid w:val="00264A45"/>
    <w:rsid w:val="00264ACA"/>
    <w:rsid w:val="00264C1D"/>
    <w:rsid w:val="00264C38"/>
    <w:rsid w:val="00264C9B"/>
    <w:rsid w:val="00264D4D"/>
    <w:rsid w:val="00264F55"/>
    <w:rsid w:val="00265151"/>
    <w:rsid w:val="002651D1"/>
    <w:rsid w:val="00265200"/>
    <w:rsid w:val="0026526E"/>
    <w:rsid w:val="002657FA"/>
    <w:rsid w:val="002658C5"/>
    <w:rsid w:val="00265DA9"/>
    <w:rsid w:val="00265E81"/>
    <w:rsid w:val="00265FBB"/>
    <w:rsid w:val="002660D3"/>
    <w:rsid w:val="00266320"/>
    <w:rsid w:val="002665B0"/>
    <w:rsid w:val="00266676"/>
    <w:rsid w:val="00266A96"/>
    <w:rsid w:val="00266AD1"/>
    <w:rsid w:val="00266B7C"/>
    <w:rsid w:val="00266EEB"/>
    <w:rsid w:val="00266F62"/>
    <w:rsid w:val="002677F8"/>
    <w:rsid w:val="002679D0"/>
    <w:rsid w:val="00267B88"/>
    <w:rsid w:val="00267E04"/>
    <w:rsid w:val="00267E51"/>
    <w:rsid w:val="002700DC"/>
    <w:rsid w:val="002700E6"/>
    <w:rsid w:val="0027012F"/>
    <w:rsid w:val="0027014D"/>
    <w:rsid w:val="002702AE"/>
    <w:rsid w:val="002704B7"/>
    <w:rsid w:val="0027072D"/>
    <w:rsid w:val="002707D1"/>
    <w:rsid w:val="00270CDC"/>
    <w:rsid w:val="00270E4E"/>
    <w:rsid w:val="00270ED7"/>
    <w:rsid w:val="00270EF2"/>
    <w:rsid w:val="002712C6"/>
    <w:rsid w:val="00271345"/>
    <w:rsid w:val="0027134F"/>
    <w:rsid w:val="002713A2"/>
    <w:rsid w:val="002714F7"/>
    <w:rsid w:val="002714F8"/>
    <w:rsid w:val="00271624"/>
    <w:rsid w:val="00271678"/>
    <w:rsid w:val="00271881"/>
    <w:rsid w:val="00271972"/>
    <w:rsid w:val="002719D1"/>
    <w:rsid w:val="00271A65"/>
    <w:rsid w:val="00271AE2"/>
    <w:rsid w:val="00272102"/>
    <w:rsid w:val="00272448"/>
    <w:rsid w:val="00272569"/>
    <w:rsid w:val="00272684"/>
    <w:rsid w:val="0027274F"/>
    <w:rsid w:val="002727C3"/>
    <w:rsid w:val="00272887"/>
    <w:rsid w:val="0027289F"/>
    <w:rsid w:val="00272A07"/>
    <w:rsid w:val="00272A6C"/>
    <w:rsid w:val="00272B04"/>
    <w:rsid w:val="00272CE3"/>
    <w:rsid w:val="00272F5D"/>
    <w:rsid w:val="00273124"/>
    <w:rsid w:val="00273390"/>
    <w:rsid w:val="00273880"/>
    <w:rsid w:val="002739A2"/>
    <w:rsid w:val="002739B6"/>
    <w:rsid w:val="00273ABF"/>
    <w:rsid w:val="00273B2C"/>
    <w:rsid w:val="0027416A"/>
    <w:rsid w:val="00274233"/>
    <w:rsid w:val="0027429B"/>
    <w:rsid w:val="002747EC"/>
    <w:rsid w:val="00274AE9"/>
    <w:rsid w:val="00274D41"/>
    <w:rsid w:val="002750D0"/>
    <w:rsid w:val="00275120"/>
    <w:rsid w:val="0027571E"/>
    <w:rsid w:val="0027579E"/>
    <w:rsid w:val="00275BD8"/>
    <w:rsid w:val="00275C27"/>
    <w:rsid w:val="00276151"/>
    <w:rsid w:val="0027615B"/>
    <w:rsid w:val="002761EF"/>
    <w:rsid w:val="00276567"/>
    <w:rsid w:val="0027660B"/>
    <w:rsid w:val="00276782"/>
    <w:rsid w:val="00276A7E"/>
    <w:rsid w:val="00276E4C"/>
    <w:rsid w:val="002770E0"/>
    <w:rsid w:val="002770FF"/>
    <w:rsid w:val="00277257"/>
    <w:rsid w:val="0027756A"/>
    <w:rsid w:val="002775BE"/>
    <w:rsid w:val="002777C3"/>
    <w:rsid w:val="0027787C"/>
    <w:rsid w:val="00277967"/>
    <w:rsid w:val="0027799E"/>
    <w:rsid w:val="00277A3F"/>
    <w:rsid w:val="00277B26"/>
    <w:rsid w:val="00277D3B"/>
    <w:rsid w:val="00277EEF"/>
    <w:rsid w:val="00280176"/>
    <w:rsid w:val="0028031A"/>
    <w:rsid w:val="002805C8"/>
    <w:rsid w:val="0028078D"/>
    <w:rsid w:val="00280866"/>
    <w:rsid w:val="00280A24"/>
    <w:rsid w:val="00280ACB"/>
    <w:rsid w:val="00280B13"/>
    <w:rsid w:val="00280C87"/>
    <w:rsid w:val="00280D27"/>
    <w:rsid w:val="00280DC4"/>
    <w:rsid w:val="00280E87"/>
    <w:rsid w:val="00280EED"/>
    <w:rsid w:val="00280FCE"/>
    <w:rsid w:val="002811E1"/>
    <w:rsid w:val="00281225"/>
    <w:rsid w:val="00281230"/>
    <w:rsid w:val="00281348"/>
    <w:rsid w:val="002813BD"/>
    <w:rsid w:val="00281880"/>
    <w:rsid w:val="00281953"/>
    <w:rsid w:val="002819A0"/>
    <w:rsid w:val="002819D3"/>
    <w:rsid w:val="00281C32"/>
    <w:rsid w:val="00281EFC"/>
    <w:rsid w:val="00281F43"/>
    <w:rsid w:val="00281FFA"/>
    <w:rsid w:val="002825AC"/>
    <w:rsid w:val="002825FE"/>
    <w:rsid w:val="00282B0F"/>
    <w:rsid w:val="00282D3E"/>
    <w:rsid w:val="00282E52"/>
    <w:rsid w:val="00282F98"/>
    <w:rsid w:val="002830AC"/>
    <w:rsid w:val="0028331C"/>
    <w:rsid w:val="00283575"/>
    <w:rsid w:val="00283986"/>
    <w:rsid w:val="00283A0E"/>
    <w:rsid w:val="00283D3E"/>
    <w:rsid w:val="00283F9C"/>
    <w:rsid w:val="002840E9"/>
    <w:rsid w:val="00284104"/>
    <w:rsid w:val="00284109"/>
    <w:rsid w:val="002842E1"/>
    <w:rsid w:val="002846E6"/>
    <w:rsid w:val="00284720"/>
    <w:rsid w:val="0028478B"/>
    <w:rsid w:val="00284A8B"/>
    <w:rsid w:val="00284B4C"/>
    <w:rsid w:val="00284C07"/>
    <w:rsid w:val="00285250"/>
    <w:rsid w:val="002854B3"/>
    <w:rsid w:val="00285A29"/>
    <w:rsid w:val="00285BEE"/>
    <w:rsid w:val="00285C97"/>
    <w:rsid w:val="00285CE4"/>
    <w:rsid w:val="00285D95"/>
    <w:rsid w:val="00285E1E"/>
    <w:rsid w:val="0028618F"/>
    <w:rsid w:val="0028668D"/>
    <w:rsid w:val="002866B0"/>
    <w:rsid w:val="002867D1"/>
    <w:rsid w:val="00286935"/>
    <w:rsid w:val="0028693F"/>
    <w:rsid w:val="00286CB4"/>
    <w:rsid w:val="00286FCD"/>
    <w:rsid w:val="0028717B"/>
    <w:rsid w:val="002871B1"/>
    <w:rsid w:val="00287423"/>
    <w:rsid w:val="0028748C"/>
    <w:rsid w:val="0028749A"/>
    <w:rsid w:val="0028763A"/>
    <w:rsid w:val="00287A77"/>
    <w:rsid w:val="00287C00"/>
    <w:rsid w:val="00287DB0"/>
    <w:rsid w:val="002902D8"/>
    <w:rsid w:val="00290309"/>
    <w:rsid w:val="00290439"/>
    <w:rsid w:val="0029043F"/>
    <w:rsid w:val="002904E8"/>
    <w:rsid w:val="00290EDB"/>
    <w:rsid w:val="002910BA"/>
    <w:rsid w:val="00291390"/>
    <w:rsid w:val="002913B9"/>
    <w:rsid w:val="00291697"/>
    <w:rsid w:val="002916EE"/>
    <w:rsid w:val="00291934"/>
    <w:rsid w:val="0029198A"/>
    <w:rsid w:val="00291B5F"/>
    <w:rsid w:val="00291D89"/>
    <w:rsid w:val="00292183"/>
    <w:rsid w:val="002923D2"/>
    <w:rsid w:val="002924ED"/>
    <w:rsid w:val="00292582"/>
    <w:rsid w:val="00292660"/>
    <w:rsid w:val="002926D9"/>
    <w:rsid w:val="002927D3"/>
    <w:rsid w:val="0029283D"/>
    <w:rsid w:val="002928DA"/>
    <w:rsid w:val="00292D5E"/>
    <w:rsid w:val="00292DE0"/>
    <w:rsid w:val="00292ED6"/>
    <w:rsid w:val="00293066"/>
    <w:rsid w:val="00293128"/>
    <w:rsid w:val="002933E4"/>
    <w:rsid w:val="002933F9"/>
    <w:rsid w:val="00293B16"/>
    <w:rsid w:val="00293B31"/>
    <w:rsid w:val="00293FF3"/>
    <w:rsid w:val="00294404"/>
    <w:rsid w:val="00294418"/>
    <w:rsid w:val="00294450"/>
    <w:rsid w:val="002944F4"/>
    <w:rsid w:val="0029462F"/>
    <w:rsid w:val="00294724"/>
    <w:rsid w:val="002947DC"/>
    <w:rsid w:val="0029498C"/>
    <w:rsid w:val="00294B17"/>
    <w:rsid w:val="00294BEF"/>
    <w:rsid w:val="00294C5A"/>
    <w:rsid w:val="00294DC5"/>
    <w:rsid w:val="00294E93"/>
    <w:rsid w:val="00295324"/>
    <w:rsid w:val="00295741"/>
    <w:rsid w:val="0029578A"/>
    <w:rsid w:val="002958FA"/>
    <w:rsid w:val="00295940"/>
    <w:rsid w:val="00295B33"/>
    <w:rsid w:val="00295CCD"/>
    <w:rsid w:val="002961BB"/>
    <w:rsid w:val="00296329"/>
    <w:rsid w:val="0029649B"/>
    <w:rsid w:val="0029660F"/>
    <w:rsid w:val="002968B6"/>
    <w:rsid w:val="00296DAA"/>
    <w:rsid w:val="00296E65"/>
    <w:rsid w:val="00296EB2"/>
    <w:rsid w:val="0029715A"/>
    <w:rsid w:val="0029730B"/>
    <w:rsid w:val="002974EF"/>
    <w:rsid w:val="00297862"/>
    <w:rsid w:val="002978DE"/>
    <w:rsid w:val="00297AF8"/>
    <w:rsid w:val="00297BE6"/>
    <w:rsid w:val="00297C9E"/>
    <w:rsid w:val="00297DEB"/>
    <w:rsid w:val="002A0015"/>
    <w:rsid w:val="002A033D"/>
    <w:rsid w:val="002A0449"/>
    <w:rsid w:val="002A06A6"/>
    <w:rsid w:val="002A0960"/>
    <w:rsid w:val="002A0A67"/>
    <w:rsid w:val="002A0E7D"/>
    <w:rsid w:val="002A0F93"/>
    <w:rsid w:val="002A0FC4"/>
    <w:rsid w:val="002A11EC"/>
    <w:rsid w:val="002A126E"/>
    <w:rsid w:val="002A1451"/>
    <w:rsid w:val="002A14A8"/>
    <w:rsid w:val="002A1928"/>
    <w:rsid w:val="002A1991"/>
    <w:rsid w:val="002A1C64"/>
    <w:rsid w:val="002A1D29"/>
    <w:rsid w:val="002A1E4E"/>
    <w:rsid w:val="002A1EB3"/>
    <w:rsid w:val="002A1F89"/>
    <w:rsid w:val="002A2386"/>
    <w:rsid w:val="002A24E0"/>
    <w:rsid w:val="002A2B03"/>
    <w:rsid w:val="002A2BB8"/>
    <w:rsid w:val="002A2C25"/>
    <w:rsid w:val="002A2C6A"/>
    <w:rsid w:val="002A2CB6"/>
    <w:rsid w:val="002A2E35"/>
    <w:rsid w:val="002A2E63"/>
    <w:rsid w:val="002A3140"/>
    <w:rsid w:val="002A3166"/>
    <w:rsid w:val="002A33AC"/>
    <w:rsid w:val="002A33DD"/>
    <w:rsid w:val="002A34A6"/>
    <w:rsid w:val="002A35E4"/>
    <w:rsid w:val="002A3910"/>
    <w:rsid w:val="002A3E74"/>
    <w:rsid w:val="002A3E96"/>
    <w:rsid w:val="002A4116"/>
    <w:rsid w:val="002A416D"/>
    <w:rsid w:val="002A4381"/>
    <w:rsid w:val="002A44B6"/>
    <w:rsid w:val="002A451A"/>
    <w:rsid w:val="002A45D5"/>
    <w:rsid w:val="002A4638"/>
    <w:rsid w:val="002A48EB"/>
    <w:rsid w:val="002A48FF"/>
    <w:rsid w:val="002A50C9"/>
    <w:rsid w:val="002A50EF"/>
    <w:rsid w:val="002A511D"/>
    <w:rsid w:val="002A51C9"/>
    <w:rsid w:val="002A5345"/>
    <w:rsid w:val="002A53DB"/>
    <w:rsid w:val="002A53E4"/>
    <w:rsid w:val="002A5411"/>
    <w:rsid w:val="002A5AED"/>
    <w:rsid w:val="002A5B1F"/>
    <w:rsid w:val="002A5B6C"/>
    <w:rsid w:val="002A5D19"/>
    <w:rsid w:val="002A5E53"/>
    <w:rsid w:val="002A60A2"/>
    <w:rsid w:val="002A61B5"/>
    <w:rsid w:val="002A644D"/>
    <w:rsid w:val="002A6663"/>
    <w:rsid w:val="002A674B"/>
    <w:rsid w:val="002A69DF"/>
    <w:rsid w:val="002A6B3B"/>
    <w:rsid w:val="002A6BCF"/>
    <w:rsid w:val="002A6BD2"/>
    <w:rsid w:val="002A6C1A"/>
    <w:rsid w:val="002A6E4D"/>
    <w:rsid w:val="002A70BC"/>
    <w:rsid w:val="002A7243"/>
    <w:rsid w:val="002A731F"/>
    <w:rsid w:val="002A7324"/>
    <w:rsid w:val="002A7635"/>
    <w:rsid w:val="002A775F"/>
    <w:rsid w:val="002A7991"/>
    <w:rsid w:val="002A7A4E"/>
    <w:rsid w:val="002A7A7B"/>
    <w:rsid w:val="002A7AC0"/>
    <w:rsid w:val="002A7CC3"/>
    <w:rsid w:val="002A7D58"/>
    <w:rsid w:val="002B00B0"/>
    <w:rsid w:val="002B0227"/>
    <w:rsid w:val="002B07DC"/>
    <w:rsid w:val="002B09A0"/>
    <w:rsid w:val="002B0A04"/>
    <w:rsid w:val="002B0AB2"/>
    <w:rsid w:val="002B0C88"/>
    <w:rsid w:val="002B0CB9"/>
    <w:rsid w:val="002B0E72"/>
    <w:rsid w:val="002B0EDD"/>
    <w:rsid w:val="002B0F5F"/>
    <w:rsid w:val="002B11C6"/>
    <w:rsid w:val="002B1313"/>
    <w:rsid w:val="002B14D6"/>
    <w:rsid w:val="002B161D"/>
    <w:rsid w:val="002B1690"/>
    <w:rsid w:val="002B18E3"/>
    <w:rsid w:val="002B19AE"/>
    <w:rsid w:val="002B1C0F"/>
    <w:rsid w:val="002B1CE6"/>
    <w:rsid w:val="002B1EA7"/>
    <w:rsid w:val="002B1F35"/>
    <w:rsid w:val="002B205C"/>
    <w:rsid w:val="002B22B0"/>
    <w:rsid w:val="002B24F0"/>
    <w:rsid w:val="002B2507"/>
    <w:rsid w:val="002B25BF"/>
    <w:rsid w:val="002B2689"/>
    <w:rsid w:val="002B2822"/>
    <w:rsid w:val="002B2A39"/>
    <w:rsid w:val="002B2A52"/>
    <w:rsid w:val="002B2A7D"/>
    <w:rsid w:val="002B2B17"/>
    <w:rsid w:val="002B2C0E"/>
    <w:rsid w:val="002B2C22"/>
    <w:rsid w:val="002B2D9A"/>
    <w:rsid w:val="002B2DDA"/>
    <w:rsid w:val="002B2E2F"/>
    <w:rsid w:val="002B305D"/>
    <w:rsid w:val="002B315B"/>
    <w:rsid w:val="002B31C1"/>
    <w:rsid w:val="002B3353"/>
    <w:rsid w:val="002B3362"/>
    <w:rsid w:val="002B340F"/>
    <w:rsid w:val="002B3493"/>
    <w:rsid w:val="002B3644"/>
    <w:rsid w:val="002B39C3"/>
    <w:rsid w:val="002B39CD"/>
    <w:rsid w:val="002B3C27"/>
    <w:rsid w:val="002B42A8"/>
    <w:rsid w:val="002B4696"/>
    <w:rsid w:val="002B4AAD"/>
    <w:rsid w:val="002B4BF3"/>
    <w:rsid w:val="002B4CAE"/>
    <w:rsid w:val="002B505E"/>
    <w:rsid w:val="002B5633"/>
    <w:rsid w:val="002B5749"/>
    <w:rsid w:val="002B5AFC"/>
    <w:rsid w:val="002B5DD0"/>
    <w:rsid w:val="002B5EE0"/>
    <w:rsid w:val="002B5FA4"/>
    <w:rsid w:val="002B603D"/>
    <w:rsid w:val="002B61B2"/>
    <w:rsid w:val="002B6318"/>
    <w:rsid w:val="002B699C"/>
    <w:rsid w:val="002B6A2A"/>
    <w:rsid w:val="002B7289"/>
    <w:rsid w:val="002B738D"/>
    <w:rsid w:val="002B7467"/>
    <w:rsid w:val="002B75F4"/>
    <w:rsid w:val="002B773F"/>
    <w:rsid w:val="002B7747"/>
    <w:rsid w:val="002B789D"/>
    <w:rsid w:val="002B7A78"/>
    <w:rsid w:val="002B7F25"/>
    <w:rsid w:val="002C0324"/>
    <w:rsid w:val="002C0534"/>
    <w:rsid w:val="002C072D"/>
    <w:rsid w:val="002C0789"/>
    <w:rsid w:val="002C10A9"/>
    <w:rsid w:val="002C110D"/>
    <w:rsid w:val="002C137B"/>
    <w:rsid w:val="002C1465"/>
    <w:rsid w:val="002C165F"/>
    <w:rsid w:val="002C17D0"/>
    <w:rsid w:val="002C17F1"/>
    <w:rsid w:val="002C1876"/>
    <w:rsid w:val="002C1BC0"/>
    <w:rsid w:val="002C1C36"/>
    <w:rsid w:val="002C1DCF"/>
    <w:rsid w:val="002C1F46"/>
    <w:rsid w:val="002C207A"/>
    <w:rsid w:val="002C2139"/>
    <w:rsid w:val="002C267E"/>
    <w:rsid w:val="002C26CF"/>
    <w:rsid w:val="002C2859"/>
    <w:rsid w:val="002C2EAD"/>
    <w:rsid w:val="002C30DC"/>
    <w:rsid w:val="002C373F"/>
    <w:rsid w:val="002C3966"/>
    <w:rsid w:val="002C3A94"/>
    <w:rsid w:val="002C3D46"/>
    <w:rsid w:val="002C3E90"/>
    <w:rsid w:val="002C3F5B"/>
    <w:rsid w:val="002C4338"/>
    <w:rsid w:val="002C4474"/>
    <w:rsid w:val="002C44F1"/>
    <w:rsid w:val="002C45D5"/>
    <w:rsid w:val="002C46D4"/>
    <w:rsid w:val="002C480D"/>
    <w:rsid w:val="002C4BBD"/>
    <w:rsid w:val="002C5092"/>
    <w:rsid w:val="002C50BD"/>
    <w:rsid w:val="002C52DB"/>
    <w:rsid w:val="002C53F9"/>
    <w:rsid w:val="002C5448"/>
    <w:rsid w:val="002C5491"/>
    <w:rsid w:val="002C5584"/>
    <w:rsid w:val="002C558F"/>
    <w:rsid w:val="002C5783"/>
    <w:rsid w:val="002C5C7B"/>
    <w:rsid w:val="002C5F5C"/>
    <w:rsid w:val="002C63DE"/>
    <w:rsid w:val="002C640E"/>
    <w:rsid w:val="002C64C5"/>
    <w:rsid w:val="002C660A"/>
    <w:rsid w:val="002C678A"/>
    <w:rsid w:val="002C67AD"/>
    <w:rsid w:val="002C69C5"/>
    <w:rsid w:val="002C6E46"/>
    <w:rsid w:val="002C6F50"/>
    <w:rsid w:val="002C710A"/>
    <w:rsid w:val="002C7345"/>
    <w:rsid w:val="002C7432"/>
    <w:rsid w:val="002C7B1A"/>
    <w:rsid w:val="002D005A"/>
    <w:rsid w:val="002D0152"/>
    <w:rsid w:val="002D0845"/>
    <w:rsid w:val="002D09D7"/>
    <w:rsid w:val="002D0A4F"/>
    <w:rsid w:val="002D0B99"/>
    <w:rsid w:val="002D0D6C"/>
    <w:rsid w:val="002D0FE5"/>
    <w:rsid w:val="002D158E"/>
    <w:rsid w:val="002D1650"/>
    <w:rsid w:val="002D16E1"/>
    <w:rsid w:val="002D196E"/>
    <w:rsid w:val="002D19FB"/>
    <w:rsid w:val="002D1E37"/>
    <w:rsid w:val="002D1E52"/>
    <w:rsid w:val="002D1F27"/>
    <w:rsid w:val="002D22FF"/>
    <w:rsid w:val="002D2489"/>
    <w:rsid w:val="002D264B"/>
    <w:rsid w:val="002D2872"/>
    <w:rsid w:val="002D2A57"/>
    <w:rsid w:val="002D2A8A"/>
    <w:rsid w:val="002D2B17"/>
    <w:rsid w:val="002D2D72"/>
    <w:rsid w:val="002D30FA"/>
    <w:rsid w:val="002D3359"/>
    <w:rsid w:val="002D3363"/>
    <w:rsid w:val="002D33B7"/>
    <w:rsid w:val="002D3430"/>
    <w:rsid w:val="002D3A37"/>
    <w:rsid w:val="002D3FF0"/>
    <w:rsid w:val="002D4077"/>
    <w:rsid w:val="002D4161"/>
    <w:rsid w:val="002D416A"/>
    <w:rsid w:val="002D43AE"/>
    <w:rsid w:val="002D4418"/>
    <w:rsid w:val="002D4519"/>
    <w:rsid w:val="002D488A"/>
    <w:rsid w:val="002D5381"/>
    <w:rsid w:val="002D547A"/>
    <w:rsid w:val="002D5923"/>
    <w:rsid w:val="002D5B56"/>
    <w:rsid w:val="002D5CBE"/>
    <w:rsid w:val="002D5F37"/>
    <w:rsid w:val="002D5F3F"/>
    <w:rsid w:val="002D5F48"/>
    <w:rsid w:val="002D6014"/>
    <w:rsid w:val="002D6033"/>
    <w:rsid w:val="002D606B"/>
    <w:rsid w:val="002D60DE"/>
    <w:rsid w:val="002D6160"/>
    <w:rsid w:val="002D62A1"/>
    <w:rsid w:val="002D6516"/>
    <w:rsid w:val="002D6792"/>
    <w:rsid w:val="002D6AD6"/>
    <w:rsid w:val="002D6E17"/>
    <w:rsid w:val="002D6E61"/>
    <w:rsid w:val="002D6E99"/>
    <w:rsid w:val="002D7189"/>
    <w:rsid w:val="002D7382"/>
    <w:rsid w:val="002D73CC"/>
    <w:rsid w:val="002D7472"/>
    <w:rsid w:val="002D7A1F"/>
    <w:rsid w:val="002D7BBE"/>
    <w:rsid w:val="002D7E87"/>
    <w:rsid w:val="002D7EC4"/>
    <w:rsid w:val="002E01AA"/>
    <w:rsid w:val="002E04C5"/>
    <w:rsid w:val="002E06A7"/>
    <w:rsid w:val="002E0AD2"/>
    <w:rsid w:val="002E0DF0"/>
    <w:rsid w:val="002E0EDD"/>
    <w:rsid w:val="002E103E"/>
    <w:rsid w:val="002E1459"/>
    <w:rsid w:val="002E14DD"/>
    <w:rsid w:val="002E14F7"/>
    <w:rsid w:val="002E16BA"/>
    <w:rsid w:val="002E173A"/>
    <w:rsid w:val="002E1772"/>
    <w:rsid w:val="002E19F6"/>
    <w:rsid w:val="002E1F8F"/>
    <w:rsid w:val="002E1FEC"/>
    <w:rsid w:val="002E20C6"/>
    <w:rsid w:val="002E20F5"/>
    <w:rsid w:val="002E215D"/>
    <w:rsid w:val="002E22F9"/>
    <w:rsid w:val="002E25FB"/>
    <w:rsid w:val="002E2905"/>
    <w:rsid w:val="002E2B64"/>
    <w:rsid w:val="002E2CDF"/>
    <w:rsid w:val="002E2CE7"/>
    <w:rsid w:val="002E2FB5"/>
    <w:rsid w:val="002E307C"/>
    <w:rsid w:val="002E3437"/>
    <w:rsid w:val="002E371B"/>
    <w:rsid w:val="002E3DDF"/>
    <w:rsid w:val="002E40CD"/>
    <w:rsid w:val="002E41CD"/>
    <w:rsid w:val="002E4261"/>
    <w:rsid w:val="002E42A0"/>
    <w:rsid w:val="002E45FC"/>
    <w:rsid w:val="002E4882"/>
    <w:rsid w:val="002E4972"/>
    <w:rsid w:val="002E49E0"/>
    <w:rsid w:val="002E4AA4"/>
    <w:rsid w:val="002E505D"/>
    <w:rsid w:val="002E5080"/>
    <w:rsid w:val="002E53DB"/>
    <w:rsid w:val="002E55C5"/>
    <w:rsid w:val="002E5CDA"/>
    <w:rsid w:val="002E5D22"/>
    <w:rsid w:val="002E5D67"/>
    <w:rsid w:val="002E5DE1"/>
    <w:rsid w:val="002E5E39"/>
    <w:rsid w:val="002E5EDF"/>
    <w:rsid w:val="002E60BB"/>
    <w:rsid w:val="002E60FA"/>
    <w:rsid w:val="002E6292"/>
    <w:rsid w:val="002E6634"/>
    <w:rsid w:val="002E6757"/>
    <w:rsid w:val="002E67B0"/>
    <w:rsid w:val="002E6B8E"/>
    <w:rsid w:val="002E6D7C"/>
    <w:rsid w:val="002E70E4"/>
    <w:rsid w:val="002E72F3"/>
    <w:rsid w:val="002E7560"/>
    <w:rsid w:val="002E76CF"/>
    <w:rsid w:val="002E7A7E"/>
    <w:rsid w:val="002E7CAE"/>
    <w:rsid w:val="002E7F43"/>
    <w:rsid w:val="002E7FA9"/>
    <w:rsid w:val="002F0030"/>
    <w:rsid w:val="002F00D1"/>
    <w:rsid w:val="002F0367"/>
    <w:rsid w:val="002F0519"/>
    <w:rsid w:val="002F058F"/>
    <w:rsid w:val="002F0DBE"/>
    <w:rsid w:val="002F1369"/>
    <w:rsid w:val="002F139D"/>
    <w:rsid w:val="002F173C"/>
    <w:rsid w:val="002F191E"/>
    <w:rsid w:val="002F1997"/>
    <w:rsid w:val="002F1EE6"/>
    <w:rsid w:val="002F209E"/>
    <w:rsid w:val="002F2113"/>
    <w:rsid w:val="002F2757"/>
    <w:rsid w:val="002F2802"/>
    <w:rsid w:val="002F2D67"/>
    <w:rsid w:val="002F30F4"/>
    <w:rsid w:val="002F337F"/>
    <w:rsid w:val="002F340F"/>
    <w:rsid w:val="002F3559"/>
    <w:rsid w:val="002F39D6"/>
    <w:rsid w:val="002F3A2C"/>
    <w:rsid w:val="002F407C"/>
    <w:rsid w:val="002F4188"/>
    <w:rsid w:val="002F4258"/>
    <w:rsid w:val="002F4479"/>
    <w:rsid w:val="002F4830"/>
    <w:rsid w:val="002F48F8"/>
    <w:rsid w:val="002F4BE9"/>
    <w:rsid w:val="002F4DE0"/>
    <w:rsid w:val="002F4EC6"/>
    <w:rsid w:val="002F4FA2"/>
    <w:rsid w:val="002F50A9"/>
    <w:rsid w:val="002F52C7"/>
    <w:rsid w:val="002F52E8"/>
    <w:rsid w:val="002F54E4"/>
    <w:rsid w:val="002F56C3"/>
    <w:rsid w:val="002F5B44"/>
    <w:rsid w:val="002F5C5A"/>
    <w:rsid w:val="002F5C9E"/>
    <w:rsid w:val="002F5EBD"/>
    <w:rsid w:val="002F5ED2"/>
    <w:rsid w:val="002F5F07"/>
    <w:rsid w:val="002F5F58"/>
    <w:rsid w:val="002F5F76"/>
    <w:rsid w:val="002F606D"/>
    <w:rsid w:val="002F612C"/>
    <w:rsid w:val="002F636E"/>
    <w:rsid w:val="002F6402"/>
    <w:rsid w:val="002F6405"/>
    <w:rsid w:val="002F646A"/>
    <w:rsid w:val="002F683D"/>
    <w:rsid w:val="002F6B3A"/>
    <w:rsid w:val="002F6DED"/>
    <w:rsid w:val="002F6E6E"/>
    <w:rsid w:val="002F6FA0"/>
    <w:rsid w:val="002F7073"/>
    <w:rsid w:val="002F70A4"/>
    <w:rsid w:val="002F716A"/>
    <w:rsid w:val="002F7181"/>
    <w:rsid w:val="002F72B2"/>
    <w:rsid w:val="002F740C"/>
    <w:rsid w:val="002F7427"/>
    <w:rsid w:val="002F767B"/>
    <w:rsid w:val="002F77B0"/>
    <w:rsid w:val="002F790C"/>
    <w:rsid w:val="002F7980"/>
    <w:rsid w:val="002F7D7E"/>
    <w:rsid w:val="002F7D86"/>
    <w:rsid w:val="0030019A"/>
    <w:rsid w:val="00300273"/>
    <w:rsid w:val="0030032C"/>
    <w:rsid w:val="0030091F"/>
    <w:rsid w:val="003009EE"/>
    <w:rsid w:val="00300B51"/>
    <w:rsid w:val="00300E85"/>
    <w:rsid w:val="00300EEE"/>
    <w:rsid w:val="00300EFB"/>
    <w:rsid w:val="00300F34"/>
    <w:rsid w:val="00300FDD"/>
    <w:rsid w:val="003010C9"/>
    <w:rsid w:val="0030117E"/>
    <w:rsid w:val="00301615"/>
    <w:rsid w:val="00301B18"/>
    <w:rsid w:val="00301BAE"/>
    <w:rsid w:val="00301C04"/>
    <w:rsid w:val="00301EAA"/>
    <w:rsid w:val="0030233C"/>
    <w:rsid w:val="00302A41"/>
    <w:rsid w:val="00302A73"/>
    <w:rsid w:val="00302D60"/>
    <w:rsid w:val="00302E56"/>
    <w:rsid w:val="00303018"/>
    <w:rsid w:val="00303181"/>
    <w:rsid w:val="003033AD"/>
    <w:rsid w:val="003034E2"/>
    <w:rsid w:val="003036BE"/>
    <w:rsid w:val="00303728"/>
    <w:rsid w:val="00303862"/>
    <w:rsid w:val="00303B34"/>
    <w:rsid w:val="00303B9F"/>
    <w:rsid w:val="00303F38"/>
    <w:rsid w:val="00303FE7"/>
    <w:rsid w:val="00304120"/>
    <w:rsid w:val="0030421D"/>
    <w:rsid w:val="00304387"/>
    <w:rsid w:val="00304493"/>
    <w:rsid w:val="003044A5"/>
    <w:rsid w:val="00304789"/>
    <w:rsid w:val="00304F78"/>
    <w:rsid w:val="00305599"/>
    <w:rsid w:val="00305600"/>
    <w:rsid w:val="00305790"/>
    <w:rsid w:val="00305829"/>
    <w:rsid w:val="00305E24"/>
    <w:rsid w:val="00305F53"/>
    <w:rsid w:val="00306463"/>
    <w:rsid w:val="00306787"/>
    <w:rsid w:val="003069DA"/>
    <w:rsid w:val="00306C3C"/>
    <w:rsid w:val="00307022"/>
    <w:rsid w:val="00307058"/>
    <w:rsid w:val="00307357"/>
    <w:rsid w:val="00307838"/>
    <w:rsid w:val="003078A2"/>
    <w:rsid w:val="00307CCF"/>
    <w:rsid w:val="00307FDC"/>
    <w:rsid w:val="00307FDF"/>
    <w:rsid w:val="003101A3"/>
    <w:rsid w:val="003102B0"/>
    <w:rsid w:val="003108B3"/>
    <w:rsid w:val="0031093D"/>
    <w:rsid w:val="00310945"/>
    <w:rsid w:val="00310A7E"/>
    <w:rsid w:val="00310BCA"/>
    <w:rsid w:val="00310C3C"/>
    <w:rsid w:val="00310C92"/>
    <w:rsid w:val="00310CB1"/>
    <w:rsid w:val="00310D57"/>
    <w:rsid w:val="00310E1F"/>
    <w:rsid w:val="00310EE7"/>
    <w:rsid w:val="00310F8D"/>
    <w:rsid w:val="00311185"/>
    <w:rsid w:val="00311267"/>
    <w:rsid w:val="00311296"/>
    <w:rsid w:val="00311332"/>
    <w:rsid w:val="00311588"/>
    <w:rsid w:val="003117E7"/>
    <w:rsid w:val="00311D34"/>
    <w:rsid w:val="00311E09"/>
    <w:rsid w:val="003120F2"/>
    <w:rsid w:val="003124C6"/>
    <w:rsid w:val="003125C4"/>
    <w:rsid w:val="003125F1"/>
    <w:rsid w:val="00312776"/>
    <w:rsid w:val="003127DC"/>
    <w:rsid w:val="00312857"/>
    <w:rsid w:val="00312AB1"/>
    <w:rsid w:val="00312B8F"/>
    <w:rsid w:val="00312E20"/>
    <w:rsid w:val="00312EFE"/>
    <w:rsid w:val="00312FD9"/>
    <w:rsid w:val="00313054"/>
    <w:rsid w:val="003132D2"/>
    <w:rsid w:val="003133F5"/>
    <w:rsid w:val="00313521"/>
    <w:rsid w:val="0031362D"/>
    <w:rsid w:val="003138F2"/>
    <w:rsid w:val="00313990"/>
    <w:rsid w:val="0031399A"/>
    <w:rsid w:val="00313DE5"/>
    <w:rsid w:val="00313E67"/>
    <w:rsid w:val="00313F4B"/>
    <w:rsid w:val="00314084"/>
    <w:rsid w:val="00314198"/>
    <w:rsid w:val="00314378"/>
    <w:rsid w:val="00314408"/>
    <w:rsid w:val="0031452D"/>
    <w:rsid w:val="0031457E"/>
    <w:rsid w:val="003146E2"/>
    <w:rsid w:val="003149A5"/>
    <w:rsid w:val="00314A6A"/>
    <w:rsid w:val="00314BD6"/>
    <w:rsid w:val="00314F45"/>
    <w:rsid w:val="0031503A"/>
    <w:rsid w:val="00315243"/>
    <w:rsid w:val="00315276"/>
    <w:rsid w:val="003153E6"/>
    <w:rsid w:val="00315538"/>
    <w:rsid w:val="00315557"/>
    <w:rsid w:val="003155F2"/>
    <w:rsid w:val="003156BD"/>
    <w:rsid w:val="00315941"/>
    <w:rsid w:val="00315C75"/>
    <w:rsid w:val="00316067"/>
    <w:rsid w:val="0031635E"/>
    <w:rsid w:val="003169A6"/>
    <w:rsid w:val="00316A57"/>
    <w:rsid w:val="00316C78"/>
    <w:rsid w:val="003170BC"/>
    <w:rsid w:val="00317189"/>
    <w:rsid w:val="0031720F"/>
    <w:rsid w:val="00317259"/>
    <w:rsid w:val="00317336"/>
    <w:rsid w:val="0031746D"/>
    <w:rsid w:val="0031771B"/>
    <w:rsid w:val="00317724"/>
    <w:rsid w:val="00317AA9"/>
    <w:rsid w:val="00317E15"/>
    <w:rsid w:val="00317F04"/>
    <w:rsid w:val="003200A0"/>
    <w:rsid w:val="003200E6"/>
    <w:rsid w:val="00320194"/>
    <w:rsid w:val="003202BE"/>
    <w:rsid w:val="003203CA"/>
    <w:rsid w:val="0032041E"/>
    <w:rsid w:val="00320444"/>
    <w:rsid w:val="003205A4"/>
    <w:rsid w:val="00320B8A"/>
    <w:rsid w:val="0032112D"/>
    <w:rsid w:val="003212FE"/>
    <w:rsid w:val="003213E8"/>
    <w:rsid w:val="0032140A"/>
    <w:rsid w:val="00321547"/>
    <w:rsid w:val="0032156D"/>
    <w:rsid w:val="00321631"/>
    <w:rsid w:val="00321886"/>
    <w:rsid w:val="0032189E"/>
    <w:rsid w:val="00321965"/>
    <w:rsid w:val="00321A5B"/>
    <w:rsid w:val="00321B4D"/>
    <w:rsid w:val="003220FD"/>
    <w:rsid w:val="003225BC"/>
    <w:rsid w:val="00322B67"/>
    <w:rsid w:val="00322C4E"/>
    <w:rsid w:val="00322DD5"/>
    <w:rsid w:val="00322E77"/>
    <w:rsid w:val="00322E90"/>
    <w:rsid w:val="00323041"/>
    <w:rsid w:val="0032318D"/>
    <w:rsid w:val="003232EF"/>
    <w:rsid w:val="00323644"/>
    <w:rsid w:val="003236B2"/>
    <w:rsid w:val="003237C4"/>
    <w:rsid w:val="003239B7"/>
    <w:rsid w:val="00323BD3"/>
    <w:rsid w:val="00324011"/>
    <w:rsid w:val="00324297"/>
    <w:rsid w:val="0032435C"/>
    <w:rsid w:val="00324792"/>
    <w:rsid w:val="0032499C"/>
    <w:rsid w:val="003249A0"/>
    <w:rsid w:val="00324A37"/>
    <w:rsid w:val="00324A75"/>
    <w:rsid w:val="00324DB5"/>
    <w:rsid w:val="0032504A"/>
    <w:rsid w:val="00325080"/>
    <w:rsid w:val="00325176"/>
    <w:rsid w:val="00325419"/>
    <w:rsid w:val="00325527"/>
    <w:rsid w:val="00325762"/>
    <w:rsid w:val="003257ED"/>
    <w:rsid w:val="00325AF7"/>
    <w:rsid w:val="00326171"/>
    <w:rsid w:val="003263C7"/>
    <w:rsid w:val="00326400"/>
    <w:rsid w:val="0032662D"/>
    <w:rsid w:val="00326842"/>
    <w:rsid w:val="0032697E"/>
    <w:rsid w:val="00326A1A"/>
    <w:rsid w:val="00326A1D"/>
    <w:rsid w:val="00327346"/>
    <w:rsid w:val="003276FA"/>
    <w:rsid w:val="003278FB"/>
    <w:rsid w:val="00327975"/>
    <w:rsid w:val="00327C66"/>
    <w:rsid w:val="00327D7E"/>
    <w:rsid w:val="003300F0"/>
    <w:rsid w:val="00330203"/>
    <w:rsid w:val="003302EF"/>
    <w:rsid w:val="0033036E"/>
    <w:rsid w:val="0033086C"/>
    <w:rsid w:val="00330F0B"/>
    <w:rsid w:val="0033109F"/>
    <w:rsid w:val="00331289"/>
    <w:rsid w:val="00331358"/>
    <w:rsid w:val="003313A1"/>
    <w:rsid w:val="003313DE"/>
    <w:rsid w:val="00331422"/>
    <w:rsid w:val="0033148D"/>
    <w:rsid w:val="0033170B"/>
    <w:rsid w:val="0033182B"/>
    <w:rsid w:val="00331B46"/>
    <w:rsid w:val="00331B90"/>
    <w:rsid w:val="00331DC1"/>
    <w:rsid w:val="00332188"/>
    <w:rsid w:val="00332333"/>
    <w:rsid w:val="003323F8"/>
    <w:rsid w:val="003324DD"/>
    <w:rsid w:val="0033255F"/>
    <w:rsid w:val="00332804"/>
    <w:rsid w:val="00332B80"/>
    <w:rsid w:val="00332C49"/>
    <w:rsid w:val="00332F11"/>
    <w:rsid w:val="00332FE3"/>
    <w:rsid w:val="0033305C"/>
    <w:rsid w:val="00333427"/>
    <w:rsid w:val="003334EB"/>
    <w:rsid w:val="0033351F"/>
    <w:rsid w:val="003339CE"/>
    <w:rsid w:val="00333BFA"/>
    <w:rsid w:val="00333C2E"/>
    <w:rsid w:val="00333D83"/>
    <w:rsid w:val="00333DE4"/>
    <w:rsid w:val="00334002"/>
    <w:rsid w:val="003340DB"/>
    <w:rsid w:val="0033422E"/>
    <w:rsid w:val="003346E1"/>
    <w:rsid w:val="00334804"/>
    <w:rsid w:val="00334AA9"/>
    <w:rsid w:val="00334E58"/>
    <w:rsid w:val="00335076"/>
    <w:rsid w:val="003351EB"/>
    <w:rsid w:val="003354BE"/>
    <w:rsid w:val="0033593D"/>
    <w:rsid w:val="00335959"/>
    <w:rsid w:val="0033598F"/>
    <w:rsid w:val="00335AF6"/>
    <w:rsid w:val="00335E1A"/>
    <w:rsid w:val="00335E31"/>
    <w:rsid w:val="00335E6F"/>
    <w:rsid w:val="00335EC3"/>
    <w:rsid w:val="00335FED"/>
    <w:rsid w:val="00336030"/>
    <w:rsid w:val="00336056"/>
    <w:rsid w:val="003362C6"/>
    <w:rsid w:val="003362C7"/>
    <w:rsid w:val="00336348"/>
    <w:rsid w:val="003363E4"/>
    <w:rsid w:val="00336D82"/>
    <w:rsid w:val="00337070"/>
    <w:rsid w:val="00337085"/>
    <w:rsid w:val="003370AB"/>
    <w:rsid w:val="00337373"/>
    <w:rsid w:val="003373B6"/>
    <w:rsid w:val="0033772B"/>
    <w:rsid w:val="0033783F"/>
    <w:rsid w:val="00337B99"/>
    <w:rsid w:val="00337C0D"/>
    <w:rsid w:val="00337DCF"/>
    <w:rsid w:val="00337FAA"/>
    <w:rsid w:val="00337FB9"/>
    <w:rsid w:val="003403BF"/>
    <w:rsid w:val="0034046C"/>
    <w:rsid w:val="003404C6"/>
    <w:rsid w:val="0034059E"/>
    <w:rsid w:val="003405CD"/>
    <w:rsid w:val="00340630"/>
    <w:rsid w:val="00340A7A"/>
    <w:rsid w:val="00340B02"/>
    <w:rsid w:val="00340B39"/>
    <w:rsid w:val="00340B3B"/>
    <w:rsid w:val="00340E46"/>
    <w:rsid w:val="00341074"/>
    <w:rsid w:val="0034107B"/>
    <w:rsid w:val="003410F1"/>
    <w:rsid w:val="00341125"/>
    <w:rsid w:val="003411EF"/>
    <w:rsid w:val="00341273"/>
    <w:rsid w:val="0034170D"/>
    <w:rsid w:val="0034188A"/>
    <w:rsid w:val="00341B30"/>
    <w:rsid w:val="0034214E"/>
    <w:rsid w:val="00342452"/>
    <w:rsid w:val="00342AFE"/>
    <w:rsid w:val="00342CA7"/>
    <w:rsid w:val="00342CB7"/>
    <w:rsid w:val="00342D7C"/>
    <w:rsid w:val="0034300D"/>
    <w:rsid w:val="003430A2"/>
    <w:rsid w:val="003430BA"/>
    <w:rsid w:val="0034327B"/>
    <w:rsid w:val="00343351"/>
    <w:rsid w:val="00343773"/>
    <w:rsid w:val="0034386E"/>
    <w:rsid w:val="003438D6"/>
    <w:rsid w:val="00343FC0"/>
    <w:rsid w:val="003440C5"/>
    <w:rsid w:val="003444FF"/>
    <w:rsid w:val="00344508"/>
    <w:rsid w:val="0034479D"/>
    <w:rsid w:val="003448E5"/>
    <w:rsid w:val="00344E67"/>
    <w:rsid w:val="00345137"/>
    <w:rsid w:val="003454C9"/>
    <w:rsid w:val="00345746"/>
    <w:rsid w:val="00345794"/>
    <w:rsid w:val="0034584B"/>
    <w:rsid w:val="00345AC3"/>
    <w:rsid w:val="00345AF6"/>
    <w:rsid w:val="00345BAE"/>
    <w:rsid w:val="00345C54"/>
    <w:rsid w:val="00345DAA"/>
    <w:rsid w:val="00345EF1"/>
    <w:rsid w:val="003461AD"/>
    <w:rsid w:val="0034622A"/>
    <w:rsid w:val="00346390"/>
    <w:rsid w:val="003469D6"/>
    <w:rsid w:val="00346B8A"/>
    <w:rsid w:val="003470A3"/>
    <w:rsid w:val="00347281"/>
    <w:rsid w:val="003473CE"/>
    <w:rsid w:val="00347605"/>
    <w:rsid w:val="00347BCD"/>
    <w:rsid w:val="00347CE7"/>
    <w:rsid w:val="00347E79"/>
    <w:rsid w:val="00347F81"/>
    <w:rsid w:val="00350006"/>
    <w:rsid w:val="00350078"/>
    <w:rsid w:val="003505BD"/>
    <w:rsid w:val="00350742"/>
    <w:rsid w:val="00350A7D"/>
    <w:rsid w:val="003510B6"/>
    <w:rsid w:val="003513F0"/>
    <w:rsid w:val="00351679"/>
    <w:rsid w:val="0035192C"/>
    <w:rsid w:val="00351A5C"/>
    <w:rsid w:val="003520ED"/>
    <w:rsid w:val="0035219D"/>
    <w:rsid w:val="00352416"/>
    <w:rsid w:val="003525CB"/>
    <w:rsid w:val="00352906"/>
    <w:rsid w:val="00352B14"/>
    <w:rsid w:val="00352DD2"/>
    <w:rsid w:val="00353127"/>
    <w:rsid w:val="003531E0"/>
    <w:rsid w:val="003538F3"/>
    <w:rsid w:val="00353CC4"/>
    <w:rsid w:val="00353F23"/>
    <w:rsid w:val="0035403C"/>
    <w:rsid w:val="003543D8"/>
    <w:rsid w:val="0035469B"/>
    <w:rsid w:val="003546FB"/>
    <w:rsid w:val="00354B53"/>
    <w:rsid w:val="00354CC2"/>
    <w:rsid w:val="00355112"/>
    <w:rsid w:val="003552ED"/>
    <w:rsid w:val="00355486"/>
    <w:rsid w:val="00355676"/>
    <w:rsid w:val="00355734"/>
    <w:rsid w:val="003558F5"/>
    <w:rsid w:val="00355B71"/>
    <w:rsid w:val="003565B7"/>
    <w:rsid w:val="0035674C"/>
    <w:rsid w:val="003569F0"/>
    <w:rsid w:val="00356A2F"/>
    <w:rsid w:val="00356A58"/>
    <w:rsid w:val="00356AF2"/>
    <w:rsid w:val="00356E5D"/>
    <w:rsid w:val="00356F1F"/>
    <w:rsid w:val="003570B3"/>
    <w:rsid w:val="00357170"/>
    <w:rsid w:val="00357353"/>
    <w:rsid w:val="00357BF9"/>
    <w:rsid w:val="00357CA0"/>
    <w:rsid w:val="00357F62"/>
    <w:rsid w:val="00360251"/>
    <w:rsid w:val="003604BE"/>
    <w:rsid w:val="0036050E"/>
    <w:rsid w:val="00360773"/>
    <w:rsid w:val="00360BEA"/>
    <w:rsid w:val="00360DCD"/>
    <w:rsid w:val="00360F00"/>
    <w:rsid w:val="0036112D"/>
    <w:rsid w:val="0036124B"/>
    <w:rsid w:val="003614AF"/>
    <w:rsid w:val="003615BE"/>
    <w:rsid w:val="00361CC5"/>
    <w:rsid w:val="00361D80"/>
    <w:rsid w:val="00361F1A"/>
    <w:rsid w:val="00362349"/>
    <w:rsid w:val="0036251C"/>
    <w:rsid w:val="00362629"/>
    <w:rsid w:val="003627A4"/>
    <w:rsid w:val="003627F7"/>
    <w:rsid w:val="0036296A"/>
    <w:rsid w:val="00362B6E"/>
    <w:rsid w:val="00362C86"/>
    <w:rsid w:val="00362D6C"/>
    <w:rsid w:val="00362FA8"/>
    <w:rsid w:val="00362FC2"/>
    <w:rsid w:val="00362FE9"/>
    <w:rsid w:val="003630F9"/>
    <w:rsid w:val="00363348"/>
    <w:rsid w:val="003634BC"/>
    <w:rsid w:val="003634D1"/>
    <w:rsid w:val="0036390F"/>
    <w:rsid w:val="00363935"/>
    <w:rsid w:val="00363D9B"/>
    <w:rsid w:val="00363F65"/>
    <w:rsid w:val="003640DE"/>
    <w:rsid w:val="00364323"/>
    <w:rsid w:val="003649C1"/>
    <w:rsid w:val="00364A33"/>
    <w:rsid w:val="00364CA9"/>
    <w:rsid w:val="00364CD5"/>
    <w:rsid w:val="00364F41"/>
    <w:rsid w:val="003653A0"/>
    <w:rsid w:val="0036553B"/>
    <w:rsid w:val="00365918"/>
    <w:rsid w:val="003659BD"/>
    <w:rsid w:val="00365A30"/>
    <w:rsid w:val="00365AE7"/>
    <w:rsid w:val="00365B9B"/>
    <w:rsid w:val="00365D9A"/>
    <w:rsid w:val="00365EBC"/>
    <w:rsid w:val="00366103"/>
    <w:rsid w:val="003661E0"/>
    <w:rsid w:val="003663EC"/>
    <w:rsid w:val="00366454"/>
    <w:rsid w:val="003664F0"/>
    <w:rsid w:val="00366617"/>
    <w:rsid w:val="003668C3"/>
    <w:rsid w:val="003669B7"/>
    <w:rsid w:val="00366ADE"/>
    <w:rsid w:val="00366B18"/>
    <w:rsid w:val="00366FF0"/>
    <w:rsid w:val="00367232"/>
    <w:rsid w:val="003676AA"/>
    <w:rsid w:val="003676C6"/>
    <w:rsid w:val="003676FC"/>
    <w:rsid w:val="00367A05"/>
    <w:rsid w:val="00367B6B"/>
    <w:rsid w:val="00367BE4"/>
    <w:rsid w:val="00367DBB"/>
    <w:rsid w:val="00370078"/>
    <w:rsid w:val="003703E1"/>
    <w:rsid w:val="003704A4"/>
    <w:rsid w:val="003705DF"/>
    <w:rsid w:val="00370669"/>
    <w:rsid w:val="00370AC2"/>
    <w:rsid w:val="00370C1C"/>
    <w:rsid w:val="003710D2"/>
    <w:rsid w:val="0037120A"/>
    <w:rsid w:val="003712FE"/>
    <w:rsid w:val="0037146E"/>
    <w:rsid w:val="00371521"/>
    <w:rsid w:val="003717B8"/>
    <w:rsid w:val="0037188A"/>
    <w:rsid w:val="00371B40"/>
    <w:rsid w:val="00371FFC"/>
    <w:rsid w:val="0037215F"/>
    <w:rsid w:val="00372216"/>
    <w:rsid w:val="00372887"/>
    <w:rsid w:val="003731F6"/>
    <w:rsid w:val="0037329C"/>
    <w:rsid w:val="003737CD"/>
    <w:rsid w:val="003737D7"/>
    <w:rsid w:val="00373B8D"/>
    <w:rsid w:val="00373B9E"/>
    <w:rsid w:val="00373C2E"/>
    <w:rsid w:val="00373C8B"/>
    <w:rsid w:val="00373EF2"/>
    <w:rsid w:val="00373F3D"/>
    <w:rsid w:val="0037412C"/>
    <w:rsid w:val="0037436F"/>
    <w:rsid w:val="0037452A"/>
    <w:rsid w:val="0037463A"/>
    <w:rsid w:val="00374AC0"/>
    <w:rsid w:val="00374B9C"/>
    <w:rsid w:val="00375604"/>
    <w:rsid w:val="0037568F"/>
    <w:rsid w:val="003757CA"/>
    <w:rsid w:val="00375809"/>
    <w:rsid w:val="00375862"/>
    <w:rsid w:val="003758F8"/>
    <w:rsid w:val="00375B4F"/>
    <w:rsid w:val="00375E0A"/>
    <w:rsid w:val="00375EC3"/>
    <w:rsid w:val="0037612B"/>
    <w:rsid w:val="0037623F"/>
    <w:rsid w:val="003762F9"/>
    <w:rsid w:val="00376349"/>
    <w:rsid w:val="0037646F"/>
    <w:rsid w:val="003764CD"/>
    <w:rsid w:val="00376F72"/>
    <w:rsid w:val="003771B1"/>
    <w:rsid w:val="0037722A"/>
    <w:rsid w:val="00377247"/>
    <w:rsid w:val="003772EB"/>
    <w:rsid w:val="00377347"/>
    <w:rsid w:val="00377351"/>
    <w:rsid w:val="003775BE"/>
    <w:rsid w:val="003776DB"/>
    <w:rsid w:val="00377840"/>
    <w:rsid w:val="00377C02"/>
    <w:rsid w:val="00377C40"/>
    <w:rsid w:val="00377EB8"/>
    <w:rsid w:val="00380280"/>
    <w:rsid w:val="003802DC"/>
    <w:rsid w:val="003803EC"/>
    <w:rsid w:val="003804E8"/>
    <w:rsid w:val="003807FC"/>
    <w:rsid w:val="003808F6"/>
    <w:rsid w:val="00380A1C"/>
    <w:rsid w:val="00380B5C"/>
    <w:rsid w:val="00380D4E"/>
    <w:rsid w:val="00380D90"/>
    <w:rsid w:val="00380DAE"/>
    <w:rsid w:val="00380DCA"/>
    <w:rsid w:val="00380DFC"/>
    <w:rsid w:val="003810AD"/>
    <w:rsid w:val="00381165"/>
    <w:rsid w:val="00381267"/>
    <w:rsid w:val="0038135C"/>
    <w:rsid w:val="0038143B"/>
    <w:rsid w:val="003814CA"/>
    <w:rsid w:val="00381522"/>
    <w:rsid w:val="00381565"/>
    <w:rsid w:val="00381603"/>
    <w:rsid w:val="0038163D"/>
    <w:rsid w:val="00381831"/>
    <w:rsid w:val="00381BD6"/>
    <w:rsid w:val="00381CAB"/>
    <w:rsid w:val="00381D50"/>
    <w:rsid w:val="00381E17"/>
    <w:rsid w:val="00382229"/>
    <w:rsid w:val="0038254E"/>
    <w:rsid w:val="00382A3F"/>
    <w:rsid w:val="00382C95"/>
    <w:rsid w:val="00382F88"/>
    <w:rsid w:val="00383107"/>
    <w:rsid w:val="00383122"/>
    <w:rsid w:val="003831D5"/>
    <w:rsid w:val="0038341D"/>
    <w:rsid w:val="0038378D"/>
    <w:rsid w:val="00383B10"/>
    <w:rsid w:val="00383B7A"/>
    <w:rsid w:val="00383C76"/>
    <w:rsid w:val="00384069"/>
    <w:rsid w:val="00384433"/>
    <w:rsid w:val="0038455E"/>
    <w:rsid w:val="00384594"/>
    <w:rsid w:val="003845E9"/>
    <w:rsid w:val="00384667"/>
    <w:rsid w:val="00384998"/>
    <w:rsid w:val="00384DEB"/>
    <w:rsid w:val="00384FCC"/>
    <w:rsid w:val="003850CB"/>
    <w:rsid w:val="0038512C"/>
    <w:rsid w:val="003851A2"/>
    <w:rsid w:val="003851A3"/>
    <w:rsid w:val="00385363"/>
    <w:rsid w:val="003855A8"/>
    <w:rsid w:val="003856EE"/>
    <w:rsid w:val="003857BA"/>
    <w:rsid w:val="003859FA"/>
    <w:rsid w:val="00385AEE"/>
    <w:rsid w:val="00385E33"/>
    <w:rsid w:val="0038629D"/>
    <w:rsid w:val="003863CD"/>
    <w:rsid w:val="003864BA"/>
    <w:rsid w:val="003864BC"/>
    <w:rsid w:val="0038662D"/>
    <w:rsid w:val="0038672A"/>
    <w:rsid w:val="00386957"/>
    <w:rsid w:val="003869E3"/>
    <w:rsid w:val="0038711A"/>
    <w:rsid w:val="00387253"/>
    <w:rsid w:val="00387755"/>
    <w:rsid w:val="003878F7"/>
    <w:rsid w:val="00387959"/>
    <w:rsid w:val="0038798D"/>
    <w:rsid w:val="00387B2F"/>
    <w:rsid w:val="00387B4A"/>
    <w:rsid w:val="00387CEA"/>
    <w:rsid w:val="003901B7"/>
    <w:rsid w:val="003902A0"/>
    <w:rsid w:val="0039042E"/>
    <w:rsid w:val="00390AB0"/>
    <w:rsid w:val="00390D5A"/>
    <w:rsid w:val="00390D6B"/>
    <w:rsid w:val="0039115E"/>
    <w:rsid w:val="00391233"/>
    <w:rsid w:val="003912C1"/>
    <w:rsid w:val="00391356"/>
    <w:rsid w:val="00391584"/>
    <w:rsid w:val="0039160C"/>
    <w:rsid w:val="003917B8"/>
    <w:rsid w:val="00391A83"/>
    <w:rsid w:val="00391B35"/>
    <w:rsid w:val="00391D1B"/>
    <w:rsid w:val="00391E68"/>
    <w:rsid w:val="003923F3"/>
    <w:rsid w:val="0039248D"/>
    <w:rsid w:val="003924F5"/>
    <w:rsid w:val="00392663"/>
    <w:rsid w:val="003926F3"/>
    <w:rsid w:val="003927C0"/>
    <w:rsid w:val="00392813"/>
    <w:rsid w:val="00392DB6"/>
    <w:rsid w:val="00392F6A"/>
    <w:rsid w:val="003936FB"/>
    <w:rsid w:val="00393737"/>
    <w:rsid w:val="00393C3E"/>
    <w:rsid w:val="00393D0B"/>
    <w:rsid w:val="00393E06"/>
    <w:rsid w:val="00393F4A"/>
    <w:rsid w:val="00394011"/>
    <w:rsid w:val="00394097"/>
    <w:rsid w:val="00394381"/>
    <w:rsid w:val="0039476C"/>
    <w:rsid w:val="003948C1"/>
    <w:rsid w:val="003948EE"/>
    <w:rsid w:val="00394960"/>
    <w:rsid w:val="00394A57"/>
    <w:rsid w:val="00394ACE"/>
    <w:rsid w:val="00394B4B"/>
    <w:rsid w:val="00394D90"/>
    <w:rsid w:val="00394F0A"/>
    <w:rsid w:val="00395069"/>
    <w:rsid w:val="00395141"/>
    <w:rsid w:val="00395495"/>
    <w:rsid w:val="0039554D"/>
    <w:rsid w:val="00395854"/>
    <w:rsid w:val="00395B52"/>
    <w:rsid w:val="00395B88"/>
    <w:rsid w:val="00395C56"/>
    <w:rsid w:val="00395CB5"/>
    <w:rsid w:val="00395DC1"/>
    <w:rsid w:val="00395E7C"/>
    <w:rsid w:val="00396149"/>
    <w:rsid w:val="00396155"/>
    <w:rsid w:val="003962F5"/>
    <w:rsid w:val="00396AA2"/>
    <w:rsid w:val="00396ADD"/>
    <w:rsid w:val="00397314"/>
    <w:rsid w:val="00397386"/>
    <w:rsid w:val="0039764A"/>
    <w:rsid w:val="0039776B"/>
    <w:rsid w:val="00397938"/>
    <w:rsid w:val="00397A62"/>
    <w:rsid w:val="00397AB0"/>
    <w:rsid w:val="00397B6D"/>
    <w:rsid w:val="00397B7F"/>
    <w:rsid w:val="00397C65"/>
    <w:rsid w:val="00397F24"/>
    <w:rsid w:val="00397F37"/>
    <w:rsid w:val="003A0286"/>
    <w:rsid w:val="003A03AC"/>
    <w:rsid w:val="003A04AE"/>
    <w:rsid w:val="003A07F0"/>
    <w:rsid w:val="003A0806"/>
    <w:rsid w:val="003A08BE"/>
    <w:rsid w:val="003A0A8C"/>
    <w:rsid w:val="003A0BBF"/>
    <w:rsid w:val="003A0F82"/>
    <w:rsid w:val="003A165A"/>
    <w:rsid w:val="003A18EC"/>
    <w:rsid w:val="003A19B2"/>
    <w:rsid w:val="003A1B34"/>
    <w:rsid w:val="003A1B6C"/>
    <w:rsid w:val="003A1CF6"/>
    <w:rsid w:val="003A1F60"/>
    <w:rsid w:val="003A218E"/>
    <w:rsid w:val="003A22EB"/>
    <w:rsid w:val="003A2378"/>
    <w:rsid w:val="003A27E5"/>
    <w:rsid w:val="003A298B"/>
    <w:rsid w:val="003A2A50"/>
    <w:rsid w:val="003A2C52"/>
    <w:rsid w:val="003A2C68"/>
    <w:rsid w:val="003A2D33"/>
    <w:rsid w:val="003A2D8B"/>
    <w:rsid w:val="003A2E07"/>
    <w:rsid w:val="003A2EFD"/>
    <w:rsid w:val="003A2FBA"/>
    <w:rsid w:val="003A312B"/>
    <w:rsid w:val="003A327A"/>
    <w:rsid w:val="003A349A"/>
    <w:rsid w:val="003A37A9"/>
    <w:rsid w:val="003A3A02"/>
    <w:rsid w:val="003A3ADB"/>
    <w:rsid w:val="003A3DE5"/>
    <w:rsid w:val="003A3E30"/>
    <w:rsid w:val="003A3E87"/>
    <w:rsid w:val="003A3FB5"/>
    <w:rsid w:val="003A402F"/>
    <w:rsid w:val="003A405D"/>
    <w:rsid w:val="003A42D8"/>
    <w:rsid w:val="003A44D0"/>
    <w:rsid w:val="003A461C"/>
    <w:rsid w:val="003A464D"/>
    <w:rsid w:val="003A478F"/>
    <w:rsid w:val="003A4792"/>
    <w:rsid w:val="003A4C2B"/>
    <w:rsid w:val="003A5788"/>
    <w:rsid w:val="003A59DC"/>
    <w:rsid w:val="003A5A61"/>
    <w:rsid w:val="003A5CEB"/>
    <w:rsid w:val="003A5D0F"/>
    <w:rsid w:val="003A5FA8"/>
    <w:rsid w:val="003A61C0"/>
    <w:rsid w:val="003A64EA"/>
    <w:rsid w:val="003A6C91"/>
    <w:rsid w:val="003A6DA9"/>
    <w:rsid w:val="003A6F90"/>
    <w:rsid w:val="003A6FDC"/>
    <w:rsid w:val="003A70AE"/>
    <w:rsid w:val="003A721C"/>
    <w:rsid w:val="003A7466"/>
    <w:rsid w:val="003A75F5"/>
    <w:rsid w:val="003A789D"/>
    <w:rsid w:val="003A7992"/>
    <w:rsid w:val="003A7ABD"/>
    <w:rsid w:val="003A7B0F"/>
    <w:rsid w:val="003A7CF1"/>
    <w:rsid w:val="003A7D50"/>
    <w:rsid w:val="003B00C8"/>
    <w:rsid w:val="003B0163"/>
    <w:rsid w:val="003B0202"/>
    <w:rsid w:val="003B049B"/>
    <w:rsid w:val="003B08BB"/>
    <w:rsid w:val="003B0916"/>
    <w:rsid w:val="003B0A5D"/>
    <w:rsid w:val="003B0CE4"/>
    <w:rsid w:val="003B0DFC"/>
    <w:rsid w:val="003B0DFF"/>
    <w:rsid w:val="003B0E70"/>
    <w:rsid w:val="003B13AD"/>
    <w:rsid w:val="003B1441"/>
    <w:rsid w:val="003B1803"/>
    <w:rsid w:val="003B1872"/>
    <w:rsid w:val="003B1C5A"/>
    <w:rsid w:val="003B2018"/>
    <w:rsid w:val="003B20FC"/>
    <w:rsid w:val="003B219B"/>
    <w:rsid w:val="003B21AF"/>
    <w:rsid w:val="003B2319"/>
    <w:rsid w:val="003B23B5"/>
    <w:rsid w:val="003B23D4"/>
    <w:rsid w:val="003B2613"/>
    <w:rsid w:val="003B2677"/>
    <w:rsid w:val="003B270A"/>
    <w:rsid w:val="003B27A4"/>
    <w:rsid w:val="003B28DC"/>
    <w:rsid w:val="003B2A18"/>
    <w:rsid w:val="003B2ACF"/>
    <w:rsid w:val="003B2BA0"/>
    <w:rsid w:val="003B2C38"/>
    <w:rsid w:val="003B3084"/>
    <w:rsid w:val="003B3283"/>
    <w:rsid w:val="003B330B"/>
    <w:rsid w:val="003B351E"/>
    <w:rsid w:val="003B42ED"/>
    <w:rsid w:val="003B44A5"/>
    <w:rsid w:val="003B46CE"/>
    <w:rsid w:val="003B4CB5"/>
    <w:rsid w:val="003B4F2A"/>
    <w:rsid w:val="003B50C3"/>
    <w:rsid w:val="003B5523"/>
    <w:rsid w:val="003B56C9"/>
    <w:rsid w:val="003B5725"/>
    <w:rsid w:val="003B58FE"/>
    <w:rsid w:val="003B5C41"/>
    <w:rsid w:val="003B5C57"/>
    <w:rsid w:val="003B5D85"/>
    <w:rsid w:val="003B5FA0"/>
    <w:rsid w:val="003B607E"/>
    <w:rsid w:val="003B6422"/>
    <w:rsid w:val="003B6452"/>
    <w:rsid w:val="003B64B7"/>
    <w:rsid w:val="003B65D7"/>
    <w:rsid w:val="003B6640"/>
    <w:rsid w:val="003B67C4"/>
    <w:rsid w:val="003B6B74"/>
    <w:rsid w:val="003B6DD5"/>
    <w:rsid w:val="003B6DDF"/>
    <w:rsid w:val="003B6FAB"/>
    <w:rsid w:val="003B7163"/>
    <w:rsid w:val="003B723A"/>
    <w:rsid w:val="003B72BA"/>
    <w:rsid w:val="003B72D9"/>
    <w:rsid w:val="003B7435"/>
    <w:rsid w:val="003B7786"/>
    <w:rsid w:val="003B792F"/>
    <w:rsid w:val="003B7932"/>
    <w:rsid w:val="003B7B51"/>
    <w:rsid w:val="003C0686"/>
    <w:rsid w:val="003C0CEB"/>
    <w:rsid w:val="003C0DD4"/>
    <w:rsid w:val="003C0EF1"/>
    <w:rsid w:val="003C15C5"/>
    <w:rsid w:val="003C1629"/>
    <w:rsid w:val="003C1758"/>
    <w:rsid w:val="003C199D"/>
    <w:rsid w:val="003C1C95"/>
    <w:rsid w:val="003C2096"/>
    <w:rsid w:val="003C232C"/>
    <w:rsid w:val="003C277B"/>
    <w:rsid w:val="003C2783"/>
    <w:rsid w:val="003C2C2E"/>
    <w:rsid w:val="003C2EC3"/>
    <w:rsid w:val="003C2F18"/>
    <w:rsid w:val="003C3203"/>
    <w:rsid w:val="003C329D"/>
    <w:rsid w:val="003C3371"/>
    <w:rsid w:val="003C3560"/>
    <w:rsid w:val="003C36AC"/>
    <w:rsid w:val="003C3835"/>
    <w:rsid w:val="003C38D9"/>
    <w:rsid w:val="003C38F2"/>
    <w:rsid w:val="003C4178"/>
    <w:rsid w:val="003C434C"/>
    <w:rsid w:val="003C4387"/>
    <w:rsid w:val="003C43DC"/>
    <w:rsid w:val="003C4785"/>
    <w:rsid w:val="003C479D"/>
    <w:rsid w:val="003C4856"/>
    <w:rsid w:val="003C4946"/>
    <w:rsid w:val="003C4A9C"/>
    <w:rsid w:val="003C4E3D"/>
    <w:rsid w:val="003C4E84"/>
    <w:rsid w:val="003C4FEB"/>
    <w:rsid w:val="003C50E5"/>
    <w:rsid w:val="003C52A2"/>
    <w:rsid w:val="003C5962"/>
    <w:rsid w:val="003C59EC"/>
    <w:rsid w:val="003C5D21"/>
    <w:rsid w:val="003C6299"/>
    <w:rsid w:val="003C642D"/>
    <w:rsid w:val="003C643E"/>
    <w:rsid w:val="003C654A"/>
    <w:rsid w:val="003C66D7"/>
    <w:rsid w:val="003C6797"/>
    <w:rsid w:val="003C6D08"/>
    <w:rsid w:val="003C7357"/>
    <w:rsid w:val="003C745A"/>
    <w:rsid w:val="003C7802"/>
    <w:rsid w:val="003C7B2E"/>
    <w:rsid w:val="003C7B80"/>
    <w:rsid w:val="003C7DB0"/>
    <w:rsid w:val="003C7EEB"/>
    <w:rsid w:val="003C7EF6"/>
    <w:rsid w:val="003D0142"/>
    <w:rsid w:val="003D0695"/>
    <w:rsid w:val="003D0832"/>
    <w:rsid w:val="003D0AEA"/>
    <w:rsid w:val="003D0EBF"/>
    <w:rsid w:val="003D0F78"/>
    <w:rsid w:val="003D0F82"/>
    <w:rsid w:val="003D122C"/>
    <w:rsid w:val="003D12AA"/>
    <w:rsid w:val="003D1436"/>
    <w:rsid w:val="003D1441"/>
    <w:rsid w:val="003D1480"/>
    <w:rsid w:val="003D15CA"/>
    <w:rsid w:val="003D17A5"/>
    <w:rsid w:val="003D187C"/>
    <w:rsid w:val="003D1CC4"/>
    <w:rsid w:val="003D1ED8"/>
    <w:rsid w:val="003D236A"/>
    <w:rsid w:val="003D26E5"/>
    <w:rsid w:val="003D27C7"/>
    <w:rsid w:val="003D2B49"/>
    <w:rsid w:val="003D2BCD"/>
    <w:rsid w:val="003D2C57"/>
    <w:rsid w:val="003D2E8A"/>
    <w:rsid w:val="003D301E"/>
    <w:rsid w:val="003D3398"/>
    <w:rsid w:val="003D340A"/>
    <w:rsid w:val="003D351A"/>
    <w:rsid w:val="003D35E3"/>
    <w:rsid w:val="003D3619"/>
    <w:rsid w:val="003D3647"/>
    <w:rsid w:val="003D375A"/>
    <w:rsid w:val="003D3836"/>
    <w:rsid w:val="003D38D5"/>
    <w:rsid w:val="003D38E3"/>
    <w:rsid w:val="003D3995"/>
    <w:rsid w:val="003D3AAD"/>
    <w:rsid w:val="003D3AD5"/>
    <w:rsid w:val="003D3EC9"/>
    <w:rsid w:val="003D4146"/>
    <w:rsid w:val="003D41E7"/>
    <w:rsid w:val="003D42B5"/>
    <w:rsid w:val="003D4547"/>
    <w:rsid w:val="003D45C4"/>
    <w:rsid w:val="003D46ED"/>
    <w:rsid w:val="003D47B4"/>
    <w:rsid w:val="003D4965"/>
    <w:rsid w:val="003D4A9D"/>
    <w:rsid w:val="003D4F67"/>
    <w:rsid w:val="003D5462"/>
    <w:rsid w:val="003D5466"/>
    <w:rsid w:val="003D5590"/>
    <w:rsid w:val="003D57E8"/>
    <w:rsid w:val="003D5F11"/>
    <w:rsid w:val="003D603E"/>
    <w:rsid w:val="003D66B4"/>
    <w:rsid w:val="003D6C15"/>
    <w:rsid w:val="003D6F25"/>
    <w:rsid w:val="003D7242"/>
    <w:rsid w:val="003D740C"/>
    <w:rsid w:val="003D7554"/>
    <w:rsid w:val="003D767B"/>
    <w:rsid w:val="003D7868"/>
    <w:rsid w:val="003D7A8B"/>
    <w:rsid w:val="003D7E3C"/>
    <w:rsid w:val="003D7EEF"/>
    <w:rsid w:val="003E0101"/>
    <w:rsid w:val="003E0549"/>
    <w:rsid w:val="003E0666"/>
    <w:rsid w:val="003E068B"/>
    <w:rsid w:val="003E06E6"/>
    <w:rsid w:val="003E08D0"/>
    <w:rsid w:val="003E08D3"/>
    <w:rsid w:val="003E098B"/>
    <w:rsid w:val="003E09B0"/>
    <w:rsid w:val="003E0A6B"/>
    <w:rsid w:val="003E14B5"/>
    <w:rsid w:val="003E14B8"/>
    <w:rsid w:val="003E1560"/>
    <w:rsid w:val="003E1A9D"/>
    <w:rsid w:val="003E1C91"/>
    <w:rsid w:val="003E1E18"/>
    <w:rsid w:val="003E239D"/>
    <w:rsid w:val="003E23D7"/>
    <w:rsid w:val="003E2682"/>
    <w:rsid w:val="003E2749"/>
    <w:rsid w:val="003E2BF5"/>
    <w:rsid w:val="003E2D62"/>
    <w:rsid w:val="003E2F5D"/>
    <w:rsid w:val="003E3050"/>
    <w:rsid w:val="003E30F5"/>
    <w:rsid w:val="003E3196"/>
    <w:rsid w:val="003E3581"/>
    <w:rsid w:val="003E3821"/>
    <w:rsid w:val="003E3942"/>
    <w:rsid w:val="003E3A95"/>
    <w:rsid w:val="003E3AA0"/>
    <w:rsid w:val="003E3AEF"/>
    <w:rsid w:val="003E43AE"/>
    <w:rsid w:val="003E43B6"/>
    <w:rsid w:val="003E4516"/>
    <w:rsid w:val="003E46A3"/>
    <w:rsid w:val="003E4891"/>
    <w:rsid w:val="003E4AEE"/>
    <w:rsid w:val="003E4B90"/>
    <w:rsid w:val="003E4C8D"/>
    <w:rsid w:val="003E50A6"/>
    <w:rsid w:val="003E5292"/>
    <w:rsid w:val="003E534F"/>
    <w:rsid w:val="003E589B"/>
    <w:rsid w:val="003E593B"/>
    <w:rsid w:val="003E5988"/>
    <w:rsid w:val="003E5C61"/>
    <w:rsid w:val="003E5C63"/>
    <w:rsid w:val="003E5C7A"/>
    <w:rsid w:val="003E5F61"/>
    <w:rsid w:val="003E65CC"/>
    <w:rsid w:val="003E6B9B"/>
    <w:rsid w:val="003E6C28"/>
    <w:rsid w:val="003E6DCA"/>
    <w:rsid w:val="003E7286"/>
    <w:rsid w:val="003E7355"/>
    <w:rsid w:val="003E7611"/>
    <w:rsid w:val="003E77D9"/>
    <w:rsid w:val="003E78AA"/>
    <w:rsid w:val="003E78D2"/>
    <w:rsid w:val="003E78E0"/>
    <w:rsid w:val="003E7ADC"/>
    <w:rsid w:val="003E7B32"/>
    <w:rsid w:val="003E7C6A"/>
    <w:rsid w:val="003F0027"/>
    <w:rsid w:val="003F01FD"/>
    <w:rsid w:val="003F022F"/>
    <w:rsid w:val="003F0286"/>
    <w:rsid w:val="003F038B"/>
    <w:rsid w:val="003F03F7"/>
    <w:rsid w:val="003F043E"/>
    <w:rsid w:val="003F05C3"/>
    <w:rsid w:val="003F0697"/>
    <w:rsid w:val="003F0900"/>
    <w:rsid w:val="003F0E7E"/>
    <w:rsid w:val="003F11F8"/>
    <w:rsid w:val="003F12A4"/>
    <w:rsid w:val="003F12DD"/>
    <w:rsid w:val="003F1415"/>
    <w:rsid w:val="003F1464"/>
    <w:rsid w:val="003F1494"/>
    <w:rsid w:val="003F14C7"/>
    <w:rsid w:val="003F151F"/>
    <w:rsid w:val="003F17CC"/>
    <w:rsid w:val="003F181F"/>
    <w:rsid w:val="003F19EA"/>
    <w:rsid w:val="003F1BAE"/>
    <w:rsid w:val="003F206C"/>
    <w:rsid w:val="003F20E9"/>
    <w:rsid w:val="003F222B"/>
    <w:rsid w:val="003F24EF"/>
    <w:rsid w:val="003F26FC"/>
    <w:rsid w:val="003F28CE"/>
    <w:rsid w:val="003F28E5"/>
    <w:rsid w:val="003F336C"/>
    <w:rsid w:val="003F35EE"/>
    <w:rsid w:val="003F37B3"/>
    <w:rsid w:val="003F3884"/>
    <w:rsid w:val="003F3A25"/>
    <w:rsid w:val="003F3FDB"/>
    <w:rsid w:val="003F42BD"/>
    <w:rsid w:val="003F497B"/>
    <w:rsid w:val="003F4A1B"/>
    <w:rsid w:val="003F4A60"/>
    <w:rsid w:val="003F4ACB"/>
    <w:rsid w:val="003F4E64"/>
    <w:rsid w:val="003F4F34"/>
    <w:rsid w:val="003F519E"/>
    <w:rsid w:val="003F52A7"/>
    <w:rsid w:val="003F557C"/>
    <w:rsid w:val="003F5650"/>
    <w:rsid w:val="003F5F12"/>
    <w:rsid w:val="003F609E"/>
    <w:rsid w:val="003F6175"/>
    <w:rsid w:val="003F66A0"/>
    <w:rsid w:val="003F72D1"/>
    <w:rsid w:val="003F740B"/>
    <w:rsid w:val="003F7702"/>
    <w:rsid w:val="003F78F0"/>
    <w:rsid w:val="003F796F"/>
    <w:rsid w:val="003F7E08"/>
    <w:rsid w:val="004001B6"/>
    <w:rsid w:val="00400506"/>
    <w:rsid w:val="004009A7"/>
    <w:rsid w:val="00400C21"/>
    <w:rsid w:val="00400DBD"/>
    <w:rsid w:val="00400E72"/>
    <w:rsid w:val="004010F8"/>
    <w:rsid w:val="0040128B"/>
    <w:rsid w:val="004016DD"/>
    <w:rsid w:val="00401769"/>
    <w:rsid w:val="0040191B"/>
    <w:rsid w:val="00401D22"/>
    <w:rsid w:val="00401DCD"/>
    <w:rsid w:val="00401E0A"/>
    <w:rsid w:val="00401FEA"/>
    <w:rsid w:val="00402070"/>
    <w:rsid w:val="004022BF"/>
    <w:rsid w:val="004022C6"/>
    <w:rsid w:val="00402920"/>
    <w:rsid w:val="004029D8"/>
    <w:rsid w:val="00402AFF"/>
    <w:rsid w:val="00402DCB"/>
    <w:rsid w:val="00402F8D"/>
    <w:rsid w:val="0040314D"/>
    <w:rsid w:val="00403208"/>
    <w:rsid w:val="004034F5"/>
    <w:rsid w:val="00403570"/>
    <w:rsid w:val="0040362A"/>
    <w:rsid w:val="00403784"/>
    <w:rsid w:val="00403906"/>
    <w:rsid w:val="00403980"/>
    <w:rsid w:val="004039A7"/>
    <w:rsid w:val="00403A09"/>
    <w:rsid w:val="00403CC4"/>
    <w:rsid w:val="00403D18"/>
    <w:rsid w:val="004041DD"/>
    <w:rsid w:val="00404437"/>
    <w:rsid w:val="004045D2"/>
    <w:rsid w:val="00404A28"/>
    <w:rsid w:val="00404B78"/>
    <w:rsid w:val="00404E82"/>
    <w:rsid w:val="00404E8D"/>
    <w:rsid w:val="00404F40"/>
    <w:rsid w:val="004053AD"/>
    <w:rsid w:val="00405410"/>
    <w:rsid w:val="0040544B"/>
    <w:rsid w:val="0040572B"/>
    <w:rsid w:val="0040576E"/>
    <w:rsid w:val="004058E6"/>
    <w:rsid w:val="004059F0"/>
    <w:rsid w:val="00405A17"/>
    <w:rsid w:val="00405A7F"/>
    <w:rsid w:val="00405AD5"/>
    <w:rsid w:val="00405E38"/>
    <w:rsid w:val="00406064"/>
    <w:rsid w:val="00406845"/>
    <w:rsid w:val="004068A2"/>
    <w:rsid w:val="00406B67"/>
    <w:rsid w:val="00406CDF"/>
    <w:rsid w:val="00406D30"/>
    <w:rsid w:val="00406E04"/>
    <w:rsid w:val="00406E53"/>
    <w:rsid w:val="004070BF"/>
    <w:rsid w:val="00407282"/>
    <w:rsid w:val="004072A6"/>
    <w:rsid w:val="004076DE"/>
    <w:rsid w:val="0040783F"/>
    <w:rsid w:val="00407A25"/>
    <w:rsid w:val="00407A44"/>
    <w:rsid w:val="00407D72"/>
    <w:rsid w:val="00407D89"/>
    <w:rsid w:val="00407EE7"/>
    <w:rsid w:val="0041021B"/>
    <w:rsid w:val="004102BF"/>
    <w:rsid w:val="00410354"/>
    <w:rsid w:val="0041047A"/>
    <w:rsid w:val="0041073C"/>
    <w:rsid w:val="0041083F"/>
    <w:rsid w:val="00410B0E"/>
    <w:rsid w:val="00410E82"/>
    <w:rsid w:val="00410FA7"/>
    <w:rsid w:val="0041125F"/>
    <w:rsid w:val="00411267"/>
    <w:rsid w:val="00411448"/>
    <w:rsid w:val="0041155F"/>
    <w:rsid w:val="00411611"/>
    <w:rsid w:val="004116EF"/>
    <w:rsid w:val="00411ABC"/>
    <w:rsid w:val="00411AC9"/>
    <w:rsid w:val="00411F81"/>
    <w:rsid w:val="00412177"/>
    <w:rsid w:val="004121AD"/>
    <w:rsid w:val="00412209"/>
    <w:rsid w:val="004122FC"/>
    <w:rsid w:val="00412381"/>
    <w:rsid w:val="00412673"/>
    <w:rsid w:val="00412B86"/>
    <w:rsid w:val="00412BAE"/>
    <w:rsid w:val="0041356A"/>
    <w:rsid w:val="0041365D"/>
    <w:rsid w:val="00413980"/>
    <w:rsid w:val="00413AC0"/>
    <w:rsid w:val="00413B0A"/>
    <w:rsid w:val="004141EA"/>
    <w:rsid w:val="00414400"/>
    <w:rsid w:val="00414417"/>
    <w:rsid w:val="0041448E"/>
    <w:rsid w:val="004146D4"/>
    <w:rsid w:val="00414AAC"/>
    <w:rsid w:val="00414ABA"/>
    <w:rsid w:val="00414AE1"/>
    <w:rsid w:val="00414B62"/>
    <w:rsid w:val="00414C85"/>
    <w:rsid w:val="00414D57"/>
    <w:rsid w:val="00414E78"/>
    <w:rsid w:val="00414EC4"/>
    <w:rsid w:val="00415221"/>
    <w:rsid w:val="00415414"/>
    <w:rsid w:val="00415439"/>
    <w:rsid w:val="0041544F"/>
    <w:rsid w:val="00415EE2"/>
    <w:rsid w:val="004160A7"/>
    <w:rsid w:val="004160CF"/>
    <w:rsid w:val="004161FE"/>
    <w:rsid w:val="00416329"/>
    <w:rsid w:val="0041639A"/>
    <w:rsid w:val="00416AD2"/>
    <w:rsid w:val="00416AD7"/>
    <w:rsid w:val="00416B1F"/>
    <w:rsid w:val="00416C7E"/>
    <w:rsid w:val="00416D59"/>
    <w:rsid w:val="0041701A"/>
    <w:rsid w:val="004172D8"/>
    <w:rsid w:val="0041747C"/>
    <w:rsid w:val="004175FF"/>
    <w:rsid w:val="004177C6"/>
    <w:rsid w:val="00417906"/>
    <w:rsid w:val="00417996"/>
    <w:rsid w:val="00417C0C"/>
    <w:rsid w:val="00417C90"/>
    <w:rsid w:val="00417D35"/>
    <w:rsid w:val="0042015F"/>
    <w:rsid w:val="00420712"/>
    <w:rsid w:val="00420767"/>
    <w:rsid w:val="00420803"/>
    <w:rsid w:val="0042082B"/>
    <w:rsid w:val="0042092F"/>
    <w:rsid w:val="00420FD9"/>
    <w:rsid w:val="0042106E"/>
    <w:rsid w:val="0042112A"/>
    <w:rsid w:val="004212CE"/>
    <w:rsid w:val="00421524"/>
    <w:rsid w:val="004216A4"/>
    <w:rsid w:val="004217BA"/>
    <w:rsid w:val="004218FB"/>
    <w:rsid w:val="00421D00"/>
    <w:rsid w:val="00421E8D"/>
    <w:rsid w:val="00421ED5"/>
    <w:rsid w:val="00422002"/>
    <w:rsid w:val="0042256E"/>
    <w:rsid w:val="00422805"/>
    <w:rsid w:val="00422FF7"/>
    <w:rsid w:val="004232ED"/>
    <w:rsid w:val="00423618"/>
    <w:rsid w:val="004236C1"/>
    <w:rsid w:val="004238F8"/>
    <w:rsid w:val="00423AFE"/>
    <w:rsid w:val="00423BED"/>
    <w:rsid w:val="00423C86"/>
    <w:rsid w:val="00423FE7"/>
    <w:rsid w:val="004241A2"/>
    <w:rsid w:val="00424512"/>
    <w:rsid w:val="00424753"/>
    <w:rsid w:val="004247E8"/>
    <w:rsid w:val="00424894"/>
    <w:rsid w:val="00424AF7"/>
    <w:rsid w:val="00424B30"/>
    <w:rsid w:val="00425202"/>
    <w:rsid w:val="004253AE"/>
    <w:rsid w:val="004254CB"/>
    <w:rsid w:val="004257EB"/>
    <w:rsid w:val="00425838"/>
    <w:rsid w:val="004258A6"/>
    <w:rsid w:val="00425997"/>
    <w:rsid w:val="00425D87"/>
    <w:rsid w:val="00426299"/>
    <w:rsid w:val="00426371"/>
    <w:rsid w:val="00426570"/>
    <w:rsid w:val="00426979"/>
    <w:rsid w:val="00426B16"/>
    <w:rsid w:val="00426C8D"/>
    <w:rsid w:val="00426DA5"/>
    <w:rsid w:val="00426DC1"/>
    <w:rsid w:val="00426E4C"/>
    <w:rsid w:val="00426E5C"/>
    <w:rsid w:val="004273C8"/>
    <w:rsid w:val="00427682"/>
    <w:rsid w:val="00427786"/>
    <w:rsid w:val="00427E27"/>
    <w:rsid w:val="00427F6A"/>
    <w:rsid w:val="00427FC7"/>
    <w:rsid w:val="00430358"/>
    <w:rsid w:val="00430614"/>
    <w:rsid w:val="00430807"/>
    <w:rsid w:val="004309CF"/>
    <w:rsid w:val="00430CE8"/>
    <w:rsid w:val="00430FF0"/>
    <w:rsid w:val="00431015"/>
    <w:rsid w:val="004311C3"/>
    <w:rsid w:val="004311FF"/>
    <w:rsid w:val="0043157A"/>
    <w:rsid w:val="0043157F"/>
    <w:rsid w:val="0043161E"/>
    <w:rsid w:val="0043169C"/>
    <w:rsid w:val="004317E4"/>
    <w:rsid w:val="0043183A"/>
    <w:rsid w:val="004318ED"/>
    <w:rsid w:val="00431A66"/>
    <w:rsid w:val="00431A86"/>
    <w:rsid w:val="00431C61"/>
    <w:rsid w:val="00431D07"/>
    <w:rsid w:val="00431F4C"/>
    <w:rsid w:val="0043227F"/>
    <w:rsid w:val="004322E9"/>
    <w:rsid w:val="0043240B"/>
    <w:rsid w:val="004324DF"/>
    <w:rsid w:val="0043281D"/>
    <w:rsid w:val="004328C8"/>
    <w:rsid w:val="00432958"/>
    <w:rsid w:val="00432AFC"/>
    <w:rsid w:val="00432F36"/>
    <w:rsid w:val="0043341A"/>
    <w:rsid w:val="00433746"/>
    <w:rsid w:val="0043386B"/>
    <w:rsid w:val="00433A42"/>
    <w:rsid w:val="00433CBD"/>
    <w:rsid w:val="004341DE"/>
    <w:rsid w:val="0043465E"/>
    <w:rsid w:val="0043466B"/>
    <w:rsid w:val="00434AD0"/>
    <w:rsid w:val="00434BE0"/>
    <w:rsid w:val="00434DB5"/>
    <w:rsid w:val="00434DE5"/>
    <w:rsid w:val="00434F6D"/>
    <w:rsid w:val="004353E2"/>
    <w:rsid w:val="004356D4"/>
    <w:rsid w:val="0043578F"/>
    <w:rsid w:val="00435A14"/>
    <w:rsid w:val="00435C0F"/>
    <w:rsid w:val="00435F08"/>
    <w:rsid w:val="00435F6F"/>
    <w:rsid w:val="004360FB"/>
    <w:rsid w:val="00436230"/>
    <w:rsid w:val="00436629"/>
    <w:rsid w:val="004366FD"/>
    <w:rsid w:val="00436978"/>
    <w:rsid w:val="00436DFD"/>
    <w:rsid w:val="00436ED9"/>
    <w:rsid w:val="00436F2A"/>
    <w:rsid w:val="00436FCE"/>
    <w:rsid w:val="00437128"/>
    <w:rsid w:val="00437412"/>
    <w:rsid w:val="0043746A"/>
    <w:rsid w:val="004374A7"/>
    <w:rsid w:val="00437523"/>
    <w:rsid w:val="00437549"/>
    <w:rsid w:val="00437798"/>
    <w:rsid w:val="004377A8"/>
    <w:rsid w:val="004377D9"/>
    <w:rsid w:val="004379A4"/>
    <w:rsid w:val="00440105"/>
    <w:rsid w:val="0044014E"/>
    <w:rsid w:val="004405C8"/>
    <w:rsid w:val="0044060F"/>
    <w:rsid w:val="004408BC"/>
    <w:rsid w:val="0044098F"/>
    <w:rsid w:val="00440F3C"/>
    <w:rsid w:val="00440FE4"/>
    <w:rsid w:val="0044103A"/>
    <w:rsid w:val="00441120"/>
    <w:rsid w:val="0044112B"/>
    <w:rsid w:val="004411D1"/>
    <w:rsid w:val="00441348"/>
    <w:rsid w:val="00441431"/>
    <w:rsid w:val="0044143D"/>
    <w:rsid w:val="004417AC"/>
    <w:rsid w:val="004419A6"/>
    <w:rsid w:val="00441F00"/>
    <w:rsid w:val="004420D4"/>
    <w:rsid w:val="00442231"/>
    <w:rsid w:val="00442421"/>
    <w:rsid w:val="0044264A"/>
    <w:rsid w:val="004427E5"/>
    <w:rsid w:val="00442DD4"/>
    <w:rsid w:val="00442E5F"/>
    <w:rsid w:val="00443130"/>
    <w:rsid w:val="0044313D"/>
    <w:rsid w:val="0044325A"/>
    <w:rsid w:val="00443315"/>
    <w:rsid w:val="004433B1"/>
    <w:rsid w:val="00443471"/>
    <w:rsid w:val="00443CCD"/>
    <w:rsid w:val="004440B2"/>
    <w:rsid w:val="0044455A"/>
    <w:rsid w:val="00444790"/>
    <w:rsid w:val="00444A33"/>
    <w:rsid w:val="00444B8F"/>
    <w:rsid w:val="00444BB8"/>
    <w:rsid w:val="00444F50"/>
    <w:rsid w:val="004450E0"/>
    <w:rsid w:val="00445109"/>
    <w:rsid w:val="0044512D"/>
    <w:rsid w:val="00445293"/>
    <w:rsid w:val="00445351"/>
    <w:rsid w:val="0044577D"/>
    <w:rsid w:val="0044590C"/>
    <w:rsid w:val="00445939"/>
    <w:rsid w:val="0044597C"/>
    <w:rsid w:val="00445B3D"/>
    <w:rsid w:val="0044644D"/>
    <w:rsid w:val="00446565"/>
    <w:rsid w:val="004469A1"/>
    <w:rsid w:val="00446BCA"/>
    <w:rsid w:val="00447077"/>
    <w:rsid w:val="00447153"/>
    <w:rsid w:val="00447227"/>
    <w:rsid w:val="0044776A"/>
    <w:rsid w:val="00447E03"/>
    <w:rsid w:val="00447E40"/>
    <w:rsid w:val="00447EE6"/>
    <w:rsid w:val="00447FA1"/>
    <w:rsid w:val="0045004E"/>
    <w:rsid w:val="00450069"/>
    <w:rsid w:val="00450086"/>
    <w:rsid w:val="004500FF"/>
    <w:rsid w:val="004501B7"/>
    <w:rsid w:val="004502BC"/>
    <w:rsid w:val="004504B0"/>
    <w:rsid w:val="00450851"/>
    <w:rsid w:val="004509B0"/>
    <w:rsid w:val="00450A06"/>
    <w:rsid w:val="00450BBA"/>
    <w:rsid w:val="00450DE8"/>
    <w:rsid w:val="00450E2A"/>
    <w:rsid w:val="00450E72"/>
    <w:rsid w:val="004511A9"/>
    <w:rsid w:val="00451297"/>
    <w:rsid w:val="004513DD"/>
    <w:rsid w:val="0045146F"/>
    <w:rsid w:val="0045148C"/>
    <w:rsid w:val="0045154D"/>
    <w:rsid w:val="004517D4"/>
    <w:rsid w:val="00451939"/>
    <w:rsid w:val="004519C1"/>
    <w:rsid w:val="00451A1A"/>
    <w:rsid w:val="00451BC9"/>
    <w:rsid w:val="00451E84"/>
    <w:rsid w:val="004525B8"/>
    <w:rsid w:val="0045260E"/>
    <w:rsid w:val="00452612"/>
    <w:rsid w:val="00452A4B"/>
    <w:rsid w:val="00453040"/>
    <w:rsid w:val="00453400"/>
    <w:rsid w:val="00453753"/>
    <w:rsid w:val="00453B02"/>
    <w:rsid w:val="00453FF1"/>
    <w:rsid w:val="0045457E"/>
    <w:rsid w:val="00454791"/>
    <w:rsid w:val="004547BA"/>
    <w:rsid w:val="00454869"/>
    <w:rsid w:val="00454A86"/>
    <w:rsid w:val="00454CE7"/>
    <w:rsid w:val="00454DD2"/>
    <w:rsid w:val="004550E6"/>
    <w:rsid w:val="00455509"/>
    <w:rsid w:val="004556FB"/>
    <w:rsid w:val="00455888"/>
    <w:rsid w:val="00455B1C"/>
    <w:rsid w:val="0045621F"/>
    <w:rsid w:val="004564E9"/>
    <w:rsid w:val="00456633"/>
    <w:rsid w:val="004566AD"/>
    <w:rsid w:val="00456AE9"/>
    <w:rsid w:val="00456C12"/>
    <w:rsid w:val="00456C4A"/>
    <w:rsid w:val="00456D91"/>
    <w:rsid w:val="00457138"/>
    <w:rsid w:val="00457282"/>
    <w:rsid w:val="00457622"/>
    <w:rsid w:val="00457732"/>
    <w:rsid w:val="0045787F"/>
    <w:rsid w:val="00457C96"/>
    <w:rsid w:val="00457E44"/>
    <w:rsid w:val="00457F5D"/>
    <w:rsid w:val="00460341"/>
    <w:rsid w:val="004607D9"/>
    <w:rsid w:val="00460CB6"/>
    <w:rsid w:val="00460D08"/>
    <w:rsid w:val="00460FE1"/>
    <w:rsid w:val="0046118F"/>
    <w:rsid w:val="00461255"/>
    <w:rsid w:val="00461597"/>
    <w:rsid w:val="00461885"/>
    <w:rsid w:val="004619D2"/>
    <w:rsid w:val="00461A72"/>
    <w:rsid w:val="00461B3F"/>
    <w:rsid w:val="00461B4D"/>
    <w:rsid w:val="00461CC8"/>
    <w:rsid w:val="00461ECC"/>
    <w:rsid w:val="00461F2D"/>
    <w:rsid w:val="00462602"/>
    <w:rsid w:val="0046273C"/>
    <w:rsid w:val="00462753"/>
    <w:rsid w:val="00462767"/>
    <w:rsid w:val="00462838"/>
    <w:rsid w:val="00462BC9"/>
    <w:rsid w:val="00462E2B"/>
    <w:rsid w:val="0046306C"/>
    <w:rsid w:val="004630AC"/>
    <w:rsid w:val="0046312D"/>
    <w:rsid w:val="00463176"/>
    <w:rsid w:val="004631C2"/>
    <w:rsid w:val="0046328E"/>
    <w:rsid w:val="004632AF"/>
    <w:rsid w:val="00463859"/>
    <w:rsid w:val="00463A85"/>
    <w:rsid w:val="00463C15"/>
    <w:rsid w:val="00463F68"/>
    <w:rsid w:val="004641E2"/>
    <w:rsid w:val="0046426E"/>
    <w:rsid w:val="00464359"/>
    <w:rsid w:val="0046443A"/>
    <w:rsid w:val="004646C0"/>
    <w:rsid w:val="004649D0"/>
    <w:rsid w:val="00464B6A"/>
    <w:rsid w:val="00464D18"/>
    <w:rsid w:val="00464DFD"/>
    <w:rsid w:val="00465191"/>
    <w:rsid w:val="004652D4"/>
    <w:rsid w:val="004653F9"/>
    <w:rsid w:val="004654D2"/>
    <w:rsid w:val="004655F9"/>
    <w:rsid w:val="00465847"/>
    <w:rsid w:val="00465A7D"/>
    <w:rsid w:val="00465D47"/>
    <w:rsid w:val="00465E69"/>
    <w:rsid w:val="00465EEB"/>
    <w:rsid w:val="00466170"/>
    <w:rsid w:val="00466311"/>
    <w:rsid w:val="00466504"/>
    <w:rsid w:val="0046664A"/>
    <w:rsid w:val="004666E0"/>
    <w:rsid w:val="004669E3"/>
    <w:rsid w:val="00466ADE"/>
    <w:rsid w:val="00466B13"/>
    <w:rsid w:val="00466B7F"/>
    <w:rsid w:val="00466B89"/>
    <w:rsid w:val="00466BBB"/>
    <w:rsid w:val="00466D88"/>
    <w:rsid w:val="00466EFA"/>
    <w:rsid w:val="00466F0F"/>
    <w:rsid w:val="00467047"/>
    <w:rsid w:val="0046749D"/>
    <w:rsid w:val="00467774"/>
    <w:rsid w:val="00467A8C"/>
    <w:rsid w:val="00467D21"/>
    <w:rsid w:val="00467D94"/>
    <w:rsid w:val="00470037"/>
    <w:rsid w:val="00470139"/>
    <w:rsid w:val="004701F3"/>
    <w:rsid w:val="0047026F"/>
    <w:rsid w:val="00470346"/>
    <w:rsid w:val="00470576"/>
    <w:rsid w:val="00470729"/>
    <w:rsid w:val="004707DA"/>
    <w:rsid w:val="0047088D"/>
    <w:rsid w:val="004708B8"/>
    <w:rsid w:val="00470936"/>
    <w:rsid w:val="00470A05"/>
    <w:rsid w:val="00470B4C"/>
    <w:rsid w:val="00470D0B"/>
    <w:rsid w:val="00470FF3"/>
    <w:rsid w:val="004711F9"/>
    <w:rsid w:val="0047167B"/>
    <w:rsid w:val="0047181E"/>
    <w:rsid w:val="0047199B"/>
    <w:rsid w:val="00471B5B"/>
    <w:rsid w:val="00471C96"/>
    <w:rsid w:val="00471D11"/>
    <w:rsid w:val="00472787"/>
    <w:rsid w:val="00472813"/>
    <w:rsid w:val="004729F5"/>
    <w:rsid w:val="00472BCE"/>
    <w:rsid w:val="00472D2A"/>
    <w:rsid w:val="00472DEF"/>
    <w:rsid w:val="00472F6E"/>
    <w:rsid w:val="00473533"/>
    <w:rsid w:val="004735BC"/>
    <w:rsid w:val="004737FC"/>
    <w:rsid w:val="00473835"/>
    <w:rsid w:val="00473922"/>
    <w:rsid w:val="00473E8E"/>
    <w:rsid w:val="00473F5A"/>
    <w:rsid w:val="00474434"/>
    <w:rsid w:val="004744D1"/>
    <w:rsid w:val="0047465B"/>
    <w:rsid w:val="0047497B"/>
    <w:rsid w:val="00474A61"/>
    <w:rsid w:val="00474EA6"/>
    <w:rsid w:val="00474F5B"/>
    <w:rsid w:val="00475129"/>
    <w:rsid w:val="00475473"/>
    <w:rsid w:val="00475754"/>
    <w:rsid w:val="00475871"/>
    <w:rsid w:val="00475A60"/>
    <w:rsid w:val="00475E0C"/>
    <w:rsid w:val="00475FC3"/>
    <w:rsid w:val="004761F5"/>
    <w:rsid w:val="004767E9"/>
    <w:rsid w:val="00476BA6"/>
    <w:rsid w:val="00476F7D"/>
    <w:rsid w:val="00477398"/>
    <w:rsid w:val="0047749F"/>
    <w:rsid w:val="004776A5"/>
    <w:rsid w:val="004778D1"/>
    <w:rsid w:val="00477C77"/>
    <w:rsid w:val="00477CDD"/>
    <w:rsid w:val="00477E82"/>
    <w:rsid w:val="00477FC2"/>
    <w:rsid w:val="00480035"/>
    <w:rsid w:val="004801E8"/>
    <w:rsid w:val="0048027F"/>
    <w:rsid w:val="00480328"/>
    <w:rsid w:val="00480425"/>
    <w:rsid w:val="00480453"/>
    <w:rsid w:val="0048050C"/>
    <w:rsid w:val="004805F7"/>
    <w:rsid w:val="00480673"/>
    <w:rsid w:val="0048073E"/>
    <w:rsid w:val="00480818"/>
    <w:rsid w:val="00480E1D"/>
    <w:rsid w:val="00480E33"/>
    <w:rsid w:val="004810AE"/>
    <w:rsid w:val="004811DA"/>
    <w:rsid w:val="00481277"/>
    <w:rsid w:val="00481305"/>
    <w:rsid w:val="0048134D"/>
    <w:rsid w:val="004813B8"/>
    <w:rsid w:val="00481434"/>
    <w:rsid w:val="00481A29"/>
    <w:rsid w:val="00482201"/>
    <w:rsid w:val="0048224A"/>
    <w:rsid w:val="00482853"/>
    <w:rsid w:val="00482CAA"/>
    <w:rsid w:val="00482CBF"/>
    <w:rsid w:val="00482CFD"/>
    <w:rsid w:val="00482D3F"/>
    <w:rsid w:val="00482E36"/>
    <w:rsid w:val="00482F09"/>
    <w:rsid w:val="0048307A"/>
    <w:rsid w:val="00483202"/>
    <w:rsid w:val="004834FC"/>
    <w:rsid w:val="004839AD"/>
    <w:rsid w:val="004839CA"/>
    <w:rsid w:val="00483BD3"/>
    <w:rsid w:val="00483D78"/>
    <w:rsid w:val="00483FEF"/>
    <w:rsid w:val="0048400E"/>
    <w:rsid w:val="00484725"/>
    <w:rsid w:val="00484F23"/>
    <w:rsid w:val="00485051"/>
    <w:rsid w:val="004850F3"/>
    <w:rsid w:val="00485118"/>
    <w:rsid w:val="00485378"/>
    <w:rsid w:val="00485628"/>
    <w:rsid w:val="0048564C"/>
    <w:rsid w:val="004857A9"/>
    <w:rsid w:val="00485B74"/>
    <w:rsid w:val="00485C20"/>
    <w:rsid w:val="00485F3B"/>
    <w:rsid w:val="00486084"/>
    <w:rsid w:val="004861D5"/>
    <w:rsid w:val="00486264"/>
    <w:rsid w:val="00486952"/>
    <w:rsid w:val="004869EF"/>
    <w:rsid w:val="00486A5C"/>
    <w:rsid w:val="00486EBB"/>
    <w:rsid w:val="00486EC6"/>
    <w:rsid w:val="00486F94"/>
    <w:rsid w:val="0048710A"/>
    <w:rsid w:val="0048712E"/>
    <w:rsid w:val="00487171"/>
    <w:rsid w:val="004872D0"/>
    <w:rsid w:val="0048739F"/>
    <w:rsid w:val="00487418"/>
    <w:rsid w:val="0048747A"/>
    <w:rsid w:val="00487721"/>
    <w:rsid w:val="00487869"/>
    <w:rsid w:val="00487A04"/>
    <w:rsid w:val="00487ACD"/>
    <w:rsid w:val="00487B8F"/>
    <w:rsid w:val="00487BF2"/>
    <w:rsid w:val="00487CFD"/>
    <w:rsid w:val="00487EF1"/>
    <w:rsid w:val="00487F73"/>
    <w:rsid w:val="0049056F"/>
    <w:rsid w:val="00490832"/>
    <w:rsid w:val="004908C5"/>
    <w:rsid w:val="0049095A"/>
    <w:rsid w:val="00490F34"/>
    <w:rsid w:val="00490FC0"/>
    <w:rsid w:val="00491019"/>
    <w:rsid w:val="004910DE"/>
    <w:rsid w:val="004912E6"/>
    <w:rsid w:val="0049133C"/>
    <w:rsid w:val="004915D1"/>
    <w:rsid w:val="0049175E"/>
    <w:rsid w:val="00491BF8"/>
    <w:rsid w:val="00491C87"/>
    <w:rsid w:val="00491E24"/>
    <w:rsid w:val="00491E3E"/>
    <w:rsid w:val="00491FF6"/>
    <w:rsid w:val="0049209A"/>
    <w:rsid w:val="004920AF"/>
    <w:rsid w:val="00492494"/>
    <w:rsid w:val="00492629"/>
    <w:rsid w:val="00492B54"/>
    <w:rsid w:val="004932E3"/>
    <w:rsid w:val="0049345B"/>
    <w:rsid w:val="00493553"/>
    <w:rsid w:val="00493E21"/>
    <w:rsid w:val="004940BC"/>
    <w:rsid w:val="004942C3"/>
    <w:rsid w:val="00494348"/>
    <w:rsid w:val="004944E3"/>
    <w:rsid w:val="00494722"/>
    <w:rsid w:val="004949C5"/>
    <w:rsid w:val="00494A0B"/>
    <w:rsid w:val="00494C22"/>
    <w:rsid w:val="00494D42"/>
    <w:rsid w:val="00494E91"/>
    <w:rsid w:val="0049515D"/>
    <w:rsid w:val="0049568D"/>
    <w:rsid w:val="004957AA"/>
    <w:rsid w:val="00495854"/>
    <w:rsid w:val="00495895"/>
    <w:rsid w:val="00495A3D"/>
    <w:rsid w:val="00495CB3"/>
    <w:rsid w:val="00496188"/>
    <w:rsid w:val="0049637F"/>
    <w:rsid w:val="004963EB"/>
    <w:rsid w:val="0049654C"/>
    <w:rsid w:val="00496849"/>
    <w:rsid w:val="004969CB"/>
    <w:rsid w:val="004969FA"/>
    <w:rsid w:val="00496E24"/>
    <w:rsid w:val="004974B1"/>
    <w:rsid w:val="004974DF"/>
    <w:rsid w:val="00497996"/>
    <w:rsid w:val="00497A07"/>
    <w:rsid w:val="00497AAA"/>
    <w:rsid w:val="00497BEF"/>
    <w:rsid w:val="00497EF2"/>
    <w:rsid w:val="00497F96"/>
    <w:rsid w:val="004A039A"/>
    <w:rsid w:val="004A0472"/>
    <w:rsid w:val="004A0982"/>
    <w:rsid w:val="004A0A00"/>
    <w:rsid w:val="004A134D"/>
    <w:rsid w:val="004A17FC"/>
    <w:rsid w:val="004A190B"/>
    <w:rsid w:val="004A1A93"/>
    <w:rsid w:val="004A1E54"/>
    <w:rsid w:val="004A1F27"/>
    <w:rsid w:val="004A22AD"/>
    <w:rsid w:val="004A2365"/>
    <w:rsid w:val="004A2764"/>
    <w:rsid w:val="004A27FA"/>
    <w:rsid w:val="004A2859"/>
    <w:rsid w:val="004A28A7"/>
    <w:rsid w:val="004A2A31"/>
    <w:rsid w:val="004A2C48"/>
    <w:rsid w:val="004A2CB3"/>
    <w:rsid w:val="004A3010"/>
    <w:rsid w:val="004A302B"/>
    <w:rsid w:val="004A355A"/>
    <w:rsid w:val="004A362E"/>
    <w:rsid w:val="004A371E"/>
    <w:rsid w:val="004A37E0"/>
    <w:rsid w:val="004A3A8B"/>
    <w:rsid w:val="004A417C"/>
    <w:rsid w:val="004A4214"/>
    <w:rsid w:val="004A42B8"/>
    <w:rsid w:val="004A42F1"/>
    <w:rsid w:val="004A43CE"/>
    <w:rsid w:val="004A4607"/>
    <w:rsid w:val="004A46F6"/>
    <w:rsid w:val="004A4B75"/>
    <w:rsid w:val="004A4E3F"/>
    <w:rsid w:val="004A4FBE"/>
    <w:rsid w:val="004A506A"/>
    <w:rsid w:val="004A510C"/>
    <w:rsid w:val="004A555C"/>
    <w:rsid w:val="004A5642"/>
    <w:rsid w:val="004A5764"/>
    <w:rsid w:val="004A57BB"/>
    <w:rsid w:val="004A58B1"/>
    <w:rsid w:val="004A5AAC"/>
    <w:rsid w:val="004A5DD1"/>
    <w:rsid w:val="004A5F38"/>
    <w:rsid w:val="004A5F96"/>
    <w:rsid w:val="004A5FA6"/>
    <w:rsid w:val="004A65AC"/>
    <w:rsid w:val="004A65E3"/>
    <w:rsid w:val="004A6A8F"/>
    <w:rsid w:val="004A6A9F"/>
    <w:rsid w:val="004A6BC0"/>
    <w:rsid w:val="004A7071"/>
    <w:rsid w:val="004A7378"/>
    <w:rsid w:val="004A73C6"/>
    <w:rsid w:val="004A750B"/>
    <w:rsid w:val="004A75EC"/>
    <w:rsid w:val="004A76D5"/>
    <w:rsid w:val="004A78E1"/>
    <w:rsid w:val="004A7A3A"/>
    <w:rsid w:val="004A7AFA"/>
    <w:rsid w:val="004A7BB4"/>
    <w:rsid w:val="004A7BBF"/>
    <w:rsid w:val="004A7EFB"/>
    <w:rsid w:val="004B0240"/>
    <w:rsid w:val="004B027D"/>
    <w:rsid w:val="004B0346"/>
    <w:rsid w:val="004B055A"/>
    <w:rsid w:val="004B0900"/>
    <w:rsid w:val="004B0954"/>
    <w:rsid w:val="004B0B50"/>
    <w:rsid w:val="004B0EFC"/>
    <w:rsid w:val="004B0F4A"/>
    <w:rsid w:val="004B0FCA"/>
    <w:rsid w:val="004B108C"/>
    <w:rsid w:val="004B11E9"/>
    <w:rsid w:val="004B154E"/>
    <w:rsid w:val="004B16F5"/>
    <w:rsid w:val="004B17A4"/>
    <w:rsid w:val="004B1CE8"/>
    <w:rsid w:val="004B1D41"/>
    <w:rsid w:val="004B1D67"/>
    <w:rsid w:val="004B1F11"/>
    <w:rsid w:val="004B200E"/>
    <w:rsid w:val="004B25AE"/>
    <w:rsid w:val="004B27A9"/>
    <w:rsid w:val="004B27B5"/>
    <w:rsid w:val="004B2819"/>
    <w:rsid w:val="004B281A"/>
    <w:rsid w:val="004B28F3"/>
    <w:rsid w:val="004B2B6C"/>
    <w:rsid w:val="004B2FAD"/>
    <w:rsid w:val="004B30DE"/>
    <w:rsid w:val="004B31A0"/>
    <w:rsid w:val="004B31CF"/>
    <w:rsid w:val="004B31EC"/>
    <w:rsid w:val="004B346B"/>
    <w:rsid w:val="004B38C1"/>
    <w:rsid w:val="004B3A33"/>
    <w:rsid w:val="004B3B77"/>
    <w:rsid w:val="004B3BC1"/>
    <w:rsid w:val="004B3C4B"/>
    <w:rsid w:val="004B3CBB"/>
    <w:rsid w:val="004B3D0F"/>
    <w:rsid w:val="004B3D29"/>
    <w:rsid w:val="004B3D93"/>
    <w:rsid w:val="004B3E88"/>
    <w:rsid w:val="004B3FAB"/>
    <w:rsid w:val="004B403C"/>
    <w:rsid w:val="004B4358"/>
    <w:rsid w:val="004B4390"/>
    <w:rsid w:val="004B4562"/>
    <w:rsid w:val="004B4683"/>
    <w:rsid w:val="004B47CA"/>
    <w:rsid w:val="004B47D1"/>
    <w:rsid w:val="004B4952"/>
    <w:rsid w:val="004B4CBC"/>
    <w:rsid w:val="004B4E27"/>
    <w:rsid w:val="004B554F"/>
    <w:rsid w:val="004B5763"/>
    <w:rsid w:val="004B59BB"/>
    <w:rsid w:val="004B6480"/>
    <w:rsid w:val="004B65C2"/>
    <w:rsid w:val="004B6630"/>
    <w:rsid w:val="004B6690"/>
    <w:rsid w:val="004B671C"/>
    <w:rsid w:val="004B6A40"/>
    <w:rsid w:val="004B6ACE"/>
    <w:rsid w:val="004B6B3C"/>
    <w:rsid w:val="004B6CA8"/>
    <w:rsid w:val="004B7AA9"/>
    <w:rsid w:val="004B7AE9"/>
    <w:rsid w:val="004B7B2D"/>
    <w:rsid w:val="004B7F36"/>
    <w:rsid w:val="004C001A"/>
    <w:rsid w:val="004C00A5"/>
    <w:rsid w:val="004C00ED"/>
    <w:rsid w:val="004C02C8"/>
    <w:rsid w:val="004C044C"/>
    <w:rsid w:val="004C06E1"/>
    <w:rsid w:val="004C093D"/>
    <w:rsid w:val="004C0950"/>
    <w:rsid w:val="004C0A13"/>
    <w:rsid w:val="004C0C59"/>
    <w:rsid w:val="004C0C74"/>
    <w:rsid w:val="004C0E82"/>
    <w:rsid w:val="004C0F48"/>
    <w:rsid w:val="004C11B1"/>
    <w:rsid w:val="004C13BB"/>
    <w:rsid w:val="004C1814"/>
    <w:rsid w:val="004C19B7"/>
    <w:rsid w:val="004C19C7"/>
    <w:rsid w:val="004C1D9D"/>
    <w:rsid w:val="004C1F6C"/>
    <w:rsid w:val="004C1FA3"/>
    <w:rsid w:val="004C1FCF"/>
    <w:rsid w:val="004C227F"/>
    <w:rsid w:val="004C244C"/>
    <w:rsid w:val="004C249E"/>
    <w:rsid w:val="004C25F8"/>
    <w:rsid w:val="004C264A"/>
    <w:rsid w:val="004C2A99"/>
    <w:rsid w:val="004C2C86"/>
    <w:rsid w:val="004C2C94"/>
    <w:rsid w:val="004C2F87"/>
    <w:rsid w:val="004C3028"/>
    <w:rsid w:val="004C311D"/>
    <w:rsid w:val="004C3436"/>
    <w:rsid w:val="004C3481"/>
    <w:rsid w:val="004C35D1"/>
    <w:rsid w:val="004C35FF"/>
    <w:rsid w:val="004C3B5B"/>
    <w:rsid w:val="004C3C9F"/>
    <w:rsid w:val="004C3F2A"/>
    <w:rsid w:val="004C3FBE"/>
    <w:rsid w:val="004C40CA"/>
    <w:rsid w:val="004C456A"/>
    <w:rsid w:val="004C47ED"/>
    <w:rsid w:val="004C4A3A"/>
    <w:rsid w:val="004C4BA8"/>
    <w:rsid w:val="004C4D92"/>
    <w:rsid w:val="004C511D"/>
    <w:rsid w:val="004C51EA"/>
    <w:rsid w:val="004C523F"/>
    <w:rsid w:val="004C53EC"/>
    <w:rsid w:val="004C547B"/>
    <w:rsid w:val="004C54E1"/>
    <w:rsid w:val="004C54EA"/>
    <w:rsid w:val="004C55BB"/>
    <w:rsid w:val="004C58F7"/>
    <w:rsid w:val="004C5946"/>
    <w:rsid w:val="004C595F"/>
    <w:rsid w:val="004C59F7"/>
    <w:rsid w:val="004C5D37"/>
    <w:rsid w:val="004C5D6F"/>
    <w:rsid w:val="004C5DEB"/>
    <w:rsid w:val="004C63EB"/>
    <w:rsid w:val="004C64BB"/>
    <w:rsid w:val="004C6748"/>
    <w:rsid w:val="004C674D"/>
    <w:rsid w:val="004C6817"/>
    <w:rsid w:val="004C6972"/>
    <w:rsid w:val="004C7010"/>
    <w:rsid w:val="004C74DC"/>
    <w:rsid w:val="004C75D0"/>
    <w:rsid w:val="004C75F3"/>
    <w:rsid w:val="004C77F8"/>
    <w:rsid w:val="004C7958"/>
    <w:rsid w:val="004C7AFF"/>
    <w:rsid w:val="004C7B37"/>
    <w:rsid w:val="004D0197"/>
    <w:rsid w:val="004D01F6"/>
    <w:rsid w:val="004D04AD"/>
    <w:rsid w:val="004D04C5"/>
    <w:rsid w:val="004D0549"/>
    <w:rsid w:val="004D06BF"/>
    <w:rsid w:val="004D0724"/>
    <w:rsid w:val="004D0893"/>
    <w:rsid w:val="004D0B87"/>
    <w:rsid w:val="004D0CC9"/>
    <w:rsid w:val="004D0D5C"/>
    <w:rsid w:val="004D0ED3"/>
    <w:rsid w:val="004D0F72"/>
    <w:rsid w:val="004D0FE2"/>
    <w:rsid w:val="004D10CA"/>
    <w:rsid w:val="004D1443"/>
    <w:rsid w:val="004D14C2"/>
    <w:rsid w:val="004D1594"/>
    <w:rsid w:val="004D164E"/>
    <w:rsid w:val="004D174F"/>
    <w:rsid w:val="004D1831"/>
    <w:rsid w:val="004D1B0D"/>
    <w:rsid w:val="004D1DE6"/>
    <w:rsid w:val="004D20E1"/>
    <w:rsid w:val="004D20FC"/>
    <w:rsid w:val="004D2107"/>
    <w:rsid w:val="004D21E9"/>
    <w:rsid w:val="004D23F2"/>
    <w:rsid w:val="004D2573"/>
    <w:rsid w:val="004D25C8"/>
    <w:rsid w:val="004D27B6"/>
    <w:rsid w:val="004D2C07"/>
    <w:rsid w:val="004D2FBD"/>
    <w:rsid w:val="004D2FEA"/>
    <w:rsid w:val="004D33A0"/>
    <w:rsid w:val="004D395B"/>
    <w:rsid w:val="004D3A58"/>
    <w:rsid w:val="004D3A8C"/>
    <w:rsid w:val="004D3D10"/>
    <w:rsid w:val="004D3E51"/>
    <w:rsid w:val="004D4241"/>
    <w:rsid w:val="004D43D2"/>
    <w:rsid w:val="004D45E9"/>
    <w:rsid w:val="004D4B91"/>
    <w:rsid w:val="004D4C33"/>
    <w:rsid w:val="004D4C7D"/>
    <w:rsid w:val="004D4C95"/>
    <w:rsid w:val="004D4F66"/>
    <w:rsid w:val="004D4FCD"/>
    <w:rsid w:val="004D5018"/>
    <w:rsid w:val="004D5167"/>
    <w:rsid w:val="004D51D1"/>
    <w:rsid w:val="004D5944"/>
    <w:rsid w:val="004D5D15"/>
    <w:rsid w:val="004D5D7C"/>
    <w:rsid w:val="004D5D9E"/>
    <w:rsid w:val="004D5EB6"/>
    <w:rsid w:val="004D5ED6"/>
    <w:rsid w:val="004D5FCC"/>
    <w:rsid w:val="004D5FCD"/>
    <w:rsid w:val="004D60DB"/>
    <w:rsid w:val="004D61CB"/>
    <w:rsid w:val="004D65AC"/>
    <w:rsid w:val="004D6A64"/>
    <w:rsid w:val="004D6A8C"/>
    <w:rsid w:val="004D6C9A"/>
    <w:rsid w:val="004D6D7F"/>
    <w:rsid w:val="004D6DDE"/>
    <w:rsid w:val="004D6E99"/>
    <w:rsid w:val="004D711F"/>
    <w:rsid w:val="004D7209"/>
    <w:rsid w:val="004D74B3"/>
    <w:rsid w:val="004D770A"/>
    <w:rsid w:val="004D7744"/>
    <w:rsid w:val="004D7869"/>
    <w:rsid w:val="004D7874"/>
    <w:rsid w:val="004D7EC0"/>
    <w:rsid w:val="004D7F5F"/>
    <w:rsid w:val="004E071E"/>
    <w:rsid w:val="004E0752"/>
    <w:rsid w:val="004E0A45"/>
    <w:rsid w:val="004E0C31"/>
    <w:rsid w:val="004E0E94"/>
    <w:rsid w:val="004E12E7"/>
    <w:rsid w:val="004E1334"/>
    <w:rsid w:val="004E13EA"/>
    <w:rsid w:val="004E148B"/>
    <w:rsid w:val="004E18D7"/>
    <w:rsid w:val="004E1D7E"/>
    <w:rsid w:val="004E1F50"/>
    <w:rsid w:val="004E1FE6"/>
    <w:rsid w:val="004E20BE"/>
    <w:rsid w:val="004E20DF"/>
    <w:rsid w:val="004E2127"/>
    <w:rsid w:val="004E2165"/>
    <w:rsid w:val="004E239B"/>
    <w:rsid w:val="004E2523"/>
    <w:rsid w:val="004E2529"/>
    <w:rsid w:val="004E2751"/>
    <w:rsid w:val="004E2785"/>
    <w:rsid w:val="004E2A07"/>
    <w:rsid w:val="004E2AB4"/>
    <w:rsid w:val="004E2C9A"/>
    <w:rsid w:val="004E2DE4"/>
    <w:rsid w:val="004E2FCE"/>
    <w:rsid w:val="004E3B2C"/>
    <w:rsid w:val="004E3D08"/>
    <w:rsid w:val="004E3E42"/>
    <w:rsid w:val="004E43CE"/>
    <w:rsid w:val="004E449A"/>
    <w:rsid w:val="004E4630"/>
    <w:rsid w:val="004E4EDD"/>
    <w:rsid w:val="004E5255"/>
    <w:rsid w:val="004E5853"/>
    <w:rsid w:val="004E5B7C"/>
    <w:rsid w:val="004E60EE"/>
    <w:rsid w:val="004E630A"/>
    <w:rsid w:val="004E63B1"/>
    <w:rsid w:val="004E6524"/>
    <w:rsid w:val="004E6566"/>
    <w:rsid w:val="004E6643"/>
    <w:rsid w:val="004E6849"/>
    <w:rsid w:val="004E6A4E"/>
    <w:rsid w:val="004E6A70"/>
    <w:rsid w:val="004E6CB2"/>
    <w:rsid w:val="004E6E3F"/>
    <w:rsid w:val="004E6E74"/>
    <w:rsid w:val="004E70D6"/>
    <w:rsid w:val="004E727C"/>
    <w:rsid w:val="004E72B6"/>
    <w:rsid w:val="004E7343"/>
    <w:rsid w:val="004E755E"/>
    <w:rsid w:val="004E7B84"/>
    <w:rsid w:val="004E7EAA"/>
    <w:rsid w:val="004F007C"/>
    <w:rsid w:val="004F02DE"/>
    <w:rsid w:val="004F0339"/>
    <w:rsid w:val="004F04A1"/>
    <w:rsid w:val="004F07F6"/>
    <w:rsid w:val="004F09B2"/>
    <w:rsid w:val="004F0AFA"/>
    <w:rsid w:val="004F1057"/>
    <w:rsid w:val="004F1362"/>
    <w:rsid w:val="004F1378"/>
    <w:rsid w:val="004F138B"/>
    <w:rsid w:val="004F1392"/>
    <w:rsid w:val="004F1516"/>
    <w:rsid w:val="004F1527"/>
    <w:rsid w:val="004F16F2"/>
    <w:rsid w:val="004F1A0A"/>
    <w:rsid w:val="004F1B27"/>
    <w:rsid w:val="004F1E92"/>
    <w:rsid w:val="004F24B8"/>
    <w:rsid w:val="004F24C3"/>
    <w:rsid w:val="004F24F5"/>
    <w:rsid w:val="004F256D"/>
    <w:rsid w:val="004F259B"/>
    <w:rsid w:val="004F294D"/>
    <w:rsid w:val="004F2B12"/>
    <w:rsid w:val="004F33EF"/>
    <w:rsid w:val="004F3444"/>
    <w:rsid w:val="004F3599"/>
    <w:rsid w:val="004F35D9"/>
    <w:rsid w:val="004F39F4"/>
    <w:rsid w:val="004F3A44"/>
    <w:rsid w:val="004F3CEF"/>
    <w:rsid w:val="004F3E93"/>
    <w:rsid w:val="004F3F6B"/>
    <w:rsid w:val="004F4227"/>
    <w:rsid w:val="004F4281"/>
    <w:rsid w:val="004F457D"/>
    <w:rsid w:val="004F4616"/>
    <w:rsid w:val="004F4694"/>
    <w:rsid w:val="004F49C3"/>
    <w:rsid w:val="004F49DB"/>
    <w:rsid w:val="004F4C1F"/>
    <w:rsid w:val="004F4C4C"/>
    <w:rsid w:val="004F50C9"/>
    <w:rsid w:val="004F54C1"/>
    <w:rsid w:val="004F5507"/>
    <w:rsid w:val="004F5665"/>
    <w:rsid w:val="004F578F"/>
    <w:rsid w:val="004F57C9"/>
    <w:rsid w:val="004F5CF5"/>
    <w:rsid w:val="004F5E5B"/>
    <w:rsid w:val="004F5EBD"/>
    <w:rsid w:val="004F603E"/>
    <w:rsid w:val="004F60E6"/>
    <w:rsid w:val="004F616A"/>
    <w:rsid w:val="004F62AF"/>
    <w:rsid w:val="004F6901"/>
    <w:rsid w:val="004F692A"/>
    <w:rsid w:val="004F6AD9"/>
    <w:rsid w:val="004F6B71"/>
    <w:rsid w:val="004F6D5F"/>
    <w:rsid w:val="004F6D97"/>
    <w:rsid w:val="004F6E01"/>
    <w:rsid w:val="004F6ED1"/>
    <w:rsid w:val="004F734C"/>
    <w:rsid w:val="004F7364"/>
    <w:rsid w:val="004F7643"/>
    <w:rsid w:val="004F77C4"/>
    <w:rsid w:val="004F7AFC"/>
    <w:rsid w:val="004F7C45"/>
    <w:rsid w:val="004F7FDB"/>
    <w:rsid w:val="00500136"/>
    <w:rsid w:val="00500371"/>
    <w:rsid w:val="005004EB"/>
    <w:rsid w:val="005005A8"/>
    <w:rsid w:val="00500686"/>
    <w:rsid w:val="005007BF"/>
    <w:rsid w:val="005007FB"/>
    <w:rsid w:val="005008F6"/>
    <w:rsid w:val="0050097F"/>
    <w:rsid w:val="00500A67"/>
    <w:rsid w:val="00500AF3"/>
    <w:rsid w:val="00500D5B"/>
    <w:rsid w:val="00500DF9"/>
    <w:rsid w:val="00500FCC"/>
    <w:rsid w:val="005013C1"/>
    <w:rsid w:val="00501763"/>
    <w:rsid w:val="0050193D"/>
    <w:rsid w:val="00501BB6"/>
    <w:rsid w:val="005022EF"/>
    <w:rsid w:val="005026B3"/>
    <w:rsid w:val="005028C4"/>
    <w:rsid w:val="00502C95"/>
    <w:rsid w:val="00502F6F"/>
    <w:rsid w:val="005030E9"/>
    <w:rsid w:val="0050340D"/>
    <w:rsid w:val="005035B8"/>
    <w:rsid w:val="00503650"/>
    <w:rsid w:val="00503699"/>
    <w:rsid w:val="00503790"/>
    <w:rsid w:val="0050385C"/>
    <w:rsid w:val="00503AC7"/>
    <w:rsid w:val="00503CB0"/>
    <w:rsid w:val="00503D2B"/>
    <w:rsid w:val="00503D62"/>
    <w:rsid w:val="00504319"/>
    <w:rsid w:val="0050443B"/>
    <w:rsid w:val="00504779"/>
    <w:rsid w:val="00504A86"/>
    <w:rsid w:val="00504B44"/>
    <w:rsid w:val="00504B91"/>
    <w:rsid w:val="00504C93"/>
    <w:rsid w:val="00504C9D"/>
    <w:rsid w:val="00504D52"/>
    <w:rsid w:val="005050F7"/>
    <w:rsid w:val="005051C0"/>
    <w:rsid w:val="00505587"/>
    <w:rsid w:val="00505783"/>
    <w:rsid w:val="00505859"/>
    <w:rsid w:val="005059D2"/>
    <w:rsid w:val="00505ADC"/>
    <w:rsid w:val="00505BA6"/>
    <w:rsid w:val="00505C73"/>
    <w:rsid w:val="00505CCE"/>
    <w:rsid w:val="00505D35"/>
    <w:rsid w:val="0050647F"/>
    <w:rsid w:val="005064BD"/>
    <w:rsid w:val="00506B5B"/>
    <w:rsid w:val="00506C28"/>
    <w:rsid w:val="00506E1F"/>
    <w:rsid w:val="00506EAC"/>
    <w:rsid w:val="0050727A"/>
    <w:rsid w:val="00507534"/>
    <w:rsid w:val="005076FC"/>
    <w:rsid w:val="005077DE"/>
    <w:rsid w:val="005077FC"/>
    <w:rsid w:val="005079D9"/>
    <w:rsid w:val="00507D81"/>
    <w:rsid w:val="005100E4"/>
    <w:rsid w:val="00510146"/>
    <w:rsid w:val="0051021C"/>
    <w:rsid w:val="0051027D"/>
    <w:rsid w:val="005105B9"/>
    <w:rsid w:val="00510AB5"/>
    <w:rsid w:val="00510B61"/>
    <w:rsid w:val="00510CB1"/>
    <w:rsid w:val="00510E3B"/>
    <w:rsid w:val="00510ED0"/>
    <w:rsid w:val="00511283"/>
    <w:rsid w:val="0051167E"/>
    <w:rsid w:val="005116D4"/>
    <w:rsid w:val="005119FF"/>
    <w:rsid w:val="00511F56"/>
    <w:rsid w:val="0051215A"/>
    <w:rsid w:val="00512224"/>
    <w:rsid w:val="0051232D"/>
    <w:rsid w:val="005128BA"/>
    <w:rsid w:val="00512EDC"/>
    <w:rsid w:val="0051307C"/>
    <w:rsid w:val="005130C2"/>
    <w:rsid w:val="005134D8"/>
    <w:rsid w:val="00513671"/>
    <w:rsid w:val="005137A0"/>
    <w:rsid w:val="005137A5"/>
    <w:rsid w:val="005138E2"/>
    <w:rsid w:val="00513BA1"/>
    <w:rsid w:val="00513EA3"/>
    <w:rsid w:val="005140C4"/>
    <w:rsid w:val="00514134"/>
    <w:rsid w:val="0051414B"/>
    <w:rsid w:val="005141FA"/>
    <w:rsid w:val="005142DD"/>
    <w:rsid w:val="005142E9"/>
    <w:rsid w:val="005149BA"/>
    <w:rsid w:val="00514B5C"/>
    <w:rsid w:val="00514BC0"/>
    <w:rsid w:val="00514CB3"/>
    <w:rsid w:val="005150B1"/>
    <w:rsid w:val="00515160"/>
    <w:rsid w:val="005154BE"/>
    <w:rsid w:val="0051562B"/>
    <w:rsid w:val="0051563B"/>
    <w:rsid w:val="005157A2"/>
    <w:rsid w:val="00515817"/>
    <w:rsid w:val="00515824"/>
    <w:rsid w:val="00515CE3"/>
    <w:rsid w:val="00515DBE"/>
    <w:rsid w:val="00515DDF"/>
    <w:rsid w:val="00516095"/>
    <w:rsid w:val="0051612A"/>
    <w:rsid w:val="0051626D"/>
    <w:rsid w:val="005162F6"/>
    <w:rsid w:val="0051655D"/>
    <w:rsid w:val="00516567"/>
    <w:rsid w:val="00516644"/>
    <w:rsid w:val="005167EA"/>
    <w:rsid w:val="00516A7D"/>
    <w:rsid w:val="00516B35"/>
    <w:rsid w:val="00516BC2"/>
    <w:rsid w:val="00516DCF"/>
    <w:rsid w:val="00516EA0"/>
    <w:rsid w:val="0051713E"/>
    <w:rsid w:val="0051726E"/>
    <w:rsid w:val="00517806"/>
    <w:rsid w:val="005178E6"/>
    <w:rsid w:val="00517AAB"/>
    <w:rsid w:val="00517B9C"/>
    <w:rsid w:val="00517D31"/>
    <w:rsid w:val="00517DE8"/>
    <w:rsid w:val="00520074"/>
    <w:rsid w:val="005204E3"/>
    <w:rsid w:val="0052096A"/>
    <w:rsid w:val="00520D80"/>
    <w:rsid w:val="00520DD0"/>
    <w:rsid w:val="00520F21"/>
    <w:rsid w:val="005210F6"/>
    <w:rsid w:val="005213BD"/>
    <w:rsid w:val="00521583"/>
    <w:rsid w:val="005215C4"/>
    <w:rsid w:val="005216A6"/>
    <w:rsid w:val="00521987"/>
    <w:rsid w:val="005219FB"/>
    <w:rsid w:val="00521D21"/>
    <w:rsid w:val="00521D4D"/>
    <w:rsid w:val="00522092"/>
    <w:rsid w:val="005220E1"/>
    <w:rsid w:val="0052219C"/>
    <w:rsid w:val="00522227"/>
    <w:rsid w:val="00522275"/>
    <w:rsid w:val="00522297"/>
    <w:rsid w:val="0052236A"/>
    <w:rsid w:val="005223E4"/>
    <w:rsid w:val="00522B39"/>
    <w:rsid w:val="00522CAB"/>
    <w:rsid w:val="00522D30"/>
    <w:rsid w:val="00522D4B"/>
    <w:rsid w:val="00522F49"/>
    <w:rsid w:val="00523357"/>
    <w:rsid w:val="005235FA"/>
    <w:rsid w:val="00523C42"/>
    <w:rsid w:val="00523F6C"/>
    <w:rsid w:val="00524087"/>
    <w:rsid w:val="00524147"/>
    <w:rsid w:val="00524269"/>
    <w:rsid w:val="005242CE"/>
    <w:rsid w:val="005247E7"/>
    <w:rsid w:val="0052490C"/>
    <w:rsid w:val="00524970"/>
    <w:rsid w:val="00525272"/>
    <w:rsid w:val="005256A1"/>
    <w:rsid w:val="005256DB"/>
    <w:rsid w:val="00525797"/>
    <w:rsid w:val="00525B35"/>
    <w:rsid w:val="00525B6B"/>
    <w:rsid w:val="00525BE5"/>
    <w:rsid w:val="00525D57"/>
    <w:rsid w:val="00525D9C"/>
    <w:rsid w:val="00525E4D"/>
    <w:rsid w:val="00526161"/>
    <w:rsid w:val="00526698"/>
    <w:rsid w:val="005268CC"/>
    <w:rsid w:val="00526955"/>
    <w:rsid w:val="00526993"/>
    <w:rsid w:val="00526B74"/>
    <w:rsid w:val="00526F65"/>
    <w:rsid w:val="005270E9"/>
    <w:rsid w:val="00527573"/>
    <w:rsid w:val="005278E2"/>
    <w:rsid w:val="00527928"/>
    <w:rsid w:val="00527991"/>
    <w:rsid w:val="00527A96"/>
    <w:rsid w:val="00527AAB"/>
    <w:rsid w:val="00527B1D"/>
    <w:rsid w:val="00527E9E"/>
    <w:rsid w:val="00527F39"/>
    <w:rsid w:val="005300F8"/>
    <w:rsid w:val="0053035F"/>
    <w:rsid w:val="005304AB"/>
    <w:rsid w:val="005312BE"/>
    <w:rsid w:val="005313FD"/>
    <w:rsid w:val="0053165B"/>
    <w:rsid w:val="00531A10"/>
    <w:rsid w:val="00531AD9"/>
    <w:rsid w:val="00531C6F"/>
    <w:rsid w:val="00532001"/>
    <w:rsid w:val="0053209B"/>
    <w:rsid w:val="005322F7"/>
    <w:rsid w:val="005323D2"/>
    <w:rsid w:val="005323DC"/>
    <w:rsid w:val="005326B1"/>
    <w:rsid w:val="00532BD3"/>
    <w:rsid w:val="0053303B"/>
    <w:rsid w:val="005333D1"/>
    <w:rsid w:val="00533414"/>
    <w:rsid w:val="00533625"/>
    <w:rsid w:val="00533755"/>
    <w:rsid w:val="005338F1"/>
    <w:rsid w:val="00533A37"/>
    <w:rsid w:val="00533DCC"/>
    <w:rsid w:val="005340F8"/>
    <w:rsid w:val="005341A6"/>
    <w:rsid w:val="0053432B"/>
    <w:rsid w:val="00534428"/>
    <w:rsid w:val="005346DD"/>
    <w:rsid w:val="005346FC"/>
    <w:rsid w:val="00534821"/>
    <w:rsid w:val="00534918"/>
    <w:rsid w:val="00534993"/>
    <w:rsid w:val="00534AAA"/>
    <w:rsid w:val="00534B2E"/>
    <w:rsid w:val="00534BA5"/>
    <w:rsid w:val="00534BB5"/>
    <w:rsid w:val="00534D29"/>
    <w:rsid w:val="00534EC9"/>
    <w:rsid w:val="00534EF7"/>
    <w:rsid w:val="00534F47"/>
    <w:rsid w:val="00535349"/>
    <w:rsid w:val="0053595B"/>
    <w:rsid w:val="00535A76"/>
    <w:rsid w:val="00535B6F"/>
    <w:rsid w:val="00535FCF"/>
    <w:rsid w:val="00536092"/>
    <w:rsid w:val="0053615C"/>
    <w:rsid w:val="005362CD"/>
    <w:rsid w:val="005362D8"/>
    <w:rsid w:val="005363D5"/>
    <w:rsid w:val="0053656B"/>
    <w:rsid w:val="005365D5"/>
    <w:rsid w:val="005366AF"/>
    <w:rsid w:val="00536A66"/>
    <w:rsid w:val="00536C7E"/>
    <w:rsid w:val="00536E84"/>
    <w:rsid w:val="00536EA0"/>
    <w:rsid w:val="0053705C"/>
    <w:rsid w:val="005370B3"/>
    <w:rsid w:val="00537444"/>
    <w:rsid w:val="005375B8"/>
    <w:rsid w:val="005377CE"/>
    <w:rsid w:val="00537833"/>
    <w:rsid w:val="00537BBB"/>
    <w:rsid w:val="00537C71"/>
    <w:rsid w:val="00540265"/>
    <w:rsid w:val="005405C7"/>
    <w:rsid w:val="00540941"/>
    <w:rsid w:val="00540D77"/>
    <w:rsid w:val="005410FE"/>
    <w:rsid w:val="00541117"/>
    <w:rsid w:val="00541437"/>
    <w:rsid w:val="005416D5"/>
    <w:rsid w:val="00541794"/>
    <w:rsid w:val="00541BF6"/>
    <w:rsid w:val="00541D0E"/>
    <w:rsid w:val="00542147"/>
    <w:rsid w:val="005421BD"/>
    <w:rsid w:val="005422A8"/>
    <w:rsid w:val="005422B8"/>
    <w:rsid w:val="005424E1"/>
    <w:rsid w:val="0054251F"/>
    <w:rsid w:val="00542677"/>
    <w:rsid w:val="00542701"/>
    <w:rsid w:val="005429B9"/>
    <w:rsid w:val="00542A77"/>
    <w:rsid w:val="00542ACE"/>
    <w:rsid w:val="00542C57"/>
    <w:rsid w:val="005437C5"/>
    <w:rsid w:val="0054389A"/>
    <w:rsid w:val="00543AD3"/>
    <w:rsid w:val="00543F0B"/>
    <w:rsid w:val="00543F69"/>
    <w:rsid w:val="00543F78"/>
    <w:rsid w:val="00543FD0"/>
    <w:rsid w:val="00544181"/>
    <w:rsid w:val="0054426E"/>
    <w:rsid w:val="005442D5"/>
    <w:rsid w:val="005445AF"/>
    <w:rsid w:val="0054486B"/>
    <w:rsid w:val="00544A0F"/>
    <w:rsid w:val="00544C01"/>
    <w:rsid w:val="00545066"/>
    <w:rsid w:val="005450EB"/>
    <w:rsid w:val="00545387"/>
    <w:rsid w:val="005457C4"/>
    <w:rsid w:val="00546339"/>
    <w:rsid w:val="0054655C"/>
    <w:rsid w:val="00546622"/>
    <w:rsid w:val="00546636"/>
    <w:rsid w:val="005467A4"/>
    <w:rsid w:val="00546AD8"/>
    <w:rsid w:val="00546E80"/>
    <w:rsid w:val="0054737F"/>
    <w:rsid w:val="0054744B"/>
    <w:rsid w:val="00547485"/>
    <w:rsid w:val="005476C1"/>
    <w:rsid w:val="0054786D"/>
    <w:rsid w:val="00547985"/>
    <w:rsid w:val="00547B06"/>
    <w:rsid w:val="00547C3E"/>
    <w:rsid w:val="00547C41"/>
    <w:rsid w:val="00550097"/>
    <w:rsid w:val="005500E5"/>
    <w:rsid w:val="00550113"/>
    <w:rsid w:val="00550137"/>
    <w:rsid w:val="005504D9"/>
    <w:rsid w:val="0055074E"/>
    <w:rsid w:val="00550AD9"/>
    <w:rsid w:val="00550B72"/>
    <w:rsid w:val="00550C82"/>
    <w:rsid w:val="00550EF2"/>
    <w:rsid w:val="005510C5"/>
    <w:rsid w:val="005511C2"/>
    <w:rsid w:val="0055145F"/>
    <w:rsid w:val="005514FA"/>
    <w:rsid w:val="00551728"/>
    <w:rsid w:val="00551805"/>
    <w:rsid w:val="00551DBE"/>
    <w:rsid w:val="00551E9D"/>
    <w:rsid w:val="00551F22"/>
    <w:rsid w:val="00552084"/>
    <w:rsid w:val="005525BB"/>
    <w:rsid w:val="00552756"/>
    <w:rsid w:val="0055279B"/>
    <w:rsid w:val="0055296E"/>
    <w:rsid w:val="00552A50"/>
    <w:rsid w:val="00552D4B"/>
    <w:rsid w:val="00552D60"/>
    <w:rsid w:val="005535DD"/>
    <w:rsid w:val="00553915"/>
    <w:rsid w:val="00553E0E"/>
    <w:rsid w:val="00553FB1"/>
    <w:rsid w:val="00553FF9"/>
    <w:rsid w:val="0055403D"/>
    <w:rsid w:val="005540B9"/>
    <w:rsid w:val="00554401"/>
    <w:rsid w:val="005546BD"/>
    <w:rsid w:val="00554754"/>
    <w:rsid w:val="005548C1"/>
    <w:rsid w:val="00554958"/>
    <w:rsid w:val="00554AF2"/>
    <w:rsid w:val="00554BA0"/>
    <w:rsid w:val="00554BC1"/>
    <w:rsid w:val="00554CAD"/>
    <w:rsid w:val="00554F3D"/>
    <w:rsid w:val="00555564"/>
    <w:rsid w:val="00555797"/>
    <w:rsid w:val="0055579A"/>
    <w:rsid w:val="00555853"/>
    <w:rsid w:val="00555910"/>
    <w:rsid w:val="00555B86"/>
    <w:rsid w:val="00555C1F"/>
    <w:rsid w:val="00555CC1"/>
    <w:rsid w:val="00555CDC"/>
    <w:rsid w:val="00555F93"/>
    <w:rsid w:val="0055626E"/>
    <w:rsid w:val="0055635A"/>
    <w:rsid w:val="005564A9"/>
    <w:rsid w:val="005569B7"/>
    <w:rsid w:val="00556CC4"/>
    <w:rsid w:val="00556FB2"/>
    <w:rsid w:val="00557264"/>
    <w:rsid w:val="005573CE"/>
    <w:rsid w:val="005578CD"/>
    <w:rsid w:val="0055791A"/>
    <w:rsid w:val="00557C5C"/>
    <w:rsid w:val="00557DAA"/>
    <w:rsid w:val="00557E0F"/>
    <w:rsid w:val="00557F60"/>
    <w:rsid w:val="005601CA"/>
    <w:rsid w:val="00560596"/>
    <w:rsid w:val="00560597"/>
    <w:rsid w:val="0056073A"/>
    <w:rsid w:val="00560757"/>
    <w:rsid w:val="00560B54"/>
    <w:rsid w:val="00560BBB"/>
    <w:rsid w:val="00560C75"/>
    <w:rsid w:val="00560E50"/>
    <w:rsid w:val="00560ED1"/>
    <w:rsid w:val="00560FD7"/>
    <w:rsid w:val="00560FF3"/>
    <w:rsid w:val="00561028"/>
    <w:rsid w:val="0056104C"/>
    <w:rsid w:val="00561382"/>
    <w:rsid w:val="00561842"/>
    <w:rsid w:val="00561E0E"/>
    <w:rsid w:val="00561F54"/>
    <w:rsid w:val="00561F8C"/>
    <w:rsid w:val="00562308"/>
    <w:rsid w:val="0056259C"/>
    <w:rsid w:val="00562630"/>
    <w:rsid w:val="00562917"/>
    <w:rsid w:val="00562A3F"/>
    <w:rsid w:val="00562B4B"/>
    <w:rsid w:val="00562D18"/>
    <w:rsid w:val="00562E8F"/>
    <w:rsid w:val="00563135"/>
    <w:rsid w:val="0056322E"/>
    <w:rsid w:val="00563553"/>
    <w:rsid w:val="0056355D"/>
    <w:rsid w:val="0056367E"/>
    <w:rsid w:val="00563C7E"/>
    <w:rsid w:val="00563D03"/>
    <w:rsid w:val="00563E0E"/>
    <w:rsid w:val="00563F18"/>
    <w:rsid w:val="00563F8F"/>
    <w:rsid w:val="005640D6"/>
    <w:rsid w:val="005640FE"/>
    <w:rsid w:val="005642E6"/>
    <w:rsid w:val="005643AC"/>
    <w:rsid w:val="0056452A"/>
    <w:rsid w:val="00564670"/>
    <w:rsid w:val="00564688"/>
    <w:rsid w:val="005646C5"/>
    <w:rsid w:val="00564731"/>
    <w:rsid w:val="00564BC7"/>
    <w:rsid w:val="00564E61"/>
    <w:rsid w:val="005650CC"/>
    <w:rsid w:val="00565385"/>
    <w:rsid w:val="0056561B"/>
    <w:rsid w:val="005657D3"/>
    <w:rsid w:val="00566009"/>
    <w:rsid w:val="0056614A"/>
    <w:rsid w:val="00566236"/>
    <w:rsid w:val="00566295"/>
    <w:rsid w:val="005663E2"/>
    <w:rsid w:val="00566763"/>
    <w:rsid w:val="005667F5"/>
    <w:rsid w:val="005669A7"/>
    <w:rsid w:val="00566A1E"/>
    <w:rsid w:val="00566AF5"/>
    <w:rsid w:val="00566E7E"/>
    <w:rsid w:val="00566F52"/>
    <w:rsid w:val="00566F6F"/>
    <w:rsid w:val="005673D7"/>
    <w:rsid w:val="0056748C"/>
    <w:rsid w:val="005674B9"/>
    <w:rsid w:val="00567681"/>
    <w:rsid w:val="00567810"/>
    <w:rsid w:val="00567840"/>
    <w:rsid w:val="005679BD"/>
    <w:rsid w:val="00567CB0"/>
    <w:rsid w:val="00567EEE"/>
    <w:rsid w:val="00567F5D"/>
    <w:rsid w:val="00567FA3"/>
    <w:rsid w:val="00570036"/>
    <w:rsid w:val="005700B7"/>
    <w:rsid w:val="00570283"/>
    <w:rsid w:val="005705D1"/>
    <w:rsid w:val="00570850"/>
    <w:rsid w:val="005709D4"/>
    <w:rsid w:val="00570B5A"/>
    <w:rsid w:val="00570B83"/>
    <w:rsid w:val="00570C1B"/>
    <w:rsid w:val="00570FFE"/>
    <w:rsid w:val="005713EF"/>
    <w:rsid w:val="00571536"/>
    <w:rsid w:val="00571557"/>
    <w:rsid w:val="0057184B"/>
    <w:rsid w:val="00571D3A"/>
    <w:rsid w:val="00571F78"/>
    <w:rsid w:val="005720AA"/>
    <w:rsid w:val="00572791"/>
    <w:rsid w:val="005728EA"/>
    <w:rsid w:val="00572E94"/>
    <w:rsid w:val="00572FBD"/>
    <w:rsid w:val="005730A5"/>
    <w:rsid w:val="0057333F"/>
    <w:rsid w:val="0057340E"/>
    <w:rsid w:val="005736BF"/>
    <w:rsid w:val="00573B55"/>
    <w:rsid w:val="00573BFC"/>
    <w:rsid w:val="00573C78"/>
    <w:rsid w:val="0057401B"/>
    <w:rsid w:val="00574041"/>
    <w:rsid w:val="005740C9"/>
    <w:rsid w:val="00574237"/>
    <w:rsid w:val="0057435C"/>
    <w:rsid w:val="005744A6"/>
    <w:rsid w:val="00574695"/>
    <w:rsid w:val="005746BA"/>
    <w:rsid w:val="0057482A"/>
    <w:rsid w:val="00574912"/>
    <w:rsid w:val="00574A08"/>
    <w:rsid w:val="00574A71"/>
    <w:rsid w:val="00574B29"/>
    <w:rsid w:val="00574B2A"/>
    <w:rsid w:val="00574CD1"/>
    <w:rsid w:val="00575068"/>
    <w:rsid w:val="005756A9"/>
    <w:rsid w:val="00575781"/>
    <w:rsid w:val="005758DE"/>
    <w:rsid w:val="00575A51"/>
    <w:rsid w:val="00575AE7"/>
    <w:rsid w:val="00575AF4"/>
    <w:rsid w:val="00575F8D"/>
    <w:rsid w:val="005760BE"/>
    <w:rsid w:val="00576157"/>
    <w:rsid w:val="0057619E"/>
    <w:rsid w:val="005761CD"/>
    <w:rsid w:val="00576214"/>
    <w:rsid w:val="005762E6"/>
    <w:rsid w:val="005765D2"/>
    <w:rsid w:val="005768F0"/>
    <w:rsid w:val="00576949"/>
    <w:rsid w:val="00576AD5"/>
    <w:rsid w:val="00576B20"/>
    <w:rsid w:val="00576C78"/>
    <w:rsid w:val="00577046"/>
    <w:rsid w:val="00577047"/>
    <w:rsid w:val="0057714D"/>
    <w:rsid w:val="00577408"/>
    <w:rsid w:val="00577766"/>
    <w:rsid w:val="0057787E"/>
    <w:rsid w:val="005778E9"/>
    <w:rsid w:val="00577BA8"/>
    <w:rsid w:val="00577EE5"/>
    <w:rsid w:val="00577EE6"/>
    <w:rsid w:val="00577F08"/>
    <w:rsid w:val="0058006A"/>
    <w:rsid w:val="005800C8"/>
    <w:rsid w:val="00580258"/>
    <w:rsid w:val="00580429"/>
    <w:rsid w:val="0058045F"/>
    <w:rsid w:val="005807ED"/>
    <w:rsid w:val="00580B23"/>
    <w:rsid w:val="00580C42"/>
    <w:rsid w:val="00580FA1"/>
    <w:rsid w:val="00581153"/>
    <w:rsid w:val="005814B0"/>
    <w:rsid w:val="00581641"/>
    <w:rsid w:val="005818C6"/>
    <w:rsid w:val="00581998"/>
    <w:rsid w:val="005819F6"/>
    <w:rsid w:val="00581FA3"/>
    <w:rsid w:val="005820FE"/>
    <w:rsid w:val="005821F2"/>
    <w:rsid w:val="0058289D"/>
    <w:rsid w:val="00582A28"/>
    <w:rsid w:val="00582AB3"/>
    <w:rsid w:val="00582B30"/>
    <w:rsid w:val="00582BB2"/>
    <w:rsid w:val="00582DC0"/>
    <w:rsid w:val="005830EF"/>
    <w:rsid w:val="00583697"/>
    <w:rsid w:val="005836C7"/>
    <w:rsid w:val="005837D0"/>
    <w:rsid w:val="00583A0B"/>
    <w:rsid w:val="00583D95"/>
    <w:rsid w:val="005840AD"/>
    <w:rsid w:val="005840C6"/>
    <w:rsid w:val="00584346"/>
    <w:rsid w:val="0058445F"/>
    <w:rsid w:val="0058470D"/>
    <w:rsid w:val="00584784"/>
    <w:rsid w:val="005849FB"/>
    <w:rsid w:val="00584DB0"/>
    <w:rsid w:val="005852C2"/>
    <w:rsid w:val="005857B6"/>
    <w:rsid w:val="00585BD1"/>
    <w:rsid w:val="00585D7C"/>
    <w:rsid w:val="00585D89"/>
    <w:rsid w:val="00585DD5"/>
    <w:rsid w:val="00585F1E"/>
    <w:rsid w:val="00586219"/>
    <w:rsid w:val="00586E85"/>
    <w:rsid w:val="0058700C"/>
    <w:rsid w:val="005872C0"/>
    <w:rsid w:val="0058761A"/>
    <w:rsid w:val="0058765C"/>
    <w:rsid w:val="00587BD1"/>
    <w:rsid w:val="0059000E"/>
    <w:rsid w:val="005900C1"/>
    <w:rsid w:val="005902EF"/>
    <w:rsid w:val="005903FE"/>
    <w:rsid w:val="0059053D"/>
    <w:rsid w:val="00590640"/>
    <w:rsid w:val="00590A76"/>
    <w:rsid w:val="00590CF0"/>
    <w:rsid w:val="00590E80"/>
    <w:rsid w:val="00590EC2"/>
    <w:rsid w:val="00591217"/>
    <w:rsid w:val="00591683"/>
    <w:rsid w:val="00591D0E"/>
    <w:rsid w:val="00592407"/>
    <w:rsid w:val="005926A7"/>
    <w:rsid w:val="005926DF"/>
    <w:rsid w:val="00592A67"/>
    <w:rsid w:val="00592E7F"/>
    <w:rsid w:val="00593003"/>
    <w:rsid w:val="0059303A"/>
    <w:rsid w:val="005932F9"/>
    <w:rsid w:val="0059349C"/>
    <w:rsid w:val="00593668"/>
    <w:rsid w:val="00593691"/>
    <w:rsid w:val="005936D7"/>
    <w:rsid w:val="005938E2"/>
    <w:rsid w:val="005940D6"/>
    <w:rsid w:val="00594424"/>
    <w:rsid w:val="00594462"/>
    <w:rsid w:val="00594821"/>
    <w:rsid w:val="00594C26"/>
    <w:rsid w:val="00594DF3"/>
    <w:rsid w:val="00594F71"/>
    <w:rsid w:val="0059519E"/>
    <w:rsid w:val="00595321"/>
    <w:rsid w:val="005954D2"/>
    <w:rsid w:val="005954EC"/>
    <w:rsid w:val="00595601"/>
    <w:rsid w:val="00595741"/>
    <w:rsid w:val="00595CEC"/>
    <w:rsid w:val="00595D80"/>
    <w:rsid w:val="00595FAF"/>
    <w:rsid w:val="00596167"/>
    <w:rsid w:val="005961C2"/>
    <w:rsid w:val="00596494"/>
    <w:rsid w:val="005967BF"/>
    <w:rsid w:val="005968CF"/>
    <w:rsid w:val="00596A36"/>
    <w:rsid w:val="00596BE9"/>
    <w:rsid w:val="00596C5D"/>
    <w:rsid w:val="00596E98"/>
    <w:rsid w:val="00596F57"/>
    <w:rsid w:val="005979DE"/>
    <w:rsid w:val="005979F2"/>
    <w:rsid w:val="00597AF5"/>
    <w:rsid w:val="00597B88"/>
    <w:rsid w:val="005A0079"/>
    <w:rsid w:val="005A01F5"/>
    <w:rsid w:val="005A0251"/>
    <w:rsid w:val="005A055E"/>
    <w:rsid w:val="005A0754"/>
    <w:rsid w:val="005A07DF"/>
    <w:rsid w:val="005A0812"/>
    <w:rsid w:val="005A088C"/>
    <w:rsid w:val="005A0BD5"/>
    <w:rsid w:val="005A0F0B"/>
    <w:rsid w:val="005A1038"/>
    <w:rsid w:val="005A1171"/>
    <w:rsid w:val="005A13A4"/>
    <w:rsid w:val="005A14E5"/>
    <w:rsid w:val="005A1629"/>
    <w:rsid w:val="005A1AA9"/>
    <w:rsid w:val="005A1E75"/>
    <w:rsid w:val="005A205B"/>
    <w:rsid w:val="005A2329"/>
    <w:rsid w:val="005A2603"/>
    <w:rsid w:val="005A2857"/>
    <w:rsid w:val="005A2978"/>
    <w:rsid w:val="005A2B59"/>
    <w:rsid w:val="005A2B6F"/>
    <w:rsid w:val="005A2C7C"/>
    <w:rsid w:val="005A2EC0"/>
    <w:rsid w:val="005A2F47"/>
    <w:rsid w:val="005A3045"/>
    <w:rsid w:val="005A30DF"/>
    <w:rsid w:val="005A32CF"/>
    <w:rsid w:val="005A3414"/>
    <w:rsid w:val="005A3477"/>
    <w:rsid w:val="005A355F"/>
    <w:rsid w:val="005A386E"/>
    <w:rsid w:val="005A3C63"/>
    <w:rsid w:val="005A3F7F"/>
    <w:rsid w:val="005A414F"/>
    <w:rsid w:val="005A46CC"/>
    <w:rsid w:val="005A477C"/>
    <w:rsid w:val="005A4840"/>
    <w:rsid w:val="005A4955"/>
    <w:rsid w:val="005A49DB"/>
    <w:rsid w:val="005A4C67"/>
    <w:rsid w:val="005A4C71"/>
    <w:rsid w:val="005A4CB8"/>
    <w:rsid w:val="005A51BD"/>
    <w:rsid w:val="005A51D9"/>
    <w:rsid w:val="005A522B"/>
    <w:rsid w:val="005A5456"/>
    <w:rsid w:val="005A5775"/>
    <w:rsid w:val="005A59D8"/>
    <w:rsid w:val="005A5CCB"/>
    <w:rsid w:val="005A5D22"/>
    <w:rsid w:val="005A5E94"/>
    <w:rsid w:val="005A5F48"/>
    <w:rsid w:val="005A6340"/>
    <w:rsid w:val="005A636D"/>
    <w:rsid w:val="005A63A7"/>
    <w:rsid w:val="005A641F"/>
    <w:rsid w:val="005A6682"/>
    <w:rsid w:val="005A6729"/>
    <w:rsid w:val="005A67D1"/>
    <w:rsid w:val="005A6913"/>
    <w:rsid w:val="005A6BC1"/>
    <w:rsid w:val="005A6BFD"/>
    <w:rsid w:val="005A6E3E"/>
    <w:rsid w:val="005A75C3"/>
    <w:rsid w:val="005A7FB4"/>
    <w:rsid w:val="005B04AE"/>
    <w:rsid w:val="005B0505"/>
    <w:rsid w:val="005B058A"/>
    <w:rsid w:val="005B0616"/>
    <w:rsid w:val="005B070B"/>
    <w:rsid w:val="005B0828"/>
    <w:rsid w:val="005B089A"/>
    <w:rsid w:val="005B0E40"/>
    <w:rsid w:val="005B0E45"/>
    <w:rsid w:val="005B141D"/>
    <w:rsid w:val="005B16DD"/>
    <w:rsid w:val="005B174C"/>
    <w:rsid w:val="005B1863"/>
    <w:rsid w:val="005B1E27"/>
    <w:rsid w:val="005B1EBF"/>
    <w:rsid w:val="005B1F78"/>
    <w:rsid w:val="005B205C"/>
    <w:rsid w:val="005B2258"/>
    <w:rsid w:val="005B242D"/>
    <w:rsid w:val="005B24A1"/>
    <w:rsid w:val="005B25F4"/>
    <w:rsid w:val="005B26B3"/>
    <w:rsid w:val="005B26BD"/>
    <w:rsid w:val="005B2935"/>
    <w:rsid w:val="005B294A"/>
    <w:rsid w:val="005B2AAE"/>
    <w:rsid w:val="005B2BFE"/>
    <w:rsid w:val="005B2E8D"/>
    <w:rsid w:val="005B2FF5"/>
    <w:rsid w:val="005B3134"/>
    <w:rsid w:val="005B31C1"/>
    <w:rsid w:val="005B35F6"/>
    <w:rsid w:val="005B362B"/>
    <w:rsid w:val="005B38AA"/>
    <w:rsid w:val="005B3927"/>
    <w:rsid w:val="005B3AC7"/>
    <w:rsid w:val="005B3D9D"/>
    <w:rsid w:val="005B4318"/>
    <w:rsid w:val="005B4571"/>
    <w:rsid w:val="005B45D6"/>
    <w:rsid w:val="005B4914"/>
    <w:rsid w:val="005B4C11"/>
    <w:rsid w:val="005B4C31"/>
    <w:rsid w:val="005B4D00"/>
    <w:rsid w:val="005B4EBA"/>
    <w:rsid w:val="005B54C3"/>
    <w:rsid w:val="005B5578"/>
    <w:rsid w:val="005B5852"/>
    <w:rsid w:val="005B58E8"/>
    <w:rsid w:val="005B5D9E"/>
    <w:rsid w:val="005B5DBA"/>
    <w:rsid w:val="005B60A7"/>
    <w:rsid w:val="005B6141"/>
    <w:rsid w:val="005B62BE"/>
    <w:rsid w:val="005B651D"/>
    <w:rsid w:val="005B69CD"/>
    <w:rsid w:val="005B6A2D"/>
    <w:rsid w:val="005B6CB5"/>
    <w:rsid w:val="005B6D12"/>
    <w:rsid w:val="005B6E48"/>
    <w:rsid w:val="005B723D"/>
    <w:rsid w:val="005B723F"/>
    <w:rsid w:val="005B7535"/>
    <w:rsid w:val="005B7654"/>
    <w:rsid w:val="005B7686"/>
    <w:rsid w:val="005B7AD5"/>
    <w:rsid w:val="005B7AFD"/>
    <w:rsid w:val="005B7D1C"/>
    <w:rsid w:val="005B7E2B"/>
    <w:rsid w:val="005B7E90"/>
    <w:rsid w:val="005B7EC7"/>
    <w:rsid w:val="005C0115"/>
    <w:rsid w:val="005C0225"/>
    <w:rsid w:val="005C060B"/>
    <w:rsid w:val="005C0961"/>
    <w:rsid w:val="005C0E8E"/>
    <w:rsid w:val="005C10E0"/>
    <w:rsid w:val="005C16D6"/>
    <w:rsid w:val="005C1BF1"/>
    <w:rsid w:val="005C1C3F"/>
    <w:rsid w:val="005C2103"/>
    <w:rsid w:val="005C2313"/>
    <w:rsid w:val="005C2613"/>
    <w:rsid w:val="005C2889"/>
    <w:rsid w:val="005C28B9"/>
    <w:rsid w:val="005C2BA7"/>
    <w:rsid w:val="005C2DC0"/>
    <w:rsid w:val="005C2FB2"/>
    <w:rsid w:val="005C3026"/>
    <w:rsid w:val="005C3054"/>
    <w:rsid w:val="005C335E"/>
    <w:rsid w:val="005C355C"/>
    <w:rsid w:val="005C358D"/>
    <w:rsid w:val="005C35CA"/>
    <w:rsid w:val="005C3791"/>
    <w:rsid w:val="005C3999"/>
    <w:rsid w:val="005C3A0B"/>
    <w:rsid w:val="005C3BF7"/>
    <w:rsid w:val="005C3DF5"/>
    <w:rsid w:val="005C405D"/>
    <w:rsid w:val="005C41A9"/>
    <w:rsid w:val="005C41FF"/>
    <w:rsid w:val="005C439D"/>
    <w:rsid w:val="005C4407"/>
    <w:rsid w:val="005C456A"/>
    <w:rsid w:val="005C45DA"/>
    <w:rsid w:val="005C4613"/>
    <w:rsid w:val="005C4618"/>
    <w:rsid w:val="005C46FC"/>
    <w:rsid w:val="005C47AE"/>
    <w:rsid w:val="005C4A27"/>
    <w:rsid w:val="005C4DD3"/>
    <w:rsid w:val="005C4F1F"/>
    <w:rsid w:val="005C5319"/>
    <w:rsid w:val="005C5352"/>
    <w:rsid w:val="005C540B"/>
    <w:rsid w:val="005C5419"/>
    <w:rsid w:val="005C5665"/>
    <w:rsid w:val="005C5D6E"/>
    <w:rsid w:val="005C5DEF"/>
    <w:rsid w:val="005C5DF8"/>
    <w:rsid w:val="005C5FAA"/>
    <w:rsid w:val="005C5FAB"/>
    <w:rsid w:val="005C5FAE"/>
    <w:rsid w:val="005C606B"/>
    <w:rsid w:val="005C61D2"/>
    <w:rsid w:val="005C6304"/>
    <w:rsid w:val="005C68B1"/>
    <w:rsid w:val="005C696E"/>
    <w:rsid w:val="005C6C0C"/>
    <w:rsid w:val="005C6DC5"/>
    <w:rsid w:val="005C6E5E"/>
    <w:rsid w:val="005C6FF3"/>
    <w:rsid w:val="005C72A0"/>
    <w:rsid w:val="005C7519"/>
    <w:rsid w:val="005C7680"/>
    <w:rsid w:val="005C77DB"/>
    <w:rsid w:val="005C78B7"/>
    <w:rsid w:val="005C78EF"/>
    <w:rsid w:val="005C79CD"/>
    <w:rsid w:val="005C7B5D"/>
    <w:rsid w:val="005C7BEC"/>
    <w:rsid w:val="005C7D83"/>
    <w:rsid w:val="005D010F"/>
    <w:rsid w:val="005D0309"/>
    <w:rsid w:val="005D0620"/>
    <w:rsid w:val="005D0D44"/>
    <w:rsid w:val="005D0D54"/>
    <w:rsid w:val="005D0E2C"/>
    <w:rsid w:val="005D0FA7"/>
    <w:rsid w:val="005D12E1"/>
    <w:rsid w:val="005D140E"/>
    <w:rsid w:val="005D145F"/>
    <w:rsid w:val="005D1596"/>
    <w:rsid w:val="005D16D9"/>
    <w:rsid w:val="005D171A"/>
    <w:rsid w:val="005D174C"/>
    <w:rsid w:val="005D175A"/>
    <w:rsid w:val="005D18A3"/>
    <w:rsid w:val="005D1959"/>
    <w:rsid w:val="005D1A57"/>
    <w:rsid w:val="005D1B88"/>
    <w:rsid w:val="005D1B9E"/>
    <w:rsid w:val="005D1DC9"/>
    <w:rsid w:val="005D1F09"/>
    <w:rsid w:val="005D20CA"/>
    <w:rsid w:val="005D2357"/>
    <w:rsid w:val="005D259D"/>
    <w:rsid w:val="005D259F"/>
    <w:rsid w:val="005D26BB"/>
    <w:rsid w:val="005D27D6"/>
    <w:rsid w:val="005D27F4"/>
    <w:rsid w:val="005D2A5E"/>
    <w:rsid w:val="005D2ACC"/>
    <w:rsid w:val="005D2B3B"/>
    <w:rsid w:val="005D2B44"/>
    <w:rsid w:val="005D2BD3"/>
    <w:rsid w:val="005D2C50"/>
    <w:rsid w:val="005D2F59"/>
    <w:rsid w:val="005D2FA0"/>
    <w:rsid w:val="005D33A6"/>
    <w:rsid w:val="005D34B5"/>
    <w:rsid w:val="005D378D"/>
    <w:rsid w:val="005D3997"/>
    <w:rsid w:val="005D3A36"/>
    <w:rsid w:val="005D3A50"/>
    <w:rsid w:val="005D3C02"/>
    <w:rsid w:val="005D3C31"/>
    <w:rsid w:val="005D3CE6"/>
    <w:rsid w:val="005D3D94"/>
    <w:rsid w:val="005D41F9"/>
    <w:rsid w:val="005D4345"/>
    <w:rsid w:val="005D4376"/>
    <w:rsid w:val="005D4387"/>
    <w:rsid w:val="005D4508"/>
    <w:rsid w:val="005D469E"/>
    <w:rsid w:val="005D49D4"/>
    <w:rsid w:val="005D4A30"/>
    <w:rsid w:val="005D4AAD"/>
    <w:rsid w:val="005D4BB5"/>
    <w:rsid w:val="005D4D27"/>
    <w:rsid w:val="005D4F73"/>
    <w:rsid w:val="005D545E"/>
    <w:rsid w:val="005D55CC"/>
    <w:rsid w:val="005D5803"/>
    <w:rsid w:val="005D581A"/>
    <w:rsid w:val="005D68EC"/>
    <w:rsid w:val="005D692C"/>
    <w:rsid w:val="005D6975"/>
    <w:rsid w:val="005D7278"/>
    <w:rsid w:val="005D729F"/>
    <w:rsid w:val="005D72DF"/>
    <w:rsid w:val="005D7382"/>
    <w:rsid w:val="005D74DE"/>
    <w:rsid w:val="005D76A3"/>
    <w:rsid w:val="005D7733"/>
    <w:rsid w:val="005D7863"/>
    <w:rsid w:val="005D7A7E"/>
    <w:rsid w:val="005D7EAE"/>
    <w:rsid w:val="005D7FDD"/>
    <w:rsid w:val="005E021E"/>
    <w:rsid w:val="005E09EA"/>
    <w:rsid w:val="005E0AC9"/>
    <w:rsid w:val="005E0B2F"/>
    <w:rsid w:val="005E0DE4"/>
    <w:rsid w:val="005E0E77"/>
    <w:rsid w:val="005E1080"/>
    <w:rsid w:val="005E1239"/>
    <w:rsid w:val="005E126C"/>
    <w:rsid w:val="005E1420"/>
    <w:rsid w:val="005E1592"/>
    <w:rsid w:val="005E1609"/>
    <w:rsid w:val="005E16A1"/>
    <w:rsid w:val="005E17D0"/>
    <w:rsid w:val="005E17EA"/>
    <w:rsid w:val="005E1812"/>
    <w:rsid w:val="005E1819"/>
    <w:rsid w:val="005E19C9"/>
    <w:rsid w:val="005E1A41"/>
    <w:rsid w:val="005E1AD1"/>
    <w:rsid w:val="005E1F45"/>
    <w:rsid w:val="005E2106"/>
    <w:rsid w:val="005E24E9"/>
    <w:rsid w:val="005E2D1A"/>
    <w:rsid w:val="005E2DB4"/>
    <w:rsid w:val="005E2DDF"/>
    <w:rsid w:val="005E2F21"/>
    <w:rsid w:val="005E32A6"/>
    <w:rsid w:val="005E3437"/>
    <w:rsid w:val="005E3645"/>
    <w:rsid w:val="005E380F"/>
    <w:rsid w:val="005E39AB"/>
    <w:rsid w:val="005E3C6F"/>
    <w:rsid w:val="005E3CA1"/>
    <w:rsid w:val="005E3DB8"/>
    <w:rsid w:val="005E4002"/>
    <w:rsid w:val="005E410E"/>
    <w:rsid w:val="005E430C"/>
    <w:rsid w:val="005E452A"/>
    <w:rsid w:val="005E4911"/>
    <w:rsid w:val="005E497C"/>
    <w:rsid w:val="005E4DDD"/>
    <w:rsid w:val="005E4F3D"/>
    <w:rsid w:val="005E520E"/>
    <w:rsid w:val="005E5AE0"/>
    <w:rsid w:val="005E5AE7"/>
    <w:rsid w:val="005E5B4E"/>
    <w:rsid w:val="005E5D3E"/>
    <w:rsid w:val="005E5E72"/>
    <w:rsid w:val="005E5FFF"/>
    <w:rsid w:val="005E603E"/>
    <w:rsid w:val="005E60BC"/>
    <w:rsid w:val="005E65B4"/>
    <w:rsid w:val="005E6675"/>
    <w:rsid w:val="005E6772"/>
    <w:rsid w:val="005E6882"/>
    <w:rsid w:val="005E6ADA"/>
    <w:rsid w:val="005E6C9B"/>
    <w:rsid w:val="005E6FA6"/>
    <w:rsid w:val="005E6FC4"/>
    <w:rsid w:val="005E7134"/>
    <w:rsid w:val="005E72DF"/>
    <w:rsid w:val="005E7828"/>
    <w:rsid w:val="005E7849"/>
    <w:rsid w:val="005E7A4A"/>
    <w:rsid w:val="005E7C7A"/>
    <w:rsid w:val="005E7C88"/>
    <w:rsid w:val="005E7E3E"/>
    <w:rsid w:val="005F0629"/>
    <w:rsid w:val="005F0816"/>
    <w:rsid w:val="005F0AA7"/>
    <w:rsid w:val="005F0B15"/>
    <w:rsid w:val="005F0C62"/>
    <w:rsid w:val="005F0CD7"/>
    <w:rsid w:val="005F0E9B"/>
    <w:rsid w:val="005F0EFD"/>
    <w:rsid w:val="005F108E"/>
    <w:rsid w:val="005F1236"/>
    <w:rsid w:val="005F12E7"/>
    <w:rsid w:val="005F131C"/>
    <w:rsid w:val="005F14E2"/>
    <w:rsid w:val="005F159B"/>
    <w:rsid w:val="005F169E"/>
    <w:rsid w:val="005F1BC2"/>
    <w:rsid w:val="005F1E03"/>
    <w:rsid w:val="005F220E"/>
    <w:rsid w:val="005F233B"/>
    <w:rsid w:val="005F238F"/>
    <w:rsid w:val="005F2430"/>
    <w:rsid w:val="005F243A"/>
    <w:rsid w:val="005F269C"/>
    <w:rsid w:val="005F28E0"/>
    <w:rsid w:val="005F2F6D"/>
    <w:rsid w:val="005F3264"/>
    <w:rsid w:val="005F3404"/>
    <w:rsid w:val="005F385E"/>
    <w:rsid w:val="005F3AF1"/>
    <w:rsid w:val="005F3CD0"/>
    <w:rsid w:val="005F3D1D"/>
    <w:rsid w:val="005F3DC3"/>
    <w:rsid w:val="005F3F44"/>
    <w:rsid w:val="005F40A5"/>
    <w:rsid w:val="005F410C"/>
    <w:rsid w:val="005F441D"/>
    <w:rsid w:val="005F4481"/>
    <w:rsid w:val="005F455A"/>
    <w:rsid w:val="005F467F"/>
    <w:rsid w:val="005F471E"/>
    <w:rsid w:val="005F47E3"/>
    <w:rsid w:val="005F4FCC"/>
    <w:rsid w:val="005F5067"/>
    <w:rsid w:val="005F50DA"/>
    <w:rsid w:val="005F5108"/>
    <w:rsid w:val="005F5358"/>
    <w:rsid w:val="005F55E7"/>
    <w:rsid w:val="005F58BC"/>
    <w:rsid w:val="005F5BB6"/>
    <w:rsid w:val="005F5CB7"/>
    <w:rsid w:val="005F5DE5"/>
    <w:rsid w:val="005F5FBA"/>
    <w:rsid w:val="005F5FD1"/>
    <w:rsid w:val="005F6205"/>
    <w:rsid w:val="005F6210"/>
    <w:rsid w:val="005F6258"/>
    <w:rsid w:val="005F62D0"/>
    <w:rsid w:val="005F63DD"/>
    <w:rsid w:val="005F649F"/>
    <w:rsid w:val="005F6503"/>
    <w:rsid w:val="005F65D6"/>
    <w:rsid w:val="005F6627"/>
    <w:rsid w:val="005F6683"/>
    <w:rsid w:val="005F6AB5"/>
    <w:rsid w:val="005F6B4A"/>
    <w:rsid w:val="005F6CF5"/>
    <w:rsid w:val="005F6DC0"/>
    <w:rsid w:val="005F6EAD"/>
    <w:rsid w:val="005F70D3"/>
    <w:rsid w:val="005F7357"/>
    <w:rsid w:val="005F73C2"/>
    <w:rsid w:val="005F7AF7"/>
    <w:rsid w:val="005F7B39"/>
    <w:rsid w:val="005F7CAD"/>
    <w:rsid w:val="005F7E36"/>
    <w:rsid w:val="005F7FEF"/>
    <w:rsid w:val="00600237"/>
    <w:rsid w:val="0060062F"/>
    <w:rsid w:val="00600A5A"/>
    <w:rsid w:val="00600B5D"/>
    <w:rsid w:val="00601107"/>
    <w:rsid w:val="006011FC"/>
    <w:rsid w:val="0060164F"/>
    <w:rsid w:val="006017BB"/>
    <w:rsid w:val="006017FA"/>
    <w:rsid w:val="0060198D"/>
    <w:rsid w:val="00601F9B"/>
    <w:rsid w:val="00602053"/>
    <w:rsid w:val="00602191"/>
    <w:rsid w:val="00602385"/>
    <w:rsid w:val="006024CE"/>
    <w:rsid w:val="006027B0"/>
    <w:rsid w:val="00602907"/>
    <w:rsid w:val="006029ED"/>
    <w:rsid w:val="00602DA7"/>
    <w:rsid w:val="00602EB1"/>
    <w:rsid w:val="006034CC"/>
    <w:rsid w:val="0060355F"/>
    <w:rsid w:val="006036BA"/>
    <w:rsid w:val="00603A59"/>
    <w:rsid w:val="00603C0E"/>
    <w:rsid w:val="00603CA1"/>
    <w:rsid w:val="00603F36"/>
    <w:rsid w:val="00604030"/>
    <w:rsid w:val="00604654"/>
    <w:rsid w:val="00604677"/>
    <w:rsid w:val="006047A4"/>
    <w:rsid w:val="006047FA"/>
    <w:rsid w:val="00604AEB"/>
    <w:rsid w:val="00604B06"/>
    <w:rsid w:val="00604C43"/>
    <w:rsid w:val="00605097"/>
    <w:rsid w:val="0060526D"/>
    <w:rsid w:val="006052B0"/>
    <w:rsid w:val="00605364"/>
    <w:rsid w:val="006058C9"/>
    <w:rsid w:val="006059A1"/>
    <w:rsid w:val="00605A0E"/>
    <w:rsid w:val="00605B2A"/>
    <w:rsid w:val="00605CE8"/>
    <w:rsid w:val="00606007"/>
    <w:rsid w:val="00606012"/>
    <w:rsid w:val="006062C1"/>
    <w:rsid w:val="00606325"/>
    <w:rsid w:val="00606509"/>
    <w:rsid w:val="00606D1A"/>
    <w:rsid w:val="00606D36"/>
    <w:rsid w:val="00606E3C"/>
    <w:rsid w:val="00606F05"/>
    <w:rsid w:val="0060740B"/>
    <w:rsid w:val="006074BD"/>
    <w:rsid w:val="006077D6"/>
    <w:rsid w:val="00607A8B"/>
    <w:rsid w:val="00607C91"/>
    <w:rsid w:val="00607F14"/>
    <w:rsid w:val="00610072"/>
    <w:rsid w:val="006100FB"/>
    <w:rsid w:val="00610185"/>
    <w:rsid w:val="0061033B"/>
    <w:rsid w:val="006104C8"/>
    <w:rsid w:val="006105AD"/>
    <w:rsid w:val="006105FF"/>
    <w:rsid w:val="00610863"/>
    <w:rsid w:val="006109B4"/>
    <w:rsid w:val="006109F3"/>
    <w:rsid w:val="00610D3E"/>
    <w:rsid w:val="00610F16"/>
    <w:rsid w:val="00611023"/>
    <w:rsid w:val="006112B8"/>
    <w:rsid w:val="00611357"/>
    <w:rsid w:val="00611436"/>
    <w:rsid w:val="006114C3"/>
    <w:rsid w:val="006116B5"/>
    <w:rsid w:val="00611BC5"/>
    <w:rsid w:val="00611C50"/>
    <w:rsid w:val="00611C5F"/>
    <w:rsid w:val="00611D4A"/>
    <w:rsid w:val="00611FDD"/>
    <w:rsid w:val="00612166"/>
    <w:rsid w:val="00612312"/>
    <w:rsid w:val="006124A1"/>
    <w:rsid w:val="00612594"/>
    <w:rsid w:val="006125FD"/>
    <w:rsid w:val="006126D2"/>
    <w:rsid w:val="006126F4"/>
    <w:rsid w:val="006127CE"/>
    <w:rsid w:val="00612856"/>
    <w:rsid w:val="006128DB"/>
    <w:rsid w:val="006129E4"/>
    <w:rsid w:val="00612AA1"/>
    <w:rsid w:val="00612CEB"/>
    <w:rsid w:val="00612D43"/>
    <w:rsid w:val="00612E61"/>
    <w:rsid w:val="0061314C"/>
    <w:rsid w:val="00613232"/>
    <w:rsid w:val="0061328C"/>
    <w:rsid w:val="006134F3"/>
    <w:rsid w:val="006135CA"/>
    <w:rsid w:val="00613907"/>
    <w:rsid w:val="00613AA1"/>
    <w:rsid w:val="00613B7F"/>
    <w:rsid w:val="00613F0A"/>
    <w:rsid w:val="006140BF"/>
    <w:rsid w:val="00614172"/>
    <w:rsid w:val="006141B8"/>
    <w:rsid w:val="006141EC"/>
    <w:rsid w:val="006144DC"/>
    <w:rsid w:val="00614506"/>
    <w:rsid w:val="00614744"/>
    <w:rsid w:val="00614A37"/>
    <w:rsid w:val="00615550"/>
    <w:rsid w:val="00615592"/>
    <w:rsid w:val="006155DB"/>
    <w:rsid w:val="0061580E"/>
    <w:rsid w:val="00615855"/>
    <w:rsid w:val="00616278"/>
    <w:rsid w:val="00616330"/>
    <w:rsid w:val="00616576"/>
    <w:rsid w:val="00616697"/>
    <w:rsid w:val="006168E8"/>
    <w:rsid w:val="00616A23"/>
    <w:rsid w:val="00616B55"/>
    <w:rsid w:val="00616C40"/>
    <w:rsid w:val="00616F6C"/>
    <w:rsid w:val="00617158"/>
    <w:rsid w:val="0061715D"/>
    <w:rsid w:val="00617292"/>
    <w:rsid w:val="0061732E"/>
    <w:rsid w:val="0061740F"/>
    <w:rsid w:val="00617601"/>
    <w:rsid w:val="006176BF"/>
    <w:rsid w:val="00617825"/>
    <w:rsid w:val="00617940"/>
    <w:rsid w:val="00617CEA"/>
    <w:rsid w:val="00617F3C"/>
    <w:rsid w:val="006205B5"/>
    <w:rsid w:val="006207C6"/>
    <w:rsid w:val="0062082E"/>
    <w:rsid w:val="00620855"/>
    <w:rsid w:val="00620A95"/>
    <w:rsid w:val="00620AC6"/>
    <w:rsid w:val="00620DE7"/>
    <w:rsid w:val="00620E40"/>
    <w:rsid w:val="0062124F"/>
    <w:rsid w:val="00621356"/>
    <w:rsid w:val="006213DC"/>
    <w:rsid w:val="006218E4"/>
    <w:rsid w:val="0062285F"/>
    <w:rsid w:val="006228C8"/>
    <w:rsid w:val="0062291B"/>
    <w:rsid w:val="00622E0F"/>
    <w:rsid w:val="00623001"/>
    <w:rsid w:val="00623193"/>
    <w:rsid w:val="006231F9"/>
    <w:rsid w:val="00623386"/>
    <w:rsid w:val="00623494"/>
    <w:rsid w:val="006234A3"/>
    <w:rsid w:val="00623657"/>
    <w:rsid w:val="0062372D"/>
    <w:rsid w:val="00623843"/>
    <w:rsid w:val="00623970"/>
    <w:rsid w:val="0062398B"/>
    <w:rsid w:val="00623E1A"/>
    <w:rsid w:val="00623F0F"/>
    <w:rsid w:val="00623FB2"/>
    <w:rsid w:val="006240BE"/>
    <w:rsid w:val="006242F0"/>
    <w:rsid w:val="0062442A"/>
    <w:rsid w:val="00624557"/>
    <w:rsid w:val="00624D06"/>
    <w:rsid w:val="00624ED9"/>
    <w:rsid w:val="00625269"/>
    <w:rsid w:val="006254B7"/>
    <w:rsid w:val="0062562D"/>
    <w:rsid w:val="0062573A"/>
    <w:rsid w:val="0062591E"/>
    <w:rsid w:val="00625982"/>
    <w:rsid w:val="00625C63"/>
    <w:rsid w:val="00626280"/>
    <w:rsid w:val="00626415"/>
    <w:rsid w:val="006266A7"/>
    <w:rsid w:val="006269FC"/>
    <w:rsid w:val="00626A12"/>
    <w:rsid w:val="00626A68"/>
    <w:rsid w:val="00626EA1"/>
    <w:rsid w:val="0062700F"/>
    <w:rsid w:val="00627355"/>
    <w:rsid w:val="006274FE"/>
    <w:rsid w:val="006275FF"/>
    <w:rsid w:val="00627777"/>
    <w:rsid w:val="006277F6"/>
    <w:rsid w:val="0062782D"/>
    <w:rsid w:val="006278C3"/>
    <w:rsid w:val="00627900"/>
    <w:rsid w:val="0062791B"/>
    <w:rsid w:val="00627C73"/>
    <w:rsid w:val="00627CF4"/>
    <w:rsid w:val="00627F55"/>
    <w:rsid w:val="00630162"/>
    <w:rsid w:val="0063031D"/>
    <w:rsid w:val="00630323"/>
    <w:rsid w:val="006303FE"/>
    <w:rsid w:val="006306BE"/>
    <w:rsid w:val="0063088C"/>
    <w:rsid w:val="00630A68"/>
    <w:rsid w:val="00630E37"/>
    <w:rsid w:val="00630FF5"/>
    <w:rsid w:val="00631037"/>
    <w:rsid w:val="0063131F"/>
    <w:rsid w:val="006313AC"/>
    <w:rsid w:val="00631776"/>
    <w:rsid w:val="00631B6F"/>
    <w:rsid w:val="00631DB2"/>
    <w:rsid w:val="00631E92"/>
    <w:rsid w:val="00631FCB"/>
    <w:rsid w:val="006320C1"/>
    <w:rsid w:val="006323AA"/>
    <w:rsid w:val="00632674"/>
    <w:rsid w:val="00632987"/>
    <w:rsid w:val="00632A03"/>
    <w:rsid w:val="00632C23"/>
    <w:rsid w:val="00632D34"/>
    <w:rsid w:val="00632EA9"/>
    <w:rsid w:val="0063314A"/>
    <w:rsid w:val="00633450"/>
    <w:rsid w:val="00633503"/>
    <w:rsid w:val="006335ED"/>
    <w:rsid w:val="00633B00"/>
    <w:rsid w:val="00633C03"/>
    <w:rsid w:val="00633D40"/>
    <w:rsid w:val="00633E62"/>
    <w:rsid w:val="006340E0"/>
    <w:rsid w:val="006340EB"/>
    <w:rsid w:val="00634598"/>
    <w:rsid w:val="0063482A"/>
    <w:rsid w:val="0063483B"/>
    <w:rsid w:val="00634914"/>
    <w:rsid w:val="00634DC6"/>
    <w:rsid w:val="00634EF0"/>
    <w:rsid w:val="00634FE8"/>
    <w:rsid w:val="006352F7"/>
    <w:rsid w:val="0063552B"/>
    <w:rsid w:val="00635656"/>
    <w:rsid w:val="00635B86"/>
    <w:rsid w:val="00635CBE"/>
    <w:rsid w:val="00635D64"/>
    <w:rsid w:val="00635DFC"/>
    <w:rsid w:val="00635F49"/>
    <w:rsid w:val="00636642"/>
    <w:rsid w:val="006369EF"/>
    <w:rsid w:val="00636A8C"/>
    <w:rsid w:val="00636B24"/>
    <w:rsid w:val="00636D04"/>
    <w:rsid w:val="00636FF0"/>
    <w:rsid w:val="00637080"/>
    <w:rsid w:val="00637158"/>
    <w:rsid w:val="0063772D"/>
    <w:rsid w:val="0063778B"/>
    <w:rsid w:val="00637844"/>
    <w:rsid w:val="006378B9"/>
    <w:rsid w:val="00637AD6"/>
    <w:rsid w:val="00637AFE"/>
    <w:rsid w:val="00640061"/>
    <w:rsid w:val="00640128"/>
    <w:rsid w:val="006403ED"/>
    <w:rsid w:val="0064072B"/>
    <w:rsid w:val="0064076D"/>
    <w:rsid w:val="00640930"/>
    <w:rsid w:val="00640ABF"/>
    <w:rsid w:val="00640C8F"/>
    <w:rsid w:val="00640CAB"/>
    <w:rsid w:val="00640E3F"/>
    <w:rsid w:val="0064116D"/>
    <w:rsid w:val="00641261"/>
    <w:rsid w:val="006415E2"/>
    <w:rsid w:val="00641722"/>
    <w:rsid w:val="00641888"/>
    <w:rsid w:val="006418D8"/>
    <w:rsid w:val="006419DC"/>
    <w:rsid w:val="00641C07"/>
    <w:rsid w:val="00641C0C"/>
    <w:rsid w:val="00641C4A"/>
    <w:rsid w:val="00641D73"/>
    <w:rsid w:val="00641DCD"/>
    <w:rsid w:val="00642275"/>
    <w:rsid w:val="006423F0"/>
    <w:rsid w:val="006429CF"/>
    <w:rsid w:val="00642AB8"/>
    <w:rsid w:val="00642B27"/>
    <w:rsid w:val="00642DB8"/>
    <w:rsid w:val="00642E2E"/>
    <w:rsid w:val="00642EC1"/>
    <w:rsid w:val="0064310D"/>
    <w:rsid w:val="006436A7"/>
    <w:rsid w:val="006439AB"/>
    <w:rsid w:val="00643B62"/>
    <w:rsid w:val="00643FFE"/>
    <w:rsid w:val="006442C9"/>
    <w:rsid w:val="0064439A"/>
    <w:rsid w:val="006445AB"/>
    <w:rsid w:val="0064464D"/>
    <w:rsid w:val="00644B0F"/>
    <w:rsid w:val="00644BE4"/>
    <w:rsid w:val="00644DF2"/>
    <w:rsid w:val="00644FC4"/>
    <w:rsid w:val="006457E3"/>
    <w:rsid w:val="00645905"/>
    <w:rsid w:val="00645BE9"/>
    <w:rsid w:val="00645C7C"/>
    <w:rsid w:val="0064608B"/>
    <w:rsid w:val="00646590"/>
    <w:rsid w:val="00646A7A"/>
    <w:rsid w:val="00646BD4"/>
    <w:rsid w:val="00646BF6"/>
    <w:rsid w:val="00646C9B"/>
    <w:rsid w:val="00646FF6"/>
    <w:rsid w:val="00647461"/>
    <w:rsid w:val="006476F7"/>
    <w:rsid w:val="0064783B"/>
    <w:rsid w:val="0064794C"/>
    <w:rsid w:val="00647AD8"/>
    <w:rsid w:val="00647C05"/>
    <w:rsid w:val="0065063E"/>
    <w:rsid w:val="00650762"/>
    <w:rsid w:val="00650C45"/>
    <w:rsid w:val="00650DCB"/>
    <w:rsid w:val="00650F61"/>
    <w:rsid w:val="00650FBF"/>
    <w:rsid w:val="0065101A"/>
    <w:rsid w:val="00651022"/>
    <w:rsid w:val="006510E8"/>
    <w:rsid w:val="006514C0"/>
    <w:rsid w:val="00651585"/>
    <w:rsid w:val="006516C2"/>
    <w:rsid w:val="00651998"/>
    <w:rsid w:val="006519A2"/>
    <w:rsid w:val="00651B8C"/>
    <w:rsid w:val="00651EB0"/>
    <w:rsid w:val="00651EEE"/>
    <w:rsid w:val="00652460"/>
    <w:rsid w:val="006524CC"/>
    <w:rsid w:val="00652707"/>
    <w:rsid w:val="00652A14"/>
    <w:rsid w:val="00652B1E"/>
    <w:rsid w:val="00652B6A"/>
    <w:rsid w:val="00652D27"/>
    <w:rsid w:val="00652FAD"/>
    <w:rsid w:val="00652FB9"/>
    <w:rsid w:val="0065303E"/>
    <w:rsid w:val="006531F0"/>
    <w:rsid w:val="00653F87"/>
    <w:rsid w:val="0065417D"/>
    <w:rsid w:val="0065421C"/>
    <w:rsid w:val="00654423"/>
    <w:rsid w:val="006545C2"/>
    <w:rsid w:val="00654680"/>
    <w:rsid w:val="00654B45"/>
    <w:rsid w:val="00654B5A"/>
    <w:rsid w:val="00654E72"/>
    <w:rsid w:val="0065500A"/>
    <w:rsid w:val="00655067"/>
    <w:rsid w:val="0065516F"/>
    <w:rsid w:val="0065524A"/>
    <w:rsid w:val="0065548B"/>
    <w:rsid w:val="0065553A"/>
    <w:rsid w:val="006557B6"/>
    <w:rsid w:val="00655D99"/>
    <w:rsid w:val="0065624E"/>
    <w:rsid w:val="0065634F"/>
    <w:rsid w:val="00656608"/>
    <w:rsid w:val="006568B0"/>
    <w:rsid w:val="00656A6E"/>
    <w:rsid w:val="00656CD1"/>
    <w:rsid w:val="00656D1B"/>
    <w:rsid w:val="00656EA3"/>
    <w:rsid w:val="00656EDB"/>
    <w:rsid w:val="00656EDE"/>
    <w:rsid w:val="0065702C"/>
    <w:rsid w:val="0065747C"/>
    <w:rsid w:val="006576E1"/>
    <w:rsid w:val="0065779A"/>
    <w:rsid w:val="00657ABA"/>
    <w:rsid w:val="00657BCA"/>
    <w:rsid w:val="00657DBA"/>
    <w:rsid w:val="006600A8"/>
    <w:rsid w:val="0066049B"/>
    <w:rsid w:val="00660652"/>
    <w:rsid w:val="006608B0"/>
    <w:rsid w:val="0066106C"/>
    <w:rsid w:val="006612AD"/>
    <w:rsid w:val="00661383"/>
    <w:rsid w:val="0066141D"/>
    <w:rsid w:val="006615C1"/>
    <w:rsid w:val="006617A5"/>
    <w:rsid w:val="00661A0B"/>
    <w:rsid w:val="00661B9C"/>
    <w:rsid w:val="00661FDB"/>
    <w:rsid w:val="00662103"/>
    <w:rsid w:val="00662477"/>
    <w:rsid w:val="0066267A"/>
    <w:rsid w:val="0066292D"/>
    <w:rsid w:val="00662C8E"/>
    <w:rsid w:val="00662E26"/>
    <w:rsid w:val="00663219"/>
    <w:rsid w:val="0066374F"/>
    <w:rsid w:val="006637B7"/>
    <w:rsid w:val="006638EE"/>
    <w:rsid w:val="0066393C"/>
    <w:rsid w:val="00663AF6"/>
    <w:rsid w:val="00663ED9"/>
    <w:rsid w:val="00663F52"/>
    <w:rsid w:val="00663F8E"/>
    <w:rsid w:val="00663FFD"/>
    <w:rsid w:val="006640CA"/>
    <w:rsid w:val="0066445F"/>
    <w:rsid w:val="00664731"/>
    <w:rsid w:val="0066477F"/>
    <w:rsid w:val="006648FE"/>
    <w:rsid w:val="0066509B"/>
    <w:rsid w:val="00665381"/>
    <w:rsid w:val="006654EA"/>
    <w:rsid w:val="006655F1"/>
    <w:rsid w:val="0066563A"/>
    <w:rsid w:val="006656EA"/>
    <w:rsid w:val="00665865"/>
    <w:rsid w:val="00665A5B"/>
    <w:rsid w:val="00665AF7"/>
    <w:rsid w:val="00665CAC"/>
    <w:rsid w:val="00666422"/>
    <w:rsid w:val="00666621"/>
    <w:rsid w:val="006668C9"/>
    <w:rsid w:val="0066705D"/>
    <w:rsid w:val="006670E1"/>
    <w:rsid w:val="00667298"/>
    <w:rsid w:val="006673A9"/>
    <w:rsid w:val="00667763"/>
    <w:rsid w:val="006677D6"/>
    <w:rsid w:val="006678F0"/>
    <w:rsid w:val="00667A1D"/>
    <w:rsid w:val="00667AFB"/>
    <w:rsid w:val="00667F4E"/>
    <w:rsid w:val="006708D3"/>
    <w:rsid w:val="00670CC2"/>
    <w:rsid w:val="00670E0D"/>
    <w:rsid w:val="00670E7C"/>
    <w:rsid w:val="00670FEA"/>
    <w:rsid w:val="00671099"/>
    <w:rsid w:val="006710AF"/>
    <w:rsid w:val="00671359"/>
    <w:rsid w:val="0067154F"/>
    <w:rsid w:val="00671582"/>
    <w:rsid w:val="00672266"/>
    <w:rsid w:val="0067295A"/>
    <w:rsid w:val="00672B74"/>
    <w:rsid w:val="00673071"/>
    <w:rsid w:val="00673221"/>
    <w:rsid w:val="00673405"/>
    <w:rsid w:val="00673450"/>
    <w:rsid w:val="006734A9"/>
    <w:rsid w:val="0067354D"/>
    <w:rsid w:val="006735C0"/>
    <w:rsid w:val="006739E8"/>
    <w:rsid w:val="0067420B"/>
    <w:rsid w:val="006742DD"/>
    <w:rsid w:val="00674392"/>
    <w:rsid w:val="006746E7"/>
    <w:rsid w:val="006747D3"/>
    <w:rsid w:val="00674935"/>
    <w:rsid w:val="00674EA9"/>
    <w:rsid w:val="00674EE4"/>
    <w:rsid w:val="00675065"/>
    <w:rsid w:val="00675121"/>
    <w:rsid w:val="00675194"/>
    <w:rsid w:val="006754B3"/>
    <w:rsid w:val="006756A0"/>
    <w:rsid w:val="006756DE"/>
    <w:rsid w:val="00675B7C"/>
    <w:rsid w:val="00675EFD"/>
    <w:rsid w:val="00675FB8"/>
    <w:rsid w:val="00675FCF"/>
    <w:rsid w:val="00676117"/>
    <w:rsid w:val="0067617E"/>
    <w:rsid w:val="006767CD"/>
    <w:rsid w:val="0067685A"/>
    <w:rsid w:val="006769C8"/>
    <w:rsid w:val="00676CC4"/>
    <w:rsid w:val="00677193"/>
    <w:rsid w:val="006771D0"/>
    <w:rsid w:val="006772F9"/>
    <w:rsid w:val="00677440"/>
    <w:rsid w:val="0067744E"/>
    <w:rsid w:val="00677AF4"/>
    <w:rsid w:val="00677C60"/>
    <w:rsid w:val="00677FB3"/>
    <w:rsid w:val="006800AC"/>
    <w:rsid w:val="00680388"/>
    <w:rsid w:val="00680488"/>
    <w:rsid w:val="0068068E"/>
    <w:rsid w:val="006808CD"/>
    <w:rsid w:val="00680B30"/>
    <w:rsid w:val="006814EE"/>
    <w:rsid w:val="006815B1"/>
    <w:rsid w:val="00681B79"/>
    <w:rsid w:val="00681BDB"/>
    <w:rsid w:val="00681C1D"/>
    <w:rsid w:val="00681DD3"/>
    <w:rsid w:val="00682125"/>
    <w:rsid w:val="0068217F"/>
    <w:rsid w:val="006826CA"/>
    <w:rsid w:val="0068293C"/>
    <w:rsid w:val="00682C66"/>
    <w:rsid w:val="00683051"/>
    <w:rsid w:val="0068317F"/>
    <w:rsid w:val="006831FA"/>
    <w:rsid w:val="00683214"/>
    <w:rsid w:val="006832A4"/>
    <w:rsid w:val="0068343B"/>
    <w:rsid w:val="00683719"/>
    <w:rsid w:val="00683885"/>
    <w:rsid w:val="00683C12"/>
    <w:rsid w:val="006840BB"/>
    <w:rsid w:val="006840E5"/>
    <w:rsid w:val="006841FA"/>
    <w:rsid w:val="006842B1"/>
    <w:rsid w:val="0068445E"/>
    <w:rsid w:val="006846FB"/>
    <w:rsid w:val="00684882"/>
    <w:rsid w:val="00684A56"/>
    <w:rsid w:val="00684E2C"/>
    <w:rsid w:val="00685074"/>
    <w:rsid w:val="0068521C"/>
    <w:rsid w:val="006856DF"/>
    <w:rsid w:val="00685B30"/>
    <w:rsid w:val="00686339"/>
    <w:rsid w:val="00686532"/>
    <w:rsid w:val="0068687B"/>
    <w:rsid w:val="00686ACE"/>
    <w:rsid w:val="00686CA9"/>
    <w:rsid w:val="00686D1E"/>
    <w:rsid w:val="0068711F"/>
    <w:rsid w:val="0068718F"/>
    <w:rsid w:val="0068723D"/>
    <w:rsid w:val="0068736A"/>
    <w:rsid w:val="0068742E"/>
    <w:rsid w:val="00687594"/>
    <w:rsid w:val="00687817"/>
    <w:rsid w:val="00687A09"/>
    <w:rsid w:val="00687A1B"/>
    <w:rsid w:val="00687A67"/>
    <w:rsid w:val="00687B42"/>
    <w:rsid w:val="00687CE3"/>
    <w:rsid w:val="00687E94"/>
    <w:rsid w:val="00687EC2"/>
    <w:rsid w:val="00690009"/>
    <w:rsid w:val="006901F1"/>
    <w:rsid w:val="00690518"/>
    <w:rsid w:val="006905F6"/>
    <w:rsid w:val="00690620"/>
    <w:rsid w:val="00690923"/>
    <w:rsid w:val="00690CFE"/>
    <w:rsid w:val="00690DA5"/>
    <w:rsid w:val="00690F0E"/>
    <w:rsid w:val="00690FB1"/>
    <w:rsid w:val="0069110A"/>
    <w:rsid w:val="006914FB"/>
    <w:rsid w:val="00691577"/>
    <w:rsid w:val="0069173E"/>
    <w:rsid w:val="00691792"/>
    <w:rsid w:val="00691BE6"/>
    <w:rsid w:val="00691E98"/>
    <w:rsid w:val="00691F25"/>
    <w:rsid w:val="0069217E"/>
    <w:rsid w:val="0069228F"/>
    <w:rsid w:val="00692391"/>
    <w:rsid w:val="00692949"/>
    <w:rsid w:val="0069299C"/>
    <w:rsid w:val="00692A44"/>
    <w:rsid w:val="00692B18"/>
    <w:rsid w:val="00692B19"/>
    <w:rsid w:val="006930D4"/>
    <w:rsid w:val="00693338"/>
    <w:rsid w:val="006935D4"/>
    <w:rsid w:val="006936A7"/>
    <w:rsid w:val="00693775"/>
    <w:rsid w:val="00693C1E"/>
    <w:rsid w:val="00693D4C"/>
    <w:rsid w:val="00693EB5"/>
    <w:rsid w:val="00694846"/>
    <w:rsid w:val="00694E10"/>
    <w:rsid w:val="00694FB6"/>
    <w:rsid w:val="0069516F"/>
    <w:rsid w:val="0069573B"/>
    <w:rsid w:val="0069585F"/>
    <w:rsid w:val="00695942"/>
    <w:rsid w:val="00695946"/>
    <w:rsid w:val="00695DB5"/>
    <w:rsid w:val="0069605D"/>
    <w:rsid w:val="0069628A"/>
    <w:rsid w:val="006966B8"/>
    <w:rsid w:val="00697143"/>
    <w:rsid w:val="0069796F"/>
    <w:rsid w:val="00697A27"/>
    <w:rsid w:val="00697BFE"/>
    <w:rsid w:val="00697C24"/>
    <w:rsid w:val="00697ECB"/>
    <w:rsid w:val="006A022A"/>
    <w:rsid w:val="006A031F"/>
    <w:rsid w:val="006A03DD"/>
    <w:rsid w:val="006A059D"/>
    <w:rsid w:val="006A06A8"/>
    <w:rsid w:val="006A082D"/>
    <w:rsid w:val="006A08E6"/>
    <w:rsid w:val="006A0B06"/>
    <w:rsid w:val="006A0BFC"/>
    <w:rsid w:val="006A0F1D"/>
    <w:rsid w:val="006A1196"/>
    <w:rsid w:val="006A1368"/>
    <w:rsid w:val="006A157E"/>
    <w:rsid w:val="006A162F"/>
    <w:rsid w:val="006A1652"/>
    <w:rsid w:val="006A1676"/>
    <w:rsid w:val="006A200B"/>
    <w:rsid w:val="006A2097"/>
    <w:rsid w:val="006A22B4"/>
    <w:rsid w:val="006A2317"/>
    <w:rsid w:val="006A2323"/>
    <w:rsid w:val="006A25F3"/>
    <w:rsid w:val="006A29CF"/>
    <w:rsid w:val="006A2AFD"/>
    <w:rsid w:val="006A2BA9"/>
    <w:rsid w:val="006A2CAD"/>
    <w:rsid w:val="006A2E42"/>
    <w:rsid w:val="006A3011"/>
    <w:rsid w:val="006A33F9"/>
    <w:rsid w:val="006A3419"/>
    <w:rsid w:val="006A358D"/>
    <w:rsid w:val="006A3641"/>
    <w:rsid w:val="006A36F3"/>
    <w:rsid w:val="006A3829"/>
    <w:rsid w:val="006A3D0E"/>
    <w:rsid w:val="006A3DA2"/>
    <w:rsid w:val="006A3DAA"/>
    <w:rsid w:val="006A3E3B"/>
    <w:rsid w:val="006A3ECB"/>
    <w:rsid w:val="006A3F53"/>
    <w:rsid w:val="006A4128"/>
    <w:rsid w:val="006A4366"/>
    <w:rsid w:val="006A44D5"/>
    <w:rsid w:val="006A46B8"/>
    <w:rsid w:val="006A4781"/>
    <w:rsid w:val="006A4850"/>
    <w:rsid w:val="006A49AF"/>
    <w:rsid w:val="006A4D02"/>
    <w:rsid w:val="006A4FC2"/>
    <w:rsid w:val="006A5740"/>
    <w:rsid w:val="006A5853"/>
    <w:rsid w:val="006A5A26"/>
    <w:rsid w:val="006A5A35"/>
    <w:rsid w:val="006A5A7D"/>
    <w:rsid w:val="006A5BA9"/>
    <w:rsid w:val="006A5C16"/>
    <w:rsid w:val="006A5C5A"/>
    <w:rsid w:val="006A5F7A"/>
    <w:rsid w:val="006A62D3"/>
    <w:rsid w:val="006A634F"/>
    <w:rsid w:val="006A6785"/>
    <w:rsid w:val="006A6A50"/>
    <w:rsid w:val="006A6E1D"/>
    <w:rsid w:val="006A706A"/>
    <w:rsid w:val="006A718B"/>
    <w:rsid w:val="006A77A8"/>
    <w:rsid w:val="006A7B07"/>
    <w:rsid w:val="006A7B7C"/>
    <w:rsid w:val="006B0041"/>
    <w:rsid w:val="006B00F6"/>
    <w:rsid w:val="006B0286"/>
    <w:rsid w:val="006B02A2"/>
    <w:rsid w:val="006B0353"/>
    <w:rsid w:val="006B0780"/>
    <w:rsid w:val="006B088C"/>
    <w:rsid w:val="006B0979"/>
    <w:rsid w:val="006B0AB3"/>
    <w:rsid w:val="006B0B72"/>
    <w:rsid w:val="006B0C76"/>
    <w:rsid w:val="006B0C85"/>
    <w:rsid w:val="006B0F29"/>
    <w:rsid w:val="006B0F36"/>
    <w:rsid w:val="006B0FD8"/>
    <w:rsid w:val="006B106B"/>
    <w:rsid w:val="006B1163"/>
    <w:rsid w:val="006B132A"/>
    <w:rsid w:val="006B1591"/>
    <w:rsid w:val="006B15E6"/>
    <w:rsid w:val="006B1689"/>
    <w:rsid w:val="006B16C8"/>
    <w:rsid w:val="006B176F"/>
    <w:rsid w:val="006B17DD"/>
    <w:rsid w:val="006B1B8B"/>
    <w:rsid w:val="006B1BD9"/>
    <w:rsid w:val="006B1D3D"/>
    <w:rsid w:val="006B1FD0"/>
    <w:rsid w:val="006B2012"/>
    <w:rsid w:val="006B2260"/>
    <w:rsid w:val="006B233D"/>
    <w:rsid w:val="006B2357"/>
    <w:rsid w:val="006B258F"/>
    <w:rsid w:val="006B25BE"/>
    <w:rsid w:val="006B2A99"/>
    <w:rsid w:val="006B2BC4"/>
    <w:rsid w:val="006B2DBC"/>
    <w:rsid w:val="006B300D"/>
    <w:rsid w:val="006B3179"/>
    <w:rsid w:val="006B3220"/>
    <w:rsid w:val="006B3550"/>
    <w:rsid w:val="006B3A35"/>
    <w:rsid w:val="006B3D64"/>
    <w:rsid w:val="006B3E57"/>
    <w:rsid w:val="006B4580"/>
    <w:rsid w:val="006B4606"/>
    <w:rsid w:val="006B462B"/>
    <w:rsid w:val="006B46E7"/>
    <w:rsid w:val="006B4708"/>
    <w:rsid w:val="006B4793"/>
    <w:rsid w:val="006B49E6"/>
    <w:rsid w:val="006B4AAD"/>
    <w:rsid w:val="006B4EB6"/>
    <w:rsid w:val="006B4F04"/>
    <w:rsid w:val="006B5324"/>
    <w:rsid w:val="006B552E"/>
    <w:rsid w:val="006B5665"/>
    <w:rsid w:val="006B568C"/>
    <w:rsid w:val="006B5924"/>
    <w:rsid w:val="006B5A4C"/>
    <w:rsid w:val="006B5A98"/>
    <w:rsid w:val="006B5B32"/>
    <w:rsid w:val="006B5D41"/>
    <w:rsid w:val="006B5D5B"/>
    <w:rsid w:val="006B61D8"/>
    <w:rsid w:val="006B6299"/>
    <w:rsid w:val="006B65AD"/>
    <w:rsid w:val="006B6981"/>
    <w:rsid w:val="006B6A7F"/>
    <w:rsid w:val="006B6A88"/>
    <w:rsid w:val="006B6D3E"/>
    <w:rsid w:val="006B718D"/>
    <w:rsid w:val="006B71B9"/>
    <w:rsid w:val="006B74EF"/>
    <w:rsid w:val="006B75B6"/>
    <w:rsid w:val="006B7731"/>
    <w:rsid w:val="006B781F"/>
    <w:rsid w:val="006B78BF"/>
    <w:rsid w:val="006B7D59"/>
    <w:rsid w:val="006B7E37"/>
    <w:rsid w:val="006C00F8"/>
    <w:rsid w:val="006C01DC"/>
    <w:rsid w:val="006C0223"/>
    <w:rsid w:val="006C02F7"/>
    <w:rsid w:val="006C03C8"/>
    <w:rsid w:val="006C042A"/>
    <w:rsid w:val="006C0A4F"/>
    <w:rsid w:val="006C0AFC"/>
    <w:rsid w:val="006C0B90"/>
    <w:rsid w:val="006C0C65"/>
    <w:rsid w:val="006C0D79"/>
    <w:rsid w:val="006C0DD8"/>
    <w:rsid w:val="006C0DD9"/>
    <w:rsid w:val="006C0FF7"/>
    <w:rsid w:val="006C10CE"/>
    <w:rsid w:val="006C1168"/>
    <w:rsid w:val="006C1265"/>
    <w:rsid w:val="006C132F"/>
    <w:rsid w:val="006C13EE"/>
    <w:rsid w:val="006C1534"/>
    <w:rsid w:val="006C1732"/>
    <w:rsid w:val="006C198B"/>
    <w:rsid w:val="006C1AA4"/>
    <w:rsid w:val="006C1D2A"/>
    <w:rsid w:val="006C1D9D"/>
    <w:rsid w:val="006C1F5D"/>
    <w:rsid w:val="006C210C"/>
    <w:rsid w:val="006C22EE"/>
    <w:rsid w:val="006C2352"/>
    <w:rsid w:val="006C24A2"/>
    <w:rsid w:val="006C2976"/>
    <w:rsid w:val="006C2981"/>
    <w:rsid w:val="006C2AF9"/>
    <w:rsid w:val="006C2DEA"/>
    <w:rsid w:val="006C2F6D"/>
    <w:rsid w:val="006C308E"/>
    <w:rsid w:val="006C310B"/>
    <w:rsid w:val="006C32D2"/>
    <w:rsid w:val="006C3CE3"/>
    <w:rsid w:val="006C3FF7"/>
    <w:rsid w:val="006C43A6"/>
    <w:rsid w:val="006C44BC"/>
    <w:rsid w:val="006C4570"/>
    <w:rsid w:val="006C45A8"/>
    <w:rsid w:val="006C4B10"/>
    <w:rsid w:val="006C4C61"/>
    <w:rsid w:val="006C5026"/>
    <w:rsid w:val="006C52CC"/>
    <w:rsid w:val="006C5627"/>
    <w:rsid w:val="006C56CE"/>
    <w:rsid w:val="006C5773"/>
    <w:rsid w:val="006C58F4"/>
    <w:rsid w:val="006C5EAA"/>
    <w:rsid w:val="006C5F38"/>
    <w:rsid w:val="006C6004"/>
    <w:rsid w:val="006C604E"/>
    <w:rsid w:val="006C60D1"/>
    <w:rsid w:val="006C60D8"/>
    <w:rsid w:val="006C614A"/>
    <w:rsid w:val="006C61D8"/>
    <w:rsid w:val="006C632A"/>
    <w:rsid w:val="006C638B"/>
    <w:rsid w:val="006C63A7"/>
    <w:rsid w:val="006C6582"/>
    <w:rsid w:val="006C680C"/>
    <w:rsid w:val="006C691A"/>
    <w:rsid w:val="006C6A7E"/>
    <w:rsid w:val="006C6AA7"/>
    <w:rsid w:val="006C6AEA"/>
    <w:rsid w:val="006C6B41"/>
    <w:rsid w:val="006C6F36"/>
    <w:rsid w:val="006C7529"/>
    <w:rsid w:val="006C759A"/>
    <w:rsid w:val="006C75FF"/>
    <w:rsid w:val="006C7622"/>
    <w:rsid w:val="006C794B"/>
    <w:rsid w:val="006C7DE2"/>
    <w:rsid w:val="006C7ECD"/>
    <w:rsid w:val="006C7F2B"/>
    <w:rsid w:val="006D03FC"/>
    <w:rsid w:val="006D0693"/>
    <w:rsid w:val="006D0739"/>
    <w:rsid w:val="006D0C14"/>
    <w:rsid w:val="006D0DB0"/>
    <w:rsid w:val="006D1101"/>
    <w:rsid w:val="006D119F"/>
    <w:rsid w:val="006D11BD"/>
    <w:rsid w:val="006D15D8"/>
    <w:rsid w:val="006D186E"/>
    <w:rsid w:val="006D18BE"/>
    <w:rsid w:val="006D1997"/>
    <w:rsid w:val="006D1E05"/>
    <w:rsid w:val="006D221A"/>
    <w:rsid w:val="006D2303"/>
    <w:rsid w:val="006D2370"/>
    <w:rsid w:val="006D24E0"/>
    <w:rsid w:val="006D2664"/>
    <w:rsid w:val="006D26EA"/>
    <w:rsid w:val="006D2836"/>
    <w:rsid w:val="006D28EE"/>
    <w:rsid w:val="006D2BEC"/>
    <w:rsid w:val="006D2EB8"/>
    <w:rsid w:val="006D2EBD"/>
    <w:rsid w:val="006D3044"/>
    <w:rsid w:val="006D3086"/>
    <w:rsid w:val="006D30E7"/>
    <w:rsid w:val="006D3209"/>
    <w:rsid w:val="006D33A4"/>
    <w:rsid w:val="006D3737"/>
    <w:rsid w:val="006D3CC0"/>
    <w:rsid w:val="006D3F6F"/>
    <w:rsid w:val="006D4122"/>
    <w:rsid w:val="006D429D"/>
    <w:rsid w:val="006D4499"/>
    <w:rsid w:val="006D4C31"/>
    <w:rsid w:val="006D4F35"/>
    <w:rsid w:val="006D4F88"/>
    <w:rsid w:val="006D505D"/>
    <w:rsid w:val="006D5187"/>
    <w:rsid w:val="006D56D4"/>
    <w:rsid w:val="006D58B6"/>
    <w:rsid w:val="006D58CB"/>
    <w:rsid w:val="006D5C0D"/>
    <w:rsid w:val="006D5D7A"/>
    <w:rsid w:val="006D5DEF"/>
    <w:rsid w:val="006D5E08"/>
    <w:rsid w:val="006D60BE"/>
    <w:rsid w:val="006D617A"/>
    <w:rsid w:val="006D64AF"/>
    <w:rsid w:val="006D69DF"/>
    <w:rsid w:val="006D6A39"/>
    <w:rsid w:val="006D6A83"/>
    <w:rsid w:val="006D6E02"/>
    <w:rsid w:val="006D6E82"/>
    <w:rsid w:val="006D70B0"/>
    <w:rsid w:val="006D70ED"/>
    <w:rsid w:val="006D73C9"/>
    <w:rsid w:val="006D7432"/>
    <w:rsid w:val="006D7975"/>
    <w:rsid w:val="006D7D2D"/>
    <w:rsid w:val="006D7F60"/>
    <w:rsid w:val="006D7F61"/>
    <w:rsid w:val="006D7FAA"/>
    <w:rsid w:val="006E00AE"/>
    <w:rsid w:val="006E021B"/>
    <w:rsid w:val="006E0599"/>
    <w:rsid w:val="006E067F"/>
    <w:rsid w:val="006E074A"/>
    <w:rsid w:val="006E0C1A"/>
    <w:rsid w:val="006E12AD"/>
    <w:rsid w:val="006E131C"/>
    <w:rsid w:val="006E133C"/>
    <w:rsid w:val="006E16A7"/>
    <w:rsid w:val="006E1B32"/>
    <w:rsid w:val="006E1DB7"/>
    <w:rsid w:val="006E1EC8"/>
    <w:rsid w:val="006E2139"/>
    <w:rsid w:val="006E2788"/>
    <w:rsid w:val="006E3324"/>
    <w:rsid w:val="006E3457"/>
    <w:rsid w:val="006E389B"/>
    <w:rsid w:val="006E3936"/>
    <w:rsid w:val="006E3ACA"/>
    <w:rsid w:val="006E3AE9"/>
    <w:rsid w:val="006E3B6E"/>
    <w:rsid w:val="006E3B84"/>
    <w:rsid w:val="006E3B88"/>
    <w:rsid w:val="006E3C5A"/>
    <w:rsid w:val="006E3CD1"/>
    <w:rsid w:val="006E3D1B"/>
    <w:rsid w:val="006E3E4D"/>
    <w:rsid w:val="006E419C"/>
    <w:rsid w:val="006E430A"/>
    <w:rsid w:val="006E448D"/>
    <w:rsid w:val="006E4514"/>
    <w:rsid w:val="006E4686"/>
    <w:rsid w:val="006E4809"/>
    <w:rsid w:val="006E492D"/>
    <w:rsid w:val="006E4975"/>
    <w:rsid w:val="006E49AB"/>
    <w:rsid w:val="006E4A3B"/>
    <w:rsid w:val="006E4B16"/>
    <w:rsid w:val="006E4B8D"/>
    <w:rsid w:val="006E4D90"/>
    <w:rsid w:val="006E4DB4"/>
    <w:rsid w:val="006E52BE"/>
    <w:rsid w:val="006E5368"/>
    <w:rsid w:val="006E541A"/>
    <w:rsid w:val="006E56C3"/>
    <w:rsid w:val="006E57A7"/>
    <w:rsid w:val="006E58E2"/>
    <w:rsid w:val="006E5904"/>
    <w:rsid w:val="006E592E"/>
    <w:rsid w:val="006E5D94"/>
    <w:rsid w:val="006E5EA3"/>
    <w:rsid w:val="006E6076"/>
    <w:rsid w:val="006E6136"/>
    <w:rsid w:val="006E61CE"/>
    <w:rsid w:val="006E6214"/>
    <w:rsid w:val="006E63DB"/>
    <w:rsid w:val="006E6870"/>
    <w:rsid w:val="006E6B4C"/>
    <w:rsid w:val="006E6C10"/>
    <w:rsid w:val="006E6CDF"/>
    <w:rsid w:val="006E71D4"/>
    <w:rsid w:val="006E75D6"/>
    <w:rsid w:val="006E7BE9"/>
    <w:rsid w:val="006E7CE2"/>
    <w:rsid w:val="006E7F3B"/>
    <w:rsid w:val="006F060B"/>
    <w:rsid w:val="006F0640"/>
    <w:rsid w:val="006F0899"/>
    <w:rsid w:val="006F0988"/>
    <w:rsid w:val="006F0BAE"/>
    <w:rsid w:val="006F1134"/>
    <w:rsid w:val="006F12E2"/>
    <w:rsid w:val="006F139C"/>
    <w:rsid w:val="006F1640"/>
    <w:rsid w:val="006F16E8"/>
    <w:rsid w:val="006F1955"/>
    <w:rsid w:val="006F1E56"/>
    <w:rsid w:val="006F1FEC"/>
    <w:rsid w:val="006F202D"/>
    <w:rsid w:val="006F204F"/>
    <w:rsid w:val="006F2160"/>
    <w:rsid w:val="006F24DE"/>
    <w:rsid w:val="006F250F"/>
    <w:rsid w:val="006F2588"/>
    <w:rsid w:val="006F2609"/>
    <w:rsid w:val="006F278B"/>
    <w:rsid w:val="006F2856"/>
    <w:rsid w:val="006F28DD"/>
    <w:rsid w:val="006F29D6"/>
    <w:rsid w:val="006F2AAE"/>
    <w:rsid w:val="006F2BBD"/>
    <w:rsid w:val="006F2BED"/>
    <w:rsid w:val="006F2D0A"/>
    <w:rsid w:val="006F3030"/>
    <w:rsid w:val="006F3295"/>
    <w:rsid w:val="006F32D7"/>
    <w:rsid w:val="006F3406"/>
    <w:rsid w:val="006F3524"/>
    <w:rsid w:val="006F37A1"/>
    <w:rsid w:val="006F3F6D"/>
    <w:rsid w:val="006F4433"/>
    <w:rsid w:val="006F4438"/>
    <w:rsid w:val="006F4609"/>
    <w:rsid w:val="006F480B"/>
    <w:rsid w:val="006F48CB"/>
    <w:rsid w:val="006F4976"/>
    <w:rsid w:val="006F4A91"/>
    <w:rsid w:val="006F4B97"/>
    <w:rsid w:val="006F4B9C"/>
    <w:rsid w:val="006F4BFC"/>
    <w:rsid w:val="006F4CA7"/>
    <w:rsid w:val="006F4D21"/>
    <w:rsid w:val="006F4F1D"/>
    <w:rsid w:val="006F4F28"/>
    <w:rsid w:val="006F5051"/>
    <w:rsid w:val="006F5128"/>
    <w:rsid w:val="006F5410"/>
    <w:rsid w:val="006F5698"/>
    <w:rsid w:val="006F56F0"/>
    <w:rsid w:val="006F5794"/>
    <w:rsid w:val="006F579D"/>
    <w:rsid w:val="006F59F2"/>
    <w:rsid w:val="006F5C51"/>
    <w:rsid w:val="006F5E61"/>
    <w:rsid w:val="006F5E87"/>
    <w:rsid w:val="006F5EEC"/>
    <w:rsid w:val="006F5F11"/>
    <w:rsid w:val="006F6334"/>
    <w:rsid w:val="006F651D"/>
    <w:rsid w:val="006F656C"/>
    <w:rsid w:val="006F676F"/>
    <w:rsid w:val="006F68EF"/>
    <w:rsid w:val="006F68F5"/>
    <w:rsid w:val="006F6D4E"/>
    <w:rsid w:val="006F6D92"/>
    <w:rsid w:val="006F7388"/>
    <w:rsid w:val="006F73FF"/>
    <w:rsid w:val="006F744D"/>
    <w:rsid w:val="006F78CE"/>
    <w:rsid w:val="006F7974"/>
    <w:rsid w:val="006F7D1D"/>
    <w:rsid w:val="006F7E6E"/>
    <w:rsid w:val="007001F0"/>
    <w:rsid w:val="007004F2"/>
    <w:rsid w:val="0070061E"/>
    <w:rsid w:val="007008B0"/>
    <w:rsid w:val="00700D36"/>
    <w:rsid w:val="00701027"/>
    <w:rsid w:val="0070134D"/>
    <w:rsid w:val="00701430"/>
    <w:rsid w:val="0070157A"/>
    <w:rsid w:val="007015F9"/>
    <w:rsid w:val="007017BD"/>
    <w:rsid w:val="00701820"/>
    <w:rsid w:val="00702038"/>
    <w:rsid w:val="00702296"/>
    <w:rsid w:val="007022B3"/>
    <w:rsid w:val="007027DF"/>
    <w:rsid w:val="00702A27"/>
    <w:rsid w:val="00702B9B"/>
    <w:rsid w:val="00702F9C"/>
    <w:rsid w:val="00703199"/>
    <w:rsid w:val="0070326D"/>
    <w:rsid w:val="00703297"/>
    <w:rsid w:val="007033B7"/>
    <w:rsid w:val="00703536"/>
    <w:rsid w:val="007035B2"/>
    <w:rsid w:val="007036EC"/>
    <w:rsid w:val="00703A4D"/>
    <w:rsid w:val="00703C00"/>
    <w:rsid w:val="00703C5F"/>
    <w:rsid w:val="007042AC"/>
    <w:rsid w:val="00704579"/>
    <w:rsid w:val="00704645"/>
    <w:rsid w:val="00704695"/>
    <w:rsid w:val="00704C50"/>
    <w:rsid w:val="00704CF7"/>
    <w:rsid w:val="00704F3F"/>
    <w:rsid w:val="0070501E"/>
    <w:rsid w:val="0070519E"/>
    <w:rsid w:val="0070542E"/>
    <w:rsid w:val="0070582B"/>
    <w:rsid w:val="0070595E"/>
    <w:rsid w:val="00705CB5"/>
    <w:rsid w:val="007064AB"/>
    <w:rsid w:val="007064DF"/>
    <w:rsid w:val="00706522"/>
    <w:rsid w:val="00706927"/>
    <w:rsid w:val="00707047"/>
    <w:rsid w:val="007070B6"/>
    <w:rsid w:val="007074C4"/>
    <w:rsid w:val="0070757B"/>
    <w:rsid w:val="00707BA2"/>
    <w:rsid w:val="00707BD4"/>
    <w:rsid w:val="00707CAD"/>
    <w:rsid w:val="00710281"/>
    <w:rsid w:val="0071032E"/>
    <w:rsid w:val="00710574"/>
    <w:rsid w:val="007105C9"/>
    <w:rsid w:val="00710CEC"/>
    <w:rsid w:val="00710EC1"/>
    <w:rsid w:val="00710F62"/>
    <w:rsid w:val="007110AE"/>
    <w:rsid w:val="007110D1"/>
    <w:rsid w:val="00711102"/>
    <w:rsid w:val="007111EA"/>
    <w:rsid w:val="007111F1"/>
    <w:rsid w:val="007113BD"/>
    <w:rsid w:val="00711649"/>
    <w:rsid w:val="0071165C"/>
    <w:rsid w:val="007117CD"/>
    <w:rsid w:val="00711874"/>
    <w:rsid w:val="00711B07"/>
    <w:rsid w:val="00711BBF"/>
    <w:rsid w:val="00711D3B"/>
    <w:rsid w:val="00711E23"/>
    <w:rsid w:val="00711E82"/>
    <w:rsid w:val="00711F16"/>
    <w:rsid w:val="00711F58"/>
    <w:rsid w:val="00711F69"/>
    <w:rsid w:val="007121B2"/>
    <w:rsid w:val="00712256"/>
    <w:rsid w:val="007124C8"/>
    <w:rsid w:val="0071250B"/>
    <w:rsid w:val="00712621"/>
    <w:rsid w:val="00712A59"/>
    <w:rsid w:val="00712DA0"/>
    <w:rsid w:val="007132B6"/>
    <w:rsid w:val="007133C3"/>
    <w:rsid w:val="0071342B"/>
    <w:rsid w:val="007136E0"/>
    <w:rsid w:val="00713779"/>
    <w:rsid w:val="00713850"/>
    <w:rsid w:val="00713FB3"/>
    <w:rsid w:val="007140DC"/>
    <w:rsid w:val="00714259"/>
    <w:rsid w:val="007143D4"/>
    <w:rsid w:val="007144AF"/>
    <w:rsid w:val="0071462A"/>
    <w:rsid w:val="00714671"/>
    <w:rsid w:val="007146C8"/>
    <w:rsid w:val="007148BE"/>
    <w:rsid w:val="007148E0"/>
    <w:rsid w:val="00714941"/>
    <w:rsid w:val="007149C9"/>
    <w:rsid w:val="00714ABA"/>
    <w:rsid w:val="00714B26"/>
    <w:rsid w:val="00714B63"/>
    <w:rsid w:val="00714BA3"/>
    <w:rsid w:val="00715728"/>
    <w:rsid w:val="00715740"/>
    <w:rsid w:val="00715C6E"/>
    <w:rsid w:val="00715E1E"/>
    <w:rsid w:val="00715F13"/>
    <w:rsid w:val="007160B5"/>
    <w:rsid w:val="00716669"/>
    <w:rsid w:val="0071692A"/>
    <w:rsid w:val="007169F8"/>
    <w:rsid w:val="00716A31"/>
    <w:rsid w:val="00716C0C"/>
    <w:rsid w:val="00717389"/>
    <w:rsid w:val="007176B1"/>
    <w:rsid w:val="007176B8"/>
    <w:rsid w:val="00717CA2"/>
    <w:rsid w:val="00717D09"/>
    <w:rsid w:val="00717F02"/>
    <w:rsid w:val="00717F3B"/>
    <w:rsid w:val="00717FF8"/>
    <w:rsid w:val="00720309"/>
    <w:rsid w:val="00720326"/>
    <w:rsid w:val="0072040B"/>
    <w:rsid w:val="0072044C"/>
    <w:rsid w:val="0072076D"/>
    <w:rsid w:val="007207EA"/>
    <w:rsid w:val="00720B1E"/>
    <w:rsid w:val="00720D1A"/>
    <w:rsid w:val="00720D49"/>
    <w:rsid w:val="00720D78"/>
    <w:rsid w:val="00720EF2"/>
    <w:rsid w:val="007212AF"/>
    <w:rsid w:val="0072173E"/>
    <w:rsid w:val="00721B1F"/>
    <w:rsid w:val="00721E72"/>
    <w:rsid w:val="0072218B"/>
    <w:rsid w:val="007227BC"/>
    <w:rsid w:val="00722A53"/>
    <w:rsid w:val="00722B4B"/>
    <w:rsid w:val="007232DA"/>
    <w:rsid w:val="00723347"/>
    <w:rsid w:val="007236C8"/>
    <w:rsid w:val="00723848"/>
    <w:rsid w:val="00723912"/>
    <w:rsid w:val="00723BE6"/>
    <w:rsid w:val="00723C78"/>
    <w:rsid w:val="00723EF5"/>
    <w:rsid w:val="00723FE7"/>
    <w:rsid w:val="00724172"/>
    <w:rsid w:val="007244AA"/>
    <w:rsid w:val="00724696"/>
    <w:rsid w:val="007246A7"/>
    <w:rsid w:val="0072488B"/>
    <w:rsid w:val="0072489A"/>
    <w:rsid w:val="0072501A"/>
    <w:rsid w:val="0072530F"/>
    <w:rsid w:val="00725430"/>
    <w:rsid w:val="007258FC"/>
    <w:rsid w:val="00725B36"/>
    <w:rsid w:val="00725BE7"/>
    <w:rsid w:val="00725CA9"/>
    <w:rsid w:val="00725F85"/>
    <w:rsid w:val="00725FD3"/>
    <w:rsid w:val="00725FF3"/>
    <w:rsid w:val="00726271"/>
    <w:rsid w:val="007264EA"/>
    <w:rsid w:val="00726A9C"/>
    <w:rsid w:val="007270A7"/>
    <w:rsid w:val="00727195"/>
    <w:rsid w:val="00727321"/>
    <w:rsid w:val="007273A6"/>
    <w:rsid w:val="007275F5"/>
    <w:rsid w:val="007278B8"/>
    <w:rsid w:val="007279C0"/>
    <w:rsid w:val="00727AFA"/>
    <w:rsid w:val="00727B34"/>
    <w:rsid w:val="00727DA6"/>
    <w:rsid w:val="00727DC6"/>
    <w:rsid w:val="00727F26"/>
    <w:rsid w:val="00727F47"/>
    <w:rsid w:val="00730152"/>
    <w:rsid w:val="00730302"/>
    <w:rsid w:val="0073048F"/>
    <w:rsid w:val="00730510"/>
    <w:rsid w:val="00730943"/>
    <w:rsid w:val="007309F7"/>
    <w:rsid w:val="007309F8"/>
    <w:rsid w:val="00730E21"/>
    <w:rsid w:val="00730F77"/>
    <w:rsid w:val="00731015"/>
    <w:rsid w:val="00731120"/>
    <w:rsid w:val="0073161A"/>
    <w:rsid w:val="0073164C"/>
    <w:rsid w:val="00731750"/>
    <w:rsid w:val="007317FE"/>
    <w:rsid w:val="00731863"/>
    <w:rsid w:val="00731868"/>
    <w:rsid w:val="0073193D"/>
    <w:rsid w:val="00731979"/>
    <w:rsid w:val="00731ACD"/>
    <w:rsid w:val="00731E8C"/>
    <w:rsid w:val="00732171"/>
    <w:rsid w:val="007328B1"/>
    <w:rsid w:val="00732943"/>
    <w:rsid w:val="00732A1A"/>
    <w:rsid w:val="00732A2E"/>
    <w:rsid w:val="00732B24"/>
    <w:rsid w:val="007330E3"/>
    <w:rsid w:val="00733112"/>
    <w:rsid w:val="007331A0"/>
    <w:rsid w:val="007331C1"/>
    <w:rsid w:val="0073322D"/>
    <w:rsid w:val="0073332D"/>
    <w:rsid w:val="00733776"/>
    <w:rsid w:val="0073377C"/>
    <w:rsid w:val="00733DEE"/>
    <w:rsid w:val="0073411A"/>
    <w:rsid w:val="00734369"/>
    <w:rsid w:val="00734A8E"/>
    <w:rsid w:val="00734B0B"/>
    <w:rsid w:val="00735146"/>
    <w:rsid w:val="00735914"/>
    <w:rsid w:val="00735F2D"/>
    <w:rsid w:val="00736163"/>
    <w:rsid w:val="0073623A"/>
    <w:rsid w:val="00736343"/>
    <w:rsid w:val="00736496"/>
    <w:rsid w:val="00736672"/>
    <w:rsid w:val="00736A2A"/>
    <w:rsid w:val="00736C2D"/>
    <w:rsid w:val="00736D4D"/>
    <w:rsid w:val="00736E10"/>
    <w:rsid w:val="00737160"/>
    <w:rsid w:val="00737542"/>
    <w:rsid w:val="007375F9"/>
    <w:rsid w:val="0073774F"/>
    <w:rsid w:val="0073789F"/>
    <w:rsid w:val="00737A14"/>
    <w:rsid w:val="00737F84"/>
    <w:rsid w:val="0074008D"/>
    <w:rsid w:val="0074031A"/>
    <w:rsid w:val="0074037A"/>
    <w:rsid w:val="00740382"/>
    <w:rsid w:val="007407F5"/>
    <w:rsid w:val="00740A41"/>
    <w:rsid w:val="00740AA7"/>
    <w:rsid w:val="00740ABC"/>
    <w:rsid w:val="00740EA0"/>
    <w:rsid w:val="007413C9"/>
    <w:rsid w:val="00741434"/>
    <w:rsid w:val="0074161B"/>
    <w:rsid w:val="00741852"/>
    <w:rsid w:val="007418EB"/>
    <w:rsid w:val="0074192B"/>
    <w:rsid w:val="00741931"/>
    <w:rsid w:val="007419D0"/>
    <w:rsid w:val="007419F9"/>
    <w:rsid w:val="00741E97"/>
    <w:rsid w:val="00741EDC"/>
    <w:rsid w:val="00742304"/>
    <w:rsid w:val="0074235E"/>
    <w:rsid w:val="00742569"/>
    <w:rsid w:val="0074266F"/>
    <w:rsid w:val="007426B3"/>
    <w:rsid w:val="00742A25"/>
    <w:rsid w:val="00742D1C"/>
    <w:rsid w:val="00742FBB"/>
    <w:rsid w:val="00742FFC"/>
    <w:rsid w:val="00743140"/>
    <w:rsid w:val="0074350F"/>
    <w:rsid w:val="007437C1"/>
    <w:rsid w:val="007439E3"/>
    <w:rsid w:val="00743A34"/>
    <w:rsid w:val="00743A49"/>
    <w:rsid w:val="00743DEE"/>
    <w:rsid w:val="00743E8E"/>
    <w:rsid w:val="007447BE"/>
    <w:rsid w:val="00744887"/>
    <w:rsid w:val="00744891"/>
    <w:rsid w:val="00744B09"/>
    <w:rsid w:val="00744B8A"/>
    <w:rsid w:val="00744C53"/>
    <w:rsid w:val="00744D08"/>
    <w:rsid w:val="00744F66"/>
    <w:rsid w:val="007450F0"/>
    <w:rsid w:val="0074528C"/>
    <w:rsid w:val="00745496"/>
    <w:rsid w:val="007456DB"/>
    <w:rsid w:val="00745781"/>
    <w:rsid w:val="00745F48"/>
    <w:rsid w:val="007464F1"/>
    <w:rsid w:val="0074660B"/>
    <w:rsid w:val="0074674C"/>
    <w:rsid w:val="00746AD6"/>
    <w:rsid w:val="00746AE8"/>
    <w:rsid w:val="00746C51"/>
    <w:rsid w:val="00746CD0"/>
    <w:rsid w:val="00747277"/>
    <w:rsid w:val="0074751E"/>
    <w:rsid w:val="00747611"/>
    <w:rsid w:val="0074761A"/>
    <w:rsid w:val="007478E9"/>
    <w:rsid w:val="00747C89"/>
    <w:rsid w:val="00747D69"/>
    <w:rsid w:val="00747DAE"/>
    <w:rsid w:val="00747E06"/>
    <w:rsid w:val="00747FDE"/>
    <w:rsid w:val="007500C7"/>
    <w:rsid w:val="007504CB"/>
    <w:rsid w:val="0075052F"/>
    <w:rsid w:val="007509CC"/>
    <w:rsid w:val="007509F5"/>
    <w:rsid w:val="00750A38"/>
    <w:rsid w:val="00750BD0"/>
    <w:rsid w:val="00750C87"/>
    <w:rsid w:val="00750D7E"/>
    <w:rsid w:val="0075121E"/>
    <w:rsid w:val="0075127D"/>
    <w:rsid w:val="007514F9"/>
    <w:rsid w:val="007516B1"/>
    <w:rsid w:val="00751915"/>
    <w:rsid w:val="00751995"/>
    <w:rsid w:val="00751ADE"/>
    <w:rsid w:val="00751CB2"/>
    <w:rsid w:val="00751EF3"/>
    <w:rsid w:val="007520D5"/>
    <w:rsid w:val="007520EF"/>
    <w:rsid w:val="00752384"/>
    <w:rsid w:val="007525D3"/>
    <w:rsid w:val="00752634"/>
    <w:rsid w:val="007529CD"/>
    <w:rsid w:val="00752B7F"/>
    <w:rsid w:val="00752BC4"/>
    <w:rsid w:val="00752F22"/>
    <w:rsid w:val="00753886"/>
    <w:rsid w:val="007539C4"/>
    <w:rsid w:val="00753BA3"/>
    <w:rsid w:val="00753CD8"/>
    <w:rsid w:val="00753FE5"/>
    <w:rsid w:val="00754004"/>
    <w:rsid w:val="00754029"/>
    <w:rsid w:val="0075407E"/>
    <w:rsid w:val="007540DD"/>
    <w:rsid w:val="00754166"/>
    <w:rsid w:val="0075420D"/>
    <w:rsid w:val="0075457E"/>
    <w:rsid w:val="0075461E"/>
    <w:rsid w:val="00754694"/>
    <w:rsid w:val="00754764"/>
    <w:rsid w:val="00754BE6"/>
    <w:rsid w:val="00754F94"/>
    <w:rsid w:val="007550B9"/>
    <w:rsid w:val="00755138"/>
    <w:rsid w:val="00755161"/>
    <w:rsid w:val="00755410"/>
    <w:rsid w:val="00755623"/>
    <w:rsid w:val="00755D3B"/>
    <w:rsid w:val="00755DA4"/>
    <w:rsid w:val="00755E88"/>
    <w:rsid w:val="00755EF2"/>
    <w:rsid w:val="00756059"/>
    <w:rsid w:val="007560DB"/>
    <w:rsid w:val="0075611A"/>
    <w:rsid w:val="007561F4"/>
    <w:rsid w:val="0075624F"/>
    <w:rsid w:val="007562A9"/>
    <w:rsid w:val="0075632D"/>
    <w:rsid w:val="00756429"/>
    <w:rsid w:val="00756608"/>
    <w:rsid w:val="0075683C"/>
    <w:rsid w:val="007568E9"/>
    <w:rsid w:val="007569FF"/>
    <w:rsid w:val="00756B57"/>
    <w:rsid w:val="00756CCA"/>
    <w:rsid w:val="00756D3E"/>
    <w:rsid w:val="00756F5D"/>
    <w:rsid w:val="00757116"/>
    <w:rsid w:val="007571B2"/>
    <w:rsid w:val="00757413"/>
    <w:rsid w:val="00757647"/>
    <w:rsid w:val="00757664"/>
    <w:rsid w:val="007579AC"/>
    <w:rsid w:val="00757BD5"/>
    <w:rsid w:val="00757FAF"/>
    <w:rsid w:val="0076012B"/>
    <w:rsid w:val="00760561"/>
    <w:rsid w:val="00760627"/>
    <w:rsid w:val="00760797"/>
    <w:rsid w:val="00760B9F"/>
    <w:rsid w:val="00760D5C"/>
    <w:rsid w:val="00760D90"/>
    <w:rsid w:val="00760EC3"/>
    <w:rsid w:val="007612BB"/>
    <w:rsid w:val="007618B3"/>
    <w:rsid w:val="007619A0"/>
    <w:rsid w:val="00761AB4"/>
    <w:rsid w:val="00761B88"/>
    <w:rsid w:val="0076208F"/>
    <w:rsid w:val="00762248"/>
    <w:rsid w:val="00762319"/>
    <w:rsid w:val="007629EF"/>
    <w:rsid w:val="00762B60"/>
    <w:rsid w:val="00762D2F"/>
    <w:rsid w:val="0076325F"/>
    <w:rsid w:val="00763396"/>
    <w:rsid w:val="00763443"/>
    <w:rsid w:val="00763647"/>
    <w:rsid w:val="007637B0"/>
    <w:rsid w:val="00763BEC"/>
    <w:rsid w:val="00763C96"/>
    <w:rsid w:val="00763CE3"/>
    <w:rsid w:val="00763EA8"/>
    <w:rsid w:val="00763F60"/>
    <w:rsid w:val="00764069"/>
    <w:rsid w:val="007640F9"/>
    <w:rsid w:val="00764189"/>
    <w:rsid w:val="007643E2"/>
    <w:rsid w:val="0076454D"/>
    <w:rsid w:val="0076471C"/>
    <w:rsid w:val="0076477A"/>
    <w:rsid w:val="007649DA"/>
    <w:rsid w:val="00764BAB"/>
    <w:rsid w:val="00764BC7"/>
    <w:rsid w:val="0076506A"/>
    <w:rsid w:val="007650D0"/>
    <w:rsid w:val="00765221"/>
    <w:rsid w:val="0076537C"/>
    <w:rsid w:val="00765548"/>
    <w:rsid w:val="00765550"/>
    <w:rsid w:val="00765552"/>
    <w:rsid w:val="00765C69"/>
    <w:rsid w:val="00765E13"/>
    <w:rsid w:val="00765FDF"/>
    <w:rsid w:val="007663AB"/>
    <w:rsid w:val="007664E7"/>
    <w:rsid w:val="00766DB6"/>
    <w:rsid w:val="007670AA"/>
    <w:rsid w:val="0076726A"/>
    <w:rsid w:val="007677A1"/>
    <w:rsid w:val="007679CF"/>
    <w:rsid w:val="00767A45"/>
    <w:rsid w:val="00767CCC"/>
    <w:rsid w:val="007700FB"/>
    <w:rsid w:val="00770486"/>
    <w:rsid w:val="00770657"/>
    <w:rsid w:val="00770714"/>
    <w:rsid w:val="007709D4"/>
    <w:rsid w:val="00770A24"/>
    <w:rsid w:val="00770A97"/>
    <w:rsid w:val="00770B8B"/>
    <w:rsid w:val="00770BE7"/>
    <w:rsid w:val="00770DC9"/>
    <w:rsid w:val="00770DE4"/>
    <w:rsid w:val="007710A5"/>
    <w:rsid w:val="007711D6"/>
    <w:rsid w:val="00771772"/>
    <w:rsid w:val="007717AB"/>
    <w:rsid w:val="00771A72"/>
    <w:rsid w:val="00771C6C"/>
    <w:rsid w:val="00771D4F"/>
    <w:rsid w:val="00771F6D"/>
    <w:rsid w:val="00772472"/>
    <w:rsid w:val="007724B3"/>
    <w:rsid w:val="00772993"/>
    <w:rsid w:val="00772E81"/>
    <w:rsid w:val="00772FD4"/>
    <w:rsid w:val="00773050"/>
    <w:rsid w:val="00773833"/>
    <w:rsid w:val="00773894"/>
    <w:rsid w:val="00773BBF"/>
    <w:rsid w:val="00773DBB"/>
    <w:rsid w:val="00773F7A"/>
    <w:rsid w:val="007742AA"/>
    <w:rsid w:val="0077431B"/>
    <w:rsid w:val="00774574"/>
    <w:rsid w:val="007745A5"/>
    <w:rsid w:val="0077471D"/>
    <w:rsid w:val="0077489C"/>
    <w:rsid w:val="007748BA"/>
    <w:rsid w:val="00774A41"/>
    <w:rsid w:val="00774ABC"/>
    <w:rsid w:val="00774AD4"/>
    <w:rsid w:val="00774CC1"/>
    <w:rsid w:val="00774EE4"/>
    <w:rsid w:val="007751DF"/>
    <w:rsid w:val="007754D6"/>
    <w:rsid w:val="00775795"/>
    <w:rsid w:val="007757D6"/>
    <w:rsid w:val="00775806"/>
    <w:rsid w:val="0077592C"/>
    <w:rsid w:val="0077598D"/>
    <w:rsid w:val="00775ABC"/>
    <w:rsid w:val="00775DE2"/>
    <w:rsid w:val="00775F0E"/>
    <w:rsid w:val="0077613B"/>
    <w:rsid w:val="0077619C"/>
    <w:rsid w:val="007762D6"/>
    <w:rsid w:val="00776444"/>
    <w:rsid w:val="0077655B"/>
    <w:rsid w:val="007765B4"/>
    <w:rsid w:val="00776970"/>
    <w:rsid w:val="00776BFC"/>
    <w:rsid w:val="00776BFF"/>
    <w:rsid w:val="00776D86"/>
    <w:rsid w:val="00776E34"/>
    <w:rsid w:val="00776F71"/>
    <w:rsid w:val="00776F7F"/>
    <w:rsid w:val="0077715E"/>
    <w:rsid w:val="0077719A"/>
    <w:rsid w:val="00777440"/>
    <w:rsid w:val="0077796F"/>
    <w:rsid w:val="007779BB"/>
    <w:rsid w:val="00777B45"/>
    <w:rsid w:val="007800E2"/>
    <w:rsid w:val="0078026A"/>
    <w:rsid w:val="00780323"/>
    <w:rsid w:val="007803CF"/>
    <w:rsid w:val="007809BF"/>
    <w:rsid w:val="00780D2A"/>
    <w:rsid w:val="00780EFF"/>
    <w:rsid w:val="00781462"/>
    <w:rsid w:val="00781511"/>
    <w:rsid w:val="007815B0"/>
    <w:rsid w:val="00781B62"/>
    <w:rsid w:val="00781C43"/>
    <w:rsid w:val="007826C3"/>
    <w:rsid w:val="007826D2"/>
    <w:rsid w:val="007829B2"/>
    <w:rsid w:val="007829B8"/>
    <w:rsid w:val="00782AEB"/>
    <w:rsid w:val="00782C10"/>
    <w:rsid w:val="00782F5C"/>
    <w:rsid w:val="00782FEA"/>
    <w:rsid w:val="00783138"/>
    <w:rsid w:val="0078341F"/>
    <w:rsid w:val="00783704"/>
    <w:rsid w:val="007839BD"/>
    <w:rsid w:val="00783E3B"/>
    <w:rsid w:val="00783E4B"/>
    <w:rsid w:val="00783EA3"/>
    <w:rsid w:val="00783F0C"/>
    <w:rsid w:val="007840CA"/>
    <w:rsid w:val="007840DC"/>
    <w:rsid w:val="007842A5"/>
    <w:rsid w:val="00784382"/>
    <w:rsid w:val="007847CF"/>
    <w:rsid w:val="00784A3F"/>
    <w:rsid w:val="00784A48"/>
    <w:rsid w:val="00784B14"/>
    <w:rsid w:val="00784CBB"/>
    <w:rsid w:val="007850AF"/>
    <w:rsid w:val="0078542B"/>
    <w:rsid w:val="00785CD2"/>
    <w:rsid w:val="00785DA3"/>
    <w:rsid w:val="00785DF2"/>
    <w:rsid w:val="00785E02"/>
    <w:rsid w:val="00786110"/>
    <w:rsid w:val="007861F7"/>
    <w:rsid w:val="007864EA"/>
    <w:rsid w:val="007865AF"/>
    <w:rsid w:val="00786920"/>
    <w:rsid w:val="0078693C"/>
    <w:rsid w:val="00786ACC"/>
    <w:rsid w:val="00786E31"/>
    <w:rsid w:val="00786E80"/>
    <w:rsid w:val="00787096"/>
    <w:rsid w:val="0078710C"/>
    <w:rsid w:val="00787210"/>
    <w:rsid w:val="0078757B"/>
    <w:rsid w:val="0078785F"/>
    <w:rsid w:val="00787F7F"/>
    <w:rsid w:val="00787F91"/>
    <w:rsid w:val="00790245"/>
    <w:rsid w:val="0079031F"/>
    <w:rsid w:val="00790462"/>
    <w:rsid w:val="007906BD"/>
    <w:rsid w:val="007906C7"/>
    <w:rsid w:val="00790944"/>
    <w:rsid w:val="00790C4A"/>
    <w:rsid w:val="00790E93"/>
    <w:rsid w:val="00790F2C"/>
    <w:rsid w:val="00790FCF"/>
    <w:rsid w:val="00791170"/>
    <w:rsid w:val="0079157B"/>
    <w:rsid w:val="0079187C"/>
    <w:rsid w:val="00791F8C"/>
    <w:rsid w:val="00792222"/>
    <w:rsid w:val="007924B5"/>
    <w:rsid w:val="0079265B"/>
    <w:rsid w:val="00792EA9"/>
    <w:rsid w:val="0079301B"/>
    <w:rsid w:val="007931CC"/>
    <w:rsid w:val="00793226"/>
    <w:rsid w:val="00793541"/>
    <w:rsid w:val="007939E6"/>
    <w:rsid w:val="00793A83"/>
    <w:rsid w:val="00793B37"/>
    <w:rsid w:val="00793DC3"/>
    <w:rsid w:val="00794118"/>
    <w:rsid w:val="00794169"/>
    <w:rsid w:val="00794584"/>
    <w:rsid w:val="0079464A"/>
    <w:rsid w:val="00794698"/>
    <w:rsid w:val="00794D86"/>
    <w:rsid w:val="00794E5A"/>
    <w:rsid w:val="00794ED7"/>
    <w:rsid w:val="0079501F"/>
    <w:rsid w:val="0079509C"/>
    <w:rsid w:val="00795161"/>
    <w:rsid w:val="007954C8"/>
    <w:rsid w:val="0079554E"/>
    <w:rsid w:val="007955A3"/>
    <w:rsid w:val="0079574A"/>
    <w:rsid w:val="00795887"/>
    <w:rsid w:val="007959AA"/>
    <w:rsid w:val="007959CF"/>
    <w:rsid w:val="0079628A"/>
    <w:rsid w:val="007963C2"/>
    <w:rsid w:val="00796405"/>
    <w:rsid w:val="00796945"/>
    <w:rsid w:val="00796C31"/>
    <w:rsid w:val="00796DDC"/>
    <w:rsid w:val="00796E06"/>
    <w:rsid w:val="00796EB8"/>
    <w:rsid w:val="00796F6C"/>
    <w:rsid w:val="007970B0"/>
    <w:rsid w:val="0079741D"/>
    <w:rsid w:val="0079787A"/>
    <w:rsid w:val="00797918"/>
    <w:rsid w:val="00797967"/>
    <w:rsid w:val="00797AF9"/>
    <w:rsid w:val="00797E69"/>
    <w:rsid w:val="00797EF8"/>
    <w:rsid w:val="007A0134"/>
    <w:rsid w:val="007A0509"/>
    <w:rsid w:val="007A05A2"/>
    <w:rsid w:val="007A0660"/>
    <w:rsid w:val="007A0B7B"/>
    <w:rsid w:val="007A0D1F"/>
    <w:rsid w:val="007A0D24"/>
    <w:rsid w:val="007A0DA6"/>
    <w:rsid w:val="007A126D"/>
    <w:rsid w:val="007A129A"/>
    <w:rsid w:val="007A138F"/>
    <w:rsid w:val="007A1619"/>
    <w:rsid w:val="007A176B"/>
    <w:rsid w:val="007A1B0B"/>
    <w:rsid w:val="007A1CF5"/>
    <w:rsid w:val="007A22A6"/>
    <w:rsid w:val="007A249F"/>
    <w:rsid w:val="007A294F"/>
    <w:rsid w:val="007A29E4"/>
    <w:rsid w:val="007A2BCB"/>
    <w:rsid w:val="007A2C4C"/>
    <w:rsid w:val="007A2DB2"/>
    <w:rsid w:val="007A2EF4"/>
    <w:rsid w:val="007A320D"/>
    <w:rsid w:val="007A33C8"/>
    <w:rsid w:val="007A3431"/>
    <w:rsid w:val="007A3688"/>
    <w:rsid w:val="007A3780"/>
    <w:rsid w:val="007A38AB"/>
    <w:rsid w:val="007A3AC6"/>
    <w:rsid w:val="007A3C37"/>
    <w:rsid w:val="007A41E9"/>
    <w:rsid w:val="007A43B1"/>
    <w:rsid w:val="007A443E"/>
    <w:rsid w:val="007A471D"/>
    <w:rsid w:val="007A4798"/>
    <w:rsid w:val="007A497D"/>
    <w:rsid w:val="007A4991"/>
    <w:rsid w:val="007A4A59"/>
    <w:rsid w:val="007A4AE2"/>
    <w:rsid w:val="007A4E05"/>
    <w:rsid w:val="007A5232"/>
    <w:rsid w:val="007A5440"/>
    <w:rsid w:val="007A55F8"/>
    <w:rsid w:val="007A5657"/>
    <w:rsid w:val="007A5F80"/>
    <w:rsid w:val="007A61BC"/>
    <w:rsid w:val="007A63E6"/>
    <w:rsid w:val="007A6582"/>
    <w:rsid w:val="007A6ACE"/>
    <w:rsid w:val="007A6AD1"/>
    <w:rsid w:val="007A6D67"/>
    <w:rsid w:val="007A6DE3"/>
    <w:rsid w:val="007A6E4B"/>
    <w:rsid w:val="007A706B"/>
    <w:rsid w:val="007A7200"/>
    <w:rsid w:val="007A7231"/>
    <w:rsid w:val="007A7245"/>
    <w:rsid w:val="007A7277"/>
    <w:rsid w:val="007A7636"/>
    <w:rsid w:val="007A78B2"/>
    <w:rsid w:val="007A78DC"/>
    <w:rsid w:val="007A7C74"/>
    <w:rsid w:val="007A7E3D"/>
    <w:rsid w:val="007A7E4D"/>
    <w:rsid w:val="007A7EE4"/>
    <w:rsid w:val="007B03D2"/>
    <w:rsid w:val="007B06AF"/>
    <w:rsid w:val="007B099A"/>
    <w:rsid w:val="007B0B6C"/>
    <w:rsid w:val="007B12AB"/>
    <w:rsid w:val="007B13D4"/>
    <w:rsid w:val="007B15DA"/>
    <w:rsid w:val="007B17E2"/>
    <w:rsid w:val="007B182E"/>
    <w:rsid w:val="007B18A1"/>
    <w:rsid w:val="007B1904"/>
    <w:rsid w:val="007B1B63"/>
    <w:rsid w:val="007B1FEA"/>
    <w:rsid w:val="007B211A"/>
    <w:rsid w:val="007B21D4"/>
    <w:rsid w:val="007B21D8"/>
    <w:rsid w:val="007B223F"/>
    <w:rsid w:val="007B2430"/>
    <w:rsid w:val="007B24A1"/>
    <w:rsid w:val="007B26CA"/>
    <w:rsid w:val="007B2C2C"/>
    <w:rsid w:val="007B2CEB"/>
    <w:rsid w:val="007B2DA5"/>
    <w:rsid w:val="007B2F69"/>
    <w:rsid w:val="007B320E"/>
    <w:rsid w:val="007B327B"/>
    <w:rsid w:val="007B32EE"/>
    <w:rsid w:val="007B3704"/>
    <w:rsid w:val="007B38D0"/>
    <w:rsid w:val="007B3BDD"/>
    <w:rsid w:val="007B3D9F"/>
    <w:rsid w:val="007B3F88"/>
    <w:rsid w:val="007B3FCC"/>
    <w:rsid w:val="007B4098"/>
    <w:rsid w:val="007B432A"/>
    <w:rsid w:val="007B47FE"/>
    <w:rsid w:val="007B48CE"/>
    <w:rsid w:val="007B48F3"/>
    <w:rsid w:val="007B49E2"/>
    <w:rsid w:val="007B4A44"/>
    <w:rsid w:val="007B4E92"/>
    <w:rsid w:val="007B4F81"/>
    <w:rsid w:val="007B5053"/>
    <w:rsid w:val="007B5298"/>
    <w:rsid w:val="007B5DA3"/>
    <w:rsid w:val="007B5FF3"/>
    <w:rsid w:val="007B62FE"/>
    <w:rsid w:val="007B63FF"/>
    <w:rsid w:val="007B6522"/>
    <w:rsid w:val="007B6657"/>
    <w:rsid w:val="007B667B"/>
    <w:rsid w:val="007B6A77"/>
    <w:rsid w:val="007B6BD7"/>
    <w:rsid w:val="007B6C32"/>
    <w:rsid w:val="007B6D10"/>
    <w:rsid w:val="007B6D4D"/>
    <w:rsid w:val="007B6DF1"/>
    <w:rsid w:val="007B6F4C"/>
    <w:rsid w:val="007B7091"/>
    <w:rsid w:val="007B75B1"/>
    <w:rsid w:val="007B75DB"/>
    <w:rsid w:val="007B77D7"/>
    <w:rsid w:val="007B7DCD"/>
    <w:rsid w:val="007C0CE1"/>
    <w:rsid w:val="007C1752"/>
    <w:rsid w:val="007C1891"/>
    <w:rsid w:val="007C1A6D"/>
    <w:rsid w:val="007C1CCE"/>
    <w:rsid w:val="007C1D82"/>
    <w:rsid w:val="007C1F90"/>
    <w:rsid w:val="007C1FD2"/>
    <w:rsid w:val="007C2013"/>
    <w:rsid w:val="007C203A"/>
    <w:rsid w:val="007C2371"/>
    <w:rsid w:val="007C2482"/>
    <w:rsid w:val="007C291A"/>
    <w:rsid w:val="007C2A96"/>
    <w:rsid w:val="007C3122"/>
    <w:rsid w:val="007C31D8"/>
    <w:rsid w:val="007C3436"/>
    <w:rsid w:val="007C3593"/>
    <w:rsid w:val="007C35A5"/>
    <w:rsid w:val="007C35C6"/>
    <w:rsid w:val="007C37AD"/>
    <w:rsid w:val="007C3930"/>
    <w:rsid w:val="007C3B58"/>
    <w:rsid w:val="007C3EEB"/>
    <w:rsid w:val="007C4159"/>
    <w:rsid w:val="007C4696"/>
    <w:rsid w:val="007C483F"/>
    <w:rsid w:val="007C4CF2"/>
    <w:rsid w:val="007C4E1E"/>
    <w:rsid w:val="007C4E36"/>
    <w:rsid w:val="007C4EBB"/>
    <w:rsid w:val="007C4FF6"/>
    <w:rsid w:val="007C5228"/>
    <w:rsid w:val="007C5329"/>
    <w:rsid w:val="007C552C"/>
    <w:rsid w:val="007C5A30"/>
    <w:rsid w:val="007C5B62"/>
    <w:rsid w:val="007C5CB3"/>
    <w:rsid w:val="007C5DB9"/>
    <w:rsid w:val="007C6525"/>
    <w:rsid w:val="007C6651"/>
    <w:rsid w:val="007C6660"/>
    <w:rsid w:val="007C68EC"/>
    <w:rsid w:val="007C695E"/>
    <w:rsid w:val="007C696E"/>
    <w:rsid w:val="007C6BE4"/>
    <w:rsid w:val="007C6C5B"/>
    <w:rsid w:val="007C6C6F"/>
    <w:rsid w:val="007C6F97"/>
    <w:rsid w:val="007C702B"/>
    <w:rsid w:val="007C75E7"/>
    <w:rsid w:val="007C7818"/>
    <w:rsid w:val="007C786B"/>
    <w:rsid w:val="007C78A0"/>
    <w:rsid w:val="007C78E5"/>
    <w:rsid w:val="007C7C4F"/>
    <w:rsid w:val="007C7CC8"/>
    <w:rsid w:val="007C7E7F"/>
    <w:rsid w:val="007D0017"/>
    <w:rsid w:val="007D0430"/>
    <w:rsid w:val="007D0544"/>
    <w:rsid w:val="007D0773"/>
    <w:rsid w:val="007D09C6"/>
    <w:rsid w:val="007D0A2F"/>
    <w:rsid w:val="007D102E"/>
    <w:rsid w:val="007D10FE"/>
    <w:rsid w:val="007D14A9"/>
    <w:rsid w:val="007D1683"/>
    <w:rsid w:val="007D17B6"/>
    <w:rsid w:val="007D1F06"/>
    <w:rsid w:val="007D22B7"/>
    <w:rsid w:val="007D2360"/>
    <w:rsid w:val="007D23ED"/>
    <w:rsid w:val="007D2687"/>
    <w:rsid w:val="007D2770"/>
    <w:rsid w:val="007D27B2"/>
    <w:rsid w:val="007D283F"/>
    <w:rsid w:val="007D290C"/>
    <w:rsid w:val="007D2933"/>
    <w:rsid w:val="007D2A98"/>
    <w:rsid w:val="007D2ACD"/>
    <w:rsid w:val="007D2B51"/>
    <w:rsid w:val="007D2CC5"/>
    <w:rsid w:val="007D2E33"/>
    <w:rsid w:val="007D2EFF"/>
    <w:rsid w:val="007D3099"/>
    <w:rsid w:val="007D317D"/>
    <w:rsid w:val="007D33A8"/>
    <w:rsid w:val="007D34A5"/>
    <w:rsid w:val="007D3527"/>
    <w:rsid w:val="007D3A7D"/>
    <w:rsid w:val="007D3B73"/>
    <w:rsid w:val="007D3C0B"/>
    <w:rsid w:val="007D3CDC"/>
    <w:rsid w:val="007D3DBC"/>
    <w:rsid w:val="007D3F02"/>
    <w:rsid w:val="007D4184"/>
    <w:rsid w:val="007D42F7"/>
    <w:rsid w:val="007D43C7"/>
    <w:rsid w:val="007D4927"/>
    <w:rsid w:val="007D4C39"/>
    <w:rsid w:val="007D4E9B"/>
    <w:rsid w:val="007D526E"/>
    <w:rsid w:val="007D5583"/>
    <w:rsid w:val="007D586E"/>
    <w:rsid w:val="007D5872"/>
    <w:rsid w:val="007D58E6"/>
    <w:rsid w:val="007D591A"/>
    <w:rsid w:val="007D5B0C"/>
    <w:rsid w:val="007D5CD8"/>
    <w:rsid w:val="007D5D04"/>
    <w:rsid w:val="007D5D2E"/>
    <w:rsid w:val="007D5DD5"/>
    <w:rsid w:val="007D61FE"/>
    <w:rsid w:val="007D62B7"/>
    <w:rsid w:val="007D63CF"/>
    <w:rsid w:val="007D640C"/>
    <w:rsid w:val="007D6A16"/>
    <w:rsid w:val="007D6A3B"/>
    <w:rsid w:val="007D6B60"/>
    <w:rsid w:val="007D6C28"/>
    <w:rsid w:val="007D6F4F"/>
    <w:rsid w:val="007D7036"/>
    <w:rsid w:val="007D70A2"/>
    <w:rsid w:val="007D73E8"/>
    <w:rsid w:val="007D74A4"/>
    <w:rsid w:val="007D776A"/>
    <w:rsid w:val="007D7B11"/>
    <w:rsid w:val="007D7D55"/>
    <w:rsid w:val="007D7DB5"/>
    <w:rsid w:val="007D7F7C"/>
    <w:rsid w:val="007E001E"/>
    <w:rsid w:val="007E0372"/>
    <w:rsid w:val="007E0906"/>
    <w:rsid w:val="007E0A54"/>
    <w:rsid w:val="007E0C4A"/>
    <w:rsid w:val="007E0D7E"/>
    <w:rsid w:val="007E0DC2"/>
    <w:rsid w:val="007E102E"/>
    <w:rsid w:val="007E14F8"/>
    <w:rsid w:val="007E194A"/>
    <w:rsid w:val="007E1A6C"/>
    <w:rsid w:val="007E1C3F"/>
    <w:rsid w:val="007E1D53"/>
    <w:rsid w:val="007E1F3E"/>
    <w:rsid w:val="007E221F"/>
    <w:rsid w:val="007E229B"/>
    <w:rsid w:val="007E23F0"/>
    <w:rsid w:val="007E25B3"/>
    <w:rsid w:val="007E2608"/>
    <w:rsid w:val="007E26E1"/>
    <w:rsid w:val="007E277C"/>
    <w:rsid w:val="007E2AA2"/>
    <w:rsid w:val="007E2C01"/>
    <w:rsid w:val="007E2C1C"/>
    <w:rsid w:val="007E2C94"/>
    <w:rsid w:val="007E3083"/>
    <w:rsid w:val="007E312C"/>
    <w:rsid w:val="007E3146"/>
    <w:rsid w:val="007E33FD"/>
    <w:rsid w:val="007E34F1"/>
    <w:rsid w:val="007E3683"/>
    <w:rsid w:val="007E36F3"/>
    <w:rsid w:val="007E371F"/>
    <w:rsid w:val="007E3769"/>
    <w:rsid w:val="007E3A1E"/>
    <w:rsid w:val="007E3C6D"/>
    <w:rsid w:val="007E3DC8"/>
    <w:rsid w:val="007E3E50"/>
    <w:rsid w:val="007E3FFF"/>
    <w:rsid w:val="007E429B"/>
    <w:rsid w:val="007E46CF"/>
    <w:rsid w:val="007E46DB"/>
    <w:rsid w:val="007E4719"/>
    <w:rsid w:val="007E4DD8"/>
    <w:rsid w:val="007E52CD"/>
    <w:rsid w:val="007E53F6"/>
    <w:rsid w:val="007E5431"/>
    <w:rsid w:val="007E55D2"/>
    <w:rsid w:val="007E56C4"/>
    <w:rsid w:val="007E593D"/>
    <w:rsid w:val="007E60F7"/>
    <w:rsid w:val="007E64E3"/>
    <w:rsid w:val="007E6709"/>
    <w:rsid w:val="007E683F"/>
    <w:rsid w:val="007E68BF"/>
    <w:rsid w:val="007E6A97"/>
    <w:rsid w:val="007E6BBF"/>
    <w:rsid w:val="007E6EF6"/>
    <w:rsid w:val="007E6EF9"/>
    <w:rsid w:val="007E6F29"/>
    <w:rsid w:val="007E7158"/>
    <w:rsid w:val="007E76F7"/>
    <w:rsid w:val="007E7928"/>
    <w:rsid w:val="007E7D1C"/>
    <w:rsid w:val="007E7D5F"/>
    <w:rsid w:val="007E7F2A"/>
    <w:rsid w:val="007E7F59"/>
    <w:rsid w:val="007F016A"/>
    <w:rsid w:val="007F0237"/>
    <w:rsid w:val="007F084E"/>
    <w:rsid w:val="007F096D"/>
    <w:rsid w:val="007F099E"/>
    <w:rsid w:val="007F09E4"/>
    <w:rsid w:val="007F1009"/>
    <w:rsid w:val="007F11E2"/>
    <w:rsid w:val="007F1B2A"/>
    <w:rsid w:val="007F1D84"/>
    <w:rsid w:val="007F258E"/>
    <w:rsid w:val="007F2807"/>
    <w:rsid w:val="007F28C2"/>
    <w:rsid w:val="007F2A02"/>
    <w:rsid w:val="007F2D52"/>
    <w:rsid w:val="007F2D76"/>
    <w:rsid w:val="007F2E09"/>
    <w:rsid w:val="007F2F9D"/>
    <w:rsid w:val="007F313B"/>
    <w:rsid w:val="007F3219"/>
    <w:rsid w:val="007F33F4"/>
    <w:rsid w:val="007F3406"/>
    <w:rsid w:val="007F34DE"/>
    <w:rsid w:val="007F38CA"/>
    <w:rsid w:val="007F39D2"/>
    <w:rsid w:val="007F3AE0"/>
    <w:rsid w:val="007F3C7F"/>
    <w:rsid w:val="007F41E8"/>
    <w:rsid w:val="007F4375"/>
    <w:rsid w:val="007F43CD"/>
    <w:rsid w:val="007F43F4"/>
    <w:rsid w:val="007F442E"/>
    <w:rsid w:val="007F44F1"/>
    <w:rsid w:val="007F478E"/>
    <w:rsid w:val="007F4899"/>
    <w:rsid w:val="007F4A3F"/>
    <w:rsid w:val="007F4A90"/>
    <w:rsid w:val="007F4B4F"/>
    <w:rsid w:val="007F4B90"/>
    <w:rsid w:val="007F4C84"/>
    <w:rsid w:val="007F4D22"/>
    <w:rsid w:val="007F4E39"/>
    <w:rsid w:val="007F4E96"/>
    <w:rsid w:val="007F5023"/>
    <w:rsid w:val="007F518D"/>
    <w:rsid w:val="007F5244"/>
    <w:rsid w:val="007F53C9"/>
    <w:rsid w:val="007F5484"/>
    <w:rsid w:val="007F5C07"/>
    <w:rsid w:val="007F5EFC"/>
    <w:rsid w:val="007F5F51"/>
    <w:rsid w:val="007F604D"/>
    <w:rsid w:val="007F6163"/>
    <w:rsid w:val="007F64F3"/>
    <w:rsid w:val="007F664E"/>
    <w:rsid w:val="007F66B2"/>
    <w:rsid w:val="007F689B"/>
    <w:rsid w:val="007F6D6C"/>
    <w:rsid w:val="007F6F01"/>
    <w:rsid w:val="007F72A9"/>
    <w:rsid w:val="007F743C"/>
    <w:rsid w:val="007F77B3"/>
    <w:rsid w:val="007F77C2"/>
    <w:rsid w:val="007F7BF4"/>
    <w:rsid w:val="007F7C22"/>
    <w:rsid w:val="007F7CA2"/>
    <w:rsid w:val="007F7DA6"/>
    <w:rsid w:val="007F7E3F"/>
    <w:rsid w:val="00800384"/>
    <w:rsid w:val="00800433"/>
    <w:rsid w:val="008004C9"/>
    <w:rsid w:val="00800552"/>
    <w:rsid w:val="00800AE2"/>
    <w:rsid w:val="00800AF6"/>
    <w:rsid w:val="00800B4D"/>
    <w:rsid w:val="00800C1A"/>
    <w:rsid w:val="00800F9A"/>
    <w:rsid w:val="008010A6"/>
    <w:rsid w:val="00801522"/>
    <w:rsid w:val="0080153B"/>
    <w:rsid w:val="0080157D"/>
    <w:rsid w:val="00801654"/>
    <w:rsid w:val="008017AC"/>
    <w:rsid w:val="00801873"/>
    <w:rsid w:val="00801B0F"/>
    <w:rsid w:val="00801C60"/>
    <w:rsid w:val="00801C9A"/>
    <w:rsid w:val="00801DF1"/>
    <w:rsid w:val="008024C4"/>
    <w:rsid w:val="00802773"/>
    <w:rsid w:val="00802A59"/>
    <w:rsid w:val="00802A67"/>
    <w:rsid w:val="00802AF2"/>
    <w:rsid w:val="00802CCE"/>
    <w:rsid w:val="00802E3F"/>
    <w:rsid w:val="0080319F"/>
    <w:rsid w:val="0080328F"/>
    <w:rsid w:val="00803425"/>
    <w:rsid w:val="00803553"/>
    <w:rsid w:val="0080376B"/>
    <w:rsid w:val="00803847"/>
    <w:rsid w:val="008039B4"/>
    <w:rsid w:val="00803A1C"/>
    <w:rsid w:val="00803C5B"/>
    <w:rsid w:val="00803EA7"/>
    <w:rsid w:val="00803F0E"/>
    <w:rsid w:val="00803F6E"/>
    <w:rsid w:val="00804038"/>
    <w:rsid w:val="008044B2"/>
    <w:rsid w:val="00804825"/>
    <w:rsid w:val="0080484D"/>
    <w:rsid w:val="00804A7D"/>
    <w:rsid w:val="00804C01"/>
    <w:rsid w:val="00804CAE"/>
    <w:rsid w:val="00804D74"/>
    <w:rsid w:val="00804D81"/>
    <w:rsid w:val="00804FFC"/>
    <w:rsid w:val="0080516E"/>
    <w:rsid w:val="008052FF"/>
    <w:rsid w:val="0080546B"/>
    <w:rsid w:val="0080577D"/>
    <w:rsid w:val="00805ACC"/>
    <w:rsid w:val="00805CB4"/>
    <w:rsid w:val="00806102"/>
    <w:rsid w:val="00806151"/>
    <w:rsid w:val="0080619C"/>
    <w:rsid w:val="00806A94"/>
    <w:rsid w:val="00806DD3"/>
    <w:rsid w:val="00806F23"/>
    <w:rsid w:val="008076A6"/>
    <w:rsid w:val="008076D2"/>
    <w:rsid w:val="0080796C"/>
    <w:rsid w:val="00807B5D"/>
    <w:rsid w:val="00807C86"/>
    <w:rsid w:val="00807F79"/>
    <w:rsid w:val="008104DD"/>
    <w:rsid w:val="00810503"/>
    <w:rsid w:val="0081096D"/>
    <w:rsid w:val="00810C3B"/>
    <w:rsid w:val="00810EFC"/>
    <w:rsid w:val="00811152"/>
    <w:rsid w:val="00811221"/>
    <w:rsid w:val="008112A7"/>
    <w:rsid w:val="008114B1"/>
    <w:rsid w:val="008117D2"/>
    <w:rsid w:val="0081188E"/>
    <w:rsid w:val="00811A98"/>
    <w:rsid w:val="00811AFB"/>
    <w:rsid w:val="00811F52"/>
    <w:rsid w:val="0081207D"/>
    <w:rsid w:val="008120DA"/>
    <w:rsid w:val="00812101"/>
    <w:rsid w:val="008123B3"/>
    <w:rsid w:val="00812C60"/>
    <w:rsid w:val="00812DD1"/>
    <w:rsid w:val="00812DFC"/>
    <w:rsid w:val="00812E6F"/>
    <w:rsid w:val="00813061"/>
    <w:rsid w:val="0081341C"/>
    <w:rsid w:val="00813468"/>
    <w:rsid w:val="008134C3"/>
    <w:rsid w:val="00813624"/>
    <w:rsid w:val="0081367E"/>
    <w:rsid w:val="008136DC"/>
    <w:rsid w:val="00813934"/>
    <w:rsid w:val="0081410A"/>
    <w:rsid w:val="008146EE"/>
    <w:rsid w:val="0081489A"/>
    <w:rsid w:val="00814909"/>
    <w:rsid w:val="00814B93"/>
    <w:rsid w:val="00814C06"/>
    <w:rsid w:val="00814C15"/>
    <w:rsid w:val="008150F0"/>
    <w:rsid w:val="008151CD"/>
    <w:rsid w:val="00815361"/>
    <w:rsid w:val="0081536A"/>
    <w:rsid w:val="00815489"/>
    <w:rsid w:val="0081572D"/>
    <w:rsid w:val="00815C0D"/>
    <w:rsid w:val="00815DAF"/>
    <w:rsid w:val="00815E7C"/>
    <w:rsid w:val="00816331"/>
    <w:rsid w:val="00816365"/>
    <w:rsid w:val="008163E3"/>
    <w:rsid w:val="00816899"/>
    <w:rsid w:val="00816ADF"/>
    <w:rsid w:val="00816C69"/>
    <w:rsid w:val="00816DD8"/>
    <w:rsid w:val="00817049"/>
    <w:rsid w:val="0081738A"/>
    <w:rsid w:val="00817427"/>
    <w:rsid w:val="008174A4"/>
    <w:rsid w:val="008174DD"/>
    <w:rsid w:val="008176C1"/>
    <w:rsid w:val="0081791A"/>
    <w:rsid w:val="00817AC1"/>
    <w:rsid w:val="00817EB5"/>
    <w:rsid w:val="008201D2"/>
    <w:rsid w:val="00820A54"/>
    <w:rsid w:val="00820C03"/>
    <w:rsid w:val="00820CDA"/>
    <w:rsid w:val="00820D05"/>
    <w:rsid w:val="008212A7"/>
    <w:rsid w:val="008212BA"/>
    <w:rsid w:val="008213B8"/>
    <w:rsid w:val="00821449"/>
    <w:rsid w:val="008215C6"/>
    <w:rsid w:val="008216B3"/>
    <w:rsid w:val="0082179F"/>
    <w:rsid w:val="00821933"/>
    <w:rsid w:val="0082194D"/>
    <w:rsid w:val="00821B73"/>
    <w:rsid w:val="00821B95"/>
    <w:rsid w:val="00821C30"/>
    <w:rsid w:val="00821FDB"/>
    <w:rsid w:val="0082206A"/>
    <w:rsid w:val="008220EB"/>
    <w:rsid w:val="00822131"/>
    <w:rsid w:val="0082213B"/>
    <w:rsid w:val="0082246E"/>
    <w:rsid w:val="00822630"/>
    <w:rsid w:val="00822747"/>
    <w:rsid w:val="0082277A"/>
    <w:rsid w:val="0082286D"/>
    <w:rsid w:val="00822A34"/>
    <w:rsid w:val="00822BF2"/>
    <w:rsid w:val="0082305F"/>
    <w:rsid w:val="008230C5"/>
    <w:rsid w:val="00823954"/>
    <w:rsid w:val="00823B4F"/>
    <w:rsid w:val="00823EA5"/>
    <w:rsid w:val="008241D7"/>
    <w:rsid w:val="008243AE"/>
    <w:rsid w:val="0082474D"/>
    <w:rsid w:val="0082479E"/>
    <w:rsid w:val="0082488E"/>
    <w:rsid w:val="00824C88"/>
    <w:rsid w:val="00824E15"/>
    <w:rsid w:val="008250A7"/>
    <w:rsid w:val="008251C6"/>
    <w:rsid w:val="0082528B"/>
    <w:rsid w:val="008253CD"/>
    <w:rsid w:val="00825461"/>
    <w:rsid w:val="008255F5"/>
    <w:rsid w:val="008256A0"/>
    <w:rsid w:val="00825824"/>
    <w:rsid w:val="00825907"/>
    <w:rsid w:val="00825979"/>
    <w:rsid w:val="00825EB3"/>
    <w:rsid w:val="0082616F"/>
    <w:rsid w:val="0082628F"/>
    <w:rsid w:val="008263A3"/>
    <w:rsid w:val="0082690E"/>
    <w:rsid w:val="00826A20"/>
    <w:rsid w:val="00826A47"/>
    <w:rsid w:val="00826C63"/>
    <w:rsid w:val="00826E16"/>
    <w:rsid w:val="0082724B"/>
    <w:rsid w:val="008273FB"/>
    <w:rsid w:val="00827434"/>
    <w:rsid w:val="008276CA"/>
    <w:rsid w:val="0082776A"/>
    <w:rsid w:val="00827ABC"/>
    <w:rsid w:val="00827F79"/>
    <w:rsid w:val="0083021E"/>
    <w:rsid w:val="008303C7"/>
    <w:rsid w:val="0083043A"/>
    <w:rsid w:val="00830CCC"/>
    <w:rsid w:val="00830E8D"/>
    <w:rsid w:val="00830EEA"/>
    <w:rsid w:val="00830F19"/>
    <w:rsid w:val="00830F4B"/>
    <w:rsid w:val="00830F74"/>
    <w:rsid w:val="00830FF6"/>
    <w:rsid w:val="00831055"/>
    <w:rsid w:val="00831344"/>
    <w:rsid w:val="00831630"/>
    <w:rsid w:val="0083176B"/>
    <w:rsid w:val="008317F6"/>
    <w:rsid w:val="008318F1"/>
    <w:rsid w:val="00831957"/>
    <w:rsid w:val="00831AE7"/>
    <w:rsid w:val="00831BE3"/>
    <w:rsid w:val="00832033"/>
    <w:rsid w:val="008323C0"/>
    <w:rsid w:val="0083270B"/>
    <w:rsid w:val="00832AFE"/>
    <w:rsid w:val="00832BF7"/>
    <w:rsid w:val="00832F58"/>
    <w:rsid w:val="00833163"/>
    <w:rsid w:val="00833381"/>
    <w:rsid w:val="008333FD"/>
    <w:rsid w:val="00833698"/>
    <w:rsid w:val="0083373E"/>
    <w:rsid w:val="008338B2"/>
    <w:rsid w:val="0083395E"/>
    <w:rsid w:val="00833A96"/>
    <w:rsid w:val="00833C94"/>
    <w:rsid w:val="00833DC6"/>
    <w:rsid w:val="00833E30"/>
    <w:rsid w:val="00833F06"/>
    <w:rsid w:val="008348DD"/>
    <w:rsid w:val="00834AD1"/>
    <w:rsid w:val="00834C41"/>
    <w:rsid w:val="008350EE"/>
    <w:rsid w:val="008351A2"/>
    <w:rsid w:val="0083557E"/>
    <w:rsid w:val="0083557F"/>
    <w:rsid w:val="00835959"/>
    <w:rsid w:val="00835C74"/>
    <w:rsid w:val="00835F9B"/>
    <w:rsid w:val="008360CE"/>
    <w:rsid w:val="008366CF"/>
    <w:rsid w:val="00836A13"/>
    <w:rsid w:val="00836BD0"/>
    <w:rsid w:val="00836E4A"/>
    <w:rsid w:val="00836FED"/>
    <w:rsid w:val="008371AD"/>
    <w:rsid w:val="0083740C"/>
    <w:rsid w:val="00837453"/>
    <w:rsid w:val="00837711"/>
    <w:rsid w:val="008378AD"/>
    <w:rsid w:val="008379FE"/>
    <w:rsid w:val="00837AD4"/>
    <w:rsid w:val="00837C4C"/>
    <w:rsid w:val="00837E2B"/>
    <w:rsid w:val="008400B1"/>
    <w:rsid w:val="00840236"/>
    <w:rsid w:val="0084028E"/>
    <w:rsid w:val="0084045B"/>
    <w:rsid w:val="008408D5"/>
    <w:rsid w:val="00840AF0"/>
    <w:rsid w:val="00841188"/>
    <w:rsid w:val="0084155D"/>
    <w:rsid w:val="00841753"/>
    <w:rsid w:val="00841774"/>
    <w:rsid w:val="0084187E"/>
    <w:rsid w:val="00841A12"/>
    <w:rsid w:val="00841BF3"/>
    <w:rsid w:val="00841DDA"/>
    <w:rsid w:val="00841F02"/>
    <w:rsid w:val="00841F12"/>
    <w:rsid w:val="00841F1E"/>
    <w:rsid w:val="0084253B"/>
    <w:rsid w:val="00842674"/>
    <w:rsid w:val="00842869"/>
    <w:rsid w:val="0084287F"/>
    <w:rsid w:val="00842917"/>
    <w:rsid w:val="00842E8A"/>
    <w:rsid w:val="00843072"/>
    <w:rsid w:val="00843186"/>
    <w:rsid w:val="0084326E"/>
    <w:rsid w:val="00843325"/>
    <w:rsid w:val="008434A3"/>
    <w:rsid w:val="0084355C"/>
    <w:rsid w:val="00843939"/>
    <w:rsid w:val="00843A28"/>
    <w:rsid w:val="00843A59"/>
    <w:rsid w:val="00843EEB"/>
    <w:rsid w:val="00844032"/>
    <w:rsid w:val="008443A1"/>
    <w:rsid w:val="00844703"/>
    <w:rsid w:val="008448A0"/>
    <w:rsid w:val="0084499D"/>
    <w:rsid w:val="00844BB0"/>
    <w:rsid w:val="00844DFC"/>
    <w:rsid w:val="00844FEA"/>
    <w:rsid w:val="0084538A"/>
    <w:rsid w:val="0084539A"/>
    <w:rsid w:val="00845816"/>
    <w:rsid w:val="00845C0D"/>
    <w:rsid w:val="00845C15"/>
    <w:rsid w:val="00845D6B"/>
    <w:rsid w:val="00845E5C"/>
    <w:rsid w:val="008465F0"/>
    <w:rsid w:val="00846729"/>
    <w:rsid w:val="00846B32"/>
    <w:rsid w:val="00847279"/>
    <w:rsid w:val="008473A8"/>
    <w:rsid w:val="008473FB"/>
    <w:rsid w:val="008474B6"/>
    <w:rsid w:val="00847692"/>
    <w:rsid w:val="008476D9"/>
    <w:rsid w:val="0084774D"/>
    <w:rsid w:val="00847929"/>
    <w:rsid w:val="00847BF6"/>
    <w:rsid w:val="00847F7F"/>
    <w:rsid w:val="00847FBA"/>
    <w:rsid w:val="00850078"/>
    <w:rsid w:val="008500C1"/>
    <w:rsid w:val="008500C9"/>
    <w:rsid w:val="008501E4"/>
    <w:rsid w:val="008502B9"/>
    <w:rsid w:val="0085041E"/>
    <w:rsid w:val="00850471"/>
    <w:rsid w:val="00850615"/>
    <w:rsid w:val="00850829"/>
    <w:rsid w:val="0085115C"/>
    <w:rsid w:val="008512BD"/>
    <w:rsid w:val="0085185D"/>
    <w:rsid w:val="00851CDF"/>
    <w:rsid w:val="00851DB4"/>
    <w:rsid w:val="0085216D"/>
    <w:rsid w:val="00852348"/>
    <w:rsid w:val="00852999"/>
    <w:rsid w:val="00852A34"/>
    <w:rsid w:val="00852FA6"/>
    <w:rsid w:val="008531AA"/>
    <w:rsid w:val="008531B5"/>
    <w:rsid w:val="00853327"/>
    <w:rsid w:val="00853B00"/>
    <w:rsid w:val="00853B0B"/>
    <w:rsid w:val="00853B87"/>
    <w:rsid w:val="00853C39"/>
    <w:rsid w:val="00853D15"/>
    <w:rsid w:val="00853E05"/>
    <w:rsid w:val="00853EE0"/>
    <w:rsid w:val="00854302"/>
    <w:rsid w:val="0085432B"/>
    <w:rsid w:val="008544BC"/>
    <w:rsid w:val="00854542"/>
    <w:rsid w:val="008546AE"/>
    <w:rsid w:val="00854B8E"/>
    <w:rsid w:val="00854C7B"/>
    <w:rsid w:val="00855001"/>
    <w:rsid w:val="00855002"/>
    <w:rsid w:val="008550C8"/>
    <w:rsid w:val="0085511F"/>
    <w:rsid w:val="0085558F"/>
    <w:rsid w:val="008555E7"/>
    <w:rsid w:val="0085561E"/>
    <w:rsid w:val="008556AE"/>
    <w:rsid w:val="00855812"/>
    <w:rsid w:val="0085582F"/>
    <w:rsid w:val="00855A6C"/>
    <w:rsid w:val="00855C35"/>
    <w:rsid w:val="00855C46"/>
    <w:rsid w:val="00855CA3"/>
    <w:rsid w:val="00855E3D"/>
    <w:rsid w:val="00856343"/>
    <w:rsid w:val="008563C7"/>
    <w:rsid w:val="008564BD"/>
    <w:rsid w:val="00856E52"/>
    <w:rsid w:val="00856F8E"/>
    <w:rsid w:val="00857135"/>
    <w:rsid w:val="00857209"/>
    <w:rsid w:val="008574DE"/>
    <w:rsid w:val="00857636"/>
    <w:rsid w:val="00857BFA"/>
    <w:rsid w:val="00857E2F"/>
    <w:rsid w:val="008607EE"/>
    <w:rsid w:val="00860959"/>
    <w:rsid w:val="0086096A"/>
    <w:rsid w:val="00860C4D"/>
    <w:rsid w:val="0086116B"/>
    <w:rsid w:val="00861381"/>
    <w:rsid w:val="0086163C"/>
    <w:rsid w:val="00861AC3"/>
    <w:rsid w:val="00861D64"/>
    <w:rsid w:val="00862144"/>
    <w:rsid w:val="00862310"/>
    <w:rsid w:val="008626DE"/>
    <w:rsid w:val="008629B9"/>
    <w:rsid w:val="00862FFE"/>
    <w:rsid w:val="00863031"/>
    <w:rsid w:val="0086359F"/>
    <w:rsid w:val="0086365D"/>
    <w:rsid w:val="008636B6"/>
    <w:rsid w:val="008638C4"/>
    <w:rsid w:val="00863976"/>
    <w:rsid w:val="00863C57"/>
    <w:rsid w:val="00863EC9"/>
    <w:rsid w:val="00863ED0"/>
    <w:rsid w:val="00863FFC"/>
    <w:rsid w:val="008641AF"/>
    <w:rsid w:val="0086446E"/>
    <w:rsid w:val="00864591"/>
    <w:rsid w:val="0086464D"/>
    <w:rsid w:val="00864D1F"/>
    <w:rsid w:val="00864DB2"/>
    <w:rsid w:val="008650C6"/>
    <w:rsid w:val="0086550B"/>
    <w:rsid w:val="0086560B"/>
    <w:rsid w:val="00865637"/>
    <w:rsid w:val="00865748"/>
    <w:rsid w:val="0086583C"/>
    <w:rsid w:val="00865992"/>
    <w:rsid w:val="008659B2"/>
    <w:rsid w:val="00865A4B"/>
    <w:rsid w:val="00865A4C"/>
    <w:rsid w:val="00865BE9"/>
    <w:rsid w:val="00865C12"/>
    <w:rsid w:val="00865C21"/>
    <w:rsid w:val="00865F54"/>
    <w:rsid w:val="00865F79"/>
    <w:rsid w:val="00866090"/>
    <w:rsid w:val="00866238"/>
    <w:rsid w:val="00866260"/>
    <w:rsid w:val="00866264"/>
    <w:rsid w:val="008662D5"/>
    <w:rsid w:val="00866326"/>
    <w:rsid w:val="00866545"/>
    <w:rsid w:val="008665C5"/>
    <w:rsid w:val="00866BEB"/>
    <w:rsid w:val="00866CA3"/>
    <w:rsid w:val="008673BC"/>
    <w:rsid w:val="00867539"/>
    <w:rsid w:val="00867711"/>
    <w:rsid w:val="00867824"/>
    <w:rsid w:val="00867C7F"/>
    <w:rsid w:val="00867C90"/>
    <w:rsid w:val="00867F61"/>
    <w:rsid w:val="00867FCB"/>
    <w:rsid w:val="00867FE8"/>
    <w:rsid w:val="00870211"/>
    <w:rsid w:val="008704ED"/>
    <w:rsid w:val="00870503"/>
    <w:rsid w:val="00870849"/>
    <w:rsid w:val="008708EA"/>
    <w:rsid w:val="00870A4E"/>
    <w:rsid w:val="00870B45"/>
    <w:rsid w:val="00870CD0"/>
    <w:rsid w:val="00870EF7"/>
    <w:rsid w:val="00870FAA"/>
    <w:rsid w:val="008711D4"/>
    <w:rsid w:val="00871310"/>
    <w:rsid w:val="00871727"/>
    <w:rsid w:val="00871A70"/>
    <w:rsid w:val="00871AA9"/>
    <w:rsid w:val="00871BAC"/>
    <w:rsid w:val="00871D03"/>
    <w:rsid w:val="00871D74"/>
    <w:rsid w:val="008720B5"/>
    <w:rsid w:val="0087219F"/>
    <w:rsid w:val="0087239B"/>
    <w:rsid w:val="00872436"/>
    <w:rsid w:val="008725F8"/>
    <w:rsid w:val="00872912"/>
    <w:rsid w:val="00872975"/>
    <w:rsid w:val="00872CD1"/>
    <w:rsid w:val="00872D65"/>
    <w:rsid w:val="00872D6F"/>
    <w:rsid w:val="008730A8"/>
    <w:rsid w:val="00873138"/>
    <w:rsid w:val="008733C8"/>
    <w:rsid w:val="00873D97"/>
    <w:rsid w:val="00873EC6"/>
    <w:rsid w:val="00873F00"/>
    <w:rsid w:val="00874076"/>
    <w:rsid w:val="00874285"/>
    <w:rsid w:val="00874858"/>
    <w:rsid w:val="0087496B"/>
    <w:rsid w:val="00874C45"/>
    <w:rsid w:val="00874D7D"/>
    <w:rsid w:val="00874E32"/>
    <w:rsid w:val="00875223"/>
    <w:rsid w:val="0087523E"/>
    <w:rsid w:val="00875356"/>
    <w:rsid w:val="00875459"/>
    <w:rsid w:val="0087591A"/>
    <w:rsid w:val="00875D56"/>
    <w:rsid w:val="00876242"/>
    <w:rsid w:val="008763A4"/>
    <w:rsid w:val="00876644"/>
    <w:rsid w:val="008766FC"/>
    <w:rsid w:val="0087674B"/>
    <w:rsid w:val="00876C41"/>
    <w:rsid w:val="00876D07"/>
    <w:rsid w:val="00876E1C"/>
    <w:rsid w:val="008770FD"/>
    <w:rsid w:val="008771EF"/>
    <w:rsid w:val="00877287"/>
    <w:rsid w:val="00877495"/>
    <w:rsid w:val="008775D5"/>
    <w:rsid w:val="00877DD6"/>
    <w:rsid w:val="008800E8"/>
    <w:rsid w:val="00880180"/>
    <w:rsid w:val="008802C9"/>
    <w:rsid w:val="0088038E"/>
    <w:rsid w:val="008803D9"/>
    <w:rsid w:val="008804E2"/>
    <w:rsid w:val="008805E3"/>
    <w:rsid w:val="008805F9"/>
    <w:rsid w:val="00880A74"/>
    <w:rsid w:val="00880BA3"/>
    <w:rsid w:val="008810FE"/>
    <w:rsid w:val="00881314"/>
    <w:rsid w:val="0088132A"/>
    <w:rsid w:val="0088148B"/>
    <w:rsid w:val="0088150D"/>
    <w:rsid w:val="0088155B"/>
    <w:rsid w:val="00881AFA"/>
    <w:rsid w:val="00881B64"/>
    <w:rsid w:val="00881B99"/>
    <w:rsid w:val="00881CA2"/>
    <w:rsid w:val="00881F09"/>
    <w:rsid w:val="008820C2"/>
    <w:rsid w:val="008821B6"/>
    <w:rsid w:val="00882249"/>
    <w:rsid w:val="0088225F"/>
    <w:rsid w:val="008829DE"/>
    <w:rsid w:val="00882A67"/>
    <w:rsid w:val="00882CAD"/>
    <w:rsid w:val="00882DDE"/>
    <w:rsid w:val="00882FB8"/>
    <w:rsid w:val="008830D7"/>
    <w:rsid w:val="008832E5"/>
    <w:rsid w:val="008833E0"/>
    <w:rsid w:val="008834AB"/>
    <w:rsid w:val="00883A8D"/>
    <w:rsid w:val="00883E2E"/>
    <w:rsid w:val="008844F6"/>
    <w:rsid w:val="00884703"/>
    <w:rsid w:val="00884777"/>
    <w:rsid w:val="00884CF4"/>
    <w:rsid w:val="00884DE8"/>
    <w:rsid w:val="00884F24"/>
    <w:rsid w:val="008850A7"/>
    <w:rsid w:val="0088544A"/>
    <w:rsid w:val="008856D5"/>
    <w:rsid w:val="008858B1"/>
    <w:rsid w:val="00885B2B"/>
    <w:rsid w:val="00885C05"/>
    <w:rsid w:val="00885CDA"/>
    <w:rsid w:val="00885D17"/>
    <w:rsid w:val="008860F6"/>
    <w:rsid w:val="00886263"/>
    <w:rsid w:val="00886358"/>
    <w:rsid w:val="008864B9"/>
    <w:rsid w:val="008864D8"/>
    <w:rsid w:val="008869DB"/>
    <w:rsid w:val="00886A86"/>
    <w:rsid w:val="008870B1"/>
    <w:rsid w:val="008872BC"/>
    <w:rsid w:val="008875F1"/>
    <w:rsid w:val="00887695"/>
    <w:rsid w:val="00887918"/>
    <w:rsid w:val="00887959"/>
    <w:rsid w:val="00887964"/>
    <w:rsid w:val="00887978"/>
    <w:rsid w:val="00887B3B"/>
    <w:rsid w:val="008902C0"/>
    <w:rsid w:val="0089034C"/>
    <w:rsid w:val="00890A44"/>
    <w:rsid w:val="00890C63"/>
    <w:rsid w:val="00891166"/>
    <w:rsid w:val="00891313"/>
    <w:rsid w:val="00891395"/>
    <w:rsid w:val="00891411"/>
    <w:rsid w:val="008916C5"/>
    <w:rsid w:val="0089182C"/>
    <w:rsid w:val="0089197E"/>
    <w:rsid w:val="008919E1"/>
    <w:rsid w:val="00891A22"/>
    <w:rsid w:val="00891B7A"/>
    <w:rsid w:val="00891BBE"/>
    <w:rsid w:val="00891C1A"/>
    <w:rsid w:val="00892047"/>
    <w:rsid w:val="008920FC"/>
    <w:rsid w:val="0089216F"/>
    <w:rsid w:val="008921AD"/>
    <w:rsid w:val="008925F4"/>
    <w:rsid w:val="0089263A"/>
    <w:rsid w:val="008926F4"/>
    <w:rsid w:val="008928D3"/>
    <w:rsid w:val="00892965"/>
    <w:rsid w:val="00892D9C"/>
    <w:rsid w:val="00892DC8"/>
    <w:rsid w:val="00892F0D"/>
    <w:rsid w:val="00892F67"/>
    <w:rsid w:val="00893147"/>
    <w:rsid w:val="00893391"/>
    <w:rsid w:val="008936DA"/>
    <w:rsid w:val="008938CD"/>
    <w:rsid w:val="008938D5"/>
    <w:rsid w:val="00893E1A"/>
    <w:rsid w:val="00894081"/>
    <w:rsid w:val="00894099"/>
    <w:rsid w:val="008940E0"/>
    <w:rsid w:val="008944C8"/>
    <w:rsid w:val="00894620"/>
    <w:rsid w:val="008947B0"/>
    <w:rsid w:val="0089480C"/>
    <w:rsid w:val="0089495D"/>
    <w:rsid w:val="008954BD"/>
    <w:rsid w:val="00895920"/>
    <w:rsid w:val="00895952"/>
    <w:rsid w:val="00895AD5"/>
    <w:rsid w:val="00895CC4"/>
    <w:rsid w:val="008965E1"/>
    <w:rsid w:val="00896AB8"/>
    <w:rsid w:val="00896CA1"/>
    <w:rsid w:val="00896DB1"/>
    <w:rsid w:val="008970A1"/>
    <w:rsid w:val="00897115"/>
    <w:rsid w:val="00897469"/>
    <w:rsid w:val="008974CD"/>
    <w:rsid w:val="00897699"/>
    <w:rsid w:val="008977FF"/>
    <w:rsid w:val="00897AA6"/>
    <w:rsid w:val="00897B6C"/>
    <w:rsid w:val="00897CF8"/>
    <w:rsid w:val="00897F69"/>
    <w:rsid w:val="00897FC1"/>
    <w:rsid w:val="008A040B"/>
    <w:rsid w:val="008A0444"/>
    <w:rsid w:val="008A09E8"/>
    <w:rsid w:val="008A0AA1"/>
    <w:rsid w:val="008A0B90"/>
    <w:rsid w:val="008A0BC0"/>
    <w:rsid w:val="008A0D42"/>
    <w:rsid w:val="008A0EEC"/>
    <w:rsid w:val="008A1024"/>
    <w:rsid w:val="008A10F1"/>
    <w:rsid w:val="008A1247"/>
    <w:rsid w:val="008A134F"/>
    <w:rsid w:val="008A13CB"/>
    <w:rsid w:val="008A1448"/>
    <w:rsid w:val="008A1469"/>
    <w:rsid w:val="008A153C"/>
    <w:rsid w:val="008A1551"/>
    <w:rsid w:val="008A16E2"/>
    <w:rsid w:val="008A1770"/>
    <w:rsid w:val="008A19D8"/>
    <w:rsid w:val="008A1D35"/>
    <w:rsid w:val="008A1E52"/>
    <w:rsid w:val="008A2075"/>
    <w:rsid w:val="008A257C"/>
    <w:rsid w:val="008A2772"/>
    <w:rsid w:val="008A2913"/>
    <w:rsid w:val="008A2943"/>
    <w:rsid w:val="008A2A47"/>
    <w:rsid w:val="008A2B97"/>
    <w:rsid w:val="008A2DF8"/>
    <w:rsid w:val="008A2EF3"/>
    <w:rsid w:val="008A311C"/>
    <w:rsid w:val="008A342C"/>
    <w:rsid w:val="008A3482"/>
    <w:rsid w:val="008A34AF"/>
    <w:rsid w:val="008A379E"/>
    <w:rsid w:val="008A3D1C"/>
    <w:rsid w:val="008A3E84"/>
    <w:rsid w:val="008A4011"/>
    <w:rsid w:val="008A4377"/>
    <w:rsid w:val="008A44CA"/>
    <w:rsid w:val="008A46E1"/>
    <w:rsid w:val="008A4D25"/>
    <w:rsid w:val="008A4D79"/>
    <w:rsid w:val="008A4FD1"/>
    <w:rsid w:val="008A580B"/>
    <w:rsid w:val="008A58D8"/>
    <w:rsid w:val="008A58E5"/>
    <w:rsid w:val="008A5AF0"/>
    <w:rsid w:val="008A5AFC"/>
    <w:rsid w:val="008A5B7D"/>
    <w:rsid w:val="008A5BFA"/>
    <w:rsid w:val="008A5CF1"/>
    <w:rsid w:val="008A5DEF"/>
    <w:rsid w:val="008A5F05"/>
    <w:rsid w:val="008A5F3E"/>
    <w:rsid w:val="008A5F98"/>
    <w:rsid w:val="008A5FD1"/>
    <w:rsid w:val="008A6559"/>
    <w:rsid w:val="008A6744"/>
    <w:rsid w:val="008A67DC"/>
    <w:rsid w:val="008A6926"/>
    <w:rsid w:val="008A6987"/>
    <w:rsid w:val="008A6B5A"/>
    <w:rsid w:val="008A6C94"/>
    <w:rsid w:val="008A74A0"/>
    <w:rsid w:val="008A7604"/>
    <w:rsid w:val="008A7A70"/>
    <w:rsid w:val="008A7C2D"/>
    <w:rsid w:val="008A7D63"/>
    <w:rsid w:val="008A7EF5"/>
    <w:rsid w:val="008B0347"/>
    <w:rsid w:val="008B040C"/>
    <w:rsid w:val="008B077F"/>
    <w:rsid w:val="008B08AE"/>
    <w:rsid w:val="008B0B01"/>
    <w:rsid w:val="008B0FC6"/>
    <w:rsid w:val="008B1199"/>
    <w:rsid w:val="008B1573"/>
    <w:rsid w:val="008B15DE"/>
    <w:rsid w:val="008B169D"/>
    <w:rsid w:val="008B1930"/>
    <w:rsid w:val="008B1F4A"/>
    <w:rsid w:val="008B22ED"/>
    <w:rsid w:val="008B2435"/>
    <w:rsid w:val="008B2FC7"/>
    <w:rsid w:val="008B3009"/>
    <w:rsid w:val="008B31D0"/>
    <w:rsid w:val="008B33D7"/>
    <w:rsid w:val="008B3772"/>
    <w:rsid w:val="008B3797"/>
    <w:rsid w:val="008B39A9"/>
    <w:rsid w:val="008B3B9B"/>
    <w:rsid w:val="008B3D52"/>
    <w:rsid w:val="008B3E9E"/>
    <w:rsid w:val="008B3F63"/>
    <w:rsid w:val="008B441A"/>
    <w:rsid w:val="008B494E"/>
    <w:rsid w:val="008B4C09"/>
    <w:rsid w:val="008B4F4E"/>
    <w:rsid w:val="008B4F62"/>
    <w:rsid w:val="008B5244"/>
    <w:rsid w:val="008B5474"/>
    <w:rsid w:val="008B5606"/>
    <w:rsid w:val="008B593B"/>
    <w:rsid w:val="008B5A5D"/>
    <w:rsid w:val="008B5CEC"/>
    <w:rsid w:val="008B60B2"/>
    <w:rsid w:val="008B635F"/>
    <w:rsid w:val="008B6571"/>
    <w:rsid w:val="008B6629"/>
    <w:rsid w:val="008B66D7"/>
    <w:rsid w:val="008B6724"/>
    <w:rsid w:val="008B69AA"/>
    <w:rsid w:val="008B69E3"/>
    <w:rsid w:val="008B6BB7"/>
    <w:rsid w:val="008B6CCE"/>
    <w:rsid w:val="008B6CE8"/>
    <w:rsid w:val="008B6E4C"/>
    <w:rsid w:val="008B6EAC"/>
    <w:rsid w:val="008B706F"/>
    <w:rsid w:val="008B70CC"/>
    <w:rsid w:val="008B71CB"/>
    <w:rsid w:val="008B7437"/>
    <w:rsid w:val="008B74EA"/>
    <w:rsid w:val="008B761F"/>
    <w:rsid w:val="008B7627"/>
    <w:rsid w:val="008B7729"/>
    <w:rsid w:val="008B77A2"/>
    <w:rsid w:val="008B783F"/>
    <w:rsid w:val="008B798A"/>
    <w:rsid w:val="008B7ECA"/>
    <w:rsid w:val="008B7ED7"/>
    <w:rsid w:val="008B7F06"/>
    <w:rsid w:val="008C033B"/>
    <w:rsid w:val="008C058A"/>
    <w:rsid w:val="008C076B"/>
    <w:rsid w:val="008C08BB"/>
    <w:rsid w:val="008C0AC5"/>
    <w:rsid w:val="008C0AD8"/>
    <w:rsid w:val="008C0CD6"/>
    <w:rsid w:val="008C0E8D"/>
    <w:rsid w:val="008C102C"/>
    <w:rsid w:val="008C10A3"/>
    <w:rsid w:val="008C1624"/>
    <w:rsid w:val="008C1765"/>
    <w:rsid w:val="008C1AC9"/>
    <w:rsid w:val="008C1CD1"/>
    <w:rsid w:val="008C1FB2"/>
    <w:rsid w:val="008C216D"/>
    <w:rsid w:val="008C272E"/>
    <w:rsid w:val="008C2756"/>
    <w:rsid w:val="008C2F46"/>
    <w:rsid w:val="008C328F"/>
    <w:rsid w:val="008C3357"/>
    <w:rsid w:val="008C3411"/>
    <w:rsid w:val="008C342F"/>
    <w:rsid w:val="008C36C1"/>
    <w:rsid w:val="008C384F"/>
    <w:rsid w:val="008C3884"/>
    <w:rsid w:val="008C38AD"/>
    <w:rsid w:val="008C3906"/>
    <w:rsid w:val="008C39DB"/>
    <w:rsid w:val="008C3A3D"/>
    <w:rsid w:val="008C3F0E"/>
    <w:rsid w:val="008C411F"/>
    <w:rsid w:val="008C41A9"/>
    <w:rsid w:val="008C4323"/>
    <w:rsid w:val="008C4476"/>
    <w:rsid w:val="008C44F5"/>
    <w:rsid w:val="008C44FB"/>
    <w:rsid w:val="008C46F4"/>
    <w:rsid w:val="008C4F8A"/>
    <w:rsid w:val="008C6439"/>
    <w:rsid w:val="008C65B6"/>
    <w:rsid w:val="008C66D2"/>
    <w:rsid w:val="008C6A73"/>
    <w:rsid w:val="008C6B23"/>
    <w:rsid w:val="008C6BE6"/>
    <w:rsid w:val="008C6C10"/>
    <w:rsid w:val="008C6C12"/>
    <w:rsid w:val="008C6CCD"/>
    <w:rsid w:val="008C6E9B"/>
    <w:rsid w:val="008C6F3D"/>
    <w:rsid w:val="008C702D"/>
    <w:rsid w:val="008C79C9"/>
    <w:rsid w:val="008C7A0B"/>
    <w:rsid w:val="008C7B85"/>
    <w:rsid w:val="008C7D51"/>
    <w:rsid w:val="008D006C"/>
    <w:rsid w:val="008D00A8"/>
    <w:rsid w:val="008D01B2"/>
    <w:rsid w:val="008D0580"/>
    <w:rsid w:val="008D095A"/>
    <w:rsid w:val="008D0CF1"/>
    <w:rsid w:val="008D0F36"/>
    <w:rsid w:val="008D0F96"/>
    <w:rsid w:val="008D1037"/>
    <w:rsid w:val="008D104D"/>
    <w:rsid w:val="008D117B"/>
    <w:rsid w:val="008D121E"/>
    <w:rsid w:val="008D1455"/>
    <w:rsid w:val="008D1986"/>
    <w:rsid w:val="008D1D25"/>
    <w:rsid w:val="008D1DFC"/>
    <w:rsid w:val="008D207A"/>
    <w:rsid w:val="008D2601"/>
    <w:rsid w:val="008D293B"/>
    <w:rsid w:val="008D2948"/>
    <w:rsid w:val="008D2A38"/>
    <w:rsid w:val="008D2B01"/>
    <w:rsid w:val="008D2C17"/>
    <w:rsid w:val="008D2FBF"/>
    <w:rsid w:val="008D3047"/>
    <w:rsid w:val="008D3191"/>
    <w:rsid w:val="008D340C"/>
    <w:rsid w:val="008D3703"/>
    <w:rsid w:val="008D38E3"/>
    <w:rsid w:val="008D3B1A"/>
    <w:rsid w:val="008D3B1C"/>
    <w:rsid w:val="008D3C67"/>
    <w:rsid w:val="008D3D50"/>
    <w:rsid w:val="008D3D73"/>
    <w:rsid w:val="008D3ECB"/>
    <w:rsid w:val="008D405F"/>
    <w:rsid w:val="008D40F6"/>
    <w:rsid w:val="008D4156"/>
    <w:rsid w:val="008D41BE"/>
    <w:rsid w:val="008D446F"/>
    <w:rsid w:val="008D447A"/>
    <w:rsid w:val="008D480C"/>
    <w:rsid w:val="008D4D9F"/>
    <w:rsid w:val="008D4FB9"/>
    <w:rsid w:val="008D4FED"/>
    <w:rsid w:val="008D51E5"/>
    <w:rsid w:val="008D5426"/>
    <w:rsid w:val="008D56A3"/>
    <w:rsid w:val="008D56BA"/>
    <w:rsid w:val="008D56E7"/>
    <w:rsid w:val="008D5780"/>
    <w:rsid w:val="008D592C"/>
    <w:rsid w:val="008D5DA3"/>
    <w:rsid w:val="008D60E4"/>
    <w:rsid w:val="008D69FE"/>
    <w:rsid w:val="008D6C88"/>
    <w:rsid w:val="008D70C9"/>
    <w:rsid w:val="008D70E7"/>
    <w:rsid w:val="008D7489"/>
    <w:rsid w:val="008D75BC"/>
    <w:rsid w:val="008D78D5"/>
    <w:rsid w:val="008D7901"/>
    <w:rsid w:val="008D79C8"/>
    <w:rsid w:val="008D7A89"/>
    <w:rsid w:val="008D7E61"/>
    <w:rsid w:val="008D7EAE"/>
    <w:rsid w:val="008D7F22"/>
    <w:rsid w:val="008D7FA2"/>
    <w:rsid w:val="008E0132"/>
    <w:rsid w:val="008E02A5"/>
    <w:rsid w:val="008E032D"/>
    <w:rsid w:val="008E0554"/>
    <w:rsid w:val="008E073A"/>
    <w:rsid w:val="008E0879"/>
    <w:rsid w:val="008E08FB"/>
    <w:rsid w:val="008E0EF3"/>
    <w:rsid w:val="008E0F36"/>
    <w:rsid w:val="008E14FA"/>
    <w:rsid w:val="008E1A6E"/>
    <w:rsid w:val="008E1B12"/>
    <w:rsid w:val="008E1BFD"/>
    <w:rsid w:val="008E1F37"/>
    <w:rsid w:val="008E21BF"/>
    <w:rsid w:val="008E26EE"/>
    <w:rsid w:val="008E282F"/>
    <w:rsid w:val="008E286B"/>
    <w:rsid w:val="008E2C0A"/>
    <w:rsid w:val="008E2C1D"/>
    <w:rsid w:val="008E2E82"/>
    <w:rsid w:val="008E2FD4"/>
    <w:rsid w:val="008E3039"/>
    <w:rsid w:val="008E3244"/>
    <w:rsid w:val="008E354E"/>
    <w:rsid w:val="008E3B63"/>
    <w:rsid w:val="008E3BDB"/>
    <w:rsid w:val="008E3CA3"/>
    <w:rsid w:val="008E3F24"/>
    <w:rsid w:val="008E3FE7"/>
    <w:rsid w:val="008E45F0"/>
    <w:rsid w:val="008E464A"/>
    <w:rsid w:val="008E4709"/>
    <w:rsid w:val="008E4857"/>
    <w:rsid w:val="008E48F7"/>
    <w:rsid w:val="008E49CD"/>
    <w:rsid w:val="008E4D7F"/>
    <w:rsid w:val="008E4D89"/>
    <w:rsid w:val="008E4EF8"/>
    <w:rsid w:val="008E5497"/>
    <w:rsid w:val="008E5977"/>
    <w:rsid w:val="008E5C57"/>
    <w:rsid w:val="008E6202"/>
    <w:rsid w:val="008E646E"/>
    <w:rsid w:val="008E65D8"/>
    <w:rsid w:val="008E66C7"/>
    <w:rsid w:val="008E68D9"/>
    <w:rsid w:val="008E6985"/>
    <w:rsid w:val="008E6A96"/>
    <w:rsid w:val="008E6E4F"/>
    <w:rsid w:val="008E6EF5"/>
    <w:rsid w:val="008E6F1E"/>
    <w:rsid w:val="008E6F71"/>
    <w:rsid w:val="008E7183"/>
    <w:rsid w:val="008E73F7"/>
    <w:rsid w:val="008E745C"/>
    <w:rsid w:val="008E747E"/>
    <w:rsid w:val="008E7690"/>
    <w:rsid w:val="008E7937"/>
    <w:rsid w:val="008E7DB8"/>
    <w:rsid w:val="008F0201"/>
    <w:rsid w:val="008F0450"/>
    <w:rsid w:val="008F04E0"/>
    <w:rsid w:val="008F0670"/>
    <w:rsid w:val="008F0905"/>
    <w:rsid w:val="008F09AE"/>
    <w:rsid w:val="008F0BB1"/>
    <w:rsid w:val="008F0EF2"/>
    <w:rsid w:val="008F12E9"/>
    <w:rsid w:val="008F1540"/>
    <w:rsid w:val="008F1A80"/>
    <w:rsid w:val="008F1A8C"/>
    <w:rsid w:val="008F1ACE"/>
    <w:rsid w:val="008F1FFF"/>
    <w:rsid w:val="008F20A6"/>
    <w:rsid w:val="008F20B1"/>
    <w:rsid w:val="008F2109"/>
    <w:rsid w:val="008F2295"/>
    <w:rsid w:val="008F23C3"/>
    <w:rsid w:val="008F2415"/>
    <w:rsid w:val="008F2642"/>
    <w:rsid w:val="008F275C"/>
    <w:rsid w:val="008F28AD"/>
    <w:rsid w:val="008F2A2F"/>
    <w:rsid w:val="008F2D8A"/>
    <w:rsid w:val="008F2EBA"/>
    <w:rsid w:val="008F316E"/>
    <w:rsid w:val="008F3275"/>
    <w:rsid w:val="008F34DC"/>
    <w:rsid w:val="008F3831"/>
    <w:rsid w:val="008F3A7C"/>
    <w:rsid w:val="008F3D0A"/>
    <w:rsid w:val="008F3F39"/>
    <w:rsid w:val="008F4236"/>
    <w:rsid w:val="008F428A"/>
    <w:rsid w:val="008F48E5"/>
    <w:rsid w:val="008F49AD"/>
    <w:rsid w:val="008F5023"/>
    <w:rsid w:val="008F5110"/>
    <w:rsid w:val="008F53BF"/>
    <w:rsid w:val="008F547E"/>
    <w:rsid w:val="008F564F"/>
    <w:rsid w:val="008F5791"/>
    <w:rsid w:val="008F58DA"/>
    <w:rsid w:val="008F5A69"/>
    <w:rsid w:val="008F5FD2"/>
    <w:rsid w:val="008F62B7"/>
    <w:rsid w:val="008F6673"/>
    <w:rsid w:val="008F6BB2"/>
    <w:rsid w:val="008F6DF9"/>
    <w:rsid w:val="008F7246"/>
    <w:rsid w:val="008F72D2"/>
    <w:rsid w:val="008F739E"/>
    <w:rsid w:val="008F73C7"/>
    <w:rsid w:val="008F745F"/>
    <w:rsid w:val="008F760F"/>
    <w:rsid w:val="008F7979"/>
    <w:rsid w:val="008F7B63"/>
    <w:rsid w:val="0090002A"/>
    <w:rsid w:val="009000ED"/>
    <w:rsid w:val="00900186"/>
    <w:rsid w:val="00900247"/>
    <w:rsid w:val="00900269"/>
    <w:rsid w:val="009003D0"/>
    <w:rsid w:val="00900919"/>
    <w:rsid w:val="00900C1C"/>
    <w:rsid w:val="00900D1D"/>
    <w:rsid w:val="00900E72"/>
    <w:rsid w:val="009014A7"/>
    <w:rsid w:val="009015E2"/>
    <w:rsid w:val="0090163C"/>
    <w:rsid w:val="009016A6"/>
    <w:rsid w:val="00901C4D"/>
    <w:rsid w:val="00901E38"/>
    <w:rsid w:val="00902475"/>
    <w:rsid w:val="009024EB"/>
    <w:rsid w:val="00902856"/>
    <w:rsid w:val="00902A65"/>
    <w:rsid w:val="00902C12"/>
    <w:rsid w:val="00902C92"/>
    <w:rsid w:val="00903053"/>
    <w:rsid w:val="009033C9"/>
    <w:rsid w:val="009033F2"/>
    <w:rsid w:val="009035FB"/>
    <w:rsid w:val="009037D1"/>
    <w:rsid w:val="009039EC"/>
    <w:rsid w:val="00903C55"/>
    <w:rsid w:val="00903D08"/>
    <w:rsid w:val="00903D37"/>
    <w:rsid w:val="00903D9B"/>
    <w:rsid w:val="00903DE3"/>
    <w:rsid w:val="00903E19"/>
    <w:rsid w:val="00903EC0"/>
    <w:rsid w:val="0090427D"/>
    <w:rsid w:val="0090435B"/>
    <w:rsid w:val="009044B3"/>
    <w:rsid w:val="0090469E"/>
    <w:rsid w:val="009046A2"/>
    <w:rsid w:val="009049CF"/>
    <w:rsid w:val="00904EAA"/>
    <w:rsid w:val="00904ED3"/>
    <w:rsid w:val="009055BE"/>
    <w:rsid w:val="009055D7"/>
    <w:rsid w:val="00905A26"/>
    <w:rsid w:val="00905BEA"/>
    <w:rsid w:val="00905CD0"/>
    <w:rsid w:val="00906112"/>
    <w:rsid w:val="009061C8"/>
    <w:rsid w:val="00906356"/>
    <w:rsid w:val="0090647A"/>
    <w:rsid w:val="009064D6"/>
    <w:rsid w:val="009066FC"/>
    <w:rsid w:val="0090675C"/>
    <w:rsid w:val="00906A81"/>
    <w:rsid w:val="00906C54"/>
    <w:rsid w:val="00906E83"/>
    <w:rsid w:val="00906FFF"/>
    <w:rsid w:val="009070F9"/>
    <w:rsid w:val="00907266"/>
    <w:rsid w:val="009074A3"/>
    <w:rsid w:val="009074FB"/>
    <w:rsid w:val="00907566"/>
    <w:rsid w:val="0090787C"/>
    <w:rsid w:val="009079DD"/>
    <w:rsid w:val="00907A1C"/>
    <w:rsid w:val="00907C6B"/>
    <w:rsid w:val="00907E7B"/>
    <w:rsid w:val="00910011"/>
    <w:rsid w:val="0091001C"/>
    <w:rsid w:val="00910182"/>
    <w:rsid w:val="00910202"/>
    <w:rsid w:val="0091057F"/>
    <w:rsid w:val="009105A5"/>
    <w:rsid w:val="009106BC"/>
    <w:rsid w:val="00910706"/>
    <w:rsid w:val="00910723"/>
    <w:rsid w:val="00910CDE"/>
    <w:rsid w:val="00910D6A"/>
    <w:rsid w:val="00910F54"/>
    <w:rsid w:val="00910FE7"/>
    <w:rsid w:val="00911079"/>
    <w:rsid w:val="00911085"/>
    <w:rsid w:val="009116AF"/>
    <w:rsid w:val="00911933"/>
    <w:rsid w:val="00911CAC"/>
    <w:rsid w:val="00911D45"/>
    <w:rsid w:val="00911E34"/>
    <w:rsid w:val="00912454"/>
    <w:rsid w:val="00912C90"/>
    <w:rsid w:val="00912CC9"/>
    <w:rsid w:val="00912D61"/>
    <w:rsid w:val="00912F3B"/>
    <w:rsid w:val="00913371"/>
    <w:rsid w:val="009134D5"/>
    <w:rsid w:val="009134E6"/>
    <w:rsid w:val="00913636"/>
    <w:rsid w:val="0091371B"/>
    <w:rsid w:val="00913EE1"/>
    <w:rsid w:val="00913FF8"/>
    <w:rsid w:val="0091402D"/>
    <w:rsid w:val="009141D3"/>
    <w:rsid w:val="00914584"/>
    <w:rsid w:val="009145F7"/>
    <w:rsid w:val="0091474F"/>
    <w:rsid w:val="009148AE"/>
    <w:rsid w:val="009148BC"/>
    <w:rsid w:val="00914A71"/>
    <w:rsid w:val="00914D63"/>
    <w:rsid w:val="00914D6A"/>
    <w:rsid w:val="009153E9"/>
    <w:rsid w:val="009157C1"/>
    <w:rsid w:val="00915D4F"/>
    <w:rsid w:val="00915D8A"/>
    <w:rsid w:val="00915D92"/>
    <w:rsid w:val="00915FC3"/>
    <w:rsid w:val="00915FCA"/>
    <w:rsid w:val="0091600B"/>
    <w:rsid w:val="009163B4"/>
    <w:rsid w:val="00916443"/>
    <w:rsid w:val="009166DF"/>
    <w:rsid w:val="00916C91"/>
    <w:rsid w:val="00916E65"/>
    <w:rsid w:val="00916FAB"/>
    <w:rsid w:val="009172C3"/>
    <w:rsid w:val="00917563"/>
    <w:rsid w:val="00917625"/>
    <w:rsid w:val="00917904"/>
    <w:rsid w:val="0091795E"/>
    <w:rsid w:val="00917A2B"/>
    <w:rsid w:val="00917A68"/>
    <w:rsid w:val="00917C6A"/>
    <w:rsid w:val="00917C6B"/>
    <w:rsid w:val="00917CD2"/>
    <w:rsid w:val="00917DA5"/>
    <w:rsid w:val="00917E20"/>
    <w:rsid w:val="00917EEF"/>
    <w:rsid w:val="00920064"/>
    <w:rsid w:val="009200C0"/>
    <w:rsid w:val="009200EA"/>
    <w:rsid w:val="0092078B"/>
    <w:rsid w:val="0092098D"/>
    <w:rsid w:val="00920AC3"/>
    <w:rsid w:val="00920BE9"/>
    <w:rsid w:val="00920D30"/>
    <w:rsid w:val="00920D7D"/>
    <w:rsid w:val="00920EBD"/>
    <w:rsid w:val="00920F17"/>
    <w:rsid w:val="0092103B"/>
    <w:rsid w:val="0092109E"/>
    <w:rsid w:val="00921167"/>
    <w:rsid w:val="0092163E"/>
    <w:rsid w:val="0092175D"/>
    <w:rsid w:val="009218B8"/>
    <w:rsid w:val="0092192D"/>
    <w:rsid w:val="00921ACC"/>
    <w:rsid w:val="00921C21"/>
    <w:rsid w:val="00921E8F"/>
    <w:rsid w:val="00921E9B"/>
    <w:rsid w:val="00921E9C"/>
    <w:rsid w:val="00922382"/>
    <w:rsid w:val="0092289D"/>
    <w:rsid w:val="00922A23"/>
    <w:rsid w:val="00922AA8"/>
    <w:rsid w:val="009238B6"/>
    <w:rsid w:val="00923960"/>
    <w:rsid w:val="00923DC5"/>
    <w:rsid w:val="00923ED9"/>
    <w:rsid w:val="0092406A"/>
    <w:rsid w:val="0092412F"/>
    <w:rsid w:val="0092422B"/>
    <w:rsid w:val="00924348"/>
    <w:rsid w:val="00924927"/>
    <w:rsid w:val="00924B19"/>
    <w:rsid w:val="00924C5E"/>
    <w:rsid w:val="00924CC7"/>
    <w:rsid w:val="00924DFD"/>
    <w:rsid w:val="00924E99"/>
    <w:rsid w:val="009250B9"/>
    <w:rsid w:val="009250EF"/>
    <w:rsid w:val="00925113"/>
    <w:rsid w:val="009251DC"/>
    <w:rsid w:val="00925458"/>
    <w:rsid w:val="00925467"/>
    <w:rsid w:val="0092581C"/>
    <w:rsid w:val="0092596A"/>
    <w:rsid w:val="00925A25"/>
    <w:rsid w:val="00925ABF"/>
    <w:rsid w:val="00926093"/>
    <w:rsid w:val="0092644F"/>
    <w:rsid w:val="009269B9"/>
    <w:rsid w:val="00926AEB"/>
    <w:rsid w:val="00926DEB"/>
    <w:rsid w:val="00927183"/>
    <w:rsid w:val="00927321"/>
    <w:rsid w:val="0092793D"/>
    <w:rsid w:val="009279E2"/>
    <w:rsid w:val="00927B2F"/>
    <w:rsid w:val="00930084"/>
    <w:rsid w:val="009300A3"/>
    <w:rsid w:val="0093018C"/>
    <w:rsid w:val="00930266"/>
    <w:rsid w:val="009305F8"/>
    <w:rsid w:val="0093086E"/>
    <w:rsid w:val="009308F8"/>
    <w:rsid w:val="00930C35"/>
    <w:rsid w:val="00930CBF"/>
    <w:rsid w:val="00930F18"/>
    <w:rsid w:val="00931351"/>
    <w:rsid w:val="00931636"/>
    <w:rsid w:val="0093198A"/>
    <w:rsid w:val="00931E84"/>
    <w:rsid w:val="00931F35"/>
    <w:rsid w:val="0093230C"/>
    <w:rsid w:val="00932613"/>
    <w:rsid w:val="009326D3"/>
    <w:rsid w:val="00932711"/>
    <w:rsid w:val="0093279E"/>
    <w:rsid w:val="00932901"/>
    <w:rsid w:val="009329ED"/>
    <w:rsid w:val="00932A3E"/>
    <w:rsid w:val="00932C1D"/>
    <w:rsid w:val="00932CD7"/>
    <w:rsid w:val="0093308B"/>
    <w:rsid w:val="00933207"/>
    <w:rsid w:val="00933896"/>
    <w:rsid w:val="00933C1D"/>
    <w:rsid w:val="00933CDF"/>
    <w:rsid w:val="00933F2D"/>
    <w:rsid w:val="009344A1"/>
    <w:rsid w:val="009344BE"/>
    <w:rsid w:val="009349C9"/>
    <w:rsid w:val="00934AE7"/>
    <w:rsid w:val="00934B86"/>
    <w:rsid w:val="00934C1A"/>
    <w:rsid w:val="00934D2B"/>
    <w:rsid w:val="00934EAC"/>
    <w:rsid w:val="0093513D"/>
    <w:rsid w:val="0093516B"/>
    <w:rsid w:val="00935204"/>
    <w:rsid w:val="0093577D"/>
    <w:rsid w:val="009358EC"/>
    <w:rsid w:val="00935916"/>
    <w:rsid w:val="00935AB5"/>
    <w:rsid w:val="0093638A"/>
    <w:rsid w:val="009364AF"/>
    <w:rsid w:val="00936568"/>
    <w:rsid w:val="00936670"/>
    <w:rsid w:val="00936A9B"/>
    <w:rsid w:val="00936ACE"/>
    <w:rsid w:val="00936C22"/>
    <w:rsid w:val="00937927"/>
    <w:rsid w:val="00937DB8"/>
    <w:rsid w:val="00937F14"/>
    <w:rsid w:val="00937F64"/>
    <w:rsid w:val="009402D1"/>
    <w:rsid w:val="009403B6"/>
    <w:rsid w:val="00940431"/>
    <w:rsid w:val="009404CE"/>
    <w:rsid w:val="009405A9"/>
    <w:rsid w:val="009409A9"/>
    <w:rsid w:val="00940A04"/>
    <w:rsid w:val="00940C69"/>
    <w:rsid w:val="00940D4D"/>
    <w:rsid w:val="00940D54"/>
    <w:rsid w:val="00940F45"/>
    <w:rsid w:val="00941285"/>
    <w:rsid w:val="00941409"/>
    <w:rsid w:val="0094144B"/>
    <w:rsid w:val="00941AAD"/>
    <w:rsid w:val="00941BD5"/>
    <w:rsid w:val="00941CF3"/>
    <w:rsid w:val="00941D29"/>
    <w:rsid w:val="00941D92"/>
    <w:rsid w:val="00941FA8"/>
    <w:rsid w:val="009420BD"/>
    <w:rsid w:val="00942171"/>
    <w:rsid w:val="00942186"/>
    <w:rsid w:val="009423A1"/>
    <w:rsid w:val="0094246C"/>
    <w:rsid w:val="009427DF"/>
    <w:rsid w:val="009428E2"/>
    <w:rsid w:val="00942E89"/>
    <w:rsid w:val="00942F65"/>
    <w:rsid w:val="009431AC"/>
    <w:rsid w:val="00943238"/>
    <w:rsid w:val="009432A5"/>
    <w:rsid w:val="00943517"/>
    <w:rsid w:val="00943911"/>
    <w:rsid w:val="009439FD"/>
    <w:rsid w:val="00943A0D"/>
    <w:rsid w:val="00943A26"/>
    <w:rsid w:val="00943B03"/>
    <w:rsid w:val="00943CE1"/>
    <w:rsid w:val="00943CF7"/>
    <w:rsid w:val="00944467"/>
    <w:rsid w:val="00944580"/>
    <w:rsid w:val="00944873"/>
    <w:rsid w:val="0094506A"/>
    <w:rsid w:val="009450F7"/>
    <w:rsid w:val="009452D0"/>
    <w:rsid w:val="009452D7"/>
    <w:rsid w:val="009453AA"/>
    <w:rsid w:val="00945497"/>
    <w:rsid w:val="009455E3"/>
    <w:rsid w:val="00945811"/>
    <w:rsid w:val="00945A8E"/>
    <w:rsid w:val="00945BD6"/>
    <w:rsid w:val="00945E70"/>
    <w:rsid w:val="00945E8C"/>
    <w:rsid w:val="00946155"/>
    <w:rsid w:val="009461F2"/>
    <w:rsid w:val="00946211"/>
    <w:rsid w:val="00946343"/>
    <w:rsid w:val="00946374"/>
    <w:rsid w:val="009463AD"/>
    <w:rsid w:val="00946479"/>
    <w:rsid w:val="00946662"/>
    <w:rsid w:val="00946818"/>
    <w:rsid w:val="00946BB9"/>
    <w:rsid w:val="00946D62"/>
    <w:rsid w:val="00946E65"/>
    <w:rsid w:val="00947036"/>
    <w:rsid w:val="009471AF"/>
    <w:rsid w:val="00947348"/>
    <w:rsid w:val="00947446"/>
    <w:rsid w:val="009474C8"/>
    <w:rsid w:val="009475AB"/>
    <w:rsid w:val="00947734"/>
    <w:rsid w:val="009477A0"/>
    <w:rsid w:val="00947C50"/>
    <w:rsid w:val="00947CE0"/>
    <w:rsid w:val="00947E19"/>
    <w:rsid w:val="00947E65"/>
    <w:rsid w:val="00947F27"/>
    <w:rsid w:val="00947F5C"/>
    <w:rsid w:val="00950571"/>
    <w:rsid w:val="0095069A"/>
    <w:rsid w:val="009506C2"/>
    <w:rsid w:val="00950743"/>
    <w:rsid w:val="00950BC6"/>
    <w:rsid w:val="00950F55"/>
    <w:rsid w:val="00951087"/>
    <w:rsid w:val="009510F4"/>
    <w:rsid w:val="00951854"/>
    <w:rsid w:val="00951885"/>
    <w:rsid w:val="00951889"/>
    <w:rsid w:val="00951AE2"/>
    <w:rsid w:val="00951AFE"/>
    <w:rsid w:val="00951B08"/>
    <w:rsid w:val="00951B61"/>
    <w:rsid w:val="00951C6E"/>
    <w:rsid w:val="00951CA6"/>
    <w:rsid w:val="009520D8"/>
    <w:rsid w:val="009520FB"/>
    <w:rsid w:val="00952191"/>
    <w:rsid w:val="0095225B"/>
    <w:rsid w:val="009524D9"/>
    <w:rsid w:val="00952944"/>
    <w:rsid w:val="00952F03"/>
    <w:rsid w:val="00952F3D"/>
    <w:rsid w:val="00953005"/>
    <w:rsid w:val="009530A1"/>
    <w:rsid w:val="009536F2"/>
    <w:rsid w:val="009537E8"/>
    <w:rsid w:val="00953A30"/>
    <w:rsid w:val="00953A33"/>
    <w:rsid w:val="00953F62"/>
    <w:rsid w:val="00953F6B"/>
    <w:rsid w:val="009542F0"/>
    <w:rsid w:val="00954589"/>
    <w:rsid w:val="00954944"/>
    <w:rsid w:val="0095499C"/>
    <w:rsid w:val="00954ABB"/>
    <w:rsid w:val="00954AE9"/>
    <w:rsid w:val="00954D23"/>
    <w:rsid w:val="00954D97"/>
    <w:rsid w:val="00955088"/>
    <w:rsid w:val="009551AB"/>
    <w:rsid w:val="009554D6"/>
    <w:rsid w:val="00955A50"/>
    <w:rsid w:val="00955BF6"/>
    <w:rsid w:val="00955C28"/>
    <w:rsid w:val="00955DB5"/>
    <w:rsid w:val="00955FD5"/>
    <w:rsid w:val="00956049"/>
    <w:rsid w:val="00956206"/>
    <w:rsid w:val="009562AB"/>
    <w:rsid w:val="00956353"/>
    <w:rsid w:val="0095640C"/>
    <w:rsid w:val="00956446"/>
    <w:rsid w:val="00956594"/>
    <w:rsid w:val="0095696C"/>
    <w:rsid w:val="009569E6"/>
    <w:rsid w:val="00956BDA"/>
    <w:rsid w:val="00956CB9"/>
    <w:rsid w:val="00956DED"/>
    <w:rsid w:val="00956E6A"/>
    <w:rsid w:val="00956E7E"/>
    <w:rsid w:val="00956EBA"/>
    <w:rsid w:val="00956EFD"/>
    <w:rsid w:val="00956F92"/>
    <w:rsid w:val="00956FDD"/>
    <w:rsid w:val="0095727E"/>
    <w:rsid w:val="00957386"/>
    <w:rsid w:val="00957454"/>
    <w:rsid w:val="009575A6"/>
    <w:rsid w:val="009575E8"/>
    <w:rsid w:val="009575F7"/>
    <w:rsid w:val="0095765A"/>
    <w:rsid w:val="009576B8"/>
    <w:rsid w:val="00957881"/>
    <w:rsid w:val="00957B0E"/>
    <w:rsid w:val="00957C7E"/>
    <w:rsid w:val="0096001B"/>
    <w:rsid w:val="00960677"/>
    <w:rsid w:val="0096084F"/>
    <w:rsid w:val="00960978"/>
    <w:rsid w:val="00960B7C"/>
    <w:rsid w:val="00960D69"/>
    <w:rsid w:val="00960D8F"/>
    <w:rsid w:val="00961002"/>
    <w:rsid w:val="0096158B"/>
    <w:rsid w:val="0096165C"/>
    <w:rsid w:val="00961705"/>
    <w:rsid w:val="00961915"/>
    <w:rsid w:val="0096193A"/>
    <w:rsid w:val="00961950"/>
    <w:rsid w:val="0096197B"/>
    <w:rsid w:val="00961CEA"/>
    <w:rsid w:val="00961E3D"/>
    <w:rsid w:val="0096201C"/>
    <w:rsid w:val="00962167"/>
    <w:rsid w:val="0096242A"/>
    <w:rsid w:val="00962586"/>
    <w:rsid w:val="00962834"/>
    <w:rsid w:val="0096289A"/>
    <w:rsid w:val="00962BAE"/>
    <w:rsid w:val="00962CE9"/>
    <w:rsid w:val="00962D55"/>
    <w:rsid w:val="00962D59"/>
    <w:rsid w:val="00962D68"/>
    <w:rsid w:val="00962F55"/>
    <w:rsid w:val="00963264"/>
    <w:rsid w:val="00963320"/>
    <w:rsid w:val="009634CE"/>
    <w:rsid w:val="00963512"/>
    <w:rsid w:val="009635CB"/>
    <w:rsid w:val="009638EE"/>
    <w:rsid w:val="009639D5"/>
    <w:rsid w:val="00963C56"/>
    <w:rsid w:val="00963C8D"/>
    <w:rsid w:val="0096402B"/>
    <w:rsid w:val="009643B7"/>
    <w:rsid w:val="009644AB"/>
    <w:rsid w:val="00964680"/>
    <w:rsid w:val="009647DF"/>
    <w:rsid w:val="009648BA"/>
    <w:rsid w:val="00964BAB"/>
    <w:rsid w:val="00964BB0"/>
    <w:rsid w:val="00964BF4"/>
    <w:rsid w:val="00964BF5"/>
    <w:rsid w:val="00964FAC"/>
    <w:rsid w:val="0096500A"/>
    <w:rsid w:val="00965072"/>
    <w:rsid w:val="009650B1"/>
    <w:rsid w:val="00965106"/>
    <w:rsid w:val="009653BF"/>
    <w:rsid w:val="009653FF"/>
    <w:rsid w:val="009655FB"/>
    <w:rsid w:val="00965B58"/>
    <w:rsid w:val="00966429"/>
    <w:rsid w:val="0096648E"/>
    <w:rsid w:val="00966753"/>
    <w:rsid w:val="009667B5"/>
    <w:rsid w:val="009669EA"/>
    <w:rsid w:val="00966CB0"/>
    <w:rsid w:val="00966F42"/>
    <w:rsid w:val="00967066"/>
    <w:rsid w:val="009674C6"/>
    <w:rsid w:val="009676A7"/>
    <w:rsid w:val="0096782C"/>
    <w:rsid w:val="0096785C"/>
    <w:rsid w:val="00967BC1"/>
    <w:rsid w:val="00967E0C"/>
    <w:rsid w:val="009700B3"/>
    <w:rsid w:val="00970206"/>
    <w:rsid w:val="00970562"/>
    <w:rsid w:val="009706F5"/>
    <w:rsid w:val="0097080D"/>
    <w:rsid w:val="00970818"/>
    <w:rsid w:val="009708B9"/>
    <w:rsid w:val="00970C30"/>
    <w:rsid w:val="00970E71"/>
    <w:rsid w:val="00971089"/>
    <w:rsid w:val="0097153C"/>
    <w:rsid w:val="0097197E"/>
    <w:rsid w:val="00971C05"/>
    <w:rsid w:val="00971C09"/>
    <w:rsid w:val="00971E6F"/>
    <w:rsid w:val="0097242F"/>
    <w:rsid w:val="00972AC1"/>
    <w:rsid w:val="00972FA4"/>
    <w:rsid w:val="00973023"/>
    <w:rsid w:val="0097328F"/>
    <w:rsid w:val="009735EF"/>
    <w:rsid w:val="0097368F"/>
    <w:rsid w:val="00973A59"/>
    <w:rsid w:val="00973B77"/>
    <w:rsid w:val="00973FA6"/>
    <w:rsid w:val="009740D7"/>
    <w:rsid w:val="00974596"/>
    <w:rsid w:val="0097459E"/>
    <w:rsid w:val="009748DC"/>
    <w:rsid w:val="0097490B"/>
    <w:rsid w:val="00974A0D"/>
    <w:rsid w:val="00974BFC"/>
    <w:rsid w:val="00974E56"/>
    <w:rsid w:val="00974FC3"/>
    <w:rsid w:val="00974FF1"/>
    <w:rsid w:val="0097537F"/>
    <w:rsid w:val="00975554"/>
    <w:rsid w:val="009755A3"/>
    <w:rsid w:val="00975713"/>
    <w:rsid w:val="00975918"/>
    <w:rsid w:val="00975ACF"/>
    <w:rsid w:val="00975DA9"/>
    <w:rsid w:val="00975E26"/>
    <w:rsid w:val="00975E72"/>
    <w:rsid w:val="00975EC2"/>
    <w:rsid w:val="009760E2"/>
    <w:rsid w:val="009764F8"/>
    <w:rsid w:val="009765D4"/>
    <w:rsid w:val="0097673E"/>
    <w:rsid w:val="00976C56"/>
    <w:rsid w:val="009772C8"/>
    <w:rsid w:val="0097738F"/>
    <w:rsid w:val="009776D9"/>
    <w:rsid w:val="00977783"/>
    <w:rsid w:val="00977BFF"/>
    <w:rsid w:val="00977DA8"/>
    <w:rsid w:val="00977F94"/>
    <w:rsid w:val="00977FC2"/>
    <w:rsid w:val="00977FE9"/>
    <w:rsid w:val="0098046B"/>
    <w:rsid w:val="00980D1F"/>
    <w:rsid w:val="00980D91"/>
    <w:rsid w:val="00980F6A"/>
    <w:rsid w:val="0098141B"/>
    <w:rsid w:val="009815E7"/>
    <w:rsid w:val="00981626"/>
    <w:rsid w:val="00981780"/>
    <w:rsid w:val="009818F7"/>
    <w:rsid w:val="00981998"/>
    <w:rsid w:val="009819D6"/>
    <w:rsid w:val="00981AD0"/>
    <w:rsid w:val="00981B44"/>
    <w:rsid w:val="00981D18"/>
    <w:rsid w:val="00981F73"/>
    <w:rsid w:val="009822D8"/>
    <w:rsid w:val="009823DA"/>
    <w:rsid w:val="0098248B"/>
    <w:rsid w:val="0098249F"/>
    <w:rsid w:val="00982590"/>
    <w:rsid w:val="00982796"/>
    <w:rsid w:val="00982A44"/>
    <w:rsid w:val="00983024"/>
    <w:rsid w:val="0098302A"/>
    <w:rsid w:val="009835AC"/>
    <w:rsid w:val="00983922"/>
    <w:rsid w:val="0098393A"/>
    <w:rsid w:val="00983A2C"/>
    <w:rsid w:val="00983A70"/>
    <w:rsid w:val="00983E8E"/>
    <w:rsid w:val="00983F58"/>
    <w:rsid w:val="00984015"/>
    <w:rsid w:val="009840C2"/>
    <w:rsid w:val="00984117"/>
    <w:rsid w:val="009842AF"/>
    <w:rsid w:val="009842C4"/>
    <w:rsid w:val="0098436B"/>
    <w:rsid w:val="009843CF"/>
    <w:rsid w:val="009844E7"/>
    <w:rsid w:val="009846C9"/>
    <w:rsid w:val="009846D2"/>
    <w:rsid w:val="00984781"/>
    <w:rsid w:val="0098496E"/>
    <w:rsid w:val="00984CE1"/>
    <w:rsid w:val="00984D6E"/>
    <w:rsid w:val="00984DBF"/>
    <w:rsid w:val="00984E12"/>
    <w:rsid w:val="0098503F"/>
    <w:rsid w:val="009850C0"/>
    <w:rsid w:val="00985258"/>
    <w:rsid w:val="009852F4"/>
    <w:rsid w:val="009852FB"/>
    <w:rsid w:val="009853B7"/>
    <w:rsid w:val="009855CD"/>
    <w:rsid w:val="00985B14"/>
    <w:rsid w:val="0098620F"/>
    <w:rsid w:val="00986256"/>
    <w:rsid w:val="009864C5"/>
    <w:rsid w:val="00986B46"/>
    <w:rsid w:val="009870B0"/>
    <w:rsid w:val="009875E5"/>
    <w:rsid w:val="00987684"/>
    <w:rsid w:val="009877A1"/>
    <w:rsid w:val="00987811"/>
    <w:rsid w:val="00987978"/>
    <w:rsid w:val="00987A0C"/>
    <w:rsid w:val="00987AF7"/>
    <w:rsid w:val="00987E35"/>
    <w:rsid w:val="009902AE"/>
    <w:rsid w:val="00990CF2"/>
    <w:rsid w:val="00991589"/>
    <w:rsid w:val="009916E8"/>
    <w:rsid w:val="0099188D"/>
    <w:rsid w:val="00991945"/>
    <w:rsid w:val="00991F93"/>
    <w:rsid w:val="009921A1"/>
    <w:rsid w:val="009921E0"/>
    <w:rsid w:val="00992874"/>
    <w:rsid w:val="00992B14"/>
    <w:rsid w:val="00992BDB"/>
    <w:rsid w:val="00992C90"/>
    <w:rsid w:val="009932DC"/>
    <w:rsid w:val="0099331F"/>
    <w:rsid w:val="009933F9"/>
    <w:rsid w:val="00993687"/>
    <w:rsid w:val="0099371A"/>
    <w:rsid w:val="00993791"/>
    <w:rsid w:val="009938CC"/>
    <w:rsid w:val="00993A2C"/>
    <w:rsid w:val="00993B72"/>
    <w:rsid w:val="00993CDC"/>
    <w:rsid w:val="00993E8F"/>
    <w:rsid w:val="00994061"/>
    <w:rsid w:val="009940EE"/>
    <w:rsid w:val="0099423A"/>
    <w:rsid w:val="00994352"/>
    <w:rsid w:val="009946B6"/>
    <w:rsid w:val="009948FA"/>
    <w:rsid w:val="00994922"/>
    <w:rsid w:val="00994962"/>
    <w:rsid w:val="00994BD1"/>
    <w:rsid w:val="00994D5E"/>
    <w:rsid w:val="00994EEB"/>
    <w:rsid w:val="00994F2B"/>
    <w:rsid w:val="00994F62"/>
    <w:rsid w:val="009953C4"/>
    <w:rsid w:val="009953F3"/>
    <w:rsid w:val="00995543"/>
    <w:rsid w:val="00995585"/>
    <w:rsid w:val="00995AA8"/>
    <w:rsid w:val="00995B19"/>
    <w:rsid w:val="00995B56"/>
    <w:rsid w:val="00995D5E"/>
    <w:rsid w:val="00995E2E"/>
    <w:rsid w:val="00996062"/>
    <w:rsid w:val="00996812"/>
    <w:rsid w:val="00996CC0"/>
    <w:rsid w:val="00996D88"/>
    <w:rsid w:val="00996EDE"/>
    <w:rsid w:val="00996EE9"/>
    <w:rsid w:val="00997060"/>
    <w:rsid w:val="009970E6"/>
    <w:rsid w:val="00997320"/>
    <w:rsid w:val="00997573"/>
    <w:rsid w:val="00997775"/>
    <w:rsid w:val="009977D0"/>
    <w:rsid w:val="00997B79"/>
    <w:rsid w:val="00997F47"/>
    <w:rsid w:val="009A01FB"/>
    <w:rsid w:val="009A02B3"/>
    <w:rsid w:val="009A053D"/>
    <w:rsid w:val="009A0AA8"/>
    <w:rsid w:val="009A0BBF"/>
    <w:rsid w:val="009A0C8C"/>
    <w:rsid w:val="009A0DA0"/>
    <w:rsid w:val="009A0F0D"/>
    <w:rsid w:val="009A11B7"/>
    <w:rsid w:val="009A128D"/>
    <w:rsid w:val="009A162F"/>
    <w:rsid w:val="009A1AAA"/>
    <w:rsid w:val="009A1DD3"/>
    <w:rsid w:val="009A1F93"/>
    <w:rsid w:val="009A22A0"/>
    <w:rsid w:val="009A2591"/>
    <w:rsid w:val="009A293C"/>
    <w:rsid w:val="009A2A35"/>
    <w:rsid w:val="009A2D1F"/>
    <w:rsid w:val="009A322F"/>
    <w:rsid w:val="009A388D"/>
    <w:rsid w:val="009A3BDD"/>
    <w:rsid w:val="009A3BF7"/>
    <w:rsid w:val="009A41DE"/>
    <w:rsid w:val="009A42F5"/>
    <w:rsid w:val="009A467C"/>
    <w:rsid w:val="009A4757"/>
    <w:rsid w:val="009A495C"/>
    <w:rsid w:val="009A49DA"/>
    <w:rsid w:val="009A4A54"/>
    <w:rsid w:val="009A4A5D"/>
    <w:rsid w:val="009A4A89"/>
    <w:rsid w:val="009A4B7B"/>
    <w:rsid w:val="009A4CFF"/>
    <w:rsid w:val="009A4FE5"/>
    <w:rsid w:val="009A50E1"/>
    <w:rsid w:val="009A5713"/>
    <w:rsid w:val="009A59B8"/>
    <w:rsid w:val="009A5A57"/>
    <w:rsid w:val="009A5E7C"/>
    <w:rsid w:val="009A5E81"/>
    <w:rsid w:val="009A5EFD"/>
    <w:rsid w:val="009A6377"/>
    <w:rsid w:val="009A63CC"/>
    <w:rsid w:val="009A6ACE"/>
    <w:rsid w:val="009A6C23"/>
    <w:rsid w:val="009A6F90"/>
    <w:rsid w:val="009A71AF"/>
    <w:rsid w:val="009A75AC"/>
    <w:rsid w:val="009A7957"/>
    <w:rsid w:val="009A798D"/>
    <w:rsid w:val="009A7A09"/>
    <w:rsid w:val="009A7CF3"/>
    <w:rsid w:val="009A7D29"/>
    <w:rsid w:val="009A7F45"/>
    <w:rsid w:val="009B0673"/>
    <w:rsid w:val="009B067F"/>
    <w:rsid w:val="009B0824"/>
    <w:rsid w:val="009B101B"/>
    <w:rsid w:val="009B10AC"/>
    <w:rsid w:val="009B11E5"/>
    <w:rsid w:val="009B11FA"/>
    <w:rsid w:val="009B172F"/>
    <w:rsid w:val="009B1810"/>
    <w:rsid w:val="009B1B0D"/>
    <w:rsid w:val="009B1FD8"/>
    <w:rsid w:val="009B201F"/>
    <w:rsid w:val="009B236B"/>
    <w:rsid w:val="009B23DB"/>
    <w:rsid w:val="009B2602"/>
    <w:rsid w:val="009B2715"/>
    <w:rsid w:val="009B2780"/>
    <w:rsid w:val="009B29F3"/>
    <w:rsid w:val="009B2D1D"/>
    <w:rsid w:val="009B2E8A"/>
    <w:rsid w:val="009B30AD"/>
    <w:rsid w:val="009B314E"/>
    <w:rsid w:val="009B31CA"/>
    <w:rsid w:val="009B3704"/>
    <w:rsid w:val="009B392B"/>
    <w:rsid w:val="009B3E50"/>
    <w:rsid w:val="009B3FCD"/>
    <w:rsid w:val="009B41E7"/>
    <w:rsid w:val="009B42D7"/>
    <w:rsid w:val="009B480F"/>
    <w:rsid w:val="009B4CDC"/>
    <w:rsid w:val="009B4EF4"/>
    <w:rsid w:val="009B50A8"/>
    <w:rsid w:val="009B53B2"/>
    <w:rsid w:val="009B5764"/>
    <w:rsid w:val="009B5A31"/>
    <w:rsid w:val="009B5E94"/>
    <w:rsid w:val="009B5FED"/>
    <w:rsid w:val="009B6106"/>
    <w:rsid w:val="009B626A"/>
    <w:rsid w:val="009B6321"/>
    <w:rsid w:val="009B6397"/>
    <w:rsid w:val="009B645E"/>
    <w:rsid w:val="009B64B7"/>
    <w:rsid w:val="009B67C9"/>
    <w:rsid w:val="009B6846"/>
    <w:rsid w:val="009B6BE0"/>
    <w:rsid w:val="009B6C9D"/>
    <w:rsid w:val="009B6CCF"/>
    <w:rsid w:val="009B6FCD"/>
    <w:rsid w:val="009B7324"/>
    <w:rsid w:val="009B7A3D"/>
    <w:rsid w:val="009B7AA8"/>
    <w:rsid w:val="009B7AB2"/>
    <w:rsid w:val="009B7AB3"/>
    <w:rsid w:val="009B7CB5"/>
    <w:rsid w:val="009B7EA6"/>
    <w:rsid w:val="009C00BE"/>
    <w:rsid w:val="009C0881"/>
    <w:rsid w:val="009C08C4"/>
    <w:rsid w:val="009C091C"/>
    <w:rsid w:val="009C0A48"/>
    <w:rsid w:val="009C107E"/>
    <w:rsid w:val="009C1418"/>
    <w:rsid w:val="009C1592"/>
    <w:rsid w:val="009C16E9"/>
    <w:rsid w:val="009C170A"/>
    <w:rsid w:val="009C1A64"/>
    <w:rsid w:val="009C1BAC"/>
    <w:rsid w:val="009C1D62"/>
    <w:rsid w:val="009C1FEC"/>
    <w:rsid w:val="009C245B"/>
    <w:rsid w:val="009C24B9"/>
    <w:rsid w:val="009C2788"/>
    <w:rsid w:val="009C2958"/>
    <w:rsid w:val="009C29AE"/>
    <w:rsid w:val="009C29B8"/>
    <w:rsid w:val="009C2CFA"/>
    <w:rsid w:val="009C2FFD"/>
    <w:rsid w:val="009C300D"/>
    <w:rsid w:val="009C30A1"/>
    <w:rsid w:val="009C3381"/>
    <w:rsid w:val="009C38D3"/>
    <w:rsid w:val="009C3A5E"/>
    <w:rsid w:val="009C4164"/>
    <w:rsid w:val="009C42FB"/>
    <w:rsid w:val="009C468F"/>
    <w:rsid w:val="009C4728"/>
    <w:rsid w:val="009C4731"/>
    <w:rsid w:val="009C47A5"/>
    <w:rsid w:val="009C4915"/>
    <w:rsid w:val="009C4929"/>
    <w:rsid w:val="009C4C65"/>
    <w:rsid w:val="009C4D6B"/>
    <w:rsid w:val="009C4E5B"/>
    <w:rsid w:val="009C4F98"/>
    <w:rsid w:val="009C5069"/>
    <w:rsid w:val="009C5347"/>
    <w:rsid w:val="009C5392"/>
    <w:rsid w:val="009C5599"/>
    <w:rsid w:val="009C561A"/>
    <w:rsid w:val="009C57B4"/>
    <w:rsid w:val="009C5A55"/>
    <w:rsid w:val="009C5A98"/>
    <w:rsid w:val="009C5E81"/>
    <w:rsid w:val="009C60D4"/>
    <w:rsid w:val="009C62FC"/>
    <w:rsid w:val="009C6464"/>
    <w:rsid w:val="009C6850"/>
    <w:rsid w:val="009C6E18"/>
    <w:rsid w:val="009C6E97"/>
    <w:rsid w:val="009C70AB"/>
    <w:rsid w:val="009C716D"/>
    <w:rsid w:val="009C72C6"/>
    <w:rsid w:val="009C72EF"/>
    <w:rsid w:val="009C740B"/>
    <w:rsid w:val="009C76D1"/>
    <w:rsid w:val="009C7713"/>
    <w:rsid w:val="009C7937"/>
    <w:rsid w:val="009C79CF"/>
    <w:rsid w:val="009C7B59"/>
    <w:rsid w:val="009C7BFC"/>
    <w:rsid w:val="009D0110"/>
    <w:rsid w:val="009D01CB"/>
    <w:rsid w:val="009D01D4"/>
    <w:rsid w:val="009D0231"/>
    <w:rsid w:val="009D049A"/>
    <w:rsid w:val="009D0535"/>
    <w:rsid w:val="009D0573"/>
    <w:rsid w:val="009D062A"/>
    <w:rsid w:val="009D074F"/>
    <w:rsid w:val="009D09B5"/>
    <w:rsid w:val="009D0A46"/>
    <w:rsid w:val="009D0CC5"/>
    <w:rsid w:val="009D0E62"/>
    <w:rsid w:val="009D0E88"/>
    <w:rsid w:val="009D111C"/>
    <w:rsid w:val="009D15FF"/>
    <w:rsid w:val="009D18BB"/>
    <w:rsid w:val="009D1B73"/>
    <w:rsid w:val="009D1B7A"/>
    <w:rsid w:val="009D1C64"/>
    <w:rsid w:val="009D1E19"/>
    <w:rsid w:val="009D22FD"/>
    <w:rsid w:val="009D2392"/>
    <w:rsid w:val="009D252B"/>
    <w:rsid w:val="009D26FA"/>
    <w:rsid w:val="009D2A29"/>
    <w:rsid w:val="009D2AD0"/>
    <w:rsid w:val="009D2CBE"/>
    <w:rsid w:val="009D2EDC"/>
    <w:rsid w:val="009D2F1C"/>
    <w:rsid w:val="009D30CF"/>
    <w:rsid w:val="009D3297"/>
    <w:rsid w:val="009D3335"/>
    <w:rsid w:val="009D3421"/>
    <w:rsid w:val="009D3498"/>
    <w:rsid w:val="009D34C3"/>
    <w:rsid w:val="009D3550"/>
    <w:rsid w:val="009D3642"/>
    <w:rsid w:val="009D378D"/>
    <w:rsid w:val="009D3896"/>
    <w:rsid w:val="009D3E38"/>
    <w:rsid w:val="009D3FD0"/>
    <w:rsid w:val="009D4577"/>
    <w:rsid w:val="009D457B"/>
    <w:rsid w:val="009D4616"/>
    <w:rsid w:val="009D478B"/>
    <w:rsid w:val="009D4A50"/>
    <w:rsid w:val="009D4F1E"/>
    <w:rsid w:val="009D4F71"/>
    <w:rsid w:val="009D5052"/>
    <w:rsid w:val="009D50EA"/>
    <w:rsid w:val="009D511E"/>
    <w:rsid w:val="009D523C"/>
    <w:rsid w:val="009D526F"/>
    <w:rsid w:val="009D53D0"/>
    <w:rsid w:val="009D558C"/>
    <w:rsid w:val="009D55AF"/>
    <w:rsid w:val="009D59BC"/>
    <w:rsid w:val="009D5B94"/>
    <w:rsid w:val="009D5D01"/>
    <w:rsid w:val="009D5D33"/>
    <w:rsid w:val="009D601F"/>
    <w:rsid w:val="009D6062"/>
    <w:rsid w:val="009D60DE"/>
    <w:rsid w:val="009D6283"/>
    <w:rsid w:val="009D640D"/>
    <w:rsid w:val="009D65FA"/>
    <w:rsid w:val="009D6A02"/>
    <w:rsid w:val="009D6B3D"/>
    <w:rsid w:val="009D6BA3"/>
    <w:rsid w:val="009D6D81"/>
    <w:rsid w:val="009D70C0"/>
    <w:rsid w:val="009D70E9"/>
    <w:rsid w:val="009D72E6"/>
    <w:rsid w:val="009D7342"/>
    <w:rsid w:val="009D7C35"/>
    <w:rsid w:val="009D7C7C"/>
    <w:rsid w:val="009E0025"/>
    <w:rsid w:val="009E0036"/>
    <w:rsid w:val="009E006C"/>
    <w:rsid w:val="009E013B"/>
    <w:rsid w:val="009E079A"/>
    <w:rsid w:val="009E07FC"/>
    <w:rsid w:val="009E10C5"/>
    <w:rsid w:val="009E1429"/>
    <w:rsid w:val="009E15C5"/>
    <w:rsid w:val="009E1631"/>
    <w:rsid w:val="009E1656"/>
    <w:rsid w:val="009E1AFA"/>
    <w:rsid w:val="009E1B75"/>
    <w:rsid w:val="009E1DEE"/>
    <w:rsid w:val="009E21E9"/>
    <w:rsid w:val="009E21F7"/>
    <w:rsid w:val="009E22AE"/>
    <w:rsid w:val="009E23AA"/>
    <w:rsid w:val="009E24C1"/>
    <w:rsid w:val="009E25D8"/>
    <w:rsid w:val="009E287E"/>
    <w:rsid w:val="009E2970"/>
    <w:rsid w:val="009E2BAB"/>
    <w:rsid w:val="009E2E99"/>
    <w:rsid w:val="009E3044"/>
    <w:rsid w:val="009E31DB"/>
    <w:rsid w:val="009E32CD"/>
    <w:rsid w:val="009E3361"/>
    <w:rsid w:val="009E357F"/>
    <w:rsid w:val="009E36B6"/>
    <w:rsid w:val="009E36F4"/>
    <w:rsid w:val="009E3A7B"/>
    <w:rsid w:val="009E3C50"/>
    <w:rsid w:val="009E3D09"/>
    <w:rsid w:val="009E3D31"/>
    <w:rsid w:val="009E3F23"/>
    <w:rsid w:val="009E3FBF"/>
    <w:rsid w:val="009E3FD3"/>
    <w:rsid w:val="009E4262"/>
    <w:rsid w:val="009E42B4"/>
    <w:rsid w:val="009E4988"/>
    <w:rsid w:val="009E49B3"/>
    <w:rsid w:val="009E49BA"/>
    <w:rsid w:val="009E4EAE"/>
    <w:rsid w:val="009E516F"/>
    <w:rsid w:val="009E549F"/>
    <w:rsid w:val="009E55B7"/>
    <w:rsid w:val="009E5611"/>
    <w:rsid w:val="009E585D"/>
    <w:rsid w:val="009E5E3A"/>
    <w:rsid w:val="009E617C"/>
    <w:rsid w:val="009E6514"/>
    <w:rsid w:val="009E654C"/>
    <w:rsid w:val="009E6605"/>
    <w:rsid w:val="009E6688"/>
    <w:rsid w:val="009E6811"/>
    <w:rsid w:val="009E68AD"/>
    <w:rsid w:val="009E6A4B"/>
    <w:rsid w:val="009E6A9E"/>
    <w:rsid w:val="009E6B47"/>
    <w:rsid w:val="009E6B65"/>
    <w:rsid w:val="009E6CE6"/>
    <w:rsid w:val="009E6E5D"/>
    <w:rsid w:val="009E6E6E"/>
    <w:rsid w:val="009E7043"/>
    <w:rsid w:val="009E71B7"/>
    <w:rsid w:val="009E727B"/>
    <w:rsid w:val="009E7328"/>
    <w:rsid w:val="009E78F3"/>
    <w:rsid w:val="009E7A57"/>
    <w:rsid w:val="009E7A72"/>
    <w:rsid w:val="009E7C0B"/>
    <w:rsid w:val="009E7E1E"/>
    <w:rsid w:val="009F0035"/>
    <w:rsid w:val="009F02B7"/>
    <w:rsid w:val="009F0439"/>
    <w:rsid w:val="009F05D5"/>
    <w:rsid w:val="009F0690"/>
    <w:rsid w:val="009F0772"/>
    <w:rsid w:val="009F08A4"/>
    <w:rsid w:val="009F0A29"/>
    <w:rsid w:val="009F0D22"/>
    <w:rsid w:val="009F0EE8"/>
    <w:rsid w:val="009F107A"/>
    <w:rsid w:val="009F10B1"/>
    <w:rsid w:val="009F10B4"/>
    <w:rsid w:val="009F152E"/>
    <w:rsid w:val="009F15E6"/>
    <w:rsid w:val="009F1727"/>
    <w:rsid w:val="009F19F9"/>
    <w:rsid w:val="009F1AA3"/>
    <w:rsid w:val="009F1BAE"/>
    <w:rsid w:val="009F1BD4"/>
    <w:rsid w:val="009F1E47"/>
    <w:rsid w:val="009F1E63"/>
    <w:rsid w:val="009F203A"/>
    <w:rsid w:val="009F2396"/>
    <w:rsid w:val="009F23F1"/>
    <w:rsid w:val="009F25FA"/>
    <w:rsid w:val="009F267E"/>
    <w:rsid w:val="009F267F"/>
    <w:rsid w:val="009F282A"/>
    <w:rsid w:val="009F2851"/>
    <w:rsid w:val="009F2B32"/>
    <w:rsid w:val="009F34CF"/>
    <w:rsid w:val="009F3AE9"/>
    <w:rsid w:val="009F3C98"/>
    <w:rsid w:val="009F3DC1"/>
    <w:rsid w:val="009F3DFD"/>
    <w:rsid w:val="009F41D1"/>
    <w:rsid w:val="009F43A5"/>
    <w:rsid w:val="009F4932"/>
    <w:rsid w:val="009F49F0"/>
    <w:rsid w:val="009F4AD8"/>
    <w:rsid w:val="009F4C9F"/>
    <w:rsid w:val="009F4CA3"/>
    <w:rsid w:val="009F4EDE"/>
    <w:rsid w:val="009F4F1F"/>
    <w:rsid w:val="009F5027"/>
    <w:rsid w:val="009F50A7"/>
    <w:rsid w:val="009F5165"/>
    <w:rsid w:val="009F5817"/>
    <w:rsid w:val="009F59EB"/>
    <w:rsid w:val="009F5B9A"/>
    <w:rsid w:val="009F5C8D"/>
    <w:rsid w:val="009F5EE3"/>
    <w:rsid w:val="009F61A2"/>
    <w:rsid w:val="009F629E"/>
    <w:rsid w:val="009F635F"/>
    <w:rsid w:val="009F649C"/>
    <w:rsid w:val="009F6783"/>
    <w:rsid w:val="009F6B96"/>
    <w:rsid w:val="009F6F95"/>
    <w:rsid w:val="009F71AA"/>
    <w:rsid w:val="009F73C5"/>
    <w:rsid w:val="009F74C0"/>
    <w:rsid w:val="009F75D0"/>
    <w:rsid w:val="009F761A"/>
    <w:rsid w:val="009F7733"/>
    <w:rsid w:val="009F7798"/>
    <w:rsid w:val="009F7A77"/>
    <w:rsid w:val="00A00164"/>
    <w:rsid w:val="00A008FF"/>
    <w:rsid w:val="00A00D14"/>
    <w:rsid w:val="00A00D2A"/>
    <w:rsid w:val="00A00DC5"/>
    <w:rsid w:val="00A011B4"/>
    <w:rsid w:val="00A015DB"/>
    <w:rsid w:val="00A016E5"/>
    <w:rsid w:val="00A01B9C"/>
    <w:rsid w:val="00A01D68"/>
    <w:rsid w:val="00A01F8C"/>
    <w:rsid w:val="00A02025"/>
    <w:rsid w:val="00A0220E"/>
    <w:rsid w:val="00A022EE"/>
    <w:rsid w:val="00A02639"/>
    <w:rsid w:val="00A02766"/>
    <w:rsid w:val="00A02873"/>
    <w:rsid w:val="00A0295E"/>
    <w:rsid w:val="00A029F5"/>
    <w:rsid w:val="00A02BC3"/>
    <w:rsid w:val="00A02DBD"/>
    <w:rsid w:val="00A030A5"/>
    <w:rsid w:val="00A03112"/>
    <w:rsid w:val="00A0314F"/>
    <w:rsid w:val="00A035BF"/>
    <w:rsid w:val="00A037F5"/>
    <w:rsid w:val="00A03B97"/>
    <w:rsid w:val="00A03B9A"/>
    <w:rsid w:val="00A03F31"/>
    <w:rsid w:val="00A04134"/>
    <w:rsid w:val="00A041FA"/>
    <w:rsid w:val="00A0425E"/>
    <w:rsid w:val="00A0431D"/>
    <w:rsid w:val="00A046F0"/>
    <w:rsid w:val="00A046F3"/>
    <w:rsid w:val="00A0481D"/>
    <w:rsid w:val="00A04D5F"/>
    <w:rsid w:val="00A04F93"/>
    <w:rsid w:val="00A05217"/>
    <w:rsid w:val="00A05260"/>
    <w:rsid w:val="00A0546D"/>
    <w:rsid w:val="00A0554C"/>
    <w:rsid w:val="00A05A7D"/>
    <w:rsid w:val="00A05C92"/>
    <w:rsid w:val="00A05D50"/>
    <w:rsid w:val="00A05DB1"/>
    <w:rsid w:val="00A05E3A"/>
    <w:rsid w:val="00A06075"/>
    <w:rsid w:val="00A06335"/>
    <w:rsid w:val="00A06984"/>
    <w:rsid w:val="00A06C51"/>
    <w:rsid w:val="00A06CAC"/>
    <w:rsid w:val="00A06E0A"/>
    <w:rsid w:val="00A071BE"/>
    <w:rsid w:val="00A0744C"/>
    <w:rsid w:val="00A0744E"/>
    <w:rsid w:val="00A079F9"/>
    <w:rsid w:val="00A07EC1"/>
    <w:rsid w:val="00A1002C"/>
    <w:rsid w:val="00A100B6"/>
    <w:rsid w:val="00A10796"/>
    <w:rsid w:val="00A10AD8"/>
    <w:rsid w:val="00A10B87"/>
    <w:rsid w:val="00A10C04"/>
    <w:rsid w:val="00A10D2A"/>
    <w:rsid w:val="00A10F07"/>
    <w:rsid w:val="00A10F4C"/>
    <w:rsid w:val="00A10FFD"/>
    <w:rsid w:val="00A111AB"/>
    <w:rsid w:val="00A1125C"/>
    <w:rsid w:val="00A11474"/>
    <w:rsid w:val="00A11641"/>
    <w:rsid w:val="00A11AAF"/>
    <w:rsid w:val="00A11AD3"/>
    <w:rsid w:val="00A11E06"/>
    <w:rsid w:val="00A11E4B"/>
    <w:rsid w:val="00A11FB8"/>
    <w:rsid w:val="00A11FBC"/>
    <w:rsid w:val="00A12073"/>
    <w:rsid w:val="00A1208A"/>
    <w:rsid w:val="00A121B4"/>
    <w:rsid w:val="00A12341"/>
    <w:rsid w:val="00A1247E"/>
    <w:rsid w:val="00A1291B"/>
    <w:rsid w:val="00A12A8B"/>
    <w:rsid w:val="00A12C6D"/>
    <w:rsid w:val="00A12E33"/>
    <w:rsid w:val="00A134FB"/>
    <w:rsid w:val="00A13D6D"/>
    <w:rsid w:val="00A13E50"/>
    <w:rsid w:val="00A13F56"/>
    <w:rsid w:val="00A14014"/>
    <w:rsid w:val="00A14079"/>
    <w:rsid w:val="00A14123"/>
    <w:rsid w:val="00A14160"/>
    <w:rsid w:val="00A1435D"/>
    <w:rsid w:val="00A14592"/>
    <w:rsid w:val="00A14636"/>
    <w:rsid w:val="00A1496E"/>
    <w:rsid w:val="00A149DF"/>
    <w:rsid w:val="00A14B9D"/>
    <w:rsid w:val="00A14BD2"/>
    <w:rsid w:val="00A14C7F"/>
    <w:rsid w:val="00A14CF5"/>
    <w:rsid w:val="00A14D87"/>
    <w:rsid w:val="00A14DA5"/>
    <w:rsid w:val="00A15071"/>
    <w:rsid w:val="00A1533A"/>
    <w:rsid w:val="00A15447"/>
    <w:rsid w:val="00A1556B"/>
    <w:rsid w:val="00A1568B"/>
    <w:rsid w:val="00A156FE"/>
    <w:rsid w:val="00A15C1B"/>
    <w:rsid w:val="00A15E1F"/>
    <w:rsid w:val="00A15E3E"/>
    <w:rsid w:val="00A15F91"/>
    <w:rsid w:val="00A165D4"/>
    <w:rsid w:val="00A165F6"/>
    <w:rsid w:val="00A168E6"/>
    <w:rsid w:val="00A16B6F"/>
    <w:rsid w:val="00A17322"/>
    <w:rsid w:val="00A17417"/>
    <w:rsid w:val="00A17D0F"/>
    <w:rsid w:val="00A17D7B"/>
    <w:rsid w:val="00A20174"/>
    <w:rsid w:val="00A2042E"/>
    <w:rsid w:val="00A2071B"/>
    <w:rsid w:val="00A207CC"/>
    <w:rsid w:val="00A20A52"/>
    <w:rsid w:val="00A20BBB"/>
    <w:rsid w:val="00A20E46"/>
    <w:rsid w:val="00A20EE4"/>
    <w:rsid w:val="00A20F37"/>
    <w:rsid w:val="00A20F80"/>
    <w:rsid w:val="00A212BA"/>
    <w:rsid w:val="00A213CF"/>
    <w:rsid w:val="00A2165C"/>
    <w:rsid w:val="00A2165D"/>
    <w:rsid w:val="00A21739"/>
    <w:rsid w:val="00A21846"/>
    <w:rsid w:val="00A21913"/>
    <w:rsid w:val="00A21C3D"/>
    <w:rsid w:val="00A21E95"/>
    <w:rsid w:val="00A222DF"/>
    <w:rsid w:val="00A227CB"/>
    <w:rsid w:val="00A228AA"/>
    <w:rsid w:val="00A22909"/>
    <w:rsid w:val="00A22C8B"/>
    <w:rsid w:val="00A22DD0"/>
    <w:rsid w:val="00A230C5"/>
    <w:rsid w:val="00A235C1"/>
    <w:rsid w:val="00A23867"/>
    <w:rsid w:val="00A238FB"/>
    <w:rsid w:val="00A23941"/>
    <w:rsid w:val="00A23A29"/>
    <w:rsid w:val="00A23D4D"/>
    <w:rsid w:val="00A23D81"/>
    <w:rsid w:val="00A23E31"/>
    <w:rsid w:val="00A24076"/>
    <w:rsid w:val="00A24207"/>
    <w:rsid w:val="00A24264"/>
    <w:rsid w:val="00A24318"/>
    <w:rsid w:val="00A24693"/>
    <w:rsid w:val="00A24891"/>
    <w:rsid w:val="00A24A8B"/>
    <w:rsid w:val="00A24D97"/>
    <w:rsid w:val="00A24E3B"/>
    <w:rsid w:val="00A24E61"/>
    <w:rsid w:val="00A25114"/>
    <w:rsid w:val="00A2513E"/>
    <w:rsid w:val="00A25229"/>
    <w:rsid w:val="00A253EB"/>
    <w:rsid w:val="00A2542E"/>
    <w:rsid w:val="00A255A0"/>
    <w:rsid w:val="00A256BC"/>
    <w:rsid w:val="00A2583B"/>
    <w:rsid w:val="00A25967"/>
    <w:rsid w:val="00A25A67"/>
    <w:rsid w:val="00A25F4C"/>
    <w:rsid w:val="00A26253"/>
    <w:rsid w:val="00A262B8"/>
    <w:rsid w:val="00A26422"/>
    <w:rsid w:val="00A266DF"/>
    <w:rsid w:val="00A26921"/>
    <w:rsid w:val="00A26D33"/>
    <w:rsid w:val="00A2717F"/>
    <w:rsid w:val="00A27247"/>
    <w:rsid w:val="00A27632"/>
    <w:rsid w:val="00A278BC"/>
    <w:rsid w:val="00A279CA"/>
    <w:rsid w:val="00A27AFD"/>
    <w:rsid w:val="00A27C26"/>
    <w:rsid w:val="00A27EAC"/>
    <w:rsid w:val="00A27FCF"/>
    <w:rsid w:val="00A3002B"/>
    <w:rsid w:val="00A303E4"/>
    <w:rsid w:val="00A30560"/>
    <w:rsid w:val="00A306C2"/>
    <w:rsid w:val="00A30BAE"/>
    <w:rsid w:val="00A31265"/>
    <w:rsid w:val="00A3141A"/>
    <w:rsid w:val="00A31BAB"/>
    <w:rsid w:val="00A31C76"/>
    <w:rsid w:val="00A31FE0"/>
    <w:rsid w:val="00A32336"/>
    <w:rsid w:val="00A32809"/>
    <w:rsid w:val="00A32846"/>
    <w:rsid w:val="00A32910"/>
    <w:rsid w:val="00A32CE0"/>
    <w:rsid w:val="00A32F95"/>
    <w:rsid w:val="00A330EC"/>
    <w:rsid w:val="00A331E4"/>
    <w:rsid w:val="00A332C8"/>
    <w:rsid w:val="00A33361"/>
    <w:rsid w:val="00A3377B"/>
    <w:rsid w:val="00A33C7B"/>
    <w:rsid w:val="00A33F11"/>
    <w:rsid w:val="00A3432A"/>
    <w:rsid w:val="00A34437"/>
    <w:rsid w:val="00A345CD"/>
    <w:rsid w:val="00A34610"/>
    <w:rsid w:val="00A34C58"/>
    <w:rsid w:val="00A34E34"/>
    <w:rsid w:val="00A34ED8"/>
    <w:rsid w:val="00A34F26"/>
    <w:rsid w:val="00A351BE"/>
    <w:rsid w:val="00A352E3"/>
    <w:rsid w:val="00A35882"/>
    <w:rsid w:val="00A35A95"/>
    <w:rsid w:val="00A36173"/>
    <w:rsid w:val="00A361DD"/>
    <w:rsid w:val="00A36214"/>
    <w:rsid w:val="00A36277"/>
    <w:rsid w:val="00A364B0"/>
    <w:rsid w:val="00A36682"/>
    <w:rsid w:val="00A36708"/>
    <w:rsid w:val="00A368F8"/>
    <w:rsid w:val="00A36AF8"/>
    <w:rsid w:val="00A36C0A"/>
    <w:rsid w:val="00A36FEB"/>
    <w:rsid w:val="00A3705B"/>
    <w:rsid w:val="00A37288"/>
    <w:rsid w:val="00A37334"/>
    <w:rsid w:val="00A3750F"/>
    <w:rsid w:val="00A37575"/>
    <w:rsid w:val="00A378C9"/>
    <w:rsid w:val="00A37C20"/>
    <w:rsid w:val="00A37C59"/>
    <w:rsid w:val="00A37D5C"/>
    <w:rsid w:val="00A37DC9"/>
    <w:rsid w:val="00A37DD3"/>
    <w:rsid w:val="00A4002B"/>
    <w:rsid w:val="00A40424"/>
    <w:rsid w:val="00A40636"/>
    <w:rsid w:val="00A40638"/>
    <w:rsid w:val="00A40723"/>
    <w:rsid w:val="00A407AA"/>
    <w:rsid w:val="00A40991"/>
    <w:rsid w:val="00A40A06"/>
    <w:rsid w:val="00A40CD0"/>
    <w:rsid w:val="00A40CEE"/>
    <w:rsid w:val="00A40FF1"/>
    <w:rsid w:val="00A410A6"/>
    <w:rsid w:val="00A41299"/>
    <w:rsid w:val="00A413BC"/>
    <w:rsid w:val="00A416BC"/>
    <w:rsid w:val="00A41774"/>
    <w:rsid w:val="00A41A22"/>
    <w:rsid w:val="00A41AFE"/>
    <w:rsid w:val="00A41BBD"/>
    <w:rsid w:val="00A41E5E"/>
    <w:rsid w:val="00A41F5C"/>
    <w:rsid w:val="00A4235E"/>
    <w:rsid w:val="00A423E5"/>
    <w:rsid w:val="00A424B9"/>
    <w:rsid w:val="00A42840"/>
    <w:rsid w:val="00A4284C"/>
    <w:rsid w:val="00A428A5"/>
    <w:rsid w:val="00A428CC"/>
    <w:rsid w:val="00A42B0E"/>
    <w:rsid w:val="00A42DD2"/>
    <w:rsid w:val="00A42F15"/>
    <w:rsid w:val="00A43009"/>
    <w:rsid w:val="00A436E2"/>
    <w:rsid w:val="00A439E8"/>
    <w:rsid w:val="00A43A59"/>
    <w:rsid w:val="00A43A85"/>
    <w:rsid w:val="00A43B62"/>
    <w:rsid w:val="00A43BD5"/>
    <w:rsid w:val="00A43F02"/>
    <w:rsid w:val="00A442C4"/>
    <w:rsid w:val="00A444BE"/>
    <w:rsid w:val="00A4455C"/>
    <w:rsid w:val="00A4464B"/>
    <w:rsid w:val="00A44741"/>
    <w:rsid w:val="00A44934"/>
    <w:rsid w:val="00A44BE3"/>
    <w:rsid w:val="00A44C84"/>
    <w:rsid w:val="00A4521B"/>
    <w:rsid w:val="00A453A0"/>
    <w:rsid w:val="00A455D5"/>
    <w:rsid w:val="00A45789"/>
    <w:rsid w:val="00A45A45"/>
    <w:rsid w:val="00A45C0E"/>
    <w:rsid w:val="00A45C97"/>
    <w:rsid w:val="00A45CEB"/>
    <w:rsid w:val="00A4617B"/>
    <w:rsid w:val="00A4666F"/>
    <w:rsid w:val="00A46A9C"/>
    <w:rsid w:val="00A46AE2"/>
    <w:rsid w:val="00A46CD9"/>
    <w:rsid w:val="00A46CDD"/>
    <w:rsid w:val="00A46F03"/>
    <w:rsid w:val="00A473F7"/>
    <w:rsid w:val="00A47427"/>
    <w:rsid w:val="00A4798A"/>
    <w:rsid w:val="00A47BAC"/>
    <w:rsid w:val="00A47D0D"/>
    <w:rsid w:val="00A47D54"/>
    <w:rsid w:val="00A47FE5"/>
    <w:rsid w:val="00A50146"/>
    <w:rsid w:val="00A50267"/>
    <w:rsid w:val="00A50DE3"/>
    <w:rsid w:val="00A51120"/>
    <w:rsid w:val="00A511BF"/>
    <w:rsid w:val="00A513D4"/>
    <w:rsid w:val="00A5143E"/>
    <w:rsid w:val="00A51897"/>
    <w:rsid w:val="00A518D3"/>
    <w:rsid w:val="00A51AB3"/>
    <w:rsid w:val="00A51C13"/>
    <w:rsid w:val="00A51C1B"/>
    <w:rsid w:val="00A51D73"/>
    <w:rsid w:val="00A51E7F"/>
    <w:rsid w:val="00A51EBE"/>
    <w:rsid w:val="00A51ED0"/>
    <w:rsid w:val="00A51F8B"/>
    <w:rsid w:val="00A51F9C"/>
    <w:rsid w:val="00A51FCF"/>
    <w:rsid w:val="00A52248"/>
    <w:rsid w:val="00A52838"/>
    <w:rsid w:val="00A528B2"/>
    <w:rsid w:val="00A52B1A"/>
    <w:rsid w:val="00A52B2B"/>
    <w:rsid w:val="00A52B8A"/>
    <w:rsid w:val="00A52C93"/>
    <w:rsid w:val="00A52D1C"/>
    <w:rsid w:val="00A52DA1"/>
    <w:rsid w:val="00A52E3F"/>
    <w:rsid w:val="00A535D4"/>
    <w:rsid w:val="00A537FD"/>
    <w:rsid w:val="00A53AA8"/>
    <w:rsid w:val="00A53C6D"/>
    <w:rsid w:val="00A53ED9"/>
    <w:rsid w:val="00A53F38"/>
    <w:rsid w:val="00A5418E"/>
    <w:rsid w:val="00A543F1"/>
    <w:rsid w:val="00A5444D"/>
    <w:rsid w:val="00A54698"/>
    <w:rsid w:val="00A546C9"/>
    <w:rsid w:val="00A546CD"/>
    <w:rsid w:val="00A54728"/>
    <w:rsid w:val="00A5484A"/>
    <w:rsid w:val="00A548CC"/>
    <w:rsid w:val="00A54A61"/>
    <w:rsid w:val="00A54B19"/>
    <w:rsid w:val="00A54B88"/>
    <w:rsid w:val="00A54C28"/>
    <w:rsid w:val="00A54C3E"/>
    <w:rsid w:val="00A54C8B"/>
    <w:rsid w:val="00A54C9C"/>
    <w:rsid w:val="00A54D3E"/>
    <w:rsid w:val="00A54D84"/>
    <w:rsid w:val="00A54E9A"/>
    <w:rsid w:val="00A550E3"/>
    <w:rsid w:val="00A551A1"/>
    <w:rsid w:val="00A551CA"/>
    <w:rsid w:val="00A55480"/>
    <w:rsid w:val="00A554DF"/>
    <w:rsid w:val="00A5562F"/>
    <w:rsid w:val="00A558B5"/>
    <w:rsid w:val="00A55C49"/>
    <w:rsid w:val="00A55FDD"/>
    <w:rsid w:val="00A563FF"/>
    <w:rsid w:val="00A5664E"/>
    <w:rsid w:val="00A56760"/>
    <w:rsid w:val="00A567F1"/>
    <w:rsid w:val="00A5691C"/>
    <w:rsid w:val="00A5692B"/>
    <w:rsid w:val="00A575D7"/>
    <w:rsid w:val="00A5761A"/>
    <w:rsid w:val="00A57654"/>
    <w:rsid w:val="00A57782"/>
    <w:rsid w:val="00A57796"/>
    <w:rsid w:val="00A57A26"/>
    <w:rsid w:val="00A57ECC"/>
    <w:rsid w:val="00A602B0"/>
    <w:rsid w:val="00A602E3"/>
    <w:rsid w:val="00A607DF"/>
    <w:rsid w:val="00A60894"/>
    <w:rsid w:val="00A60A04"/>
    <w:rsid w:val="00A60C16"/>
    <w:rsid w:val="00A60FEB"/>
    <w:rsid w:val="00A61065"/>
    <w:rsid w:val="00A610ED"/>
    <w:rsid w:val="00A612D4"/>
    <w:rsid w:val="00A614C4"/>
    <w:rsid w:val="00A6153A"/>
    <w:rsid w:val="00A619D0"/>
    <w:rsid w:val="00A61BB4"/>
    <w:rsid w:val="00A61C90"/>
    <w:rsid w:val="00A61E16"/>
    <w:rsid w:val="00A61E89"/>
    <w:rsid w:val="00A61FEC"/>
    <w:rsid w:val="00A62727"/>
    <w:rsid w:val="00A62945"/>
    <w:rsid w:val="00A62A67"/>
    <w:rsid w:val="00A62DFF"/>
    <w:rsid w:val="00A6346E"/>
    <w:rsid w:val="00A63549"/>
    <w:rsid w:val="00A6378D"/>
    <w:rsid w:val="00A63A4D"/>
    <w:rsid w:val="00A63AD7"/>
    <w:rsid w:val="00A63E17"/>
    <w:rsid w:val="00A64116"/>
    <w:rsid w:val="00A64152"/>
    <w:rsid w:val="00A64237"/>
    <w:rsid w:val="00A6424C"/>
    <w:rsid w:val="00A643B3"/>
    <w:rsid w:val="00A64742"/>
    <w:rsid w:val="00A64C3D"/>
    <w:rsid w:val="00A64C4F"/>
    <w:rsid w:val="00A64DF3"/>
    <w:rsid w:val="00A64EF5"/>
    <w:rsid w:val="00A6516B"/>
    <w:rsid w:val="00A6517B"/>
    <w:rsid w:val="00A65306"/>
    <w:rsid w:val="00A6530C"/>
    <w:rsid w:val="00A6539B"/>
    <w:rsid w:val="00A655D7"/>
    <w:rsid w:val="00A65730"/>
    <w:rsid w:val="00A65876"/>
    <w:rsid w:val="00A658EA"/>
    <w:rsid w:val="00A662A3"/>
    <w:rsid w:val="00A6644C"/>
    <w:rsid w:val="00A665E1"/>
    <w:rsid w:val="00A66653"/>
    <w:rsid w:val="00A6694F"/>
    <w:rsid w:val="00A66BE7"/>
    <w:rsid w:val="00A6729A"/>
    <w:rsid w:val="00A67565"/>
    <w:rsid w:val="00A67688"/>
    <w:rsid w:val="00A67BB3"/>
    <w:rsid w:val="00A67E13"/>
    <w:rsid w:val="00A67E54"/>
    <w:rsid w:val="00A700F3"/>
    <w:rsid w:val="00A7014E"/>
    <w:rsid w:val="00A70178"/>
    <w:rsid w:val="00A70296"/>
    <w:rsid w:val="00A707B3"/>
    <w:rsid w:val="00A708CB"/>
    <w:rsid w:val="00A708F9"/>
    <w:rsid w:val="00A70B18"/>
    <w:rsid w:val="00A70CBA"/>
    <w:rsid w:val="00A70FE2"/>
    <w:rsid w:val="00A71080"/>
    <w:rsid w:val="00A712EF"/>
    <w:rsid w:val="00A712F2"/>
    <w:rsid w:val="00A71315"/>
    <w:rsid w:val="00A716B5"/>
    <w:rsid w:val="00A716E5"/>
    <w:rsid w:val="00A718D7"/>
    <w:rsid w:val="00A71913"/>
    <w:rsid w:val="00A7198F"/>
    <w:rsid w:val="00A719D7"/>
    <w:rsid w:val="00A71ABF"/>
    <w:rsid w:val="00A725B5"/>
    <w:rsid w:val="00A72704"/>
    <w:rsid w:val="00A72844"/>
    <w:rsid w:val="00A728BF"/>
    <w:rsid w:val="00A733BA"/>
    <w:rsid w:val="00A7395C"/>
    <w:rsid w:val="00A73BD9"/>
    <w:rsid w:val="00A73C89"/>
    <w:rsid w:val="00A73CED"/>
    <w:rsid w:val="00A73DCB"/>
    <w:rsid w:val="00A73E13"/>
    <w:rsid w:val="00A740E3"/>
    <w:rsid w:val="00A7416F"/>
    <w:rsid w:val="00A74573"/>
    <w:rsid w:val="00A745AA"/>
    <w:rsid w:val="00A74894"/>
    <w:rsid w:val="00A748C5"/>
    <w:rsid w:val="00A74931"/>
    <w:rsid w:val="00A74A10"/>
    <w:rsid w:val="00A74B06"/>
    <w:rsid w:val="00A74B84"/>
    <w:rsid w:val="00A752D6"/>
    <w:rsid w:val="00A7568A"/>
    <w:rsid w:val="00A759AB"/>
    <w:rsid w:val="00A75A57"/>
    <w:rsid w:val="00A75E61"/>
    <w:rsid w:val="00A75F55"/>
    <w:rsid w:val="00A76111"/>
    <w:rsid w:val="00A76444"/>
    <w:rsid w:val="00A766F9"/>
    <w:rsid w:val="00A768DF"/>
    <w:rsid w:val="00A76A87"/>
    <w:rsid w:val="00A76B9A"/>
    <w:rsid w:val="00A76DB5"/>
    <w:rsid w:val="00A77003"/>
    <w:rsid w:val="00A7703A"/>
    <w:rsid w:val="00A77126"/>
    <w:rsid w:val="00A77152"/>
    <w:rsid w:val="00A77496"/>
    <w:rsid w:val="00A77812"/>
    <w:rsid w:val="00A7784B"/>
    <w:rsid w:val="00A778E5"/>
    <w:rsid w:val="00A77B30"/>
    <w:rsid w:val="00A77C5A"/>
    <w:rsid w:val="00A77D25"/>
    <w:rsid w:val="00A77E51"/>
    <w:rsid w:val="00A77F0F"/>
    <w:rsid w:val="00A77F84"/>
    <w:rsid w:val="00A8000B"/>
    <w:rsid w:val="00A80476"/>
    <w:rsid w:val="00A807C9"/>
    <w:rsid w:val="00A80CDC"/>
    <w:rsid w:val="00A80E88"/>
    <w:rsid w:val="00A811E7"/>
    <w:rsid w:val="00A81314"/>
    <w:rsid w:val="00A81409"/>
    <w:rsid w:val="00A8142C"/>
    <w:rsid w:val="00A81643"/>
    <w:rsid w:val="00A81679"/>
    <w:rsid w:val="00A81990"/>
    <w:rsid w:val="00A81A7F"/>
    <w:rsid w:val="00A81CC8"/>
    <w:rsid w:val="00A81E78"/>
    <w:rsid w:val="00A81FF9"/>
    <w:rsid w:val="00A82008"/>
    <w:rsid w:val="00A8211D"/>
    <w:rsid w:val="00A82196"/>
    <w:rsid w:val="00A8225E"/>
    <w:rsid w:val="00A82455"/>
    <w:rsid w:val="00A82474"/>
    <w:rsid w:val="00A8263E"/>
    <w:rsid w:val="00A828FC"/>
    <w:rsid w:val="00A829D3"/>
    <w:rsid w:val="00A82AD7"/>
    <w:rsid w:val="00A82BE5"/>
    <w:rsid w:val="00A82CF7"/>
    <w:rsid w:val="00A8304C"/>
    <w:rsid w:val="00A836BB"/>
    <w:rsid w:val="00A836C8"/>
    <w:rsid w:val="00A839C3"/>
    <w:rsid w:val="00A83A13"/>
    <w:rsid w:val="00A83B3B"/>
    <w:rsid w:val="00A83C09"/>
    <w:rsid w:val="00A83E23"/>
    <w:rsid w:val="00A84293"/>
    <w:rsid w:val="00A842CD"/>
    <w:rsid w:val="00A845E9"/>
    <w:rsid w:val="00A84A11"/>
    <w:rsid w:val="00A84B43"/>
    <w:rsid w:val="00A84BC0"/>
    <w:rsid w:val="00A84BFB"/>
    <w:rsid w:val="00A84CE5"/>
    <w:rsid w:val="00A84D1D"/>
    <w:rsid w:val="00A84DD9"/>
    <w:rsid w:val="00A84E40"/>
    <w:rsid w:val="00A84E76"/>
    <w:rsid w:val="00A84E9D"/>
    <w:rsid w:val="00A84EF1"/>
    <w:rsid w:val="00A851E5"/>
    <w:rsid w:val="00A85282"/>
    <w:rsid w:val="00A8532A"/>
    <w:rsid w:val="00A85467"/>
    <w:rsid w:val="00A85A60"/>
    <w:rsid w:val="00A85DD4"/>
    <w:rsid w:val="00A85E86"/>
    <w:rsid w:val="00A8604B"/>
    <w:rsid w:val="00A866C5"/>
    <w:rsid w:val="00A8670F"/>
    <w:rsid w:val="00A867A3"/>
    <w:rsid w:val="00A869B6"/>
    <w:rsid w:val="00A86ADB"/>
    <w:rsid w:val="00A86F96"/>
    <w:rsid w:val="00A87133"/>
    <w:rsid w:val="00A87252"/>
    <w:rsid w:val="00A87270"/>
    <w:rsid w:val="00A874CD"/>
    <w:rsid w:val="00A8787F"/>
    <w:rsid w:val="00A87886"/>
    <w:rsid w:val="00A87A24"/>
    <w:rsid w:val="00A87B59"/>
    <w:rsid w:val="00A87B5B"/>
    <w:rsid w:val="00A87BA4"/>
    <w:rsid w:val="00A90056"/>
    <w:rsid w:val="00A90085"/>
    <w:rsid w:val="00A9008C"/>
    <w:rsid w:val="00A902B8"/>
    <w:rsid w:val="00A90429"/>
    <w:rsid w:val="00A9046C"/>
    <w:rsid w:val="00A9049B"/>
    <w:rsid w:val="00A906EA"/>
    <w:rsid w:val="00A9084B"/>
    <w:rsid w:val="00A90A5F"/>
    <w:rsid w:val="00A90EE5"/>
    <w:rsid w:val="00A9129B"/>
    <w:rsid w:val="00A912C6"/>
    <w:rsid w:val="00A91349"/>
    <w:rsid w:val="00A91A49"/>
    <w:rsid w:val="00A91B5C"/>
    <w:rsid w:val="00A91B93"/>
    <w:rsid w:val="00A91C98"/>
    <w:rsid w:val="00A9233F"/>
    <w:rsid w:val="00A924C3"/>
    <w:rsid w:val="00A92B12"/>
    <w:rsid w:val="00A92CC3"/>
    <w:rsid w:val="00A92F9A"/>
    <w:rsid w:val="00A931EC"/>
    <w:rsid w:val="00A932A6"/>
    <w:rsid w:val="00A934FE"/>
    <w:rsid w:val="00A937EA"/>
    <w:rsid w:val="00A938DB"/>
    <w:rsid w:val="00A939F1"/>
    <w:rsid w:val="00A93C35"/>
    <w:rsid w:val="00A93D16"/>
    <w:rsid w:val="00A93D98"/>
    <w:rsid w:val="00A93E10"/>
    <w:rsid w:val="00A93EF7"/>
    <w:rsid w:val="00A93F43"/>
    <w:rsid w:val="00A93FB6"/>
    <w:rsid w:val="00A93FEE"/>
    <w:rsid w:val="00A94612"/>
    <w:rsid w:val="00A948F5"/>
    <w:rsid w:val="00A94A8B"/>
    <w:rsid w:val="00A94B31"/>
    <w:rsid w:val="00A94BD6"/>
    <w:rsid w:val="00A94CFE"/>
    <w:rsid w:val="00A94D60"/>
    <w:rsid w:val="00A94DCB"/>
    <w:rsid w:val="00A94E68"/>
    <w:rsid w:val="00A9534C"/>
    <w:rsid w:val="00A9545D"/>
    <w:rsid w:val="00A95476"/>
    <w:rsid w:val="00A9553E"/>
    <w:rsid w:val="00A9555B"/>
    <w:rsid w:val="00A957E5"/>
    <w:rsid w:val="00A958BB"/>
    <w:rsid w:val="00A958D1"/>
    <w:rsid w:val="00A95B19"/>
    <w:rsid w:val="00A95C39"/>
    <w:rsid w:val="00A95CB3"/>
    <w:rsid w:val="00A95FD4"/>
    <w:rsid w:val="00A96084"/>
    <w:rsid w:val="00A96263"/>
    <w:rsid w:val="00A96269"/>
    <w:rsid w:val="00A965A8"/>
    <w:rsid w:val="00A96931"/>
    <w:rsid w:val="00A96971"/>
    <w:rsid w:val="00A96C97"/>
    <w:rsid w:val="00A96D28"/>
    <w:rsid w:val="00A970B8"/>
    <w:rsid w:val="00A9714F"/>
    <w:rsid w:val="00A97310"/>
    <w:rsid w:val="00A97EE7"/>
    <w:rsid w:val="00A97F88"/>
    <w:rsid w:val="00AA00C5"/>
    <w:rsid w:val="00AA00FE"/>
    <w:rsid w:val="00AA014A"/>
    <w:rsid w:val="00AA024D"/>
    <w:rsid w:val="00AA02BD"/>
    <w:rsid w:val="00AA0329"/>
    <w:rsid w:val="00AA03B4"/>
    <w:rsid w:val="00AA03DF"/>
    <w:rsid w:val="00AA040C"/>
    <w:rsid w:val="00AA042A"/>
    <w:rsid w:val="00AA04B9"/>
    <w:rsid w:val="00AA0581"/>
    <w:rsid w:val="00AA059B"/>
    <w:rsid w:val="00AA07CF"/>
    <w:rsid w:val="00AA080C"/>
    <w:rsid w:val="00AA0839"/>
    <w:rsid w:val="00AA0BA2"/>
    <w:rsid w:val="00AA0F6F"/>
    <w:rsid w:val="00AA0FB3"/>
    <w:rsid w:val="00AA11A0"/>
    <w:rsid w:val="00AA163C"/>
    <w:rsid w:val="00AA18CE"/>
    <w:rsid w:val="00AA1ABD"/>
    <w:rsid w:val="00AA1AF0"/>
    <w:rsid w:val="00AA1CA7"/>
    <w:rsid w:val="00AA1D50"/>
    <w:rsid w:val="00AA1EAB"/>
    <w:rsid w:val="00AA1FB1"/>
    <w:rsid w:val="00AA21E8"/>
    <w:rsid w:val="00AA2306"/>
    <w:rsid w:val="00AA2467"/>
    <w:rsid w:val="00AA24C9"/>
    <w:rsid w:val="00AA2908"/>
    <w:rsid w:val="00AA2AEB"/>
    <w:rsid w:val="00AA2B33"/>
    <w:rsid w:val="00AA2D65"/>
    <w:rsid w:val="00AA2F5C"/>
    <w:rsid w:val="00AA3047"/>
    <w:rsid w:val="00AA3362"/>
    <w:rsid w:val="00AA398B"/>
    <w:rsid w:val="00AA3AFF"/>
    <w:rsid w:val="00AA3E70"/>
    <w:rsid w:val="00AA3F94"/>
    <w:rsid w:val="00AA3FC7"/>
    <w:rsid w:val="00AA4060"/>
    <w:rsid w:val="00AA439A"/>
    <w:rsid w:val="00AA4507"/>
    <w:rsid w:val="00AA4596"/>
    <w:rsid w:val="00AA45CF"/>
    <w:rsid w:val="00AA49A0"/>
    <w:rsid w:val="00AA4A07"/>
    <w:rsid w:val="00AA4A5B"/>
    <w:rsid w:val="00AA4AD2"/>
    <w:rsid w:val="00AA4AE7"/>
    <w:rsid w:val="00AA4E14"/>
    <w:rsid w:val="00AA4E5F"/>
    <w:rsid w:val="00AA4FC3"/>
    <w:rsid w:val="00AA5015"/>
    <w:rsid w:val="00AA5632"/>
    <w:rsid w:val="00AA5746"/>
    <w:rsid w:val="00AA5769"/>
    <w:rsid w:val="00AA5AE1"/>
    <w:rsid w:val="00AA5D15"/>
    <w:rsid w:val="00AA6025"/>
    <w:rsid w:val="00AA60D6"/>
    <w:rsid w:val="00AA63B4"/>
    <w:rsid w:val="00AA64A1"/>
    <w:rsid w:val="00AA691C"/>
    <w:rsid w:val="00AA6A69"/>
    <w:rsid w:val="00AA705E"/>
    <w:rsid w:val="00AA7115"/>
    <w:rsid w:val="00AA72E4"/>
    <w:rsid w:val="00AA744D"/>
    <w:rsid w:val="00AA7499"/>
    <w:rsid w:val="00AA74EF"/>
    <w:rsid w:val="00AA79B4"/>
    <w:rsid w:val="00AA79FC"/>
    <w:rsid w:val="00AA7AC0"/>
    <w:rsid w:val="00AA7C25"/>
    <w:rsid w:val="00AA7E38"/>
    <w:rsid w:val="00AA7ED3"/>
    <w:rsid w:val="00AA7FA5"/>
    <w:rsid w:val="00AB006D"/>
    <w:rsid w:val="00AB01BA"/>
    <w:rsid w:val="00AB083F"/>
    <w:rsid w:val="00AB08B9"/>
    <w:rsid w:val="00AB0974"/>
    <w:rsid w:val="00AB0AC6"/>
    <w:rsid w:val="00AB0B07"/>
    <w:rsid w:val="00AB0C56"/>
    <w:rsid w:val="00AB0EFE"/>
    <w:rsid w:val="00AB117A"/>
    <w:rsid w:val="00AB1248"/>
    <w:rsid w:val="00AB1593"/>
    <w:rsid w:val="00AB161C"/>
    <w:rsid w:val="00AB1796"/>
    <w:rsid w:val="00AB1EB1"/>
    <w:rsid w:val="00AB1FD7"/>
    <w:rsid w:val="00AB2200"/>
    <w:rsid w:val="00AB2442"/>
    <w:rsid w:val="00AB26AC"/>
    <w:rsid w:val="00AB26BD"/>
    <w:rsid w:val="00AB2731"/>
    <w:rsid w:val="00AB299F"/>
    <w:rsid w:val="00AB2A6C"/>
    <w:rsid w:val="00AB2CFB"/>
    <w:rsid w:val="00AB2E49"/>
    <w:rsid w:val="00AB361E"/>
    <w:rsid w:val="00AB3667"/>
    <w:rsid w:val="00AB3729"/>
    <w:rsid w:val="00AB38AA"/>
    <w:rsid w:val="00AB3979"/>
    <w:rsid w:val="00AB39E6"/>
    <w:rsid w:val="00AB3A0E"/>
    <w:rsid w:val="00AB3E9F"/>
    <w:rsid w:val="00AB4109"/>
    <w:rsid w:val="00AB424F"/>
    <w:rsid w:val="00AB4531"/>
    <w:rsid w:val="00AB4A7D"/>
    <w:rsid w:val="00AB4B13"/>
    <w:rsid w:val="00AB4C39"/>
    <w:rsid w:val="00AB4C71"/>
    <w:rsid w:val="00AB4D3B"/>
    <w:rsid w:val="00AB5118"/>
    <w:rsid w:val="00AB51F9"/>
    <w:rsid w:val="00AB521D"/>
    <w:rsid w:val="00AB530E"/>
    <w:rsid w:val="00AB541C"/>
    <w:rsid w:val="00AB5BBD"/>
    <w:rsid w:val="00AB5EC3"/>
    <w:rsid w:val="00AB636A"/>
    <w:rsid w:val="00AB64FA"/>
    <w:rsid w:val="00AB6740"/>
    <w:rsid w:val="00AB6D7E"/>
    <w:rsid w:val="00AB6D80"/>
    <w:rsid w:val="00AB6FFF"/>
    <w:rsid w:val="00AB72A4"/>
    <w:rsid w:val="00AB733B"/>
    <w:rsid w:val="00AB7704"/>
    <w:rsid w:val="00AB793A"/>
    <w:rsid w:val="00AB7C17"/>
    <w:rsid w:val="00AC059A"/>
    <w:rsid w:val="00AC0688"/>
    <w:rsid w:val="00AC0A27"/>
    <w:rsid w:val="00AC0B6C"/>
    <w:rsid w:val="00AC0B87"/>
    <w:rsid w:val="00AC0E5F"/>
    <w:rsid w:val="00AC0FDD"/>
    <w:rsid w:val="00AC1015"/>
    <w:rsid w:val="00AC1726"/>
    <w:rsid w:val="00AC1967"/>
    <w:rsid w:val="00AC1A26"/>
    <w:rsid w:val="00AC1F08"/>
    <w:rsid w:val="00AC204D"/>
    <w:rsid w:val="00AC24CC"/>
    <w:rsid w:val="00AC2A30"/>
    <w:rsid w:val="00AC2ABC"/>
    <w:rsid w:val="00AC2C37"/>
    <w:rsid w:val="00AC2DBE"/>
    <w:rsid w:val="00AC3116"/>
    <w:rsid w:val="00AC343C"/>
    <w:rsid w:val="00AC4E03"/>
    <w:rsid w:val="00AC4E5A"/>
    <w:rsid w:val="00AC4EC4"/>
    <w:rsid w:val="00AC4F33"/>
    <w:rsid w:val="00AC543E"/>
    <w:rsid w:val="00AC55E2"/>
    <w:rsid w:val="00AC5713"/>
    <w:rsid w:val="00AC5A43"/>
    <w:rsid w:val="00AC5B1D"/>
    <w:rsid w:val="00AC5BA9"/>
    <w:rsid w:val="00AC5C75"/>
    <w:rsid w:val="00AC5D66"/>
    <w:rsid w:val="00AC5ED9"/>
    <w:rsid w:val="00AC5F2C"/>
    <w:rsid w:val="00AC6153"/>
    <w:rsid w:val="00AC62F7"/>
    <w:rsid w:val="00AC64A8"/>
    <w:rsid w:val="00AC6519"/>
    <w:rsid w:val="00AC6EB6"/>
    <w:rsid w:val="00AC7357"/>
    <w:rsid w:val="00AC75A0"/>
    <w:rsid w:val="00AC764D"/>
    <w:rsid w:val="00AC7691"/>
    <w:rsid w:val="00AC77D8"/>
    <w:rsid w:val="00AC7A36"/>
    <w:rsid w:val="00AC7AFE"/>
    <w:rsid w:val="00AC7B23"/>
    <w:rsid w:val="00AC7D09"/>
    <w:rsid w:val="00AC7F33"/>
    <w:rsid w:val="00AD0102"/>
    <w:rsid w:val="00AD0630"/>
    <w:rsid w:val="00AD06A6"/>
    <w:rsid w:val="00AD07FC"/>
    <w:rsid w:val="00AD0884"/>
    <w:rsid w:val="00AD0AE3"/>
    <w:rsid w:val="00AD0B7D"/>
    <w:rsid w:val="00AD1037"/>
    <w:rsid w:val="00AD118D"/>
    <w:rsid w:val="00AD14EE"/>
    <w:rsid w:val="00AD166A"/>
    <w:rsid w:val="00AD16EB"/>
    <w:rsid w:val="00AD1847"/>
    <w:rsid w:val="00AD1A38"/>
    <w:rsid w:val="00AD1C5C"/>
    <w:rsid w:val="00AD1D9E"/>
    <w:rsid w:val="00AD1DEC"/>
    <w:rsid w:val="00AD1EAC"/>
    <w:rsid w:val="00AD1F70"/>
    <w:rsid w:val="00AD1FDE"/>
    <w:rsid w:val="00AD222C"/>
    <w:rsid w:val="00AD230C"/>
    <w:rsid w:val="00AD231A"/>
    <w:rsid w:val="00AD26FA"/>
    <w:rsid w:val="00AD28C9"/>
    <w:rsid w:val="00AD2B13"/>
    <w:rsid w:val="00AD2C83"/>
    <w:rsid w:val="00AD2D15"/>
    <w:rsid w:val="00AD30FC"/>
    <w:rsid w:val="00AD3644"/>
    <w:rsid w:val="00AD3862"/>
    <w:rsid w:val="00AD3982"/>
    <w:rsid w:val="00AD3BAD"/>
    <w:rsid w:val="00AD3CB5"/>
    <w:rsid w:val="00AD3D42"/>
    <w:rsid w:val="00AD3D69"/>
    <w:rsid w:val="00AD3E95"/>
    <w:rsid w:val="00AD41DD"/>
    <w:rsid w:val="00AD46CC"/>
    <w:rsid w:val="00AD473C"/>
    <w:rsid w:val="00AD47F9"/>
    <w:rsid w:val="00AD4808"/>
    <w:rsid w:val="00AD4CDF"/>
    <w:rsid w:val="00AD50B2"/>
    <w:rsid w:val="00AD5290"/>
    <w:rsid w:val="00AD52AE"/>
    <w:rsid w:val="00AD57EF"/>
    <w:rsid w:val="00AD5A52"/>
    <w:rsid w:val="00AD5AA4"/>
    <w:rsid w:val="00AD5B1E"/>
    <w:rsid w:val="00AD5CA3"/>
    <w:rsid w:val="00AD5F5A"/>
    <w:rsid w:val="00AD5F8D"/>
    <w:rsid w:val="00AD683E"/>
    <w:rsid w:val="00AD68A3"/>
    <w:rsid w:val="00AD693B"/>
    <w:rsid w:val="00AD6D01"/>
    <w:rsid w:val="00AD73D0"/>
    <w:rsid w:val="00AD745E"/>
    <w:rsid w:val="00AD7701"/>
    <w:rsid w:val="00AD7824"/>
    <w:rsid w:val="00AD7AE4"/>
    <w:rsid w:val="00AD7B9C"/>
    <w:rsid w:val="00AD7CB7"/>
    <w:rsid w:val="00AD7EEF"/>
    <w:rsid w:val="00AD7FDE"/>
    <w:rsid w:val="00AE072F"/>
    <w:rsid w:val="00AE09DF"/>
    <w:rsid w:val="00AE0C8D"/>
    <w:rsid w:val="00AE0D36"/>
    <w:rsid w:val="00AE0F2A"/>
    <w:rsid w:val="00AE0FCC"/>
    <w:rsid w:val="00AE106D"/>
    <w:rsid w:val="00AE1571"/>
    <w:rsid w:val="00AE1671"/>
    <w:rsid w:val="00AE168E"/>
    <w:rsid w:val="00AE1692"/>
    <w:rsid w:val="00AE17C8"/>
    <w:rsid w:val="00AE18C8"/>
    <w:rsid w:val="00AE1996"/>
    <w:rsid w:val="00AE19F0"/>
    <w:rsid w:val="00AE19F4"/>
    <w:rsid w:val="00AE1A62"/>
    <w:rsid w:val="00AE1B9F"/>
    <w:rsid w:val="00AE1C3C"/>
    <w:rsid w:val="00AE1CFD"/>
    <w:rsid w:val="00AE220F"/>
    <w:rsid w:val="00AE2306"/>
    <w:rsid w:val="00AE2464"/>
    <w:rsid w:val="00AE2599"/>
    <w:rsid w:val="00AE2990"/>
    <w:rsid w:val="00AE29A8"/>
    <w:rsid w:val="00AE2C30"/>
    <w:rsid w:val="00AE2CC1"/>
    <w:rsid w:val="00AE318F"/>
    <w:rsid w:val="00AE3205"/>
    <w:rsid w:val="00AE3350"/>
    <w:rsid w:val="00AE346B"/>
    <w:rsid w:val="00AE36C3"/>
    <w:rsid w:val="00AE3B39"/>
    <w:rsid w:val="00AE3E82"/>
    <w:rsid w:val="00AE3E87"/>
    <w:rsid w:val="00AE3FBF"/>
    <w:rsid w:val="00AE4270"/>
    <w:rsid w:val="00AE435B"/>
    <w:rsid w:val="00AE435D"/>
    <w:rsid w:val="00AE4808"/>
    <w:rsid w:val="00AE4A8D"/>
    <w:rsid w:val="00AE4D01"/>
    <w:rsid w:val="00AE4FBE"/>
    <w:rsid w:val="00AE50A6"/>
    <w:rsid w:val="00AE50E8"/>
    <w:rsid w:val="00AE557D"/>
    <w:rsid w:val="00AE55CF"/>
    <w:rsid w:val="00AE56D5"/>
    <w:rsid w:val="00AE574A"/>
    <w:rsid w:val="00AE5AA0"/>
    <w:rsid w:val="00AE5F9C"/>
    <w:rsid w:val="00AE6123"/>
    <w:rsid w:val="00AE636F"/>
    <w:rsid w:val="00AE6442"/>
    <w:rsid w:val="00AE6508"/>
    <w:rsid w:val="00AE6934"/>
    <w:rsid w:val="00AE6941"/>
    <w:rsid w:val="00AE6945"/>
    <w:rsid w:val="00AE6A60"/>
    <w:rsid w:val="00AE6C23"/>
    <w:rsid w:val="00AE6DD9"/>
    <w:rsid w:val="00AE6F45"/>
    <w:rsid w:val="00AE6F73"/>
    <w:rsid w:val="00AE72B2"/>
    <w:rsid w:val="00AE74CB"/>
    <w:rsid w:val="00AE7551"/>
    <w:rsid w:val="00AE7614"/>
    <w:rsid w:val="00AE7720"/>
    <w:rsid w:val="00AE78C2"/>
    <w:rsid w:val="00AE793F"/>
    <w:rsid w:val="00AE7AD7"/>
    <w:rsid w:val="00AE7DDC"/>
    <w:rsid w:val="00AE7F26"/>
    <w:rsid w:val="00AE7F27"/>
    <w:rsid w:val="00AF0153"/>
    <w:rsid w:val="00AF0220"/>
    <w:rsid w:val="00AF0240"/>
    <w:rsid w:val="00AF02FC"/>
    <w:rsid w:val="00AF03AA"/>
    <w:rsid w:val="00AF03FD"/>
    <w:rsid w:val="00AF0441"/>
    <w:rsid w:val="00AF0651"/>
    <w:rsid w:val="00AF0921"/>
    <w:rsid w:val="00AF0D75"/>
    <w:rsid w:val="00AF0F93"/>
    <w:rsid w:val="00AF142A"/>
    <w:rsid w:val="00AF16A5"/>
    <w:rsid w:val="00AF1A2B"/>
    <w:rsid w:val="00AF20B3"/>
    <w:rsid w:val="00AF21DF"/>
    <w:rsid w:val="00AF2280"/>
    <w:rsid w:val="00AF24C9"/>
    <w:rsid w:val="00AF2BE3"/>
    <w:rsid w:val="00AF2C55"/>
    <w:rsid w:val="00AF2E42"/>
    <w:rsid w:val="00AF2E8F"/>
    <w:rsid w:val="00AF2F45"/>
    <w:rsid w:val="00AF31F3"/>
    <w:rsid w:val="00AF3338"/>
    <w:rsid w:val="00AF3E0B"/>
    <w:rsid w:val="00AF3E6C"/>
    <w:rsid w:val="00AF3F26"/>
    <w:rsid w:val="00AF41A9"/>
    <w:rsid w:val="00AF434F"/>
    <w:rsid w:val="00AF4702"/>
    <w:rsid w:val="00AF4E5B"/>
    <w:rsid w:val="00AF4F2C"/>
    <w:rsid w:val="00AF4F90"/>
    <w:rsid w:val="00AF5359"/>
    <w:rsid w:val="00AF5396"/>
    <w:rsid w:val="00AF5844"/>
    <w:rsid w:val="00AF5A19"/>
    <w:rsid w:val="00AF5A36"/>
    <w:rsid w:val="00AF5E2F"/>
    <w:rsid w:val="00AF60B3"/>
    <w:rsid w:val="00AF61C2"/>
    <w:rsid w:val="00AF626B"/>
    <w:rsid w:val="00AF6281"/>
    <w:rsid w:val="00AF62AA"/>
    <w:rsid w:val="00AF665D"/>
    <w:rsid w:val="00AF68C4"/>
    <w:rsid w:val="00AF690C"/>
    <w:rsid w:val="00AF6B9C"/>
    <w:rsid w:val="00AF6C85"/>
    <w:rsid w:val="00AF6DF7"/>
    <w:rsid w:val="00AF6E04"/>
    <w:rsid w:val="00AF70DF"/>
    <w:rsid w:val="00AF710B"/>
    <w:rsid w:val="00AF72AB"/>
    <w:rsid w:val="00AF78E4"/>
    <w:rsid w:val="00AF7959"/>
    <w:rsid w:val="00AF7B81"/>
    <w:rsid w:val="00AF7BF0"/>
    <w:rsid w:val="00AF7CC0"/>
    <w:rsid w:val="00AF7E91"/>
    <w:rsid w:val="00AF7F95"/>
    <w:rsid w:val="00B00039"/>
    <w:rsid w:val="00B00145"/>
    <w:rsid w:val="00B006D4"/>
    <w:rsid w:val="00B00798"/>
    <w:rsid w:val="00B00D7B"/>
    <w:rsid w:val="00B00E04"/>
    <w:rsid w:val="00B00FF4"/>
    <w:rsid w:val="00B012C2"/>
    <w:rsid w:val="00B01396"/>
    <w:rsid w:val="00B015C0"/>
    <w:rsid w:val="00B01686"/>
    <w:rsid w:val="00B01763"/>
    <w:rsid w:val="00B0187D"/>
    <w:rsid w:val="00B01C80"/>
    <w:rsid w:val="00B01D0A"/>
    <w:rsid w:val="00B02017"/>
    <w:rsid w:val="00B02143"/>
    <w:rsid w:val="00B023C3"/>
    <w:rsid w:val="00B02723"/>
    <w:rsid w:val="00B02A44"/>
    <w:rsid w:val="00B02A79"/>
    <w:rsid w:val="00B02A8C"/>
    <w:rsid w:val="00B02D82"/>
    <w:rsid w:val="00B02FAE"/>
    <w:rsid w:val="00B03086"/>
    <w:rsid w:val="00B030EE"/>
    <w:rsid w:val="00B0319A"/>
    <w:rsid w:val="00B03292"/>
    <w:rsid w:val="00B03359"/>
    <w:rsid w:val="00B03544"/>
    <w:rsid w:val="00B036A0"/>
    <w:rsid w:val="00B03868"/>
    <w:rsid w:val="00B03BEC"/>
    <w:rsid w:val="00B03F61"/>
    <w:rsid w:val="00B04079"/>
    <w:rsid w:val="00B040E4"/>
    <w:rsid w:val="00B040FE"/>
    <w:rsid w:val="00B0413D"/>
    <w:rsid w:val="00B04223"/>
    <w:rsid w:val="00B04312"/>
    <w:rsid w:val="00B0450A"/>
    <w:rsid w:val="00B0453E"/>
    <w:rsid w:val="00B047E6"/>
    <w:rsid w:val="00B04889"/>
    <w:rsid w:val="00B04A19"/>
    <w:rsid w:val="00B04A58"/>
    <w:rsid w:val="00B04A84"/>
    <w:rsid w:val="00B04B21"/>
    <w:rsid w:val="00B04C2E"/>
    <w:rsid w:val="00B04C4F"/>
    <w:rsid w:val="00B04E8F"/>
    <w:rsid w:val="00B05499"/>
    <w:rsid w:val="00B055D2"/>
    <w:rsid w:val="00B05859"/>
    <w:rsid w:val="00B05945"/>
    <w:rsid w:val="00B05A5F"/>
    <w:rsid w:val="00B05B12"/>
    <w:rsid w:val="00B05DA0"/>
    <w:rsid w:val="00B05E13"/>
    <w:rsid w:val="00B061C8"/>
    <w:rsid w:val="00B062C7"/>
    <w:rsid w:val="00B0651E"/>
    <w:rsid w:val="00B06848"/>
    <w:rsid w:val="00B06D82"/>
    <w:rsid w:val="00B0707E"/>
    <w:rsid w:val="00B070EE"/>
    <w:rsid w:val="00B073F5"/>
    <w:rsid w:val="00B07683"/>
    <w:rsid w:val="00B0771D"/>
    <w:rsid w:val="00B078C7"/>
    <w:rsid w:val="00B07B1C"/>
    <w:rsid w:val="00B07B47"/>
    <w:rsid w:val="00B07CB5"/>
    <w:rsid w:val="00B07DBD"/>
    <w:rsid w:val="00B07E50"/>
    <w:rsid w:val="00B07FDF"/>
    <w:rsid w:val="00B102D7"/>
    <w:rsid w:val="00B10366"/>
    <w:rsid w:val="00B103E8"/>
    <w:rsid w:val="00B10647"/>
    <w:rsid w:val="00B1075F"/>
    <w:rsid w:val="00B10769"/>
    <w:rsid w:val="00B108AF"/>
    <w:rsid w:val="00B108B2"/>
    <w:rsid w:val="00B10926"/>
    <w:rsid w:val="00B10A36"/>
    <w:rsid w:val="00B10A4A"/>
    <w:rsid w:val="00B10A9D"/>
    <w:rsid w:val="00B10F3E"/>
    <w:rsid w:val="00B10F51"/>
    <w:rsid w:val="00B10F8A"/>
    <w:rsid w:val="00B114CC"/>
    <w:rsid w:val="00B117E5"/>
    <w:rsid w:val="00B1192A"/>
    <w:rsid w:val="00B11961"/>
    <w:rsid w:val="00B11BF2"/>
    <w:rsid w:val="00B11C0C"/>
    <w:rsid w:val="00B11DCF"/>
    <w:rsid w:val="00B11EA0"/>
    <w:rsid w:val="00B11EBE"/>
    <w:rsid w:val="00B1236C"/>
    <w:rsid w:val="00B1246F"/>
    <w:rsid w:val="00B12656"/>
    <w:rsid w:val="00B12A2A"/>
    <w:rsid w:val="00B12AC8"/>
    <w:rsid w:val="00B12D93"/>
    <w:rsid w:val="00B12EEE"/>
    <w:rsid w:val="00B131A7"/>
    <w:rsid w:val="00B132BF"/>
    <w:rsid w:val="00B13332"/>
    <w:rsid w:val="00B1334E"/>
    <w:rsid w:val="00B135B4"/>
    <w:rsid w:val="00B136A0"/>
    <w:rsid w:val="00B13907"/>
    <w:rsid w:val="00B13B7B"/>
    <w:rsid w:val="00B1409C"/>
    <w:rsid w:val="00B141A3"/>
    <w:rsid w:val="00B14200"/>
    <w:rsid w:val="00B143D9"/>
    <w:rsid w:val="00B14961"/>
    <w:rsid w:val="00B14EF0"/>
    <w:rsid w:val="00B151C3"/>
    <w:rsid w:val="00B1542A"/>
    <w:rsid w:val="00B15A5F"/>
    <w:rsid w:val="00B15AF6"/>
    <w:rsid w:val="00B15B4A"/>
    <w:rsid w:val="00B15DE0"/>
    <w:rsid w:val="00B15F88"/>
    <w:rsid w:val="00B15FC7"/>
    <w:rsid w:val="00B1602B"/>
    <w:rsid w:val="00B1620D"/>
    <w:rsid w:val="00B165EE"/>
    <w:rsid w:val="00B1681C"/>
    <w:rsid w:val="00B16B63"/>
    <w:rsid w:val="00B16CD2"/>
    <w:rsid w:val="00B16E1E"/>
    <w:rsid w:val="00B17010"/>
    <w:rsid w:val="00B17069"/>
    <w:rsid w:val="00B1720A"/>
    <w:rsid w:val="00B172C0"/>
    <w:rsid w:val="00B1734C"/>
    <w:rsid w:val="00B1742E"/>
    <w:rsid w:val="00B176E2"/>
    <w:rsid w:val="00B1779B"/>
    <w:rsid w:val="00B17A46"/>
    <w:rsid w:val="00B17A76"/>
    <w:rsid w:val="00B17AA0"/>
    <w:rsid w:val="00B17C5E"/>
    <w:rsid w:val="00B17DDD"/>
    <w:rsid w:val="00B17F52"/>
    <w:rsid w:val="00B17F6B"/>
    <w:rsid w:val="00B2036F"/>
    <w:rsid w:val="00B204F0"/>
    <w:rsid w:val="00B204FE"/>
    <w:rsid w:val="00B208D7"/>
    <w:rsid w:val="00B208F4"/>
    <w:rsid w:val="00B20AC5"/>
    <w:rsid w:val="00B20C95"/>
    <w:rsid w:val="00B20D0B"/>
    <w:rsid w:val="00B20E88"/>
    <w:rsid w:val="00B210D5"/>
    <w:rsid w:val="00B21165"/>
    <w:rsid w:val="00B21236"/>
    <w:rsid w:val="00B215E4"/>
    <w:rsid w:val="00B218C8"/>
    <w:rsid w:val="00B219FC"/>
    <w:rsid w:val="00B21DF7"/>
    <w:rsid w:val="00B22238"/>
    <w:rsid w:val="00B2229C"/>
    <w:rsid w:val="00B22326"/>
    <w:rsid w:val="00B22E76"/>
    <w:rsid w:val="00B22F2B"/>
    <w:rsid w:val="00B22F35"/>
    <w:rsid w:val="00B23053"/>
    <w:rsid w:val="00B230B5"/>
    <w:rsid w:val="00B231C0"/>
    <w:rsid w:val="00B23232"/>
    <w:rsid w:val="00B23DEB"/>
    <w:rsid w:val="00B23E42"/>
    <w:rsid w:val="00B23EB2"/>
    <w:rsid w:val="00B23F68"/>
    <w:rsid w:val="00B23F85"/>
    <w:rsid w:val="00B2406E"/>
    <w:rsid w:val="00B2413E"/>
    <w:rsid w:val="00B2456E"/>
    <w:rsid w:val="00B2488E"/>
    <w:rsid w:val="00B24932"/>
    <w:rsid w:val="00B24B89"/>
    <w:rsid w:val="00B25108"/>
    <w:rsid w:val="00B25170"/>
    <w:rsid w:val="00B252AA"/>
    <w:rsid w:val="00B25349"/>
    <w:rsid w:val="00B256BA"/>
    <w:rsid w:val="00B256D2"/>
    <w:rsid w:val="00B25962"/>
    <w:rsid w:val="00B25972"/>
    <w:rsid w:val="00B25AD5"/>
    <w:rsid w:val="00B25F33"/>
    <w:rsid w:val="00B26136"/>
    <w:rsid w:val="00B261F1"/>
    <w:rsid w:val="00B26448"/>
    <w:rsid w:val="00B26495"/>
    <w:rsid w:val="00B268F7"/>
    <w:rsid w:val="00B26927"/>
    <w:rsid w:val="00B26B79"/>
    <w:rsid w:val="00B26B9D"/>
    <w:rsid w:val="00B26C1B"/>
    <w:rsid w:val="00B26D92"/>
    <w:rsid w:val="00B2701B"/>
    <w:rsid w:val="00B272DA"/>
    <w:rsid w:val="00B27EA6"/>
    <w:rsid w:val="00B307AB"/>
    <w:rsid w:val="00B3082A"/>
    <w:rsid w:val="00B30A47"/>
    <w:rsid w:val="00B30FA8"/>
    <w:rsid w:val="00B3118E"/>
    <w:rsid w:val="00B31207"/>
    <w:rsid w:val="00B3141F"/>
    <w:rsid w:val="00B317C8"/>
    <w:rsid w:val="00B318CE"/>
    <w:rsid w:val="00B31B0D"/>
    <w:rsid w:val="00B31D8E"/>
    <w:rsid w:val="00B31EE5"/>
    <w:rsid w:val="00B320DC"/>
    <w:rsid w:val="00B3263F"/>
    <w:rsid w:val="00B32A99"/>
    <w:rsid w:val="00B32ACE"/>
    <w:rsid w:val="00B32B16"/>
    <w:rsid w:val="00B32C40"/>
    <w:rsid w:val="00B32D75"/>
    <w:rsid w:val="00B32DF7"/>
    <w:rsid w:val="00B32F0A"/>
    <w:rsid w:val="00B3315E"/>
    <w:rsid w:val="00B335D7"/>
    <w:rsid w:val="00B33B18"/>
    <w:rsid w:val="00B33B3A"/>
    <w:rsid w:val="00B33C88"/>
    <w:rsid w:val="00B33E1D"/>
    <w:rsid w:val="00B34119"/>
    <w:rsid w:val="00B34332"/>
    <w:rsid w:val="00B34A3D"/>
    <w:rsid w:val="00B34AE9"/>
    <w:rsid w:val="00B34AED"/>
    <w:rsid w:val="00B34BB6"/>
    <w:rsid w:val="00B34E44"/>
    <w:rsid w:val="00B34E6F"/>
    <w:rsid w:val="00B353E6"/>
    <w:rsid w:val="00B353F9"/>
    <w:rsid w:val="00B3547C"/>
    <w:rsid w:val="00B354DD"/>
    <w:rsid w:val="00B35742"/>
    <w:rsid w:val="00B35CBC"/>
    <w:rsid w:val="00B35D04"/>
    <w:rsid w:val="00B35D5F"/>
    <w:rsid w:val="00B36178"/>
    <w:rsid w:val="00B36287"/>
    <w:rsid w:val="00B363C4"/>
    <w:rsid w:val="00B365F5"/>
    <w:rsid w:val="00B36718"/>
    <w:rsid w:val="00B367AD"/>
    <w:rsid w:val="00B36A7B"/>
    <w:rsid w:val="00B36C51"/>
    <w:rsid w:val="00B36DE4"/>
    <w:rsid w:val="00B36FB3"/>
    <w:rsid w:val="00B37010"/>
    <w:rsid w:val="00B37047"/>
    <w:rsid w:val="00B3751F"/>
    <w:rsid w:val="00B37537"/>
    <w:rsid w:val="00B37684"/>
    <w:rsid w:val="00B37A1D"/>
    <w:rsid w:val="00B37D4D"/>
    <w:rsid w:val="00B37EC1"/>
    <w:rsid w:val="00B400A0"/>
    <w:rsid w:val="00B400D5"/>
    <w:rsid w:val="00B40180"/>
    <w:rsid w:val="00B401ED"/>
    <w:rsid w:val="00B4044D"/>
    <w:rsid w:val="00B4054B"/>
    <w:rsid w:val="00B40B3F"/>
    <w:rsid w:val="00B40C02"/>
    <w:rsid w:val="00B40C37"/>
    <w:rsid w:val="00B40E6B"/>
    <w:rsid w:val="00B40F94"/>
    <w:rsid w:val="00B411B1"/>
    <w:rsid w:val="00B41425"/>
    <w:rsid w:val="00B41443"/>
    <w:rsid w:val="00B4164D"/>
    <w:rsid w:val="00B418AD"/>
    <w:rsid w:val="00B418D3"/>
    <w:rsid w:val="00B418DD"/>
    <w:rsid w:val="00B41A0C"/>
    <w:rsid w:val="00B41AFD"/>
    <w:rsid w:val="00B41DA2"/>
    <w:rsid w:val="00B41F41"/>
    <w:rsid w:val="00B41F8D"/>
    <w:rsid w:val="00B41FDA"/>
    <w:rsid w:val="00B4207A"/>
    <w:rsid w:val="00B4210E"/>
    <w:rsid w:val="00B4218B"/>
    <w:rsid w:val="00B4251B"/>
    <w:rsid w:val="00B431E8"/>
    <w:rsid w:val="00B43276"/>
    <w:rsid w:val="00B432D9"/>
    <w:rsid w:val="00B43318"/>
    <w:rsid w:val="00B4361A"/>
    <w:rsid w:val="00B43763"/>
    <w:rsid w:val="00B43A11"/>
    <w:rsid w:val="00B43B18"/>
    <w:rsid w:val="00B43C66"/>
    <w:rsid w:val="00B43EDF"/>
    <w:rsid w:val="00B43F3F"/>
    <w:rsid w:val="00B43F42"/>
    <w:rsid w:val="00B43FC4"/>
    <w:rsid w:val="00B44394"/>
    <w:rsid w:val="00B445C2"/>
    <w:rsid w:val="00B445D8"/>
    <w:rsid w:val="00B44932"/>
    <w:rsid w:val="00B44BC3"/>
    <w:rsid w:val="00B452B0"/>
    <w:rsid w:val="00B453B3"/>
    <w:rsid w:val="00B453B5"/>
    <w:rsid w:val="00B4540B"/>
    <w:rsid w:val="00B455EB"/>
    <w:rsid w:val="00B45C16"/>
    <w:rsid w:val="00B45C3C"/>
    <w:rsid w:val="00B45CE1"/>
    <w:rsid w:val="00B45D51"/>
    <w:rsid w:val="00B45E6B"/>
    <w:rsid w:val="00B45EAD"/>
    <w:rsid w:val="00B45F72"/>
    <w:rsid w:val="00B4602E"/>
    <w:rsid w:val="00B4626F"/>
    <w:rsid w:val="00B4651D"/>
    <w:rsid w:val="00B465F5"/>
    <w:rsid w:val="00B4669F"/>
    <w:rsid w:val="00B46948"/>
    <w:rsid w:val="00B46DDF"/>
    <w:rsid w:val="00B46EC8"/>
    <w:rsid w:val="00B475D0"/>
    <w:rsid w:val="00B475F2"/>
    <w:rsid w:val="00B478DA"/>
    <w:rsid w:val="00B47B08"/>
    <w:rsid w:val="00B47E56"/>
    <w:rsid w:val="00B47FA8"/>
    <w:rsid w:val="00B500E7"/>
    <w:rsid w:val="00B503F0"/>
    <w:rsid w:val="00B5068E"/>
    <w:rsid w:val="00B5088A"/>
    <w:rsid w:val="00B50A12"/>
    <w:rsid w:val="00B50E01"/>
    <w:rsid w:val="00B50F06"/>
    <w:rsid w:val="00B51261"/>
    <w:rsid w:val="00B51669"/>
    <w:rsid w:val="00B5186D"/>
    <w:rsid w:val="00B5196F"/>
    <w:rsid w:val="00B51F5A"/>
    <w:rsid w:val="00B51FF7"/>
    <w:rsid w:val="00B523DA"/>
    <w:rsid w:val="00B5285F"/>
    <w:rsid w:val="00B52ADF"/>
    <w:rsid w:val="00B52E2A"/>
    <w:rsid w:val="00B52E5E"/>
    <w:rsid w:val="00B52FE8"/>
    <w:rsid w:val="00B530FC"/>
    <w:rsid w:val="00B53121"/>
    <w:rsid w:val="00B5317F"/>
    <w:rsid w:val="00B5320F"/>
    <w:rsid w:val="00B532F2"/>
    <w:rsid w:val="00B533BC"/>
    <w:rsid w:val="00B536F9"/>
    <w:rsid w:val="00B53B73"/>
    <w:rsid w:val="00B53B78"/>
    <w:rsid w:val="00B53C43"/>
    <w:rsid w:val="00B53D50"/>
    <w:rsid w:val="00B53E3C"/>
    <w:rsid w:val="00B543E3"/>
    <w:rsid w:val="00B54458"/>
    <w:rsid w:val="00B54476"/>
    <w:rsid w:val="00B54509"/>
    <w:rsid w:val="00B54642"/>
    <w:rsid w:val="00B54AC8"/>
    <w:rsid w:val="00B54AF7"/>
    <w:rsid w:val="00B54D86"/>
    <w:rsid w:val="00B54F23"/>
    <w:rsid w:val="00B55686"/>
    <w:rsid w:val="00B5599E"/>
    <w:rsid w:val="00B55B86"/>
    <w:rsid w:val="00B55C88"/>
    <w:rsid w:val="00B55E6D"/>
    <w:rsid w:val="00B56095"/>
    <w:rsid w:val="00B562EA"/>
    <w:rsid w:val="00B56693"/>
    <w:rsid w:val="00B567BA"/>
    <w:rsid w:val="00B56AE9"/>
    <w:rsid w:val="00B56B3E"/>
    <w:rsid w:val="00B56DF1"/>
    <w:rsid w:val="00B57283"/>
    <w:rsid w:val="00B57506"/>
    <w:rsid w:val="00B576EC"/>
    <w:rsid w:val="00B5784B"/>
    <w:rsid w:val="00B57C05"/>
    <w:rsid w:val="00B57FC5"/>
    <w:rsid w:val="00B57FE2"/>
    <w:rsid w:val="00B600D7"/>
    <w:rsid w:val="00B60147"/>
    <w:rsid w:val="00B60195"/>
    <w:rsid w:val="00B60277"/>
    <w:rsid w:val="00B602CA"/>
    <w:rsid w:val="00B602CD"/>
    <w:rsid w:val="00B604D9"/>
    <w:rsid w:val="00B6073C"/>
    <w:rsid w:val="00B60741"/>
    <w:rsid w:val="00B607C9"/>
    <w:rsid w:val="00B607DF"/>
    <w:rsid w:val="00B60850"/>
    <w:rsid w:val="00B60905"/>
    <w:rsid w:val="00B6097F"/>
    <w:rsid w:val="00B609B5"/>
    <w:rsid w:val="00B60A1A"/>
    <w:rsid w:val="00B60A5F"/>
    <w:rsid w:val="00B60AA5"/>
    <w:rsid w:val="00B60CEC"/>
    <w:rsid w:val="00B60FF1"/>
    <w:rsid w:val="00B611CD"/>
    <w:rsid w:val="00B611E0"/>
    <w:rsid w:val="00B61307"/>
    <w:rsid w:val="00B6148E"/>
    <w:rsid w:val="00B61608"/>
    <w:rsid w:val="00B616B3"/>
    <w:rsid w:val="00B61AED"/>
    <w:rsid w:val="00B61EA3"/>
    <w:rsid w:val="00B622FD"/>
    <w:rsid w:val="00B62333"/>
    <w:rsid w:val="00B624FA"/>
    <w:rsid w:val="00B628AF"/>
    <w:rsid w:val="00B62BE0"/>
    <w:rsid w:val="00B62C05"/>
    <w:rsid w:val="00B62F8E"/>
    <w:rsid w:val="00B62FAC"/>
    <w:rsid w:val="00B6307B"/>
    <w:rsid w:val="00B63164"/>
    <w:rsid w:val="00B6317A"/>
    <w:rsid w:val="00B632BB"/>
    <w:rsid w:val="00B63307"/>
    <w:rsid w:val="00B636FA"/>
    <w:rsid w:val="00B63890"/>
    <w:rsid w:val="00B63896"/>
    <w:rsid w:val="00B639EC"/>
    <w:rsid w:val="00B63B26"/>
    <w:rsid w:val="00B63B75"/>
    <w:rsid w:val="00B63B8F"/>
    <w:rsid w:val="00B63FC7"/>
    <w:rsid w:val="00B644CF"/>
    <w:rsid w:val="00B644EE"/>
    <w:rsid w:val="00B64513"/>
    <w:rsid w:val="00B64834"/>
    <w:rsid w:val="00B64C51"/>
    <w:rsid w:val="00B64D25"/>
    <w:rsid w:val="00B64D31"/>
    <w:rsid w:val="00B64EC5"/>
    <w:rsid w:val="00B650F9"/>
    <w:rsid w:val="00B65152"/>
    <w:rsid w:val="00B6535B"/>
    <w:rsid w:val="00B65448"/>
    <w:rsid w:val="00B65473"/>
    <w:rsid w:val="00B6547B"/>
    <w:rsid w:val="00B654F2"/>
    <w:rsid w:val="00B656DF"/>
    <w:rsid w:val="00B65854"/>
    <w:rsid w:val="00B658E2"/>
    <w:rsid w:val="00B6590E"/>
    <w:rsid w:val="00B65A0F"/>
    <w:rsid w:val="00B65E05"/>
    <w:rsid w:val="00B65F8C"/>
    <w:rsid w:val="00B66C4E"/>
    <w:rsid w:val="00B66D38"/>
    <w:rsid w:val="00B67321"/>
    <w:rsid w:val="00B676E1"/>
    <w:rsid w:val="00B677F0"/>
    <w:rsid w:val="00B67993"/>
    <w:rsid w:val="00B679E2"/>
    <w:rsid w:val="00B7005C"/>
    <w:rsid w:val="00B7009E"/>
    <w:rsid w:val="00B7078C"/>
    <w:rsid w:val="00B708CE"/>
    <w:rsid w:val="00B709E8"/>
    <w:rsid w:val="00B70DE1"/>
    <w:rsid w:val="00B7116B"/>
    <w:rsid w:val="00B712C2"/>
    <w:rsid w:val="00B71A5F"/>
    <w:rsid w:val="00B71B2F"/>
    <w:rsid w:val="00B71C45"/>
    <w:rsid w:val="00B71F15"/>
    <w:rsid w:val="00B7202A"/>
    <w:rsid w:val="00B72077"/>
    <w:rsid w:val="00B720AF"/>
    <w:rsid w:val="00B72518"/>
    <w:rsid w:val="00B7267C"/>
    <w:rsid w:val="00B72820"/>
    <w:rsid w:val="00B72B31"/>
    <w:rsid w:val="00B72C52"/>
    <w:rsid w:val="00B72CD7"/>
    <w:rsid w:val="00B72FC5"/>
    <w:rsid w:val="00B7344C"/>
    <w:rsid w:val="00B7362A"/>
    <w:rsid w:val="00B736C5"/>
    <w:rsid w:val="00B7372A"/>
    <w:rsid w:val="00B737F4"/>
    <w:rsid w:val="00B74106"/>
    <w:rsid w:val="00B744CE"/>
    <w:rsid w:val="00B74C79"/>
    <w:rsid w:val="00B74E4B"/>
    <w:rsid w:val="00B74F48"/>
    <w:rsid w:val="00B7542C"/>
    <w:rsid w:val="00B75523"/>
    <w:rsid w:val="00B75791"/>
    <w:rsid w:val="00B75A11"/>
    <w:rsid w:val="00B75D53"/>
    <w:rsid w:val="00B75EC1"/>
    <w:rsid w:val="00B75FCF"/>
    <w:rsid w:val="00B7606E"/>
    <w:rsid w:val="00B762AE"/>
    <w:rsid w:val="00B763A4"/>
    <w:rsid w:val="00B76438"/>
    <w:rsid w:val="00B76452"/>
    <w:rsid w:val="00B76637"/>
    <w:rsid w:val="00B7691E"/>
    <w:rsid w:val="00B76A87"/>
    <w:rsid w:val="00B76BD6"/>
    <w:rsid w:val="00B76D26"/>
    <w:rsid w:val="00B76EF1"/>
    <w:rsid w:val="00B76F4D"/>
    <w:rsid w:val="00B7739B"/>
    <w:rsid w:val="00B779DA"/>
    <w:rsid w:val="00B77E3D"/>
    <w:rsid w:val="00B77EEF"/>
    <w:rsid w:val="00B77F2D"/>
    <w:rsid w:val="00B77FCC"/>
    <w:rsid w:val="00B80040"/>
    <w:rsid w:val="00B80123"/>
    <w:rsid w:val="00B801EE"/>
    <w:rsid w:val="00B80779"/>
    <w:rsid w:val="00B8090C"/>
    <w:rsid w:val="00B80A20"/>
    <w:rsid w:val="00B80AF3"/>
    <w:rsid w:val="00B80B84"/>
    <w:rsid w:val="00B80B91"/>
    <w:rsid w:val="00B80CDC"/>
    <w:rsid w:val="00B80F24"/>
    <w:rsid w:val="00B81006"/>
    <w:rsid w:val="00B81158"/>
    <w:rsid w:val="00B81181"/>
    <w:rsid w:val="00B81188"/>
    <w:rsid w:val="00B811C8"/>
    <w:rsid w:val="00B81204"/>
    <w:rsid w:val="00B8131D"/>
    <w:rsid w:val="00B814A1"/>
    <w:rsid w:val="00B814B0"/>
    <w:rsid w:val="00B8150D"/>
    <w:rsid w:val="00B815D3"/>
    <w:rsid w:val="00B816ED"/>
    <w:rsid w:val="00B81956"/>
    <w:rsid w:val="00B81D63"/>
    <w:rsid w:val="00B81EE1"/>
    <w:rsid w:val="00B82273"/>
    <w:rsid w:val="00B8297C"/>
    <w:rsid w:val="00B82B48"/>
    <w:rsid w:val="00B82B5A"/>
    <w:rsid w:val="00B82C6F"/>
    <w:rsid w:val="00B82CEA"/>
    <w:rsid w:val="00B832A7"/>
    <w:rsid w:val="00B83437"/>
    <w:rsid w:val="00B83584"/>
    <w:rsid w:val="00B83614"/>
    <w:rsid w:val="00B83BAD"/>
    <w:rsid w:val="00B83C92"/>
    <w:rsid w:val="00B83DDB"/>
    <w:rsid w:val="00B83EEB"/>
    <w:rsid w:val="00B83F13"/>
    <w:rsid w:val="00B842CB"/>
    <w:rsid w:val="00B845DB"/>
    <w:rsid w:val="00B8496D"/>
    <w:rsid w:val="00B85019"/>
    <w:rsid w:val="00B85343"/>
    <w:rsid w:val="00B8546A"/>
    <w:rsid w:val="00B8567C"/>
    <w:rsid w:val="00B85AB4"/>
    <w:rsid w:val="00B85AFA"/>
    <w:rsid w:val="00B8615B"/>
    <w:rsid w:val="00B8623C"/>
    <w:rsid w:val="00B86273"/>
    <w:rsid w:val="00B863FA"/>
    <w:rsid w:val="00B865A6"/>
    <w:rsid w:val="00B866AC"/>
    <w:rsid w:val="00B8670F"/>
    <w:rsid w:val="00B871C1"/>
    <w:rsid w:val="00B871D1"/>
    <w:rsid w:val="00B8726E"/>
    <w:rsid w:val="00B873D0"/>
    <w:rsid w:val="00B87407"/>
    <w:rsid w:val="00B87580"/>
    <w:rsid w:val="00B875E9"/>
    <w:rsid w:val="00B877FA"/>
    <w:rsid w:val="00B878B6"/>
    <w:rsid w:val="00B878B9"/>
    <w:rsid w:val="00B87A04"/>
    <w:rsid w:val="00B87D31"/>
    <w:rsid w:val="00B90313"/>
    <w:rsid w:val="00B904C8"/>
    <w:rsid w:val="00B90602"/>
    <w:rsid w:val="00B90F25"/>
    <w:rsid w:val="00B911EA"/>
    <w:rsid w:val="00B9123E"/>
    <w:rsid w:val="00B91337"/>
    <w:rsid w:val="00B91404"/>
    <w:rsid w:val="00B91573"/>
    <w:rsid w:val="00B919DA"/>
    <w:rsid w:val="00B91A1E"/>
    <w:rsid w:val="00B91C71"/>
    <w:rsid w:val="00B91D83"/>
    <w:rsid w:val="00B91D9E"/>
    <w:rsid w:val="00B91ED2"/>
    <w:rsid w:val="00B92591"/>
    <w:rsid w:val="00B929EE"/>
    <w:rsid w:val="00B92A77"/>
    <w:rsid w:val="00B92BA9"/>
    <w:rsid w:val="00B92C6D"/>
    <w:rsid w:val="00B92C82"/>
    <w:rsid w:val="00B9374F"/>
    <w:rsid w:val="00B93C47"/>
    <w:rsid w:val="00B93D5A"/>
    <w:rsid w:val="00B94331"/>
    <w:rsid w:val="00B94486"/>
    <w:rsid w:val="00B9458B"/>
    <w:rsid w:val="00B946B6"/>
    <w:rsid w:val="00B9495B"/>
    <w:rsid w:val="00B94A59"/>
    <w:rsid w:val="00B94AD2"/>
    <w:rsid w:val="00B94BB2"/>
    <w:rsid w:val="00B94F94"/>
    <w:rsid w:val="00B95012"/>
    <w:rsid w:val="00B9506F"/>
    <w:rsid w:val="00B95134"/>
    <w:rsid w:val="00B9527B"/>
    <w:rsid w:val="00B95326"/>
    <w:rsid w:val="00B9538C"/>
    <w:rsid w:val="00B954B4"/>
    <w:rsid w:val="00B95A9F"/>
    <w:rsid w:val="00B95C03"/>
    <w:rsid w:val="00B95CB4"/>
    <w:rsid w:val="00B96012"/>
    <w:rsid w:val="00B96041"/>
    <w:rsid w:val="00B960A6"/>
    <w:rsid w:val="00B960F9"/>
    <w:rsid w:val="00B96166"/>
    <w:rsid w:val="00B96212"/>
    <w:rsid w:val="00B964F8"/>
    <w:rsid w:val="00B96567"/>
    <w:rsid w:val="00B966EB"/>
    <w:rsid w:val="00B96CA6"/>
    <w:rsid w:val="00B96DCF"/>
    <w:rsid w:val="00B96FF7"/>
    <w:rsid w:val="00B9717B"/>
    <w:rsid w:val="00B97715"/>
    <w:rsid w:val="00B9795C"/>
    <w:rsid w:val="00B9799B"/>
    <w:rsid w:val="00B97EE2"/>
    <w:rsid w:val="00BA0139"/>
    <w:rsid w:val="00BA03CC"/>
    <w:rsid w:val="00BA06BF"/>
    <w:rsid w:val="00BA079C"/>
    <w:rsid w:val="00BA085B"/>
    <w:rsid w:val="00BA0B31"/>
    <w:rsid w:val="00BA0BD3"/>
    <w:rsid w:val="00BA105D"/>
    <w:rsid w:val="00BA1066"/>
    <w:rsid w:val="00BA1537"/>
    <w:rsid w:val="00BA186F"/>
    <w:rsid w:val="00BA1CB6"/>
    <w:rsid w:val="00BA1E0E"/>
    <w:rsid w:val="00BA1E57"/>
    <w:rsid w:val="00BA1FBF"/>
    <w:rsid w:val="00BA226F"/>
    <w:rsid w:val="00BA247F"/>
    <w:rsid w:val="00BA28F7"/>
    <w:rsid w:val="00BA2A81"/>
    <w:rsid w:val="00BA2BD8"/>
    <w:rsid w:val="00BA2C35"/>
    <w:rsid w:val="00BA2E11"/>
    <w:rsid w:val="00BA2E75"/>
    <w:rsid w:val="00BA3080"/>
    <w:rsid w:val="00BA3375"/>
    <w:rsid w:val="00BA3B84"/>
    <w:rsid w:val="00BA3CB7"/>
    <w:rsid w:val="00BA3E69"/>
    <w:rsid w:val="00BA45A2"/>
    <w:rsid w:val="00BA45A9"/>
    <w:rsid w:val="00BA45D5"/>
    <w:rsid w:val="00BA4A25"/>
    <w:rsid w:val="00BA4ABD"/>
    <w:rsid w:val="00BA4B9E"/>
    <w:rsid w:val="00BA4C9A"/>
    <w:rsid w:val="00BA4CCB"/>
    <w:rsid w:val="00BA5067"/>
    <w:rsid w:val="00BA510C"/>
    <w:rsid w:val="00BA519D"/>
    <w:rsid w:val="00BA52D1"/>
    <w:rsid w:val="00BA5491"/>
    <w:rsid w:val="00BA5664"/>
    <w:rsid w:val="00BA56E3"/>
    <w:rsid w:val="00BA577A"/>
    <w:rsid w:val="00BA57B4"/>
    <w:rsid w:val="00BA57E4"/>
    <w:rsid w:val="00BA58C1"/>
    <w:rsid w:val="00BA5A17"/>
    <w:rsid w:val="00BA5ADC"/>
    <w:rsid w:val="00BA5B53"/>
    <w:rsid w:val="00BA5C0E"/>
    <w:rsid w:val="00BA5C7A"/>
    <w:rsid w:val="00BA5D42"/>
    <w:rsid w:val="00BA5F6E"/>
    <w:rsid w:val="00BA608E"/>
    <w:rsid w:val="00BA60DE"/>
    <w:rsid w:val="00BA62E3"/>
    <w:rsid w:val="00BA6515"/>
    <w:rsid w:val="00BA659C"/>
    <w:rsid w:val="00BA667C"/>
    <w:rsid w:val="00BA6886"/>
    <w:rsid w:val="00BA6B2A"/>
    <w:rsid w:val="00BA6C59"/>
    <w:rsid w:val="00BA6F07"/>
    <w:rsid w:val="00BA7176"/>
    <w:rsid w:val="00BA7268"/>
    <w:rsid w:val="00BA74DE"/>
    <w:rsid w:val="00BA79E8"/>
    <w:rsid w:val="00BA7C72"/>
    <w:rsid w:val="00BA7D85"/>
    <w:rsid w:val="00BA7F47"/>
    <w:rsid w:val="00BA7FF0"/>
    <w:rsid w:val="00BB02F0"/>
    <w:rsid w:val="00BB047D"/>
    <w:rsid w:val="00BB08F1"/>
    <w:rsid w:val="00BB0B77"/>
    <w:rsid w:val="00BB0CBB"/>
    <w:rsid w:val="00BB0DCD"/>
    <w:rsid w:val="00BB0DEC"/>
    <w:rsid w:val="00BB0EB9"/>
    <w:rsid w:val="00BB0F89"/>
    <w:rsid w:val="00BB112B"/>
    <w:rsid w:val="00BB139F"/>
    <w:rsid w:val="00BB1439"/>
    <w:rsid w:val="00BB1801"/>
    <w:rsid w:val="00BB1BAB"/>
    <w:rsid w:val="00BB1BF6"/>
    <w:rsid w:val="00BB1D07"/>
    <w:rsid w:val="00BB1D6F"/>
    <w:rsid w:val="00BB2643"/>
    <w:rsid w:val="00BB2657"/>
    <w:rsid w:val="00BB2965"/>
    <w:rsid w:val="00BB2996"/>
    <w:rsid w:val="00BB2A6D"/>
    <w:rsid w:val="00BB2AB9"/>
    <w:rsid w:val="00BB2E39"/>
    <w:rsid w:val="00BB2EE5"/>
    <w:rsid w:val="00BB2FB7"/>
    <w:rsid w:val="00BB2FC7"/>
    <w:rsid w:val="00BB3239"/>
    <w:rsid w:val="00BB3304"/>
    <w:rsid w:val="00BB3532"/>
    <w:rsid w:val="00BB35B2"/>
    <w:rsid w:val="00BB3659"/>
    <w:rsid w:val="00BB383F"/>
    <w:rsid w:val="00BB397C"/>
    <w:rsid w:val="00BB3B2B"/>
    <w:rsid w:val="00BB3BC7"/>
    <w:rsid w:val="00BB3C33"/>
    <w:rsid w:val="00BB3E37"/>
    <w:rsid w:val="00BB3E81"/>
    <w:rsid w:val="00BB3FB4"/>
    <w:rsid w:val="00BB4296"/>
    <w:rsid w:val="00BB441D"/>
    <w:rsid w:val="00BB4857"/>
    <w:rsid w:val="00BB488A"/>
    <w:rsid w:val="00BB4996"/>
    <w:rsid w:val="00BB49BD"/>
    <w:rsid w:val="00BB4A08"/>
    <w:rsid w:val="00BB4A1C"/>
    <w:rsid w:val="00BB4A95"/>
    <w:rsid w:val="00BB4AAE"/>
    <w:rsid w:val="00BB4B3F"/>
    <w:rsid w:val="00BB4B74"/>
    <w:rsid w:val="00BB4D68"/>
    <w:rsid w:val="00BB504B"/>
    <w:rsid w:val="00BB52ED"/>
    <w:rsid w:val="00BB53EC"/>
    <w:rsid w:val="00BB552D"/>
    <w:rsid w:val="00BB58D3"/>
    <w:rsid w:val="00BB5FBD"/>
    <w:rsid w:val="00BB606B"/>
    <w:rsid w:val="00BB6354"/>
    <w:rsid w:val="00BB6387"/>
    <w:rsid w:val="00BB65CD"/>
    <w:rsid w:val="00BB65DD"/>
    <w:rsid w:val="00BB6916"/>
    <w:rsid w:val="00BB6AF1"/>
    <w:rsid w:val="00BB6B97"/>
    <w:rsid w:val="00BB6D25"/>
    <w:rsid w:val="00BB6EDB"/>
    <w:rsid w:val="00BB6EFF"/>
    <w:rsid w:val="00BB70DB"/>
    <w:rsid w:val="00BB729F"/>
    <w:rsid w:val="00BB734C"/>
    <w:rsid w:val="00BB75CB"/>
    <w:rsid w:val="00BB7628"/>
    <w:rsid w:val="00BB764B"/>
    <w:rsid w:val="00BB78B2"/>
    <w:rsid w:val="00BB7972"/>
    <w:rsid w:val="00BB7E37"/>
    <w:rsid w:val="00BC0062"/>
    <w:rsid w:val="00BC01C1"/>
    <w:rsid w:val="00BC02A0"/>
    <w:rsid w:val="00BC0611"/>
    <w:rsid w:val="00BC06E1"/>
    <w:rsid w:val="00BC071D"/>
    <w:rsid w:val="00BC0917"/>
    <w:rsid w:val="00BC0B5E"/>
    <w:rsid w:val="00BC0BA4"/>
    <w:rsid w:val="00BC0F65"/>
    <w:rsid w:val="00BC103F"/>
    <w:rsid w:val="00BC1535"/>
    <w:rsid w:val="00BC1616"/>
    <w:rsid w:val="00BC165C"/>
    <w:rsid w:val="00BC1A34"/>
    <w:rsid w:val="00BC1A74"/>
    <w:rsid w:val="00BC1C45"/>
    <w:rsid w:val="00BC23CB"/>
    <w:rsid w:val="00BC23F8"/>
    <w:rsid w:val="00BC2402"/>
    <w:rsid w:val="00BC2B41"/>
    <w:rsid w:val="00BC2BC1"/>
    <w:rsid w:val="00BC31BF"/>
    <w:rsid w:val="00BC328D"/>
    <w:rsid w:val="00BC32A3"/>
    <w:rsid w:val="00BC3859"/>
    <w:rsid w:val="00BC3D2C"/>
    <w:rsid w:val="00BC4017"/>
    <w:rsid w:val="00BC40B5"/>
    <w:rsid w:val="00BC40F9"/>
    <w:rsid w:val="00BC4306"/>
    <w:rsid w:val="00BC43C1"/>
    <w:rsid w:val="00BC4422"/>
    <w:rsid w:val="00BC4457"/>
    <w:rsid w:val="00BC4483"/>
    <w:rsid w:val="00BC4731"/>
    <w:rsid w:val="00BC47BF"/>
    <w:rsid w:val="00BC4803"/>
    <w:rsid w:val="00BC4970"/>
    <w:rsid w:val="00BC4B9D"/>
    <w:rsid w:val="00BC4CBB"/>
    <w:rsid w:val="00BC4F8A"/>
    <w:rsid w:val="00BC5088"/>
    <w:rsid w:val="00BC533E"/>
    <w:rsid w:val="00BC542E"/>
    <w:rsid w:val="00BC55CC"/>
    <w:rsid w:val="00BC56EC"/>
    <w:rsid w:val="00BC5A4E"/>
    <w:rsid w:val="00BC5AFA"/>
    <w:rsid w:val="00BC5B21"/>
    <w:rsid w:val="00BC5B86"/>
    <w:rsid w:val="00BC5DDB"/>
    <w:rsid w:val="00BC5EB4"/>
    <w:rsid w:val="00BC6139"/>
    <w:rsid w:val="00BC6602"/>
    <w:rsid w:val="00BC662D"/>
    <w:rsid w:val="00BC6669"/>
    <w:rsid w:val="00BC6A99"/>
    <w:rsid w:val="00BC6B65"/>
    <w:rsid w:val="00BC6BE1"/>
    <w:rsid w:val="00BC6C4D"/>
    <w:rsid w:val="00BC6D58"/>
    <w:rsid w:val="00BC6D60"/>
    <w:rsid w:val="00BC6D63"/>
    <w:rsid w:val="00BC6E09"/>
    <w:rsid w:val="00BC6E83"/>
    <w:rsid w:val="00BC7177"/>
    <w:rsid w:val="00BC723C"/>
    <w:rsid w:val="00BC7411"/>
    <w:rsid w:val="00BC7678"/>
    <w:rsid w:val="00BC76EC"/>
    <w:rsid w:val="00BC7871"/>
    <w:rsid w:val="00BC78E4"/>
    <w:rsid w:val="00BC7E86"/>
    <w:rsid w:val="00BC7F96"/>
    <w:rsid w:val="00BC7FA1"/>
    <w:rsid w:val="00BD048F"/>
    <w:rsid w:val="00BD0606"/>
    <w:rsid w:val="00BD0695"/>
    <w:rsid w:val="00BD0785"/>
    <w:rsid w:val="00BD0DA5"/>
    <w:rsid w:val="00BD0DDC"/>
    <w:rsid w:val="00BD122E"/>
    <w:rsid w:val="00BD1251"/>
    <w:rsid w:val="00BD1479"/>
    <w:rsid w:val="00BD15AD"/>
    <w:rsid w:val="00BD17B1"/>
    <w:rsid w:val="00BD1834"/>
    <w:rsid w:val="00BD19C5"/>
    <w:rsid w:val="00BD1AE4"/>
    <w:rsid w:val="00BD1DD6"/>
    <w:rsid w:val="00BD1E48"/>
    <w:rsid w:val="00BD1E8A"/>
    <w:rsid w:val="00BD1F26"/>
    <w:rsid w:val="00BD20C8"/>
    <w:rsid w:val="00BD21D8"/>
    <w:rsid w:val="00BD25A6"/>
    <w:rsid w:val="00BD266F"/>
    <w:rsid w:val="00BD27FB"/>
    <w:rsid w:val="00BD2901"/>
    <w:rsid w:val="00BD2955"/>
    <w:rsid w:val="00BD29A5"/>
    <w:rsid w:val="00BD29C1"/>
    <w:rsid w:val="00BD29E4"/>
    <w:rsid w:val="00BD2C76"/>
    <w:rsid w:val="00BD2DEF"/>
    <w:rsid w:val="00BD3133"/>
    <w:rsid w:val="00BD356E"/>
    <w:rsid w:val="00BD37CE"/>
    <w:rsid w:val="00BD389E"/>
    <w:rsid w:val="00BD3931"/>
    <w:rsid w:val="00BD3A96"/>
    <w:rsid w:val="00BD3C8B"/>
    <w:rsid w:val="00BD3DEC"/>
    <w:rsid w:val="00BD3F20"/>
    <w:rsid w:val="00BD40B2"/>
    <w:rsid w:val="00BD40BC"/>
    <w:rsid w:val="00BD42D7"/>
    <w:rsid w:val="00BD459E"/>
    <w:rsid w:val="00BD47CC"/>
    <w:rsid w:val="00BD4C97"/>
    <w:rsid w:val="00BD5158"/>
    <w:rsid w:val="00BD52EC"/>
    <w:rsid w:val="00BD56D9"/>
    <w:rsid w:val="00BD5B0D"/>
    <w:rsid w:val="00BD5DBB"/>
    <w:rsid w:val="00BD5DEC"/>
    <w:rsid w:val="00BD5FAE"/>
    <w:rsid w:val="00BD5FD2"/>
    <w:rsid w:val="00BD608C"/>
    <w:rsid w:val="00BD60A9"/>
    <w:rsid w:val="00BD62BE"/>
    <w:rsid w:val="00BD6331"/>
    <w:rsid w:val="00BD6469"/>
    <w:rsid w:val="00BD67D7"/>
    <w:rsid w:val="00BD6A08"/>
    <w:rsid w:val="00BD6A3B"/>
    <w:rsid w:val="00BD6B8E"/>
    <w:rsid w:val="00BD6B99"/>
    <w:rsid w:val="00BD6C88"/>
    <w:rsid w:val="00BD6EFD"/>
    <w:rsid w:val="00BD711A"/>
    <w:rsid w:val="00BD740F"/>
    <w:rsid w:val="00BD7457"/>
    <w:rsid w:val="00BD746D"/>
    <w:rsid w:val="00BD754E"/>
    <w:rsid w:val="00BD7735"/>
    <w:rsid w:val="00BD7741"/>
    <w:rsid w:val="00BD7819"/>
    <w:rsid w:val="00BD78D1"/>
    <w:rsid w:val="00BD793A"/>
    <w:rsid w:val="00BD7DB5"/>
    <w:rsid w:val="00BD7E0F"/>
    <w:rsid w:val="00BD7F1F"/>
    <w:rsid w:val="00BE0273"/>
    <w:rsid w:val="00BE0310"/>
    <w:rsid w:val="00BE0398"/>
    <w:rsid w:val="00BE043D"/>
    <w:rsid w:val="00BE0953"/>
    <w:rsid w:val="00BE0D3B"/>
    <w:rsid w:val="00BE0EA8"/>
    <w:rsid w:val="00BE0F3A"/>
    <w:rsid w:val="00BE107B"/>
    <w:rsid w:val="00BE14CD"/>
    <w:rsid w:val="00BE15D3"/>
    <w:rsid w:val="00BE19FB"/>
    <w:rsid w:val="00BE1D67"/>
    <w:rsid w:val="00BE1EC7"/>
    <w:rsid w:val="00BE20E8"/>
    <w:rsid w:val="00BE2670"/>
    <w:rsid w:val="00BE27EF"/>
    <w:rsid w:val="00BE2B4E"/>
    <w:rsid w:val="00BE2B9A"/>
    <w:rsid w:val="00BE2BE6"/>
    <w:rsid w:val="00BE2C2E"/>
    <w:rsid w:val="00BE2DEB"/>
    <w:rsid w:val="00BE2FD8"/>
    <w:rsid w:val="00BE3131"/>
    <w:rsid w:val="00BE34DB"/>
    <w:rsid w:val="00BE35A0"/>
    <w:rsid w:val="00BE3656"/>
    <w:rsid w:val="00BE37BE"/>
    <w:rsid w:val="00BE3A8A"/>
    <w:rsid w:val="00BE3AFA"/>
    <w:rsid w:val="00BE3B1D"/>
    <w:rsid w:val="00BE3C4A"/>
    <w:rsid w:val="00BE3C98"/>
    <w:rsid w:val="00BE42B8"/>
    <w:rsid w:val="00BE42F3"/>
    <w:rsid w:val="00BE4366"/>
    <w:rsid w:val="00BE43D6"/>
    <w:rsid w:val="00BE45A0"/>
    <w:rsid w:val="00BE4662"/>
    <w:rsid w:val="00BE4ACC"/>
    <w:rsid w:val="00BE522F"/>
    <w:rsid w:val="00BE5279"/>
    <w:rsid w:val="00BE528A"/>
    <w:rsid w:val="00BE53A8"/>
    <w:rsid w:val="00BE5473"/>
    <w:rsid w:val="00BE55F3"/>
    <w:rsid w:val="00BE561E"/>
    <w:rsid w:val="00BE5867"/>
    <w:rsid w:val="00BE591E"/>
    <w:rsid w:val="00BE5A29"/>
    <w:rsid w:val="00BE5BAB"/>
    <w:rsid w:val="00BE5C2A"/>
    <w:rsid w:val="00BE5ED1"/>
    <w:rsid w:val="00BE631B"/>
    <w:rsid w:val="00BE645F"/>
    <w:rsid w:val="00BE6530"/>
    <w:rsid w:val="00BE6A6C"/>
    <w:rsid w:val="00BE6D54"/>
    <w:rsid w:val="00BE6DC6"/>
    <w:rsid w:val="00BE7039"/>
    <w:rsid w:val="00BE7175"/>
    <w:rsid w:val="00BE7204"/>
    <w:rsid w:val="00BE7312"/>
    <w:rsid w:val="00BE7449"/>
    <w:rsid w:val="00BE7466"/>
    <w:rsid w:val="00BE750C"/>
    <w:rsid w:val="00BE76CC"/>
    <w:rsid w:val="00BF0235"/>
    <w:rsid w:val="00BF02A6"/>
    <w:rsid w:val="00BF0458"/>
    <w:rsid w:val="00BF0489"/>
    <w:rsid w:val="00BF04F2"/>
    <w:rsid w:val="00BF0742"/>
    <w:rsid w:val="00BF079A"/>
    <w:rsid w:val="00BF0BAA"/>
    <w:rsid w:val="00BF0C0B"/>
    <w:rsid w:val="00BF10FE"/>
    <w:rsid w:val="00BF1160"/>
    <w:rsid w:val="00BF13BE"/>
    <w:rsid w:val="00BF1402"/>
    <w:rsid w:val="00BF1546"/>
    <w:rsid w:val="00BF166E"/>
    <w:rsid w:val="00BF1930"/>
    <w:rsid w:val="00BF1AA6"/>
    <w:rsid w:val="00BF1B15"/>
    <w:rsid w:val="00BF1F1C"/>
    <w:rsid w:val="00BF1F5F"/>
    <w:rsid w:val="00BF20B3"/>
    <w:rsid w:val="00BF2340"/>
    <w:rsid w:val="00BF24C1"/>
    <w:rsid w:val="00BF264A"/>
    <w:rsid w:val="00BF26E1"/>
    <w:rsid w:val="00BF2783"/>
    <w:rsid w:val="00BF27F3"/>
    <w:rsid w:val="00BF2C2D"/>
    <w:rsid w:val="00BF2C84"/>
    <w:rsid w:val="00BF2E16"/>
    <w:rsid w:val="00BF2E73"/>
    <w:rsid w:val="00BF2EAB"/>
    <w:rsid w:val="00BF2EED"/>
    <w:rsid w:val="00BF3044"/>
    <w:rsid w:val="00BF3255"/>
    <w:rsid w:val="00BF3285"/>
    <w:rsid w:val="00BF32BD"/>
    <w:rsid w:val="00BF32CB"/>
    <w:rsid w:val="00BF3300"/>
    <w:rsid w:val="00BF3313"/>
    <w:rsid w:val="00BF357E"/>
    <w:rsid w:val="00BF3668"/>
    <w:rsid w:val="00BF36B3"/>
    <w:rsid w:val="00BF3905"/>
    <w:rsid w:val="00BF39BB"/>
    <w:rsid w:val="00BF3E80"/>
    <w:rsid w:val="00BF3EDD"/>
    <w:rsid w:val="00BF4066"/>
    <w:rsid w:val="00BF4170"/>
    <w:rsid w:val="00BF44B4"/>
    <w:rsid w:val="00BF4699"/>
    <w:rsid w:val="00BF4949"/>
    <w:rsid w:val="00BF4A28"/>
    <w:rsid w:val="00BF4BDA"/>
    <w:rsid w:val="00BF4C09"/>
    <w:rsid w:val="00BF4EFF"/>
    <w:rsid w:val="00BF4F58"/>
    <w:rsid w:val="00BF5134"/>
    <w:rsid w:val="00BF537A"/>
    <w:rsid w:val="00BF53D7"/>
    <w:rsid w:val="00BF5412"/>
    <w:rsid w:val="00BF560D"/>
    <w:rsid w:val="00BF57BC"/>
    <w:rsid w:val="00BF5DB9"/>
    <w:rsid w:val="00BF5F3A"/>
    <w:rsid w:val="00BF5FDC"/>
    <w:rsid w:val="00BF61DB"/>
    <w:rsid w:val="00BF62B6"/>
    <w:rsid w:val="00BF63F6"/>
    <w:rsid w:val="00BF66A9"/>
    <w:rsid w:val="00BF693A"/>
    <w:rsid w:val="00BF6E1D"/>
    <w:rsid w:val="00BF6FC0"/>
    <w:rsid w:val="00BF72CB"/>
    <w:rsid w:val="00BF73E4"/>
    <w:rsid w:val="00BF77F8"/>
    <w:rsid w:val="00BF780E"/>
    <w:rsid w:val="00C00495"/>
    <w:rsid w:val="00C0051B"/>
    <w:rsid w:val="00C00631"/>
    <w:rsid w:val="00C00A9A"/>
    <w:rsid w:val="00C00B47"/>
    <w:rsid w:val="00C00BF4"/>
    <w:rsid w:val="00C010C4"/>
    <w:rsid w:val="00C01344"/>
    <w:rsid w:val="00C019E9"/>
    <w:rsid w:val="00C01B7D"/>
    <w:rsid w:val="00C01CBA"/>
    <w:rsid w:val="00C022A1"/>
    <w:rsid w:val="00C0269F"/>
    <w:rsid w:val="00C02741"/>
    <w:rsid w:val="00C02807"/>
    <w:rsid w:val="00C02A81"/>
    <w:rsid w:val="00C02BB4"/>
    <w:rsid w:val="00C02C52"/>
    <w:rsid w:val="00C03082"/>
    <w:rsid w:val="00C03281"/>
    <w:rsid w:val="00C034FA"/>
    <w:rsid w:val="00C036B1"/>
    <w:rsid w:val="00C037CB"/>
    <w:rsid w:val="00C039AF"/>
    <w:rsid w:val="00C03AE2"/>
    <w:rsid w:val="00C03B54"/>
    <w:rsid w:val="00C03B92"/>
    <w:rsid w:val="00C03C19"/>
    <w:rsid w:val="00C03E3B"/>
    <w:rsid w:val="00C03F10"/>
    <w:rsid w:val="00C04202"/>
    <w:rsid w:val="00C04233"/>
    <w:rsid w:val="00C043DB"/>
    <w:rsid w:val="00C04593"/>
    <w:rsid w:val="00C048E2"/>
    <w:rsid w:val="00C048F3"/>
    <w:rsid w:val="00C048FA"/>
    <w:rsid w:val="00C04A3B"/>
    <w:rsid w:val="00C04B44"/>
    <w:rsid w:val="00C04E2F"/>
    <w:rsid w:val="00C04F74"/>
    <w:rsid w:val="00C05112"/>
    <w:rsid w:val="00C05384"/>
    <w:rsid w:val="00C0541F"/>
    <w:rsid w:val="00C055E0"/>
    <w:rsid w:val="00C05779"/>
    <w:rsid w:val="00C05814"/>
    <w:rsid w:val="00C0596A"/>
    <w:rsid w:val="00C05A75"/>
    <w:rsid w:val="00C05AF1"/>
    <w:rsid w:val="00C05B6E"/>
    <w:rsid w:val="00C05CE6"/>
    <w:rsid w:val="00C05D64"/>
    <w:rsid w:val="00C05F5B"/>
    <w:rsid w:val="00C0618B"/>
    <w:rsid w:val="00C061E0"/>
    <w:rsid w:val="00C06252"/>
    <w:rsid w:val="00C0637D"/>
    <w:rsid w:val="00C0644C"/>
    <w:rsid w:val="00C0651A"/>
    <w:rsid w:val="00C06630"/>
    <w:rsid w:val="00C069D2"/>
    <w:rsid w:val="00C06C41"/>
    <w:rsid w:val="00C06CFA"/>
    <w:rsid w:val="00C06D44"/>
    <w:rsid w:val="00C07314"/>
    <w:rsid w:val="00C07471"/>
    <w:rsid w:val="00C075E1"/>
    <w:rsid w:val="00C07684"/>
    <w:rsid w:val="00C076B9"/>
    <w:rsid w:val="00C077FB"/>
    <w:rsid w:val="00C0789B"/>
    <w:rsid w:val="00C078DC"/>
    <w:rsid w:val="00C07945"/>
    <w:rsid w:val="00C07CE3"/>
    <w:rsid w:val="00C07D40"/>
    <w:rsid w:val="00C07E18"/>
    <w:rsid w:val="00C101FA"/>
    <w:rsid w:val="00C10664"/>
    <w:rsid w:val="00C10ECF"/>
    <w:rsid w:val="00C10F1B"/>
    <w:rsid w:val="00C1103E"/>
    <w:rsid w:val="00C110C7"/>
    <w:rsid w:val="00C11626"/>
    <w:rsid w:val="00C116F8"/>
    <w:rsid w:val="00C11713"/>
    <w:rsid w:val="00C11A55"/>
    <w:rsid w:val="00C11B5D"/>
    <w:rsid w:val="00C11CC8"/>
    <w:rsid w:val="00C122D9"/>
    <w:rsid w:val="00C1233F"/>
    <w:rsid w:val="00C125CC"/>
    <w:rsid w:val="00C12933"/>
    <w:rsid w:val="00C12F0A"/>
    <w:rsid w:val="00C12F2F"/>
    <w:rsid w:val="00C134AD"/>
    <w:rsid w:val="00C1352B"/>
    <w:rsid w:val="00C136E9"/>
    <w:rsid w:val="00C13800"/>
    <w:rsid w:val="00C13881"/>
    <w:rsid w:val="00C139FE"/>
    <w:rsid w:val="00C13B70"/>
    <w:rsid w:val="00C13BAD"/>
    <w:rsid w:val="00C13BE1"/>
    <w:rsid w:val="00C140FB"/>
    <w:rsid w:val="00C14133"/>
    <w:rsid w:val="00C14162"/>
    <w:rsid w:val="00C141CE"/>
    <w:rsid w:val="00C1427C"/>
    <w:rsid w:val="00C143F9"/>
    <w:rsid w:val="00C146CA"/>
    <w:rsid w:val="00C1498E"/>
    <w:rsid w:val="00C14D6A"/>
    <w:rsid w:val="00C152F3"/>
    <w:rsid w:val="00C1539C"/>
    <w:rsid w:val="00C1541A"/>
    <w:rsid w:val="00C1547E"/>
    <w:rsid w:val="00C1551D"/>
    <w:rsid w:val="00C1560E"/>
    <w:rsid w:val="00C15690"/>
    <w:rsid w:val="00C156AF"/>
    <w:rsid w:val="00C160F2"/>
    <w:rsid w:val="00C1632B"/>
    <w:rsid w:val="00C163B8"/>
    <w:rsid w:val="00C167B7"/>
    <w:rsid w:val="00C167E2"/>
    <w:rsid w:val="00C16A1B"/>
    <w:rsid w:val="00C16EA3"/>
    <w:rsid w:val="00C16ED0"/>
    <w:rsid w:val="00C173C2"/>
    <w:rsid w:val="00C173EC"/>
    <w:rsid w:val="00C17461"/>
    <w:rsid w:val="00C174BE"/>
    <w:rsid w:val="00C17749"/>
    <w:rsid w:val="00C17E72"/>
    <w:rsid w:val="00C203CB"/>
    <w:rsid w:val="00C204BF"/>
    <w:rsid w:val="00C207D7"/>
    <w:rsid w:val="00C2087C"/>
    <w:rsid w:val="00C20986"/>
    <w:rsid w:val="00C20B85"/>
    <w:rsid w:val="00C20CE2"/>
    <w:rsid w:val="00C20E01"/>
    <w:rsid w:val="00C20E1B"/>
    <w:rsid w:val="00C20FD7"/>
    <w:rsid w:val="00C2101D"/>
    <w:rsid w:val="00C210F4"/>
    <w:rsid w:val="00C21306"/>
    <w:rsid w:val="00C2134A"/>
    <w:rsid w:val="00C214B0"/>
    <w:rsid w:val="00C2171C"/>
    <w:rsid w:val="00C217EB"/>
    <w:rsid w:val="00C219C6"/>
    <w:rsid w:val="00C21B06"/>
    <w:rsid w:val="00C21CEF"/>
    <w:rsid w:val="00C21D76"/>
    <w:rsid w:val="00C2227F"/>
    <w:rsid w:val="00C2262E"/>
    <w:rsid w:val="00C226B2"/>
    <w:rsid w:val="00C2286E"/>
    <w:rsid w:val="00C228A9"/>
    <w:rsid w:val="00C22F59"/>
    <w:rsid w:val="00C2317E"/>
    <w:rsid w:val="00C231BD"/>
    <w:rsid w:val="00C232A3"/>
    <w:rsid w:val="00C2371D"/>
    <w:rsid w:val="00C2373F"/>
    <w:rsid w:val="00C237B7"/>
    <w:rsid w:val="00C23BA1"/>
    <w:rsid w:val="00C23E0C"/>
    <w:rsid w:val="00C23F6E"/>
    <w:rsid w:val="00C2415E"/>
    <w:rsid w:val="00C242F9"/>
    <w:rsid w:val="00C244D1"/>
    <w:rsid w:val="00C24520"/>
    <w:rsid w:val="00C2453D"/>
    <w:rsid w:val="00C24726"/>
    <w:rsid w:val="00C24887"/>
    <w:rsid w:val="00C248F2"/>
    <w:rsid w:val="00C24CF4"/>
    <w:rsid w:val="00C24E8F"/>
    <w:rsid w:val="00C24FE1"/>
    <w:rsid w:val="00C253D4"/>
    <w:rsid w:val="00C255CD"/>
    <w:rsid w:val="00C25611"/>
    <w:rsid w:val="00C25B02"/>
    <w:rsid w:val="00C25CFE"/>
    <w:rsid w:val="00C25EDB"/>
    <w:rsid w:val="00C26379"/>
    <w:rsid w:val="00C2657C"/>
    <w:rsid w:val="00C265EF"/>
    <w:rsid w:val="00C2674B"/>
    <w:rsid w:val="00C26760"/>
    <w:rsid w:val="00C26B42"/>
    <w:rsid w:val="00C26D9B"/>
    <w:rsid w:val="00C27090"/>
    <w:rsid w:val="00C27149"/>
    <w:rsid w:val="00C27162"/>
    <w:rsid w:val="00C271AC"/>
    <w:rsid w:val="00C273E1"/>
    <w:rsid w:val="00C275CB"/>
    <w:rsid w:val="00C2769B"/>
    <w:rsid w:val="00C2773B"/>
    <w:rsid w:val="00C27796"/>
    <w:rsid w:val="00C279CE"/>
    <w:rsid w:val="00C27D32"/>
    <w:rsid w:val="00C27F85"/>
    <w:rsid w:val="00C30056"/>
    <w:rsid w:val="00C300B3"/>
    <w:rsid w:val="00C30185"/>
    <w:rsid w:val="00C301FE"/>
    <w:rsid w:val="00C30B60"/>
    <w:rsid w:val="00C30C8A"/>
    <w:rsid w:val="00C30CFA"/>
    <w:rsid w:val="00C30F08"/>
    <w:rsid w:val="00C313C5"/>
    <w:rsid w:val="00C314A9"/>
    <w:rsid w:val="00C31506"/>
    <w:rsid w:val="00C315EF"/>
    <w:rsid w:val="00C31619"/>
    <w:rsid w:val="00C31699"/>
    <w:rsid w:val="00C316C6"/>
    <w:rsid w:val="00C316EB"/>
    <w:rsid w:val="00C31756"/>
    <w:rsid w:val="00C317D2"/>
    <w:rsid w:val="00C31BA7"/>
    <w:rsid w:val="00C31D46"/>
    <w:rsid w:val="00C31D5F"/>
    <w:rsid w:val="00C31ED4"/>
    <w:rsid w:val="00C31F06"/>
    <w:rsid w:val="00C322C0"/>
    <w:rsid w:val="00C32451"/>
    <w:rsid w:val="00C32480"/>
    <w:rsid w:val="00C32641"/>
    <w:rsid w:val="00C32688"/>
    <w:rsid w:val="00C32B14"/>
    <w:rsid w:val="00C32E57"/>
    <w:rsid w:val="00C32E76"/>
    <w:rsid w:val="00C32FA3"/>
    <w:rsid w:val="00C3307A"/>
    <w:rsid w:val="00C33364"/>
    <w:rsid w:val="00C336D8"/>
    <w:rsid w:val="00C33AEF"/>
    <w:rsid w:val="00C33DF2"/>
    <w:rsid w:val="00C33E3D"/>
    <w:rsid w:val="00C33FC2"/>
    <w:rsid w:val="00C34083"/>
    <w:rsid w:val="00C3470D"/>
    <w:rsid w:val="00C34CCA"/>
    <w:rsid w:val="00C3523B"/>
    <w:rsid w:val="00C352BC"/>
    <w:rsid w:val="00C352EC"/>
    <w:rsid w:val="00C354D6"/>
    <w:rsid w:val="00C3551A"/>
    <w:rsid w:val="00C3553F"/>
    <w:rsid w:val="00C35801"/>
    <w:rsid w:val="00C35A8C"/>
    <w:rsid w:val="00C35ABE"/>
    <w:rsid w:val="00C35CC1"/>
    <w:rsid w:val="00C35F5D"/>
    <w:rsid w:val="00C3617E"/>
    <w:rsid w:val="00C36237"/>
    <w:rsid w:val="00C366BF"/>
    <w:rsid w:val="00C36C81"/>
    <w:rsid w:val="00C36F51"/>
    <w:rsid w:val="00C370F7"/>
    <w:rsid w:val="00C37176"/>
    <w:rsid w:val="00C374DC"/>
    <w:rsid w:val="00C3791F"/>
    <w:rsid w:val="00C379F0"/>
    <w:rsid w:val="00C37ABD"/>
    <w:rsid w:val="00C37B95"/>
    <w:rsid w:val="00C37E4F"/>
    <w:rsid w:val="00C4002E"/>
    <w:rsid w:val="00C402C8"/>
    <w:rsid w:val="00C4047F"/>
    <w:rsid w:val="00C4055F"/>
    <w:rsid w:val="00C406CE"/>
    <w:rsid w:val="00C408F7"/>
    <w:rsid w:val="00C4096E"/>
    <w:rsid w:val="00C40A63"/>
    <w:rsid w:val="00C40C39"/>
    <w:rsid w:val="00C40E67"/>
    <w:rsid w:val="00C410F3"/>
    <w:rsid w:val="00C41194"/>
    <w:rsid w:val="00C41262"/>
    <w:rsid w:val="00C413A6"/>
    <w:rsid w:val="00C41B50"/>
    <w:rsid w:val="00C41DE9"/>
    <w:rsid w:val="00C41EE0"/>
    <w:rsid w:val="00C41F1B"/>
    <w:rsid w:val="00C41F70"/>
    <w:rsid w:val="00C41FA5"/>
    <w:rsid w:val="00C41FE5"/>
    <w:rsid w:val="00C42046"/>
    <w:rsid w:val="00C424C0"/>
    <w:rsid w:val="00C42535"/>
    <w:rsid w:val="00C42CC1"/>
    <w:rsid w:val="00C42ECD"/>
    <w:rsid w:val="00C43587"/>
    <w:rsid w:val="00C435A7"/>
    <w:rsid w:val="00C43600"/>
    <w:rsid w:val="00C43B6C"/>
    <w:rsid w:val="00C43BA5"/>
    <w:rsid w:val="00C43C2C"/>
    <w:rsid w:val="00C43D43"/>
    <w:rsid w:val="00C44132"/>
    <w:rsid w:val="00C4413A"/>
    <w:rsid w:val="00C44263"/>
    <w:rsid w:val="00C445DD"/>
    <w:rsid w:val="00C44963"/>
    <w:rsid w:val="00C44D59"/>
    <w:rsid w:val="00C44E98"/>
    <w:rsid w:val="00C44F02"/>
    <w:rsid w:val="00C45257"/>
    <w:rsid w:val="00C45449"/>
    <w:rsid w:val="00C45C1F"/>
    <w:rsid w:val="00C45E34"/>
    <w:rsid w:val="00C45ECF"/>
    <w:rsid w:val="00C4607E"/>
    <w:rsid w:val="00C460E3"/>
    <w:rsid w:val="00C46332"/>
    <w:rsid w:val="00C46790"/>
    <w:rsid w:val="00C46849"/>
    <w:rsid w:val="00C4699B"/>
    <w:rsid w:val="00C46DAE"/>
    <w:rsid w:val="00C46EAD"/>
    <w:rsid w:val="00C47151"/>
    <w:rsid w:val="00C4726B"/>
    <w:rsid w:val="00C4759F"/>
    <w:rsid w:val="00C477FB"/>
    <w:rsid w:val="00C47812"/>
    <w:rsid w:val="00C47B8A"/>
    <w:rsid w:val="00C47C89"/>
    <w:rsid w:val="00C47D49"/>
    <w:rsid w:val="00C47E6A"/>
    <w:rsid w:val="00C50177"/>
    <w:rsid w:val="00C507DD"/>
    <w:rsid w:val="00C50E59"/>
    <w:rsid w:val="00C50E7F"/>
    <w:rsid w:val="00C51199"/>
    <w:rsid w:val="00C51314"/>
    <w:rsid w:val="00C513B1"/>
    <w:rsid w:val="00C51633"/>
    <w:rsid w:val="00C517AC"/>
    <w:rsid w:val="00C51922"/>
    <w:rsid w:val="00C519B4"/>
    <w:rsid w:val="00C519EE"/>
    <w:rsid w:val="00C51A06"/>
    <w:rsid w:val="00C51A83"/>
    <w:rsid w:val="00C51AB9"/>
    <w:rsid w:val="00C51FDD"/>
    <w:rsid w:val="00C5212C"/>
    <w:rsid w:val="00C52229"/>
    <w:rsid w:val="00C52250"/>
    <w:rsid w:val="00C52401"/>
    <w:rsid w:val="00C524BC"/>
    <w:rsid w:val="00C525C4"/>
    <w:rsid w:val="00C52A5E"/>
    <w:rsid w:val="00C52E55"/>
    <w:rsid w:val="00C532FC"/>
    <w:rsid w:val="00C53413"/>
    <w:rsid w:val="00C53697"/>
    <w:rsid w:val="00C5385E"/>
    <w:rsid w:val="00C5387B"/>
    <w:rsid w:val="00C538AE"/>
    <w:rsid w:val="00C53E6C"/>
    <w:rsid w:val="00C53FD5"/>
    <w:rsid w:val="00C54054"/>
    <w:rsid w:val="00C5413B"/>
    <w:rsid w:val="00C54279"/>
    <w:rsid w:val="00C5484A"/>
    <w:rsid w:val="00C5486F"/>
    <w:rsid w:val="00C548F3"/>
    <w:rsid w:val="00C54AF0"/>
    <w:rsid w:val="00C54B0B"/>
    <w:rsid w:val="00C55243"/>
    <w:rsid w:val="00C5527B"/>
    <w:rsid w:val="00C555AD"/>
    <w:rsid w:val="00C55913"/>
    <w:rsid w:val="00C56035"/>
    <w:rsid w:val="00C56162"/>
    <w:rsid w:val="00C563C1"/>
    <w:rsid w:val="00C567A2"/>
    <w:rsid w:val="00C56888"/>
    <w:rsid w:val="00C568D1"/>
    <w:rsid w:val="00C56AC9"/>
    <w:rsid w:val="00C570EA"/>
    <w:rsid w:val="00C57316"/>
    <w:rsid w:val="00C573CE"/>
    <w:rsid w:val="00C5744F"/>
    <w:rsid w:val="00C579FF"/>
    <w:rsid w:val="00C60100"/>
    <w:rsid w:val="00C6010B"/>
    <w:rsid w:val="00C601C2"/>
    <w:rsid w:val="00C6028B"/>
    <w:rsid w:val="00C6029E"/>
    <w:rsid w:val="00C607F8"/>
    <w:rsid w:val="00C60A7F"/>
    <w:rsid w:val="00C60BB8"/>
    <w:rsid w:val="00C60CF5"/>
    <w:rsid w:val="00C61042"/>
    <w:rsid w:val="00C61526"/>
    <w:rsid w:val="00C61729"/>
    <w:rsid w:val="00C6193B"/>
    <w:rsid w:val="00C61AA5"/>
    <w:rsid w:val="00C61B92"/>
    <w:rsid w:val="00C61BC8"/>
    <w:rsid w:val="00C6207D"/>
    <w:rsid w:val="00C621ED"/>
    <w:rsid w:val="00C624C5"/>
    <w:rsid w:val="00C62549"/>
    <w:rsid w:val="00C62BB7"/>
    <w:rsid w:val="00C62CA8"/>
    <w:rsid w:val="00C630EA"/>
    <w:rsid w:val="00C63369"/>
    <w:rsid w:val="00C634D7"/>
    <w:rsid w:val="00C63DFD"/>
    <w:rsid w:val="00C64114"/>
    <w:rsid w:val="00C6427F"/>
    <w:rsid w:val="00C645B6"/>
    <w:rsid w:val="00C6460F"/>
    <w:rsid w:val="00C64721"/>
    <w:rsid w:val="00C64734"/>
    <w:rsid w:val="00C64960"/>
    <w:rsid w:val="00C64A81"/>
    <w:rsid w:val="00C64BE0"/>
    <w:rsid w:val="00C64C82"/>
    <w:rsid w:val="00C64F7F"/>
    <w:rsid w:val="00C64FBB"/>
    <w:rsid w:val="00C652F6"/>
    <w:rsid w:val="00C65543"/>
    <w:rsid w:val="00C65984"/>
    <w:rsid w:val="00C65A2F"/>
    <w:rsid w:val="00C65C4E"/>
    <w:rsid w:val="00C65CC0"/>
    <w:rsid w:val="00C65E13"/>
    <w:rsid w:val="00C65F28"/>
    <w:rsid w:val="00C66180"/>
    <w:rsid w:val="00C662CE"/>
    <w:rsid w:val="00C6667E"/>
    <w:rsid w:val="00C666F7"/>
    <w:rsid w:val="00C66859"/>
    <w:rsid w:val="00C66945"/>
    <w:rsid w:val="00C66A28"/>
    <w:rsid w:val="00C66AEA"/>
    <w:rsid w:val="00C66CF9"/>
    <w:rsid w:val="00C66F54"/>
    <w:rsid w:val="00C67188"/>
    <w:rsid w:val="00C671DF"/>
    <w:rsid w:val="00C67BF1"/>
    <w:rsid w:val="00C67C56"/>
    <w:rsid w:val="00C67CD9"/>
    <w:rsid w:val="00C67D0E"/>
    <w:rsid w:val="00C67EDB"/>
    <w:rsid w:val="00C67F56"/>
    <w:rsid w:val="00C67FC4"/>
    <w:rsid w:val="00C7008F"/>
    <w:rsid w:val="00C70133"/>
    <w:rsid w:val="00C7015D"/>
    <w:rsid w:val="00C70236"/>
    <w:rsid w:val="00C70290"/>
    <w:rsid w:val="00C70315"/>
    <w:rsid w:val="00C70402"/>
    <w:rsid w:val="00C7051A"/>
    <w:rsid w:val="00C705B0"/>
    <w:rsid w:val="00C70613"/>
    <w:rsid w:val="00C7074A"/>
    <w:rsid w:val="00C70767"/>
    <w:rsid w:val="00C70A0E"/>
    <w:rsid w:val="00C70A5D"/>
    <w:rsid w:val="00C70CDF"/>
    <w:rsid w:val="00C71393"/>
    <w:rsid w:val="00C713E5"/>
    <w:rsid w:val="00C71469"/>
    <w:rsid w:val="00C71693"/>
    <w:rsid w:val="00C71910"/>
    <w:rsid w:val="00C71C28"/>
    <w:rsid w:val="00C71F8D"/>
    <w:rsid w:val="00C72186"/>
    <w:rsid w:val="00C72535"/>
    <w:rsid w:val="00C7254C"/>
    <w:rsid w:val="00C7283E"/>
    <w:rsid w:val="00C72928"/>
    <w:rsid w:val="00C72BC5"/>
    <w:rsid w:val="00C731AC"/>
    <w:rsid w:val="00C7329D"/>
    <w:rsid w:val="00C736C2"/>
    <w:rsid w:val="00C73766"/>
    <w:rsid w:val="00C73C65"/>
    <w:rsid w:val="00C73E9A"/>
    <w:rsid w:val="00C74128"/>
    <w:rsid w:val="00C741A7"/>
    <w:rsid w:val="00C74417"/>
    <w:rsid w:val="00C748E3"/>
    <w:rsid w:val="00C74AA6"/>
    <w:rsid w:val="00C74E0A"/>
    <w:rsid w:val="00C74E23"/>
    <w:rsid w:val="00C7501F"/>
    <w:rsid w:val="00C750BD"/>
    <w:rsid w:val="00C756DE"/>
    <w:rsid w:val="00C75970"/>
    <w:rsid w:val="00C75B94"/>
    <w:rsid w:val="00C75EC2"/>
    <w:rsid w:val="00C763E8"/>
    <w:rsid w:val="00C76610"/>
    <w:rsid w:val="00C76866"/>
    <w:rsid w:val="00C76A86"/>
    <w:rsid w:val="00C76E6D"/>
    <w:rsid w:val="00C76F0D"/>
    <w:rsid w:val="00C77072"/>
    <w:rsid w:val="00C770CD"/>
    <w:rsid w:val="00C77154"/>
    <w:rsid w:val="00C7721F"/>
    <w:rsid w:val="00C772E2"/>
    <w:rsid w:val="00C7787B"/>
    <w:rsid w:val="00C7798C"/>
    <w:rsid w:val="00C77A9A"/>
    <w:rsid w:val="00C77B56"/>
    <w:rsid w:val="00C77BD6"/>
    <w:rsid w:val="00C77C02"/>
    <w:rsid w:val="00C77D94"/>
    <w:rsid w:val="00C77F27"/>
    <w:rsid w:val="00C77F77"/>
    <w:rsid w:val="00C77FD2"/>
    <w:rsid w:val="00C801BA"/>
    <w:rsid w:val="00C802BC"/>
    <w:rsid w:val="00C80428"/>
    <w:rsid w:val="00C8046F"/>
    <w:rsid w:val="00C8063E"/>
    <w:rsid w:val="00C80831"/>
    <w:rsid w:val="00C8085D"/>
    <w:rsid w:val="00C80865"/>
    <w:rsid w:val="00C808DF"/>
    <w:rsid w:val="00C81216"/>
    <w:rsid w:val="00C816F8"/>
    <w:rsid w:val="00C818A5"/>
    <w:rsid w:val="00C818CC"/>
    <w:rsid w:val="00C81934"/>
    <w:rsid w:val="00C81B37"/>
    <w:rsid w:val="00C81F8C"/>
    <w:rsid w:val="00C82064"/>
    <w:rsid w:val="00C8207E"/>
    <w:rsid w:val="00C82612"/>
    <w:rsid w:val="00C82C58"/>
    <w:rsid w:val="00C82E1B"/>
    <w:rsid w:val="00C833D7"/>
    <w:rsid w:val="00C83B15"/>
    <w:rsid w:val="00C83BE6"/>
    <w:rsid w:val="00C83BEA"/>
    <w:rsid w:val="00C83DE6"/>
    <w:rsid w:val="00C83F81"/>
    <w:rsid w:val="00C843A7"/>
    <w:rsid w:val="00C843D4"/>
    <w:rsid w:val="00C84434"/>
    <w:rsid w:val="00C844DC"/>
    <w:rsid w:val="00C845E7"/>
    <w:rsid w:val="00C8462C"/>
    <w:rsid w:val="00C84BEE"/>
    <w:rsid w:val="00C84BFB"/>
    <w:rsid w:val="00C85013"/>
    <w:rsid w:val="00C8508A"/>
    <w:rsid w:val="00C85194"/>
    <w:rsid w:val="00C85196"/>
    <w:rsid w:val="00C852F0"/>
    <w:rsid w:val="00C85810"/>
    <w:rsid w:val="00C85BDB"/>
    <w:rsid w:val="00C85C06"/>
    <w:rsid w:val="00C85CE9"/>
    <w:rsid w:val="00C85E5F"/>
    <w:rsid w:val="00C85EB5"/>
    <w:rsid w:val="00C861A0"/>
    <w:rsid w:val="00C8640B"/>
    <w:rsid w:val="00C8652B"/>
    <w:rsid w:val="00C86551"/>
    <w:rsid w:val="00C86618"/>
    <w:rsid w:val="00C8694D"/>
    <w:rsid w:val="00C86B3F"/>
    <w:rsid w:val="00C86CBB"/>
    <w:rsid w:val="00C86E9F"/>
    <w:rsid w:val="00C8700F"/>
    <w:rsid w:val="00C87232"/>
    <w:rsid w:val="00C87492"/>
    <w:rsid w:val="00C874C7"/>
    <w:rsid w:val="00C876DE"/>
    <w:rsid w:val="00C8771B"/>
    <w:rsid w:val="00C87CF6"/>
    <w:rsid w:val="00C9005F"/>
    <w:rsid w:val="00C900B6"/>
    <w:rsid w:val="00C90516"/>
    <w:rsid w:val="00C905C2"/>
    <w:rsid w:val="00C90677"/>
    <w:rsid w:val="00C906C9"/>
    <w:rsid w:val="00C90764"/>
    <w:rsid w:val="00C9082B"/>
    <w:rsid w:val="00C909C1"/>
    <w:rsid w:val="00C90B3F"/>
    <w:rsid w:val="00C910E2"/>
    <w:rsid w:val="00C910ED"/>
    <w:rsid w:val="00C9118F"/>
    <w:rsid w:val="00C9127D"/>
    <w:rsid w:val="00C912B2"/>
    <w:rsid w:val="00C913DD"/>
    <w:rsid w:val="00C91442"/>
    <w:rsid w:val="00C9162A"/>
    <w:rsid w:val="00C9187F"/>
    <w:rsid w:val="00C91A2A"/>
    <w:rsid w:val="00C91B26"/>
    <w:rsid w:val="00C91B2E"/>
    <w:rsid w:val="00C91CD4"/>
    <w:rsid w:val="00C91E1F"/>
    <w:rsid w:val="00C92504"/>
    <w:rsid w:val="00C92524"/>
    <w:rsid w:val="00C92688"/>
    <w:rsid w:val="00C927D4"/>
    <w:rsid w:val="00C92932"/>
    <w:rsid w:val="00C92CEA"/>
    <w:rsid w:val="00C92CF9"/>
    <w:rsid w:val="00C92FD0"/>
    <w:rsid w:val="00C93030"/>
    <w:rsid w:val="00C93063"/>
    <w:rsid w:val="00C93130"/>
    <w:rsid w:val="00C93144"/>
    <w:rsid w:val="00C93B4C"/>
    <w:rsid w:val="00C93C7F"/>
    <w:rsid w:val="00C93C9B"/>
    <w:rsid w:val="00C93D83"/>
    <w:rsid w:val="00C93D90"/>
    <w:rsid w:val="00C93E36"/>
    <w:rsid w:val="00C93E70"/>
    <w:rsid w:val="00C940B0"/>
    <w:rsid w:val="00C94287"/>
    <w:rsid w:val="00C9435B"/>
    <w:rsid w:val="00C9443F"/>
    <w:rsid w:val="00C94535"/>
    <w:rsid w:val="00C94658"/>
    <w:rsid w:val="00C94D07"/>
    <w:rsid w:val="00C94D61"/>
    <w:rsid w:val="00C94F46"/>
    <w:rsid w:val="00C94FEF"/>
    <w:rsid w:val="00C9520E"/>
    <w:rsid w:val="00C952DB"/>
    <w:rsid w:val="00C9532C"/>
    <w:rsid w:val="00C95333"/>
    <w:rsid w:val="00C9533F"/>
    <w:rsid w:val="00C95A54"/>
    <w:rsid w:val="00C95C94"/>
    <w:rsid w:val="00C95E81"/>
    <w:rsid w:val="00C95E84"/>
    <w:rsid w:val="00C95F04"/>
    <w:rsid w:val="00C95F97"/>
    <w:rsid w:val="00C96238"/>
    <w:rsid w:val="00C962D5"/>
    <w:rsid w:val="00C96303"/>
    <w:rsid w:val="00C96484"/>
    <w:rsid w:val="00C964C0"/>
    <w:rsid w:val="00C96814"/>
    <w:rsid w:val="00C96A7F"/>
    <w:rsid w:val="00C96D40"/>
    <w:rsid w:val="00C97002"/>
    <w:rsid w:val="00C97096"/>
    <w:rsid w:val="00C970E1"/>
    <w:rsid w:val="00C9712A"/>
    <w:rsid w:val="00C97152"/>
    <w:rsid w:val="00C971E9"/>
    <w:rsid w:val="00C9735A"/>
    <w:rsid w:val="00C9740D"/>
    <w:rsid w:val="00C977E2"/>
    <w:rsid w:val="00C978A6"/>
    <w:rsid w:val="00C97958"/>
    <w:rsid w:val="00C97973"/>
    <w:rsid w:val="00C97C7F"/>
    <w:rsid w:val="00C97FF9"/>
    <w:rsid w:val="00CA0461"/>
    <w:rsid w:val="00CA0ABA"/>
    <w:rsid w:val="00CA0B94"/>
    <w:rsid w:val="00CA0CD9"/>
    <w:rsid w:val="00CA0D70"/>
    <w:rsid w:val="00CA0E73"/>
    <w:rsid w:val="00CA16D2"/>
    <w:rsid w:val="00CA199A"/>
    <w:rsid w:val="00CA1E66"/>
    <w:rsid w:val="00CA1E99"/>
    <w:rsid w:val="00CA2114"/>
    <w:rsid w:val="00CA2153"/>
    <w:rsid w:val="00CA228E"/>
    <w:rsid w:val="00CA2442"/>
    <w:rsid w:val="00CA2465"/>
    <w:rsid w:val="00CA261C"/>
    <w:rsid w:val="00CA263F"/>
    <w:rsid w:val="00CA272C"/>
    <w:rsid w:val="00CA2739"/>
    <w:rsid w:val="00CA2915"/>
    <w:rsid w:val="00CA2987"/>
    <w:rsid w:val="00CA2B84"/>
    <w:rsid w:val="00CA2D9D"/>
    <w:rsid w:val="00CA2FEB"/>
    <w:rsid w:val="00CA3098"/>
    <w:rsid w:val="00CA3437"/>
    <w:rsid w:val="00CA347A"/>
    <w:rsid w:val="00CA34B0"/>
    <w:rsid w:val="00CA3625"/>
    <w:rsid w:val="00CA375A"/>
    <w:rsid w:val="00CA379D"/>
    <w:rsid w:val="00CA37E6"/>
    <w:rsid w:val="00CA3A7F"/>
    <w:rsid w:val="00CA3C08"/>
    <w:rsid w:val="00CA3D1E"/>
    <w:rsid w:val="00CA3F10"/>
    <w:rsid w:val="00CA3F15"/>
    <w:rsid w:val="00CA3FAB"/>
    <w:rsid w:val="00CA41C3"/>
    <w:rsid w:val="00CA43E0"/>
    <w:rsid w:val="00CA4454"/>
    <w:rsid w:val="00CA4635"/>
    <w:rsid w:val="00CA48B1"/>
    <w:rsid w:val="00CA498E"/>
    <w:rsid w:val="00CA4A56"/>
    <w:rsid w:val="00CA4D1E"/>
    <w:rsid w:val="00CA4D31"/>
    <w:rsid w:val="00CA4FCF"/>
    <w:rsid w:val="00CA50B0"/>
    <w:rsid w:val="00CA53FF"/>
    <w:rsid w:val="00CA548A"/>
    <w:rsid w:val="00CA5598"/>
    <w:rsid w:val="00CA57F3"/>
    <w:rsid w:val="00CA59BF"/>
    <w:rsid w:val="00CA5B79"/>
    <w:rsid w:val="00CA5E08"/>
    <w:rsid w:val="00CA5FD2"/>
    <w:rsid w:val="00CA5FEA"/>
    <w:rsid w:val="00CA61E5"/>
    <w:rsid w:val="00CA655F"/>
    <w:rsid w:val="00CA6CC3"/>
    <w:rsid w:val="00CA6E3E"/>
    <w:rsid w:val="00CA6F1F"/>
    <w:rsid w:val="00CA6F73"/>
    <w:rsid w:val="00CA6FFE"/>
    <w:rsid w:val="00CA70CD"/>
    <w:rsid w:val="00CA712C"/>
    <w:rsid w:val="00CA72E2"/>
    <w:rsid w:val="00CA772E"/>
    <w:rsid w:val="00CA7753"/>
    <w:rsid w:val="00CA775E"/>
    <w:rsid w:val="00CA77C2"/>
    <w:rsid w:val="00CA79EC"/>
    <w:rsid w:val="00CA7B45"/>
    <w:rsid w:val="00CA7B6C"/>
    <w:rsid w:val="00CA7FA1"/>
    <w:rsid w:val="00CB0635"/>
    <w:rsid w:val="00CB0B7E"/>
    <w:rsid w:val="00CB0E19"/>
    <w:rsid w:val="00CB0ECF"/>
    <w:rsid w:val="00CB1066"/>
    <w:rsid w:val="00CB1175"/>
    <w:rsid w:val="00CB11C8"/>
    <w:rsid w:val="00CB17BB"/>
    <w:rsid w:val="00CB17EC"/>
    <w:rsid w:val="00CB1857"/>
    <w:rsid w:val="00CB18BC"/>
    <w:rsid w:val="00CB1D48"/>
    <w:rsid w:val="00CB20FB"/>
    <w:rsid w:val="00CB21CD"/>
    <w:rsid w:val="00CB2269"/>
    <w:rsid w:val="00CB23F6"/>
    <w:rsid w:val="00CB244A"/>
    <w:rsid w:val="00CB24F5"/>
    <w:rsid w:val="00CB2BEC"/>
    <w:rsid w:val="00CB2E96"/>
    <w:rsid w:val="00CB2F14"/>
    <w:rsid w:val="00CB307C"/>
    <w:rsid w:val="00CB31A8"/>
    <w:rsid w:val="00CB327E"/>
    <w:rsid w:val="00CB32B0"/>
    <w:rsid w:val="00CB3342"/>
    <w:rsid w:val="00CB349E"/>
    <w:rsid w:val="00CB34A7"/>
    <w:rsid w:val="00CB359F"/>
    <w:rsid w:val="00CB3839"/>
    <w:rsid w:val="00CB3B23"/>
    <w:rsid w:val="00CB3BB5"/>
    <w:rsid w:val="00CB3CCC"/>
    <w:rsid w:val="00CB3F4D"/>
    <w:rsid w:val="00CB41F5"/>
    <w:rsid w:val="00CB431C"/>
    <w:rsid w:val="00CB439D"/>
    <w:rsid w:val="00CB4472"/>
    <w:rsid w:val="00CB4686"/>
    <w:rsid w:val="00CB46D5"/>
    <w:rsid w:val="00CB4B47"/>
    <w:rsid w:val="00CB4B91"/>
    <w:rsid w:val="00CB4F72"/>
    <w:rsid w:val="00CB5141"/>
    <w:rsid w:val="00CB52CF"/>
    <w:rsid w:val="00CB532D"/>
    <w:rsid w:val="00CB540D"/>
    <w:rsid w:val="00CB5492"/>
    <w:rsid w:val="00CB556E"/>
    <w:rsid w:val="00CB574D"/>
    <w:rsid w:val="00CB5787"/>
    <w:rsid w:val="00CB579F"/>
    <w:rsid w:val="00CB57E3"/>
    <w:rsid w:val="00CB5C25"/>
    <w:rsid w:val="00CB5D36"/>
    <w:rsid w:val="00CB5E4F"/>
    <w:rsid w:val="00CB6167"/>
    <w:rsid w:val="00CB6229"/>
    <w:rsid w:val="00CB63FB"/>
    <w:rsid w:val="00CB6671"/>
    <w:rsid w:val="00CB6800"/>
    <w:rsid w:val="00CB6893"/>
    <w:rsid w:val="00CB6A88"/>
    <w:rsid w:val="00CB6BCF"/>
    <w:rsid w:val="00CB6D90"/>
    <w:rsid w:val="00CB6F9A"/>
    <w:rsid w:val="00CB70DC"/>
    <w:rsid w:val="00CB72FF"/>
    <w:rsid w:val="00CB7841"/>
    <w:rsid w:val="00CB78C7"/>
    <w:rsid w:val="00CC008E"/>
    <w:rsid w:val="00CC02FE"/>
    <w:rsid w:val="00CC088D"/>
    <w:rsid w:val="00CC0904"/>
    <w:rsid w:val="00CC0C71"/>
    <w:rsid w:val="00CC0F19"/>
    <w:rsid w:val="00CC13B8"/>
    <w:rsid w:val="00CC1606"/>
    <w:rsid w:val="00CC1D47"/>
    <w:rsid w:val="00CC1E62"/>
    <w:rsid w:val="00CC202C"/>
    <w:rsid w:val="00CC219B"/>
    <w:rsid w:val="00CC2825"/>
    <w:rsid w:val="00CC2850"/>
    <w:rsid w:val="00CC2909"/>
    <w:rsid w:val="00CC2B40"/>
    <w:rsid w:val="00CC2DB1"/>
    <w:rsid w:val="00CC3348"/>
    <w:rsid w:val="00CC33C8"/>
    <w:rsid w:val="00CC35D3"/>
    <w:rsid w:val="00CC367D"/>
    <w:rsid w:val="00CC36BB"/>
    <w:rsid w:val="00CC3B49"/>
    <w:rsid w:val="00CC3EEA"/>
    <w:rsid w:val="00CC41AF"/>
    <w:rsid w:val="00CC41C4"/>
    <w:rsid w:val="00CC422E"/>
    <w:rsid w:val="00CC42FE"/>
    <w:rsid w:val="00CC4314"/>
    <w:rsid w:val="00CC439A"/>
    <w:rsid w:val="00CC469B"/>
    <w:rsid w:val="00CC46CE"/>
    <w:rsid w:val="00CC4784"/>
    <w:rsid w:val="00CC47F2"/>
    <w:rsid w:val="00CC48CF"/>
    <w:rsid w:val="00CC4BC3"/>
    <w:rsid w:val="00CC4FF7"/>
    <w:rsid w:val="00CC506B"/>
    <w:rsid w:val="00CC50F6"/>
    <w:rsid w:val="00CC5115"/>
    <w:rsid w:val="00CC5235"/>
    <w:rsid w:val="00CC5C2F"/>
    <w:rsid w:val="00CC5C3A"/>
    <w:rsid w:val="00CC5D0C"/>
    <w:rsid w:val="00CC5F55"/>
    <w:rsid w:val="00CC644B"/>
    <w:rsid w:val="00CC6507"/>
    <w:rsid w:val="00CC656E"/>
    <w:rsid w:val="00CC6878"/>
    <w:rsid w:val="00CC691B"/>
    <w:rsid w:val="00CC6D5D"/>
    <w:rsid w:val="00CC6F58"/>
    <w:rsid w:val="00CC7225"/>
    <w:rsid w:val="00CC77FB"/>
    <w:rsid w:val="00CC781F"/>
    <w:rsid w:val="00CC7933"/>
    <w:rsid w:val="00CC7A4E"/>
    <w:rsid w:val="00CC7D10"/>
    <w:rsid w:val="00CD007B"/>
    <w:rsid w:val="00CD00F0"/>
    <w:rsid w:val="00CD0153"/>
    <w:rsid w:val="00CD02B4"/>
    <w:rsid w:val="00CD0376"/>
    <w:rsid w:val="00CD068E"/>
    <w:rsid w:val="00CD0737"/>
    <w:rsid w:val="00CD0923"/>
    <w:rsid w:val="00CD09E3"/>
    <w:rsid w:val="00CD0A9A"/>
    <w:rsid w:val="00CD0C33"/>
    <w:rsid w:val="00CD0D8A"/>
    <w:rsid w:val="00CD0FFE"/>
    <w:rsid w:val="00CD10FB"/>
    <w:rsid w:val="00CD116E"/>
    <w:rsid w:val="00CD11A9"/>
    <w:rsid w:val="00CD134D"/>
    <w:rsid w:val="00CD17F3"/>
    <w:rsid w:val="00CD1812"/>
    <w:rsid w:val="00CD18E4"/>
    <w:rsid w:val="00CD1AEC"/>
    <w:rsid w:val="00CD1C06"/>
    <w:rsid w:val="00CD1C88"/>
    <w:rsid w:val="00CD1EF7"/>
    <w:rsid w:val="00CD1F14"/>
    <w:rsid w:val="00CD22B1"/>
    <w:rsid w:val="00CD2599"/>
    <w:rsid w:val="00CD27B6"/>
    <w:rsid w:val="00CD2BEC"/>
    <w:rsid w:val="00CD2F60"/>
    <w:rsid w:val="00CD3090"/>
    <w:rsid w:val="00CD3110"/>
    <w:rsid w:val="00CD39D6"/>
    <w:rsid w:val="00CD3BF0"/>
    <w:rsid w:val="00CD409F"/>
    <w:rsid w:val="00CD40AE"/>
    <w:rsid w:val="00CD4140"/>
    <w:rsid w:val="00CD41B7"/>
    <w:rsid w:val="00CD4371"/>
    <w:rsid w:val="00CD4381"/>
    <w:rsid w:val="00CD4462"/>
    <w:rsid w:val="00CD477C"/>
    <w:rsid w:val="00CD478B"/>
    <w:rsid w:val="00CD49A5"/>
    <w:rsid w:val="00CD4A3A"/>
    <w:rsid w:val="00CD4BCC"/>
    <w:rsid w:val="00CD5261"/>
    <w:rsid w:val="00CD5262"/>
    <w:rsid w:val="00CD5284"/>
    <w:rsid w:val="00CD52A8"/>
    <w:rsid w:val="00CD5537"/>
    <w:rsid w:val="00CD5639"/>
    <w:rsid w:val="00CD57D5"/>
    <w:rsid w:val="00CD57EA"/>
    <w:rsid w:val="00CD5A96"/>
    <w:rsid w:val="00CD5BA9"/>
    <w:rsid w:val="00CD5D8C"/>
    <w:rsid w:val="00CD5D95"/>
    <w:rsid w:val="00CD5DEC"/>
    <w:rsid w:val="00CD5EE2"/>
    <w:rsid w:val="00CD616F"/>
    <w:rsid w:val="00CD6254"/>
    <w:rsid w:val="00CD6266"/>
    <w:rsid w:val="00CD6744"/>
    <w:rsid w:val="00CD69A8"/>
    <w:rsid w:val="00CD6BD4"/>
    <w:rsid w:val="00CD7024"/>
    <w:rsid w:val="00CD7042"/>
    <w:rsid w:val="00CD7098"/>
    <w:rsid w:val="00CD76DB"/>
    <w:rsid w:val="00CD76DE"/>
    <w:rsid w:val="00CD7797"/>
    <w:rsid w:val="00CD7A0C"/>
    <w:rsid w:val="00CD7C61"/>
    <w:rsid w:val="00CD7CB0"/>
    <w:rsid w:val="00CD7CE4"/>
    <w:rsid w:val="00CD7F3F"/>
    <w:rsid w:val="00CE02E2"/>
    <w:rsid w:val="00CE032D"/>
    <w:rsid w:val="00CE0387"/>
    <w:rsid w:val="00CE03E1"/>
    <w:rsid w:val="00CE0B59"/>
    <w:rsid w:val="00CE0CF1"/>
    <w:rsid w:val="00CE0D99"/>
    <w:rsid w:val="00CE0D9B"/>
    <w:rsid w:val="00CE0E64"/>
    <w:rsid w:val="00CE0F2B"/>
    <w:rsid w:val="00CE0F49"/>
    <w:rsid w:val="00CE1114"/>
    <w:rsid w:val="00CE11F7"/>
    <w:rsid w:val="00CE1282"/>
    <w:rsid w:val="00CE1484"/>
    <w:rsid w:val="00CE1721"/>
    <w:rsid w:val="00CE1766"/>
    <w:rsid w:val="00CE17C6"/>
    <w:rsid w:val="00CE1889"/>
    <w:rsid w:val="00CE1C0F"/>
    <w:rsid w:val="00CE1DA4"/>
    <w:rsid w:val="00CE1E1C"/>
    <w:rsid w:val="00CE1F63"/>
    <w:rsid w:val="00CE1F8E"/>
    <w:rsid w:val="00CE2418"/>
    <w:rsid w:val="00CE2440"/>
    <w:rsid w:val="00CE2690"/>
    <w:rsid w:val="00CE274B"/>
    <w:rsid w:val="00CE29B2"/>
    <w:rsid w:val="00CE29BF"/>
    <w:rsid w:val="00CE2B9C"/>
    <w:rsid w:val="00CE2C9E"/>
    <w:rsid w:val="00CE2EC6"/>
    <w:rsid w:val="00CE32EA"/>
    <w:rsid w:val="00CE3320"/>
    <w:rsid w:val="00CE37F6"/>
    <w:rsid w:val="00CE3AD8"/>
    <w:rsid w:val="00CE3C00"/>
    <w:rsid w:val="00CE3F6D"/>
    <w:rsid w:val="00CE4118"/>
    <w:rsid w:val="00CE4638"/>
    <w:rsid w:val="00CE492B"/>
    <w:rsid w:val="00CE4B5B"/>
    <w:rsid w:val="00CE4B67"/>
    <w:rsid w:val="00CE507B"/>
    <w:rsid w:val="00CE515F"/>
    <w:rsid w:val="00CE5170"/>
    <w:rsid w:val="00CE51A4"/>
    <w:rsid w:val="00CE55C0"/>
    <w:rsid w:val="00CE56F8"/>
    <w:rsid w:val="00CE57DE"/>
    <w:rsid w:val="00CE58B3"/>
    <w:rsid w:val="00CE5D80"/>
    <w:rsid w:val="00CE614C"/>
    <w:rsid w:val="00CE6338"/>
    <w:rsid w:val="00CE645B"/>
    <w:rsid w:val="00CE65B9"/>
    <w:rsid w:val="00CE6795"/>
    <w:rsid w:val="00CE6823"/>
    <w:rsid w:val="00CE6829"/>
    <w:rsid w:val="00CE68BB"/>
    <w:rsid w:val="00CE6E6C"/>
    <w:rsid w:val="00CE725C"/>
    <w:rsid w:val="00CE7689"/>
    <w:rsid w:val="00CE7A0D"/>
    <w:rsid w:val="00CE7AF4"/>
    <w:rsid w:val="00CE7B28"/>
    <w:rsid w:val="00CE7CD3"/>
    <w:rsid w:val="00CE7F26"/>
    <w:rsid w:val="00CF011E"/>
    <w:rsid w:val="00CF0607"/>
    <w:rsid w:val="00CF0BD9"/>
    <w:rsid w:val="00CF0CA1"/>
    <w:rsid w:val="00CF0CC4"/>
    <w:rsid w:val="00CF147C"/>
    <w:rsid w:val="00CF14DC"/>
    <w:rsid w:val="00CF1717"/>
    <w:rsid w:val="00CF18B4"/>
    <w:rsid w:val="00CF1C0D"/>
    <w:rsid w:val="00CF1F0C"/>
    <w:rsid w:val="00CF2037"/>
    <w:rsid w:val="00CF2107"/>
    <w:rsid w:val="00CF2518"/>
    <w:rsid w:val="00CF268A"/>
    <w:rsid w:val="00CF28A7"/>
    <w:rsid w:val="00CF28E3"/>
    <w:rsid w:val="00CF296F"/>
    <w:rsid w:val="00CF2CF0"/>
    <w:rsid w:val="00CF305C"/>
    <w:rsid w:val="00CF3181"/>
    <w:rsid w:val="00CF32FE"/>
    <w:rsid w:val="00CF3547"/>
    <w:rsid w:val="00CF3812"/>
    <w:rsid w:val="00CF385E"/>
    <w:rsid w:val="00CF3A13"/>
    <w:rsid w:val="00CF3A57"/>
    <w:rsid w:val="00CF3B6F"/>
    <w:rsid w:val="00CF3BC9"/>
    <w:rsid w:val="00CF3C51"/>
    <w:rsid w:val="00CF3E43"/>
    <w:rsid w:val="00CF400C"/>
    <w:rsid w:val="00CF41D6"/>
    <w:rsid w:val="00CF4465"/>
    <w:rsid w:val="00CF446F"/>
    <w:rsid w:val="00CF449D"/>
    <w:rsid w:val="00CF4594"/>
    <w:rsid w:val="00CF45F2"/>
    <w:rsid w:val="00CF46A0"/>
    <w:rsid w:val="00CF46A1"/>
    <w:rsid w:val="00CF46B8"/>
    <w:rsid w:val="00CF4844"/>
    <w:rsid w:val="00CF4A86"/>
    <w:rsid w:val="00CF505E"/>
    <w:rsid w:val="00CF5226"/>
    <w:rsid w:val="00CF52D5"/>
    <w:rsid w:val="00CF5311"/>
    <w:rsid w:val="00CF570A"/>
    <w:rsid w:val="00CF57A1"/>
    <w:rsid w:val="00CF5AC3"/>
    <w:rsid w:val="00CF5AE8"/>
    <w:rsid w:val="00CF5C16"/>
    <w:rsid w:val="00CF6001"/>
    <w:rsid w:val="00CF60DB"/>
    <w:rsid w:val="00CF61D1"/>
    <w:rsid w:val="00CF6319"/>
    <w:rsid w:val="00CF6487"/>
    <w:rsid w:val="00CF684C"/>
    <w:rsid w:val="00CF6B5C"/>
    <w:rsid w:val="00CF6FBB"/>
    <w:rsid w:val="00CF6FC3"/>
    <w:rsid w:val="00CF702A"/>
    <w:rsid w:val="00CF73F0"/>
    <w:rsid w:val="00CF7589"/>
    <w:rsid w:val="00CF765C"/>
    <w:rsid w:val="00CF79B1"/>
    <w:rsid w:val="00CF7ADC"/>
    <w:rsid w:val="00CF7B3A"/>
    <w:rsid w:val="00CF7B4E"/>
    <w:rsid w:val="00CF7C0E"/>
    <w:rsid w:val="00CF7DFB"/>
    <w:rsid w:val="00CF7E0C"/>
    <w:rsid w:val="00D00264"/>
    <w:rsid w:val="00D002EC"/>
    <w:rsid w:val="00D00345"/>
    <w:rsid w:val="00D003A9"/>
    <w:rsid w:val="00D00728"/>
    <w:rsid w:val="00D00770"/>
    <w:rsid w:val="00D00872"/>
    <w:rsid w:val="00D008DF"/>
    <w:rsid w:val="00D008F0"/>
    <w:rsid w:val="00D00A15"/>
    <w:rsid w:val="00D00A7C"/>
    <w:rsid w:val="00D00F9F"/>
    <w:rsid w:val="00D01016"/>
    <w:rsid w:val="00D010F9"/>
    <w:rsid w:val="00D01537"/>
    <w:rsid w:val="00D01766"/>
    <w:rsid w:val="00D01C56"/>
    <w:rsid w:val="00D01D2B"/>
    <w:rsid w:val="00D01D95"/>
    <w:rsid w:val="00D0201E"/>
    <w:rsid w:val="00D022AF"/>
    <w:rsid w:val="00D02359"/>
    <w:rsid w:val="00D024AE"/>
    <w:rsid w:val="00D02649"/>
    <w:rsid w:val="00D0269A"/>
    <w:rsid w:val="00D028F9"/>
    <w:rsid w:val="00D02904"/>
    <w:rsid w:val="00D02CB3"/>
    <w:rsid w:val="00D02CDA"/>
    <w:rsid w:val="00D02CEC"/>
    <w:rsid w:val="00D02D67"/>
    <w:rsid w:val="00D02DD4"/>
    <w:rsid w:val="00D0304B"/>
    <w:rsid w:val="00D031ED"/>
    <w:rsid w:val="00D031FF"/>
    <w:rsid w:val="00D032CB"/>
    <w:rsid w:val="00D03452"/>
    <w:rsid w:val="00D03757"/>
    <w:rsid w:val="00D03D1A"/>
    <w:rsid w:val="00D03E3B"/>
    <w:rsid w:val="00D03EAD"/>
    <w:rsid w:val="00D03F68"/>
    <w:rsid w:val="00D0402F"/>
    <w:rsid w:val="00D04119"/>
    <w:rsid w:val="00D0475D"/>
    <w:rsid w:val="00D0476A"/>
    <w:rsid w:val="00D04870"/>
    <w:rsid w:val="00D04D39"/>
    <w:rsid w:val="00D04D3D"/>
    <w:rsid w:val="00D04E3F"/>
    <w:rsid w:val="00D04EE6"/>
    <w:rsid w:val="00D04FC1"/>
    <w:rsid w:val="00D051DB"/>
    <w:rsid w:val="00D0537A"/>
    <w:rsid w:val="00D0541A"/>
    <w:rsid w:val="00D0545C"/>
    <w:rsid w:val="00D0547B"/>
    <w:rsid w:val="00D05981"/>
    <w:rsid w:val="00D05B22"/>
    <w:rsid w:val="00D05C8A"/>
    <w:rsid w:val="00D05CAF"/>
    <w:rsid w:val="00D05E9A"/>
    <w:rsid w:val="00D05FAE"/>
    <w:rsid w:val="00D06154"/>
    <w:rsid w:val="00D06180"/>
    <w:rsid w:val="00D062C2"/>
    <w:rsid w:val="00D063A8"/>
    <w:rsid w:val="00D0648E"/>
    <w:rsid w:val="00D0648F"/>
    <w:rsid w:val="00D06508"/>
    <w:rsid w:val="00D069CA"/>
    <w:rsid w:val="00D06B1F"/>
    <w:rsid w:val="00D06B6B"/>
    <w:rsid w:val="00D06BB8"/>
    <w:rsid w:val="00D07231"/>
    <w:rsid w:val="00D07237"/>
    <w:rsid w:val="00D07323"/>
    <w:rsid w:val="00D076BD"/>
    <w:rsid w:val="00D07851"/>
    <w:rsid w:val="00D07917"/>
    <w:rsid w:val="00D07BB0"/>
    <w:rsid w:val="00D07EDC"/>
    <w:rsid w:val="00D10009"/>
    <w:rsid w:val="00D103D4"/>
    <w:rsid w:val="00D1098C"/>
    <w:rsid w:val="00D109D8"/>
    <w:rsid w:val="00D10D4E"/>
    <w:rsid w:val="00D10DF0"/>
    <w:rsid w:val="00D10F50"/>
    <w:rsid w:val="00D110DA"/>
    <w:rsid w:val="00D11A1D"/>
    <w:rsid w:val="00D11C63"/>
    <w:rsid w:val="00D123A9"/>
    <w:rsid w:val="00D1267D"/>
    <w:rsid w:val="00D1288A"/>
    <w:rsid w:val="00D12A17"/>
    <w:rsid w:val="00D12A2F"/>
    <w:rsid w:val="00D12CE4"/>
    <w:rsid w:val="00D12E5B"/>
    <w:rsid w:val="00D12EFD"/>
    <w:rsid w:val="00D12F69"/>
    <w:rsid w:val="00D13198"/>
    <w:rsid w:val="00D1321F"/>
    <w:rsid w:val="00D13760"/>
    <w:rsid w:val="00D137A9"/>
    <w:rsid w:val="00D137BF"/>
    <w:rsid w:val="00D137D3"/>
    <w:rsid w:val="00D138D1"/>
    <w:rsid w:val="00D13BBE"/>
    <w:rsid w:val="00D13C2A"/>
    <w:rsid w:val="00D13C71"/>
    <w:rsid w:val="00D13D1E"/>
    <w:rsid w:val="00D13DAD"/>
    <w:rsid w:val="00D13EB7"/>
    <w:rsid w:val="00D13F59"/>
    <w:rsid w:val="00D14371"/>
    <w:rsid w:val="00D14382"/>
    <w:rsid w:val="00D1466D"/>
    <w:rsid w:val="00D146AD"/>
    <w:rsid w:val="00D14ADF"/>
    <w:rsid w:val="00D14BB9"/>
    <w:rsid w:val="00D14BD7"/>
    <w:rsid w:val="00D14E64"/>
    <w:rsid w:val="00D14ED8"/>
    <w:rsid w:val="00D15131"/>
    <w:rsid w:val="00D15413"/>
    <w:rsid w:val="00D1572A"/>
    <w:rsid w:val="00D15736"/>
    <w:rsid w:val="00D15761"/>
    <w:rsid w:val="00D157ED"/>
    <w:rsid w:val="00D15917"/>
    <w:rsid w:val="00D159D2"/>
    <w:rsid w:val="00D15CC4"/>
    <w:rsid w:val="00D15D39"/>
    <w:rsid w:val="00D15EF0"/>
    <w:rsid w:val="00D160B2"/>
    <w:rsid w:val="00D161F3"/>
    <w:rsid w:val="00D162B4"/>
    <w:rsid w:val="00D16346"/>
    <w:rsid w:val="00D16396"/>
    <w:rsid w:val="00D16478"/>
    <w:rsid w:val="00D165DF"/>
    <w:rsid w:val="00D17256"/>
    <w:rsid w:val="00D1759E"/>
    <w:rsid w:val="00D17687"/>
    <w:rsid w:val="00D177FC"/>
    <w:rsid w:val="00D17BC7"/>
    <w:rsid w:val="00D17BDB"/>
    <w:rsid w:val="00D17DF9"/>
    <w:rsid w:val="00D202A3"/>
    <w:rsid w:val="00D204D9"/>
    <w:rsid w:val="00D2079D"/>
    <w:rsid w:val="00D20845"/>
    <w:rsid w:val="00D209FC"/>
    <w:rsid w:val="00D20B32"/>
    <w:rsid w:val="00D20C1C"/>
    <w:rsid w:val="00D214CD"/>
    <w:rsid w:val="00D214E7"/>
    <w:rsid w:val="00D215B9"/>
    <w:rsid w:val="00D2165F"/>
    <w:rsid w:val="00D21910"/>
    <w:rsid w:val="00D21EAB"/>
    <w:rsid w:val="00D220B6"/>
    <w:rsid w:val="00D2237A"/>
    <w:rsid w:val="00D2251D"/>
    <w:rsid w:val="00D2275E"/>
    <w:rsid w:val="00D2289E"/>
    <w:rsid w:val="00D22ABF"/>
    <w:rsid w:val="00D22D81"/>
    <w:rsid w:val="00D22E2C"/>
    <w:rsid w:val="00D22E5A"/>
    <w:rsid w:val="00D22FF9"/>
    <w:rsid w:val="00D2312D"/>
    <w:rsid w:val="00D23146"/>
    <w:rsid w:val="00D235B4"/>
    <w:rsid w:val="00D23735"/>
    <w:rsid w:val="00D23755"/>
    <w:rsid w:val="00D239DF"/>
    <w:rsid w:val="00D23A4E"/>
    <w:rsid w:val="00D23B91"/>
    <w:rsid w:val="00D23E69"/>
    <w:rsid w:val="00D2425A"/>
    <w:rsid w:val="00D24467"/>
    <w:rsid w:val="00D244B7"/>
    <w:rsid w:val="00D24861"/>
    <w:rsid w:val="00D24B07"/>
    <w:rsid w:val="00D24CF8"/>
    <w:rsid w:val="00D24CF9"/>
    <w:rsid w:val="00D24D25"/>
    <w:rsid w:val="00D2522E"/>
    <w:rsid w:val="00D253EA"/>
    <w:rsid w:val="00D255BC"/>
    <w:rsid w:val="00D2564C"/>
    <w:rsid w:val="00D258C0"/>
    <w:rsid w:val="00D259C4"/>
    <w:rsid w:val="00D259DD"/>
    <w:rsid w:val="00D25A26"/>
    <w:rsid w:val="00D25DA9"/>
    <w:rsid w:val="00D26207"/>
    <w:rsid w:val="00D26984"/>
    <w:rsid w:val="00D2699E"/>
    <w:rsid w:val="00D26A0D"/>
    <w:rsid w:val="00D26C3E"/>
    <w:rsid w:val="00D26DCB"/>
    <w:rsid w:val="00D26FB6"/>
    <w:rsid w:val="00D27137"/>
    <w:rsid w:val="00D2738A"/>
    <w:rsid w:val="00D27467"/>
    <w:rsid w:val="00D2754F"/>
    <w:rsid w:val="00D2798A"/>
    <w:rsid w:val="00D27BBB"/>
    <w:rsid w:val="00D27BEE"/>
    <w:rsid w:val="00D27C1D"/>
    <w:rsid w:val="00D27CA9"/>
    <w:rsid w:val="00D27DE8"/>
    <w:rsid w:val="00D27ED6"/>
    <w:rsid w:val="00D27F17"/>
    <w:rsid w:val="00D30224"/>
    <w:rsid w:val="00D302A6"/>
    <w:rsid w:val="00D304FC"/>
    <w:rsid w:val="00D3057E"/>
    <w:rsid w:val="00D30BC9"/>
    <w:rsid w:val="00D30CAE"/>
    <w:rsid w:val="00D30D8B"/>
    <w:rsid w:val="00D30E66"/>
    <w:rsid w:val="00D313A6"/>
    <w:rsid w:val="00D31488"/>
    <w:rsid w:val="00D31554"/>
    <w:rsid w:val="00D3158B"/>
    <w:rsid w:val="00D31851"/>
    <w:rsid w:val="00D31875"/>
    <w:rsid w:val="00D318AC"/>
    <w:rsid w:val="00D31A0C"/>
    <w:rsid w:val="00D31B75"/>
    <w:rsid w:val="00D31BFA"/>
    <w:rsid w:val="00D31D81"/>
    <w:rsid w:val="00D31DAD"/>
    <w:rsid w:val="00D31EA0"/>
    <w:rsid w:val="00D31F15"/>
    <w:rsid w:val="00D31F9F"/>
    <w:rsid w:val="00D31FD5"/>
    <w:rsid w:val="00D3202E"/>
    <w:rsid w:val="00D320C8"/>
    <w:rsid w:val="00D321B8"/>
    <w:rsid w:val="00D323A2"/>
    <w:rsid w:val="00D32685"/>
    <w:rsid w:val="00D326D9"/>
    <w:rsid w:val="00D3271C"/>
    <w:rsid w:val="00D32A76"/>
    <w:rsid w:val="00D32BEB"/>
    <w:rsid w:val="00D32C32"/>
    <w:rsid w:val="00D3327C"/>
    <w:rsid w:val="00D33379"/>
    <w:rsid w:val="00D33665"/>
    <w:rsid w:val="00D33925"/>
    <w:rsid w:val="00D33A45"/>
    <w:rsid w:val="00D33BBA"/>
    <w:rsid w:val="00D33E8A"/>
    <w:rsid w:val="00D34553"/>
    <w:rsid w:val="00D345CC"/>
    <w:rsid w:val="00D3475D"/>
    <w:rsid w:val="00D3475F"/>
    <w:rsid w:val="00D34E6F"/>
    <w:rsid w:val="00D34F04"/>
    <w:rsid w:val="00D34F8A"/>
    <w:rsid w:val="00D354D5"/>
    <w:rsid w:val="00D35666"/>
    <w:rsid w:val="00D3566D"/>
    <w:rsid w:val="00D3576C"/>
    <w:rsid w:val="00D35773"/>
    <w:rsid w:val="00D359A1"/>
    <w:rsid w:val="00D35BC6"/>
    <w:rsid w:val="00D35BF8"/>
    <w:rsid w:val="00D35DAA"/>
    <w:rsid w:val="00D36151"/>
    <w:rsid w:val="00D36277"/>
    <w:rsid w:val="00D36606"/>
    <w:rsid w:val="00D36A3E"/>
    <w:rsid w:val="00D36DA6"/>
    <w:rsid w:val="00D371A9"/>
    <w:rsid w:val="00D3722E"/>
    <w:rsid w:val="00D37324"/>
    <w:rsid w:val="00D374A2"/>
    <w:rsid w:val="00D3764B"/>
    <w:rsid w:val="00D376F3"/>
    <w:rsid w:val="00D37736"/>
    <w:rsid w:val="00D37B0D"/>
    <w:rsid w:val="00D37D4E"/>
    <w:rsid w:val="00D37E09"/>
    <w:rsid w:val="00D37FE6"/>
    <w:rsid w:val="00D40274"/>
    <w:rsid w:val="00D40385"/>
    <w:rsid w:val="00D40596"/>
    <w:rsid w:val="00D405F5"/>
    <w:rsid w:val="00D40798"/>
    <w:rsid w:val="00D4079D"/>
    <w:rsid w:val="00D40B00"/>
    <w:rsid w:val="00D40DB3"/>
    <w:rsid w:val="00D416A6"/>
    <w:rsid w:val="00D41709"/>
    <w:rsid w:val="00D417FF"/>
    <w:rsid w:val="00D41824"/>
    <w:rsid w:val="00D419EB"/>
    <w:rsid w:val="00D42016"/>
    <w:rsid w:val="00D42254"/>
    <w:rsid w:val="00D42670"/>
    <w:rsid w:val="00D42731"/>
    <w:rsid w:val="00D427E8"/>
    <w:rsid w:val="00D42C88"/>
    <w:rsid w:val="00D42DA3"/>
    <w:rsid w:val="00D42E07"/>
    <w:rsid w:val="00D42F4D"/>
    <w:rsid w:val="00D43178"/>
    <w:rsid w:val="00D43337"/>
    <w:rsid w:val="00D433B3"/>
    <w:rsid w:val="00D43649"/>
    <w:rsid w:val="00D43797"/>
    <w:rsid w:val="00D439B3"/>
    <w:rsid w:val="00D439C2"/>
    <w:rsid w:val="00D43B46"/>
    <w:rsid w:val="00D43BEE"/>
    <w:rsid w:val="00D43D09"/>
    <w:rsid w:val="00D43D3B"/>
    <w:rsid w:val="00D43EB6"/>
    <w:rsid w:val="00D44696"/>
    <w:rsid w:val="00D44CC7"/>
    <w:rsid w:val="00D450C0"/>
    <w:rsid w:val="00D4514C"/>
    <w:rsid w:val="00D451F0"/>
    <w:rsid w:val="00D45477"/>
    <w:rsid w:val="00D454AD"/>
    <w:rsid w:val="00D455AE"/>
    <w:rsid w:val="00D455D9"/>
    <w:rsid w:val="00D458BD"/>
    <w:rsid w:val="00D459D2"/>
    <w:rsid w:val="00D465A6"/>
    <w:rsid w:val="00D465B1"/>
    <w:rsid w:val="00D46626"/>
    <w:rsid w:val="00D466F5"/>
    <w:rsid w:val="00D4694E"/>
    <w:rsid w:val="00D46A18"/>
    <w:rsid w:val="00D46CAE"/>
    <w:rsid w:val="00D46F10"/>
    <w:rsid w:val="00D47451"/>
    <w:rsid w:val="00D4771D"/>
    <w:rsid w:val="00D4781F"/>
    <w:rsid w:val="00D478DC"/>
    <w:rsid w:val="00D47D3B"/>
    <w:rsid w:val="00D47F4D"/>
    <w:rsid w:val="00D501C6"/>
    <w:rsid w:val="00D50464"/>
    <w:rsid w:val="00D504E0"/>
    <w:rsid w:val="00D504FE"/>
    <w:rsid w:val="00D5051B"/>
    <w:rsid w:val="00D512F6"/>
    <w:rsid w:val="00D513DC"/>
    <w:rsid w:val="00D51B2C"/>
    <w:rsid w:val="00D5222D"/>
    <w:rsid w:val="00D52487"/>
    <w:rsid w:val="00D52572"/>
    <w:rsid w:val="00D52573"/>
    <w:rsid w:val="00D5276A"/>
    <w:rsid w:val="00D527FE"/>
    <w:rsid w:val="00D5296E"/>
    <w:rsid w:val="00D52B16"/>
    <w:rsid w:val="00D531FD"/>
    <w:rsid w:val="00D532C4"/>
    <w:rsid w:val="00D53821"/>
    <w:rsid w:val="00D538C3"/>
    <w:rsid w:val="00D539A7"/>
    <w:rsid w:val="00D53A02"/>
    <w:rsid w:val="00D53D66"/>
    <w:rsid w:val="00D53E2C"/>
    <w:rsid w:val="00D53EB7"/>
    <w:rsid w:val="00D53F26"/>
    <w:rsid w:val="00D54043"/>
    <w:rsid w:val="00D5414E"/>
    <w:rsid w:val="00D5429A"/>
    <w:rsid w:val="00D548D8"/>
    <w:rsid w:val="00D54A06"/>
    <w:rsid w:val="00D54A42"/>
    <w:rsid w:val="00D54CDD"/>
    <w:rsid w:val="00D54E03"/>
    <w:rsid w:val="00D55038"/>
    <w:rsid w:val="00D550AF"/>
    <w:rsid w:val="00D5535D"/>
    <w:rsid w:val="00D55409"/>
    <w:rsid w:val="00D55471"/>
    <w:rsid w:val="00D554D6"/>
    <w:rsid w:val="00D55522"/>
    <w:rsid w:val="00D555EE"/>
    <w:rsid w:val="00D5591F"/>
    <w:rsid w:val="00D55A17"/>
    <w:rsid w:val="00D55B82"/>
    <w:rsid w:val="00D55E68"/>
    <w:rsid w:val="00D55EE0"/>
    <w:rsid w:val="00D56254"/>
    <w:rsid w:val="00D562A5"/>
    <w:rsid w:val="00D564C1"/>
    <w:rsid w:val="00D5652A"/>
    <w:rsid w:val="00D5656E"/>
    <w:rsid w:val="00D565A9"/>
    <w:rsid w:val="00D56622"/>
    <w:rsid w:val="00D5681B"/>
    <w:rsid w:val="00D5690A"/>
    <w:rsid w:val="00D571FD"/>
    <w:rsid w:val="00D5739C"/>
    <w:rsid w:val="00D57413"/>
    <w:rsid w:val="00D57475"/>
    <w:rsid w:val="00D5749A"/>
    <w:rsid w:val="00D575EE"/>
    <w:rsid w:val="00D57792"/>
    <w:rsid w:val="00D579FD"/>
    <w:rsid w:val="00D57A30"/>
    <w:rsid w:val="00D57C0F"/>
    <w:rsid w:val="00D57F19"/>
    <w:rsid w:val="00D57F23"/>
    <w:rsid w:val="00D57FC1"/>
    <w:rsid w:val="00D60308"/>
    <w:rsid w:val="00D603A5"/>
    <w:rsid w:val="00D6042A"/>
    <w:rsid w:val="00D604E7"/>
    <w:rsid w:val="00D605B1"/>
    <w:rsid w:val="00D605C2"/>
    <w:rsid w:val="00D60602"/>
    <w:rsid w:val="00D6094B"/>
    <w:rsid w:val="00D60A52"/>
    <w:rsid w:val="00D60BCA"/>
    <w:rsid w:val="00D60D56"/>
    <w:rsid w:val="00D61272"/>
    <w:rsid w:val="00D61748"/>
    <w:rsid w:val="00D619AD"/>
    <w:rsid w:val="00D61D1F"/>
    <w:rsid w:val="00D61D3C"/>
    <w:rsid w:val="00D61EA6"/>
    <w:rsid w:val="00D62017"/>
    <w:rsid w:val="00D626BE"/>
    <w:rsid w:val="00D627BD"/>
    <w:rsid w:val="00D6283C"/>
    <w:rsid w:val="00D629AC"/>
    <w:rsid w:val="00D62A62"/>
    <w:rsid w:val="00D62B72"/>
    <w:rsid w:val="00D62E72"/>
    <w:rsid w:val="00D630BF"/>
    <w:rsid w:val="00D63142"/>
    <w:rsid w:val="00D632E4"/>
    <w:rsid w:val="00D637F7"/>
    <w:rsid w:val="00D6387C"/>
    <w:rsid w:val="00D639EF"/>
    <w:rsid w:val="00D63AF9"/>
    <w:rsid w:val="00D63F95"/>
    <w:rsid w:val="00D64B20"/>
    <w:rsid w:val="00D64B9D"/>
    <w:rsid w:val="00D64FE7"/>
    <w:rsid w:val="00D65105"/>
    <w:rsid w:val="00D653DC"/>
    <w:rsid w:val="00D653F2"/>
    <w:rsid w:val="00D6548F"/>
    <w:rsid w:val="00D65864"/>
    <w:rsid w:val="00D65883"/>
    <w:rsid w:val="00D659E6"/>
    <w:rsid w:val="00D65ADE"/>
    <w:rsid w:val="00D6606D"/>
    <w:rsid w:val="00D661C2"/>
    <w:rsid w:val="00D663D4"/>
    <w:rsid w:val="00D66603"/>
    <w:rsid w:val="00D66978"/>
    <w:rsid w:val="00D66B86"/>
    <w:rsid w:val="00D66B92"/>
    <w:rsid w:val="00D66C8B"/>
    <w:rsid w:val="00D66C92"/>
    <w:rsid w:val="00D66F05"/>
    <w:rsid w:val="00D66F71"/>
    <w:rsid w:val="00D66F79"/>
    <w:rsid w:val="00D6715D"/>
    <w:rsid w:val="00D67600"/>
    <w:rsid w:val="00D67770"/>
    <w:rsid w:val="00D67A55"/>
    <w:rsid w:val="00D67D87"/>
    <w:rsid w:val="00D67FBB"/>
    <w:rsid w:val="00D70147"/>
    <w:rsid w:val="00D701B5"/>
    <w:rsid w:val="00D7025C"/>
    <w:rsid w:val="00D70331"/>
    <w:rsid w:val="00D7069A"/>
    <w:rsid w:val="00D7097D"/>
    <w:rsid w:val="00D70A32"/>
    <w:rsid w:val="00D70D17"/>
    <w:rsid w:val="00D70F22"/>
    <w:rsid w:val="00D70FA6"/>
    <w:rsid w:val="00D7127C"/>
    <w:rsid w:val="00D712E1"/>
    <w:rsid w:val="00D71609"/>
    <w:rsid w:val="00D71710"/>
    <w:rsid w:val="00D7174E"/>
    <w:rsid w:val="00D71A86"/>
    <w:rsid w:val="00D71CB8"/>
    <w:rsid w:val="00D72080"/>
    <w:rsid w:val="00D72790"/>
    <w:rsid w:val="00D72870"/>
    <w:rsid w:val="00D72BC5"/>
    <w:rsid w:val="00D72EE6"/>
    <w:rsid w:val="00D7302B"/>
    <w:rsid w:val="00D7321F"/>
    <w:rsid w:val="00D73233"/>
    <w:rsid w:val="00D73645"/>
    <w:rsid w:val="00D7386B"/>
    <w:rsid w:val="00D73A55"/>
    <w:rsid w:val="00D73E34"/>
    <w:rsid w:val="00D74157"/>
    <w:rsid w:val="00D741BF"/>
    <w:rsid w:val="00D744B2"/>
    <w:rsid w:val="00D748B1"/>
    <w:rsid w:val="00D74913"/>
    <w:rsid w:val="00D7491F"/>
    <w:rsid w:val="00D7502D"/>
    <w:rsid w:val="00D75047"/>
    <w:rsid w:val="00D750A5"/>
    <w:rsid w:val="00D75313"/>
    <w:rsid w:val="00D75577"/>
    <w:rsid w:val="00D75595"/>
    <w:rsid w:val="00D756BE"/>
    <w:rsid w:val="00D7571A"/>
    <w:rsid w:val="00D757E3"/>
    <w:rsid w:val="00D75961"/>
    <w:rsid w:val="00D75AD4"/>
    <w:rsid w:val="00D75B42"/>
    <w:rsid w:val="00D75D5A"/>
    <w:rsid w:val="00D75D78"/>
    <w:rsid w:val="00D75E83"/>
    <w:rsid w:val="00D760F1"/>
    <w:rsid w:val="00D76432"/>
    <w:rsid w:val="00D76A99"/>
    <w:rsid w:val="00D76C0E"/>
    <w:rsid w:val="00D76C17"/>
    <w:rsid w:val="00D76C26"/>
    <w:rsid w:val="00D76DD8"/>
    <w:rsid w:val="00D76E75"/>
    <w:rsid w:val="00D77400"/>
    <w:rsid w:val="00D77643"/>
    <w:rsid w:val="00D77743"/>
    <w:rsid w:val="00D77911"/>
    <w:rsid w:val="00D7796A"/>
    <w:rsid w:val="00D77ACC"/>
    <w:rsid w:val="00D77CD6"/>
    <w:rsid w:val="00D77CE0"/>
    <w:rsid w:val="00D77DCE"/>
    <w:rsid w:val="00D77E39"/>
    <w:rsid w:val="00D8001D"/>
    <w:rsid w:val="00D80190"/>
    <w:rsid w:val="00D801F5"/>
    <w:rsid w:val="00D80284"/>
    <w:rsid w:val="00D8064A"/>
    <w:rsid w:val="00D80FCA"/>
    <w:rsid w:val="00D811E7"/>
    <w:rsid w:val="00D81200"/>
    <w:rsid w:val="00D81232"/>
    <w:rsid w:val="00D81321"/>
    <w:rsid w:val="00D815AE"/>
    <w:rsid w:val="00D817F4"/>
    <w:rsid w:val="00D81933"/>
    <w:rsid w:val="00D81B82"/>
    <w:rsid w:val="00D81C4A"/>
    <w:rsid w:val="00D81CB2"/>
    <w:rsid w:val="00D81D23"/>
    <w:rsid w:val="00D81DD7"/>
    <w:rsid w:val="00D81DD8"/>
    <w:rsid w:val="00D81EDE"/>
    <w:rsid w:val="00D820FC"/>
    <w:rsid w:val="00D82551"/>
    <w:rsid w:val="00D82A7E"/>
    <w:rsid w:val="00D82AD5"/>
    <w:rsid w:val="00D82C66"/>
    <w:rsid w:val="00D82CD3"/>
    <w:rsid w:val="00D82F58"/>
    <w:rsid w:val="00D83574"/>
    <w:rsid w:val="00D83959"/>
    <w:rsid w:val="00D83B22"/>
    <w:rsid w:val="00D83E94"/>
    <w:rsid w:val="00D83F01"/>
    <w:rsid w:val="00D83FD6"/>
    <w:rsid w:val="00D841FA"/>
    <w:rsid w:val="00D84289"/>
    <w:rsid w:val="00D843C2"/>
    <w:rsid w:val="00D84406"/>
    <w:rsid w:val="00D84568"/>
    <w:rsid w:val="00D84782"/>
    <w:rsid w:val="00D8478F"/>
    <w:rsid w:val="00D849AC"/>
    <w:rsid w:val="00D84CEE"/>
    <w:rsid w:val="00D8517F"/>
    <w:rsid w:val="00D8538F"/>
    <w:rsid w:val="00D85740"/>
    <w:rsid w:val="00D85761"/>
    <w:rsid w:val="00D858B8"/>
    <w:rsid w:val="00D8599D"/>
    <w:rsid w:val="00D85A79"/>
    <w:rsid w:val="00D86099"/>
    <w:rsid w:val="00D86348"/>
    <w:rsid w:val="00D86466"/>
    <w:rsid w:val="00D864A7"/>
    <w:rsid w:val="00D86D69"/>
    <w:rsid w:val="00D86E36"/>
    <w:rsid w:val="00D871D6"/>
    <w:rsid w:val="00D872B2"/>
    <w:rsid w:val="00D8756B"/>
    <w:rsid w:val="00D8762B"/>
    <w:rsid w:val="00D877E7"/>
    <w:rsid w:val="00D8783E"/>
    <w:rsid w:val="00D87CE8"/>
    <w:rsid w:val="00D900D5"/>
    <w:rsid w:val="00D90104"/>
    <w:rsid w:val="00D901FF"/>
    <w:rsid w:val="00D9088C"/>
    <w:rsid w:val="00D90C8A"/>
    <w:rsid w:val="00D9114B"/>
    <w:rsid w:val="00D914A7"/>
    <w:rsid w:val="00D9170B"/>
    <w:rsid w:val="00D91821"/>
    <w:rsid w:val="00D91987"/>
    <w:rsid w:val="00D91A69"/>
    <w:rsid w:val="00D91F90"/>
    <w:rsid w:val="00D92071"/>
    <w:rsid w:val="00D923B8"/>
    <w:rsid w:val="00D924F1"/>
    <w:rsid w:val="00D9261B"/>
    <w:rsid w:val="00D926E6"/>
    <w:rsid w:val="00D928E2"/>
    <w:rsid w:val="00D92908"/>
    <w:rsid w:val="00D92C2A"/>
    <w:rsid w:val="00D92E42"/>
    <w:rsid w:val="00D92EAA"/>
    <w:rsid w:val="00D92F45"/>
    <w:rsid w:val="00D93017"/>
    <w:rsid w:val="00D931A1"/>
    <w:rsid w:val="00D93218"/>
    <w:rsid w:val="00D93396"/>
    <w:rsid w:val="00D93432"/>
    <w:rsid w:val="00D9348E"/>
    <w:rsid w:val="00D939ED"/>
    <w:rsid w:val="00D94417"/>
    <w:rsid w:val="00D9457C"/>
    <w:rsid w:val="00D948C5"/>
    <w:rsid w:val="00D94DEE"/>
    <w:rsid w:val="00D94EA5"/>
    <w:rsid w:val="00D95243"/>
    <w:rsid w:val="00D95346"/>
    <w:rsid w:val="00D954CC"/>
    <w:rsid w:val="00D95558"/>
    <w:rsid w:val="00D95793"/>
    <w:rsid w:val="00D95857"/>
    <w:rsid w:val="00D958DE"/>
    <w:rsid w:val="00D95C30"/>
    <w:rsid w:val="00D961BE"/>
    <w:rsid w:val="00D96308"/>
    <w:rsid w:val="00D96818"/>
    <w:rsid w:val="00D9699F"/>
    <w:rsid w:val="00D970D5"/>
    <w:rsid w:val="00D97184"/>
    <w:rsid w:val="00D973A7"/>
    <w:rsid w:val="00D979CB"/>
    <w:rsid w:val="00D97A92"/>
    <w:rsid w:val="00D97F28"/>
    <w:rsid w:val="00D97FC0"/>
    <w:rsid w:val="00DA0531"/>
    <w:rsid w:val="00DA0687"/>
    <w:rsid w:val="00DA0941"/>
    <w:rsid w:val="00DA0AA1"/>
    <w:rsid w:val="00DA0C0E"/>
    <w:rsid w:val="00DA0E2E"/>
    <w:rsid w:val="00DA11F7"/>
    <w:rsid w:val="00DA154D"/>
    <w:rsid w:val="00DA17A2"/>
    <w:rsid w:val="00DA1F8E"/>
    <w:rsid w:val="00DA2599"/>
    <w:rsid w:val="00DA2751"/>
    <w:rsid w:val="00DA295B"/>
    <w:rsid w:val="00DA2FCF"/>
    <w:rsid w:val="00DA302E"/>
    <w:rsid w:val="00DA3116"/>
    <w:rsid w:val="00DA315F"/>
    <w:rsid w:val="00DA31C4"/>
    <w:rsid w:val="00DA32C9"/>
    <w:rsid w:val="00DA335C"/>
    <w:rsid w:val="00DA3622"/>
    <w:rsid w:val="00DA3788"/>
    <w:rsid w:val="00DA3816"/>
    <w:rsid w:val="00DA3A8C"/>
    <w:rsid w:val="00DA3DE1"/>
    <w:rsid w:val="00DA3EFB"/>
    <w:rsid w:val="00DA4045"/>
    <w:rsid w:val="00DA40F8"/>
    <w:rsid w:val="00DA4256"/>
    <w:rsid w:val="00DA42A0"/>
    <w:rsid w:val="00DA45F9"/>
    <w:rsid w:val="00DA466F"/>
    <w:rsid w:val="00DA4686"/>
    <w:rsid w:val="00DA4871"/>
    <w:rsid w:val="00DA495F"/>
    <w:rsid w:val="00DA4991"/>
    <w:rsid w:val="00DA49C8"/>
    <w:rsid w:val="00DA4D7C"/>
    <w:rsid w:val="00DA4E61"/>
    <w:rsid w:val="00DA4EBB"/>
    <w:rsid w:val="00DA5062"/>
    <w:rsid w:val="00DA519E"/>
    <w:rsid w:val="00DA5759"/>
    <w:rsid w:val="00DA5858"/>
    <w:rsid w:val="00DA5C21"/>
    <w:rsid w:val="00DA5CF5"/>
    <w:rsid w:val="00DA5F9D"/>
    <w:rsid w:val="00DA601D"/>
    <w:rsid w:val="00DA60A2"/>
    <w:rsid w:val="00DA625A"/>
    <w:rsid w:val="00DA63A9"/>
    <w:rsid w:val="00DA6575"/>
    <w:rsid w:val="00DA6661"/>
    <w:rsid w:val="00DA6750"/>
    <w:rsid w:val="00DA684E"/>
    <w:rsid w:val="00DA70D2"/>
    <w:rsid w:val="00DA723C"/>
    <w:rsid w:val="00DA72C7"/>
    <w:rsid w:val="00DA73A6"/>
    <w:rsid w:val="00DA742B"/>
    <w:rsid w:val="00DA7594"/>
    <w:rsid w:val="00DA75CA"/>
    <w:rsid w:val="00DA7644"/>
    <w:rsid w:val="00DA7649"/>
    <w:rsid w:val="00DA77CE"/>
    <w:rsid w:val="00DA7A1C"/>
    <w:rsid w:val="00DA7A95"/>
    <w:rsid w:val="00DA7DD1"/>
    <w:rsid w:val="00DA7E16"/>
    <w:rsid w:val="00DA7F84"/>
    <w:rsid w:val="00DB00E1"/>
    <w:rsid w:val="00DB0269"/>
    <w:rsid w:val="00DB0756"/>
    <w:rsid w:val="00DB07C2"/>
    <w:rsid w:val="00DB09C9"/>
    <w:rsid w:val="00DB09D2"/>
    <w:rsid w:val="00DB0BEB"/>
    <w:rsid w:val="00DB0E54"/>
    <w:rsid w:val="00DB10FB"/>
    <w:rsid w:val="00DB134B"/>
    <w:rsid w:val="00DB1557"/>
    <w:rsid w:val="00DB16D1"/>
    <w:rsid w:val="00DB1A43"/>
    <w:rsid w:val="00DB1A77"/>
    <w:rsid w:val="00DB1CB5"/>
    <w:rsid w:val="00DB1CCA"/>
    <w:rsid w:val="00DB1CDB"/>
    <w:rsid w:val="00DB1CE3"/>
    <w:rsid w:val="00DB1DED"/>
    <w:rsid w:val="00DB1DFF"/>
    <w:rsid w:val="00DB1F96"/>
    <w:rsid w:val="00DB2282"/>
    <w:rsid w:val="00DB2508"/>
    <w:rsid w:val="00DB2706"/>
    <w:rsid w:val="00DB2B43"/>
    <w:rsid w:val="00DB2BF9"/>
    <w:rsid w:val="00DB2D1B"/>
    <w:rsid w:val="00DB2E90"/>
    <w:rsid w:val="00DB31F6"/>
    <w:rsid w:val="00DB35E7"/>
    <w:rsid w:val="00DB396B"/>
    <w:rsid w:val="00DB39F0"/>
    <w:rsid w:val="00DB3C1F"/>
    <w:rsid w:val="00DB3FB5"/>
    <w:rsid w:val="00DB404D"/>
    <w:rsid w:val="00DB4410"/>
    <w:rsid w:val="00DB444E"/>
    <w:rsid w:val="00DB4539"/>
    <w:rsid w:val="00DB4546"/>
    <w:rsid w:val="00DB4602"/>
    <w:rsid w:val="00DB4882"/>
    <w:rsid w:val="00DB4BAA"/>
    <w:rsid w:val="00DB5359"/>
    <w:rsid w:val="00DB57DD"/>
    <w:rsid w:val="00DB589C"/>
    <w:rsid w:val="00DB5909"/>
    <w:rsid w:val="00DB5EC0"/>
    <w:rsid w:val="00DB627E"/>
    <w:rsid w:val="00DB63C0"/>
    <w:rsid w:val="00DB641E"/>
    <w:rsid w:val="00DB653B"/>
    <w:rsid w:val="00DB659B"/>
    <w:rsid w:val="00DB66E8"/>
    <w:rsid w:val="00DB693D"/>
    <w:rsid w:val="00DB6BE9"/>
    <w:rsid w:val="00DB6D22"/>
    <w:rsid w:val="00DB6DE1"/>
    <w:rsid w:val="00DB6F03"/>
    <w:rsid w:val="00DB6F28"/>
    <w:rsid w:val="00DB7429"/>
    <w:rsid w:val="00DB7528"/>
    <w:rsid w:val="00DB75F3"/>
    <w:rsid w:val="00DB771C"/>
    <w:rsid w:val="00DB7858"/>
    <w:rsid w:val="00DB7BC0"/>
    <w:rsid w:val="00DB7F13"/>
    <w:rsid w:val="00DC0303"/>
    <w:rsid w:val="00DC0349"/>
    <w:rsid w:val="00DC03A3"/>
    <w:rsid w:val="00DC0838"/>
    <w:rsid w:val="00DC0B92"/>
    <w:rsid w:val="00DC0C2F"/>
    <w:rsid w:val="00DC0C67"/>
    <w:rsid w:val="00DC0C91"/>
    <w:rsid w:val="00DC0D01"/>
    <w:rsid w:val="00DC0E05"/>
    <w:rsid w:val="00DC100C"/>
    <w:rsid w:val="00DC130F"/>
    <w:rsid w:val="00DC14F5"/>
    <w:rsid w:val="00DC1C66"/>
    <w:rsid w:val="00DC1C7C"/>
    <w:rsid w:val="00DC23AB"/>
    <w:rsid w:val="00DC2455"/>
    <w:rsid w:val="00DC25F3"/>
    <w:rsid w:val="00DC2709"/>
    <w:rsid w:val="00DC27BD"/>
    <w:rsid w:val="00DC28EE"/>
    <w:rsid w:val="00DC28F9"/>
    <w:rsid w:val="00DC294F"/>
    <w:rsid w:val="00DC2A12"/>
    <w:rsid w:val="00DC31E4"/>
    <w:rsid w:val="00DC33A5"/>
    <w:rsid w:val="00DC3503"/>
    <w:rsid w:val="00DC36BB"/>
    <w:rsid w:val="00DC3739"/>
    <w:rsid w:val="00DC3901"/>
    <w:rsid w:val="00DC3964"/>
    <w:rsid w:val="00DC3B0A"/>
    <w:rsid w:val="00DC3CF4"/>
    <w:rsid w:val="00DC3D3B"/>
    <w:rsid w:val="00DC417F"/>
    <w:rsid w:val="00DC4701"/>
    <w:rsid w:val="00DC4837"/>
    <w:rsid w:val="00DC4B70"/>
    <w:rsid w:val="00DC5089"/>
    <w:rsid w:val="00DC516F"/>
    <w:rsid w:val="00DC5243"/>
    <w:rsid w:val="00DC52A8"/>
    <w:rsid w:val="00DC5487"/>
    <w:rsid w:val="00DC558C"/>
    <w:rsid w:val="00DC560E"/>
    <w:rsid w:val="00DC5D71"/>
    <w:rsid w:val="00DC5E7D"/>
    <w:rsid w:val="00DC60D2"/>
    <w:rsid w:val="00DC6108"/>
    <w:rsid w:val="00DC65C0"/>
    <w:rsid w:val="00DC6661"/>
    <w:rsid w:val="00DC6737"/>
    <w:rsid w:val="00DC6816"/>
    <w:rsid w:val="00DC681C"/>
    <w:rsid w:val="00DC6BC0"/>
    <w:rsid w:val="00DC6D02"/>
    <w:rsid w:val="00DC6E29"/>
    <w:rsid w:val="00DC710B"/>
    <w:rsid w:val="00DC722B"/>
    <w:rsid w:val="00DC7266"/>
    <w:rsid w:val="00DC74CD"/>
    <w:rsid w:val="00DC7714"/>
    <w:rsid w:val="00DC7849"/>
    <w:rsid w:val="00DC7CC8"/>
    <w:rsid w:val="00DC7D9E"/>
    <w:rsid w:val="00DC7E6F"/>
    <w:rsid w:val="00DC7EF5"/>
    <w:rsid w:val="00DD02E1"/>
    <w:rsid w:val="00DD03C0"/>
    <w:rsid w:val="00DD0473"/>
    <w:rsid w:val="00DD0570"/>
    <w:rsid w:val="00DD06F4"/>
    <w:rsid w:val="00DD087B"/>
    <w:rsid w:val="00DD088B"/>
    <w:rsid w:val="00DD0906"/>
    <w:rsid w:val="00DD0915"/>
    <w:rsid w:val="00DD0D99"/>
    <w:rsid w:val="00DD11B8"/>
    <w:rsid w:val="00DD1219"/>
    <w:rsid w:val="00DD13D9"/>
    <w:rsid w:val="00DD1553"/>
    <w:rsid w:val="00DD159E"/>
    <w:rsid w:val="00DD159F"/>
    <w:rsid w:val="00DD1718"/>
    <w:rsid w:val="00DD1AFA"/>
    <w:rsid w:val="00DD1E04"/>
    <w:rsid w:val="00DD1F5B"/>
    <w:rsid w:val="00DD2074"/>
    <w:rsid w:val="00DD2129"/>
    <w:rsid w:val="00DD2165"/>
    <w:rsid w:val="00DD260D"/>
    <w:rsid w:val="00DD2915"/>
    <w:rsid w:val="00DD297B"/>
    <w:rsid w:val="00DD2A07"/>
    <w:rsid w:val="00DD2B41"/>
    <w:rsid w:val="00DD2C84"/>
    <w:rsid w:val="00DD2D6B"/>
    <w:rsid w:val="00DD323D"/>
    <w:rsid w:val="00DD336F"/>
    <w:rsid w:val="00DD34EF"/>
    <w:rsid w:val="00DD35C7"/>
    <w:rsid w:val="00DD3700"/>
    <w:rsid w:val="00DD38E1"/>
    <w:rsid w:val="00DD39A0"/>
    <w:rsid w:val="00DD39B2"/>
    <w:rsid w:val="00DD3F81"/>
    <w:rsid w:val="00DD420D"/>
    <w:rsid w:val="00DD4228"/>
    <w:rsid w:val="00DD4230"/>
    <w:rsid w:val="00DD4844"/>
    <w:rsid w:val="00DD49BB"/>
    <w:rsid w:val="00DD4F4B"/>
    <w:rsid w:val="00DD51EB"/>
    <w:rsid w:val="00DD597C"/>
    <w:rsid w:val="00DD5B4F"/>
    <w:rsid w:val="00DD5DC9"/>
    <w:rsid w:val="00DD5F0D"/>
    <w:rsid w:val="00DD5FF6"/>
    <w:rsid w:val="00DD602E"/>
    <w:rsid w:val="00DD65FB"/>
    <w:rsid w:val="00DD687A"/>
    <w:rsid w:val="00DD7042"/>
    <w:rsid w:val="00DD74DF"/>
    <w:rsid w:val="00DD788B"/>
    <w:rsid w:val="00DD7AA9"/>
    <w:rsid w:val="00DD7DA5"/>
    <w:rsid w:val="00DE007E"/>
    <w:rsid w:val="00DE00AC"/>
    <w:rsid w:val="00DE017D"/>
    <w:rsid w:val="00DE04BD"/>
    <w:rsid w:val="00DE058D"/>
    <w:rsid w:val="00DE06B1"/>
    <w:rsid w:val="00DE07AE"/>
    <w:rsid w:val="00DE0856"/>
    <w:rsid w:val="00DE085C"/>
    <w:rsid w:val="00DE0881"/>
    <w:rsid w:val="00DE0945"/>
    <w:rsid w:val="00DE0E1F"/>
    <w:rsid w:val="00DE0ECD"/>
    <w:rsid w:val="00DE1666"/>
    <w:rsid w:val="00DE174B"/>
    <w:rsid w:val="00DE1791"/>
    <w:rsid w:val="00DE1848"/>
    <w:rsid w:val="00DE1969"/>
    <w:rsid w:val="00DE1AC1"/>
    <w:rsid w:val="00DE1B33"/>
    <w:rsid w:val="00DE1B73"/>
    <w:rsid w:val="00DE1C3F"/>
    <w:rsid w:val="00DE1C8D"/>
    <w:rsid w:val="00DE1CBB"/>
    <w:rsid w:val="00DE1D4E"/>
    <w:rsid w:val="00DE1EEA"/>
    <w:rsid w:val="00DE1F00"/>
    <w:rsid w:val="00DE201A"/>
    <w:rsid w:val="00DE20E4"/>
    <w:rsid w:val="00DE211F"/>
    <w:rsid w:val="00DE22B3"/>
    <w:rsid w:val="00DE25C9"/>
    <w:rsid w:val="00DE25FC"/>
    <w:rsid w:val="00DE2907"/>
    <w:rsid w:val="00DE2A11"/>
    <w:rsid w:val="00DE2C0A"/>
    <w:rsid w:val="00DE2E21"/>
    <w:rsid w:val="00DE2F25"/>
    <w:rsid w:val="00DE31A4"/>
    <w:rsid w:val="00DE31CA"/>
    <w:rsid w:val="00DE3246"/>
    <w:rsid w:val="00DE390E"/>
    <w:rsid w:val="00DE39B3"/>
    <w:rsid w:val="00DE3BAC"/>
    <w:rsid w:val="00DE3D8A"/>
    <w:rsid w:val="00DE3FEC"/>
    <w:rsid w:val="00DE42CE"/>
    <w:rsid w:val="00DE4570"/>
    <w:rsid w:val="00DE4809"/>
    <w:rsid w:val="00DE4EDD"/>
    <w:rsid w:val="00DE4EF9"/>
    <w:rsid w:val="00DE4F33"/>
    <w:rsid w:val="00DE5305"/>
    <w:rsid w:val="00DE560B"/>
    <w:rsid w:val="00DE56D5"/>
    <w:rsid w:val="00DE5A06"/>
    <w:rsid w:val="00DE5CB3"/>
    <w:rsid w:val="00DE5DF6"/>
    <w:rsid w:val="00DE5F09"/>
    <w:rsid w:val="00DE654B"/>
    <w:rsid w:val="00DE66A7"/>
    <w:rsid w:val="00DE66F8"/>
    <w:rsid w:val="00DE670A"/>
    <w:rsid w:val="00DE678C"/>
    <w:rsid w:val="00DE6B64"/>
    <w:rsid w:val="00DE6DC2"/>
    <w:rsid w:val="00DE7142"/>
    <w:rsid w:val="00DE71F7"/>
    <w:rsid w:val="00DE7476"/>
    <w:rsid w:val="00DE7527"/>
    <w:rsid w:val="00DE7567"/>
    <w:rsid w:val="00DE7631"/>
    <w:rsid w:val="00DE77CE"/>
    <w:rsid w:val="00DE7A30"/>
    <w:rsid w:val="00DE7A67"/>
    <w:rsid w:val="00DE7A7F"/>
    <w:rsid w:val="00DF0331"/>
    <w:rsid w:val="00DF039D"/>
    <w:rsid w:val="00DF06AE"/>
    <w:rsid w:val="00DF0735"/>
    <w:rsid w:val="00DF083A"/>
    <w:rsid w:val="00DF0A14"/>
    <w:rsid w:val="00DF0A44"/>
    <w:rsid w:val="00DF0A45"/>
    <w:rsid w:val="00DF0AAE"/>
    <w:rsid w:val="00DF0D6E"/>
    <w:rsid w:val="00DF113C"/>
    <w:rsid w:val="00DF140F"/>
    <w:rsid w:val="00DF14A2"/>
    <w:rsid w:val="00DF155C"/>
    <w:rsid w:val="00DF183E"/>
    <w:rsid w:val="00DF1940"/>
    <w:rsid w:val="00DF19A1"/>
    <w:rsid w:val="00DF19DC"/>
    <w:rsid w:val="00DF1A8A"/>
    <w:rsid w:val="00DF1C83"/>
    <w:rsid w:val="00DF1D79"/>
    <w:rsid w:val="00DF1ECB"/>
    <w:rsid w:val="00DF217B"/>
    <w:rsid w:val="00DF2307"/>
    <w:rsid w:val="00DF238A"/>
    <w:rsid w:val="00DF255A"/>
    <w:rsid w:val="00DF2754"/>
    <w:rsid w:val="00DF2E20"/>
    <w:rsid w:val="00DF30E7"/>
    <w:rsid w:val="00DF3102"/>
    <w:rsid w:val="00DF3309"/>
    <w:rsid w:val="00DF3322"/>
    <w:rsid w:val="00DF35B3"/>
    <w:rsid w:val="00DF36E3"/>
    <w:rsid w:val="00DF3844"/>
    <w:rsid w:val="00DF3CAD"/>
    <w:rsid w:val="00DF3E4B"/>
    <w:rsid w:val="00DF402F"/>
    <w:rsid w:val="00DF4242"/>
    <w:rsid w:val="00DF45DD"/>
    <w:rsid w:val="00DF47DD"/>
    <w:rsid w:val="00DF4816"/>
    <w:rsid w:val="00DF490B"/>
    <w:rsid w:val="00DF4A2C"/>
    <w:rsid w:val="00DF4A68"/>
    <w:rsid w:val="00DF4A86"/>
    <w:rsid w:val="00DF4BAF"/>
    <w:rsid w:val="00DF4CC6"/>
    <w:rsid w:val="00DF4CEF"/>
    <w:rsid w:val="00DF4E00"/>
    <w:rsid w:val="00DF4F0B"/>
    <w:rsid w:val="00DF4FEA"/>
    <w:rsid w:val="00DF5167"/>
    <w:rsid w:val="00DF596F"/>
    <w:rsid w:val="00DF5B2E"/>
    <w:rsid w:val="00DF5C7F"/>
    <w:rsid w:val="00DF5F3B"/>
    <w:rsid w:val="00DF61AE"/>
    <w:rsid w:val="00DF6324"/>
    <w:rsid w:val="00DF6368"/>
    <w:rsid w:val="00DF67B4"/>
    <w:rsid w:val="00DF686E"/>
    <w:rsid w:val="00DF689F"/>
    <w:rsid w:val="00DF690C"/>
    <w:rsid w:val="00DF6922"/>
    <w:rsid w:val="00DF6991"/>
    <w:rsid w:val="00DF6C8B"/>
    <w:rsid w:val="00DF6D13"/>
    <w:rsid w:val="00DF6E66"/>
    <w:rsid w:val="00DF6F74"/>
    <w:rsid w:val="00DF7520"/>
    <w:rsid w:val="00DF758D"/>
    <w:rsid w:val="00DF761D"/>
    <w:rsid w:val="00DF76B9"/>
    <w:rsid w:val="00DF7C18"/>
    <w:rsid w:val="00DF7D45"/>
    <w:rsid w:val="00DF7DDC"/>
    <w:rsid w:val="00DF7E84"/>
    <w:rsid w:val="00E00138"/>
    <w:rsid w:val="00E00155"/>
    <w:rsid w:val="00E0039B"/>
    <w:rsid w:val="00E007B7"/>
    <w:rsid w:val="00E00884"/>
    <w:rsid w:val="00E009D2"/>
    <w:rsid w:val="00E009F0"/>
    <w:rsid w:val="00E00A5C"/>
    <w:rsid w:val="00E00F95"/>
    <w:rsid w:val="00E0144B"/>
    <w:rsid w:val="00E0156D"/>
    <w:rsid w:val="00E017A4"/>
    <w:rsid w:val="00E018F5"/>
    <w:rsid w:val="00E01B33"/>
    <w:rsid w:val="00E01C60"/>
    <w:rsid w:val="00E01DF1"/>
    <w:rsid w:val="00E02148"/>
    <w:rsid w:val="00E0224F"/>
    <w:rsid w:val="00E02537"/>
    <w:rsid w:val="00E025A7"/>
    <w:rsid w:val="00E026AA"/>
    <w:rsid w:val="00E026EE"/>
    <w:rsid w:val="00E031C6"/>
    <w:rsid w:val="00E0322B"/>
    <w:rsid w:val="00E032FD"/>
    <w:rsid w:val="00E0332C"/>
    <w:rsid w:val="00E03334"/>
    <w:rsid w:val="00E03345"/>
    <w:rsid w:val="00E033C9"/>
    <w:rsid w:val="00E03639"/>
    <w:rsid w:val="00E03759"/>
    <w:rsid w:val="00E037DE"/>
    <w:rsid w:val="00E03889"/>
    <w:rsid w:val="00E038CE"/>
    <w:rsid w:val="00E0394C"/>
    <w:rsid w:val="00E03B3E"/>
    <w:rsid w:val="00E03CD4"/>
    <w:rsid w:val="00E03E28"/>
    <w:rsid w:val="00E04247"/>
    <w:rsid w:val="00E04276"/>
    <w:rsid w:val="00E0472B"/>
    <w:rsid w:val="00E04A5B"/>
    <w:rsid w:val="00E04ED5"/>
    <w:rsid w:val="00E04FA1"/>
    <w:rsid w:val="00E0521F"/>
    <w:rsid w:val="00E054C5"/>
    <w:rsid w:val="00E057F4"/>
    <w:rsid w:val="00E05804"/>
    <w:rsid w:val="00E05927"/>
    <w:rsid w:val="00E05C5E"/>
    <w:rsid w:val="00E05E2F"/>
    <w:rsid w:val="00E05F97"/>
    <w:rsid w:val="00E06303"/>
    <w:rsid w:val="00E063CE"/>
    <w:rsid w:val="00E0641E"/>
    <w:rsid w:val="00E06598"/>
    <w:rsid w:val="00E0682D"/>
    <w:rsid w:val="00E06940"/>
    <w:rsid w:val="00E06F92"/>
    <w:rsid w:val="00E07049"/>
    <w:rsid w:val="00E070AE"/>
    <w:rsid w:val="00E07137"/>
    <w:rsid w:val="00E071A0"/>
    <w:rsid w:val="00E074E0"/>
    <w:rsid w:val="00E075E0"/>
    <w:rsid w:val="00E07A0D"/>
    <w:rsid w:val="00E07B4E"/>
    <w:rsid w:val="00E07FE0"/>
    <w:rsid w:val="00E101F4"/>
    <w:rsid w:val="00E1048D"/>
    <w:rsid w:val="00E10BE9"/>
    <w:rsid w:val="00E10C9C"/>
    <w:rsid w:val="00E10D8C"/>
    <w:rsid w:val="00E10E90"/>
    <w:rsid w:val="00E10E95"/>
    <w:rsid w:val="00E10F4A"/>
    <w:rsid w:val="00E110CF"/>
    <w:rsid w:val="00E11139"/>
    <w:rsid w:val="00E113FC"/>
    <w:rsid w:val="00E11551"/>
    <w:rsid w:val="00E11559"/>
    <w:rsid w:val="00E116B2"/>
    <w:rsid w:val="00E11A63"/>
    <w:rsid w:val="00E11D8D"/>
    <w:rsid w:val="00E11F52"/>
    <w:rsid w:val="00E12115"/>
    <w:rsid w:val="00E12149"/>
    <w:rsid w:val="00E12807"/>
    <w:rsid w:val="00E1288D"/>
    <w:rsid w:val="00E12CF0"/>
    <w:rsid w:val="00E12FE6"/>
    <w:rsid w:val="00E13457"/>
    <w:rsid w:val="00E137D9"/>
    <w:rsid w:val="00E1398F"/>
    <w:rsid w:val="00E140FF"/>
    <w:rsid w:val="00E1427E"/>
    <w:rsid w:val="00E145EC"/>
    <w:rsid w:val="00E148D4"/>
    <w:rsid w:val="00E14D96"/>
    <w:rsid w:val="00E14DC8"/>
    <w:rsid w:val="00E14EE6"/>
    <w:rsid w:val="00E1505A"/>
    <w:rsid w:val="00E1509D"/>
    <w:rsid w:val="00E153CF"/>
    <w:rsid w:val="00E156D4"/>
    <w:rsid w:val="00E158ED"/>
    <w:rsid w:val="00E15904"/>
    <w:rsid w:val="00E1595D"/>
    <w:rsid w:val="00E15B60"/>
    <w:rsid w:val="00E15FBE"/>
    <w:rsid w:val="00E161BC"/>
    <w:rsid w:val="00E162ED"/>
    <w:rsid w:val="00E16410"/>
    <w:rsid w:val="00E16417"/>
    <w:rsid w:val="00E1656C"/>
    <w:rsid w:val="00E1668B"/>
    <w:rsid w:val="00E16765"/>
    <w:rsid w:val="00E168BA"/>
    <w:rsid w:val="00E169C6"/>
    <w:rsid w:val="00E16A03"/>
    <w:rsid w:val="00E16B7C"/>
    <w:rsid w:val="00E16C1F"/>
    <w:rsid w:val="00E16F74"/>
    <w:rsid w:val="00E17060"/>
    <w:rsid w:val="00E17391"/>
    <w:rsid w:val="00E1739F"/>
    <w:rsid w:val="00E17508"/>
    <w:rsid w:val="00E17518"/>
    <w:rsid w:val="00E17665"/>
    <w:rsid w:val="00E1780D"/>
    <w:rsid w:val="00E179BD"/>
    <w:rsid w:val="00E179DB"/>
    <w:rsid w:val="00E17A9D"/>
    <w:rsid w:val="00E17C7E"/>
    <w:rsid w:val="00E17DF4"/>
    <w:rsid w:val="00E2027D"/>
    <w:rsid w:val="00E20635"/>
    <w:rsid w:val="00E20791"/>
    <w:rsid w:val="00E207C6"/>
    <w:rsid w:val="00E2084E"/>
    <w:rsid w:val="00E20B7D"/>
    <w:rsid w:val="00E20E2A"/>
    <w:rsid w:val="00E20F22"/>
    <w:rsid w:val="00E2118C"/>
    <w:rsid w:val="00E212C4"/>
    <w:rsid w:val="00E215EA"/>
    <w:rsid w:val="00E2187D"/>
    <w:rsid w:val="00E21D41"/>
    <w:rsid w:val="00E21F3E"/>
    <w:rsid w:val="00E22078"/>
    <w:rsid w:val="00E221FB"/>
    <w:rsid w:val="00E22237"/>
    <w:rsid w:val="00E223EE"/>
    <w:rsid w:val="00E225BB"/>
    <w:rsid w:val="00E22788"/>
    <w:rsid w:val="00E227EF"/>
    <w:rsid w:val="00E22860"/>
    <w:rsid w:val="00E22A06"/>
    <w:rsid w:val="00E22AE1"/>
    <w:rsid w:val="00E22B7E"/>
    <w:rsid w:val="00E22C17"/>
    <w:rsid w:val="00E22DF5"/>
    <w:rsid w:val="00E22E1E"/>
    <w:rsid w:val="00E23031"/>
    <w:rsid w:val="00E2308B"/>
    <w:rsid w:val="00E230D8"/>
    <w:rsid w:val="00E231E7"/>
    <w:rsid w:val="00E23332"/>
    <w:rsid w:val="00E23459"/>
    <w:rsid w:val="00E236D7"/>
    <w:rsid w:val="00E2378C"/>
    <w:rsid w:val="00E23A0E"/>
    <w:rsid w:val="00E23A5A"/>
    <w:rsid w:val="00E23B57"/>
    <w:rsid w:val="00E23C1B"/>
    <w:rsid w:val="00E23CF7"/>
    <w:rsid w:val="00E23E57"/>
    <w:rsid w:val="00E23EE4"/>
    <w:rsid w:val="00E24012"/>
    <w:rsid w:val="00E24066"/>
    <w:rsid w:val="00E24141"/>
    <w:rsid w:val="00E24229"/>
    <w:rsid w:val="00E2477B"/>
    <w:rsid w:val="00E2489A"/>
    <w:rsid w:val="00E24C47"/>
    <w:rsid w:val="00E24C94"/>
    <w:rsid w:val="00E24D20"/>
    <w:rsid w:val="00E2510C"/>
    <w:rsid w:val="00E253B4"/>
    <w:rsid w:val="00E2545C"/>
    <w:rsid w:val="00E2573A"/>
    <w:rsid w:val="00E25B22"/>
    <w:rsid w:val="00E25C59"/>
    <w:rsid w:val="00E25E25"/>
    <w:rsid w:val="00E263D0"/>
    <w:rsid w:val="00E265D5"/>
    <w:rsid w:val="00E2662B"/>
    <w:rsid w:val="00E26B85"/>
    <w:rsid w:val="00E26C0B"/>
    <w:rsid w:val="00E26C2C"/>
    <w:rsid w:val="00E26D1A"/>
    <w:rsid w:val="00E26E22"/>
    <w:rsid w:val="00E2766F"/>
    <w:rsid w:val="00E27AF3"/>
    <w:rsid w:val="00E27BB9"/>
    <w:rsid w:val="00E27D8D"/>
    <w:rsid w:val="00E3000C"/>
    <w:rsid w:val="00E3009C"/>
    <w:rsid w:val="00E30149"/>
    <w:rsid w:val="00E303BF"/>
    <w:rsid w:val="00E3040B"/>
    <w:rsid w:val="00E30689"/>
    <w:rsid w:val="00E30744"/>
    <w:rsid w:val="00E30999"/>
    <w:rsid w:val="00E30AB0"/>
    <w:rsid w:val="00E30B1C"/>
    <w:rsid w:val="00E30B3A"/>
    <w:rsid w:val="00E30E5A"/>
    <w:rsid w:val="00E31205"/>
    <w:rsid w:val="00E3140E"/>
    <w:rsid w:val="00E3149B"/>
    <w:rsid w:val="00E3151A"/>
    <w:rsid w:val="00E315F3"/>
    <w:rsid w:val="00E316D8"/>
    <w:rsid w:val="00E31AA3"/>
    <w:rsid w:val="00E31C01"/>
    <w:rsid w:val="00E31EA6"/>
    <w:rsid w:val="00E31F41"/>
    <w:rsid w:val="00E3203D"/>
    <w:rsid w:val="00E320CA"/>
    <w:rsid w:val="00E327C2"/>
    <w:rsid w:val="00E32961"/>
    <w:rsid w:val="00E32984"/>
    <w:rsid w:val="00E32A91"/>
    <w:rsid w:val="00E32BDB"/>
    <w:rsid w:val="00E32CE7"/>
    <w:rsid w:val="00E32CF5"/>
    <w:rsid w:val="00E32DCE"/>
    <w:rsid w:val="00E32EDB"/>
    <w:rsid w:val="00E32F03"/>
    <w:rsid w:val="00E33023"/>
    <w:rsid w:val="00E334B4"/>
    <w:rsid w:val="00E3391E"/>
    <w:rsid w:val="00E339F5"/>
    <w:rsid w:val="00E33BBC"/>
    <w:rsid w:val="00E3402C"/>
    <w:rsid w:val="00E34464"/>
    <w:rsid w:val="00E3453F"/>
    <w:rsid w:val="00E345E6"/>
    <w:rsid w:val="00E346C9"/>
    <w:rsid w:val="00E34896"/>
    <w:rsid w:val="00E348AB"/>
    <w:rsid w:val="00E34B2C"/>
    <w:rsid w:val="00E34B8F"/>
    <w:rsid w:val="00E34BAD"/>
    <w:rsid w:val="00E34BC7"/>
    <w:rsid w:val="00E3515F"/>
    <w:rsid w:val="00E35279"/>
    <w:rsid w:val="00E3528F"/>
    <w:rsid w:val="00E352C4"/>
    <w:rsid w:val="00E353AD"/>
    <w:rsid w:val="00E355FB"/>
    <w:rsid w:val="00E35872"/>
    <w:rsid w:val="00E3590B"/>
    <w:rsid w:val="00E35A8D"/>
    <w:rsid w:val="00E35C1A"/>
    <w:rsid w:val="00E35D23"/>
    <w:rsid w:val="00E35F61"/>
    <w:rsid w:val="00E360E5"/>
    <w:rsid w:val="00E36113"/>
    <w:rsid w:val="00E36275"/>
    <w:rsid w:val="00E36287"/>
    <w:rsid w:val="00E362A9"/>
    <w:rsid w:val="00E36779"/>
    <w:rsid w:val="00E36866"/>
    <w:rsid w:val="00E36917"/>
    <w:rsid w:val="00E36F07"/>
    <w:rsid w:val="00E36F8A"/>
    <w:rsid w:val="00E371F9"/>
    <w:rsid w:val="00E37275"/>
    <w:rsid w:val="00E3741F"/>
    <w:rsid w:val="00E37451"/>
    <w:rsid w:val="00E3765A"/>
    <w:rsid w:val="00E3776F"/>
    <w:rsid w:val="00E37BA9"/>
    <w:rsid w:val="00E37BAB"/>
    <w:rsid w:val="00E37BFF"/>
    <w:rsid w:val="00E37C58"/>
    <w:rsid w:val="00E40123"/>
    <w:rsid w:val="00E401EA"/>
    <w:rsid w:val="00E40273"/>
    <w:rsid w:val="00E4031A"/>
    <w:rsid w:val="00E40685"/>
    <w:rsid w:val="00E407FD"/>
    <w:rsid w:val="00E40949"/>
    <w:rsid w:val="00E40DE6"/>
    <w:rsid w:val="00E41091"/>
    <w:rsid w:val="00E414A9"/>
    <w:rsid w:val="00E4162A"/>
    <w:rsid w:val="00E4178E"/>
    <w:rsid w:val="00E4184C"/>
    <w:rsid w:val="00E41AA8"/>
    <w:rsid w:val="00E41B90"/>
    <w:rsid w:val="00E41F81"/>
    <w:rsid w:val="00E4226C"/>
    <w:rsid w:val="00E422A7"/>
    <w:rsid w:val="00E424BF"/>
    <w:rsid w:val="00E42532"/>
    <w:rsid w:val="00E429C9"/>
    <w:rsid w:val="00E42AC4"/>
    <w:rsid w:val="00E42D88"/>
    <w:rsid w:val="00E42FFC"/>
    <w:rsid w:val="00E4312F"/>
    <w:rsid w:val="00E43690"/>
    <w:rsid w:val="00E43906"/>
    <w:rsid w:val="00E43A0A"/>
    <w:rsid w:val="00E43DB7"/>
    <w:rsid w:val="00E43E0E"/>
    <w:rsid w:val="00E440C7"/>
    <w:rsid w:val="00E443E9"/>
    <w:rsid w:val="00E449F9"/>
    <w:rsid w:val="00E44BD9"/>
    <w:rsid w:val="00E44DE2"/>
    <w:rsid w:val="00E44F20"/>
    <w:rsid w:val="00E4500A"/>
    <w:rsid w:val="00E45184"/>
    <w:rsid w:val="00E45638"/>
    <w:rsid w:val="00E45C0B"/>
    <w:rsid w:val="00E45D1B"/>
    <w:rsid w:val="00E463B7"/>
    <w:rsid w:val="00E4650C"/>
    <w:rsid w:val="00E46549"/>
    <w:rsid w:val="00E466B2"/>
    <w:rsid w:val="00E4673F"/>
    <w:rsid w:val="00E467FA"/>
    <w:rsid w:val="00E46B19"/>
    <w:rsid w:val="00E46D1D"/>
    <w:rsid w:val="00E46E2A"/>
    <w:rsid w:val="00E46E35"/>
    <w:rsid w:val="00E4787D"/>
    <w:rsid w:val="00E47A50"/>
    <w:rsid w:val="00E47C53"/>
    <w:rsid w:val="00E47F94"/>
    <w:rsid w:val="00E5000C"/>
    <w:rsid w:val="00E5005F"/>
    <w:rsid w:val="00E500AF"/>
    <w:rsid w:val="00E501A3"/>
    <w:rsid w:val="00E501C2"/>
    <w:rsid w:val="00E506B6"/>
    <w:rsid w:val="00E506F1"/>
    <w:rsid w:val="00E5099E"/>
    <w:rsid w:val="00E509E9"/>
    <w:rsid w:val="00E50B31"/>
    <w:rsid w:val="00E5143F"/>
    <w:rsid w:val="00E515A2"/>
    <w:rsid w:val="00E5187C"/>
    <w:rsid w:val="00E518A3"/>
    <w:rsid w:val="00E51A67"/>
    <w:rsid w:val="00E51AF3"/>
    <w:rsid w:val="00E51E2B"/>
    <w:rsid w:val="00E51F74"/>
    <w:rsid w:val="00E520D4"/>
    <w:rsid w:val="00E521B0"/>
    <w:rsid w:val="00E5224E"/>
    <w:rsid w:val="00E52312"/>
    <w:rsid w:val="00E5257D"/>
    <w:rsid w:val="00E525AB"/>
    <w:rsid w:val="00E52738"/>
    <w:rsid w:val="00E52850"/>
    <w:rsid w:val="00E52896"/>
    <w:rsid w:val="00E52A11"/>
    <w:rsid w:val="00E52C47"/>
    <w:rsid w:val="00E52CE6"/>
    <w:rsid w:val="00E532F9"/>
    <w:rsid w:val="00E533B6"/>
    <w:rsid w:val="00E533DC"/>
    <w:rsid w:val="00E5384F"/>
    <w:rsid w:val="00E538A0"/>
    <w:rsid w:val="00E53912"/>
    <w:rsid w:val="00E53C1D"/>
    <w:rsid w:val="00E53D10"/>
    <w:rsid w:val="00E53E79"/>
    <w:rsid w:val="00E53EBA"/>
    <w:rsid w:val="00E540E6"/>
    <w:rsid w:val="00E5430A"/>
    <w:rsid w:val="00E5472D"/>
    <w:rsid w:val="00E54734"/>
    <w:rsid w:val="00E54822"/>
    <w:rsid w:val="00E5495A"/>
    <w:rsid w:val="00E54B56"/>
    <w:rsid w:val="00E54BF3"/>
    <w:rsid w:val="00E54C4D"/>
    <w:rsid w:val="00E55174"/>
    <w:rsid w:val="00E554E2"/>
    <w:rsid w:val="00E559A6"/>
    <w:rsid w:val="00E55A72"/>
    <w:rsid w:val="00E55B2A"/>
    <w:rsid w:val="00E55DB7"/>
    <w:rsid w:val="00E55DE2"/>
    <w:rsid w:val="00E55E10"/>
    <w:rsid w:val="00E55EB0"/>
    <w:rsid w:val="00E560B5"/>
    <w:rsid w:val="00E5638A"/>
    <w:rsid w:val="00E56524"/>
    <w:rsid w:val="00E5671D"/>
    <w:rsid w:val="00E56A13"/>
    <w:rsid w:val="00E56A70"/>
    <w:rsid w:val="00E56C83"/>
    <w:rsid w:val="00E56F1F"/>
    <w:rsid w:val="00E56F90"/>
    <w:rsid w:val="00E5708A"/>
    <w:rsid w:val="00E571FC"/>
    <w:rsid w:val="00E572EE"/>
    <w:rsid w:val="00E57307"/>
    <w:rsid w:val="00E573DA"/>
    <w:rsid w:val="00E57518"/>
    <w:rsid w:val="00E57978"/>
    <w:rsid w:val="00E57D2F"/>
    <w:rsid w:val="00E57DDB"/>
    <w:rsid w:val="00E57F68"/>
    <w:rsid w:val="00E6037A"/>
    <w:rsid w:val="00E603A8"/>
    <w:rsid w:val="00E60473"/>
    <w:rsid w:val="00E60920"/>
    <w:rsid w:val="00E60B64"/>
    <w:rsid w:val="00E60EFF"/>
    <w:rsid w:val="00E60F64"/>
    <w:rsid w:val="00E60F99"/>
    <w:rsid w:val="00E6108B"/>
    <w:rsid w:val="00E61143"/>
    <w:rsid w:val="00E6117F"/>
    <w:rsid w:val="00E611B2"/>
    <w:rsid w:val="00E613AC"/>
    <w:rsid w:val="00E614ED"/>
    <w:rsid w:val="00E61A2A"/>
    <w:rsid w:val="00E61BFC"/>
    <w:rsid w:val="00E61D63"/>
    <w:rsid w:val="00E61D86"/>
    <w:rsid w:val="00E62151"/>
    <w:rsid w:val="00E6239B"/>
    <w:rsid w:val="00E6264A"/>
    <w:rsid w:val="00E6284E"/>
    <w:rsid w:val="00E629EF"/>
    <w:rsid w:val="00E62A23"/>
    <w:rsid w:val="00E62DDE"/>
    <w:rsid w:val="00E62E9E"/>
    <w:rsid w:val="00E63098"/>
    <w:rsid w:val="00E6378D"/>
    <w:rsid w:val="00E6385F"/>
    <w:rsid w:val="00E63B0F"/>
    <w:rsid w:val="00E63B3E"/>
    <w:rsid w:val="00E63BF0"/>
    <w:rsid w:val="00E64235"/>
    <w:rsid w:val="00E643E6"/>
    <w:rsid w:val="00E645FC"/>
    <w:rsid w:val="00E648A7"/>
    <w:rsid w:val="00E64A2C"/>
    <w:rsid w:val="00E64A34"/>
    <w:rsid w:val="00E64AAC"/>
    <w:rsid w:val="00E64B02"/>
    <w:rsid w:val="00E64B7E"/>
    <w:rsid w:val="00E6536B"/>
    <w:rsid w:val="00E653D4"/>
    <w:rsid w:val="00E65CFA"/>
    <w:rsid w:val="00E65E65"/>
    <w:rsid w:val="00E65FD8"/>
    <w:rsid w:val="00E66025"/>
    <w:rsid w:val="00E6647C"/>
    <w:rsid w:val="00E66572"/>
    <w:rsid w:val="00E66841"/>
    <w:rsid w:val="00E66B50"/>
    <w:rsid w:val="00E66BE9"/>
    <w:rsid w:val="00E66E12"/>
    <w:rsid w:val="00E66F2B"/>
    <w:rsid w:val="00E66FC0"/>
    <w:rsid w:val="00E66FF8"/>
    <w:rsid w:val="00E67023"/>
    <w:rsid w:val="00E67190"/>
    <w:rsid w:val="00E67397"/>
    <w:rsid w:val="00E67461"/>
    <w:rsid w:val="00E67688"/>
    <w:rsid w:val="00E67785"/>
    <w:rsid w:val="00E67851"/>
    <w:rsid w:val="00E67914"/>
    <w:rsid w:val="00E679F7"/>
    <w:rsid w:val="00E67AF2"/>
    <w:rsid w:val="00E67DC5"/>
    <w:rsid w:val="00E67F69"/>
    <w:rsid w:val="00E70643"/>
    <w:rsid w:val="00E70699"/>
    <w:rsid w:val="00E7098C"/>
    <w:rsid w:val="00E709EB"/>
    <w:rsid w:val="00E70A77"/>
    <w:rsid w:val="00E70AFB"/>
    <w:rsid w:val="00E70CFB"/>
    <w:rsid w:val="00E70D2A"/>
    <w:rsid w:val="00E70D30"/>
    <w:rsid w:val="00E70D6F"/>
    <w:rsid w:val="00E71113"/>
    <w:rsid w:val="00E7155A"/>
    <w:rsid w:val="00E71C47"/>
    <w:rsid w:val="00E71D87"/>
    <w:rsid w:val="00E71ED5"/>
    <w:rsid w:val="00E722BA"/>
    <w:rsid w:val="00E724D7"/>
    <w:rsid w:val="00E72574"/>
    <w:rsid w:val="00E726EC"/>
    <w:rsid w:val="00E72743"/>
    <w:rsid w:val="00E72961"/>
    <w:rsid w:val="00E72A64"/>
    <w:rsid w:val="00E72B00"/>
    <w:rsid w:val="00E72BB9"/>
    <w:rsid w:val="00E72D98"/>
    <w:rsid w:val="00E72EA5"/>
    <w:rsid w:val="00E72F6F"/>
    <w:rsid w:val="00E732C7"/>
    <w:rsid w:val="00E7355D"/>
    <w:rsid w:val="00E736EC"/>
    <w:rsid w:val="00E737C8"/>
    <w:rsid w:val="00E738AC"/>
    <w:rsid w:val="00E73BE8"/>
    <w:rsid w:val="00E73FCA"/>
    <w:rsid w:val="00E742B4"/>
    <w:rsid w:val="00E7456C"/>
    <w:rsid w:val="00E747FD"/>
    <w:rsid w:val="00E748B5"/>
    <w:rsid w:val="00E74D1B"/>
    <w:rsid w:val="00E74E94"/>
    <w:rsid w:val="00E74F1C"/>
    <w:rsid w:val="00E74F8E"/>
    <w:rsid w:val="00E75501"/>
    <w:rsid w:val="00E7568D"/>
    <w:rsid w:val="00E7581B"/>
    <w:rsid w:val="00E7586D"/>
    <w:rsid w:val="00E75EF3"/>
    <w:rsid w:val="00E7601F"/>
    <w:rsid w:val="00E761B0"/>
    <w:rsid w:val="00E76695"/>
    <w:rsid w:val="00E769E6"/>
    <w:rsid w:val="00E76A18"/>
    <w:rsid w:val="00E76B40"/>
    <w:rsid w:val="00E76EFA"/>
    <w:rsid w:val="00E77066"/>
    <w:rsid w:val="00E770EE"/>
    <w:rsid w:val="00E77186"/>
    <w:rsid w:val="00E772BF"/>
    <w:rsid w:val="00E774A2"/>
    <w:rsid w:val="00E77594"/>
    <w:rsid w:val="00E77732"/>
    <w:rsid w:val="00E7774A"/>
    <w:rsid w:val="00E777D9"/>
    <w:rsid w:val="00E77893"/>
    <w:rsid w:val="00E778BD"/>
    <w:rsid w:val="00E77D4D"/>
    <w:rsid w:val="00E77E48"/>
    <w:rsid w:val="00E77E6D"/>
    <w:rsid w:val="00E8028C"/>
    <w:rsid w:val="00E806E8"/>
    <w:rsid w:val="00E807D1"/>
    <w:rsid w:val="00E80D6C"/>
    <w:rsid w:val="00E80D91"/>
    <w:rsid w:val="00E80EE7"/>
    <w:rsid w:val="00E80F83"/>
    <w:rsid w:val="00E81052"/>
    <w:rsid w:val="00E81238"/>
    <w:rsid w:val="00E81287"/>
    <w:rsid w:val="00E812B3"/>
    <w:rsid w:val="00E813F8"/>
    <w:rsid w:val="00E818E5"/>
    <w:rsid w:val="00E81D55"/>
    <w:rsid w:val="00E81E94"/>
    <w:rsid w:val="00E81F82"/>
    <w:rsid w:val="00E820AD"/>
    <w:rsid w:val="00E822F4"/>
    <w:rsid w:val="00E822FF"/>
    <w:rsid w:val="00E82320"/>
    <w:rsid w:val="00E823BD"/>
    <w:rsid w:val="00E82400"/>
    <w:rsid w:val="00E82457"/>
    <w:rsid w:val="00E825D1"/>
    <w:rsid w:val="00E82742"/>
    <w:rsid w:val="00E82F17"/>
    <w:rsid w:val="00E83183"/>
    <w:rsid w:val="00E8340C"/>
    <w:rsid w:val="00E83413"/>
    <w:rsid w:val="00E83446"/>
    <w:rsid w:val="00E83896"/>
    <w:rsid w:val="00E839FA"/>
    <w:rsid w:val="00E83A57"/>
    <w:rsid w:val="00E83BAD"/>
    <w:rsid w:val="00E83E6B"/>
    <w:rsid w:val="00E83F83"/>
    <w:rsid w:val="00E83FC7"/>
    <w:rsid w:val="00E84057"/>
    <w:rsid w:val="00E840C8"/>
    <w:rsid w:val="00E84108"/>
    <w:rsid w:val="00E84144"/>
    <w:rsid w:val="00E84145"/>
    <w:rsid w:val="00E845D3"/>
    <w:rsid w:val="00E845E4"/>
    <w:rsid w:val="00E84898"/>
    <w:rsid w:val="00E84D69"/>
    <w:rsid w:val="00E8505F"/>
    <w:rsid w:val="00E85293"/>
    <w:rsid w:val="00E856AF"/>
    <w:rsid w:val="00E857FB"/>
    <w:rsid w:val="00E85826"/>
    <w:rsid w:val="00E85968"/>
    <w:rsid w:val="00E8596C"/>
    <w:rsid w:val="00E85C33"/>
    <w:rsid w:val="00E85DA8"/>
    <w:rsid w:val="00E85E76"/>
    <w:rsid w:val="00E85ED5"/>
    <w:rsid w:val="00E86180"/>
    <w:rsid w:val="00E861F4"/>
    <w:rsid w:val="00E86254"/>
    <w:rsid w:val="00E8676C"/>
    <w:rsid w:val="00E868C2"/>
    <w:rsid w:val="00E86A11"/>
    <w:rsid w:val="00E86AB3"/>
    <w:rsid w:val="00E86BA2"/>
    <w:rsid w:val="00E86C33"/>
    <w:rsid w:val="00E86D01"/>
    <w:rsid w:val="00E86EE4"/>
    <w:rsid w:val="00E86F97"/>
    <w:rsid w:val="00E86FB8"/>
    <w:rsid w:val="00E8713E"/>
    <w:rsid w:val="00E87183"/>
    <w:rsid w:val="00E8724C"/>
    <w:rsid w:val="00E872E6"/>
    <w:rsid w:val="00E87493"/>
    <w:rsid w:val="00E874E1"/>
    <w:rsid w:val="00E87943"/>
    <w:rsid w:val="00E87969"/>
    <w:rsid w:val="00E87992"/>
    <w:rsid w:val="00E87B4A"/>
    <w:rsid w:val="00E87BC6"/>
    <w:rsid w:val="00E87C39"/>
    <w:rsid w:val="00E87D85"/>
    <w:rsid w:val="00E87E69"/>
    <w:rsid w:val="00E87EDD"/>
    <w:rsid w:val="00E90026"/>
    <w:rsid w:val="00E90120"/>
    <w:rsid w:val="00E901DF"/>
    <w:rsid w:val="00E90244"/>
    <w:rsid w:val="00E902CD"/>
    <w:rsid w:val="00E9031B"/>
    <w:rsid w:val="00E908B2"/>
    <w:rsid w:val="00E910B4"/>
    <w:rsid w:val="00E913FB"/>
    <w:rsid w:val="00E91964"/>
    <w:rsid w:val="00E91983"/>
    <w:rsid w:val="00E91B87"/>
    <w:rsid w:val="00E91FF4"/>
    <w:rsid w:val="00E9203D"/>
    <w:rsid w:val="00E9212F"/>
    <w:rsid w:val="00E92509"/>
    <w:rsid w:val="00E9255D"/>
    <w:rsid w:val="00E925FF"/>
    <w:rsid w:val="00E92A6A"/>
    <w:rsid w:val="00E92AFC"/>
    <w:rsid w:val="00E92C84"/>
    <w:rsid w:val="00E92CA3"/>
    <w:rsid w:val="00E92DE3"/>
    <w:rsid w:val="00E92EC8"/>
    <w:rsid w:val="00E9349A"/>
    <w:rsid w:val="00E935F2"/>
    <w:rsid w:val="00E9364F"/>
    <w:rsid w:val="00E93828"/>
    <w:rsid w:val="00E93916"/>
    <w:rsid w:val="00E93919"/>
    <w:rsid w:val="00E93C3B"/>
    <w:rsid w:val="00E93D03"/>
    <w:rsid w:val="00E940B5"/>
    <w:rsid w:val="00E942A7"/>
    <w:rsid w:val="00E943C9"/>
    <w:rsid w:val="00E944C2"/>
    <w:rsid w:val="00E9459C"/>
    <w:rsid w:val="00E94984"/>
    <w:rsid w:val="00E94BBF"/>
    <w:rsid w:val="00E94CA4"/>
    <w:rsid w:val="00E94D46"/>
    <w:rsid w:val="00E94EAF"/>
    <w:rsid w:val="00E951D4"/>
    <w:rsid w:val="00E9534D"/>
    <w:rsid w:val="00E95488"/>
    <w:rsid w:val="00E9564E"/>
    <w:rsid w:val="00E958A5"/>
    <w:rsid w:val="00E959D1"/>
    <w:rsid w:val="00E95A07"/>
    <w:rsid w:val="00E95FAB"/>
    <w:rsid w:val="00E960A7"/>
    <w:rsid w:val="00E96117"/>
    <w:rsid w:val="00E9625C"/>
    <w:rsid w:val="00E962BD"/>
    <w:rsid w:val="00E963D5"/>
    <w:rsid w:val="00E96737"/>
    <w:rsid w:val="00E96A1A"/>
    <w:rsid w:val="00E96B77"/>
    <w:rsid w:val="00E96B78"/>
    <w:rsid w:val="00E96E50"/>
    <w:rsid w:val="00E9707F"/>
    <w:rsid w:val="00E973B6"/>
    <w:rsid w:val="00E97AAA"/>
    <w:rsid w:val="00E97B6F"/>
    <w:rsid w:val="00E97B73"/>
    <w:rsid w:val="00E97CEB"/>
    <w:rsid w:val="00E97D3F"/>
    <w:rsid w:val="00EA01FF"/>
    <w:rsid w:val="00EA0276"/>
    <w:rsid w:val="00EA04D8"/>
    <w:rsid w:val="00EA05D0"/>
    <w:rsid w:val="00EA087D"/>
    <w:rsid w:val="00EA089E"/>
    <w:rsid w:val="00EA0A20"/>
    <w:rsid w:val="00EA0EAF"/>
    <w:rsid w:val="00EA1422"/>
    <w:rsid w:val="00EA1602"/>
    <w:rsid w:val="00EA161C"/>
    <w:rsid w:val="00EA166E"/>
    <w:rsid w:val="00EA1786"/>
    <w:rsid w:val="00EA180E"/>
    <w:rsid w:val="00EA1885"/>
    <w:rsid w:val="00EA18F7"/>
    <w:rsid w:val="00EA193B"/>
    <w:rsid w:val="00EA1B0A"/>
    <w:rsid w:val="00EA1B67"/>
    <w:rsid w:val="00EA1DA4"/>
    <w:rsid w:val="00EA1DDD"/>
    <w:rsid w:val="00EA1E57"/>
    <w:rsid w:val="00EA1F81"/>
    <w:rsid w:val="00EA24CE"/>
    <w:rsid w:val="00EA253C"/>
    <w:rsid w:val="00EA254A"/>
    <w:rsid w:val="00EA282B"/>
    <w:rsid w:val="00EA2903"/>
    <w:rsid w:val="00EA2966"/>
    <w:rsid w:val="00EA2B3B"/>
    <w:rsid w:val="00EA2C1C"/>
    <w:rsid w:val="00EA2D0A"/>
    <w:rsid w:val="00EA354C"/>
    <w:rsid w:val="00EA364A"/>
    <w:rsid w:val="00EA3754"/>
    <w:rsid w:val="00EA3C8B"/>
    <w:rsid w:val="00EA3E02"/>
    <w:rsid w:val="00EA4097"/>
    <w:rsid w:val="00EA415E"/>
    <w:rsid w:val="00EA420B"/>
    <w:rsid w:val="00EA423F"/>
    <w:rsid w:val="00EA43E5"/>
    <w:rsid w:val="00EA444E"/>
    <w:rsid w:val="00EA48D9"/>
    <w:rsid w:val="00EA4D2E"/>
    <w:rsid w:val="00EA4D42"/>
    <w:rsid w:val="00EA4EA7"/>
    <w:rsid w:val="00EA4F0B"/>
    <w:rsid w:val="00EA4F70"/>
    <w:rsid w:val="00EA4FA2"/>
    <w:rsid w:val="00EA538C"/>
    <w:rsid w:val="00EA57BD"/>
    <w:rsid w:val="00EA5866"/>
    <w:rsid w:val="00EA5BA8"/>
    <w:rsid w:val="00EA5C89"/>
    <w:rsid w:val="00EA5D1E"/>
    <w:rsid w:val="00EA5F9A"/>
    <w:rsid w:val="00EA60EC"/>
    <w:rsid w:val="00EA6119"/>
    <w:rsid w:val="00EA61A1"/>
    <w:rsid w:val="00EA6357"/>
    <w:rsid w:val="00EA665D"/>
    <w:rsid w:val="00EA6728"/>
    <w:rsid w:val="00EA686A"/>
    <w:rsid w:val="00EA6BFD"/>
    <w:rsid w:val="00EA6F1A"/>
    <w:rsid w:val="00EA6F1C"/>
    <w:rsid w:val="00EA72A2"/>
    <w:rsid w:val="00EA74F1"/>
    <w:rsid w:val="00EA7651"/>
    <w:rsid w:val="00EA7B54"/>
    <w:rsid w:val="00EA7D37"/>
    <w:rsid w:val="00EA7E85"/>
    <w:rsid w:val="00EA7F5E"/>
    <w:rsid w:val="00EB02B6"/>
    <w:rsid w:val="00EB08D0"/>
    <w:rsid w:val="00EB090D"/>
    <w:rsid w:val="00EB0C45"/>
    <w:rsid w:val="00EB1009"/>
    <w:rsid w:val="00EB1196"/>
    <w:rsid w:val="00EB1302"/>
    <w:rsid w:val="00EB130F"/>
    <w:rsid w:val="00EB1400"/>
    <w:rsid w:val="00EB1AA3"/>
    <w:rsid w:val="00EB1B02"/>
    <w:rsid w:val="00EB21A3"/>
    <w:rsid w:val="00EB2727"/>
    <w:rsid w:val="00EB296F"/>
    <w:rsid w:val="00EB2991"/>
    <w:rsid w:val="00EB2CAF"/>
    <w:rsid w:val="00EB2D4B"/>
    <w:rsid w:val="00EB3061"/>
    <w:rsid w:val="00EB31EB"/>
    <w:rsid w:val="00EB32CA"/>
    <w:rsid w:val="00EB32DD"/>
    <w:rsid w:val="00EB336B"/>
    <w:rsid w:val="00EB362D"/>
    <w:rsid w:val="00EB3CE1"/>
    <w:rsid w:val="00EB3EB9"/>
    <w:rsid w:val="00EB3FBE"/>
    <w:rsid w:val="00EB417F"/>
    <w:rsid w:val="00EB4269"/>
    <w:rsid w:val="00EB4479"/>
    <w:rsid w:val="00EB454C"/>
    <w:rsid w:val="00EB45A3"/>
    <w:rsid w:val="00EB4637"/>
    <w:rsid w:val="00EB46DE"/>
    <w:rsid w:val="00EB4D5B"/>
    <w:rsid w:val="00EB50C1"/>
    <w:rsid w:val="00EB52F4"/>
    <w:rsid w:val="00EB53DF"/>
    <w:rsid w:val="00EB5A99"/>
    <w:rsid w:val="00EB5ADC"/>
    <w:rsid w:val="00EB5D83"/>
    <w:rsid w:val="00EB5E18"/>
    <w:rsid w:val="00EB5E84"/>
    <w:rsid w:val="00EB5ED5"/>
    <w:rsid w:val="00EB645E"/>
    <w:rsid w:val="00EB64A2"/>
    <w:rsid w:val="00EB6BC1"/>
    <w:rsid w:val="00EB6C8C"/>
    <w:rsid w:val="00EB6CC2"/>
    <w:rsid w:val="00EB71D4"/>
    <w:rsid w:val="00EB7390"/>
    <w:rsid w:val="00EB74B0"/>
    <w:rsid w:val="00EB74D3"/>
    <w:rsid w:val="00EB75C9"/>
    <w:rsid w:val="00EB777A"/>
    <w:rsid w:val="00EB7800"/>
    <w:rsid w:val="00EB7A76"/>
    <w:rsid w:val="00EB7C88"/>
    <w:rsid w:val="00EB7D1D"/>
    <w:rsid w:val="00EC0376"/>
    <w:rsid w:val="00EC06BF"/>
    <w:rsid w:val="00EC08CE"/>
    <w:rsid w:val="00EC0AC3"/>
    <w:rsid w:val="00EC0B2F"/>
    <w:rsid w:val="00EC0CF7"/>
    <w:rsid w:val="00EC0D62"/>
    <w:rsid w:val="00EC0D8E"/>
    <w:rsid w:val="00EC0EAE"/>
    <w:rsid w:val="00EC119F"/>
    <w:rsid w:val="00EC1229"/>
    <w:rsid w:val="00EC1290"/>
    <w:rsid w:val="00EC17EE"/>
    <w:rsid w:val="00EC1F05"/>
    <w:rsid w:val="00EC1F19"/>
    <w:rsid w:val="00EC2020"/>
    <w:rsid w:val="00EC20DC"/>
    <w:rsid w:val="00EC24F5"/>
    <w:rsid w:val="00EC2530"/>
    <w:rsid w:val="00EC2655"/>
    <w:rsid w:val="00EC2665"/>
    <w:rsid w:val="00EC26F3"/>
    <w:rsid w:val="00EC2843"/>
    <w:rsid w:val="00EC2A3B"/>
    <w:rsid w:val="00EC2D89"/>
    <w:rsid w:val="00EC2DFA"/>
    <w:rsid w:val="00EC2E2E"/>
    <w:rsid w:val="00EC2F34"/>
    <w:rsid w:val="00EC300D"/>
    <w:rsid w:val="00EC3090"/>
    <w:rsid w:val="00EC30C9"/>
    <w:rsid w:val="00EC314E"/>
    <w:rsid w:val="00EC3411"/>
    <w:rsid w:val="00EC3466"/>
    <w:rsid w:val="00EC39DB"/>
    <w:rsid w:val="00EC39DE"/>
    <w:rsid w:val="00EC3B5C"/>
    <w:rsid w:val="00EC3C04"/>
    <w:rsid w:val="00EC3C96"/>
    <w:rsid w:val="00EC3CAA"/>
    <w:rsid w:val="00EC3CD4"/>
    <w:rsid w:val="00EC3E95"/>
    <w:rsid w:val="00EC3EBE"/>
    <w:rsid w:val="00EC3ED3"/>
    <w:rsid w:val="00EC3F41"/>
    <w:rsid w:val="00EC40A8"/>
    <w:rsid w:val="00EC412A"/>
    <w:rsid w:val="00EC4141"/>
    <w:rsid w:val="00EC41C2"/>
    <w:rsid w:val="00EC421D"/>
    <w:rsid w:val="00EC4337"/>
    <w:rsid w:val="00EC4531"/>
    <w:rsid w:val="00EC486B"/>
    <w:rsid w:val="00EC48F4"/>
    <w:rsid w:val="00EC4A17"/>
    <w:rsid w:val="00EC4A52"/>
    <w:rsid w:val="00EC4AB6"/>
    <w:rsid w:val="00EC4AC8"/>
    <w:rsid w:val="00EC4D6A"/>
    <w:rsid w:val="00EC4FF0"/>
    <w:rsid w:val="00EC523C"/>
    <w:rsid w:val="00EC5288"/>
    <w:rsid w:val="00EC53C0"/>
    <w:rsid w:val="00EC5563"/>
    <w:rsid w:val="00EC5D27"/>
    <w:rsid w:val="00EC5D5A"/>
    <w:rsid w:val="00EC5E29"/>
    <w:rsid w:val="00EC60E8"/>
    <w:rsid w:val="00EC62AD"/>
    <w:rsid w:val="00EC62D3"/>
    <w:rsid w:val="00EC632C"/>
    <w:rsid w:val="00EC6358"/>
    <w:rsid w:val="00EC662E"/>
    <w:rsid w:val="00EC6670"/>
    <w:rsid w:val="00EC676E"/>
    <w:rsid w:val="00EC6872"/>
    <w:rsid w:val="00EC69A7"/>
    <w:rsid w:val="00EC6B4C"/>
    <w:rsid w:val="00EC6B56"/>
    <w:rsid w:val="00EC6BDE"/>
    <w:rsid w:val="00EC6CF0"/>
    <w:rsid w:val="00EC6E9E"/>
    <w:rsid w:val="00EC70CC"/>
    <w:rsid w:val="00EC70D1"/>
    <w:rsid w:val="00EC7170"/>
    <w:rsid w:val="00EC7226"/>
    <w:rsid w:val="00EC728A"/>
    <w:rsid w:val="00EC735F"/>
    <w:rsid w:val="00EC7496"/>
    <w:rsid w:val="00EC7ACA"/>
    <w:rsid w:val="00EC7CF5"/>
    <w:rsid w:val="00EC7D21"/>
    <w:rsid w:val="00EC7F8B"/>
    <w:rsid w:val="00ED00B1"/>
    <w:rsid w:val="00ED0104"/>
    <w:rsid w:val="00ED014D"/>
    <w:rsid w:val="00ED01AE"/>
    <w:rsid w:val="00ED050A"/>
    <w:rsid w:val="00ED0ADE"/>
    <w:rsid w:val="00ED0D2D"/>
    <w:rsid w:val="00ED13DE"/>
    <w:rsid w:val="00ED148D"/>
    <w:rsid w:val="00ED1689"/>
    <w:rsid w:val="00ED1A94"/>
    <w:rsid w:val="00ED1D28"/>
    <w:rsid w:val="00ED1F9A"/>
    <w:rsid w:val="00ED1FB7"/>
    <w:rsid w:val="00ED2129"/>
    <w:rsid w:val="00ED2150"/>
    <w:rsid w:val="00ED2794"/>
    <w:rsid w:val="00ED27C6"/>
    <w:rsid w:val="00ED2A74"/>
    <w:rsid w:val="00ED2AC3"/>
    <w:rsid w:val="00ED2CAB"/>
    <w:rsid w:val="00ED2D0D"/>
    <w:rsid w:val="00ED2EAF"/>
    <w:rsid w:val="00ED325C"/>
    <w:rsid w:val="00ED331A"/>
    <w:rsid w:val="00ED3437"/>
    <w:rsid w:val="00ED3597"/>
    <w:rsid w:val="00ED35C9"/>
    <w:rsid w:val="00ED3812"/>
    <w:rsid w:val="00ED3875"/>
    <w:rsid w:val="00ED3B6B"/>
    <w:rsid w:val="00ED3D3D"/>
    <w:rsid w:val="00ED3D9E"/>
    <w:rsid w:val="00ED3F61"/>
    <w:rsid w:val="00ED44AC"/>
    <w:rsid w:val="00ED47B6"/>
    <w:rsid w:val="00ED48A9"/>
    <w:rsid w:val="00ED4A75"/>
    <w:rsid w:val="00ED4AC4"/>
    <w:rsid w:val="00ED4C3F"/>
    <w:rsid w:val="00ED4D9B"/>
    <w:rsid w:val="00ED4F8D"/>
    <w:rsid w:val="00ED54D2"/>
    <w:rsid w:val="00ED5936"/>
    <w:rsid w:val="00ED621D"/>
    <w:rsid w:val="00ED633F"/>
    <w:rsid w:val="00ED6D01"/>
    <w:rsid w:val="00ED7250"/>
    <w:rsid w:val="00ED72E2"/>
    <w:rsid w:val="00ED7752"/>
    <w:rsid w:val="00ED7A66"/>
    <w:rsid w:val="00EE0125"/>
    <w:rsid w:val="00EE029B"/>
    <w:rsid w:val="00EE02A0"/>
    <w:rsid w:val="00EE03AB"/>
    <w:rsid w:val="00EE067B"/>
    <w:rsid w:val="00EE0852"/>
    <w:rsid w:val="00EE0B0B"/>
    <w:rsid w:val="00EE0DB8"/>
    <w:rsid w:val="00EE0E1D"/>
    <w:rsid w:val="00EE0E37"/>
    <w:rsid w:val="00EE10EB"/>
    <w:rsid w:val="00EE14DE"/>
    <w:rsid w:val="00EE1DE3"/>
    <w:rsid w:val="00EE1DFF"/>
    <w:rsid w:val="00EE2313"/>
    <w:rsid w:val="00EE235D"/>
    <w:rsid w:val="00EE23B6"/>
    <w:rsid w:val="00EE24CA"/>
    <w:rsid w:val="00EE256C"/>
    <w:rsid w:val="00EE2953"/>
    <w:rsid w:val="00EE296F"/>
    <w:rsid w:val="00EE29B3"/>
    <w:rsid w:val="00EE2C7D"/>
    <w:rsid w:val="00EE31A1"/>
    <w:rsid w:val="00EE31D4"/>
    <w:rsid w:val="00EE341A"/>
    <w:rsid w:val="00EE39EC"/>
    <w:rsid w:val="00EE3AD0"/>
    <w:rsid w:val="00EE3C5A"/>
    <w:rsid w:val="00EE40D2"/>
    <w:rsid w:val="00EE445F"/>
    <w:rsid w:val="00EE4589"/>
    <w:rsid w:val="00EE45BD"/>
    <w:rsid w:val="00EE47C3"/>
    <w:rsid w:val="00EE4CF0"/>
    <w:rsid w:val="00EE4F5A"/>
    <w:rsid w:val="00EE507C"/>
    <w:rsid w:val="00EE50F4"/>
    <w:rsid w:val="00EE50FB"/>
    <w:rsid w:val="00EE51D2"/>
    <w:rsid w:val="00EE51E6"/>
    <w:rsid w:val="00EE548C"/>
    <w:rsid w:val="00EE561D"/>
    <w:rsid w:val="00EE571F"/>
    <w:rsid w:val="00EE5A61"/>
    <w:rsid w:val="00EE5BAE"/>
    <w:rsid w:val="00EE6152"/>
    <w:rsid w:val="00EE646F"/>
    <w:rsid w:val="00EE6A60"/>
    <w:rsid w:val="00EE6CAA"/>
    <w:rsid w:val="00EE6D1C"/>
    <w:rsid w:val="00EE6D5C"/>
    <w:rsid w:val="00EE707D"/>
    <w:rsid w:val="00EE720E"/>
    <w:rsid w:val="00EE7268"/>
    <w:rsid w:val="00EE72A4"/>
    <w:rsid w:val="00EE7393"/>
    <w:rsid w:val="00EE7401"/>
    <w:rsid w:val="00EE77F9"/>
    <w:rsid w:val="00EE7944"/>
    <w:rsid w:val="00EE7A01"/>
    <w:rsid w:val="00EE7CC1"/>
    <w:rsid w:val="00EE7EF0"/>
    <w:rsid w:val="00EF0114"/>
    <w:rsid w:val="00EF01DD"/>
    <w:rsid w:val="00EF028E"/>
    <w:rsid w:val="00EF0364"/>
    <w:rsid w:val="00EF0699"/>
    <w:rsid w:val="00EF0A1C"/>
    <w:rsid w:val="00EF0A6E"/>
    <w:rsid w:val="00EF0EB1"/>
    <w:rsid w:val="00EF12C7"/>
    <w:rsid w:val="00EF130B"/>
    <w:rsid w:val="00EF19D8"/>
    <w:rsid w:val="00EF19E4"/>
    <w:rsid w:val="00EF1D45"/>
    <w:rsid w:val="00EF1D68"/>
    <w:rsid w:val="00EF2371"/>
    <w:rsid w:val="00EF27E8"/>
    <w:rsid w:val="00EF29A1"/>
    <w:rsid w:val="00EF2A43"/>
    <w:rsid w:val="00EF2A45"/>
    <w:rsid w:val="00EF2ACE"/>
    <w:rsid w:val="00EF308E"/>
    <w:rsid w:val="00EF31D7"/>
    <w:rsid w:val="00EF35AB"/>
    <w:rsid w:val="00EF3758"/>
    <w:rsid w:val="00EF393D"/>
    <w:rsid w:val="00EF395B"/>
    <w:rsid w:val="00EF3BE8"/>
    <w:rsid w:val="00EF3C65"/>
    <w:rsid w:val="00EF3CB7"/>
    <w:rsid w:val="00EF3E66"/>
    <w:rsid w:val="00EF3E92"/>
    <w:rsid w:val="00EF3EC3"/>
    <w:rsid w:val="00EF3EF4"/>
    <w:rsid w:val="00EF408C"/>
    <w:rsid w:val="00EF44AB"/>
    <w:rsid w:val="00EF45B0"/>
    <w:rsid w:val="00EF469E"/>
    <w:rsid w:val="00EF4A80"/>
    <w:rsid w:val="00EF4ED3"/>
    <w:rsid w:val="00EF5020"/>
    <w:rsid w:val="00EF5175"/>
    <w:rsid w:val="00EF57E4"/>
    <w:rsid w:val="00EF6384"/>
    <w:rsid w:val="00EF64A9"/>
    <w:rsid w:val="00EF64E7"/>
    <w:rsid w:val="00EF6601"/>
    <w:rsid w:val="00EF6674"/>
    <w:rsid w:val="00EF6AC0"/>
    <w:rsid w:val="00EF7154"/>
    <w:rsid w:val="00EF71F2"/>
    <w:rsid w:val="00EF765F"/>
    <w:rsid w:val="00EF7692"/>
    <w:rsid w:val="00EF7908"/>
    <w:rsid w:val="00EF7ACA"/>
    <w:rsid w:val="00EF7D24"/>
    <w:rsid w:val="00EF7F03"/>
    <w:rsid w:val="00F00191"/>
    <w:rsid w:val="00F001CB"/>
    <w:rsid w:val="00F005A3"/>
    <w:rsid w:val="00F00771"/>
    <w:rsid w:val="00F00C82"/>
    <w:rsid w:val="00F0108D"/>
    <w:rsid w:val="00F0124B"/>
    <w:rsid w:val="00F013D9"/>
    <w:rsid w:val="00F015C5"/>
    <w:rsid w:val="00F0169A"/>
    <w:rsid w:val="00F01928"/>
    <w:rsid w:val="00F01C15"/>
    <w:rsid w:val="00F01DA5"/>
    <w:rsid w:val="00F01F21"/>
    <w:rsid w:val="00F02229"/>
    <w:rsid w:val="00F02435"/>
    <w:rsid w:val="00F02455"/>
    <w:rsid w:val="00F027BB"/>
    <w:rsid w:val="00F027F6"/>
    <w:rsid w:val="00F02856"/>
    <w:rsid w:val="00F02C83"/>
    <w:rsid w:val="00F02C8F"/>
    <w:rsid w:val="00F02CCC"/>
    <w:rsid w:val="00F02D61"/>
    <w:rsid w:val="00F02E87"/>
    <w:rsid w:val="00F030FA"/>
    <w:rsid w:val="00F0335F"/>
    <w:rsid w:val="00F033BC"/>
    <w:rsid w:val="00F0346A"/>
    <w:rsid w:val="00F03563"/>
    <w:rsid w:val="00F0363B"/>
    <w:rsid w:val="00F036F3"/>
    <w:rsid w:val="00F0371E"/>
    <w:rsid w:val="00F037AC"/>
    <w:rsid w:val="00F0388B"/>
    <w:rsid w:val="00F039D0"/>
    <w:rsid w:val="00F03B8A"/>
    <w:rsid w:val="00F0406F"/>
    <w:rsid w:val="00F0412E"/>
    <w:rsid w:val="00F04188"/>
    <w:rsid w:val="00F0451A"/>
    <w:rsid w:val="00F04ADA"/>
    <w:rsid w:val="00F04C93"/>
    <w:rsid w:val="00F04CE3"/>
    <w:rsid w:val="00F04DA6"/>
    <w:rsid w:val="00F04EF3"/>
    <w:rsid w:val="00F05318"/>
    <w:rsid w:val="00F05391"/>
    <w:rsid w:val="00F056C7"/>
    <w:rsid w:val="00F05E08"/>
    <w:rsid w:val="00F06169"/>
    <w:rsid w:val="00F06365"/>
    <w:rsid w:val="00F0648D"/>
    <w:rsid w:val="00F06492"/>
    <w:rsid w:val="00F064F5"/>
    <w:rsid w:val="00F06A46"/>
    <w:rsid w:val="00F06BCF"/>
    <w:rsid w:val="00F06D10"/>
    <w:rsid w:val="00F070A3"/>
    <w:rsid w:val="00F070B1"/>
    <w:rsid w:val="00F07128"/>
    <w:rsid w:val="00F07141"/>
    <w:rsid w:val="00F071F7"/>
    <w:rsid w:val="00F074F4"/>
    <w:rsid w:val="00F07670"/>
    <w:rsid w:val="00F079C3"/>
    <w:rsid w:val="00F07AAE"/>
    <w:rsid w:val="00F07C71"/>
    <w:rsid w:val="00F07E73"/>
    <w:rsid w:val="00F07E9D"/>
    <w:rsid w:val="00F07F5F"/>
    <w:rsid w:val="00F103B1"/>
    <w:rsid w:val="00F10441"/>
    <w:rsid w:val="00F10623"/>
    <w:rsid w:val="00F10803"/>
    <w:rsid w:val="00F108DB"/>
    <w:rsid w:val="00F11012"/>
    <w:rsid w:val="00F112BA"/>
    <w:rsid w:val="00F116A5"/>
    <w:rsid w:val="00F1176C"/>
    <w:rsid w:val="00F11A0A"/>
    <w:rsid w:val="00F12010"/>
    <w:rsid w:val="00F12082"/>
    <w:rsid w:val="00F122F6"/>
    <w:rsid w:val="00F1270E"/>
    <w:rsid w:val="00F12975"/>
    <w:rsid w:val="00F12AD7"/>
    <w:rsid w:val="00F12BCE"/>
    <w:rsid w:val="00F12C4C"/>
    <w:rsid w:val="00F12CDC"/>
    <w:rsid w:val="00F12DED"/>
    <w:rsid w:val="00F12E35"/>
    <w:rsid w:val="00F12FF9"/>
    <w:rsid w:val="00F130DC"/>
    <w:rsid w:val="00F13101"/>
    <w:rsid w:val="00F13229"/>
    <w:rsid w:val="00F13233"/>
    <w:rsid w:val="00F132B9"/>
    <w:rsid w:val="00F137EE"/>
    <w:rsid w:val="00F138A8"/>
    <w:rsid w:val="00F138CF"/>
    <w:rsid w:val="00F13AE9"/>
    <w:rsid w:val="00F13F84"/>
    <w:rsid w:val="00F13FF5"/>
    <w:rsid w:val="00F1444F"/>
    <w:rsid w:val="00F1466F"/>
    <w:rsid w:val="00F1495F"/>
    <w:rsid w:val="00F149F7"/>
    <w:rsid w:val="00F14AFC"/>
    <w:rsid w:val="00F14BDF"/>
    <w:rsid w:val="00F14C47"/>
    <w:rsid w:val="00F15168"/>
    <w:rsid w:val="00F15193"/>
    <w:rsid w:val="00F15284"/>
    <w:rsid w:val="00F1552C"/>
    <w:rsid w:val="00F15573"/>
    <w:rsid w:val="00F157F5"/>
    <w:rsid w:val="00F15AB5"/>
    <w:rsid w:val="00F15AD0"/>
    <w:rsid w:val="00F15CFC"/>
    <w:rsid w:val="00F15EF5"/>
    <w:rsid w:val="00F15F40"/>
    <w:rsid w:val="00F161F6"/>
    <w:rsid w:val="00F16473"/>
    <w:rsid w:val="00F16629"/>
    <w:rsid w:val="00F16B03"/>
    <w:rsid w:val="00F16B71"/>
    <w:rsid w:val="00F16BCA"/>
    <w:rsid w:val="00F16BFB"/>
    <w:rsid w:val="00F16E2A"/>
    <w:rsid w:val="00F16E36"/>
    <w:rsid w:val="00F171BC"/>
    <w:rsid w:val="00F1738F"/>
    <w:rsid w:val="00F17534"/>
    <w:rsid w:val="00F17546"/>
    <w:rsid w:val="00F1760D"/>
    <w:rsid w:val="00F1777D"/>
    <w:rsid w:val="00F17814"/>
    <w:rsid w:val="00F178B3"/>
    <w:rsid w:val="00F17932"/>
    <w:rsid w:val="00F1796E"/>
    <w:rsid w:val="00F17C52"/>
    <w:rsid w:val="00F17C5F"/>
    <w:rsid w:val="00F17CC2"/>
    <w:rsid w:val="00F17E9E"/>
    <w:rsid w:val="00F2005E"/>
    <w:rsid w:val="00F202F6"/>
    <w:rsid w:val="00F20362"/>
    <w:rsid w:val="00F203BE"/>
    <w:rsid w:val="00F20528"/>
    <w:rsid w:val="00F2063B"/>
    <w:rsid w:val="00F20731"/>
    <w:rsid w:val="00F20E79"/>
    <w:rsid w:val="00F20F0D"/>
    <w:rsid w:val="00F21444"/>
    <w:rsid w:val="00F214FA"/>
    <w:rsid w:val="00F217CE"/>
    <w:rsid w:val="00F218CB"/>
    <w:rsid w:val="00F218E8"/>
    <w:rsid w:val="00F21902"/>
    <w:rsid w:val="00F21DE8"/>
    <w:rsid w:val="00F2222D"/>
    <w:rsid w:val="00F22497"/>
    <w:rsid w:val="00F225C7"/>
    <w:rsid w:val="00F226A4"/>
    <w:rsid w:val="00F22AF1"/>
    <w:rsid w:val="00F22B48"/>
    <w:rsid w:val="00F22DEB"/>
    <w:rsid w:val="00F230DD"/>
    <w:rsid w:val="00F23159"/>
    <w:rsid w:val="00F23415"/>
    <w:rsid w:val="00F234E6"/>
    <w:rsid w:val="00F23B5B"/>
    <w:rsid w:val="00F23BB7"/>
    <w:rsid w:val="00F23CB7"/>
    <w:rsid w:val="00F23DF4"/>
    <w:rsid w:val="00F23E11"/>
    <w:rsid w:val="00F240A6"/>
    <w:rsid w:val="00F24220"/>
    <w:rsid w:val="00F24348"/>
    <w:rsid w:val="00F24453"/>
    <w:rsid w:val="00F2473F"/>
    <w:rsid w:val="00F247D5"/>
    <w:rsid w:val="00F2488F"/>
    <w:rsid w:val="00F24B9A"/>
    <w:rsid w:val="00F24BE3"/>
    <w:rsid w:val="00F25173"/>
    <w:rsid w:val="00F25179"/>
    <w:rsid w:val="00F251C2"/>
    <w:rsid w:val="00F256C8"/>
    <w:rsid w:val="00F25850"/>
    <w:rsid w:val="00F25A6D"/>
    <w:rsid w:val="00F25D66"/>
    <w:rsid w:val="00F25F56"/>
    <w:rsid w:val="00F25F5D"/>
    <w:rsid w:val="00F26048"/>
    <w:rsid w:val="00F260A8"/>
    <w:rsid w:val="00F26350"/>
    <w:rsid w:val="00F26539"/>
    <w:rsid w:val="00F26556"/>
    <w:rsid w:val="00F265B7"/>
    <w:rsid w:val="00F267FB"/>
    <w:rsid w:val="00F26BB1"/>
    <w:rsid w:val="00F271A6"/>
    <w:rsid w:val="00F27427"/>
    <w:rsid w:val="00F276B8"/>
    <w:rsid w:val="00F27798"/>
    <w:rsid w:val="00F279C8"/>
    <w:rsid w:val="00F27AA9"/>
    <w:rsid w:val="00F27B42"/>
    <w:rsid w:val="00F27C8D"/>
    <w:rsid w:val="00F27C8F"/>
    <w:rsid w:val="00F30027"/>
    <w:rsid w:val="00F302C0"/>
    <w:rsid w:val="00F302E4"/>
    <w:rsid w:val="00F303D7"/>
    <w:rsid w:val="00F304B7"/>
    <w:rsid w:val="00F30572"/>
    <w:rsid w:val="00F307B8"/>
    <w:rsid w:val="00F30AF6"/>
    <w:rsid w:val="00F30C8D"/>
    <w:rsid w:val="00F30C9F"/>
    <w:rsid w:val="00F30CDD"/>
    <w:rsid w:val="00F30E98"/>
    <w:rsid w:val="00F30ED7"/>
    <w:rsid w:val="00F30F02"/>
    <w:rsid w:val="00F3121E"/>
    <w:rsid w:val="00F314E0"/>
    <w:rsid w:val="00F314EF"/>
    <w:rsid w:val="00F3154A"/>
    <w:rsid w:val="00F315BF"/>
    <w:rsid w:val="00F3191B"/>
    <w:rsid w:val="00F319DE"/>
    <w:rsid w:val="00F31E58"/>
    <w:rsid w:val="00F31ED0"/>
    <w:rsid w:val="00F320A6"/>
    <w:rsid w:val="00F32188"/>
    <w:rsid w:val="00F32292"/>
    <w:rsid w:val="00F326A5"/>
    <w:rsid w:val="00F328E5"/>
    <w:rsid w:val="00F3292E"/>
    <w:rsid w:val="00F32981"/>
    <w:rsid w:val="00F32992"/>
    <w:rsid w:val="00F32AB5"/>
    <w:rsid w:val="00F32B4C"/>
    <w:rsid w:val="00F32D64"/>
    <w:rsid w:val="00F32D73"/>
    <w:rsid w:val="00F33270"/>
    <w:rsid w:val="00F33627"/>
    <w:rsid w:val="00F33659"/>
    <w:rsid w:val="00F339F8"/>
    <w:rsid w:val="00F33A06"/>
    <w:rsid w:val="00F33A79"/>
    <w:rsid w:val="00F33B40"/>
    <w:rsid w:val="00F33CAE"/>
    <w:rsid w:val="00F33E68"/>
    <w:rsid w:val="00F33F64"/>
    <w:rsid w:val="00F33FA1"/>
    <w:rsid w:val="00F3444C"/>
    <w:rsid w:val="00F3445C"/>
    <w:rsid w:val="00F344CA"/>
    <w:rsid w:val="00F346DB"/>
    <w:rsid w:val="00F34805"/>
    <w:rsid w:val="00F34847"/>
    <w:rsid w:val="00F34966"/>
    <w:rsid w:val="00F34A1D"/>
    <w:rsid w:val="00F34E69"/>
    <w:rsid w:val="00F350B7"/>
    <w:rsid w:val="00F35156"/>
    <w:rsid w:val="00F3516D"/>
    <w:rsid w:val="00F35339"/>
    <w:rsid w:val="00F35567"/>
    <w:rsid w:val="00F35666"/>
    <w:rsid w:val="00F35A66"/>
    <w:rsid w:val="00F35C1D"/>
    <w:rsid w:val="00F35D63"/>
    <w:rsid w:val="00F35E6F"/>
    <w:rsid w:val="00F35FE6"/>
    <w:rsid w:val="00F36078"/>
    <w:rsid w:val="00F36126"/>
    <w:rsid w:val="00F361B5"/>
    <w:rsid w:val="00F362FB"/>
    <w:rsid w:val="00F36693"/>
    <w:rsid w:val="00F36909"/>
    <w:rsid w:val="00F369D9"/>
    <w:rsid w:val="00F36E9D"/>
    <w:rsid w:val="00F3715A"/>
    <w:rsid w:val="00F371BC"/>
    <w:rsid w:val="00F37C0F"/>
    <w:rsid w:val="00F4043B"/>
    <w:rsid w:val="00F4052A"/>
    <w:rsid w:val="00F40534"/>
    <w:rsid w:val="00F40738"/>
    <w:rsid w:val="00F40A27"/>
    <w:rsid w:val="00F40CAE"/>
    <w:rsid w:val="00F40CE4"/>
    <w:rsid w:val="00F40E01"/>
    <w:rsid w:val="00F40E6B"/>
    <w:rsid w:val="00F41051"/>
    <w:rsid w:val="00F41082"/>
    <w:rsid w:val="00F416D6"/>
    <w:rsid w:val="00F41A61"/>
    <w:rsid w:val="00F41DC1"/>
    <w:rsid w:val="00F41EA8"/>
    <w:rsid w:val="00F41F02"/>
    <w:rsid w:val="00F41F37"/>
    <w:rsid w:val="00F41FFD"/>
    <w:rsid w:val="00F4245D"/>
    <w:rsid w:val="00F42794"/>
    <w:rsid w:val="00F428E4"/>
    <w:rsid w:val="00F42B91"/>
    <w:rsid w:val="00F42D82"/>
    <w:rsid w:val="00F431C3"/>
    <w:rsid w:val="00F4322E"/>
    <w:rsid w:val="00F43631"/>
    <w:rsid w:val="00F43692"/>
    <w:rsid w:val="00F438B4"/>
    <w:rsid w:val="00F43B42"/>
    <w:rsid w:val="00F43BC5"/>
    <w:rsid w:val="00F43DE8"/>
    <w:rsid w:val="00F441C4"/>
    <w:rsid w:val="00F4485B"/>
    <w:rsid w:val="00F44AFF"/>
    <w:rsid w:val="00F44B4F"/>
    <w:rsid w:val="00F45841"/>
    <w:rsid w:val="00F45B13"/>
    <w:rsid w:val="00F45B7B"/>
    <w:rsid w:val="00F45C2A"/>
    <w:rsid w:val="00F4600D"/>
    <w:rsid w:val="00F46096"/>
    <w:rsid w:val="00F4649F"/>
    <w:rsid w:val="00F46503"/>
    <w:rsid w:val="00F46505"/>
    <w:rsid w:val="00F46682"/>
    <w:rsid w:val="00F4683E"/>
    <w:rsid w:val="00F46FD4"/>
    <w:rsid w:val="00F471B9"/>
    <w:rsid w:val="00F47334"/>
    <w:rsid w:val="00F47622"/>
    <w:rsid w:val="00F4765F"/>
    <w:rsid w:val="00F4797B"/>
    <w:rsid w:val="00F47D6B"/>
    <w:rsid w:val="00F47E2B"/>
    <w:rsid w:val="00F504A4"/>
    <w:rsid w:val="00F504F0"/>
    <w:rsid w:val="00F50507"/>
    <w:rsid w:val="00F505F1"/>
    <w:rsid w:val="00F506B3"/>
    <w:rsid w:val="00F50760"/>
    <w:rsid w:val="00F50835"/>
    <w:rsid w:val="00F50A15"/>
    <w:rsid w:val="00F50F4C"/>
    <w:rsid w:val="00F50FD0"/>
    <w:rsid w:val="00F51079"/>
    <w:rsid w:val="00F510D6"/>
    <w:rsid w:val="00F513A0"/>
    <w:rsid w:val="00F514E9"/>
    <w:rsid w:val="00F5161C"/>
    <w:rsid w:val="00F51A5C"/>
    <w:rsid w:val="00F51AE4"/>
    <w:rsid w:val="00F51B17"/>
    <w:rsid w:val="00F51B69"/>
    <w:rsid w:val="00F51CB0"/>
    <w:rsid w:val="00F51D73"/>
    <w:rsid w:val="00F51F34"/>
    <w:rsid w:val="00F5208F"/>
    <w:rsid w:val="00F5219E"/>
    <w:rsid w:val="00F52776"/>
    <w:rsid w:val="00F528DC"/>
    <w:rsid w:val="00F52990"/>
    <w:rsid w:val="00F52A00"/>
    <w:rsid w:val="00F52AA7"/>
    <w:rsid w:val="00F52D21"/>
    <w:rsid w:val="00F52F0B"/>
    <w:rsid w:val="00F52F35"/>
    <w:rsid w:val="00F531AE"/>
    <w:rsid w:val="00F5334D"/>
    <w:rsid w:val="00F5397B"/>
    <w:rsid w:val="00F539A8"/>
    <w:rsid w:val="00F53CBB"/>
    <w:rsid w:val="00F53E5F"/>
    <w:rsid w:val="00F53F98"/>
    <w:rsid w:val="00F540DD"/>
    <w:rsid w:val="00F5414D"/>
    <w:rsid w:val="00F54592"/>
    <w:rsid w:val="00F54929"/>
    <w:rsid w:val="00F54A93"/>
    <w:rsid w:val="00F54AB7"/>
    <w:rsid w:val="00F54BBF"/>
    <w:rsid w:val="00F54DCD"/>
    <w:rsid w:val="00F5532D"/>
    <w:rsid w:val="00F55498"/>
    <w:rsid w:val="00F55579"/>
    <w:rsid w:val="00F55782"/>
    <w:rsid w:val="00F55A61"/>
    <w:rsid w:val="00F55E9D"/>
    <w:rsid w:val="00F55EEE"/>
    <w:rsid w:val="00F56537"/>
    <w:rsid w:val="00F56628"/>
    <w:rsid w:val="00F566CC"/>
    <w:rsid w:val="00F5694C"/>
    <w:rsid w:val="00F569F9"/>
    <w:rsid w:val="00F56AD3"/>
    <w:rsid w:val="00F56FFA"/>
    <w:rsid w:val="00F5713E"/>
    <w:rsid w:val="00F5739B"/>
    <w:rsid w:val="00F573FF"/>
    <w:rsid w:val="00F57438"/>
    <w:rsid w:val="00F575F9"/>
    <w:rsid w:val="00F5769A"/>
    <w:rsid w:val="00F6030D"/>
    <w:rsid w:val="00F603C0"/>
    <w:rsid w:val="00F6052C"/>
    <w:rsid w:val="00F60710"/>
    <w:rsid w:val="00F6077E"/>
    <w:rsid w:val="00F608BC"/>
    <w:rsid w:val="00F60981"/>
    <w:rsid w:val="00F60ACD"/>
    <w:rsid w:val="00F60D4F"/>
    <w:rsid w:val="00F615BD"/>
    <w:rsid w:val="00F619D0"/>
    <w:rsid w:val="00F61AA0"/>
    <w:rsid w:val="00F61DCF"/>
    <w:rsid w:val="00F6220E"/>
    <w:rsid w:val="00F624F8"/>
    <w:rsid w:val="00F626FC"/>
    <w:rsid w:val="00F6275D"/>
    <w:rsid w:val="00F628AC"/>
    <w:rsid w:val="00F6296A"/>
    <w:rsid w:val="00F62A0A"/>
    <w:rsid w:val="00F62D9B"/>
    <w:rsid w:val="00F62FC2"/>
    <w:rsid w:val="00F630DE"/>
    <w:rsid w:val="00F63203"/>
    <w:rsid w:val="00F63656"/>
    <w:rsid w:val="00F6367E"/>
    <w:rsid w:val="00F6369A"/>
    <w:rsid w:val="00F6375C"/>
    <w:rsid w:val="00F639F1"/>
    <w:rsid w:val="00F63CD7"/>
    <w:rsid w:val="00F63F6B"/>
    <w:rsid w:val="00F64C61"/>
    <w:rsid w:val="00F64CD6"/>
    <w:rsid w:val="00F64CE4"/>
    <w:rsid w:val="00F64FC3"/>
    <w:rsid w:val="00F65191"/>
    <w:rsid w:val="00F6525D"/>
    <w:rsid w:val="00F652E2"/>
    <w:rsid w:val="00F65596"/>
    <w:rsid w:val="00F65916"/>
    <w:rsid w:val="00F65B86"/>
    <w:rsid w:val="00F66663"/>
    <w:rsid w:val="00F666A5"/>
    <w:rsid w:val="00F66742"/>
    <w:rsid w:val="00F6674D"/>
    <w:rsid w:val="00F66A61"/>
    <w:rsid w:val="00F66BD6"/>
    <w:rsid w:val="00F66F6B"/>
    <w:rsid w:val="00F671A4"/>
    <w:rsid w:val="00F6755B"/>
    <w:rsid w:val="00F67588"/>
    <w:rsid w:val="00F6767E"/>
    <w:rsid w:val="00F67BC2"/>
    <w:rsid w:val="00F67D12"/>
    <w:rsid w:val="00F67E2F"/>
    <w:rsid w:val="00F67F4F"/>
    <w:rsid w:val="00F67F71"/>
    <w:rsid w:val="00F7002F"/>
    <w:rsid w:val="00F702AC"/>
    <w:rsid w:val="00F703F2"/>
    <w:rsid w:val="00F70491"/>
    <w:rsid w:val="00F70527"/>
    <w:rsid w:val="00F70660"/>
    <w:rsid w:val="00F70AF9"/>
    <w:rsid w:val="00F70BB4"/>
    <w:rsid w:val="00F70C1B"/>
    <w:rsid w:val="00F70D5A"/>
    <w:rsid w:val="00F70E24"/>
    <w:rsid w:val="00F70E42"/>
    <w:rsid w:val="00F70E74"/>
    <w:rsid w:val="00F70F6F"/>
    <w:rsid w:val="00F71055"/>
    <w:rsid w:val="00F71071"/>
    <w:rsid w:val="00F7118D"/>
    <w:rsid w:val="00F711E9"/>
    <w:rsid w:val="00F71237"/>
    <w:rsid w:val="00F71331"/>
    <w:rsid w:val="00F71465"/>
    <w:rsid w:val="00F7170E"/>
    <w:rsid w:val="00F718A2"/>
    <w:rsid w:val="00F719ED"/>
    <w:rsid w:val="00F71A22"/>
    <w:rsid w:val="00F71AE2"/>
    <w:rsid w:val="00F71BA0"/>
    <w:rsid w:val="00F71BB6"/>
    <w:rsid w:val="00F71C0A"/>
    <w:rsid w:val="00F71D20"/>
    <w:rsid w:val="00F71D62"/>
    <w:rsid w:val="00F71DA0"/>
    <w:rsid w:val="00F71F12"/>
    <w:rsid w:val="00F721FD"/>
    <w:rsid w:val="00F723DA"/>
    <w:rsid w:val="00F727DA"/>
    <w:rsid w:val="00F72A7E"/>
    <w:rsid w:val="00F72C78"/>
    <w:rsid w:val="00F72F35"/>
    <w:rsid w:val="00F7324B"/>
    <w:rsid w:val="00F7328B"/>
    <w:rsid w:val="00F7336E"/>
    <w:rsid w:val="00F736F7"/>
    <w:rsid w:val="00F73A26"/>
    <w:rsid w:val="00F73F2B"/>
    <w:rsid w:val="00F73F74"/>
    <w:rsid w:val="00F74283"/>
    <w:rsid w:val="00F74474"/>
    <w:rsid w:val="00F744F6"/>
    <w:rsid w:val="00F74615"/>
    <w:rsid w:val="00F74F38"/>
    <w:rsid w:val="00F74F97"/>
    <w:rsid w:val="00F75371"/>
    <w:rsid w:val="00F75490"/>
    <w:rsid w:val="00F75C58"/>
    <w:rsid w:val="00F75E69"/>
    <w:rsid w:val="00F76219"/>
    <w:rsid w:val="00F7636E"/>
    <w:rsid w:val="00F7666C"/>
    <w:rsid w:val="00F767E1"/>
    <w:rsid w:val="00F76852"/>
    <w:rsid w:val="00F76DC2"/>
    <w:rsid w:val="00F76F57"/>
    <w:rsid w:val="00F7701A"/>
    <w:rsid w:val="00F770FA"/>
    <w:rsid w:val="00F775E1"/>
    <w:rsid w:val="00F7765A"/>
    <w:rsid w:val="00F778B3"/>
    <w:rsid w:val="00F77D5C"/>
    <w:rsid w:val="00F77F43"/>
    <w:rsid w:val="00F80148"/>
    <w:rsid w:val="00F8052C"/>
    <w:rsid w:val="00F8074A"/>
    <w:rsid w:val="00F807FA"/>
    <w:rsid w:val="00F8080C"/>
    <w:rsid w:val="00F80948"/>
    <w:rsid w:val="00F809C7"/>
    <w:rsid w:val="00F80A15"/>
    <w:rsid w:val="00F80A40"/>
    <w:rsid w:val="00F80A88"/>
    <w:rsid w:val="00F80ABD"/>
    <w:rsid w:val="00F8105C"/>
    <w:rsid w:val="00F8137F"/>
    <w:rsid w:val="00F813A2"/>
    <w:rsid w:val="00F81710"/>
    <w:rsid w:val="00F818D6"/>
    <w:rsid w:val="00F81956"/>
    <w:rsid w:val="00F81AC4"/>
    <w:rsid w:val="00F81B17"/>
    <w:rsid w:val="00F81C14"/>
    <w:rsid w:val="00F81E03"/>
    <w:rsid w:val="00F82100"/>
    <w:rsid w:val="00F824DF"/>
    <w:rsid w:val="00F827EE"/>
    <w:rsid w:val="00F82C16"/>
    <w:rsid w:val="00F82CA7"/>
    <w:rsid w:val="00F82E21"/>
    <w:rsid w:val="00F8334E"/>
    <w:rsid w:val="00F833E9"/>
    <w:rsid w:val="00F83484"/>
    <w:rsid w:val="00F8365E"/>
    <w:rsid w:val="00F83771"/>
    <w:rsid w:val="00F83AA6"/>
    <w:rsid w:val="00F83BD4"/>
    <w:rsid w:val="00F83D87"/>
    <w:rsid w:val="00F83E3E"/>
    <w:rsid w:val="00F83E84"/>
    <w:rsid w:val="00F8409F"/>
    <w:rsid w:val="00F8437D"/>
    <w:rsid w:val="00F849E7"/>
    <w:rsid w:val="00F84C26"/>
    <w:rsid w:val="00F84C8F"/>
    <w:rsid w:val="00F85258"/>
    <w:rsid w:val="00F85288"/>
    <w:rsid w:val="00F85462"/>
    <w:rsid w:val="00F8548B"/>
    <w:rsid w:val="00F85509"/>
    <w:rsid w:val="00F85550"/>
    <w:rsid w:val="00F8557E"/>
    <w:rsid w:val="00F85A15"/>
    <w:rsid w:val="00F85B89"/>
    <w:rsid w:val="00F85BA6"/>
    <w:rsid w:val="00F85D19"/>
    <w:rsid w:val="00F85E14"/>
    <w:rsid w:val="00F85F14"/>
    <w:rsid w:val="00F86052"/>
    <w:rsid w:val="00F8638B"/>
    <w:rsid w:val="00F866D7"/>
    <w:rsid w:val="00F8699D"/>
    <w:rsid w:val="00F86A90"/>
    <w:rsid w:val="00F86BBD"/>
    <w:rsid w:val="00F86C67"/>
    <w:rsid w:val="00F86E0A"/>
    <w:rsid w:val="00F86E55"/>
    <w:rsid w:val="00F86E9A"/>
    <w:rsid w:val="00F86E9D"/>
    <w:rsid w:val="00F87035"/>
    <w:rsid w:val="00F871B2"/>
    <w:rsid w:val="00F871D4"/>
    <w:rsid w:val="00F87403"/>
    <w:rsid w:val="00F87639"/>
    <w:rsid w:val="00F87674"/>
    <w:rsid w:val="00F87FC2"/>
    <w:rsid w:val="00F87FE8"/>
    <w:rsid w:val="00F90018"/>
    <w:rsid w:val="00F90155"/>
    <w:rsid w:val="00F902F4"/>
    <w:rsid w:val="00F90576"/>
    <w:rsid w:val="00F9057D"/>
    <w:rsid w:val="00F9059D"/>
    <w:rsid w:val="00F90875"/>
    <w:rsid w:val="00F90964"/>
    <w:rsid w:val="00F9098D"/>
    <w:rsid w:val="00F90AFC"/>
    <w:rsid w:val="00F90B15"/>
    <w:rsid w:val="00F90B7E"/>
    <w:rsid w:val="00F90BA5"/>
    <w:rsid w:val="00F90E71"/>
    <w:rsid w:val="00F90F9F"/>
    <w:rsid w:val="00F9134E"/>
    <w:rsid w:val="00F91490"/>
    <w:rsid w:val="00F915F3"/>
    <w:rsid w:val="00F91689"/>
    <w:rsid w:val="00F91775"/>
    <w:rsid w:val="00F917F5"/>
    <w:rsid w:val="00F918CA"/>
    <w:rsid w:val="00F919CC"/>
    <w:rsid w:val="00F91A4B"/>
    <w:rsid w:val="00F91AFB"/>
    <w:rsid w:val="00F920CC"/>
    <w:rsid w:val="00F928B2"/>
    <w:rsid w:val="00F92938"/>
    <w:rsid w:val="00F92B47"/>
    <w:rsid w:val="00F92D11"/>
    <w:rsid w:val="00F92D9B"/>
    <w:rsid w:val="00F92DC6"/>
    <w:rsid w:val="00F93011"/>
    <w:rsid w:val="00F93110"/>
    <w:rsid w:val="00F9311C"/>
    <w:rsid w:val="00F9314F"/>
    <w:rsid w:val="00F93397"/>
    <w:rsid w:val="00F936CA"/>
    <w:rsid w:val="00F93806"/>
    <w:rsid w:val="00F9395C"/>
    <w:rsid w:val="00F93BD1"/>
    <w:rsid w:val="00F93E5F"/>
    <w:rsid w:val="00F9405E"/>
    <w:rsid w:val="00F942A1"/>
    <w:rsid w:val="00F94523"/>
    <w:rsid w:val="00F94525"/>
    <w:rsid w:val="00F948E7"/>
    <w:rsid w:val="00F94951"/>
    <w:rsid w:val="00F94AC3"/>
    <w:rsid w:val="00F94ACC"/>
    <w:rsid w:val="00F94BF1"/>
    <w:rsid w:val="00F94CCA"/>
    <w:rsid w:val="00F94CEF"/>
    <w:rsid w:val="00F951F5"/>
    <w:rsid w:val="00F952A1"/>
    <w:rsid w:val="00F952E0"/>
    <w:rsid w:val="00F953CB"/>
    <w:rsid w:val="00F95464"/>
    <w:rsid w:val="00F9550C"/>
    <w:rsid w:val="00F956FE"/>
    <w:rsid w:val="00F95860"/>
    <w:rsid w:val="00F95ADA"/>
    <w:rsid w:val="00F95B45"/>
    <w:rsid w:val="00F95DF6"/>
    <w:rsid w:val="00F95F1E"/>
    <w:rsid w:val="00F9615B"/>
    <w:rsid w:val="00F962CA"/>
    <w:rsid w:val="00F963D5"/>
    <w:rsid w:val="00F96421"/>
    <w:rsid w:val="00F9674E"/>
    <w:rsid w:val="00F96843"/>
    <w:rsid w:val="00F968FD"/>
    <w:rsid w:val="00F96AF7"/>
    <w:rsid w:val="00F96C36"/>
    <w:rsid w:val="00F96CD1"/>
    <w:rsid w:val="00F96F5D"/>
    <w:rsid w:val="00F97148"/>
    <w:rsid w:val="00F97252"/>
    <w:rsid w:val="00F9736E"/>
    <w:rsid w:val="00F9759A"/>
    <w:rsid w:val="00F9770D"/>
    <w:rsid w:val="00F9773D"/>
    <w:rsid w:val="00F97795"/>
    <w:rsid w:val="00F97818"/>
    <w:rsid w:val="00F978D4"/>
    <w:rsid w:val="00F97951"/>
    <w:rsid w:val="00F97C85"/>
    <w:rsid w:val="00F97DDF"/>
    <w:rsid w:val="00F97E96"/>
    <w:rsid w:val="00F97F77"/>
    <w:rsid w:val="00FA02BD"/>
    <w:rsid w:val="00FA02DA"/>
    <w:rsid w:val="00FA03C7"/>
    <w:rsid w:val="00FA042C"/>
    <w:rsid w:val="00FA0433"/>
    <w:rsid w:val="00FA076C"/>
    <w:rsid w:val="00FA08DF"/>
    <w:rsid w:val="00FA09C7"/>
    <w:rsid w:val="00FA0CF9"/>
    <w:rsid w:val="00FA0D71"/>
    <w:rsid w:val="00FA139F"/>
    <w:rsid w:val="00FA13F2"/>
    <w:rsid w:val="00FA160D"/>
    <w:rsid w:val="00FA1A89"/>
    <w:rsid w:val="00FA1E3D"/>
    <w:rsid w:val="00FA2579"/>
    <w:rsid w:val="00FA26B4"/>
    <w:rsid w:val="00FA26B7"/>
    <w:rsid w:val="00FA26CB"/>
    <w:rsid w:val="00FA2B1A"/>
    <w:rsid w:val="00FA2B34"/>
    <w:rsid w:val="00FA2EA9"/>
    <w:rsid w:val="00FA30A6"/>
    <w:rsid w:val="00FA31F3"/>
    <w:rsid w:val="00FA3252"/>
    <w:rsid w:val="00FA3641"/>
    <w:rsid w:val="00FA3788"/>
    <w:rsid w:val="00FA3B29"/>
    <w:rsid w:val="00FA4207"/>
    <w:rsid w:val="00FA4230"/>
    <w:rsid w:val="00FA45F9"/>
    <w:rsid w:val="00FA461C"/>
    <w:rsid w:val="00FA4928"/>
    <w:rsid w:val="00FA499C"/>
    <w:rsid w:val="00FA49A7"/>
    <w:rsid w:val="00FA4F33"/>
    <w:rsid w:val="00FA51BF"/>
    <w:rsid w:val="00FA52C5"/>
    <w:rsid w:val="00FA5449"/>
    <w:rsid w:val="00FA54D3"/>
    <w:rsid w:val="00FA599A"/>
    <w:rsid w:val="00FA59AE"/>
    <w:rsid w:val="00FA59DC"/>
    <w:rsid w:val="00FA5CA8"/>
    <w:rsid w:val="00FA61C6"/>
    <w:rsid w:val="00FA6437"/>
    <w:rsid w:val="00FA66F2"/>
    <w:rsid w:val="00FA6F5B"/>
    <w:rsid w:val="00FA6FE0"/>
    <w:rsid w:val="00FA7147"/>
    <w:rsid w:val="00FA7169"/>
    <w:rsid w:val="00FA7263"/>
    <w:rsid w:val="00FA78E2"/>
    <w:rsid w:val="00FA7B8A"/>
    <w:rsid w:val="00FA7FA9"/>
    <w:rsid w:val="00FB008A"/>
    <w:rsid w:val="00FB0263"/>
    <w:rsid w:val="00FB02DB"/>
    <w:rsid w:val="00FB075D"/>
    <w:rsid w:val="00FB07ED"/>
    <w:rsid w:val="00FB0B0E"/>
    <w:rsid w:val="00FB0E0B"/>
    <w:rsid w:val="00FB0FAF"/>
    <w:rsid w:val="00FB10C9"/>
    <w:rsid w:val="00FB12B6"/>
    <w:rsid w:val="00FB1B76"/>
    <w:rsid w:val="00FB1D5E"/>
    <w:rsid w:val="00FB1DED"/>
    <w:rsid w:val="00FB1F1B"/>
    <w:rsid w:val="00FB1F49"/>
    <w:rsid w:val="00FB2104"/>
    <w:rsid w:val="00FB22DB"/>
    <w:rsid w:val="00FB2B89"/>
    <w:rsid w:val="00FB2F66"/>
    <w:rsid w:val="00FB301A"/>
    <w:rsid w:val="00FB311C"/>
    <w:rsid w:val="00FB348E"/>
    <w:rsid w:val="00FB38D3"/>
    <w:rsid w:val="00FB3AE3"/>
    <w:rsid w:val="00FB3B06"/>
    <w:rsid w:val="00FB3B33"/>
    <w:rsid w:val="00FB3C9F"/>
    <w:rsid w:val="00FB3CF7"/>
    <w:rsid w:val="00FB3F32"/>
    <w:rsid w:val="00FB3F56"/>
    <w:rsid w:val="00FB3FCB"/>
    <w:rsid w:val="00FB41D4"/>
    <w:rsid w:val="00FB4475"/>
    <w:rsid w:val="00FB45B4"/>
    <w:rsid w:val="00FB46E1"/>
    <w:rsid w:val="00FB4E7F"/>
    <w:rsid w:val="00FB5099"/>
    <w:rsid w:val="00FB50CF"/>
    <w:rsid w:val="00FB5122"/>
    <w:rsid w:val="00FB523A"/>
    <w:rsid w:val="00FB530E"/>
    <w:rsid w:val="00FB53CE"/>
    <w:rsid w:val="00FB5618"/>
    <w:rsid w:val="00FB56EB"/>
    <w:rsid w:val="00FB5AF8"/>
    <w:rsid w:val="00FB5D81"/>
    <w:rsid w:val="00FB5E86"/>
    <w:rsid w:val="00FB5FEF"/>
    <w:rsid w:val="00FB6220"/>
    <w:rsid w:val="00FB6223"/>
    <w:rsid w:val="00FB631A"/>
    <w:rsid w:val="00FB661F"/>
    <w:rsid w:val="00FB67BA"/>
    <w:rsid w:val="00FB6986"/>
    <w:rsid w:val="00FB6A54"/>
    <w:rsid w:val="00FB6AF0"/>
    <w:rsid w:val="00FB6B1E"/>
    <w:rsid w:val="00FB6CD2"/>
    <w:rsid w:val="00FB72CA"/>
    <w:rsid w:val="00FB747C"/>
    <w:rsid w:val="00FB7610"/>
    <w:rsid w:val="00FB77A9"/>
    <w:rsid w:val="00FB7846"/>
    <w:rsid w:val="00FB79C4"/>
    <w:rsid w:val="00FB7BC7"/>
    <w:rsid w:val="00FB7C39"/>
    <w:rsid w:val="00FC0588"/>
    <w:rsid w:val="00FC066A"/>
    <w:rsid w:val="00FC08D8"/>
    <w:rsid w:val="00FC0A43"/>
    <w:rsid w:val="00FC0B94"/>
    <w:rsid w:val="00FC0D39"/>
    <w:rsid w:val="00FC0DF2"/>
    <w:rsid w:val="00FC0EB3"/>
    <w:rsid w:val="00FC0FFC"/>
    <w:rsid w:val="00FC134C"/>
    <w:rsid w:val="00FC1419"/>
    <w:rsid w:val="00FC1723"/>
    <w:rsid w:val="00FC17F8"/>
    <w:rsid w:val="00FC1880"/>
    <w:rsid w:val="00FC193F"/>
    <w:rsid w:val="00FC1A79"/>
    <w:rsid w:val="00FC1DA8"/>
    <w:rsid w:val="00FC1EF9"/>
    <w:rsid w:val="00FC21B0"/>
    <w:rsid w:val="00FC22A0"/>
    <w:rsid w:val="00FC234E"/>
    <w:rsid w:val="00FC251B"/>
    <w:rsid w:val="00FC271D"/>
    <w:rsid w:val="00FC27F9"/>
    <w:rsid w:val="00FC2B00"/>
    <w:rsid w:val="00FC3291"/>
    <w:rsid w:val="00FC34FE"/>
    <w:rsid w:val="00FC37F9"/>
    <w:rsid w:val="00FC3A3B"/>
    <w:rsid w:val="00FC3DC6"/>
    <w:rsid w:val="00FC4180"/>
    <w:rsid w:val="00FC444C"/>
    <w:rsid w:val="00FC44FF"/>
    <w:rsid w:val="00FC4611"/>
    <w:rsid w:val="00FC4695"/>
    <w:rsid w:val="00FC47B2"/>
    <w:rsid w:val="00FC5104"/>
    <w:rsid w:val="00FC514E"/>
    <w:rsid w:val="00FC5355"/>
    <w:rsid w:val="00FC5488"/>
    <w:rsid w:val="00FC57CE"/>
    <w:rsid w:val="00FC57DD"/>
    <w:rsid w:val="00FC5901"/>
    <w:rsid w:val="00FC5A7D"/>
    <w:rsid w:val="00FC5AD8"/>
    <w:rsid w:val="00FC5DE3"/>
    <w:rsid w:val="00FC5F24"/>
    <w:rsid w:val="00FC5F56"/>
    <w:rsid w:val="00FC608E"/>
    <w:rsid w:val="00FC6290"/>
    <w:rsid w:val="00FC682A"/>
    <w:rsid w:val="00FC6A20"/>
    <w:rsid w:val="00FC6A86"/>
    <w:rsid w:val="00FC6BA9"/>
    <w:rsid w:val="00FC6C2C"/>
    <w:rsid w:val="00FC6F85"/>
    <w:rsid w:val="00FC6F8D"/>
    <w:rsid w:val="00FC73A4"/>
    <w:rsid w:val="00FC7537"/>
    <w:rsid w:val="00FC7575"/>
    <w:rsid w:val="00FC75B5"/>
    <w:rsid w:val="00FC796A"/>
    <w:rsid w:val="00FC7AEE"/>
    <w:rsid w:val="00FC7B16"/>
    <w:rsid w:val="00FC7C2E"/>
    <w:rsid w:val="00FC7D73"/>
    <w:rsid w:val="00FC7EFB"/>
    <w:rsid w:val="00FC7F8B"/>
    <w:rsid w:val="00FD0165"/>
    <w:rsid w:val="00FD0213"/>
    <w:rsid w:val="00FD04A5"/>
    <w:rsid w:val="00FD0743"/>
    <w:rsid w:val="00FD0AC3"/>
    <w:rsid w:val="00FD0D2B"/>
    <w:rsid w:val="00FD0DEB"/>
    <w:rsid w:val="00FD12BA"/>
    <w:rsid w:val="00FD1310"/>
    <w:rsid w:val="00FD132E"/>
    <w:rsid w:val="00FD1372"/>
    <w:rsid w:val="00FD13A2"/>
    <w:rsid w:val="00FD13D3"/>
    <w:rsid w:val="00FD13F9"/>
    <w:rsid w:val="00FD144E"/>
    <w:rsid w:val="00FD1465"/>
    <w:rsid w:val="00FD151B"/>
    <w:rsid w:val="00FD1B47"/>
    <w:rsid w:val="00FD1DDE"/>
    <w:rsid w:val="00FD1DEC"/>
    <w:rsid w:val="00FD2046"/>
    <w:rsid w:val="00FD227C"/>
    <w:rsid w:val="00FD22E6"/>
    <w:rsid w:val="00FD234F"/>
    <w:rsid w:val="00FD2787"/>
    <w:rsid w:val="00FD2909"/>
    <w:rsid w:val="00FD2F79"/>
    <w:rsid w:val="00FD30CD"/>
    <w:rsid w:val="00FD3438"/>
    <w:rsid w:val="00FD344C"/>
    <w:rsid w:val="00FD3566"/>
    <w:rsid w:val="00FD3866"/>
    <w:rsid w:val="00FD3E94"/>
    <w:rsid w:val="00FD414B"/>
    <w:rsid w:val="00FD4225"/>
    <w:rsid w:val="00FD45B7"/>
    <w:rsid w:val="00FD4695"/>
    <w:rsid w:val="00FD4BDC"/>
    <w:rsid w:val="00FD4C88"/>
    <w:rsid w:val="00FD4EA3"/>
    <w:rsid w:val="00FD4F60"/>
    <w:rsid w:val="00FD50BD"/>
    <w:rsid w:val="00FD50E9"/>
    <w:rsid w:val="00FD5318"/>
    <w:rsid w:val="00FD53D2"/>
    <w:rsid w:val="00FD5714"/>
    <w:rsid w:val="00FD5982"/>
    <w:rsid w:val="00FD59FB"/>
    <w:rsid w:val="00FD5A35"/>
    <w:rsid w:val="00FD5BA6"/>
    <w:rsid w:val="00FD5E2F"/>
    <w:rsid w:val="00FD5FD5"/>
    <w:rsid w:val="00FD5FDC"/>
    <w:rsid w:val="00FD6305"/>
    <w:rsid w:val="00FD63BF"/>
    <w:rsid w:val="00FD6662"/>
    <w:rsid w:val="00FD6827"/>
    <w:rsid w:val="00FD6933"/>
    <w:rsid w:val="00FD6978"/>
    <w:rsid w:val="00FD6DFC"/>
    <w:rsid w:val="00FD7083"/>
    <w:rsid w:val="00FD71F1"/>
    <w:rsid w:val="00FD77B2"/>
    <w:rsid w:val="00FD7BD2"/>
    <w:rsid w:val="00FD7C90"/>
    <w:rsid w:val="00FE01EF"/>
    <w:rsid w:val="00FE050A"/>
    <w:rsid w:val="00FE0723"/>
    <w:rsid w:val="00FE0760"/>
    <w:rsid w:val="00FE0988"/>
    <w:rsid w:val="00FE0E9C"/>
    <w:rsid w:val="00FE0E9F"/>
    <w:rsid w:val="00FE12AC"/>
    <w:rsid w:val="00FE135A"/>
    <w:rsid w:val="00FE19A4"/>
    <w:rsid w:val="00FE1A13"/>
    <w:rsid w:val="00FE2806"/>
    <w:rsid w:val="00FE28B9"/>
    <w:rsid w:val="00FE2962"/>
    <w:rsid w:val="00FE2AA6"/>
    <w:rsid w:val="00FE2DE2"/>
    <w:rsid w:val="00FE317A"/>
    <w:rsid w:val="00FE33E0"/>
    <w:rsid w:val="00FE3608"/>
    <w:rsid w:val="00FE3632"/>
    <w:rsid w:val="00FE3673"/>
    <w:rsid w:val="00FE3A4D"/>
    <w:rsid w:val="00FE4368"/>
    <w:rsid w:val="00FE467F"/>
    <w:rsid w:val="00FE486A"/>
    <w:rsid w:val="00FE4999"/>
    <w:rsid w:val="00FE4AF7"/>
    <w:rsid w:val="00FE4D0A"/>
    <w:rsid w:val="00FE4EAC"/>
    <w:rsid w:val="00FE4F41"/>
    <w:rsid w:val="00FE5107"/>
    <w:rsid w:val="00FE5456"/>
    <w:rsid w:val="00FE547F"/>
    <w:rsid w:val="00FE54C0"/>
    <w:rsid w:val="00FE5A66"/>
    <w:rsid w:val="00FE5BB1"/>
    <w:rsid w:val="00FE5C35"/>
    <w:rsid w:val="00FE6109"/>
    <w:rsid w:val="00FE610D"/>
    <w:rsid w:val="00FE615C"/>
    <w:rsid w:val="00FE61BC"/>
    <w:rsid w:val="00FE6218"/>
    <w:rsid w:val="00FE6741"/>
    <w:rsid w:val="00FE7065"/>
    <w:rsid w:val="00FE70BC"/>
    <w:rsid w:val="00FE726B"/>
    <w:rsid w:val="00FE744C"/>
    <w:rsid w:val="00FE74E9"/>
    <w:rsid w:val="00FE778C"/>
    <w:rsid w:val="00FE77DC"/>
    <w:rsid w:val="00FE7822"/>
    <w:rsid w:val="00FE78DD"/>
    <w:rsid w:val="00FE797E"/>
    <w:rsid w:val="00FE7DA7"/>
    <w:rsid w:val="00FE7FB1"/>
    <w:rsid w:val="00FF0284"/>
    <w:rsid w:val="00FF0404"/>
    <w:rsid w:val="00FF0A05"/>
    <w:rsid w:val="00FF0DA3"/>
    <w:rsid w:val="00FF0DDE"/>
    <w:rsid w:val="00FF0F95"/>
    <w:rsid w:val="00FF1201"/>
    <w:rsid w:val="00FF145E"/>
    <w:rsid w:val="00FF1828"/>
    <w:rsid w:val="00FF1B5A"/>
    <w:rsid w:val="00FF1DFA"/>
    <w:rsid w:val="00FF21BF"/>
    <w:rsid w:val="00FF226E"/>
    <w:rsid w:val="00FF22ED"/>
    <w:rsid w:val="00FF26B9"/>
    <w:rsid w:val="00FF28F7"/>
    <w:rsid w:val="00FF2904"/>
    <w:rsid w:val="00FF2A72"/>
    <w:rsid w:val="00FF2ABD"/>
    <w:rsid w:val="00FF2BEB"/>
    <w:rsid w:val="00FF2E41"/>
    <w:rsid w:val="00FF2F0A"/>
    <w:rsid w:val="00FF30CF"/>
    <w:rsid w:val="00FF317A"/>
    <w:rsid w:val="00FF3236"/>
    <w:rsid w:val="00FF3395"/>
    <w:rsid w:val="00FF3422"/>
    <w:rsid w:val="00FF3AC3"/>
    <w:rsid w:val="00FF3B6A"/>
    <w:rsid w:val="00FF3B7D"/>
    <w:rsid w:val="00FF3CC8"/>
    <w:rsid w:val="00FF3D54"/>
    <w:rsid w:val="00FF3F13"/>
    <w:rsid w:val="00FF4133"/>
    <w:rsid w:val="00FF4264"/>
    <w:rsid w:val="00FF4394"/>
    <w:rsid w:val="00FF4942"/>
    <w:rsid w:val="00FF4AB9"/>
    <w:rsid w:val="00FF4B0D"/>
    <w:rsid w:val="00FF4EB5"/>
    <w:rsid w:val="00FF5233"/>
    <w:rsid w:val="00FF58B1"/>
    <w:rsid w:val="00FF5A4F"/>
    <w:rsid w:val="00FF5A71"/>
    <w:rsid w:val="00FF5E63"/>
    <w:rsid w:val="00FF608D"/>
    <w:rsid w:val="00FF64C7"/>
    <w:rsid w:val="00FF674F"/>
    <w:rsid w:val="00FF6751"/>
    <w:rsid w:val="00FF67FC"/>
    <w:rsid w:val="00FF6A8A"/>
    <w:rsid w:val="00FF6AAB"/>
    <w:rsid w:val="00FF6B5C"/>
    <w:rsid w:val="00FF6B7C"/>
    <w:rsid w:val="00FF6D4B"/>
    <w:rsid w:val="00FF6D75"/>
    <w:rsid w:val="00FF70F9"/>
    <w:rsid w:val="00FF73D4"/>
    <w:rsid w:val="00FF7A9A"/>
    <w:rsid w:val="00FF7C01"/>
    <w:rsid w:val="00FF7D0A"/>
    <w:rsid w:val="00FF7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A8644"/>
  <w15:chartTrackingRefBased/>
  <w15:docId w15:val="{D75223FD-54F6-AF48-8F1F-71E7826E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A7"/>
    <w:pPr>
      <w:spacing w:after="0" w:line="480" w:lineRule="auto"/>
      <w:jc w:val="both"/>
    </w:pPr>
    <w:rPr>
      <w:rFonts w:ascii="Times New Roman" w:hAnsi="Times New Roman" w:cs="Times New Roman"/>
      <w:sz w:val="24"/>
      <w:lang w:val="en-GB"/>
    </w:rPr>
  </w:style>
  <w:style w:type="paragraph" w:styleId="Heading1">
    <w:name w:val="heading 1"/>
    <w:basedOn w:val="NoSpacing"/>
    <w:next w:val="Normal"/>
    <w:link w:val="Heading1Char"/>
    <w:uiPriority w:val="9"/>
    <w:qFormat/>
    <w:rsid w:val="006F4CA7"/>
    <w:pPr>
      <w:spacing w:line="480" w:lineRule="auto"/>
      <w:outlineLvl w:val="0"/>
    </w:pPr>
    <w:rPr>
      <w:rFonts w:ascii="Times New Roman" w:hAnsi="Times New Roman" w:cs="Times New Roman"/>
      <w:b/>
      <w:sz w:val="28"/>
      <w:szCs w:val="28"/>
    </w:rPr>
  </w:style>
  <w:style w:type="paragraph" w:styleId="Heading2">
    <w:name w:val="heading 2"/>
    <w:basedOn w:val="NoSpacing"/>
    <w:next w:val="Normal"/>
    <w:link w:val="Heading2Char"/>
    <w:uiPriority w:val="9"/>
    <w:unhideWhenUsed/>
    <w:qFormat/>
    <w:rsid w:val="006F4CA7"/>
    <w:pPr>
      <w:spacing w:line="480" w:lineRule="auto"/>
      <w:jc w:val="both"/>
      <w:outlineLvl w:val="1"/>
    </w:pPr>
    <w:rPr>
      <w:rFonts w:ascii="Times New Roman" w:hAnsi="Times New Roman" w:cs="Times New Roman"/>
      <w:b/>
      <w:sz w:val="24"/>
    </w:rPr>
  </w:style>
  <w:style w:type="paragraph" w:styleId="Heading3">
    <w:name w:val="heading 3"/>
    <w:basedOn w:val="Heading2"/>
    <w:next w:val="Normal"/>
    <w:link w:val="Heading3Char"/>
    <w:uiPriority w:val="9"/>
    <w:unhideWhenUsed/>
    <w:qFormat/>
    <w:rsid w:val="006415E2"/>
    <w:pPr>
      <w:outlineLvl w:val="2"/>
    </w:pPr>
    <w:rPr>
      <w:i/>
    </w:rPr>
  </w:style>
  <w:style w:type="paragraph" w:styleId="Heading4">
    <w:name w:val="heading 4"/>
    <w:basedOn w:val="Normal"/>
    <w:next w:val="Normal"/>
    <w:link w:val="Heading4Char"/>
    <w:uiPriority w:val="9"/>
    <w:unhideWhenUsed/>
    <w:qFormat/>
    <w:rsid w:val="00EC0AC3"/>
    <w:pPr>
      <w:keepNext/>
      <w:keepLines/>
      <w:spacing w:before="40"/>
      <w:outlineLvl w:val="3"/>
    </w:pPr>
    <w:rPr>
      <w:rFonts w:eastAsiaTheme="majorEastAsia"/>
      <w:i/>
      <w:iCs/>
      <w:color w:val="000000" w:themeColor="text1"/>
      <w:lang w:val="en-US"/>
    </w:rPr>
  </w:style>
  <w:style w:type="paragraph" w:styleId="Heading5">
    <w:name w:val="heading 5"/>
    <w:basedOn w:val="Normal"/>
    <w:next w:val="Normal"/>
    <w:link w:val="Heading5Char"/>
    <w:uiPriority w:val="9"/>
    <w:semiHidden/>
    <w:unhideWhenUsed/>
    <w:qFormat/>
    <w:rsid w:val="00951C6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7DB8"/>
    <w:pPr>
      <w:spacing w:after="0" w:line="240" w:lineRule="auto"/>
    </w:pPr>
  </w:style>
  <w:style w:type="character" w:styleId="LineNumber">
    <w:name w:val="line number"/>
    <w:basedOn w:val="DefaultParagraphFont"/>
    <w:uiPriority w:val="99"/>
    <w:semiHidden/>
    <w:unhideWhenUsed/>
    <w:rsid w:val="007A2EF4"/>
  </w:style>
  <w:style w:type="paragraph" w:styleId="Footer">
    <w:name w:val="footer"/>
    <w:basedOn w:val="Normal"/>
    <w:link w:val="FooterChar"/>
    <w:uiPriority w:val="99"/>
    <w:unhideWhenUsed/>
    <w:rsid w:val="00AC1A26"/>
    <w:pPr>
      <w:tabs>
        <w:tab w:val="center" w:pos="4513"/>
        <w:tab w:val="right" w:pos="9026"/>
      </w:tabs>
      <w:spacing w:line="240" w:lineRule="auto"/>
    </w:pPr>
  </w:style>
  <w:style w:type="character" w:customStyle="1" w:styleId="FooterChar">
    <w:name w:val="Footer Char"/>
    <w:basedOn w:val="DefaultParagraphFont"/>
    <w:link w:val="Footer"/>
    <w:uiPriority w:val="99"/>
    <w:rsid w:val="00AC1A26"/>
  </w:style>
  <w:style w:type="character" w:styleId="PageNumber">
    <w:name w:val="page number"/>
    <w:basedOn w:val="DefaultParagraphFont"/>
    <w:uiPriority w:val="99"/>
    <w:semiHidden/>
    <w:unhideWhenUsed/>
    <w:rsid w:val="00AC1A26"/>
  </w:style>
  <w:style w:type="character" w:styleId="CommentReference">
    <w:name w:val="annotation reference"/>
    <w:basedOn w:val="DefaultParagraphFont"/>
    <w:uiPriority w:val="99"/>
    <w:semiHidden/>
    <w:unhideWhenUsed/>
    <w:rsid w:val="00EB0C45"/>
    <w:rPr>
      <w:sz w:val="16"/>
      <w:szCs w:val="16"/>
    </w:rPr>
  </w:style>
  <w:style w:type="paragraph" w:styleId="CommentText">
    <w:name w:val="annotation text"/>
    <w:basedOn w:val="Normal"/>
    <w:link w:val="CommentTextChar"/>
    <w:uiPriority w:val="99"/>
    <w:unhideWhenUsed/>
    <w:rsid w:val="00EB0C45"/>
    <w:pPr>
      <w:spacing w:line="240" w:lineRule="auto"/>
    </w:pPr>
    <w:rPr>
      <w:sz w:val="20"/>
      <w:szCs w:val="20"/>
    </w:rPr>
  </w:style>
  <w:style w:type="character" w:customStyle="1" w:styleId="CommentTextChar">
    <w:name w:val="Comment Text Char"/>
    <w:basedOn w:val="DefaultParagraphFont"/>
    <w:link w:val="CommentText"/>
    <w:uiPriority w:val="99"/>
    <w:rsid w:val="00EB0C45"/>
    <w:rPr>
      <w:sz w:val="20"/>
      <w:szCs w:val="20"/>
    </w:rPr>
  </w:style>
  <w:style w:type="paragraph" w:styleId="CommentSubject">
    <w:name w:val="annotation subject"/>
    <w:basedOn w:val="CommentText"/>
    <w:next w:val="CommentText"/>
    <w:link w:val="CommentSubjectChar"/>
    <w:uiPriority w:val="99"/>
    <w:semiHidden/>
    <w:unhideWhenUsed/>
    <w:rsid w:val="00EB0C45"/>
    <w:rPr>
      <w:b/>
      <w:bCs/>
    </w:rPr>
  </w:style>
  <w:style w:type="character" w:customStyle="1" w:styleId="CommentSubjectChar">
    <w:name w:val="Comment Subject Char"/>
    <w:basedOn w:val="CommentTextChar"/>
    <w:link w:val="CommentSubject"/>
    <w:uiPriority w:val="99"/>
    <w:semiHidden/>
    <w:rsid w:val="00EB0C45"/>
    <w:rPr>
      <w:b/>
      <w:bCs/>
      <w:sz w:val="20"/>
      <w:szCs w:val="20"/>
    </w:rPr>
  </w:style>
  <w:style w:type="paragraph" w:styleId="BalloonText">
    <w:name w:val="Balloon Text"/>
    <w:basedOn w:val="Normal"/>
    <w:link w:val="BalloonTextChar"/>
    <w:uiPriority w:val="99"/>
    <w:semiHidden/>
    <w:unhideWhenUsed/>
    <w:rsid w:val="00EB0C4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C45"/>
    <w:rPr>
      <w:rFonts w:ascii="Segoe UI" w:hAnsi="Segoe UI" w:cs="Segoe UI"/>
      <w:sz w:val="18"/>
      <w:szCs w:val="18"/>
    </w:rPr>
  </w:style>
  <w:style w:type="character" w:customStyle="1" w:styleId="Heading1Char">
    <w:name w:val="Heading 1 Char"/>
    <w:basedOn w:val="DefaultParagraphFont"/>
    <w:link w:val="Heading1"/>
    <w:uiPriority w:val="9"/>
    <w:rsid w:val="006F4CA7"/>
    <w:rPr>
      <w:rFonts w:ascii="Times New Roman" w:hAnsi="Times New Roman" w:cs="Times New Roman"/>
      <w:b/>
      <w:sz w:val="28"/>
      <w:szCs w:val="28"/>
    </w:rPr>
  </w:style>
  <w:style w:type="character" w:customStyle="1" w:styleId="Heading2Char">
    <w:name w:val="Heading 2 Char"/>
    <w:basedOn w:val="DefaultParagraphFont"/>
    <w:link w:val="Heading2"/>
    <w:uiPriority w:val="9"/>
    <w:rsid w:val="006F4CA7"/>
    <w:rPr>
      <w:rFonts w:ascii="Times New Roman" w:hAnsi="Times New Roman" w:cs="Times New Roman"/>
      <w:b/>
      <w:sz w:val="24"/>
    </w:rPr>
  </w:style>
  <w:style w:type="paragraph" w:styleId="Revision">
    <w:name w:val="Revision"/>
    <w:hidden/>
    <w:uiPriority w:val="99"/>
    <w:semiHidden/>
    <w:rsid w:val="00211599"/>
    <w:pPr>
      <w:spacing w:after="0" w:line="240" w:lineRule="auto"/>
    </w:pPr>
    <w:rPr>
      <w:rFonts w:ascii="Times New Roman" w:hAnsi="Times New Roman" w:cs="Times New Roman"/>
      <w:sz w:val="24"/>
      <w:lang w:val="en-GB"/>
    </w:rPr>
  </w:style>
  <w:style w:type="character" w:styleId="Hyperlink">
    <w:name w:val="Hyperlink"/>
    <w:basedOn w:val="DefaultParagraphFont"/>
    <w:uiPriority w:val="99"/>
    <w:unhideWhenUsed/>
    <w:rsid w:val="00B1236C"/>
    <w:rPr>
      <w:color w:val="0563C1" w:themeColor="hyperlink"/>
      <w:u w:val="single"/>
    </w:rPr>
  </w:style>
  <w:style w:type="character" w:customStyle="1" w:styleId="Heading3Char">
    <w:name w:val="Heading 3 Char"/>
    <w:basedOn w:val="DefaultParagraphFont"/>
    <w:link w:val="Heading3"/>
    <w:uiPriority w:val="9"/>
    <w:rsid w:val="006415E2"/>
    <w:rPr>
      <w:rFonts w:ascii="Times New Roman" w:hAnsi="Times New Roman" w:cs="Times New Roman"/>
      <w:b/>
      <w:i/>
      <w:sz w:val="24"/>
    </w:rPr>
  </w:style>
  <w:style w:type="paragraph" w:styleId="Header">
    <w:name w:val="header"/>
    <w:basedOn w:val="Normal"/>
    <w:link w:val="HeaderChar"/>
    <w:uiPriority w:val="99"/>
    <w:unhideWhenUsed/>
    <w:rsid w:val="00A06C51"/>
    <w:pPr>
      <w:tabs>
        <w:tab w:val="center" w:pos="4513"/>
        <w:tab w:val="right" w:pos="9026"/>
      </w:tabs>
      <w:spacing w:line="240" w:lineRule="auto"/>
    </w:pPr>
  </w:style>
  <w:style w:type="character" w:customStyle="1" w:styleId="HeaderChar">
    <w:name w:val="Header Char"/>
    <w:basedOn w:val="DefaultParagraphFont"/>
    <w:link w:val="Header"/>
    <w:uiPriority w:val="99"/>
    <w:rsid w:val="00A06C51"/>
    <w:rPr>
      <w:rFonts w:ascii="Times New Roman" w:hAnsi="Times New Roman" w:cs="Times New Roman"/>
      <w:sz w:val="24"/>
      <w:lang w:val="en-GB"/>
    </w:rPr>
  </w:style>
  <w:style w:type="character" w:customStyle="1" w:styleId="Heading5Char">
    <w:name w:val="Heading 5 Char"/>
    <w:basedOn w:val="DefaultParagraphFont"/>
    <w:link w:val="Heading5"/>
    <w:uiPriority w:val="9"/>
    <w:semiHidden/>
    <w:rsid w:val="00951C6E"/>
    <w:rPr>
      <w:rFonts w:asciiTheme="majorHAnsi" w:eastAsiaTheme="majorEastAsia" w:hAnsiTheme="majorHAnsi" w:cstheme="majorBidi"/>
      <w:color w:val="2E74B5" w:themeColor="accent1" w:themeShade="BF"/>
      <w:sz w:val="24"/>
      <w:lang w:val="en-GB"/>
    </w:rPr>
  </w:style>
  <w:style w:type="paragraph" w:styleId="ListParagraph">
    <w:name w:val="List Paragraph"/>
    <w:basedOn w:val="Normal"/>
    <w:uiPriority w:val="34"/>
    <w:qFormat/>
    <w:rsid w:val="00155E12"/>
    <w:pPr>
      <w:ind w:left="720"/>
      <w:contextualSpacing/>
    </w:pPr>
  </w:style>
  <w:style w:type="character" w:customStyle="1" w:styleId="Heading4Char">
    <w:name w:val="Heading 4 Char"/>
    <w:basedOn w:val="DefaultParagraphFont"/>
    <w:link w:val="Heading4"/>
    <w:uiPriority w:val="9"/>
    <w:rsid w:val="00EC0AC3"/>
    <w:rPr>
      <w:rFonts w:ascii="Times New Roman" w:eastAsiaTheme="majorEastAsia" w:hAnsi="Times New Roman" w:cs="Times New Roman"/>
      <w:i/>
      <w:iCs/>
      <w:color w:val="000000" w:themeColor="text1"/>
      <w:sz w:val="24"/>
    </w:rPr>
  </w:style>
  <w:style w:type="character" w:styleId="PlaceholderText">
    <w:name w:val="Placeholder Text"/>
    <w:basedOn w:val="DefaultParagraphFont"/>
    <w:uiPriority w:val="99"/>
    <w:semiHidden/>
    <w:rsid w:val="00BC6E09"/>
    <w:rPr>
      <w:color w:val="808080"/>
    </w:rPr>
  </w:style>
  <w:style w:type="paragraph" w:styleId="Bibliography">
    <w:name w:val="Bibliography"/>
    <w:basedOn w:val="Normal"/>
    <w:next w:val="Normal"/>
    <w:uiPriority w:val="37"/>
    <w:unhideWhenUsed/>
    <w:rsid w:val="003E4516"/>
    <w:pPr>
      <w:tabs>
        <w:tab w:val="left" w:pos="384"/>
      </w:tabs>
      <w:ind w:left="384" w:hanging="384"/>
    </w:pPr>
  </w:style>
  <w:style w:type="table" w:styleId="TableGrid">
    <w:name w:val="Table Grid"/>
    <w:basedOn w:val="TableNormal"/>
    <w:uiPriority w:val="39"/>
    <w:rsid w:val="004C3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782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03239">
      <w:bodyDiv w:val="1"/>
      <w:marLeft w:val="0"/>
      <w:marRight w:val="0"/>
      <w:marTop w:val="0"/>
      <w:marBottom w:val="0"/>
      <w:divBdr>
        <w:top w:val="none" w:sz="0" w:space="0" w:color="auto"/>
        <w:left w:val="none" w:sz="0" w:space="0" w:color="auto"/>
        <w:bottom w:val="none" w:sz="0" w:space="0" w:color="auto"/>
        <w:right w:val="none" w:sz="0" w:space="0" w:color="auto"/>
      </w:divBdr>
      <w:divsChild>
        <w:div w:id="536504278">
          <w:marLeft w:val="0"/>
          <w:marRight w:val="0"/>
          <w:marTop w:val="0"/>
          <w:marBottom w:val="0"/>
          <w:divBdr>
            <w:top w:val="none" w:sz="0" w:space="0" w:color="auto"/>
            <w:left w:val="none" w:sz="0" w:space="0" w:color="auto"/>
            <w:bottom w:val="none" w:sz="0" w:space="0" w:color="auto"/>
            <w:right w:val="none" w:sz="0" w:space="0" w:color="auto"/>
          </w:divBdr>
        </w:div>
        <w:div w:id="687369986">
          <w:marLeft w:val="0"/>
          <w:marRight w:val="0"/>
          <w:marTop w:val="0"/>
          <w:marBottom w:val="0"/>
          <w:divBdr>
            <w:top w:val="none" w:sz="0" w:space="0" w:color="auto"/>
            <w:left w:val="none" w:sz="0" w:space="0" w:color="auto"/>
            <w:bottom w:val="none" w:sz="0" w:space="0" w:color="auto"/>
            <w:right w:val="none" w:sz="0" w:space="0" w:color="auto"/>
          </w:divBdr>
        </w:div>
        <w:div w:id="1155296654">
          <w:marLeft w:val="0"/>
          <w:marRight w:val="0"/>
          <w:marTop w:val="0"/>
          <w:marBottom w:val="0"/>
          <w:divBdr>
            <w:top w:val="none" w:sz="0" w:space="0" w:color="auto"/>
            <w:left w:val="none" w:sz="0" w:space="0" w:color="auto"/>
            <w:bottom w:val="none" w:sz="0" w:space="0" w:color="auto"/>
            <w:right w:val="none" w:sz="0" w:space="0" w:color="auto"/>
          </w:divBdr>
        </w:div>
      </w:divsChild>
    </w:div>
    <w:div w:id="62146016">
      <w:bodyDiv w:val="1"/>
      <w:marLeft w:val="0"/>
      <w:marRight w:val="0"/>
      <w:marTop w:val="0"/>
      <w:marBottom w:val="0"/>
      <w:divBdr>
        <w:top w:val="none" w:sz="0" w:space="0" w:color="auto"/>
        <w:left w:val="none" w:sz="0" w:space="0" w:color="auto"/>
        <w:bottom w:val="none" w:sz="0" w:space="0" w:color="auto"/>
        <w:right w:val="none" w:sz="0" w:space="0" w:color="auto"/>
      </w:divBdr>
    </w:div>
    <w:div w:id="166756230">
      <w:bodyDiv w:val="1"/>
      <w:marLeft w:val="0"/>
      <w:marRight w:val="0"/>
      <w:marTop w:val="0"/>
      <w:marBottom w:val="0"/>
      <w:divBdr>
        <w:top w:val="none" w:sz="0" w:space="0" w:color="auto"/>
        <w:left w:val="none" w:sz="0" w:space="0" w:color="auto"/>
        <w:bottom w:val="none" w:sz="0" w:space="0" w:color="auto"/>
        <w:right w:val="none" w:sz="0" w:space="0" w:color="auto"/>
      </w:divBdr>
    </w:div>
    <w:div w:id="257953749">
      <w:bodyDiv w:val="1"/>
      <w:marLeft w:val="0"/>
      <w:marRight w:val="0"/>
      <w:marTop w:val="0"/>
      <w:marBottom w:val="0"/>
      <w:divBdr>
        <w:top w:val="none" w:sz="0" w:space="0" w:color="auto"/>
        <w:left w:val="none" w:sz="0" w:space="0" w:color="auto"/>
        <w:bottom w:val="none" w:sz="0" w:space="0" w:color="auto"/>
        <w:right w:val="none" w:sz="0" w:space="0" w:color="auto"/>
      </w:divBdr>
    </w:div>
    <w:div w:id="260914959">
      <w:bodyDiv w:val="1"/>
      <w:marLeft w:val="0"/>
      <w:marRight w:val="0"/>
      <w:marTop w:val="0"/>
      <w:marBottom w:val="0"/>
      <w:divBdr>
        <w:top w:val="none" w:sz="0" w:space="0" w:color="auto"/>
        <w:left w:val="none" w:sz="0" w:space="0" w:color="auto"/>
        <w:bottom w:val="none" w:sz="0" w:space="0" w:color="auto"/>
        <w:right w:val="none" w:sz="0" w:space="0" w:color="auto"/>
      </w:divBdr>
      <w:divsChild>
        <w:div w:id="1054044932">
          <w:marLeft w:val="480"/>
          <w:marRight w:val="0"/>
          <w:marTop w:val="0"/>
          <w:marBottom w:val="0"/>
          <w:divBdr>
            <w:top w:val="none" w:sz="0" w:space="0" w:color="auto"/>
            <w:left w:val="none" w:sz="0" w:space="0" w:color="auto"/>
            <w:bottom w:val="none" w:sz="0" w:space="0" w:color="auto"/>
            <w:right w:val="none" w:sz="0" w:space="0" w:color="auto"/>
          </w:divBdr>
          <w:divsChild>
            <w:div w:id="101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719">
      <w:bodyDiv w:val="1"/>
      <w:marLeft w:val="0"/>
      <w:marRight w:val="0"/>
      <w:marTop w:val="0"/>
      <w:marBottom w:val="0"/>
      <w:divBdr>
        <w:top w:val="none" w:sz="0" w:space="0" w:color="auto"/>
        <w:left w:val="none" w:sz="0" w:space="0" w:color="auto"/>
        <w:bottom w:val="none" w:sz="0" w:space="0" w:color="auto"/>
        <w:right w:val="none" w:sz="0" w:space="0" w:color="auto"/>
      </w:divBdr>
    </w:div>
    <w:div w:id="442116598">
      <w:bodyDiv w:val="1"/>
      <w:marLeft w:val="0"/>
      <w:marRight w:val="0"/>
      <w:marTop w:val="0"/>
      <w:marBottom w:val="0"/>
      <w:divBdr>
        <w:top w:val="none" w:sz="0" w:space="0" w:color="auto"/>
        <w:left w:val="none" w:sz="0" w:space="0" w:color="auto"/>
        <w:bottom w:val="none" w:sz="0" w:space="0" w:color="auto"/>
        <w:right w:val="none" w:sz="0" w:space="0" w:color="auto"/>
      </w:divBdr>
      <w:divsChild>
        <w:div w:id="439682763">
          <w:marLeft w:val="0"/>
          <w:marRight w:val="0"/>
          <w:marTop w:val="0"/>
          <w:marBottom w:val="0"/>
          <w:divBdr>
            <w:top w:val="none" w:sz="0" w:space="0" w:color="auto"/>
            <w:left w:val="none" w:sz="0" w:space="0" w:color="auto"/>
            <w:bottom w:val="none" w:sz="0" w:space="0" w:color="auto"/>
            <w:right w:val="none" w:sz="0" w:space="0" w:color="auto"/>
          </w:divBdr>
        </w:div>
        <w:div w:id="646200525">
          <w:marLeft w:val="0"/>
          <w:marRight w:val="0"/>
          <w:marTop w:val="0"/>
          <w:marBottom w:val="0"/>
          <w:divBdr>
            <w:top w:val="none" w:sz="0" w:space="0" w:color="auto"/>
            <w:left w:val="none" w:sz="0" w:space="0" w:color="auto"/>
            <w:bottom w:val="none" w:sz="0" w:space="0" w:color="auto"/>
            <w:right w:val="none" w:sz="0" w:space="0" w:color="auto"/>
          </w:divBdr>
        </w:div>
        <w:div w:id="1680155228">
          <w:marLeft w:val="0"/>
          <w:marRight w:val="0"/>
          <w:marTop w:val="0"/>
          <w:marBottom w:val="0"/>
          <w:divBdr>
            <w:top w:val="none" w:sz="0" w:space="0" w:color="auto"/>
            <w:left w:val="none" w:sz="0" w:space="0" w:color="auto"/>
            <w:bottom w:val="none" w:sz="0" w:space="0" w:color="auto"/>
            <w:right w:val="none" w:sz="0" w:space="0" w:color="auto"/>
          </w:divBdr>
        </w:div>
      </w:divsChild>
    </w:div>
    <w:div w:id="522594943">
      <w:bodyDiv w:val="1"/>
      <w:marLeft w:val="0"/>
      <w:marRight w:val="0"/>
      <w:marTop w:val="0"/>
      <w:marBottom w:val="0"/>
      <w:divBdr>
        <w:top w:val="none" w:sz="0" w:space="0" w:color="auto"/>
        <w:left w:val="none" w:sz="0" w:space="0" w:color="auto"/>
        <w:bottom w:val="none" w:sz="0" w:space="0" w:color="auto"/>
        <w:right w:val="none" w:sz="0" w:space="0" w:color="auto"/>
      </w:divBdr>
      <w:divsChild>
        <w:div w:id="304824165">
          <w:marLeft w:val="0"/>
          <w:marRight w:val="0"/>
          <w:marTop w:val="0"/>
          <w:marBottom w:val="0"/>
          <w:divBdr>
            <w:top w:val="none" w:sz="0" w:space="0" w:color="auto"/>
            <w:left w:val="none" w:sz="0" w:space="0" w:color="auto"/>
            <w:bottom w:val="none" w:sz="0" w:space="0" w:color="auto"/>
            <w:right w:val="none" w:sz="0" w:space="0" w:color="auto"/>
          </w:divBdr>
        </w:div>
        <w:div w:id="458955069">
          <w:marLeft w:val="0"/>
          <w:marRight w:val="0"/>
          <w:marTop w:val="0"/>
          <w:marBottom w:val="0"/>
          <w:divBdr>
            <w:top w:val="none" w:sz="0" w:space="0" w:color="auto"/>
            <w:left w:val="none" w:sz="0" w:space="0" w:color="auto"/>
            <w:bottom w:val="none" w:sz="0" w:space="0" w:color="auto"/>
            <w:right w:val="none" w:sz="0" w:space="0" w:color="auto"/>
          </w:divBdr>
        </w:div>
        <w:div w:id="830176374">
          <w:marLeft w:val="0"/>
          <w:marRight w:val="0"/>
          <w:marTop w:val="0"/>
          <w:marBottom w:val="0"/>
          <w:divBdr>
            <w:top w:val="none" w:sz="0" w:space="0" w:color="auto"/>
            <w:left w:val="none" w:sz="0" w:space="0" w:color="auto"/>
            <w:bottom w:val="none" w:sz="0" w:space="0" w:color="auto"/>
            <w:right w:val="none" w:sz="0" w:space="0" w:color="auto"/>
          </w:divBdr>
        </w:div>
        <w:div w:id="1060517581">
          <w:marLeft w:val="0"/>
          <w:marRight w:val="0"/>
          <w:marTop w:val="0"/>
          <w:marBottom w:val="0"/>
          <w:divBdr>
            <w:top w:val="none" w:sz="0" w:space="0" w:color="auto"/>
            <w:left w:val="none" w:sz="0" w:space="0" w:color="auto"/>
            <w:bottom w:val="none" w:sz="0" w:space="0" w:color="auto"/>
            <w:right w:val="none" w:sz="0" w:space="0" w:color="auto"/>
          </w:divBdr>
        </w:div>
        <w:div w:id="1187327924">
          <w:marLeft w:val="0"/>
          <w:marRight w:val="0"/>
          <w:marTop w:val="0"/>
          <w:marBottom w:val="0"/>
          <w:divBdr>
            <w:top w:val="none" w:sz="0" w:space="0" w:color="auto"/>
            <w:left w:val="none" w:sz="0" w:space="0" w:color="auto"/>
            <w:bottom w:val="none" w:sz="0" w:space="0" w:color="auto"/>
            <w:right w:val="none" w:sz="0" w:space="0" w:color="auto"/>
          </w:divBdr>
        </w:div>
        <w:div w:id="1237320778">
          <w:marLeft w:val="0"/>
          <w:marRight w:val="0"/>
          <w:marTop w:val="0"/>
          <w:marBottom w:val="0"/>
          <w:divBdr>
            <w:top w:val="none" w:sz="0" w:space="0" w:color="auto"/>
            <w:left w:val="none" w:sz="0" w:space="0" w:color="auto"/>
            <w:bottom w:val="none" w:sz="0" w:space="0" w:color="auto"/>
            <w:right w:val="none" w:sz="0" w:space="0" w:color="auto"/>
          </w:divBdr>
        </w:div>
        <w:div w:id="1281954995">
          <w:marLeft w:val="0"/>
          <w:marRight w:val="0"/>
          <w:marTop w:val="0"/>
          <w:marBottom w:val="0"/>
          <w:divBdr>
            <w:top w:val="none" w:sz="0" w:space="0" w:color="auto"/>
            <w:left w:val="none" w:sz="0" w:space="0" w:color="auto"/>
            <w:bottom w:val="none" w:sz="0" w:space="0" w:color="auto"/>
            <w:right w:val="none" w:sz="0" w:space="0" w:color="auto"/>
          </w:divBdr>
        </w:div>
        <w:div w:id="1381130473">
          <w:marLeft w:val="0"/>
          <w:marRight w:val="0"/>
          <w:marTop w:val="0"/>
          <w:marBottom w:val="0"/>
          <w:divBdr>
            <w:top w:val="none" w:sz="0" w:space="0" w:color="auto"/>
            <w:left w:val="none" w:sz="0" w:space="0" w:color="auto"/>
            <w:bottom w:val="none" w:sz="0" w:space="0" w:color="auto"/>
            <w:right w:val="none" w:sz="0" w:space="0" w:color="auto"/>
          </w:divBdr>
        </w:div>
        <w:div w:id="1392575023">
          <w:marLeft w:val="0"/>
          <w:marRight w:val="0"/>
          <w:marTop w:val="0"/>
          <w:marBottom w:val="0"/>
          <w:divBdr>
            <w:top w:val="none" w:sz="0" w:space="0" w:color="auto"/>
            <w:left w:val="none" w:sz="0" w:space="0" w:color="auto"/>
            <w:bottom w:val="none" w:sz="0" w:space="0" w:color="auto"/>
            <w:right w:val="none" w:sz="0" w:space="0" w:color="auto"/>
          </w:divBdr>
        </w:div>
        <w:div w:id="1671249497">
          <w:marLeft w:val="0"/>
          <w:marRight w:val="0"/>
          <w:marTop w:val="0"/>
          <w:marBottom w:val="0"/>
          <w:divBdr>
            <w:top w:val="none" w:sz="0" w:space="0" w:color="auto"/>
            <w:left w:val="none" w:sz="0" w:space="0" w:color="auto"/>
            <w:bottom w:val="none" w:sz="0" w:space="0" w:color="auto"/>
            <w:right w:val="none" w:sz="0" w:space="0" w:color="auto"/>
          </w:divBdr>
        </w:div>
        <w:div w:id="1828594882">
          <w:marLeft w:val="0"/>
          <w:marRight w:val="0"/>
          <w:marTop w:val="0"/>
          <w:marBottom w:val="0"/>
          <w:divBdr>
            <w:top w:val="none" w:sz="0" w:space="0" w:color="auto"/>
            <w:left w:val="none" w:sz="0" w:space="0" w:color="auto"/>
            <w:bottom w:val="none" w:sz="0" w:space="0" w:color="auto"/>
            <w:right w:val="none" w:sz="0" w:space="0" w:color="auto"/>
          </w:divBdr>
        </w:div>
        <w:div w:id="1940521385">
          <w:marLeft w:val="0"/>
          <w:marRight w:val="0"/>
          <w:marTop w:val="0"/>
          <w:marBottom w:val="0"/>
          <w:divBdr>
            <w:top w:val="none" w:sz="0" w:space="0" w:color="auto"/>
            <w:left w:val="none" w:sz="0" w:space="0" w:color="auto"/>
            <w:bottom w:val="none" w:sz="0" w:space="0" w:color="auto"/>
            <w:right w:val="none" w:sz="0" w:space="0" w:color="auto"/>
          </w:divBdr>
        </w:div>
        <w:div w:id="1974367262">
          <w:marLeft w:val="0"/>
          <w:marRight w:val="0"/>
          <w:marTop w:val="0"/>
          <w:marBottom w:val="0"/>
          <w:divBdr>
            <w:top w:val="none" w:sz="0" w:space="0" w:color="auto"/>
            <w:left w:val="none" w:sz="0" w:space="0" w:color="auto"/>
            <w:bottom w:val="none" w:sz="0" w:space="0" w:color="auto"/>
            <w:right w:val="none" w:sz="0" w:space="0" w:color="auto"/>
          </w:divBdr>
        </w:div>
      </w:divsChild>
    </w:div>
    <w:div w:id="582493755">
      <w:bodyDiv w:val="1"/>
      <w:marLeft w:val="0"/>
      <w:marRight w:val="0"/>
      <w:marTop w:val="0"/>
      <w:marBottom w:val="0"/>
      <w:divBdr>
        <w:top w:val="none" w:sz="0" w:space="0" w:color="auto"/>
        <w:left w:val="none" w:sz="0" w:space="0" w:color="auto"/>
        <w:bottom w:val="none" w:sz="0" w:space="0" w:color="auto"/>
        <w:right w:val="none" w:sz="0" w:space="0" w:color="auto"/>
      </w:divBdr>
    </w:div>
    <w:div w:id="641691021">
      <w:bodyDiv w:val="1"/>
      <w:marLeft w:val="0"/>
      <w:marRight w:val="0"/>
      <w:marTop w:val="0"/>
      <w:marBottom w:val="0"/>
      <w:divBdr>
        <w:top w:val="none" w:sz="0" w:space="0" w:color="auto"/>
        <w:left w:val="none" w:sz="0" w:space="0" w:color="auto"/>
        <w:bottom w:val="none" w:sz="0" w:space="0" w:color="auto"/>
        <w:right w:val="none" w:sz="0" w:space="0" w:color="auto"/>
      </w:divBdr>
    </w:div>
    <w:div w:id="714082866">
      <w:bodyDiv w:val="1"/>
      <w:marLeft w:val="0"/>
      <w:marRight w:val="0"/>
      <w:marTop w:val="0"/>
      <w:marBottom w:val="0"/>
      <w:divBdr>
        <w:top w:val="none" w:sz="0" w:space="0" w:color="auto"/>
        <w:left w:val="none" w:sz="0" w:space="0" w:color="auto"/>
        <w:bottom w:val="none" w:sz="0" w:space="0" w:color="auto"/>
        <w:right w:val="none" w:sz="0" w:space="0" w:color="auto"/>
      </w:divBdr>
      <w:divsChild>
        <w:div w:id="395013847">
          <w:marLeft w:val="0"/>
          <w:marRight w:val="0"/>
          <w:marTop w:val="0"/>
          <w:marBottom w:val="0"/>
          <w:divBdr>
            <w:top w:val="none" w:sz="0" w:space="0" w:color="auto"/>
            <w:left w:val="none" w:sz="0" w:space="0" w:color="auto"/>
            <w:bottom w:val="none" w:sz="0" w:space="0" w:color="auto"/>
            <w:right w:val="none" w:sz="0" w:space="0" w:color="auto"/>
          </w:divBdr>
        </w:div>
        <w:div w:id="1415855443">
          <w:marLeft w:val="0"/>
          <w:marRight w:val="0"/>
          <w:marTop w:val="0"/>
          <w:marBottom w:val="0"/>
          <w:divBdr>
            <w:top w:val="none" w:sz="0" w:space="0" w:color="auto"/>
            <w:left w:val="none" w:sz="0" w:space="0" w:color="auto"/>
            <w:bottom w:val="none" w:sz="0" w:space="0" w:color="auto"/>
            <w:right w:val="none" w:sz="0" w:space="0" w:color="auto"/>
          </w:divBdr>
        </w:div>
      </w:divsChild>
    </w:div>
    <w:div w:id="754865116">
      <w:bodyDiv w:val="1"/>
      <w:marLeft w:val="0"/>
      <w:marRight w:val="0"/>
      <w:marTop w:val="0"/>
      <w:marBottom w:val="0"/>
      <w:divBdr>
        <w:top w:val="none" w:sz="0" w:space="0" w:color="auto"/>
        <w:left w:val="none" w:sz="0" w:space="0" w:color="auto"/>
        <w:bottom w:val="none" w:sz="0" w:space="0" w:color="auto"/>
        <w:right w:val="none" w:sz="0" w:space="0" w:color="auto"/>
      </w:divBdr>
      <w:divsChild>
        <w:div w:id="57873586">
          <w:marLeft w:val="0"/>
          <w:marRight w:val="0"/>
          <w:marTop w:val="0"/>
          <w:marBottom w:val="0"/>
          <w:divBdr>
            <w:top w:val="none" w:sz="0" w:space="0" w:color="auto"/>
            <w:left w:val="none" w:sz="0" w:space="0" w:color="auto"/>
            <w:bottom w:val="none" w:sz="0" w:space="0" w:color="auto"/>
            <w:right w:val="none" w:sz="0" w:space="0" w:color="auto"/>
          </w:divBdr>
        </w:div>
        <w:div w:id="103117958">
          <w:marLeft w:val="0"/>
          <w:marRight w:val="0"/>
          <w:marTop w:val="0"/>
          <w:marBottom w:val="0"/>
          <w:divBdr>
            <w:top w:val="none" w:sz="0" w:space="0" w:color="auto"/>
            <w:left w:val="none" w:sz="0" w:space="0" w:color="auto"/>
            <w:bottom w:val="none" w:sz="0" w:space="0" w:color="auto"/>
            <w:right w:val="none" w:sz="0" w:space="0" w:color="auto"/>
          </w:divBdr>
        </w:div>
        <w:div w:id="465897620">
          <w:marLeft w:val="0"/>
          <w:marRight w:val="0"/>
          <w:marTop w:val="0"/>
          <w:marBottom w:val="0"/>
          <w:divBdr>
            <w:top w:val="none" w:sz="0" w:space="0" w:color="auto"/>
            <w:left w:val="none" w:sz="0" w:space="0" w:color="auto"/>
            <w:bottom w:val="none" w:sz="0" w:space="0" w:color="auto"/>
            <w:right w:val="none" w:sz="0" w:space="0" w:color="auto"/>
          </w:divBdr>
        </w:div>
        <w:div w:id="825438818">
          <w:marLeft w:val="0"/>
          <w:marRight w:val="0"/>
          <w:marTop w:val="0"/>
          <w:marBottom w:val="0"/>
          <w:divBdr>
            <w:top w:val="none" w:sz="0" w:space="0" w:color="auto"/>
            <w:left w:val="none" w:sz="0" w:space="0" w:color="auto"/>
            <w:bottom w:val="none" w:sz="0" w:space="0" w:color="auto"/>
            <w:right w:val="none" w:sz="0" w:space="0" w:color="auto"/>
          </w:divBdr>
        </w:div>
        <w:div w:id="1527676044">
          <w:marLeft w:val="0"/>
          <w:marRight w:val="0"/>
          <w:marTop w:val="0"/>
          <w:marBottom w:val="0"/>
          <w:divBdr>
            <w:top w:val="none" w:sz="0" w:space="0" w:color="auto"/>
            <w:left w:val="none" w:sz="0" w:space="0" w:color="auto"/>
            <w:bottom w:val="none" w:sz="0" w:space="0" w:color="auto"/>
            <w:right w:val="none" w:sz="0" w:space="0" w:color="auto"/>
          </w:divBdr>
        </w:div>
        <w:div w:id="1833717655">
          <w:marLeft w:val="0"/>
          <w:marRight w:val="0"/>
          <w:marTop w:val="0"/>
          <w:marBottom w:val="0"/>
          <w:divBdr>
            <w:top w:val="none" w:sz="0" w:space="0" w:color="auto"/>
            <w:left w:val="none" w:sz="0" w:space="0" w:color="auto"/>
            <w:bottom w:val="none" w:sz="0" w:space="0" w:color="auto"/>
            <w:right w:val="none" w:sz="0" w:space="0" w:color="auto"/>
          </w:divBdr>
        </w:div>
        <w:div w:id="1885874332">
          <w:marLeft w:val="0"/>
          <w:marRight w:val="0"/>
          <w:marTop w:val="0"/>
          <w:marBottom w:val="0"/>
          <w:divBdr>
            <w:top w:val="none" w:sz="0" w:space="0" w:color="auto"/>
            <w:left w:val="none" w:sz="0" w:space="0" w:color="auto"/>
            <w:bottom w:val="none" w:sz="0" w:space="0" w:color="auto"/>
            <w:right w:val="none" w:sz="0" w:space="0" w:color="auto"/>
          </w:divBdr>
        </w:div>
      </w:divsChild>
    </w:div>
    <w:div w:id="765466931">
      <w:bodyDiv w:val="1"/>
      <w:marLeft w:val="0"/>
      <w:marRight w:val="0"/>
      <w:marTop w:val="0"/>
      <w:marBottom w:val="0"/>
      <w:divBdr>
        <w:top w:val="none" w:sz="0" w:space="0" w:color="auto"/>
        <w:left w:val="none" w:sz="0" w:space="0" w:color="auto"/>
        <w:bottom w:val="none" w:sz="0" w:space="0" w:color="auto"/>
        <w:right w:val="none" w:sz="0" w:space="0" w:color="auto"/>
      </w:divBdr>
      <w:divsChild>
        <w:div w:id="911962034">
          <w:marLeft w:val="480"/>
          <w:marRight w:val="0"/>
          <w:marTop w:val="0"/>
          <w:marBottom w:val="0"/>
          <w:divBdr>
            <w:top w:val="none" w:sz="0" w:space="0" w:color="auto"/>
            <w:left w:val="none" w:sz="0" w:space="0" w:color="auto"/>
            <w:bottom w:val="none" w:sz="0" w:space="0" w:color="auto"/>
            <w:right w:val="none" w:sz="0" w:space="0" w:color="auto"/>
          </w:divBdr>
          <w:divsChild>
            <w:div w:id="10174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8064">
      <w:bodyDiv w:val="1"/>
      <w:marLeft w:val="0"/>
      <w:marRight w:val="0"/>
      <w:marTop w:val="0"/>
      <w:marBottom w:val="0"/>
      <w:divBdr>
        <w:top w:val="none" w:sz="0" w:space="0" w:color="auto"/>
        <w:left w:val="none" w:sz="0" w:space="0" w:color="auto"/>
        <w:bottom w:val="none" w:sz="0" w:space="0" w:color="auto"/>
        <w:right w:val="none" w:sz="0" w:space="0" w:color="auto"/>
      </w:divBdr>
      <w:divsChild>
        <w:div w:id="1986035619">
          <w:marLeft w:val="480"/>
          <w:marRight w:val="0"/>
          <w:marTop w:val="0"/>
          <w:marBottom w:val="0"/>
          <w:divBdr>
            <w:top w:val="none" w:sz="0" w:space="0" w:color="auto"/>
            <w:left w:val="none" w:sz="0" w:space="0" w:color="auto"/>
            <w:bottom w:val="none" w:sz="0" w:space="0" w:color="auto"/>
            <w:right w:val="none" w:sz="0" w:space="0" w:color="auto"/>
          </w:divBdr>
          <w:divsChild>
            <w:div w:id="14474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1697">
      <w:bodyDiv w:val="1"/>
      <w:marLeft w:val="0"/>
      <w:marRight w:val="0"/>
      <w:marTop w:val="0"/>
      <w:marBottom w:val="0"/>
      <w:divBdr>
        <w:top w:val="none" w:sz="0" w:space="0" w:color="auto"/>
        <w:left w:val="none" w:sz="0" w:space="0" w:color="auto"/>
        <w:bottom w:val="none" w:sz="0" w:space="0" w:color="auto"/>
        <w:right w:val="none" w:sz="0" w:space="0" w:color="auto"/>
      </w:divBdr>
      <w:divsChild>
        <w:div w:id="673533865">
          <w:marLeft w:val="0"/>
          <w:marRight w:val="0"/>
          <w:marTop w:val="0"/>
          <w:marBottom w:val="0"/>
          <w:divBdr>
            <w:top w:val="none" w:sz="0" w:space="0" w:color="auto"/>
            <w:left w:val="none" w:sz="0" w:space="0" w:color="auto"/>
            <w:bottom w:val="none" w:sz="0" w:space="0" w:color="auto"/>
            <w:right w:val="none" w:sz="0" w:space="0" w:color="auto"/>
          </w:divBdr>
        </w:div>
        <w:div w:id="2079747754">
          <w:marLeft w:val="0"/>
          <w:marRight w:val="0"/>
          <w:marTop w:val="0"/>
          <w:marBottom w:val="0"/>
          <w:divBdr>
            <w:top w:val="none" w:sz="0" w:space="0" w:color="auto"/>
            <w:left w:val="none" w:sz="0" w:space="0" w:color="auto"/>
            <w:bottom w:val="none" w:sz="0" w:space="0" w:color="auto"/>
            <w:right w:val="none" w:sz="0" w:space="0" w:color="auto"/>
          </w:divBdr>
        </w:div>
      </w:divsChild>
    </w:div>
    <w:div w:id="967390768">
      <w:bodyDiv w:val="1"/>
      <w:marLeft w:val="0"/>
      <w:marRight w:val="0"/>
      <w:marTop w:val="0"/>
      <w:marBottom w:val="0"/>
      <w:divBdr>
        <w:top w:val="none" w:sz="0" w:space="0" w:color="auto"/>
        <w:left w:val="none" w:sz="0" w:space="0" w:color="auto"/>
        <w:bottom w:val="none" w:sz="0" w:space="0" w:color="auto"/>
        <w:right w:val="none" w:sz="0" w:space="0" w:color="auto"/>
      </w:divBdr>
    </w:div>
    <w:div w:id="1018893159">
      <w:bodyDiv w:val="1"/>
      <w:marLeft w:val="0"/>
      <w:marRight w:val="0"/>
      <w:marTop w:val="0"/>
      <w:marBottom w:val="0"/>
      <w:divBdr>
        <w:top w:val="none" w:sz="0" w:space="0" w:color="auto"/>
        <w:left w:val="none" w:sz="0" w:space="0" w:color="auto"/>
        <w:bottom w:val="none" w:sz="0" w:space="0" w:color="auto"/>
        <w:right w:val="none" w:sz="0" w:space="0" w:color="auto"/>
      </w:divBdr>
      <w:divsChild>
        <w:div w:id="1384020675">
          <w:marLeft w:val="480"/>
          <w:marRight w:val="0"/>
          <w:marTop w:val="0"/>
          <w:marBottom w:val="0"/>
          <w:divBdr>
            <w:top w:val="none" w:sz="0" w:space="0" w:color="auto"/>
            <w:left w:val="none" w:sz="0" w:space="0" w:color="auto"/>
            <w:bottom w:val="none" w:sz="0" w:space="0" w:color="auto"/>
            <w:right w:val="none" w:sz="0" w:space="0" w:color="auto"/>
          </w:divBdr>
          <w:divsChild>
            <w:div w:id="12656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0054">
      <w:bodyDiv w:val="1"/>
      <w:marLeft w:val="0"/>
      <w:marRight w:val="0"/>
      <w:marTop w:val="0"/>
      <w:marBottom w:val="0"/>
      <w:divBdr>
        <w:top w:val="none" w:sz="0" w:space="0" w:color="auto"/>
        <w:left w:val="none" w:sz="0" w:space="0" w:color="auto"/>
        <w:bottom w:val="none" w:sz="0" w:space="0" w:color="auto"/>
        <w:right w:val="none" w:sz="0" w:space="0" w:color="auto"/>
      </w:divBdr>
      <w:divsChild>
        <w:div w:id="1361203147">
          <w:marLeft w:val="0"/>
          <w:marRight w:val="0"/>
          <w:marTop w:val="75"/>
          <w:marBottom w:val="0"/>
          <w:divBdr>
            <w:top w:val="none" w:sz="0" w:space="0" w:color="auto"/>
            <w:left w:val="none" w:sz="0" w:space="0" w:color="auto"/>
            <w:bottom w:val="none" w:sz="0" w:space="0" w:color="auto"/>
            <w:right w:val="none" w:sz="0" w:space="0" w:color="auto"/>
          </w:divBdr>
        </w:div>
      </w:divsChild>
    </w:div>
    <w:div w:id="1232429254">
      <w:bodyDiv w:val="1"/>
      <w:marLeft w:val="0"/>
      <w:marRight w:val="0"/>
      <w:marTop w:val="0"/>
      <w:marBottom w:val="0"/>
      <w:divBdr>
        <w:top w:val="none" w:sz="0" w:space="0" w:color="auto"/>
        <w:left w:val="none" w:sz="0" w:space="0" w:color="auto"/>
        <w:bottom w:val="none" w:sz="0" w:space="0" w:color="auto"/>
        <w:right w:val="none" w:sz="0" w:space="0" w:color="auto"/>
      </w:divBdr>
      <w:divsChild>
        <w:div w:id="788865478">
          <w:marLeft w:val="480"/>
          <w:marRight w:val="0"/>
          <w:marTop w:val="0"/>
          <w:marBottom w:val="0"/>
          <w:divBdr>
            <w:top w:val="none" w:sz="0" w:space="0" w:color="auto"/>
            <w:left w:val="none" w:sz="0" w:space="0" w:color="auto"/>
            <w:bottom w:val="none" w:sz="0" w:space="0" w:color="auto"/>
            <w:right w:val="none" w:sz="0" w:space="0" w:color="auto"/>
          </w:divBdr>
          <w:divsChild>
            <w:div w:id="8868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6819">
      <w:bodyDiv w:val="1"/>
      <w:marLeft w:val="0"/>
      <w:marRight w:val="0"/>
      <w:marTop w:val="0"/>
      <w:marBottom w:val="0"/>
      <w:divBdr>
        <w:top w:val="none" w:sz="0" w:space="0" w:color="auto"/>
        <w:left w:val="none" w:sz="0" w:space="0" w:color="auto"/>
        <w:bottom w:val="none" w:sz="0" w:space="0" w:color="auto"/>
        <w:right w:val="none" w:sz="0" w:space="0" w:color="auto"/>
      </w:divBdr>
      <w:divsChild>
        <w:div w:id="2100907709">
          <w:marLeft w:val="480"/>
          <w:marRight w:val="0"/>
          <w:marTop w:val="0"/>
          <w:marBottom w:val="0"/>
          <w:divBdr>
            <w:top w:val="none" w:sz="0" w:space="0" w:color="auto"/>
            <w:left w:val="none" w:sz="0" w:space="0" w:color="auto"/>
            <w:bottom w:val="none" w:sz="0" w:space="0" w:color="auto"/>
            <w:right w:val="none" w:sz="0" w:space="0" w:color="auto"/>
          </w:divBdr>
          <w:divsChild>
            <w:div w:id="19017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5103">
      <w:bodyDiv w:val="1"/>
      <w:marLeft w:val="0"/>
      <w:marRight w:val="0"/>
      <w:marTop w:val="0"/>
      <w:marBottom w:val="0"/>
      <w:divBdr>
        <w:top w:val="none" w:sz="0" w:space="0" w:color="auto"/>
        <w:left w:val="none" w:sz="0" w:space="0" w:color="auto"/>
        <w:bottom w:val="none" w:sz="0" w:space="0" w:color="auto"/>
        <w:right w:val="none" w:sz="0" w:space="0" w:color="auto"/>
      </w:divBdr>
    </w:div>
    <w:div w:id="1309435987">
      <w:bodyDiv w:val="1"/>
      <w:marLeft w:val="0"/>
      <w:marRight w:val="0"/>
      <w:marTop w:val="0"/>
      <w:marBottom w:val="0"/>
      <w:divBdr>
        <w:top w:val="none" w:sz="0" w:space="0" w:color="auto"/>
        <w:left w:val="none" w:sz="0" w:space="0" w:color="auto"/>
        <w:bottom w:val="none" w:sz="0" w:space="0" w:color="auto"/>
        <w:right w:val="none" w:sz="0" w:space="0" w:color="auto"/>
      </w:divBdr>
      <w:divsChild>
        <w:div w:id="714309459">
          <w:marLeft w:val="0"/>
          <w:marRight w:val="0"/>
          <w:marTop w:val="0"/>
          <w:marBottom w:val="0"/>
          <w:divBdr>
            <w:top w:val="none" w:sz="0" w:space="0" w:color="auto"/>
            <w:left w:val="none" w:sz="0" w:space="0" w:color="auto"/>
            <w:bottom w:val="none" w:sz="0" w:space="0" w:color="auto"/>
            <w:right w:val="none" w:sz="0" w:space="0" w:color="auto"/>
          </w:divBdr>
        </w:div>
        <w:div w:id="857810935">
          <w:marLeft w:val="0"/>
          <w:marRight w:val="0"/>
          <w:marTop w:val="0"/>
          <w:marBottom w:val="0"/>
          <w:divBdr>
            <w:top w:val="none" w:sz="0" w:space="0" w:color="auto"/>
            <w:left w:val="none" w:sz="0" w:space="0" w:color="auto"/>
            <w:bottom w:val="none" w:sz="0" w:space="0" w:color="auto"/>
            <w:right w:val="none" w:sz="0" w:space="0" w:color="auto"/>
          </w:divBdr>
        </w:div>
      </w:divsChild>
    </w:div>
    <w:div w:id="1317756244">
      <w:bodyDiv w:val="1"/>
      <w:marLeft w:val="0"/>
      <w:marRight w:val="0"/>
      <w:marTop w:val="0"/>
      <w:marBottom w:val="0"/>
      <w:divBdr>
        <w:top w:val="none" w:sz="0" w:space="0" w:color="auto"/>
        <w:left w:val="none" w:sz="0" w:space="0" w:color="auto"/>
        <w:bottom w:val="none" w:sz="0" w:space="0" w:color="auto"/>
        <w:right w:val="none" w:sz="0" w:space="0" w:color="auto"/>
      </w:divBdr>
    </w:div>
    <w:div w:id="1362705098">
      <w:bodyDiv w:val="1"/>
      <w:marLeft w:val="0"/>
      <w:marRight w:val="0"/>
      <w:marTop w:val="0"/>
      <w:marBottom w:val="0"/>
      <w:divBdr>
        <w:top w:val="none" w:sz="0" w:space="0" w:color="auto"/>
        <w:left w:val="none" w:sz="0" w:space="0" w:color="auto"/>
        <w:bottom w:val="none" w:sz="0" w:space="0" w:color="auto"/>
        <w:right w:val="none" w:sz="0" w:space="0" w:color="auto"/>
      </w:divBdr>
      <w:divsChild>
        <w:div w:id="217254032">
          <w:marLeft w:val="0"/>
          <w:marRight w:val="0"/>
          <w:marTop w:val="0"/>
          <w:marBottom w:val="0"/>
          <w:divBdr>
            <w:top w:val="none" w:sz="0" w:space="0" w:color="auto"/>
            <w:left w:val="none" w:sz="0" w:space="0" w:color="auto"/>
            <w:bottom w:val="none" w:sz="0" w:space="0" w:color="auto"/>
            <w:right w:val="none" w:sz="0" w:space="0" w:color="auto"/>
          </w:divBdr>
        </w:div>
        <w:div w:id="316346435">
          <w:marLeft w:val="0"/>
          <w:marRight w:val="0"/>
          <w:marTop w:val="0"/>
          <w:marBottom w:val="0"/>
          <w:divBdr>
            <w:top w:val="none" w:sz="0" w:space="0" w:color="auto"/>
            <w:left w:val="none" w:sz="0" w:space="0" w:color="auto"/>
            <w:bottom w:val="none" w:sz="0" w:space="0" w:color="auto"/>
            <w:right w:val="none" w:sz="0" w:space="0" w:color="auto"/>
          </w:divBdr>
        </w:div>
        <w:div w:id="450706114">
          <w:marLeft w:val="0"/>
          <w:marRight w:val="0"/>
          <w:marTop w:val="0"/>
          <w:marBottom w:val="0"/>
          <w:divBdr>
            <w:top w:val="none" w:sz="0" w:space="0" w:color="auto"/>
            <w:left w:val="none" w:sz="0" w:space="0" w:color="auto"/>
            <w:bottom w:val="none" w:sz="0" w:space="0" w:color="auto"/>
            <w:right w:val="none" w:sz="0" w:space="0" w:color="auto"/>
          </w:divBdr>
        </w:div>
        <w:div w:id="721445958">
          <w:marLeft w:val="0"/>
          <w:marRight w:val="0"/>
          <w:marTop w:val="0"/>
          <w:marBottom w:val="0"/>
          <w:divBdr>
            <w:top w:val="none" w:sz="0" w:space="0" w:color="auto"/>
            <w:left w:val="none" w:sz="0" w:space="0" w:color="auto"/>
            <w:bottom w:val="none" w:sz="0" w:space="0" w:color="auto"/>
            <w:right w:val="none" w:sz="0" w:space="0" w:color="auto"/>
          </w:divBdr>
        </w:div>
        <w:div w:id="1141115864">
          <w:marLeft w:val="0"/>
          <w:marRight w:val="0"/>
          <w:marTop w:val="0"/>
          <w:marBottom w:val="0"/>
          <w:divBdr>
            <w:top w:val="none" w:sz="0" w:space="0" w:color="auto"/>
            <w:left w:val="none" w:sz="0" w:space="0" w:color="auto"/>
            <w:bottom w:val="none" w:sz="0" w:space="0" w:color="auto"/>
            <w:right w:val="none" w:sz="0" w:space="0" w:color="auto"/>
          </w:divBdr>
        </w:div>
        <w:div w:id="1217162033">
          <w:marLeft w:val="0"/>
          <w:marRight w:val="0"/>
          <w:marTop w:val="0"/>
          <w:marBottom w:val="0"/>
          <w:divBdr>
            <w:top w:val="none" w:sz="0" w:space="0" w:color="auto"/>
            <w:left w:val="none" w:sz="0" w:space="0" w:color="auto"/>
            <w:bottom w:val="none" w:sz="0" w:space="0" w:color="auto"/>
            <w:right w:val="none" w:sz="0" w:space="0" w:color="auto"/>
          </w:divBdr>
        </w:div>
        <w:div w:id="1255364633">
          <w:marLeft w:val="0"/>
          <w:marRight w:val="0"/>
          <w:marTop w:val="0"/>
          <w:marBottom w:val="0"/>
          <w:divBdr>
            <w:top w:val="none" w:sz="0" w:space="0" w:color="auto"/>
            <w:left w:val="none" w:sz="0" w:space="0" w:color="auto"/>
            <w:bottom w:val="none" w:sz="0" w:space="0" w:color="auto"/>
            <w:right w:val="none" w:sz="0" w:space="0" w:color="auto"/>
          </w:divBdr>
        </w:div>
        <w:div w:id="1325818298">
          <w:marLeft w:val="0"/>
          <w:marRight w:val="0"/>
          <w:marTop w:val="0"/>
          <w:marBottom w:val="0"/>
          <w:divBdr>
            <w:top w:val="none" w:sz="0" w:space="0" w:color="auto"/>
            <w:left w:val="none" w:sz="0" w:space="0" w:color="auto"/>
            <w:bottom w:val="none" w:sz="0" w:space="0" w:color="auto"/>
            <w:right w:val="none" w:sz="0" w:space="0" w:color="auto"/>
          </w:divBdr>
        </w:div>
        <w:div w:id="1508250659">
          <w:marLeft w:val="0"/>
          <w:marRight w:val="0"/>
          <w:marTop w:val="0"/>
          <w:marBottom w:val="0"/>
          <w:divBdr>
            <w:top w:val="none" w:sz="0" w:space="0" w:color="auto"/>
            <w:left w:val="none" w:sz="0" w:space="0" w:color="auto"/>
            <w:bottom w:val="none" w:sz="0" w:space="0" w:color="auto"/>
            <w:right w:val="none" w:sz="0" w:space="0" w:color="auto"/>
          </w:divBdr>
        </w:div>
        <w:div w:id="1518232081">
          <w:marLeft w:val="0"/>
          <w:marRight w:val="0"/>
          <w:marTop w:val="0"/>
          <w:marBottom w:val="0"/>
          <w:divBdr>
            <w:top w:val="none" w:sz="0" w:space="0" w:color="auto"/>
            <w:left w:val="none" w:sz="0" w:space="0" w:color="auto"/>
            <w:bottom w:val="none" w:sz="0" w:space="0" w:color="auto"/>
            <w:right w:val="none" w:sz="0" w:space="0" w:color="auto"/>
          </w:divBdr>
        </w:div>
        <w:div w:id="1722708844">
          <w:marLeft w:val="0"/>
          <w:marRight w:val="0"/>
          <w:marTop w:val="0"/>
          <w:marBottom w:val="0"/>
          <w:divBdr>
            <w:top w:val="none" w:sz="0" w:space="0" w:color="auto"/>
            <w:left w:val="none" w:sz="0" w:space="0" w:color="auto"/>
            <w:bottom w:val="none" w:sz="0" w:space="0" w:color="auto"/>
            <w:right w:val="none" w:sz="0" w:space="0" w:color="auto"/>
          </w:divBdr>
        </w:div>
        <w:div w:id="1732846120">
          <w:marLeft w:val="0"/>
          <w:marRight w:val="0"/>
          <w:marTop w:val="0"/>
          <w:marBottom w:val="0"/>
          <w:divBdr>
            <w:top w:val="none" w:sz="0" w:space="0" w:color="auto"/>
            <w:left w:val="none" w:sz="0" w:space="0" w:color="auto"/>
            <w:bottom w:val="none" w:sz="0" w:space="0" w:color="auto"/>
            <w:right w:val="none" w:sz="0" w:space="0" w:color="auto"/>
          </w:divBdr>
        </w:div>
        <w:div w:id="2092265722">
          <w:marLeft w:val="0"/>
          <w:marRight w:val="0"/>
          <w:marTop w:val="0"/>
          <w:marBottom w:val="0"/>
          <w:divBdr>
            <w:top w:val="none" w:sz="0" w:space="0" w:color="auto"/>
            <w:left w:val="none" w:sz="0" w:space="0" w:color="auto"/>
            <w:bottom w:val="none" w:sz="0" w:space="0" w:color="auto"/>
            <w:right w:val="none" w:sz="0" w:space="0" w:color="auto"/>
          </w:divBdr>
        </w:div>
      </w:divsChild>
    </w:div>
    <w:div w:id="1515920994">
      <w:bodyDiv w:val="1"/>
      <w:marLeft w:val="0"/>
      <w:marRight w:val="0"/>
      <w:marTop w:val="0"/>
      <w:marBottom w:val="0"/>
      <w:divBdr>
        <w:top w:val="none" w:sz="0" w:space="0" w:color="auto"/>
        <w:left w:val="none" w:sz="0" w:space="0" w:color="auto"/>
        <w:bottom w:val="none" w:sz="0" w:space="0" w:color="auto"/>
        <w:right w:val="none" w:sz="0" w:space="0" w:color="auto"/>
      </w:divBdr>
      <w:divsChild>
        <w:div w:id="811943263">
          <w:marLeft w:val="0"/>
          <w:marRight w:val="0"/>
          <w:marTop w:val="75"/>
          <w:marBottom w:val="0"/>
          <w:divBdr>
            <w:top w:val="none" w:sz="0" w:space="0" w:color="auto"/>
            <w:left w:val="none" w:sz="0" w:space="0" w:color="auto"/>
            <w:bottom w:val="none" w:sz="0" w:space="0" w:color="auto"/>
            <w:right w:val="none" w:sz="0" w:space="0" w:color="auto"/>
          </w:divBdr>
        </w:div>
      </w:divsChild>
    </w:div>
    <w:div w:id="1652372551">
      <w:bodyDiv w:val="1"/>
      <w:marLeft w:val="0"/>
      <w:marRight w:val="0"/>
      <w:marTop w:val="0"/>
      <w:marBottom w:val="0"/>
      <w:divBdr>
        <w:top w:val="none" w:sz="0" w:space="0" w:color="auto"/>
        <w:left w:val="none" w:sz="0" w:space="0" w:color="auto"/>
        <w:bottom w:val="none" w:sz="0" w:space="0" w:color="auto"/>
        <w:right w:val="none" w:sz="0" w:space="0" w:color="auto"/>
      </w:divBdr>
      <w:divsChild>
        <w:div w:id="1292246114">
          <w:marLeft w:val="480"/>
          <w:marRight w:val="0"/>
          <w:marTop w:val="0"/>
          <w:marBottom w:val="0"/>
          <w:divBdr>
            <w:top w:val="none" w:sz="0" w:space="0" w:color="auto"/>
            <w:left w:val="none" w:sz="0" w:space="0" w:color="auto"/>
            <w:bottom w:val="none" w:sz="0" w:space="0" w:color="auto"/>
            <w:right w:val="none" w:sz="0" w:space="0" w:color="auto"/>
          </w:divBdr>
          <w:divsChild>
            <w:div w:id="25453958">
              <w:marLeft w:val="0"/>
              <w:marRight w:val="0"/>
              <w:marTop w:val="0"/>
              <w:marBottom w:val="0"/>
              <w:divBdr>
                <w:top w:val="none" w:sz="0" w:space="0" w:color="auto"/>
                <w:left w:val="none" w:sz="0" w:space="0" w:color="auto"/>
                <w:bottom w:val="none" w:sz="0" w:space="0" w:color="auto"/>
                <w:right w:val="none" w:sz="0" w:space="0" w:color="auto"/>
              </w:divBdr>
            </w:div>
            <w:div w:id="36660554">
              <w:marLeft w:val="0"/>
              <w:marRight w:val="0"/>
              <w:marTop w:val="0"/>
              <w:marBottom w:val="0"/>
              <w:divBdr>
                <w:top w:val="none" w:sz="0" w:space="0" w:color="auto"/>
                <w:left w:val="none" w:sz="0" w:space="0" w:color="auto"/>
                <w:bottom w:val="none" w:sz="0" w:space="0" w:color="auto"/>
                <w:right w:val="none" w:sz="0" w:space="0" w:color="auto"/>
              </w:divBdr>
            </w:div>
            <w:div w:id="45834176">
              <w:marLeft w:val="0"/>
              <w:marRight w:val="0"/>
              <w:marTop w:val="0"/>
              <w:marBottom w:val="0"/>
              <w:divBdr>
                <w:top w:val="none" w:sz="0" w:space="0" w:color="auto"/>
                <w:left w:val="none" w:sz="0" w:space="0" w:color="auto"/>
                <w:bottom w:val="none" w:sz="0" w:space="0" w:color="auto"/>
                <w:right w:val="none" w:sz="0" w:space="0" w:color="auto"/>
              </w:divBdr>
            </w:div>
            <w:div w:id="103548010">
              <w:marLeft w:val="0"/>
              <w:marRight w:val="0"/>
              <w:marTop w:val="0"/>
              <w:marBottom w:val="0"/>
              <w:divBdr>
                <w:top w:val="none" w:sz="0" w:space="0" w:color="auto"/>
                <w:left w:val="none" w:sz="0" w:space="0" w:color="auto"/>
                <w:bottom w:val="none" w:sz="0" w:space="0" w:color="auto"/>
                <w:right w:val="none" w:sz="0" w:space="0" w:color="auto"/>
              </w:divBdr>
            </w:div>
            <w:div w:id="106462264">
              <w:marLeft w:val="0"/>
              <w:marRight w:val="0"/>
              <w:marTop w:val="0"/>
              <w:marBottom w:val="0"/>
              <w:divBdr>
                <w:top w:val="none" w:sz="0" w:space="0" w:color="auto"/>
                <w:left w:val="none" w:sz="0" w:space="0" w:color="auto"/>
                <w:bottom w:val="none" w:sz="0" w:space="0" w:color="auto"/>
                <w:right w:val="none" w:sz="0" w:space="0" w:color="auto"/>
              </w:divBdr>
            </w:div>
            <w:div w:id="111173705">
              <w:marLeft w:val="0"/>
              <w:marRight w:val="0"/>
              <w:marTop w:val="0"/>
              <w:marBottom w:val="0"/>
              <w:divBdr>
                <w:top w:val="none" w:sz="0" w:space="0" w:color="auto"/>
                <w:left w:val="none" w:sz="0" w:space="0" w:color="auto"/>
                <w:bottom w:val="none" w:sz="0" w:space="0" w:color="auto"/>
                <w:right w:val="none" w:sz="0" w:space="0" w:color="auto"/>
              </w:divBdr>
            </w:div>
            <w:div w:id="116684602">
              <w:marLeft w:val="0"/>
              <w:marRight w:val="0"/>
              <w:marTop w:val="0"/>
              <w:marBottom w:val="0"/>
              <w:divBdr>
                <w:top w:val="none" w:sz="0" w:space="0" w:color="auto"/>
                <w:left w:val="none" w:sz="0" w:space="0" w:color="auto"/>
                <w:bottom w:val="none" w:sz="0" w:space="0" w:color="auto"/>
                <w:right w:val="none" w:sz="0" w:space="0" w:color="auto"/>
              </w:divBdr>
            </w:div>
            <w:div w:id="118496806">
              <w:marLeft w:val="0"/>
              <w:marRight w:val="0"/>
              <w:marTop w:val="0"/>
              <w:marBottom w:val="0"/>
              <w:divBdr>
                <w:top w:val="none" w:sz="0" w:space="0" w:color="auto"/>
                <w:left w:val="none" w:sz="0" w:space="0" w:color="auto"/>
                <w:bottom w:val="none" w:sz="0" w:space="0" w:color="auto"/>
                <w:right w:val="none" w:sz="0" w:space="0" w:color="auto"/>
              </w:divBdr>
            </w:div>
            <w:div w:id="161749481">
              <w:marLeft w:val="0"/>
              <w:marRight w:val="0"/>
              <w:marTop w:val="0"/>
              <w:marBottom w:val="0"/>
              <w:divBdr>
                <w:top w:val="none" w:sz="0" w:space="0" w:color="auto"/>
                <w:left w:val="none" w:sz="0" w:space="0" w:color="auto"/>
                <w:bottom w:val="none" w:sz="0" w:space="0" w:color="auto"/>
                <w:right w:val="none" w:sz="0" w:space="0" w:color="auto"/>
              </w:divBdr>
            </w:div>
            <w:div w:id="200481935">
              <w:marLeft w:val="0"/>
              <w:marRight w:val="0"/>
              <w:marTop w:val="0"/>
              <w:marBottom w:val="0"/>
              <w:divBdr>
                <w:top w:val="none" w:sz="0" w:space="0" w:color="auto"/>
                <w:left w:val="none" w:sz="0" w:space="0" w:color="auto"/>
                <w:bottom w:val="none" w:sz="0" w:space="0" w:color="auto"/>
                <w:right w:val="none" w:sz="0" w:space="0" w:color="auto"/>
              </w:divBdr>
            </w:div>
            <w:div w:id="219563444">
              <w:marLeft w:val="0"/>
              <w:marRight w:val="0"/>
              <w:marTop w:val="0"/>
              <w:marBottom w:val="0"/>
              <w:divBdr>
                <w:top w:val="none" w:sz="0" w:space="0" w:color="auto"/>
                <w:left w:val="none" w:sz="0" w:space="0" w:color="auto"/>
                <w:bottom w:val="none" w:sz="0" w:space="0" w:color="auto"/>
                <w:right w:val="none" w:sz="0" w:space="0" w:color="auto"/>
              </w:divBdr>
            </w:div>
            <w:div w:id="251358405">
              <w:marLeft w:val="0"/>
              <w:marRight w:val="0"/>
              <w:marTop w:val="0"/>
              <w:marBottom w:val="0"/>
              <w:divBdr>
                <w:top w:val="none" w:sz="0" w:space="0" w:color="auto"/>
                <w:left w:val="none" w:sz="0" w:space="0" w:color="auto"/>
                <w:bottom w:val="none" w:sz="0" w:space="0" w:color="auto"/>
                <w:right w:val="none" w:sz="0" w:space="0" w:color="auto"/>
              </w:divBdr>
            </w:div>
            <w:div w:id="257521861">
              <w:marLeft w:val="0"/>
              <w:marRight w:val="0"/>
              <w:marTop w:val="0"/>
              <w:marBottom w:val="0"/>
              <w:divBdr>
                <w:top w:val="none" w:sz="0" w:space="0" w:color="auto"/>
                <w:left w:val="none" w:sz="0" w:space="0" w:color="auto"/>
                <w:bottom w:val="none" w:sz="0" w:space="0" w:color="auto"/>
                <w:right w:val="none" w:sz="0" w:space="0" w:color="auto"/>
              </w:divBdr>
            </w:div>
            <w:div w:id="298463846">
              <w:marLeft w:val="0"/>
              <w:marRight w:val="0"/>
              <w:marTop w:val="0"/>
              <w:marBottom w:val="0"/>
              <w:divBdr>
                <w:top w:val="none" w:sz="0" w:space="0" w:color="auto"/>
                <w:left w:val="none" w:sz="0" w:space="0" w:color="auto"/>
                <w:bottom w:val="none" w:sz="0" w:space="0" w:color="auto"/>
                <w:right w:val="none" w:sz="0" w:space="0" w:color="auto"/>
              </w:divBdr>
            </w:div>
            <w:div w:id="327905446">
              <w:marLeft w:val="0"/>
              <w:marRight w:val="0"/>
              <w:marTop w:val="0"/>
              <w:marBottom w:val="0"/>
              <w:divBdr>
                <w:top w:val="none" w:sz="0" w:space="0" w:color="auto"/>
                <w:left w:val="none" w:sz="0" w:space="0" w:color="auto"/>
                <w:bottom w:val="none" w:sz="0" w:space="0" w:color="auto"/>
                <w:right w:val="none" w:sz="0" w:space="0" w:color="auto"/>
              </w:divBdr>
            </w:div>
            <w:div w:id="356079982">
              <w:marLeft w:val="0"/>
              <w:marRight w:val="0"/>
              <w:marTop w:val="0"/>
              <w:marBottom w:val="0"/>
              <w:divBdr>
                <w:top w:val="none" w:sz="0" w:space="0" w:color="auto"/>
                <w:left w:val="none" w:sz="0" w:space="0" w:color="auto"/>
                <w:bottom w:val="none" w:sz="0" w:space="0" w:color="auto"/>
                <w:right w:val="none" w:sz="0" w:space="0" w:color="auto"/>
              </w:divBdr>
            </w:div>
            <w:div w:id="368841057">
              <w:marLeft w:val="0"/>
              <w:marRight w:val="0"/>
              <w:marTop w:val="0"/>
              <w:marBottom w:val="0"/>
              <w:divBdr>
                <w:top w:val="none" w:sz="0" w:space="0" w:color="auto"/>
                <w:left w:val="none" w:sz="0" w:space="0" w:color="auto"/>
                <w:bottom w:val="none" w:sz="0" w:space="0" w:color="auto"/>
                <w:right w:val="none" w:sz="0" w:space="0" w:color="auto"/>
              </w:divBdr>
            </w:div>
            <w:div w:id="392698124">
              <w:marLeft w:val="0"/>
              <w:marRight w:val="0"/>
              <w:marTop w:val="0"/>
              <w:marBottom w:val="0"/>
              <w:divBdr>
                <w:top w:val="none" w:sz="0" w:space="0" w:color="auto"/>
                <w:left w:val="none" w:sz="0" w:space="0" w:color="auto"/>
                <w:bottom w:val="none" w:sz="0" w:space="0" w:color="auto"/>
                <w:right w:val="none" w:sz="0" w:space="0" w:color="auto"/>
              </w:divBdr>
            </w:div>
            <w:div w:id="400637946">
              <w:marLeft w:val="0"/>
              <w:marRight w:val="0"/>
              <w:marTop w:val="0"/>
              <w:marBottom w:val="0"/>
              <w:divBdr>
                <w:top w:val="none" w:sz="0" w:space="0" w:color="auto"/>
                <w:left w:val="none" w:sz="0" w:space="0" w:color="auto"/>
                <w:bottom w:val="none" w:sz="0" w:space="0" w:color="auto"/>
                <w:right w:val="none" w:sz="0" w:space="0" w:color="auto"/>
              </w:divBdr>
            </w:div>
            <w:div w:id="405566047">
              <w:marLeft w:val="0"/>
              <w:marRight w:val="0"/>
              <w:marTop w:val="0"/>
              <w:marBottom w:val="0"/>
              <w:divBdr>
                <w:top w:val="none" w:sz="0" w:space="0" w:color="auto"/>
                <w:left w:val="none" w:sz="0" w:space="0" w:color="auto"/>
                <w:bottom w:val="none" w:sz="0" w:space="0" w:color="auto"/>
                <w:right w:val="none" w:sz="0" w:space="0" w:color="auto"/>
              </w:divBdr>
            </w:div>
            <w:div w:id="410741750">
              <w:marLeft w:val="0"/>
              <w:marRight w:val="0"/>
              <w:marTop w:val="0"/>
              <w:marBottom w:val="0"/>
              <w:divBdr>
                <w:top w:val="none" w:sz="0" w:space="0" w:color="auto"/>
                <w:left w:val="none" w:sz="0" w:space="0" w:color="auto"/>
                <w:bottom w:val="none" w:sz="0" w:space="0" w:color="auto"/>
                <w:right w:val="none" w:sz="0" w:space="0" w:color="auto"/>
              </w:divBdr>
            </w:div>
            <w:div w:id="418478791">
              <w:marLeft w:val="0"/>
              <w:marRight w:val="0"/>
              <w:marTop w:val="0"/>
              <w:marBottom w:val="0"/>
              <w:divBdr>
                <w:top w:val="none" w:sz="0" w:space="0" w:color="auto"/>
                <w:left w:val="none" w:sz="0" w:space="0" w:color="auto"/>
                <w:bottom w:val="none" w:sz="0" w:space="0" w:color="auto"/>
                <w:right w:val="none" w:sz="0" w:space="0" w:color="auto"/>
              </w:divBdr>
            </w:div>
            <w:div w:id="504394694">
              <w:marLeft w:val="0"/>
              <w:marRight w:val="0"/>
              <w:marTop w:val="0"/>
              <w:marBottom w:val="0"/>
              <w:divBdr>
                <w:top w:val="none" w:sz="0" w:space="0" w:color="auto"/>
                <w:left w:val="none" w:sz="0" w:space="0" w:color="auto"/>
                <w:bottom w:val="none" w:sz="0" w:space="0" w:color="auto"/>
                <w:right w:val="none" w:sz="0" w:space="0" w:color="auto"/>
              </w:divBdr>
            </w:div>
            <w:div w:id="519394467">
              <w:marLeft w:val="0"/>
              <w:marRight w:val="0"/>
              <w:marTop w:val="0"/>
              <w:marBottom w:val="0"/>
              <w:divBdr>
                <w:top w:val="none" w:sz="0" w:space="0" w:color="auto"/>
                <w:left w:val="none" w:sz="0" w:space="0" w:color="auto"/>
                <w:bottom w:val="none" w:sz="0" w:space="0" w:color="auto"/>
                <w:right w:val="none" w:sz="0" w:space="0" w:color="auto"/>
              </w:divBdr>
            </w:div>
            <w:div w:id="522019601">
              <w:marLeft w:val="0"/>
              <w:marRight w:val="0"/>
              <w:marTop w:val="0"/>
              <w:marBottom w:val="0"/>
              <w:divBdr>
                <w:top w:val="none" w:sz="0" w:space="0" w:color="auto"/>
                <w:left w:val="none" w:sz="0" w:space="0" w:color="auto"/>
                <w:bottom w:val="none" w:sz="0" w:space="0" w:color="auto"/>
                <w:right w:val="none" w:sz="0" w:space="0" w:color="auto"/>
              </w:divBdr>
            </w:div>
            <w:div w:id="531648423">
              <w:marLeft w:val="0"/>
              <w:marRight w:val="0"/>
              <w:marTop w:val="0"/>
              <w:marBottom w:val="0"/>
              <w:divBdr>
                <w:top w:val="none" w:sz="0" w:space="0" w:color="auto"/>
                <w:left w:val="none" w:sz="0" w:space="0" w:color="auto"/>
                <w:bottom w:val="none" w:sz="0" w:space="0" w:color="auto"/>
                <w:right w:val="none" w:sz="0" w:space="0" w:color="auto"/>
              </w:divBdr>
            </w:div>
            <w:div w:id="563879747">
              <w:marLeft w:val="0"/>
              <w:marRight w:val="0"/>
              <w:marTop w:val="0"/>
              <w:marBottom w:val="0"/>
              <w:divBdr>
                <w:top w:val="none" w:sz="0" w:space="0" w:color="auto"/>
                <w:left w:val="none" w:sz="0" w:space="0" w:color="auto"/>
                <w:bottom w:val="none" w:sz="0" w:space="0" w:color="auto"/>
                <w:right w:val="none" w:sz="0" w:space="0" w:color="auto"/>
              </w:divBdr>
            </w:div>
            <w:div w:id="569509264">
              <w:marLeft w:val="0"/>
              <w:marRight w:val="0"/>
              <w:marTop w:val="0"/>
              <w:marBottom w:val="0"/>
              <w:divBdr>
                <w:top w:val="none" w:sz="0" w:space="0" w:color="auto"/>
                <w:left w:val="none" w:sz="0" w:space="0" w:color="auto"/>
                <w:bottom w:val="none" w:sz="0" w:space="0" w:color="auto"/>
                <w:right w:val="none" w:sz="0" w:space="0" w:color="auto"/>
              </w:divBdr>
            </w:div>
            <w:div w:id="575432040">
              <w:marLeft w:val="0"/>
              <w:marRight w:val="0"/>
              <w:marTop w:val="0"/>
              <w:marBottom w:val="0"/>
              <w:divBdr>
                <w:top w:val="none" w:sz="0" w:space="0" w:color="auto"/>
                <w:left w:val="none" w:sz="0" w:space="0" w:color="auto"/>
                <w:bottom w:val="none" w:sz="0" w:space="0" w:color="auto"/>
                <w:right w:val="none" w:sz="0" w:space="0" w:color="auto"/>
              </w:divBdr>
            </w:div>
            <w:div w:id="589004660">
              <w:marLeft w:val="0"/>
              <w:marRight w:val="0"/>
              <w:marTop w:val="0"/>
              <w:marBottom w:val="0"/>
              <w:divBdr>
                <w:top w:val="none" w:sz="0" w:space="0" w:color="auto"/>
                <w:left w:val="none" w:sz="0" w:space="0" w:color="auto"/>
                <w:bottom w:val="none" w:sz="0" w:space="0" w:color="auto"/>
                <w:right w:val="none" w:sz="0" w:space="0" w:color="auto"/>
              </w:divBdr>
            </w:div>
            <w:div w:id="610090852">
              <w:marLeft w:val="0"/>
              <w:marRight w:val="0"/>
              <w:marTop w:val="0"/>
              <w:marBottom w:val="0"/>
              <w:divBdr>
                <w:top w:val="none" w:sz="0" w:space="0" w:color="auto"/>
                <w:left w:val="none" w:sz="0" w:space="0" w:color="auto"/>
                <w:bottom w:val="none" w:sz="0" w:space="0" w:color="auto"/>
                <w:right w:val="none" w:sz="0" w:space="0" w:color="auto"/>
              </w:divBdr>
            </w:div>
            <w:div w:id="627006838">
              <w:marLeft w:val="0"/>
              <w:marRight w:val="0"/>
              <w:marTop w:val="0"/>
              <w:marBottom w:val="0"/>
              <w:divBdr>
                <w:top w:val="none" w:sz="0" w:space="0" w:color="auto"/>
                <w:left w:val="none" w:sz="0" w:space="0" w:color="auto"/>
                <w:bottom w:val="none" w:sz="0" w:space="0" w:color="auto"/>
                <w:right w:val="none" w:sz="0" w:space="0" w:color="auto"/>
              </w:divBdr>
            </w:div>
            <w:div w:id="635792645">
              <w:marLeft w:val="0"/>
              <w:marRight w:val="0"/>
              <w:marTop w:val="0"/>
              <w:marBottom w:val="0"/>
              <w:divBdr>
                <w:top w:val="none" w:sz="0" w:space="0" w:color="auto"/>
                <w:left w:val="none" w:sz="0" w:space="0" w:color="auto"/>
                <w:bottom w:val="none" w:sz="0" w:space="0" w:color="auto"/>
                <w:right w:val="none" w:sz="0" w:space="0" w:color="auto"/>
              </w:divBdr>
            </w:div>
            <w:div w:id="637610452">
              <w:marLeft w:val="0"/>
              <w:marRight w:val="0"/>
              <w:marTop w:val="0"/>
              <w:marBottom w:val="0"/>
              <w:divBdr>
                <w:top w:val="none" w:sz="0" w:space="0" w:color="auto"/>
                <w:left w:val="none" w:sz="0" w:space="0" w:color="auto"/>
                <w:bottom w:val="none" w:sz="0" w:space="0" w:color="auto"/>
                <w:right w:val="none" w:sz="0" w:space="0" w:color="auto"/>
              </w:divBdr>
            </w:div>
            <w:div w:id="639766581">
              <w:marLeft w:val="0"/>
              <w:marRight w:val="0"/>
              <w:marTop w:val="0"/>
              <w:marBottom w:val="0"/>
              <w:divBdr>
                <w:top w:val="none" w:sz="0" w:space="0" w:color="auto"/>
                <w:left w:val="none" w:sz="0" w:space="0" w:color="auto"/>
                <w:bottom w:val="none" w:sz="0" w:space="0" w:color="auto"/>
                <w:right w:val="none" w:sz="0" w:space="0" w:color="auto"/>
              </w:divBdr>
            </w:div>
            <w:div w:id="675614337">
              <w:marLeft w:val="0"/>
              <w:marRight w:val="0"/>
              <w:marTop w:val="0"/>
              <w:marBottom w:val="0"/>
              <w:divBdr>
                <w:top w:val="none" w:sz="0" w:space="0" w:color="auto"/>
                <w:left w:val="none" w:sz="0" w:space="0" w:color="auto"/>
                <w:bottom w:val="none" w:sz="0" w:space="0" w:color="auto"/>
                <w:right w:val="none" w:sz="0" w:space="0" w:color="auto"/>
              </w:divBdr>
            </w:div>
            <w:div w:id="678968030">
              <w:marLeft w:val="0"/>
              <w:marRight w:val="0"/>
              <w:marTop w:val="0"/>
              <w:marBottom w:val="0"/>
              <w:divBdr>
                <w:top w:val="none" w:sz="0" w:space="0" w:color="auto"/>
                <w:left w:val="none" w:sz="0" w:space="0" w:color="auto"/>
                <w:bottom w:val="none" w:sz="0" w:space="0" w:color="auto"/>
                <w:right w:val="none" w:sz="0" w:space="0" w:color="auto"/>
              </w:divBdr>
            </w:div>
            <w:div w:id="753477376">
              <w:marLeft w:val="0"/>
              <w:marRight w:val="0"/>
              <w:marTop w:val="0"/>
              <w:marBottom w:val="0"/>
              <w:divBdr>
                <w:top w:val="none" w:sz="0" w:space="0" w:color="auto"/>
                <w:left w:val="none" w:sz="0" w:space="0" w:color="auto"/>
                <w:bottom w:val="none" w:sz="0" w:space="0" w:color="auto"/>
                <w:right w:val="none" w:sz="0" w:space="0" w:color="auto"/>
              </w:divBdr>
            </w:div>
            <w:div w:id="811826755">
              <w:marLeft w:val="0"/>
              <w:marRight w:val="0"/>
              <w:marTop w:val="0"/>
              <w:marBottom w:val="0"/>
              <w:divBdr>
                <w:top w:val="none" w:sz="0" w:space="0" w:color="auto"/>
                <w:left w:val="none" w:sz="0" w:space="0" w:color="auto"/>
                <w:bottom w:val="none" w:sz="0" w:space="0" w:color="auto"/>
                <w:right w:val="none" w:sz="0" w:space="0" w:color="auto"/>
              </w:divBdr>
            </w:div>
            <w:div w:id="825170679">
              <w:marLeft w:val="0"/>
              <w:marRight w:val="0"/>
              <w:marTop w:val="0"/>
              <w:marBottom w:val="0"/>
              <w:divBdr>
                <w:top w:val="none" w:sz="0" w:space="0" w:color="auto"/>
                <w:left w:val="none" w:sz="0" w:space="0" w:color="auto"/>
                <w:bottom w:val="none" w:sz="0" w:space="0" w:color="auto"/>
                <w:right w:val="none" w:sz="0" w:space="0" w:color="auto"/>
              </w:divBdr>
            </w:div>
            <w:div w:id="831987914">
              <w:marLeft w:val="0"/>
              <w:marRight w:val="0"/>
              <w:marTop w:val="0"/>
              <w:marBottom w:val="0"/>
              <w:divBdr>
                <w:top w:val="none" w:sz="0" w:space="0" w:color="auto"/>
                <w:left w:val="none" w:sz="0" w:space="0" w:color="auto"/>
                <w:bottom w:val="none" w:sz="0" w:space="0" w:color="auto"/>
                <w:right w:val="none" w:sz="0" w:space="0" w:color="auto"/>
              </w:divBdr>
            </w:div>
            <w:div w:id="845822081">
              <w:marLeft w:val="0"/>
              <w:marRight w:val="0"/>
              <w:marTop w:val="0"/>
              <w:marBottom w:val="0"/>
              <w:divBdr>
                <w:top w:val="none" w:sz="0" w:space="0" w:color="auto"/>
                <w:left w:val="none" w:sz="0" w:space="0" w:color="auto"/>
                <w:bottom w:val="none" w:sz="0" w:space="0" w:color="auto"/>
                <w:right w:val="none" w:sz="0" w:space="0" w:color="auto"/>
              </w:divBdr>
            </w:div>
            <w:div w:id="850024800">
              <w:marLeft w:val="0"/>
              <w:marRight w:val="0"/>
              <w:marTop w:val="0"/>
              <w:marBottom w:val="0"/>
              <w:divBdr>
                <w:top w:val="none" w:sz="0" w:space="0" w:color="auto"/>
                <w:left w:val="none" w:sz="0" w:space="0" w:color="auto"/>
                <w:bottom w:val="none" w:sz="0" w:space="0" w:color="auto"/>
                <w:right w:val="none" w:sz="0" w:space="0" w:color="auto"/>
              </w:divBdr>
            </w:div>
            <w:div w:id="896404724">
              <w:marLeft w:val="0"/>
              <w:marRight w:val="0"/>
              <w:marTop w:val="0"/>
              <w:marBottom w:val="0"/>
              <w:divBdr>
                <w:top w:val="none" w:sz="0" w:space="0" w:color="auto"/>
                <w:left w:val="none" w:sz="0" w:space="0" w:color="auto"/>
                <w:bottom w:val="none" w:sz="0" w:space="0" w:color="auto"/>
                <w:right w:val="none" w:sz="0" w:space="0" w:color="auto"/>
              </w:divBdr>
            </w:div>
            <w:div w:id="913004749">
              <w:marLeft w:val="0"/>
              <w:marRight w:val="0"/>
              <w:marTop w:val="0"/>
              <w:marBottom w:val="0"/>
              <w:divBdr>
                <w:top w:val="none" w:sz="0" w:space="0" w:color="auto"/>
                <w:left w:val="none" w:sz="0" w:space="0" w:color="auto"/>
                <w:bottom w:val="none" w:sz="0" w:space="0" w:color="auto"/>
                <w:right w:val="none" w:sz="0" w:space="0" w:color="auto"/>
              </w:divBdr>
            </w:div>
            <w:div w:id="949748282">
              <w:marLeft w:val="0"/>
              <w:marRight w:val="0"/>
              <w:marTop w:val="0"/>
              <w:marBottom w:val="0"/>
              <w:divBdr>
                <w:top w:val="none" w:sz="0" w:space="0" w:color="auto"/>
                <w:left w:val="none" w:sz="0" w:space="0" w:color="auto"/>
                <w:bottom w:val="none" w:sz="0" w:space="0" w:color="auto"/>
                <w:right w:val="none" w:sz="0" w:space="0" w:color="auto"/>
              </w:divBdr>
            </w:div>
            <w:div w:id="956369217">
              <w:marLeft w:val="0"/>
              <w:marRight w:val="0"/>
              <w:marTop w:val="0"/>
              <w:marBottom w:val="0"/>
              <w:divBdr>
                <w:top w:val="none" w:sz="0" w:space="0" w:color="auto"/>
                <w:left w:val="none" w:sz="0" w:space="0" w:color="auto"/>
                <w:bottom w:val="none" w:sz="0" w:space="0" w:color="auto"/>
                <w:right w:val="none" w:sz="0" w:space="0" w:color="auto"/>
              </w:divBdr>
            </w:div>
            <w:div w:id="1031105660">
              <w:marLeft w:val="0"/>
              <w:marRight w:val="0"/>
              <w:marTop w:val="0"/>
              <w:marBottom w:val="0"/>
              <w:divBdr>
                <w:top w:val="none" w:sz="0" w:space="0" w:color="auto"/>
                <w:left w:val="none" w:sz="0" w:space="0" w:color="auto"/>
                <w:bottom w:val="none" w:sz="0" w:space="0" w:color="auto"/>
                <w:right w:val="none" w:sz="0" w:space="0" w:color="auto"/>
              </w:divBdr>
            </w:div>
            <w:div w:id="1052849863">
              <w:marLeft w:val="0"/>
              <w:marRight w:val="0"/>
              <w:marTop w:val="0"/>
              <w:marBottom w:val="0"/>
              <w:divBdr>
                <w:top w:val="none" w:sz="0" w:space="0" w:color="auto"/>
                <w:left w:val="none" w:sz="0" w:space="0" w:color="auto"/>
                <w:bottom w:val="none" w:sz="0" w:space="0" w:color="auto"/>
                <w:right w:val="none" w:sz="0" w:space="0" w:color="auto"/>
              </w:divBdr>
            </w:div>
            <w:div w:id="1074664299">
              <w:marLeft w:val="0"/>
              <w:marRight w:val="0"/>
              <w:marTop w:val="0"/>
              <w:marBottom w:val="0"/>
              <w:divBdr>
                <w:top w:val="none" w:sz="0" w:space="0" w:color="auto"/>
                <w:left w:val="none" w:sz="0" w:space="0" w:color="auto"/>
                <w:bottom w:val="none" w:sz="0" w:space="0" w:color="auto"/>
                <w:right w:val="none" w:sz="0" w:space="0" w:color="auto"/>
              </w:divBdr>
            </w:div>
            <w:div w:id="1091314492">
              <w:marLeft w:val="0"/>
              <w:marRight w:val="0"/>
              <w:marTop w:val="0"/>
              <w:marBottom w:val="0"/>
              <w:divBdr>
                <w:top w:val="none" w:sz="0" w:space="0" w:color="auto"/>
                <w:left w:val="none" w:sz="0" w:space="0" w:color="auto"/>
                <w:bottom w:val="none" w:sz="0" w:space="0" w:color="auto"/>
                <w:right w:val="none" w:sz="0" w:space="0" w:color="auto"/>
              </w:divBdr>
            </w:div>
            <w:div w:id="1091468244">
              <w:marLeft w:val="0"/>
              <w:marRight w:val="0"/>
              <w:marTop w:val="0"/>
              <w:marBottom w:val="0"/>
              <w:divBdr>
                <w:top w:val="none" w:sz="0" w:space="0" w:color="auto"/>
                <w:left w:val="none" w:sz="0" w:space="0" w:color="auto"/>
                <w:bottom w:val="none" w:sz="0" w:space="0" w:color="auto"/>
                <w:right w:val="none" w:sz="0" w:space="0" w:color="auto"/>
              </w:divBdr>
            </w:div>
            <w:div w:id="1095858732">
              <w:marLeft w:val="0"/>
              <w:marRight w:val="0"/>
              <w:marTop w:val="0"/>
              <w:marBottom w:val="0"/>
              <w:divBdr>
                <w:top w:val="none" w:sz="0" w:space="0" w:color="auto"/>
                <w:left w:val="none" w:sz="0" w:space="0" w:color="auto"/>
                <w:bottom w:val="none" w:sz="0" w:space="0" w:color="auto"/>
                <w:right w:val="none" w:sz="0" w:space="0" w:color="auto"/>
              </w:divBdr>
            </w:div>
            <w:div w:id="1098020519">
              <w:marLeft w:val="0"/>
              <w:marRight w:val="0"/>
              <w:marTop w:val="0"/>
              <w:marBottom w:val="0"/>
              <w:divBdr>
                <w:top w:val="none" w:sz="0" w:space="0" w:color="auto"/>
                <w:left w:val="none" w:sz="0" w:space="0" w:color="auto"/>
                <w:bottom w:val="none" w:sz="0" w:space="0" w:color="auto"/>
                <w:right w:val="none" w:sz="0" w:space="0" w:color="auto"/>
              </w:divBdr>
            </w:div>
            <w:div w:id="1125318992">
              <w:marLeft w:val="0"/>
              <w:marRight w:val="0"/>
              <w:marTop w:val="0"/>
              <w:marBottom w:val="0"/>
              <w:divBdr>
                <w:top w:val="none" w:sz="0" w:space="0" w:color="auto"/>
                <w:left w:val="none" w:sz="0" w:space="0" w:color="auto"/>
                <w:bottom w:val="none" w:sz="0" w:space="0" w:color="auto"/>
                <w:right w:val="none" w:sz="0" w:space="0" w:color="auto"/>
              </w:divBdr>
            </w:div>
            <w:div w:id="1125848575">
              <w:marLeft w:val="0"/>
              <w:marRight w:val="0"/>
              <w:marTop w:val="0"/>
              <w:marBottom w:val="0"/>
              <w:divBdr>
                <w:top w:val="none" w:sz="0" w:space="0" w:color="auto"/>
                <w:left w:val="none" w:sz="0" w:space="0" w:color="auto"/>
                <w:bottom w:val="none" w:sz="0" w:space="0" w:color="auto"/>
                <w:right w:val="none" w:sz="0" w:space="0" w:color="auto"/>
              </w:divBdr>
            </w:div>
            <w:div w:id="1191334559">
              <w:marLeft w:val="0"/>
              <w:marRight w:val="0"/>
              <w:marTop w:val="0"/>
              <w:marBottom w:val="0"/>
              <w:divBdr>
                <w:top w:val="none" w:sz="0" w:space="0" w:color="auto"/>
                <w:left w:val="none" w:sz="0" w:space="0" w:color="auto"/>
                <w:bottom w:val="none" w:sz="0" w:space="0" w:color="auto"/>
                <w:right w:val="none" w:sz="0" w:space="0" w:color="auto"/>
              </w:divBdr>
            </w:div>
            <w:div w:id="1213469513">
              <w:marLeft w:val="0"/>
              <w:marRight w:val="0"/>
              <w:marTop w:val="0"/>
              <w:marBottom w:val="0"/>
              <w:divBdr>
                <w:top w:val="none" w:sz="0" w:space="0" w:color="auto"/>
                <w:left w:val="none" w:sz="0" w:space="0" w:color="auto"/>
                <w:bottom w:val="none" w:sz="0" w:space="0" w:color="auto"/>
                <w:right w:val="none" w:sz="0" w:space="0" w:color="auto"/>
              </w:divBdr>
            </w:div>
            <w:div w:id="1219634794">
              <w:marLeft w:val="0"/>
              <w:marRight w:val="0"/>
              <w:marTop w:val="0"/>
              <w:marBottom w:val="0"/>
              <w:divBdr>
                <w:top w:val="none" w:sz="0" w:space="0" w:color="auto"/>
                <w:left w:val="none" w:sz="0" w:space="0" w:color="auto"/>
                <w:bottom w:val="none" w:sz="0" w:space="0" w:color="auto"/>
                <w:right w:val="none" w:sz="0" w:space="0" w:color="auto"/>
              </w:divBdr>
            </w:div>
            <w:div w:id="1226572602">
              <w:marLeft w:val="0"/>
              <w:marRight w:val="0"/>
              <w:marTop w:val="0"/>
              <w:marBottom w:val="0"/>
              <w:divBdr>
                <w:top w:val="none" w:sz="0" w:space="0" w:color="auto"/>
                <w:left w:val="none" w:sz="0" w:space="0" w:color="auto"/>
                <w:bottom w:val="none" w:sz="0" w:space="0" w:color="auto"/>
                <w:right w:val="none" w:sz="0" w:space="0" w:color="auto"/>
              </w:divBdr>
            </w:div>
            <w:div w:id="1228876803">
              <w:marLeft w:val="0"/>
              <w:marRight w:val="0"/>
              <w:marTop w:val="0"/>
              <w:marBottom w:val="0"/>
              <w:divBdr>
                <w:top w:val="none" w:sz="0" w:space="0" w:color="auto"/>
                <w:left w:val="none" w:sz="0" w:space="0" w:color="auto"/>
                <w:bottom w:val="none" w:sz="0" w:space="0" w:color="auto"/>
                <w:right w:val="none" w:sz="0" w:space="0" w:color="auto"/>
              </w:divBdr>
            </w:div>
            <w:div w:id="1270426898">
              <w:marLeft w:val="0"/>
              <w:marRight w:val="0"/>
              <w:marTop w:val="0"/>
              <w:marBottom w:val="0"/>
              <w:divBdr>
                <w:top w:val="none" w:sz="0" w:space="0" w:color="auto"/>
                <w:left w:val="none" w:sz="0" w:space="0" w:color="auto"/>
                <w:bottom w:val="none" w:sz="0" w:space="0" w:color="auto"/>
                <w:right w:val="none" w:sz="0" w:space="0" w:color="auto"/>
              </w:divBdr>
            </w:div>
            <w:div w:id="1281379044">
              <w:marLeft w:val="0"/>
              <w:marRight w:val="0"/>
              <w:marTop w:val="0"/>
              <w:marBottom w:val="0"/>
              <w:divBdr>
                <w:top w:val="none" w:sz="0" w:space="0" w:color="auto"/>
                <w:left w:val="none" w:sz="0" w:space="0" w:color="auto"/>
                <w:bottom w:val="none" w:sz="0" w:space="0" w:color="auto"/>
                <w:right w:val="none" w:sz="0" w:space="0" w:color="auto"/>
              </w:divBdr>
            </w:div>
            <w:div w:id="1284187517">
              <w:marLeft w:val="0"/>
              <w:marRight w:val="0"/>
              <w:marTop w:val="0"/>
              <w:marBottom w:val="0"/>
              <w:divBdr>
                <w:top w:val="none" w:sz="0" w:space="0" w:color="auto"/>
                <w:left w:val="none" w:sz="0" w:space="0" w:color="auto"/>
                <w:bottom w:val="none" w:sz="0" w:space="0" w:color="auto"/>
                <w:right w:val="none" w:sz="0" w:space="0" w:color="auto"/>
              </w:divBdr>
            </w:div>
            <w:div w:id="1321426427">
              <w:marLeft w:val="0"/>
              <w:marRight w:val="0"/>
              <w:marTop w:val="0"/>
              <w:marBottom w:val="0"/>
              <w:divBdr>
                <w:top w:val="none" w:sz="0" w:space="0" w:color="auto"/>
                <w:left w:val="none" w:sz="0" w:space="0" w:color="auto"/>
                <w:bottom w:val="none" w:sz="0" w:space="0" w:color="auto"/>
                <w:right w:val="none" w:sz="0" w:space="0" w:color="auto"/>
              </w:divBdr>
            </w:div>
            <w:div w:id="1345134542">
              <w:marLeft w:val="0"/>
              <w:marRight w:val="0"/>
              <w:marTop w:val="0"/>
              <w:marBottom w:val="0"/>
              <w:divBdr>
                <w:top w:val="none" w:sz="0" w:space="0" w:color="auto"/>
                <w:left w:val="none" w:sz="0" w:space="0" w:color="auto"/>
                <w:bottom w:val="none" w:sz="0" w:space="0" w:color="auto"/>
                <w:right w:val="none" w:sz="0" w:space="0" w:color="auto"/>
              </w:divBdr>
            </w:div>
            <w:div w:id="1352687199">
              <w:marLeft w:val="0"/>
              <w:marRight w:val="0"/>
              <w:marTop w:val="0"/>
              <w:marBottom w:val="0"/>
              <w:divBdr>
                <w:top w:val="none" w:sz="0" w:space="0" w:color="auto"/>
                <w:left w:val="none" w:sz="0" w:space="0" w:color="auto"/>
                <w:bottom w:val="none" w:sz="0" w:space="0" w:color="auto"/>
                <w:right w:val="none" w:sz="0" w:space="0" w:color="auto"/>
              </w:divBdr>
            </w:div>
            <w:div w:id="1378623465">
              <w:marLeft w:val="0"/>
              <w:marRight w:val="0"/>
              <w:marTop w:val="0"/>
              <w:marBottom w:val="0"/>
              <w:divBdr>
                <w:top w:val="none" w:sz="0" w:space="0" w:color="auto"/>
                <w:left w:val="none" w:sz="0" w:space="0" w:color="auto"/>
                <w:bottom w:val="none" w:sz="0" w:space="0" w:color="auto"/>
                <w:right w:val="none" w:sz="0" w:space="0" w:color="auto"/>
              </w:divBdr>
            </w:div>
            <w:div w:id="1385519896">
              <w:marLeft w:val="0"/>
              <w:marRight w:val="0"/>
              <w:marTop w:val="0"/>
              <w:marBottom w:val="0"/>
              <w:divBdr>
                <w:top w:val="none" w:sz="0" w:space="0" w:color="auto"/>
                <w:left w:val="none" w:sz="0" w:space="0" w:color="auto"/>
                <w:bottom w:val="none" w:sz="0" w:space="0" w:color="auto"/>
                <w:right w:val="none" w:sz="0" w:space="0" w:color="auto"/>
              </w:divBdr>
            </w:div>
            <w:div w:id="1398357086">
              <w:marLeft w:val="0"/>
              <w:marRight w:val="0"/>
              <w:marTop w:val="0"/>
              <w:marBottom w:val="0"/>
              <w:divBdr>
                <w:top w:val="none" w:sz="0" w:space="0" w:color="auto"/>
                <w:left w:val="none" w:sz="0" w:space="0" w:color="auto"/>
                <w:bottom w:val="none" w:sz="0" w:space="0" w:color="auto"/>
                <w:right w:val="none" w:sz="0" w:space="0" w:color="auto"/>
              </w:divBdr>
            </w:div>
            <w:div w:id="1420105829">
              <w:marLeft w:val="0"/>
              <w:marRight w:val="0"/>
              <w:marTop w:val="0"/>
              <w:marBottom w:val="0"/>
              <w:divBdr>
                <w:top w:val="none" w:sz="0" w:space="0" w:color="auto"/>
                <w:left w:val="none" w:sz="0" w:space="0" w:color="auto"/>
                <w:bottom w:val="none" w:sz="0" w:space="0" w:color="auto"/>
                <w:right w:val="none" w:sz="0" w:space="0" w:color="auto"/>
              </w:divBdr>
            </w:div>
            <w:div w:id="1434279969">
              <w:marLeft w:val="0"/>
              <w:marRight w:val="0"/>
              <w:marTop w:val="0"/>
              <w:marBottom w:val="0"/>
              <w:divBdr>
                <w:top w:val="none" w:sz="0" w:space="0" w:color="auto"/>
                <w:left w:val="none" w:sz="0" w:space="0" w:color="auto"/>
                <w:bottom w:val="none" w:sz="0" w:space="0" w:color="auto"/>
                <w:right w:val="none" w:sz="0" w:space="0" w:color="auto"/>
              </w:divBdr>
            </w:div>
            <w:div w:id="1435786061">
              <w:marLeft w:val="0"/>
              <w:marRight w:val="0"/>
              <w:marTop w:val="0"/>
              <w:marBottom w:val="0"/>
              <w:divBdr>
                <w:top w:val="none" w:sz="0" w:space="0" w:color="auto"/>
                <w:left w:val="none" w:sz="0" w:space="0" w:color="auto"/>
                <w:bottom w:val="none" w:sz="0" w:space="0" w:color="auto"/>
                <w:right w:val="none" w:sz="0" w:space="0" w:color="auto"/>
              </w:divBdr>
            </w:div>
            <w:div w:id="1439787667">
              <w:marLeft w:val="0"/>
              <w:marRight w:val="0"/>
              <w:marTop w:val="0"/>
              <w:marBottom w:val="0"/>
              <w:divBdr>
                <w:top w:val="none" w:sz="0" w:space="0" w:color="auto"/>
                <w:left w:val="none" w:sz="0" w:space="0" w:color="auto"/>
                <w:bottom w:val="none" w:sz="0" w:space="0" w:color="auto"/>
                <w:right w:val="none" w:sz="0" w:space="0" w:color="auto"/>
              </w:divBdr>
            </w:div>
            <w:div w:id="1444568275">
              <w:marLeft w:val="0"/>
              <w:marRight w:val="0"/>
              <w:marTop w:val="0"/>
              <w:marBottom w:val="0"/>
              <w:divBdr>
                <w:top w:val="none" w:sz="0" w:space="0" w:color="auto"/>
                <w:left w:val="none" w:sz="0" w:space="0" w:color="auto"/>
                <w:bottom w:val="none" w:sz="0" w:space="0" w:color="auto"/>
                <w:right w:val="none" w:sz="0" w:space="0" w:color="auto"/>
              </w:divBdr>
            </w:div>
            <w:div w:id="1492604807">
              <w:marLeft w:val="0"/>
              <w:marRight w:val="0"/>
              <w:marTop w:val="0"/>
              <w:marBottom w:val="0"/>
              <w:divBdr>
                <w:top w:val="none" w:sz="0" w:space="0" w:color="auto"/>
                <w:left w:val="none" w:sz="0" w:space="0" w:color="auto"/>
                <w:bottom w:val="none" w:sz="0" w:space="0" w:color="auto"/>
                <w:right w:val="none" w:sz="0" w:space="0" w:color="auto"/>
              </w:divBdr>
            </w:div>
            <w:div w:id="1513641521">
              <w:marLeft w:val="0"/>
              <w:marRight w:val="0"/>
              <w:marTop w:val="0"/>
              <w:marBottom w:val="0"/>
              <w:divBdr>
                <w:top w:val="none" w:sz="0" w:space="0" w:color="auto"/>
                <w:left w:val="none" w:sz="0" w:space="0" w:color="auto"/>
                <w:bottom w:val="none" w:sz="0" w:space="0" w:color="auto"/>
                <w:right w:val="none" w:sz="0" w:space="0" w:color="auto"/>
              </w:divBdr>
            </w:div>
            <w:div w:id="1520510947">
              <w:marLeft w:val="0"/>
              <w:marRight w:val="0"/>
              <w:marTop w:val="0"/>
              <w:marBottom w:val="0"/>
              <w:divBdr>
                <w:top w:val="none" w:sz="0" w:space="0" w:color="auto"/>
                <w:left w:val="none" w:sz="0" w:space="0" w:color="auto"/>
                <w:bottom w:val="none" w:sz="0" w:space="0" w:color="auto"/>
                <w:right w:val="none" w:sz="0" w:space="0" w:color="auto"/>
              </w:divBdr>
            </w:div>
            <w:div w:id="1571039768">
              <w:marLeft w:val="0"/>
              <w:marRight w:val="0"/>
              <w:marTop w:val="0"/>
              <w:marBottom w:val="0"/>
              <w:divBdr>
                <w:top w:val="none" w:sz="0" w:space="0" w:color="auto"/>
                <w:left w:val="none" w:sz="0" w:space="0" w:color="auto"/>
                <w:bottom w:val="none" w:sz="0" w:space="0" w:color="auto"/>
                <w:right w:val="none" w:sz="0" w:space="0" w:color="auto"/>
              </w:divBdr>
            </w:div>
            <w:div w:id="1605455347">
              <w:marLeft w:val="0"/>
              <w:marRight w:val="0"/>
              <w:marTop w:val="0"/>
              <w:marBottom w:val="0"/>
              <w:divBdr>
                <w:top w:val="none" w:sz="0" w:space="0" w:color="auto"/>
                <w:left w:val="none" w:sz="0" w:space="0" w:color="auto"/>
                <w:bottom w:val="none" w:sz="0" w:space="0" w:color="auto"/>
                <w:right w:val="none" w:sz="0" w:space="0" w:color="auto"/>
              </w:divBdr>
            </w:div>
            <w:div w:id="1658462911">
              <w:marLeft w:val="0"/>
              <w:marRight w:val="0"/>
              <w:marTop w:val="0"/>
              <w:marBottom w:val="0"/>
              <w:divBdr>
                <w:top w:val="none" w:sz="0" w:space="0" w:color="auto"/>
                <w:left w:val="none" w:sz="0" w:space="0" w:color="auto"/>
                <w:bottom w:val="none" w:sz="0" w:space="0" w:color="auto"/>
                <w:right w:val="none" w:sz="0" w:space="0" w:color="auto"/>
              </w:divBdr>
            </w:div>
            <w:div w:id="1675303497">
              <w:marLeft w:val="0"/>
              <w:marRight w:val="0"/>
              <w:marTop w:val="0"/>
              <w:marBottom w:val="0"/>
              <w:divBdr>
                <w:top w:val="none" w:sz="0" w:space="0" w:color="auto"/>
                <w:left w:val="none" w:sz="0" w:space="0" w:color="auto"/>
                <w:bottom w:val="none" w:sz="0" w:space="0" w:color="auto"/>
                <w:right w:val="none" w:sz="0" w:space="0" w:color="auto"/>
              </w:divBdr>
            </w:div>
            <w:div w:id="1675449168">
              <w:marLeft w:val="0"/>
              <w:marRight w:val="0"/>
              <w:marTop w:val="0"/>
              <w:marBottom w:val="0"/>
              <w:divBdr>
                <w:top w:val="none" w:sz="0" w:space="0" w:color="auto"/>
                <w:left w:val="none" w:sz="0" w:space="0" w:color="auto"/>
                <w:bottom w:val="none" w:sz="0" w:space="0" w:color="auto"/>
                <w:right w:val="none" w:sz="0" w:space="0" w:color="auto"/>
              </w:divBdr>
            </w:div>
            <w:div w:id="1738817657">
              <w:marLeft w:val="0"/>
              <w:marRight w:val="0"/>
              <w:marTop w:val="0"/>
              <w:marBottom w:val="0"/>
              <w:divBdr>
                <w:top w:val="none" w:sz="0" w:space="0" w:color="auto"/>
                <w:left w:val="none" w:sz="0" w:space="0" w:color="auto"/>
                <w:bottom w:val="none" w:sz="0" w:space="0" w:color="auto"/>
                <w:right w:val="none" w:sz="0" w:space="0" w:color="auto"/>
              </w:divBdr>
            </w:div>
            <w:div w:id="1756785853">
              <w:marLeft w:val="0"/>
              <w:marRight w:val="0"/>
              <w:marTop w:val="0"/>
              <w:marBottom w:val="0"/>
              <w:divBdr>
                <w:top w:val="none" w:sz="0" w:space="0" w:color="auto"/>
                <w:left w:val="none" w:sz="0" w:space="0" w:color="auto"/>
                <w:bottom w:val="none" w:sz="0" w:space="0" w:color="auto"/>
                <w:right w:val="none" w:sz="0" w:space="0" w:color="auto"/>
              </w:divBdr>
            </w:div>
            <w:div w:id="1806121393">
              <w:marLeft w:val="0"/>
              <w:marRight w:val="0"/>
              <w:marTop w:val="0"/>
              <w:marBottom w:val="0"/>
              <w:divBdr>
                <w:top w:val="none" w:sz="0" w:space="0" w:color="auto"/>
                <w:left w:val="none" w:sz="0" w:space="0" w:color="auto"/>
                <w:bottom w:val="none" w:sz="0" w:space="0" w:color="auto"/>
                <w:right w:val="none" w:sz="0" w:space="0" w:color="auto"/>
              </w:divBdr>
            </w:div>
            <w:div w:id="1831096630">
              <w:marLeft w:val="0"/>
              <w:marRight w:val="0"/>
              <w:marTop w:val="0"/>
              <w:marBottom w:val="0"/>
              <w:divBdr>
                <w:top w:val="none" w:sz="0" w:space="0" w:color="auto"/>
                <w:left w:val="none" w:sz="0" w:space="0" w:color="auto"/>
                <w:bottom w:val="none" w:sz="0" w:space="0" w:color="auto"/>
                <w:right w:val="none" w:sz="0" w:space="0" w:color="auto"/>
              </w:divBdr>
            </w:div>
            <w:div w:id="1831168353">
              <w:marLeft w:val="0"/>
              <w:marRight w:val="0"/>
              <w:marTop w:val="0"/>
              <w:marBottom w:val="0"/>
              <w:divBdr>
                <w:top w:val="none" w:sz="0" w:space="0" w:color="auto"/>
                <w:left w:val="none" w:sz="0" w:space="0" w:color="auto"/>
                <w:bottom w:val="none" w:sz="0" w:space="0" w:color="auto"/>
                <w:right w:val="none" w:sz="0" w:space="0" w:color="auto"/>
              </w:divBdr>
            </w:div>
            <w:div w:id="1836531625">
              <w:marLeft w:val="0"/>
              <w:marRight w:val="0"/>
              <w:marTop w:val="0"/>
              <w:marBottom w:val="0"/>
              <w:divBdr>
                <w:top w:val="none" w:sz="0" w:space="0" w:color="auto"/>
                <w:left w:val="none" w:sz="0" w:space="0" w:color="auto"/>
                <w:bottom w:val="none" w:sz="0" w:space="0" w:color="auto"/>
                <w:right w:val="none" w:sz="0" w:space="0" w:color="auto"/>
              </w:divBdr>
            </w:div>
            <w:div w:id="1839029412">
              <w:marLeft w:val="0"/>
              <w:marRight w:val="0"/>
              <w:marTop w:val="0"/>
              <w:marBottom w:val="0"/>
              <w:divBdr>
                <w:top w:val="none" w:sz="0" w:space="0" w:color="auto"/>
                <w:left w:val="none" w:sz="0" w:space="0" w:color="auto"/>
                <w:bottom w:val="none" w:sz="0" w:space="0" w:color="auto"/>
                <w:right w:val="none" w:sz="0" w:space="0" w:color="auto"/>
              </w:divBdr>
            </w:div>
            <w:div w:id="1897467694">
              <w:marLeft w:val="0"/>
              <w:marRight w:val="0"/>
              <w:marTop w:val="0"/>
              <w:marBottom w:val="0"/>
              <w:divBdr>
                <w:top w:val="none" w:sz="0" w:space="0" w:color="auto"/>
                <w:left w:val="none" w:sz="0" w:space="0" w:color="auto"/>
                <w:bottom w:val="none" w:sz="0" w:space="0" w:color="auto"/>
                <w:right w:val="none" w:sz="0" w:space="0" w:color="auto"/>
              </w:divBdr>
            </w:div>
            <w:div w:id="1911771486">
              <w:marLeft w:val="0"/>
              <w:marRight w:val="0"/>
              <w:marTop w:val="0"/>
              <w:marBottom w:val="0"/>
              <w:divBdr>
                <w:top w:val="none" w:sz="0" w:space="0" w:color="auto"/>
                <w:left w:val="none" w:sz="0" w:space="0" w:color="auto"/>
                <w:bottom w:val="none" w:sz="0" w:space="0" w:color="auto"/>
                <w:right w:val="none" w:sz="0" w:space="0" w:color="auto"/>
              </w:divBdr>
            </w:div>
            <w:div w:id="1915165591">
              <w:marLeft w:val="0"/>
              <w:marRight w:val="0"/>
              <w:marTop w:val="0"/>
              <w:marBottom w:val="0"/>
              <w:divBdr>
                <w:top w:val="none" w:sz="0" w:space="0" w:color="auto"/>
                <w:left w:val="none" w:sz="0" w:space="0" w:color="auto"/>
                <w:bottom w:val="none" w:sz="0" w:space="0" w:color="auto"/>
                <w:right w:val="none" w:sz="0" w:space="0" w:color="auto"/>
              </w:divBdr>
            </w:div>
            <w:div w:id="1917353878">
              <w:marLeft w:val="0"/>
              <w:marRight w:val="0"/>
              <w:marTop w:val="0"/>
              <w:marBottom w:val="0"/>
              <w:divBdr>
                <w:top w:val="none" w:sz="0" w:space="0" w:color="auto"/>
                <w:left w:val="none" w:sz="0" w:space="0" w:color="auto"/>
                <w:bottom w:val="none" w:sz="0" w:space="0" w:color="auto"/>
                <w:right w:val="none" w:sz="0" w:space="0" w:color="auto"/>
              </w:divBdr>
            </w:div>
            <w:div w:id="1926449228">
              <w:marLeft w:val="0"/>
              <w:marRight w:val="0"/>
              <w:marTop w:val="0"/>
              <w:marBottom w:val="0"/>
              <w:divBdr>
                <w:top w:val="none" w:sz="0" w:space="0" w:color="auto"/>
                <w:left w:val="none" w:sz="0" w:space="0" w:color="auto"/>
                <w:bottom w:val="none" w:sz="0" w:space="0" w:color="auto"/>
                <w:right w:val="none" w:sz="0" w:space="0" w:color="auto"/>
              </w:divBdr>
            </w:div>
            <w:div w:id="1941448683">
              <w:marLeft w:val="0"/>
              <w:marRight w:val="0"/>
              <w:marTop w:val="0"/>
              <w:marBottom w:val="0"/>
              <w:divBdr>
                <w:top w:val="none" w:sz="0" w:space="0" w:color="auto"/>
                <w:left w:val="none" w:sz="0" w:space="0" w:color="auto"/>
                <w:bottom w:val="none" w:sz="0" w:space="0" w:color="auto"/>
                <w:right w:val="none" w:sz="0" w:space="0" w:color="auto"/>
              </w:divBdr>
            </w:div>
            <w:div w:id="1950811725">
              <w:marLeft w:val="0"/>
              <w:marRight w:val="0"/>
              <w:marTop w:val="0"/>
              <w:marBottom w:val="0"/>
              <w:divBdr>
                <w:top w:val="none" w:sz="0" w:space="0" w:color="auto"/>
                <w:left w:val="none" w:sz="0" w:space="0" w:color="auto"/>
                <w:bottom w:val="none" w:sz="0" w:space="0" w:color="auto"/>
                <w:right w:val="none" w:sz="0" w:space="0" w:color="auto"/>
              </w:divBdr>
            </w:div>
            <w:div w:id="1953628644">
              <w:marLeft w:val="0"/>
              <w:marRight w:val="0"/>
              <w:marTop w:val="0"/>
              <w:marBottom w:val="0"/>
              <w:divBdr>
                <w:top w:val="none" w:sz="0" w:space="0" w:color="auto"/>
                <w:left w:val="none" w:sz="0" w:space="0" w:color="auto"/>
                <w:bottom w:val="none" w:sz="0" w:space="0" w:color="auto"/>
                <w:right w:val="none" w:sz="0" w:space="0" w:color="auto"/>
              </w:divBdr>
            </w:div>
            <w:div w:id="1955674070">
              <w:marLeft w:val="0"/>
              <w:marRight w:val="0"/>
              <w:marTop w:val="0"/>
              <w:marBottom w:val="0"/>
              <w:divBdr>
                <w:top w:val="none" w:sz="0" w:space="0" w:color="auto"/>
                <w:left w:val="none" w:sz="0" w:space="0" w:color="auto"/>
                <w:bottom w:val="none" w:sz="0" w:space="0" w:color="auto"/>
                <w:right w:val="none" w:sz="0" w:space="0" w:color="auto"/>
              </w:divBdr>
            </w:div>
            <w:div w:id="1957637943">
              <w:marLeft w:val="0"/>
              <w:marRight w:val="0"/>
              <w:marTop w:val="0"/>
              <w:marBottom w:val="0"/>
              <w:divBdr>
                <w:top w:val="none" w:sz="0" w:space="0" w:color="auto"/>
                <w:left w:val="none" w:sz="0" w:space="0" w:color="auto"/>
                <w:bottom w:val="none" w:sz="0" w:space="0" w:color="auto"/>
                <w:right w:val="none" w:sz="0" w:space="0" w:color="auto"/>
              </w:divBdr>
            </w:div>
            <w:div w:id="1963880250">
              <w:marLeft w:val="0"/>
              <w:marRight w:val="0"/>
              <w:marTop w:val="0"/>
              <w:marBottom w:val="0"/>
              <w:divBdr>
                <w:top w:val="none" w:sz="0" w:space="0" w:color="auto"/>
                <w:left w:val="none" w:sz="0" w:space="0" w:color="auto"/>
                <w:bottom w:val="none" w:sz="0" w:space="0" w:color="auto"/>
                <w:right w:val="none" w:sz="0" w:space="0" w:color="auto"/>
              </w:divBdr>
            </w:div>
            <w:div w:id="1975451653">
              <w:marLeft w:val="0"/>
              <w:marRight w:val="0"/>
              <w:marTop w:val="0"/>
              <w:marBottom w:val="0"/>
              <w:divBdr>
                <w:top w:val="none" w:sz="0" w:space="0" w:color="auto"/>
                <w:left w:val="none" w:sz="0" w:space="0" w:color="auto"/>
                <w:bottom w:val="none" w:sz="0" w:space="0" w:color="auto"/>
                <w:right w:val="none" w:sz="0" w:space="0" w:color="auto"/>
              </w:divBdr>
            </w:div>
            <w:div w:id="1985544651">
              <w:marLeft w:val="0"/>
              <w:marRight w:val="0"/>
              <w:marTop w:val="0"/>
              <w:marBottom w:val="0"/>
              <w:divBdr>
                <w:top w:val="none" w:sz="0" w:space="0" w:color="auto"/>
                <w:left w:val="none" w:sz="0" w:space="0" w:color="auto"/>
                <w:bottom w:val="none" w:sz="0" w:space="0" w:color="auto"/>
                <w:right w:val="none" w:sz="0" w:space="0" w:color="auto"/>
              </w:divBdr>
            </w:div>
            <w:div w:id="1988129063">
              <w:marLeft w:val="0"/>
              <w:marRight w:val="0"/>
              <w:marTop w:val="0"/>
              <w:marBottom w:val="0"/>
              <w:divBdr>
                <w:top w:val="none" w:sz="0" w:space="0" w:color="auto"/>
                <w:left w:val="none" w:sz="0" w:space="0" w:color="auto"/>
                <w:bottom w:val="none" w:sz="0" w:space="0" w:color="auto"/>
                <w:right w:val="none" w:sz="0" w:space="0" w:color="auto"/>
              </w:divBdr>
            </w:div>
            <w:div w:id="2031447568">
              <w:marLeft w:val="0"/>
              <w:marRight w:val="0"/>
              <w:marTop w:val="0"/>
              <w:marBottom w:val="0"/>
              <w:divBdr>
                <w:top w:val="none" w:sz="0" w:space="0" w:color="auto"/>
                <w:left w:val="none" w:sz="0" w:space="0" w:color="auto"/>
                <w:bottom w:val="none" w:sz="0" w:space="0" w:color="auto"/>
                <w:right w:val="none" w:sz="0" w:space="0" w:color="auto"/>
              </w:divBdr>
            </w:div>
            <w:div w:id="2050841552">
              <w:marLeft w:val="0"/>
              <w:marRight w:val="0"/>
              <w:marTop w:val="0"/>
              <w:marBottom w:val="0"/>
              <w:divBdr>
                <w:top w:val="none" w:sz="0" w:space="0" w:color="auto"/>
                <w:left w:val="none" w:sz="0" w:space="0" w:color="auto"/>
                <w:bottom w:val="none" w:sz="0" w:space="0" w:color="auto"/>
                <w:right w:val="none" w:sz="0" w:space="0" w:color="auto"/>
              </w:divBdr>
            </w:div>
            <w:div w:id="2055110369">
              <w:marLeft w:val="0"/>
              <w:marRight w:val="0"/>
              <w:marTop w:val="0"/>
              <w:marBottom w:val="0"/>
              <w:divBdr>
                <w:top w:val="none" w:sz="0" w:space="0" w:color="auto"/>
                <w:left w:val="none" w:sz="0" w:space="0" w:color="auto"/>
                <w:bottom w:val="none" w:sz="0" w:space="0" w:color="auto"/>
                <w:right w:val="none" w:sz="0" w:space="0" w:color="auto"/>
              </w:divBdr>
            </w:div>
            <w:div w:id="2060125395">
              <w:marLeft w:val="0"/>
              <w:marRight w:val="0"/>
              <w:marTop w:val="0"/>
              <w:marBottom w:val="0"/>
              <w:divBdr>
                <w:top w:val="none" w:sz="0" w:space="0" w:color="auto"/>
                <w:left w:val="none" w:sz="0" w:space="0" w:color="auto"/>
                <w:bottom w:val="none" w:sz="0" w:space="0" w:color="auto"/>
                <w:right w:val="none" w:sz="0" w:space="0" w:color="auto"/>
              </w:divBdr>
            </w:div>
            <w:div w:id="2062439267">
              <w:marLeft w:val="0"/>
              <w:marRight w:val="0"/>
              <w:marTop w:val="0"/>
              <w:marBottom w:val="0"/>
              <w:divBdr>
                <w:top w:val="none" w:sz="0" w:space="0" w:color="auto"/>
                <w:left w:val="none" w:sz="0" w:space="0" w:color="auto"/>
                <w:bottom w:val="none" w:sz="0" w:space="0" w:color="auto"/>
                <w:right w:val="none" w:sz="0" w:space="0" w:color="auto"/>
              </w:divBdr>
            </w:div>
            <w:div w:id="2065324757">
              <w:marLeft w:val="0"/>
              <w:marRight w:val="0"/>
              <w:marTop w:val="0"/>
              <w:marBottom w:val="0"/>
              <w:divBdr>
                <w:top w:val="none" w:sz="0" w:space="0" w:color="auto"/>
                <w:left w:val="none" w:sz="0" w:space="0" w:color="auto"/>
                <w:bottom w:val="none" w:sz="0" w:space="0" w:color="auto"/>
                <w:right w:val="none" w:sz="0" w:space="0" w:color="auto"/>
              </w:divBdr>
            </w:div>
            <w:div w:id="2070879270">
              <w:marLeft w:val="0"/>
              <w:marRight w:val="0"/>
              <w:marTop w:val="0"/>
              <w:marBottom w:val="0"/>
              <w:divBdr>
                <w:top w:val="none" w:sz="0" w:space="0" w:color="auto"/>
                <w:left w:val="none" w:sz="0" w:space="0" w:color="auto"/>
                <w:bottom w:val="none" w:sz="0" w:space="0" w:color="auto"/>
                <w:right w:val="none" w:sz="0" w:space="0" w:color="auto"/>
              </w:divBdr>
            </w:div>
            <w:div w:id="2092695782">
              <w:marLeft w:val="0"/>
              <w:marRight w:val="0"/>
              <w:marTop w:val="0"/>
              <w:marBottom w:val="0"/>
              <w:divBdr>
                <w:top w:val="none" w:sz="0" w:space="0" w:color="auto"/>
                <w:left w:val="none" w:sz="0" w:space="0" w:color="auto"/>
                <w:bottom w:val="none" w:sz="0" w:space="0" w:color="auto"/>
                <w:right w:val="none" w:sz="0" w:space="0" w:color="auto"/>
              </w:divBdr>
            </w:div>
            <w:div w:id="2095935971">
              <w:marLeft w:val="0"/>
              <w:marRight w:val="0"/>
              <w:marTop w:val="0"/>
              <w:marBottom w:val="0"/>
              <w:divBdr>
                <w:top w:val="none" w:sz="0" w:space="0" w:color="auto"/>
                <w:left w:val="none" w:sz="0" w:space="0" w:color="auto"/>
                <w:bottom w:val="none" w:sz="0" w:space="0" w:color="auto"/>
                <w:right w:val="none" w:sz="0" w:space="0" w:color="auto"/>
              </w:divBdr>
            </w:div>
            <w:div w:id="2125267256">
              <w:marLeft w:val="0"/>
              <w:marRight w:val="0"/>
              <w:marTop w:val="0"/>
              <w:marBottom w:val="0"/>
              <w:divBdr>
                <w:top w:val="none" w:sz="0" w:space="0" w:color="auto"/>
                <w:left w:val="none" w:sz="0" w:space="0" w:color="auto"/>
                <w:bottom w:val="none" w:sz="0" w:space="0" w:color="auto"/>
                <w:right w:val="none" w:sz="0" w:space="0" w:color="auto"/>
              </w:divBdr>
            </w:div>
            <w:div w:id="2136411047">
              <w:marLeft w:val="0"/>
              <w:marRight w:val="0"/>
              <w:marTop w:val="0"/>
              <w:marBottom w:val="0"/>
              <w:divBdr>
                <w:top w:val="none" w:sz="0" w:space="0" w:color="auto"/>
                <w:left w:val="none" w:sz="0" w:space="0" w:color="auto"/>
                <w:bottom w:val="none" w:sz="0" w:space="0" w:color="auto"/>
                <w:right w:val="none" w:sz="0" w:space="0" w:color="auto"/>
              </w:divBdr>
            </w:div>
            <w:div w:id="2145611777">
              <w:marLeft w:val="0"/>
              <w:marRight w:val="0"/>
              <w:marTop w:val="0"/>
              <w:marBottom w:val="0"/>
              <w:divBdr>
                <w:top w:val="none" w:sz="0" w:space="0" w:color="auto"/>
                <w:left w:val="none" w:sz="0" w:space="0" w:color="auto"/>
                <w:bottom w:val="none" w:sz="0" w:space="0" w:color="auto"/>
                <w:right w:val="none" w:sz="0" w:space="0" w:color="auto"/>
              </w:divBdr>
            </w:div>
            <w:div w:id="21457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36833">
      <w:bodyDiv w:val="1"/>
      <w:marLeft w:val="0"/>
      <w:marRight w:val="0"/>
      <w:marTop w:val="0"/>
      <w:marBottom w:val="0"/>
      <w:divBdr>
        <w:top w:val="none" w:sz="0" w:space="0" w:color="auto"/>
        <w:left w:val="none" w:sz="0" w:space="0" w:color="auto"/>
        <w:bottom w:val="none" w:sz="0" w:space="0" w:color="auto"/>
        <w:right w:val="none" w:sz="0" w:space="0" w:color="auto"/>
      </w:divBdr>
      <w:divsChild>
        <w:div w:id="120463057">
          <w:marLeft w:val="0"/>
          <w:marRight w:val="0"/>
          <w:marTop w:val="0"/>
          <w:marBottom w:val="0"/>
          <w:divBdr>
            <w:top w:val="none" w:sz="0" w:space="0" w:color="auto"/>
            <w:left w:val="none" w:sz="0" w:space="0" w:color="auto"/>
            <w:bottom w:val="none" w:sz="0" w:space="0" w:color="auto"/>
            <w:right w:val="none" w:sz="0" w:space="0" w:color="auto"/>
          </w:divBdr>
        </w:div>
        <w:div w:id="1276449506">
          <w:marLeft w:val="0"/>
          <w:marRight w:val="0"/>
          <w:marTop w:val="0"/>
          <w:marBottom w:val="0"/>
          <w:divBdr>
            <w:top w:val="none" w:sz="0" w:space="0" w:color="auto"/>
            <w:left w:val="none" w:sz="0" w:space="0" w:color="auto"/>
            <w:bottom w:val="none" w:sz="0" w:space="0" w:color="auto"/>
            <w:right w:val="none" w:sz="0" w:space="0" w:color="auto"/>
          </w:divBdr>
        </w:div>
        <w:div w:id="8485946">
          <w:marLeft w:val="0"/>
          <w:marRight w:val="0"/>
          <w:marTop w:val="0"/>
          <w:marBottom w:val="0"/>
          <w:divBdr>
            <w:top w:val="none" w:sz="0" w:space="0" w:color="auto"/>
            <w:left w:val="none" w:sz="0" w:space="0" w:color="auto"/>
            <w:bottom w:val="none" w:sz="0" w:space="0" w:color="auto"/>
            <w:right w:val="none" w:sz="0" w:space="0" w:color="auto"/>
          </w:divBdr>
        </w:div>
      </w:divsChild>
    </w:div>
    <w:div w:id="1753164164">
      <w:bodyDiv w:val="1"/>
      <w:marLeft w:val="0"/>
      <w:marRight w:val="0"/>
      <w:marTop w:val="0"/>
      <w:marBottom w:val="0"/>
      <w:divBdr>
        <w:top w:val="none" w:sz="0" w:space="0" w:color="auto"/>
        <w:left w:val="none" w:sz="0" w:space="0" w:color="auto"/>
        <w:bottom w:val="none" w:sz="0" w:space="0" w:color="auto"/>
        <w:right w:val="none" w:sz="0" w:space="0" w:color="auto"/>
      </w:divBdr>
    </w:div>
    <w:div w:id="1801459295">
      <w:bodyDiv w:val="1"/>
      <w:marLeft w:val="0"/>
      <w:marRight w:val="0"/>
      <w:marTop w:val="0"/>
      <w:marBottom w:val="0"/>
      <w:divBdr>
        <w:top w:val="none" w:sz="0" w:space="0" w:color="auto"/>
        <w:left w:val="none" w:sz="0" w:space="0" w:color="auto"/>
        <w:bottom w:val="none" w:sz="0" w:space="0" w:color="auto"/>
        <w:right w:val="none" w:sz="0" w:space="0" w:color="auto"/>
      </w:divBdr>
    </w:div>
    <w:div w:id="1819765594">
      <w:bodyDiv w:val="1"/>
      <w:marLeft w:val="0"/>
      <w:marRight w:val="0"/>
      <w:marTop w:val="0"/>
      <w:marBottom w:val="0"/>
      <w:divBdr>
        <w:top w:val="none" w:sz="0" w:space="0" w:color="auto"/>
        <w:left w:val="none" w:sz="0" w:space="0" w:color="auto"/>
        <w:bottom w:val="none" w:sz="0" w:space="0" w:color="auto"/>
        <w:right w:val="none" w:sz="0" w:space="0" w:color="auto"/>
      </w:divBdr>
      <w:divsChild>
        <w:div w:id="482552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697395">
              <w:marLeft w:val="0"/>
              <w:marRight w:val="0"/>
              <w:marTop w:val="0"/>
              <w:marBottom w:val="0"/>
              <w:divBdr>
                <w:top w:val="none" w:sz="0" w:space="0" w:color="auto"/>
                <w:left w:val="none" w:sz="0" w:space="0" w:color="auto"/>
                <w:bottom w:val="none" w:sz="0" w:space="0" w:color="auto"/>
                <w:right w:val="none" w:sz="0" w:space="0" w:color="auto"/>
              </w:divBdr>
              <w:divsChild>
                <w:div w:id="567620241">
                  <w:marLeft w:val="0"/>
                  <w:marRight w:val="0"/>
                  <w:marTop w:val="0"/>
                  <w:marBottom w:val="0"/>
                  <w:divBdr>
                    <w:top w:val="none" w:sz="0" w:space="0" w:color="auto"/>
                    <w:left w:val="none" w:sz="0" w:space="0" w:color="auto"/>
                    <w:bottom w:val="none" w:sz="0" w:space="0" w:color="auto"/>
                    <w:right w:val="none" w:sz="0" w:space="0" w:color="auto"/>
                  </w:divBdr>
                  <w:divsChild>
                    <w:div w:id="1659724160">
                      <w:marLeft w:val="0"/>
                      <w:marRight w:val="0"/>
                      <w:marTop w:val="0"/>
                      <w:marBottom w:val="0"/>
                      <w:divBdr>
                        <w:top w:val="none" w:sz="0" w:space="0" w:color="auto"/>
                        <w:left w:val="none" w:sz="0" w:space="0" w:color="auto"/>
                        <w:bottom w:val="none" w:sz="0" w:space="0" w:color="auto"/>
                        <w:right w:val="none" w:sz="0" w:space="0" w:color="auto"/>
                      </w:divBdr>
                      <w:divsChild>
                        <w:div w:id="2105104359">
                          <w:marLeft w:val="0"/>
                          <w:marRight w:val="0"/>
                          <w:marTop w:val="0"/>
                          <w:marBottom w:val="0"/>
                          <w:divBdr>
                            <w:top w:val="none" w:sz="0" w:space="0" w:color="auto"/>
                            <w:left w:val="none" w:sz="0" w:space="0" w:color="auto"/>
                            <w:bottom w:val="none" w:sz="0" w:space="0" w:color="auto"/>
                            <w:right w:val="none" w:sz="0" w:space="0" w:color="auto"/>
                          </w:divBdr>
                          <w:divsChild>
                            <w:div w:id="289628570">
                              <w:marLeft w:val="0"/>
                              <w:marRight w:val="0"/>
                              <w:marTop w:val="0"/>
                              <w:marBottom w:val="0"/>
                              <w:divBdr>
                                <w:top w:val="none" w:sz="0" w:space="0" w:color="auto"/>
                                <w:left w:val="none" w:sz="0" w:space="0" w:color="auto"/>
                                <w:bottom w:val="none" w:sz="0" w:space="0" w:color="auto"/>
                                <w:right w:val="none" w:sz="0" w:space="0" w:color="auto"/>
                              </w:divBdr>
                              <w:divsChild>
                                <w:div w:id="399450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231763">
                                      <w:marLeft w:val="0"/>
                                      <w:marRight w:val="0"/>
                                      <w:marTop w:val="0"/>
                                      <w:marBottom w:val="0"/>
                                      <w:divBdr>
                                        <w:top w:val="none" w:sz="0" w:space="0" w:color="auto"/>
                                        <w:left w:val="none" w:sz="0" w:space="0" w:color="auto"/>
                                        <w:bottom w:val="none" w:sz="0" w:space="0" w:color="auto"/>
                                        <w:right w:val="none" w:sz="0" w:space="0" w:color="auto"/>
                                      </w:divBdr>
                                      <w:divsChild>
                                        <w:div w:id="1621448382">
                                          <w:marLeft w:val="0"/>
                                          <w:marRight w:val="0"/>
                                          <w:marTop w:val="0"/>
                                          <w:marBottom w:val="0"/>
                                          <w:divBdr>
                                            <w:top w:val="none" w:sz="0" w:space="0" w:color="auto"/>
                                            <w:left w:val="none" w:sz="0" w:space="0" w:color="auto"/>
                                            <w:bottom w:val="none" w:sz="0" w:space="0" w:color="auto"/>
                                            <w:right w:val="none" w:sz="0" w:space="0" w:color="auto"/>
                                          </w:divBdr>
                                          <w:divsChild>
                                            <w:div w:id="1350792653">
                                              <w:marLeft w:val="0"/>
                                              <w:marRight w:val="0"/>
                                              <w:marTop w:val="0"/>
                                              <w:marBottom w:val="0"/>
                                              <w:divBdr>
                                                <w:top w:val="none" w:sz="0" w:space="0" w:color="auto"/>
                                                <w:left w:val="none" w:sz="0" w:space="0" w:color="auto"/>
                                                <w:bottom w:val="none" w:sz="0" w:space="0" w:color="auto"/>
                                                <w:right w:val="none" w:sz="0" w:space="0" w:color="auto"/>
                                              </w:divBdr>
                                              <w:divsChild>
                                                <w:div w:id="1267814297">
                                                  <w:marLeft w:val="0"/>
                                                  <w:marRight w:val="0"/>
                                                  <w:marTop w:val="0"/>
                                                  <w:marBottom w:val="0"/>
                                                  <w:divBdr>
                                                    <w:top w:val="none" w:sz="0" w:space="0" w:color="auto"/>
                                                    <w:left w:val="none" w:sz="0" w:space="0" w:color="auto"/>
                                                    <w:bottom w:val="none" w:sz="0" w:space="0" w:color="auto"/>
                                                    <w:right w:val="none" w:sz="0" w:space="0" w:color="auto"/>
                                                  </w:divBdr>
                                                  <w:divsChild>
                                                    <w:div w:id="1249073330">
                                                      <w:marLeft w:val="0"/>
                                                      <w:marRight w:val="0"/>
                                                      <w:marTop w:val="0"/>
                                                      <w:marBottom w:val="0"/>
                                                      <w:divBdr>
                                                        <w:top w:val="none" w:sz="0" w:space="0" w:color="auto"/>
                                                        <w:left w:val="none" w:sz="0" w:space="0" w:color="auto"/>
                                                        <w:bottom w:val="none" w:sz="0" w:space="0" w:color="auto"/>
                                                        <w:right w:val="none" w:sz="0" w:space="0" w:color="auto"/>
                                                      </w:divBdr>
                                                      <w:divsChild>
                                                        <w:div w:id="1179587554">
                                                          <w:marLeft w:val="0"/>
                                                          <w:marRight w:val="0"/>
                                                          <w:marTop w:val="0"/>
                                                          <w:marBottom w:val="0"/>
                                                          <w:divBdr>
                                                            <w:top w:val="none" w:sz="0" w:space="0" w:color="auto"/>
                                                            <w:left w:val="none" w:sz="0" w:space="0" w:color="auto"/>
                                                            <w:bottom w:val="none" w:sz="0" w:space="0" w:color="auto"/>
                                                            <w:right w:val="none" w:sz="0" w:space="0" w:color="auto"/>
                                                          </w:divBdr>
                                                          <w:divsChild>
                                                            <w:div w:id="376777613">
                                                              <w:marLeft w:val="0"/>
                                                              <w:marRight w:val="0"/>
                                                              <w:marTop w:val="0"/>
                                                              <w:marBottom w:val="0"/>
                                                              <w:divBdr>
                                                                <w:top w:val="none" w:sz="0" w:space="0" w:color="auto"/>
                                                                <w:left w:val="none" w:sz="0" w:space="0" w:color="auto"/>
                                                                <w:bottom w:val="none" w:sz="0" w:space="0" w:color="auto"/>
                                                                <w:right w:val="none" w:sz="0" w:space="0" w:color="auto"/>
                                                              </w:divBdr>
                                                              <w:divsChild>
                                                                <w:div w:id="19631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5300036">
      <w:bodyDiv w:val="1"/>
      <w:marLeft w:val="0"/>
      <w:marRight w:val="0"/>
      <w:marTop w:val="0"/>
      <w:marBottom w:val="0"/>
      <w:divBdr>
        <w:top w:val="none" w:sz="0" w:space="0" w:color="auto"/>
        <w:left w:val="none" w:sz="0" w:space="0" w:color="auto"/>
        <w:bottom w:val="none" w:sz="0" w:space="0" w:color="auto"/>
        <w:right w:val="none" w:sz="0" w:space="0" w:color="auto"/>
      </w:divBdr>
    </w:div>
    <w:div w:id="1846628601">
      <w:bodyDiv w:val="1"/>
      <w:marLeft w:val="0"/>
      <w:marRight w:val="0"/>
      <w:marTop w:val="0"/>
      <w:marBottom w:val="0"/>
      <w:divBdr>
        <w:top w:val="none" w:sz="0" w:space="0" w:color="auto"/>
        <w:left w:val="none" w:sz="0" w:space="0" w:color="auto"/>
        <w:bottom w:val="none" w:sz="0" w:space="0" w:color="auto"/>
        <w:right w:val="none" w:sz="0" w:space="0" w:color="auto"/>
      </w:divBdr>
    </w:div>
    <w:div w:id="1895240634">
      <w:bodyDiv w:val="1"/>
      <w:marLeft w:val="0"/>
      <w:marRight w:val="0"/>
      <w:marTop w:val="0"/>
      <w:marBottom w:val="0"/>
      <w:divBdr>
        <w:top w:val="none" w:sz="0" w:space="0" w:color="auto"/>
        <w:left w:val="none" w:sz="0" w:space="0" w:color="auto"/>
        <w:bottom w:val="none" w:sz="0" w:space="0" w:color="auto"/>
        <w:right w:val="none" w:sz="0" w:space="0" w:color="auto"/>
      </w:divBdr>
    </w:div>
    <w:div w:id="1921018638">
      <w:bodyDiv w:val="1"/>
      <w:marLeft w:val="0"/>
      <w:marRight w:val="0"/>
      <w:marTop w:val="0"/>
      <w:marBottom w:val="0"/>
      <w:divBdr>
        <w:top w:val="none" w:sz="0" w:space="0" w:color="auto"/>
        <w:left w:val="none" w:sz="0" w:space="0" w:color="auto"/>
        <w:bottom w:val="none" w:sz="0" w:space="0" w:color="auto"/>
        <w:right w:val="none" w:sz="0" w:space="0" w:color="auto"/>
      </w:divBdr>
    </w:div>
    <w:div w:id="1975213188">
      <w:bodyDiv w:val="1"/>
      <w:marLeft w:val="0"/>
      <w:marRight w:val="0"/>
      <w:marTop w:val="0"/>
      <w:marBottom w:val="0"/>
      <w:divBdr>
        <w:top w:val="none" w:sz="0" w:space="0" w:color="auto"/>
        <w:left w:val="none" w:sz="0" w:space="0" w:color="auto"/>
        <w:bottom w:val="none" w:sz="0" w:space="0" w:color="auto"/>
        <w:right w:val="none" w:sz="0" w:space="0" w:color="auto"/>
      </w:divBdr>
    </w:div>
    <w:div w:id="2022849011">
      <w:bodyDiv w:val="1"/>
      <w:marLeft w:val="0"/>
      <w:marRight w:val="0"/>
      <w:marTop w:val="0"/>
      <w:marBottom w:val="0"/>
      <w:divBdr>
        <w:top w:val="none" w:sz="0" w:space="0" w:color="auto"/>
        <w:left w:val="none" w:sz="0" w:space="0" w:color="auto"/>
        <w:bottom w:val="none" w:sz="0" w:space="0" w:color="auto"/>
        <w:right w:val="none" w:sz="0" w:space="0" w:color="auto"/>
      </w:divBdr>
      <w:divsChild>
        <w:div w:id="2111389840">
          <w:marLeft w:val="480"/>
          <w:marRight w:val="0"/>
          <w:marTop w:val="0"/>
          <w:marBottom w:val="0"/>
          <w:divBdr>
            <w:top w:val="none" w:sz="0" w:space="0" w:color="auto"/>
            <w:left w:val="none" w:sz="0" w:space="0" w:color="auto"/>
            <w:bottom w:val="none" w:sz="0" w:space="0" w:color="auto"/>
            <w:right w:val="none" w:sz="0" w:space="0" w:color="auto"/>
          </w:divBdr>
          <w:divsChild>
            <w:div w:id="18919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8684">
      <w:bodyDiv w:val="1"/>
      <w:marLeft w:val="0"/>
      <w:marRight w:val="0"/>
      <w:marTop w:val="0"/>
      <w:marBottom w:val="0"/>
      <w:divBdr>
        <w:top w:val="none" w:sz="0" w:space="0" w:color="auto"/>
        <w:left w:val="none" w:sz="0" w:space="0" w:color="auto"/>
        <w:bottom w:val="none" w:sz="0" w:space="0" w:color="auto"/>
        <w:right w:val="none" w:sz="0" w:space="0" w:color="auto"/>
      </w:divBdr>
      <w:divsChild>
        <w:div w:id="457728430">
          <w:marLeft w:val="480"/>
          <w:marRight w:val="0"/>
          <w:marTop w:val="0"/>
          <w:marBottom w:val="0"/>
          <w:divBdr>
            <w:top w:val="none" w:sz="0" w:space="0" w:color="auto"/>
            <w:left w:val="none" w:sz="0" w:space="0" w:color="auto"/>
            <w:bottom w:val="none" w:sz="0" w:space="0" w:color="auto"/>
            <w:right w:val="none" w:sz="0" w:space="0" w:color="auto"/>
          </w:divBdr>
          <w:divsChild>
            <w:div w:id="184589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thub.com/bobkopp/CESL-STEHM-GP"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09D43697DCCC4BBC22C90A22655EEC" ma:contentTypeVersion="13" ma:contentTypeDescription="Create a new document." ma:contentTypeScope="" ma:versionID="4530489cb62ca79b8dd2741814e796b6">
  <xsd:schema xmlns:xsd="http://www.w3.org/2001/XMLSchema" xmlns:xs="http://www.w3.org/2001/XMLSchema" xmlns:p="http://schemas.microsoft.com/office/2006/metadata/properties" xmlns:ns3="4760a9cf-7ef9-4359-8222-66c31ac420d1" xmlns:ns4="db48ce23-7a95-43fe-9129-416f13f9a794" targetNamespace="http://schemas.microsoft.com/office/2006/metadata/properties" ma:root="true" ma:fieldsID="df67695c2fc900393d462a61aeffb1cf" ns3:_="" ns4:_="">
    <xsd:import namespace="4760a9cf-7ef9-4359-8222-66c31ac420d1"/>
    <xsd:import namespace="db48ce23-7a95-43fe-9129-416f13f9a79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60a9cf-7ef9-4359-8222-66c31ac42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48ce23-7a95-43fe-9129-416f13f9a79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34582-EC0B-4092-8EE7-01B6FF440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60a9cf-7ef9-4359-8222-66c31ac420d1"/>
    <ds:schemaRef ds:uri="db48ce23-7a95-43fe-9129-416f13f9a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B9D73B-4508-4A4A-835A-E0056217CFA1}">
  <ds:schemaRefs>
    <ds:schemaRef ds:uri="http://schemas.openxmlformats.org/officeDocument/2006/bibliography"/>
  </ds:schemaRefs>
</ds:datastoreItem>
</file>

<file path=customXml/itemProps3.xml><?xml version="1.0" encoding="utf-8"?>
<ds:datastoreItem xmlns:ds="http://schemas.openxmlformats.org/officeDocument/2006/customXml" ds:itemID="{6048E767-A09F-479E-9A1B-B5CC0B17CC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E9FBB6-CA0F-4BB0-8982-FA4716296B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49880</Words>
  <Characters>284320</Characters>
  <Application>Microsoft Office Word</Application>
  <DocSecurity>0</DocSecurity>
  <Lines>2369</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Walker</dc:creator>
  <cp:keywords/>
  <dc:description/>
  <cp:lastModifiedBy>adamsm2</cp:lastModifiedBy>
  <cp:revision>2</cp:revision>
  <dcterms:created xsi:type="dcterms:W3CDTF">2021-03-25T11:54:00Z</dcterms:created>
  <dcterms:modified xsi:type="dcterms:W3CDTF">2021-03-25T11:54:00Z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id="Xi3D6QvY"/&gt;&lt;style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 name="dontAskDelayCitationUpdates" value="true"/&gt;&lt;/prefs&gt;&lt;/data&gt;</vt:lpwstr>
  </property>
  <property fmtid="{D5CDD505-2E9C-101B-9397-08002B2CF9AE}" pid="4" name="ContentTypeId">
    <vt:lpwstr>0x010100FF09D43697DCCC4BBC22C90A22655EEC</vt:lpwstr>
  </property>
</Properties>
</file>