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8C4AEC" w14:textId="56E676E4" w:rsidR="00DF7817" w:rsidRDefault="00DF7817" w:rsidP="0018640D">
      <w:pPr>
        <w:pStyle w:val="Authornames"/>
        <w:rPr>
          <w:b/>
        </w:rPr>
      </w:pPr>
      <w:r w:rsidRPr="00DF7817">
        <w:rPr>
          <w:b/>
        </w:rPr>
        <w:t xml:space="preserve">Doctoral students navigating the borderlands of academic </w:t>
      </w:r>
      <w:r w:rsidR="00845EF2">
        <w:rPr>
          <w:b/>
        </w:rPr>
        <w:t>teaching</w:t>
      </w:r>
      <w:r w:rsidR="00845EF2" w:rsidRPr="00DF7817">
        <w:rPr>
          <w:b/>
        </w:rPr>
        <w:t xml:space="preserve"> </w:t>
      </w:r>
      <w:r w:rsidRPr="00DF7817">
        <w:rPr>
          <w:b/>
        </w:rPr>
        <w:t xml:space="preserve">in an era of precarity </w:t>
      </w:r>
    </w:p>
    <w:p w14:paraId="7CCBD1D4" w14:textId="77777777" w:rsidR="007D56D5" w:rsidRPr="0039400E" w:rsidRDefault="007D56D5" w:rsidP="00A221F4">
      <w:pPr>
        <w:pStyle w:val="Authornames"/>
        <w:spacing w:before="120" w:line="240" w:lineRule="auto"/>
        <w:rPr>
          <w:sz w:val="24"/>
        </w:rPr>
      </w:pPr>
      <w:r w:rsidRPr="0039400E">
        <w:rPr>
          <w:sz w:val="24"/>
        </w:rPr>
        <w:t xml:space="preserve">Namrata Rao </w:t>
      </w:r>
    </w:p>
    <w:p w14:paraId="323D9DB0" w14:textId="764EC1C2" w:rsidR="007D56D5" w:rsidRDefault="009D28F7">
      <w:pPr>
        <w:pStyle w:val="Affiliation"/>
        <w:spacing w:before="120" w:line="240" w:lineRule="auto"/>
      </w:pPr>
      <w:r>
        <w:t>School of Education</w:t>
      </w:r>
      <w:r w:rsidR="007D56D5">
        <w:t>, Liverpool Hope University, Liverpool, UK</w:t>
      </w:r>
    </w:p>
    <w:p w14:paraId="00D74388" w14:textId="2B2EFA44" w:rsidR="007D56D5" w:rsidRPr="00093EA0" w:rsidRDefault="007D56D5">
      <w:pPr>
        <w:pStyle w:val="Correspondencedetails"/>
        <w:spacing w:before="120" w:line="240" w:lineRule="auto"/>
      </w:pPr>
      <w:r w:rsidRPr="00093EA0">
        <w:t xml:space="preserve">Address: Liverpool Hope University, </w:t>
      </w:r>
      <w:proofErr w:type="spellStart"/>
      <w:r w:rsidRPr="00093EA0">
        <w:t>Childwall</w:t>
      </w:r>
      <w:proofErr w:type="spellEnd"/>
      <w:r w:rsidRPr="00093EA0">
        <w:t xml:space="preserve">, Liverpool, L16 9JD </w:t>
      </w:r>
    </w:p>
    <w:p w14:paraId="5D465CAC" w14:textId="77777777" w:rsidR="007D56D5" w:rsidRPr="00093EA0" w:rsidRDefault="007D56D5">
      <w:pPr>
        <w:pStyle w:val="Correspondencedetails"/>
        <w:spacing w:before="120" w:line="240" w:lineRule="auto"/>
      </w:pPr>
      <w:r w:rsidRPr="00093EA0">
        <w:t xml:space="preserve">Email: </w:t>
      </w:r>
      <w:hyperlink r:id="rId8" w:history="1">
        <w:r w:rsidRPr="00093EA0">
          <w:t>raon@hope.ac.uk</w:t>
        </w:r>
      </w:hyperlink>
    </w:p>
    <w:p w14:paraId="6F5E0906" w14:textId="77777777" w:rsidR="007D56D5" w:rsidRDefault="007D56D5">
      <w:pPr>
        <w:pStyle w:val="Correspondencedetails"/>
        <w:spacing w:before="120" w:line="240" w:lineRule="auto"/>
      </w:pPr>
      <w:r w:rsidRPr="00093EA0">
        <w:t>Tel: 0151-291-2118</w:t>
      </w:r>
    </w:p>
    <w:p w14:paraId="5824884F" w14:textId="29B53CC6" w:rsidR="009D28F7" w:rsidRPr="0039400E" w:rsidRDefault="009D28F7">
      <w:pPr>
        <w:pStyle w:val="Correspondencedetails"/>
        <w:spacing w:before="120"/>
      </w:pPr>
      <w:proofErr w:type="spellStart"/>
      <w:r>
        <w:t>Orcid</w:t>
      </w:r>
      <w:proofErr w:type="spellEnd"/>
      <w:r>
        <w:t xml:space="preserve"> ID</w:t>
      </w:r>
      <w:r w:rsidR="0039400E">
        <w:t xml:space="preserve">: </w:t>
      </w:r>
      <w:hyperlink r:id="rId9" w:history="1">
        <w:r w:rsidR="0039400E" w:rsidRPr="000A6995">
          <w:rPr>
            <w:rStyle w:val="Hyperlink"/>
          </w:rPr>
          <w:t>https://orcid.org/0000-0002-1774-4263</w:t>
        </w:r>
      </w:hyperlink>
      <w:r w:rsidR="0039400E">
        <w:t xml:space="preserve"> </w:t>
      </w:r>
      <w:r>
        <w:t xml:space="preserve"> </w:t>
      </w:r>
    </w:p>
    <w:p w14:paraId="5D4658B8" w14:textId="18538372" w:rsidR="0039400E" w:rsidRDefault="0039400E">
      <w:pPr>
        <w:pStyle w:val="Affiliation"/>
        <w:spacing w:before="120" w:line="240" w:lineRule="auto"/>
        <w:rPr>
          <w:i w:val="0"/>
        </w:rPr>
      </w:pPr>
    </w:p>
    <w:p w14:paraId="68102F22" w14:textId="77777777" w:rsidR="007D56D5" w:rsidRPr="00B624EE" w:rsidRDefault="007D56D5">
      <w:pPr>
        <w:pStyle w:val="Affiliation"/>
        <w:spacing w:before="120" w:line="240" w:lineRule="auto"/>
        <w:rPr>
          <w:i w:val="0"/>
        </w:rPr>
      </w:pPr>
      <w:proofErr w:type="spellStart"/>
      <w:r>
        <w:rPr>
          <w:i w:val="0"/>
        </w:rPr>
        <w:t>Anesa</w:t>
      </w:r>
      <w:proofErr w:type="spellEnd"/>
      <w:r>
        <w:rPr>
          <w:i w:val="0"/>
        </w:rPr>
        <w:t xml:space="preserve"> </w:t>
      </w:r>
      <w:proofErr w:type="spellStart"/>
      <w:r>
        <w:rPr>
          <w:i w:val="0"/>
        </w:rPr>
        <w:t>Hosein</w:t>
      </w:r>
      <w:proofErr w:type="spellEnd"/>
      <w:r>
        <w:rPr>
          <w:i w:val="0"/>
        </w:rPr>
        <w:t>*</w:t>
      </w:r>
    </w:p>
    <w:p w14:paraId="4FED26E8" w14:textId="3CAAD7C6" w:rsidR="007D56D5" w:rsidRDefault="009D28F7">
      <w:pPr>
        <w:pStyle w:val="Affiliation"/>
        <w:spacing w:before="120" w:line="240" w:lineRule="auto"/>
      </w:pPr>
      <w:r>
        <w:t>Surrey Institute of Education</w:t>
      </w:r>
      <w:r w:rsidR="007D56D5">
        <w:t>, University of Surrey, Guildford, UK</w:t>
      </w:r>
    </w:p>
    <w:p w14:paraId="57FA8046" w14:textId="268E2EBB" w:rsidR="007D56D5" w:rsidRPr="009D28F7" w:rsidRDefault="007D56D5">
      <w:pPr>
        <w:pStyle w:val="Correspondencedetails"/>
        <w:spacing w:before="120" w:line="240" w:lineRule="auto"/>
      </w:pPr>
      <w:r w:rsidRPr="00093EA0">
        <w:t xml:space="preserve">Address: </w:t>
      </w:r>
      <w:r w:rsidR="009D28F7" w:rsidRPr="009D28F7">
        <w:t>04CE01, Surrey Ins</w:t>
      </w:r>
      <w:r w:rsidR="009D28F7">
        <w:t>t</w:t>
      </w:r>
      <w:r w:rsidR="009D28F7" w:rsidRPr="009D28F7">
        <w:t>itute of Education</w:t>
      </w:r>
      <w:r w:rsidR="009D28F7">
        <w:t xml:space="preserve">, </w:t>
      </w:r>
      <w:r w:rsidR="009D28F7" w:rsidRPr="009D28F7">
        <w:t>Education Centre (Guildford Cathedral)</w:t>
      </w:r>
      <w:r w:rsidR="009D28F7">
        <w:t xml:space="preserve">, </w:t>
      </w:r>
      <w:r w:rsidRPr="00093EA0">
        <w:t>University of Surrey, Guildford, GU2 7XH</w:t>
      </w:r>
    </w:p>
    <w:p w14:paraId="4017F025" w14:textId="77777777" w:rsidR="007D56D5" w:rsidRPr="00093EA0" w:rsidRDefault="007D56D5">
      <w:pPr>
        <w:pStyle w:val="Correspondencedetails"/>
        <w:spacing w:before="120" w:line="240" w:lineRule="auto"/>
        <w:rPr>
          <w:i/>
        </w:rPr>
      </w:pPr>
      <w:r w:rsidRPr="00093EA0">
        <w:t xml:space="preserve">Email: </w:t>
      </w:r>
      <w:hyperlink r:id="rId10" w:history="1">
        <w:r w:rsidRPr="00093EA0">
          <w:rPr>
            <w:rStyle w:val="Hyperlink"/>
          </w:rPr>
          <w:t>a.hosein@surrey.ac.uk</w:t>
        </w:r>
      </w:hyperlink>
      <w:r w:rsidRPr="00093EA0">
        <w:t xml:space="preserve"> </w:t>
      </w:r>
    </w:p>
    <w:p w14:paraId="716498CD" w14:textId="77777777" w:rsidR="007D56D5" w:rsidRDefault="007D56D5">
      <w:pPr>
        <w:pStyle w:val="Correspondencedetails"/>
        <w:spacing w:before="120" w:line="240" w:lineRule="auto"/>
        <w:rPr>
          <w:rStyle w:val="Hyperlink"/>
          <w:i/>
        </w:rPr>
      </w:pPr>
      <w:r w:rsidRPr="00093EA0">
        <w:t xml:space="preserve">Tel: 0148-368-3759 </w:t>
      </w:r>
    </w:p>
    <w:p w14:paraId="369CF5A3" w14:textId="28602CA4" w:rsidR="0039400E" w:rsidRPr="0039400E" w:rsidRDefault="009D28F7">
      <w:pPr>
        <w:pStyle w:val="Correspondencedetails"/>
        <w:spacing w:before="120"/>
      </w:pPr>
      <w:proofErr w:type="spellStart"/>
      <w:r>
        <w:t>Orcid</w:t>
      </w:r>
      <w:proofErr w:type="spellEnd"/>
      <w:r>
        <w:t xml:space="preserve"> ID</w:t>
      </w:r>
      <w:r w:rsidR="0039400E">
        <w:t xml:space="preserve">: </w:t>
      </w:r>
      <w:hyperlink r:id="rId11" w:history="1">
        <w:r w:rsidR="0039400E" w:rsidRPr="000A6995">
          <w:rPr>
            <w:rStyle w:val="Hyperlink"/>
          </w:rPr>
          <w:t>https://orcid.org/0000-0002-7325-5640</w:t>
        </w:r>
      </w:hyperlink>
      <w:r w:rsidR="0039400E">
        <w:t xml:space="preserve"> </w:t>
      </w:r>
    </w:p>
    <w:p w14:paraId="0DB79D91" w14:textId="225897A1" w:rsidR="009D28F7" w:rsidRDefault="009D28F7">
      <w:pPr>
        <w:pStyle w:val="Correspondencedetails"/>
        <w:spacing w:before="120" w:line="240" w:lineRule="auto"/>
      </w:pPr>
      <w:r>
        <w:t xml:space="preserve"> </w:t>
      </w:r>
    </w:p>
    <w:p w14:paraId="6BDCAA5C" w14:textId="77777777" w:rsidR="00C42A2A" w:rsidRDefault="00C42A2A">
      <w:pPr>
        <w:pStyle w:val="Articletitle"/>
      </w:pPr>
    </w:p>
    <w:p w14:paraId="1570AB26" w14:textId="4628BC6E" w:rsidR="0039400E" w:rsidRDefault="0039400E">
      <w:proofErr w:type="spellStart"/>
      <w:r>
        <w:t>Rille</w:t>
      </w:r>
      <w:proofErr w:type="spellEnd"/>
      <w:r>
        <w:t xml:space="preserve"> </w:t>
      </w:r>
      <w:proofErr w:type="spellStart"/>
      <w:r>
        <w:t>Raaper</w:t>
      </w:r>
      <w:proofErr w:type="spellEnd"/>
    </w:p>
    <w:p w14:paraId="1E628F86" w14:textId="77777777" w:rsidR="0039400E" w:rsidRDefault="0039400E"/>
    <w:p w14:paraId="667D0A72" w14:textId="64C6E855" w:rsidR="0039400E" w:rsidRPr="0039400E" w:rsidRDefault="0039400E">
      <w:pPr>
        <w:rPr>
          <w:i/>
        </w:rPr>
      </w:pPr>
      <w:r w:rsidRPr="0039400E">
        <w:rPr>
          <w:i/>
        </w:rPr>
        <w:t>School of Education, Durham University, Durham, UK</w:t>
      </w:r>
    </w:p>
    <w:p w14:paraId="660691DA" w14:textId="25BA10D4" w:rsidR="0039400E" w:rsidRDefault="0039400E">
      <w:pPr>
        <w:pStyle w:val="Correspondencedetails"/>
        <w:spacing w:before="120" w:line="240" w:lineRule="auto"/>
      </w:pPr>
      <w:r>
        <w:t xml:space="preserve">Address: School of Education, </w:t>
      </w:r>
      <w:proofErr w:type="spellStart"/>
      <w:r>
        <w:t>Leazes</w:t>
      </w:r>
      <w:proofErr w:type="spellEnd"/>
      <w:r>
        <w:t xml:space="preserve"> Road, Durham, DH1 1TA</w:t>
      </w:r>
    </w:p>
    <w:p w14:paraId="2D143951" w14:textId="77777777" w:rsidR="00785C11" w:rsidRPr="00785C11" w:rsidRDefault="0039400E">
      <w:pPr>
        <w:pStyle w:val="Correspondencedetails"/>
        <w:spacing w:before="120" w:line="240" w:lineRule="auto"/>
      </w:pPr>
      <w:r>
        <w:t xml:space="preserve">Email: </w:t>
      </w:r>
      <w:hyperlink r:id="rId12" w:history="1">
        <w:r w:rsidR="00785C11" w:rsidRPr="00785C11">
          <w:t>rille.raaper@durham.ac.uk</w:t>
        </w:r>
      </w:hyperlink>
    </w:p>
    <w:p w14:paraId="5F291ADF" w14:textId="5149B5F9" w:rsidR="0039400E" w:rsidRDefault="00785C11">
      <w:pPr>
        <w:pStyle w:val="Correspondencedetails"/>
        <w:spacing w:before="120" w:line="240" w:lineRule="auto"/>
      </w:pPr>
      <w:r>
        <w:t>Telephone: 0191-334-48200</w:t>
      </w:r>
    </w:p>
    <w:p w14:paraId="62086E8B" w14:textId="6EADA1F8" w:rsidR="0039400E" w:rsidRPr="0039400E" w:rsidRDefault="0039400E">
      <w:pPr>
        <w:pStyle w:val="Correspondencedetails"/>
        <w:spacing w:before="120" w:line="240" w:lineRule="auto"/>
      </w:pPr>
      <w:proofErr w:type="spellStart"/>
      <w:r>
        <w:t>Orcid</w:t>
      </w:r>
      <w:proofErr w:type="spellEnd"/>
      <w:r>
        <w:t xml:space="preserve"> ID: </w:t>
      </w:r>
      <w:hyperlink r:id="rId13" w:history="1">
        <w:r w:rsidR="00785C11" w:rsidRPr="00785C11">
          <w:t>https://orcid.org/0000-0001-7098-0241</w:t>
        </w:r>
      </w:hyperlink>
      <w:r w:rsidR="00785C11">
        <w:t xml:space="preserve"> </w:t>
      </w:r>
    </w:p>
    <w:p w14:paraId="13D6E17C" w14:textId="77777777" w:rsidR="00785C11" w:rsidRDefault="00785C11"/>
    <w:p w14:paraId="37A3825E" w14:textId="16CD201A" w:rsidR="009D28F7" w:rsidRPr="009D28F7" w:rsidRDefault="009D28F7">
      <w:r>
        <w:t>* Corresponding Author</w:t>
      </w:r>
    </w:p>
    <w:p w14:paraId="0DDB6E70" w14:textId="77777777" w:rsidR="00785C11" w:rsidRDefault="00C14585">
      <w:pPr>
        <w:rPr>
          <w:b/>
        </w:rPr>
      </w:pPr>
      <w:r>
        <w:br w:type="page"/>
      </w:r>
      <w:r w:rsidR="00785C11" w:rsidRPr="00785C11">
        <w:rPr>
          <w:b/>
        </w:rPr>
        <w:lastRenderedPageBreak/>
        <w:t>Notes on the contributors</w:t>
      </w:r>
    </w:p>
    <w:p w14:paraId="16FDD483" w14:textId="77777777" w:rsidR="00785C11" w:rsidRDefault="00785C11">
      <w:pPr>
        <w:rPr>
          <w:b/>
        </w:rPr>
      </w:pPr>
    </w:p>
    <w:p w14:paraId="05AF71BE" w14:textId="63437C6D" w:rsidR="00785C11" w:rsidRPr="00785C11" w:rsidRDefault="00E73601">
      <w:pPr>
        <w:pStyle w:val="Correspondencedetails"/>
        <w:spacing w:before="120" w:line="240" w:lineRule="auto"/>
      </w:pPr>
      <w:r>
        <w:rPr>
          <w:b/>
        </w:rPr>
        <w:t xml:space="preserve">Dr </w:t>
      </w:r>
      <w:r w:rsidR="00785C11" w:rsidRPr="00785C11">
        <w:rPr>
          <w:b/>
        </w:rPr>
        <w:t>Namrata Rao</w:t>
      </w:r>
      <w:r w:rsidR="00785C11" w:rsidRPr="00785C11">
        <w:t xml:space="preserve"> is a Principal Lecturer in Education at Liverpool Hope University where she is based in the Centre of Education and Policy Analysis. Her key areas of research and publication include (but are not restricted to) various facets of learning and teaching in higher education and factors that influence academic identity and academic practice. </w:t>
      </w:r>
    </w:p>
    <w:p w14:paraId="22CE758A" w14:textId="3E6D6459" w:rsidR="00785C11" w:rsidRDefault="00785C11">
      <w:pPr>
        <w:rPr>
          <w:b/>
        </w:rPr>
      </w:pPr>
    </w:p>
    <w:p w14:paraId="758D56C0" w14:textId="77777777" w:rsidR="00785C11" w:rsidRDefault="00785C11">
      <w:pPr>
        <w:rPr>
          <w:b/>
        </w:rPr>
      </w:pPr>
    </w:p>
    <w:p w14:paraId="4A460A8C" w14:textId="31FB5488" w:rsidR="00785C11" w:rsidRPr="009D2A8D" w:rsidRDefault="00E73601">
      <w:pPr>
        <w:rPr>
          <w:bCs/>
        </w:rPr>
      </w:pPr>
      <w:r>
        <w:rPr>
          <w:b/>
        </w:rPr>
        <w:t xml:space="preserve">Dr </w:t>
      </w:r>
      <w:proofErr w:type="spellStart"/>
      <w:r w:rsidR="00785C11">
        <w:rPr>
          <w:b/>
        </w:rPr>
        <w:t>Anesa</w:t>
      </w:r>
      <w:proofErr w:type="spellEnd"/>
      <w:r w:rsidR="00785C11">
        <w:rPr>
          <w:b/>
        </w:rPr>
        <w:t xml:space="preserve"> </w:t>
      </w:r>
      <w:proofErr w:type="spellStart"/>
      <w:r w:rsidR="00785C11">
        <w:rPr>
          <w:b/>
        </w:rPr>
        <w:t>Hosein</w:t>
      </w:r>
      <w:proofErr w:type="spellEnd"/>
      <w:r w:rsidR="009D2A8D">
        <w:rPr>
          <w:b/>
        </w:rPr>
        <w:t xml:space="preserve"> </w:t>
      </w:r>
      <w:r w:rsidR="009D2A8D">
        <w:rPr>
          <w:bCs/>
        </w:rPr>
        <w:t xml:space="preserve">is a Senior Lecturer and the Head of Educational Development and Research at the University of Surrey’s Institute of Education. </w:t>
      </w:r>
      <w:proofErr w:type="spellStart"/>
      <w:r w:rsidR="009D2A8D">
        <w:rPr>
          <w:bCs/>
        </w:rPr>
        <w:t>Anesa</w:t>
      </w:r>
      <w:proofErr w:type="spellEnd"/>
      <w:r w:rsidR="009D2A8D">
        <w:rPr>
          <w:bCs/>
        </w:rPr>
        <w:t xml:space="preserve"> is interested in the marginalised identities affects higher education participation both for students and academics. Her current research revolves around investigating migrant academics as well as student mental health.</w:t>
      </w:r>
    </w:p>
    <w:p w14:paraId="3F3FEB40" w14:textId="77777777" w:rsidR="00785C11" w:rsidRDefault="00785C11">
      <w:pPr>
        <w:rPr>
          <w:b/>
        </w:rPr>
      </w:pPr>
    </w:p>
    <w:p w14:paraId="1230CD65" w14:textId="77777777" w:rsidR="00785C11" w:rsidRDefault="00785C11">
      <w:pPr>
        <w:rPr>
          <w:b/>
        </w:rPr>
      </w:pPr>
    </w:p>
    <w:p w14:paraId="61945108" w14:textId="13FFDDE9" w:rsidR="00E73601" w:rsidRPr="00E73601" w:rsidRDefault="00E73601">
      <w:r w:rsidRPr="00E73601">
        <w:t xml:space="preserve">Dr </w:t>
      </w:r>
      <w:proofErr w:type="spellStart"/>
      <w:r w:rsidRPr="00E73601">
        <w:t>Rille</w:t>
      </w:r>
      <w:proofErr w:type="spellEnd"/>
      <w:r w:rsidRPr="00E73601">
        <w:t xml:space="preserve"> </w:t>
      </w:r>
      <w:proofErr w:type="spellStart"/>
      <w:r w:rsidRPr="00E73601">
        <w:t>Raaper</w:t>
      </w:r>
      <w:proofErr w:type="spellEnd"/>
      <w:r w:rsidRPr="00E73601">
        <w:t xml:space="preserve"> is Associate Professor in Education at Durham University's School of Education. </w:t>
      </w:r>
      <w:proofErr w:type="spellStart"/>
      <w:r w:rsidRPr="00E73601">
        <w:t>Rille’s</w:t>
      </w:r>
      <w:proofErr w:type="spellEnd"/>
      <w:r w:rsidRPr="00E73601">
        <w:t xml:space="preserve"> research interests and experience lie in the sociology of higher education. She is particularly interested in student experience and identity, related university policies and practices, and students’ political agency. She has conducted numerous research projects on higher education policy and practice and its impact on students as learners, citizens as well as political agents</w:t>
      </w:r>
      <w:r>
        <w:t xml:space="preserve">. </w:t>
      </w:r>
    </w:p>
    <w:p w14:paraId="16A7C669" w14:textId="37ED1330" w:rsidR="00785C11" w:rsidRPr="00785C11" w:rsidRDefault="00785C11">
      <w:pPr>
        <w:rPr>
          <w:b/>
          <w:sz w:val="28"/>
        </w:rPr>
      </w:pPr>
      <w:r w:rsidRPr="00785C11">
        <w:rPr>
          <w:b/>
        </w:rPr>
        <w:br w:type="page"/>
      </w:r>
    </w:p>
    <w:p w14:paraId="2373ABAD" w14:textId="70CA2985" w:rsidR="00C246C5" w:rsidRDefault="00DF7817">
      <w:pPr>
        <w:pStyle w:val="Articletitle"/>
      </w:pPr>
      <w:r w:rsidRPr="00DF7817">
        <w:lastRenderedPageBreak/>
        <w:t>Doctoral students navigating the borderlands of academic teachers in an era of precarity</w:t>
      </w:r>
    </w:p>
    <w:sdt>
      <w:sdtPr>
        <w:rPr>
          <w:lang w:val="en"/>
        </w:rPr>
        <w:tag w:val="goog_rdk_8"/>
        <w:id w:val="-562109211"/>
      </w:sdtPr>
      <w:sdtEndPr/>
      <w:sdtContent>
        <w:p w14:paraId="0B80748D" w14:textId="114A3AB0" w:rsidR="00C42A2A" w:rsidRPr="00C42A2A" w:rsidRDefault="002042ED">
          <w:pPr>
            <w:pStyle w:val="Abstract"/>
            <w:rPr>
              <w:lang w:val="en"/>
            </w:rPr>
          </w:pPr>
          <w:proofErr w:type="spellStart"/>
          <w:r>
            <w:rPr>
              <w:lang w:val="en"/>
            </w:rPr>
            <w:t>Neoliberalisation</w:t>
          </w:r>
          <w:proofErr w:type="spellEnd"/>
          <w:r>
            <w:rPr>
              <w:lang w:val="en"/>
            </w:rPr>
            <w:t xml:space="preserve"> of academia has led to </w:t>
          </w:r>
          <w:r w:rsidR="00F463E6">
            <w:rPr>
              <w:lang w:val="en"/>
            </w:rPr>
            <w:t xml:space="preserve">an </w:t>
          </w:r>
          <w:r>
            <w:rPr>
              <w:lang w:val="en"/>
            </w:rPr>
            <w:t>increasing r</w:t>
          </w:r>
          <w:r w:rsidR="005F5650">
            <w:rPr>
              <w:lang w:val="en"/>
            </w:rPr>
            <w:t>ecruitment of d</w:t>
          </w:r>
          <w:r w:rsidR="00C42A2A" w:rsidRPr="00C42A2A">
            <w:rPr>
              <w:lang w:val="en"/>
            </w:rPr>
            <w:t xml:space="preserve">octoral students </w:t>
          </w:r>
          <w:r>
            <w:rPr>
              <w:lang w:val="en"/>
            </w:rPr>
            <w:t>in</w:t>
          </w:r>
          <w:r w:rsidR="00C42A2A" w:rsidRPr="00C42A2A">
            <w:rPr>
              <w:lang w:val="en"/>
            </w:rPr>
            <w:t xml:space="preserve"> teach</w:t>
          </w:r>
          <w:r>
            <w:rPr>
              <w:lang w:val="en"/>
            </w:rPr>
            <w:t xml:space="preserve">ing roles. </w:t>
          </w:r>
          <w:sdt>
            <w:sdtPr>
              <w:rPr>
                <w:lang w:val="en"/>
              </w:rPr>
              <w:tag w:val="goog_rdk_3"/>
              <w:id w:val="-1154293267"/>
            </w:sdtPr>
            <w:sdtEndPr/>
            <w:sdtContent>
              <w:r w:rsidR="00C42A2A" w:rsidRPr="00C42A2A">
                <w:rPr>
                  <w:lang w:val="en"/>
                </w:rPr>
                <w:t>Whilst there is evidence of doctoral students being engaged in teaching roles</w:t>
              </w:r>
              <w:r w:rsidR="0061617D">
                <w:rPr>
                  <w:lang w:val="en"/>
                </w:rPr>
                <w:t xml:space="preserve"> and the reasons for doing so</w:t>
              </w:r>
              <w:r w:rsidR="00C42A2A" w:rsidRPr="00C42A2A">
                <w:rPr>
                  <w:lang w:val="en"/>
                </w:rPr>
                <w:t xml:space="preserve">, </w:t>
              </w:r>
              <w:r w:rsidR="00226BF8" w:rsidRPr="00B96B8F">
                <w:rPr>
                  <w:highlight w:val="yellow"/>
                  <w:lang w:val="en"/>
                </w:rPr>
                <w:t xml:space="preserve">there is a pressing need to understand their experiences </w:t>
              </w:r>
              <w:r w:rsidR="00B91ACF">
                <w:rPr>
                  <w:highlight w:val="yellow"/>
                  <w:lang w:val="en"/>
                </w:rPr>
                <w:t xml:space="preserve">and to </w:t>
              </w:r>
              <w:r w:rsidR="00226BF8" w:rsidRPr="00B96B8F">
                <w:rPr>
                  <w:highlight w:val="yellow"/>
                  <w:lang w:val="en"/>
                </w:rPr>
                <w:t>develop effective support practices</w:t>
              </w:r>
              <w:r w:rsidR="008F7022">
                <w:rPr>
                  <w:highlight w:val="yellow"/>
                  <w:lang w:val="en"/>
                </w:rPr>
                <w:t xml:space="preserve"> to help them in their roles as teachers</w:t>
              </w:r>
              <w:r w:rsidR="00C42A2A" w:rsidRPr="00B96B8F">
                <w:rPr>
                  <w:highlight w:val="yellow"/>
                  <w:lang w:val="en"/>
                </w:rPr>
                <w:t>.</w:t>
              </w:r>
              <w:r w:rsidR="00C42A2A" w:rsidRPr="00C42A2A">
                <w:rPr>
                  <w:lang w:val="en"/>
                </w:rPr>
                <w:t xml:space="preserve"> Using borderlands theory as a lens,</w:t>
              </w:r>
              <w:r w:rsidR="0024014C">
                <w:rPr>
                  <w:lang w:val="en"/>
                </w:rPr>
                <w:t xml:space="preserve"> the</w:t>
              </w:r>
              <w:r w:rsidR="00C42A2A" w:rsidRPr="00C42A2A">
                <w:rPr>
                  <w:lang w:val="en"/>
                </w:rPr>
                <w:t xml:space="preserve"> </w:t>
              </w:r>
              <w:r w:rsidR="0061617D">
                <w:rPr>
                  <w:lang w:val="en"/>
                </w:rPr>
                <w:t xml:space="preserve">thematic </w:t>
              </w:r>
              <w:r w:rsidR="00C42A2A" w:rsidRPr="00C42A2A">
                <w:rPr>
                  <w:lang w:val="en"/>
                </w:rPr>
                <w:t>analysis</w:t>
              </w:r>
              <w:r w:rsidR="0061617D">
                <w:rPr>
                  <w:lang w:val="en"/>
                </w:rPr>
                <w:t xml:space="preserve"> of case study data from doctoral students in two </w:t>
              </w:r>
              <w:r w:rsidR="00BC1815">
                <w:rPr>
                  <w:lang w:val="en"/>
                </w:rPr>
                <w:t xml:space="preserve">English </w:t>
              </w:r>
              <w:r>
                <w:rPr>
                  <w:lang w:val="en"/>
                </w:rPr>
                <w:t>universities</w:t>
              </w:r>
              <w:r w:rsidR="0061617D">
                <w:rPr>
                  <w:lang w:val="en"/>
                </w:rPr>
                <w:t xml:space="preserve"> </w:t>
              </w:r>
              <w:r>
                <w:rPr>
                  <w:lang w:val="en"/>
                </w:rPr>
                <w:t>indicates</w:t>
              </w:r>
              <w:r w:rsidR="00C42A2A" w:rsidRPr="00C42A2A">
                <w:rPr>
                  <w:lang w:val="en"/>
                </w:rPr>
                <w:t xml:space="preserve"> that although </w:t>
              </w:r>
              <w:r w:rsidR="0024014C">
                <w:rPr>
                  <w:lang w:val="en"/>
                </w:rPr>
                <w:t>they</w:t>
              </w:r>
              <w:r w:rsidR="00C42A2A" w:rsidRPr="00C42A2A">
                <w:rPr>
                  <w:lang w:val="en"/>
                </w:rPr>
                <w:t xml:space="preserve"> were navigating similar borderlands, the structural inequalities posed by their institutions led to </w:t>
              </w:r>
              <w:r w:rsidR="00F463E6">
                <w:rPr>
                  <w:lang w:val="en"/>
                </w:rPr>
                <w:t>differential</w:t>
              </w:r>
              <w:r w:rsidR="00C42A2A" w:rsidRPr="00C42A2A">
                <w:rPr>
                  <w:lang w:val="en"/>
                </w:rPr>
                <w:t xml:space="preserve"> support for their teaching roles and teacher identity</w:t>
              </w:r>
              <w:r w:rsidR="004F6349">
                <w:rPr>
                  <w:lang w:val="en"/>
                </w:rPr>
                <w:t xml:space="preserve"> development</w:t>
              </w:r>
            </w:sdtContent>
          </w:sdt>
          <w:r w:rsidR="00C42A2A" w:rsidRPr="00C42A2A">
            <w:rPr>
              <w:lang w:val="en"/>
            </w:rPr>
            <w:t>. The paper highlights the n</w:t>
          </w:r>
          <w:r w:rsidR="005F5650">
            <w:rPr>
              <w:lang w:val="en"/>
            </w:rPr>
            <w:t>eed for aligning doctoral roles</w:t>
          </w:r>
          <w:r w:rsidR="00C42A2A" w:rsidRPr="00C42A2A">
            <w:rPr>
              <w:lang w:val="en"/>
            </w:rPr>
            <w:t xml:space="preserve"> to academic roles</w:t>
          </w:r>
          <w:r w:rsidR="00F463E6">
            <w:rPr>
              <w:lang w:val="en"/>
            </w:rPr>
            <w:t xml:space="preserve">. It concludes </w:t>
          </w:r>
          <w:r w:rsidR="004F6349">
            <w:rPr>
              <w:lang w:val="en"/>
            </w:rPr>
            <w:t xml:space="preserve">by challenging </w:t>
          </w:r>
          <w:r w:rsidR="009077D3">
            <w:rPr>
              <w:lang w:val="en"/>
            </w:rPr>
            <w:t xml:space="preserve">the </w:t>
          </w:r>
          <w:r w:rsidR="0024014C">
            <w:rPr>
              <w:lang w:val="en"/>
            </w:rPr>
            <w:t xml:space="preserve">precarious support available </w:t>
          </w:r>
          <w:r>
            <w:rPr>
              <w:lang w:val="en"/>
            </w:rPr>
            <w:t>for</w:t>
          </w:r>
          <w:r w:rsidR="00C42A2A" w:rsidRPr="00C42A2A">
            <w:rPr>
              <w:lang w:val="en"/>
            </w:rPr>
            <w:t xml:space="preserve"> </w:t>
          </w:r>
          <w:r w:rsidR="004F6349">
            <w:rPr>
              <w:lang w:val="en"/>
            </w:rPr>
            <w:t xml:space="preserve">doctoral </w:t>
          </w:r>
          <w:proofErr w:type="gramStart"/>
          <w:r w:rsidR="004F6349">
            <w:rPr>
              <w:lang w:val="en"/>
            </w:rPr>
            <w:t>students, and</w:t>
          </w:r>
          <w:proofErr w:type="gramEnd"/>
          <w:r w:rsidR="004F6349">
            <w:rPr>
              <w:lang w:val="en"/>
            </w:rPr>
            <w:t xml:space="preserve"> proposes recommendations for </w:t>
          </w:r>
          <w:r w:rsidR="00C42A2A" w:rsidRPr="00C42A2A">
            <w:rPr>
              <w:lang w:val="en"/>
            </w:rPr>
            <w:t>the holistic development of doctoral students as competent</w:t>
          </w:r>
          <w:r w:rsidR="004F6349">
            <w:rPr>
              <w:lang w:val="en"/>
            </w:rPr>
            <w:t xml:space="preserve"> and successful</w:t>
          </w:r>
          <w:r w:rsidR="00C42A2A" w:rsidRPr="00C42A2A">
            <w:rPr>
              <w:lang w:val="en"/>
            </w:rPr>
            <w:t xml:space="preserve"> teachers </w:t>
          </w:r>
          <w:r w:rsidR="004F6349">
            <w:rPr>
              <w:lang w:val="en"/>
            </w:rPr>
            <w:t xml:space="preserve">(and researchers) </w:t>
          </w:r>
          <w:r w:rsidR="001A2502">
            <w:rPr>
              <w:lang w:val="en"/>
            </w:rPr>
            <w:t>in</w:t>
          </w:r>
          <w:r w:rsidR="0024014C" w:rsidRPr="00C42A2A">
            <w:rPr>
              <w:lang w:val="en"/>
            </w:rPr>
            <w:t xml:space="preserve"> </w:t>
          </w:r>
          <w:r w:rsidR="004F6349">
            <w:rPr>
              <w:lang w:val="en"/>
            </w:rPr>
            <w:t xml:space="preserve">an increasingly </w:t>
          </w:r>
          <w:r w:rsidR="00F463E6">
            <w:rPr>
              <w:lang w:val="en"/>
            </w:rPr>
            <w:t>precarious academia</w:t>
          </w:r>
          <w:r w:rsidR="00C42A2A" w:rsidRPr="00C42A2A">
            <w:rPr>
              <w:lang w:val="en"/>
            </w:rPr>
            <w:t xml:space="preserve">. </w:t>
          </w:r>
        </w:p>
      </w:sdtContent>
    </w:sdt>
    <w:sdt>
      <w:sdtPr>
        <w:rPr>
          <w:lang w:val="en"/>
        </w:rPr>
        <w:tag w:val="goog_rdk_9"/>
        <w:id w:val="-1926486936"/>
      </w:sdtPr>
      <w:sdtEndPr/>
      <w:sdtContent>
        <w:p w14:paraId="5A03F2B4" w14:textId="77777777" w:rsidR="00C42A2A" w:rsidRPr="00C42A2A" w:rsidRDefault="00C42A2A">
          <w:pPr>
            <w:pStyle w:val="Keywords"/>
            <w:rPr>
              <w:lang w:val="en"/>
            </w:rPr>
          </w:pPr>
        </w:p>
        <w:sdt>
          <w:sdtPr>
            <w:rPr>
              <w:lang w:val="en"/>
            </w:rPr>
            <w:tag w:val="goog_rdk_5"/>
            <w:id w:val="326336231"/>
          </w:sdtPr>
          <w:sdtEndPr/>
          <w:sdtContent>
            <w:p w14:paraId="6482C70B" w14:textId="789FBC6B" w:rsidR="00C42A2A" w:rsidRPr="00C42A2A" w:rsidRDefault="00C42A2A">
              <w:pPr>
                <w:pStyle w:val="Keywords"/>
                <w:rPr>
                  <w:lang w:val="en"/>
                </w:rPr>
              </w:pPr>
              <w:r w:rsidRPr="00C42A2A">
                <w:rPr>
                  <w:b/>
                  <w:lang w:val="en"/>
                </w:rPr>
                <w:t xml:space="preserve">Keywords:  </w:t>
              </w:r>
              <w:r w:rsidRPr="00C42A2A">
                <w:rPr>
                  <w:lang w:val="en"/>
                </w:rPr>
                <w:t xml:space="preserve">doctoral students, </w:t>
              </w:r>
              <w:r w:rsidR="008C4893">
                <w:rPr>
                  <w:lang w:val="en"/>
                </w:rPr>
                <w:t xml:space="preserve">graduate teaching assistants, </w:t>
              </w:r>
              <w:r w:rsidRPr="00C42A2A">
                <w:rPr>
                  <w:lang w:val="en"/>
                </w:rPr>
                <w:t xml:space="preserve">emerging teaching professionals, </w:t>
              </w:r>
              <w:r w:rsidR="001A2502">
                <w:rPr>
                  <w:lang w:val="en"/>
                </w:rPr>
                <w:t>n</w:t>
              </w:r>
              <w:r w:rsidRPr="00C42A2A">
                <w:rPr>
                  <w:lang w:val="en"/>
                </w:rPr>
                <w:t xml:space="preserve">eoliberal culture, </w:t>
              </w:r>
              <w:r w:rsidR="001A2502">
                <w:rPr>
                  <w:lang w:val="en"/>
                </w:rPr>
                <w:t>p</w:t>
              </w:r>
              <w:r w:rsidRPr="00C42A2A">
                <w:rPr>
                  <w:lang w:val="en"/>
                </w:rPr>
                <w:t xml:space="preserve">recarity.  </w:t>
              </w:r>
            </w:p>
          </w:sdtContent>
        </w:sdt>
      </w:sdtContent>
    </w:sdt>
    <w:p w14:paraId="4B461512" w14:textId="063C9361" w:rsidR="00DF7817" w:rsidRDefault="00DF7817">
      <w:pPr>
        <w:pStyle w:val="Heading1"/>
      </w:pPr>
      <w:r>
        <w:t>Introduction</w:t>
      </w:r>
    </w:p>
    <w:p w14:paraId="7DF3D371" w14:textId="44AD3239" w:rsidR="007114C6" w:rsidRDefault="14525E8A" w:rsidP="00A221F4">
      <w:pPr>
        <w:pStyle w:val="Paragraph"/>
      </w:pPr>
      <w:r w:rsidRPr="14525E8A">
        <w:rPr>
          <w:color w:val="000000" w:themeColor="text1"/>
        </w:rPr>
        <w:t xml:space="preserve">The number of </w:t>
      </w:r>
      <w:proofErr w:type="spellStart"/>
      <w:r w:rsidRPr="14525E8A">
        <w:rPr>
          <w:color w:val="000000" w:themeColor="text1"/>
        </w:rPr>
        <w:t>precariats</w:t>
      </w:r>
      <w:proofErr w:type="spellEnd"/>
      <w:r w:rsidRPr="14525E8A">
        <w:rPr>
          <w:color w:val="000000" w:themeColor="text1"/>
        </w:rPr>
        <w:t xml:space="preserve"> in Western academia continues to rise (Courtois and O’Keefe, 2015) as a result of </w:t>
      </w:r>
      <w:proofErr w:type="spellStart"/>
      <w:r w:rsidRPr="14525E8A">
        <w:rPr>
          <w:color w:val="000000" w:themeColor="text1"/>
        </w:rPr>
        <w:t>neoliberalisation</w:t>
      </w:r>
      <w:proofErr w:type="spellEnd"/>
      <w:r w:rsidRPr="14525E8A">
        <w:rPr>
          <w:color w:val="000000" w:themeColor="text1"/>
        </w:rPr>
        <w:t xml:space="preserve"> that emphasises cost-effectiveness in the university work and practices (Williams, 2013).</w:t>
      </w:r>
      <w:r w:rsidR="00226BF8">
        <w:rPr>
          <w:color w:val="000000" w:themeColor="text1"/>
        </w:rPr>
        <w:t xml:space="preserve"> </w:t>
      </w:r>
      <w:r w:rsidRPr="14525E8A">
        <w:rPr>
          <w:color w:val="000000" w:themeColor="text1"/>
        </w:rPr>
        <w:t>Academic staff are faced with casualisation, providing just-in-time research and teaching as well as meeting performance criteria linked to various metrics</w:t>
      </w:r>
      <w:r w:rsidR="00C95A73">
        <w:rPr>
          <w:color w:val="000000" w:themeColor="text1"/>
        </w:rPr>
        <w:t xml:space="preserve"> </w:t>
      </w:r>
      <w:r w:rsidR="00C95A73" w:rsidRPr="00B96B8F">
        <w:rPr>
          <w:color w:val="000000" w:themeColor="text1"/>
          <w:highlight w:val="yellow"/>
        </w:rPr>
        <w:t xml:space="preserve">(Gill and </w:t>
      </w:r>
      <w:proofErr w:type="spellStart"/>
      <w:r w:rsidR="00C95A73" w:rsidRPr="00B96B8F">
        <w:rPr>
          <w:color w:val="000000" w:themeColor="text1"/>
          <w:highlight w:val="yellow"/>
        </w:rPr>
        <w:t>Donaghue</w:t>
      </w:r>
      <w:proofErr w:type="spellEnd"/>
      <w:r w:rsidR="00C95A73" w:rsidRPr="00B96B8F">
        <w:rPr>
          <w:color w:val="000000" w:themeColor="text1"/>
          <w:highlight w:val="yellow"/>
        </w:rPr>
        <w:t xml:space="preserve"> 2016; </w:t>
      </w:r>
      <w:proofErr w:type="spellStart"/>
      <w:r w:rsidR="00C95A73" w:rsidRPr="00B96B8F">
        <w:rPr>
          <w:color w:val="000000" w:themeColor="text1"/>
          <w:highlight w:val="yellow"/>
        </w:rPr>
        <w:t>Heijstra</w:t>
      </w:r>
      <w:proofErr w:type="spellEnd"/>
      <w:r w:rsidR="00C95A73" w:rsidRPr="00B96B8F">
        <w:rPr>
          <w:color w:val="000000" w:themeColor="text1"/>
          <w:highlight w:val="yellow"/>
        </w:rPr>
        <w:t xml:space="preserve"> et al. 201</w:t>
      </w:r>
      <w:r w:rsidR="00DA0E13">
        <w:rPr>
          <w:color w:val="000000" w:themeColor="text1"/>
        </w:rPr>
        <w:t>7</w:t>
      </w:r>
      <w:r w:rsidR="00C95A73">
        <w:rPr>
          <w:color w:val="000000" w:themeColor="text1"/>
        </w:rPr>
        <w:t>)</w:t>
      </w:r>
      <w:r w:rsidRPr="14525E8A">
        <w:rPr>
          <w:color w:val="000000" w:themeColor="text1"/>
        </w:rPr>
        <w:t xml:space="preserve">. The new and emerging academics, the </w:t>
      </w:r>
      <w:r w:rsidRPr="00B96B8F">
        <w:rPr>
          <w:color w:val="000000" w:themeColor="text1"/>
          <w:highlight w:val="yellow"/>
        </w:rPr>
        <w:t>do</w:t>
      </w:r>
      <w:r w:rsidR="00226BF8" w:rsidRPr="00B96B8F">
        <w:rPr>
          <w:color w:val="000000" w:themeColor="text1"/>
          <w:highlight w:val="yellow"/>
        </w:rPr>
        <w:t>c</w:t>
      </w:r>
      <w:r w:rsidRPr="00B96B8F">
        <w:rPr>
          <w:color w:val="000000" w:themeColor="text1"/>
          <w:highlight w:val="yellow"/>
        </w:rPr>
        <w:t>toral</w:t>
      </w:r>
      <w:r w:rsidRPr="14525E8A">
        <w:rPr>
          <w:color w:val="000000" w:themeColor="text1"/>
        </w:rPr>
        <w:t xml:space="preserve"> students, are beginning to navigate this precarity mire either consciously or unconsciously. </w:t>
      </w:r>
      <w:r>
        <w:t xml:space="preserve">Doctoral students are regularly recruited to teach undergraduates within higher education institutions (HEIs) and sometimes </w:t>
      </w:r>
      <w:r w:rsidR="000A2766">
        <w:t>this</w:t>
      </w:r>
      <w:r>
        <w:t xml:space="preserve"> role forms part of a doctoral studentship</w:t>
      </w:r>
      <w:r w:rsidRPr="00B96B8F">
        <w:rPr>
          <w:highlight w:val="green"/>
        </w:rPr>
        <w:t>.</w:t>
      </w:r>
      <w:r>
        <w:t xml:space="preserve"> In countries such as the UK, USA and Canada, </w:t>
      </w:r>
      <w:r>
        <w:lastRenderedPageBreak/>
        <w:t xml:space="preserve">they are commonly referred to as Graduate Teaching Assistants (GTAs) (Park, 2004). GTAs, along with associate lecturers/contractual workers, are recruited to improve staff-student ratio which </w:t>
      </w:r>
      <w:r w:rsidR="00226BF8" w:rsidRPr="00B96B8F">
        <w:rPr>
          <w:color w:val="000000" w:themeColor="text1"/>
          <w:highlight w:val="yellow"/>
        </w:rPr>
        <w:t>is often considered as an indicator for better learning and teaching experience in various university league tables</w:t>
      </w:r>
      <w:r w:rsidR="00226BF8">
        <w:rPr>
          <w:rStyle w:val="FootnoteReference"/>
          <w:color w:val="000000" w:themeColor="text1"/>
          <w:highlight w:val="yellow"/>
        </w:rPr>
        <w:footnoteReference w:id="1"/>
      </w:r>
      <w:r w:rsidR="00226BF8" w:rsidRPr="00B96B8F" w:rsidDel="00226BF8">
        <w:rPr>
          <w:highlight w:val="yellow"/>
        </w:rPr>
        <w:t xml:space="preserve"> </w:t>
      </w:r>
      <w:r w:rsidRPr="00B96B8F">
        <w:rPr>
          <w:highlight w:val="yellow"/>
        </w:rPr>
        <w:t>(Chadha, 2013).</w:t>
      </w:r>
      <w:r>
        <w:t xml:space="preserve"> They are therefore fulfilling teaching roles that respond to the shortfall in academic teaching staff and/or release the permanent staff from rising teaching pressures as student numbers continue to rise.</w:t>
      </w:r>
      <w:r w:rsidR="00DA0E13">
        <w:t xml:space="preserve"> Research on GTAs have shown that they</w:t>
      </w:r>
      <w:r w:rsidR="0056708B">
        <w:t xml:space="preserve"> see teaching as a positive experience</w:t>
      </w:r>
      <w:r w:rsidR="00DA0E13">
        <w:t xml:space="preserve"> which helps </w:t>
      </w:r>
      <w:r w:rsidR="0056708B">
        <w:t xml:space="preserve">develop their academic identity </w:t>
      </w:r>
      <w:r w:rsidR="00A221F4">
        <w:t>(</w:t>
      </w:r>
      <w:proofErr w:type="spellStart"/>
      <w:r w:rsidR="00A221F4" w:rsidRPr="00B96B8F">
        <w:rPr>
          <w:highlight w:val="yellow"/>
        </w:rPr>
        <w:t>Emmioğlu</w:t>
      </w:r>
      <w:proofErr w:type="spellEnd"/>
      <w:r w:rsidR="00A221F4" w:rsidRPr="00B96B8F">
        <w:rPr>
          <w:highlight w:val="yellow"/>
        </w:rPr>
        <w:t>, McAlpine and Amundsen, 2017; Jordan and Howe, 2018</w:t>
      </w:r>
      <w:r w:rsidR="00A221F4">
        <w:t>)</w:t>
      </w:r>
      <w:r w:rsidR="00842CC3">
        <w:t xml:space="preserve"> and their market value (</w:t>
      </w:r>
      <w:proofErr w:type="spellStart"/>
      <w:r w:rsidR="00842CC3">
        <w:t>Mantai</w:t>
      </w:r>
      <w:proofErr w:type="spellEnd"/>
      <w:r w:rsidR="00842CC3">
        <w:t>, 2019). R</w:t>
      </w:r>
      <w:r w:rsidR="00DA0E13">
        <w:t>ecently, there has been more interest in the</w:t>
      </w:r>
      <w:r w:rsidR="009211C0">
        <w:t xml:space="preserve"> development and evaluation of </w:t>
      </w:r>
      <w:r w:rsidR="00DA0E13">
        <w:t xml:space="preserve">formal </w:t>
      </w:r>
      <w:r w:rsidR="0056708B">
        <w:t>teaching support programmes</w:t>
      </w:r>
      <w:r w:rsidR="00A221F4">
        <w:t xml:space="preserve"> for </w:t>
      </w:r>
      <w:r w:rsidR="009211C0">
        <w:t>GTAs</w:t>
      </w:r>
      <w:r w:rsidR="00A221F4">
        <w:t xml:space="preserve"> (Chadha, 2013</w:t>
      </w:r>
      <w:r w:rsidR="009211C0" w:rsidRPr="00B96B8F">
        <w:rPr>
          <w:highlight w:val="yellow"/>
        </w:rPr>
        <w:t>; 2015</w:t>
      </w:r>
      <w:r w:rsidR="009211C0">
        <w:t xml:space="preserve">, </w:t>
      </w:r>
      <w:r w:rsidR="009211C0" w:rsidRPr="00B96B8F">
        <w:rPr>
          <w:highlight w:val="yellow"/>
        </w:rPr>
        <w:t>Beaton, 2017</w:t>
      </w:r>
      <w:r w:rsidR="00A221F4">
        <w:t>)</w:t>
      </w:r>
      <w:r w:rsidR="0056708B">
        <w:t>. However, what is less understood is how informal and formal teaching support help doctoral students navigate their multiple identities of student, researcher and teacher</w:t>
      </w:r>
      <w:r w:rsidR="009211C0">
        <w:t xml:space="preserve"> in an era of precarity</w:t>
      </w:r>
      <w:r w:rsidR="0056708B">
        <w:t>.</w:t>
      </w:r>
    </w:p>
    <w:p w14:paraId="0E0062F4" w14:textId="1F37B550" w:rsidR="00415072" w:rsidRDefault="00415072" w:rsidP="00B96B8F">
      <w:pPr>
        <w:pStyle w:val="Heading2"/>
      </w:pPr>
      <w:r>
        <w:t>Liminality and Borderlands</w:t>
      </w:r>
    </w:p>
    <w:p w14:paraId="4AEDCA5B" w14:textId="2717DF4E" w:rsidR="00F368B8" w:rsidRDefault="00AF6531" w:rsidP="00415072">
      <w:pPr>
        <w:pStyle w:val="Paragraph"/>
      </w:pPr>
      <w:r>
        <w:t xml:space="preserve">Within the context of </w:t>
      </w:r>
      <w:proofErr w:type="spellStart"/>
      <w:r w:rsidR="004C2DCF">
        <w:t>neoliberalisation</w:t>
      </w:r>
      <w:proofErr w:type="spellEnd"/>
      <w:r w:rsidR="004C2DCF">
        <w:t xml:space="preserve"> and precarity, w</w:t>
      </w:r>
      <w:r w:rsidR="00BB492C">
        <w:t xml:space="preserve">e </w:t>
      </w:r>
      <w:r w:rsidR="007114C6">
        <w:t>argue</w:t>
      </w:r>
      <w:r w:rsidR="00BB492C">
        <w:t xml:space="preserve"> that</w:t>
      </w:r>
      <w:r w:rsidR="00415072">
        <w:t xml:space="preserve"> GTAs</w:t>
      </w:r>
      <w:r w:rsidR="004C2DCF">
        <w:t xml:space="preserve"> occupy a </w:t>
      </w:r>
      <w:r w:rsidR="00BB492C">
        <w:t xml:space="preserve">liminal space as a doctoral </w:t>
      </w:r>
      <w:r w:rsidR="00457D9C">
        <w:t xml:space="preserve">student, </w:t>
      </w:r>
      <w:r w:rsidR="00BB492C">
        <w:t xml:space="preserve">researcher and teacher </w:t>
      </w:r>
      <w:r w:rsidR="004C2DCF">
        <w:t>that can be liken to a borderland (</w:t>
      </w:r>
      <w:proofErr w:type="spellStart"/>
      <w:r w:rsidR="004C2DCF" w:rsidRPr="00BB492C">
        <w:t>Andzaldúa</w:t>
      </w:r>
      <w:proofErr w:type="spellEnd"/>
      <w:r w:rsidR="004C2DCF">
        <w:t xml:space="preserve">, </w:t>
      </w:r>
      <w:r w:rsidR="004C2DCF" w:rsidRPr="00BB492C">
        <w:t>1987)</w:t>
      </w:r>
      <w:r w:rsidR="004C2DCF">
        <w:t>.</w:t>
      </w:r>
      <w:r w:rsidR="00BB492C">
        <w:t xml:space="preserve"> </w:t>
      </w:r>
      <w:r w:rsidR="00415072">
        <w:t xml:space="preserve">GTAs enter, what Meyer and Land (2005) term as a liminal state that has a transformative function in a process of becoming an academic, </w:t>
      </w:r>
      <w:proofErr w:type="gramStart"/>
      <w:r w:rsidR="00415072">
        <w:t>i.e.</w:t>
      </w:r>
      <w:proofErr w:type="gramEnd"/>
      <w:r w:rsidR="00415072">
        <w:t xml:space="preserve"> shifting from one state of being into another. </w:t>
      </w:r>
      <w:r w:rsidR="00540962">
        <w:t>The concept of GTAs occupying a liminal space</w:t>
      </w:r>
      <w:r w:rsidR="009C7BC5">
        <w:t xml:space="preserve">, although </w:t>
      </w:r>
      <w:r w:rsidR="00540962">
        <w:t xml:space="preserve">not new </w:t>
      </w:r>
      <w:r w:rsidR="009C7BC5">
        <w:t xml:space="preserve">is less common </w:t>
      </w:r>
      <w:r w:rsidR="00540962">
        <w:t>(</w:t>
      </w:r>
      <w:r w:rsidR="00540962" w:rsidRPr="00B96B8F">
        <w:rPr>
          <w:highlight w:val="yellow"/>
        </w:rPr>
        <w:t xml:space="preserve">see </w:t>
      </w:r>
      <w:proofErr w:type="spellStart"/>
      <w:r w:rsidR="00540962" w:rsidRPr="00B96B8F">
        <w:rPr>
          <w:highlight w:val="yellow"/>
        </w:rPr>
        <w:t>Winstone</w:t>
      </w:r>
      <w:proofErr w:type="spellEnd"/>
      <w:r w:rsidR="00540962" w:rsidRPr="00B96B8F">
        <w:rPr>
          <w:highlight w:val="yellow"/>
        </w:rPr>
        <w:t xml:space="preserve"> </w:t>
      </w:r>
      <w:r w:rsidR="00B44C12" w:rsidRPr="00B96B8F">
        <w:rPr>
          <w:highlight w:val="yellow"/>
        </w:rPr>
        <w:t>and</w:t>
      </w:r>
      <w:r w:rsidR="00540962" w:rsidRPr="00B96B8F">
        <w:rPr>
          <w:highlight w:val="yellow"/>
        </w:rPr>
        <w:t xml:space="preserve"> Moore, 2017</w:t>
      </w:r>
      <w:r w:rsidR="00540962">
        <w:t>)</w:t>
      </w:r>
      <w:r w:rsidR="009C7BC5">
        <w:t>. GTAs</w:t>
      </w:r>
      <w:r w:rsidR="00540962">
        <w:t xml:space="preserve"> are described as having an ‘ambiguous niche’ </w:t>
      </w:r>
      <w:r w:rsidR="00540962" w:rsidRPr="00B96B8F">
        <w:rPr>
          <w:highlight w:val="yellow"/>
        </w:rPr>
        <w:t>(</w:t>
      </w:r>
      <w:r w:rsidR="00FB3D36">
        <w:rPr>
          <w:highlight w:val="yellow"/>
        </w:rPr>
        <w:t>Park</w:t>
      </w:r>
      <w:r w:rsidR="00540962" w:rsidRPr="00B96B8F">
        <w:rPr>
          <w:highlight w:val="yellow"/>
        </w:rPr>
        <w:t xml:space="preserve">, </w:t>
      </w:r>
      <w:r w:rsidR="00FB3D36">
        <w:t>2004</w:t>
      </w:r>
      <w:r w:rsidR="00540962">
        <w:t>) b</w:t>
      </w:r>
      <w:r w:rsidR="00A221F4">
        <w:t>y</w:t>
      </w:r>
      <w:r w:rsidR="00540962">
        <w:t xml:space="preserve"> having </w:t>
      </w:r>
      <w:r w:rsidR="00DA0E13">
        <w:t xml:space="preserve">these </w:t>
      </w:r>
      <w:r w:rsidR="00540962">
        <w:t xml:space="preserve">plural </w:t>
      </w:r>
      <w:r w:rsidR="00540962">
        <w:lastRenderedPageBreak/>
        <w:t>identities.</w:t>
      </w:r>
      <w:r w:rsidR="00E93879">
        <w:t xml:space="preserve"> </w:t>
      </w:r>
      <w:r w:rsidR="00415072" w:rsidRPr="00BB492C">
        <w:t>Anzaldúa</w:t>
      </w:r>
      <w:r w:rsidR="00415072">
        <w:t xml:space="preserve"> (</w:t>
      </w:r>
      <w:r w:rsidR="00415072" w:rsidRPr="00BB492C">
        <w:t>1987</w:t>
      </w:r>
      <w:r w:rsidR="00415072">
        <w:t xml:space="preserve">) used the term borderland to describe those of Latino </w:t>
      </w:r>
      <w:r w:rsidR="00F368B8">
        <w:t xml:space="preserve">and Chicano </w:t>
      </w:r>
      <w:r w:rsidR="00415072">
        <w:t xml:space="preserve">descent who live </w:t>
      </w:r>
      <w:r w:rsidR="00886FA8">
        <w:t xml:space="preserve">on the border between Mexico and the USA and who now have a hybrid life of neither being fully Mexican or </w:t>
      </w:r>
      <w:r w:rsidR="00E93879">
        <w:t>American</w:t>
      </w:r>
      <w:r w:rsidR="00886FA8">
        <w:t xml:space="preserve">. In the same way, GTAs have a hybrid life of a student-researcher-teacher and occupy a borderland. </w:t>
      </w:r>
      <w:proofErr w:type="spellStart"/>
      <w:r w:rsidR="00E93879">
        <w:t>Winstone</w:t>
      </w:r>
      <w:proofErr w:type="spellEnd"/>
      <w:r w:rsidR="00E93879">
        <w:t xml:space="preserve"> and Moore (2017) allude to this hybridity by referring to GTAs as being “sometimes fish” and “sometimes fowl”. Unlike the Mexican and American citizens</w:t>
      </w:r>
      <w:r w:rsidR="009C7BC5">
        <w:t>, in Anzaldua,</w:t>
      </w:r>
      <w:r w:rsidR="00E93879">
        <w:t xml:space="preserve"> who may live permanently in the borderlands, we conceptualise GTAs as temporary borderland citizens who aim to move beyond the borderlands and </w:t>
      </w:r>
      <w:r w:rsidR="0095481A">
        <w:t xml:space="preserve">are </w:t>
      </w:r>
      <w:r w:rsidR="00E93879">
        <w:t>possibly</w:t>
      </w:r>
      <w:r w:rsidR="0095481A">
        <w:t xml:space="preserve"> </w:t>
      </w:r>
      <w:proofErr w:type="spellStart"/>
      <w:r w:rsidR="0095481A">
        <w:t>enroute</w:t>
      </w:r>
      <w:proofErr w:type="spellEnd"/>
      <w:r w:rsidR="0095481A">
        <w:t xml:space="preserve"> to</w:t>
      </w:r>
      <w:r w:rsidR="00E93879">
        <w:t xml:space="preserve"> becom</w:t>
      </w:r>
      <w:r w:rsidR="0095481A">
        <w:t>ing an</w:t>
      </w:r>
      <w:r w:rsidR="00E93879">
        <w:t xml:space="preserve"> academic. </w:t>
      </w:r>
      <w:r w:rsidR="00886FA8">
        <w:t>C</w:t>
      </w:r>
      <w:r w:rsidR="00B44C12">
        <w:t xml:space="preserve">onceptualising </w:t>
      </w:r>
      <w:r w:rsidR="00886FA8">
        <w:t>GTAs’</w:t>
      </w:r>
      <w:r w:rsidR="00B44C12">
        <w:t xml:space="preserve"> identities as </w:t>
      </w:r>
      <w:r w:rsidR="0095481A">
        <w:t>being in a</w:t>
      </w:r>
      <w:r w:rsidR="00B44C12">
        <w:t xml:space="preserve"> </w:t>
      </w:r>
      <w:r w:rsidR="00B7029C">
        <w:t xml:space="preserve">temporary </w:t>
      </w:r>
      <w:r w:rsidR="00B44C12">
        <w:t>borderland</w:t>
      </w:r>
      <w:r w:rsidR="00F368B8">
        <w:t xml:space="preserve"> </w:t>
      </w:r>
      <w:r w:rsidR="00B44C12">
        <w:t>allows us to investigate these identities as being complex, shifting and intersectional rather than hegemonic (</w:t>
      </w:r>
      <w:r w:rsidR="00B44C12" w:rsidRPr="00B96B8F">
        <w:rPr>
          <w:highlight w:val="yellow"/>
        </w:rPr>
        <w:t>Garbutt, Biermann and Offord, 2012</w:t>
      </w:r>
      <w:r w:rsidR="00B44C12">
        <w:t xml:space="preserve">). </w:t>
      </w:r>
      <w:r w:rsidR="00FE7EBB">
        <w:t xml:space="preserve">In other words, </w:t>
      </w:r>
      <w:r w:rsidR="00B44C12">
        <w:t xml:space="preserve">whilst </w:t>
      </w:r>
      <w:r w:rsidR="00FE7EBB">
        <w:t>d</w:t>
      </w:r>
      <w:r w:rsidR="00457D9C">
        <w:t>octoral students</w:t>
      </w:r>
      <w:r w:rsidR="004C2DCF">
        <w:t xml:space="preserve"> </w:t>
      </w:r>
      <w:r w:rsidR="00457D9C">
        <w:t>hold</w:t>
      </w:r>
      <w:r w:rsidR="004C2DCF">
        <w:t xml:space="preserve"> </w:t>
      </w:r>
      <w:r w:rsidR="00457D9C">
        <w:t>the “</w:t>
      </w:r>
      <w:r w:rsidR="00B44C12">
        <w:t xml:space="preserve">legal </w:t>
      </w:r>
      <w:r w:rsidR="00457D9C">
        <w:t>citizenship” of being a student</w:t>
      </w:r>
      <w:r w:rsidR="00B44C12">
        <w:t xml:space="preserve">, they </w:t>
      </w:r>
      <w:r w:rsidR="00457D9C">
        <w:t xml:space="preserve">regularly (re)cross this social border into being an academic by undertaking teaching which allows them to share the same culture and practices of </w:t>
      </w:r>
      <w:r w:rsidR="0095481A">
        <w:t xml:space="preserve">their desired professional destination, of becoming </w:t>
      </w:r>
      <w:r w:rsidR="00457D9C">
        <w:t xml:space="preserve">an academic. </w:t>
      </w:r>
    </w:p>
    <w:p w14:paraId="217AF28E" w14:textId="6671092D" w:rsidR="00FE091E" w:rsidRDefault="009211C0" w:rsidP="00F368B8">
      <w:pPr>
        <w:pStyle w:val="Newparagraph"/>
      </w:pPr>
      <w:r>
        <w:t>Hence, the doctoral student-researcher-teacher borderland</w:t>
      </w:r>
      <w:r w:rsidR="001208C7">
        <w:t>, now also referred to as the GTA borderland</w:t>
      </w:r>
      <w:r w:rsidR="009F5B25">
        <w:t xml:space="preserve"> in this paper</w:t>
      </w:r>
      <w:r w:rsidR="001208C7">
        <w:t>,</w:t>
      </w:r>
      <w:r>
        <w:t xml:space="preserve"> is not a physical space, but a social space of practices where doctoral students </w:t>
      </w:r>
      <w:proofErr w:type="gramStart"/>
      <w:r>
        <w:t>seek</w:t>
      </w:r>
      <w:proofErr w:type="gramEnd"/>
      <w:r>
        <w:t xml:space="preserve"> </w:t>
      </w:r>
      <w:r w:rsidR="00647B9D">
        <w:t xml:space="preserve">similar support and </w:t>
      </w:r>
      <w:r>
        <w:t>legitimisation of being an academic (</w:t>
      </w:r>
      <w:proofErr w:type="spellStart"/>
      <w:r>
        <w:t>Paasi</w:t>
      </w:r>
      <w:proofErr w:type="spellEnd"/>
      <w:r>
        <w:t>, 2009)</w:t>
      </w:r>
      <w:r w:rsidRPr="009077D3">
        <w:t xml:space="preserve">. </w:t>
      </w:r>
      <w:r w:rsidR="00FE7EBB">
        <w:t xml:space="preserve">This journey, however, is never straightforward </w:t>
      </w:r>
      <w:r w:rsidR="00FA3CE6">
        <w:t xml:space="preserve">as </w:t>
      </w:r>
      <w:r w:rsidR="003812E1">
        <w:t>navigating</w:t>
      </w:r>
      <w:r w:rsidR="003812E1" w:rsidRPr="003812E1">
        <w:t xml:space="preserve"> </w:t>
      </w:r>
      <w:r w:rsidR="00FA3CE6">
        <w:t>the</w:t>
      </w:r>
      <w:r w:rsidR="003812E1" w:rsidRPr="003812E1">
        <w:t xml:space="preserve"> liminal</w:t>
      </w:r>
      <w:r w:rsidR="00FA3CE6">
        <w:t xml:space="preserve">ity </w:t>
      </w:r>
      <w:r w:rsidR="003812E1" w:rsidRPr="003812E1">
        <w:t>entails the acquisition and use of new forms of written and spoken discourse and the internalis</w:t>
      </w:r>
      <w:r w:rsidR="00BC56C3">
        <w:t>ation</w:t>
      </w:r>
      <w:r w:rsidR="003812E1" w:rsidRPr="003812E1">
        <w:t xml:space="preserve"> of these</w:t>
      </w:r>
      <w:r w:rsidR="003812E1">
        <w:t xml:space="preserve"> (Land, Rattray </w:t>
      </w:r>
      <w:r w:rsidR="001D7A50">
        <w:t>and Vivian 2014)</w:t>
      </w:r>
      <w:r w:rsidR="003812E1" w:rsidRPr="003812E1">
        <w:t>.</w:t>
      </w:r>
      <w:r w:rsidR="005921C8">
        <w:t xml:space="preserve"> </w:t>
      </w:r>
      <w:r w:rsidR="0079441D">
        <w:t>We further argue, that w</w:t>
      </w:r>
      <w:r w:rsidR="0079441D" w:rsidRPr="009077D3">
        <w:t xml:space="preserve">hilst there is evidence of doctoral students </w:t>
      </w:r>
      <w:r w:rsidR="00BC56C3">
        <w:t>undertaking</w:t>
      </w:r>
      <w:r w:rsidR="0079441D" w:rsidRPr="009077D3">
        <w:t xml:space="preserve"> teaching roles, there </w:t>
      </w:r>
      <w:r w:rsidR="00B93F21" w:rsidRPr="00B96B8F">
        <w:rPr>
          <w:highlight w:val="yellow"/>
        </w:rPr>
        <w:t xml:space="preserve">is a pressing need to understand </w:t>
      </w:r>
      <w:r w:rsidR="00F4521E">
        <w:rPr>
          <w:highlight w:val="yellow"/>
        </w:rPr>
        <w:t xml:space="preserve">how the teaching support available </w:t>
      </w:r>
      <w:r w:rsidR="00886FA8">
        <w:rPr>
          <w:highlight w:val="yellow"/>
        </w:rPr>
        <w:t xml:space="preserve">affects </w:t>
      </w:r>
      <w:r w:rsidR="00B93F21" w:rsidRPr="00B96B8F">
        <w:rPr>
          <w:highlight w:val="yellow"/>
        </w:rPr>
        <w:t xml:space="preserve">their experiences </w:t>
      </w:r>
      <w:r w:rsidR="00B44C12">
        <w:rPr>
          <w:highlight w:val="yellow"/>
        </w:rPr>
        <w:t>in navigating the borderlands</w:t>
      </w:r>
      <w:r w:rsidR="001A6628">
        <w:rPr>
          <w:highlight w:val="yellow"/>
        </w:rPr>
        <w:t xml:space="preserve"> and developing their identity as an academic</w:t>
      </w:r>
      <w:r w:rsidR="0079441D" w:rsidRPr="00B96B8F">
        <w:rPr>
          <w:highlight w:val="yellow"/>
        </w:rPr>
        <w:t>.</w:t>
      </w:r>
      <w:r w:rsidR="00B93F21" w:rsidRPr="00B96B8F">
        <w:rPr>
          <w:highlight w:val="yellow"/>
        </w:rPr>
        <w:t xml:space="preserve"> This is particularly important as doctoral students as GTAs have now become part of </w:t>
      </w:r>
      <w:r w:rsidR="00B93F21" w:rsidRPr="00B96B8F">
        <w:rPr>
          <w:highlight w:val="yellow"/>
        </w:rPr>
        <w:lastRenderedPageBreak/>
        <w:t xml:space="preserve">the precarious HE </w:t>
      </w:r>
      <w:proofErr w:type="gramStart"/>
      <w:r w:rsidR="00C95A73">
        <w:rPr>
          <w:highlight w:val="yellow"/>
        </w:rPr>
        <w:t>landscape</w:t>
      </w:r>
      <w:proofErr w:type="gramEnd"/>
      <w:r w:rsidR="00911B2F">
        <w:rPr>
          <w:highlight w:val="yellow"/>
        </w:rPr>
        <w:t>,</w:t>
      </w:r>
      <w:r w:rsidR="00B93F21" w:rsidRPr="00B96B8F">
        <w:rPr>
          <w:highlight w:val="yellow"/>
        </w:rPr>
        <w:t xml:space="preserve"> </w:t>
      </w:r>
      <w:r w:rsidR="00AA1F43">
        <w:rPr>
          <w:highlight w:val="yellow"/>
        </w:rPr>
        <w:t>and</w:t>
      </w:r>
      <w:r w:rsidR="00B93F21" w:rsidRPr="00B96B8F">
        <w:rPr>
          <w:highlight w:val="yellow"/>
        </w:rPr>
        <w:t xml:space="preserve"> for successful transition to academic work</w:t>
      </w:r>
      <w:r w:rsidR="00AA1F43">
        <w:rPr>
          <w:highlight w:val="yellow"/>
        </w:rPr>
        <w:t>, they</w:t>
      </w:r>
      <w:r w:rsidR="00B93F21" w:rsidRPr="00B96B8F">
        <w:rPr>
          <w:highlight w:val="yellow"/>
        </w:rPr>
        <w:t xml:space="preserve"> need to be able to cope with and navigate the</w:t>
      </w:r>
      <w:r w:rsidR="00AA1F43" w:rsidRPr="00B96B8F">
        <w:rPr>
          <w:highlight w:val="yellow"/>
        </w:rPr>
        <w:t xml:space="preserve">ir </w:t>
      </w:r>
      <w:r w:rsidR="00AA1F43">
        <w:rPr>
          <w:highlight w:val="yellow"/>
        </w:rPr>
        <w:t>experiences</w:t>
      </w:r>
      <w:r w:rsidR="00AA1F43" w:rsidRPr="00B96B8F">
        <w:rPr>
          <w:highlight w:val="yellow"/>
        </w:rPr>
        <w:t xml:space="preserve"> </w:t>
      </w:r>
      <w:r w:rsidR="00886FA8">
        <w:rPr>
          <w:highlight w:val="yellow"/>
        </w:rPr>
        <w:t>whilst in</w:t>
      </w:r>
      <w:r w:rsidR="00AA1F43" w:rsidRPr="00B96B8F">
        <w:rPr>
          <w:highlight w:val="yellow"/>
        </w:rPr>
        <w:t xml:space="preserve"> the borderlands.</w:t>
      </w:r>
      <w:r w:rsidR="00B93F21">
        <w:t xml:space="preserve"> </w:t>
      </w:r>
      <w:r w:rsidR="00FE091E">
        <w:t>Using</w:t>
      </w:r>
      <w:r w:rsidR="00BC56C3">
        <w:t xml:space="preserve"> </w:t>
      </w:r>
      <w:r w:rsidR="00273744">
        <w:t>a</w:t>
      </w:r>
      <w:r w:rsidR="005B5317">
        <w:t xml:space="preserve"> </w:t>
      </w:r>
      <w:r w:rsidR="00273744">
        <w:t xml:space="preserve">qualitative multiple </w:t>
      </w:r>
      <w:r w:rsidR="00FE091E">
        <w:t>case stud</w:t>
      </w:r>
      <w:r w:rsidR="00273744">
        <w:t>y approach</w:t>
      </w:r>
      <w:r w:rsidR="00FE091E">
        <w:t>, this paper seeks to explore</w:t>
      </w:r>
      <w:r w:rsidR="00686454">
        <w:t>:</w:t>
      </w:r>
    </w:p>
    <w:p w14:paraId="69CB6009" w14:textId="50CFC968" w:rsidR="005F45B8" w:rsidRDefault="00C82CF0" w:rsidP="00B96B8F">
      <w:pPr>
        <w:pStyle w:val="Paragraph"/>
        <w:numPr>
          <w:ilvl w:val="0"/>
          <w:numId w:val="5"/>
        </w:numPr>
        <w:rPr>
          <w:color w:val="000000" w:themeColor="text1"/>
        </w:rPr>
      </w:pPr>
      <w:r>
        <w:rPr>
          <w:color w:val="000000" w:themeColor="text1"/>
        </w:rPr>
        <w:t xml:space="preserve">The extent that informal and formal </w:t>
      </w:r>
      <w:r w:rsidR="00686454">
        <w:rPr>
          <w:color w:val="000000" w:themeColor="text1"/>
        </w:rPr>
        <w:t>t</w:t>
      </w:r>
      <w:r w:rsidR="009B78C4">
        <w:rPr>
          <w:color w:val="000000" w:themeColor="text1"/>
        </w:rPr>
        <w:t>eachi</w:t>
      </w:r>
      <w:r w:rsidR="00686454">
        <w:rPr>
          <w:color w:val="000000" w:themeColor="text1"/>
        </w:rPr>
        <w:t xml:space="preserve">ng support </w:t>
      </w:r>
      <w:r>
        <w:rPr>
          <w:color w:val="000000" w:themeColor="text1"/>
        </w:rPr>
        <w:t xml:space="preserve">structures affect </w:t>
      </w:r>
      <w:r w:rsidR="00686454">
        <w:t xml:space="preserve">GTAs </w:t>
      </w:r>
      <w:r>
        <w:t>experiences in</w:t>
      </w:r>
      <w:r w:rsidR="00686454">
        <w:t xml:space="preserve"> </w:t>
      </w:r>
      <w:r>
        <w:t xml:space="preserve">accessing and </w:t>
      </w:r>
      <w:r w:rsidR="00686454">
        <w:t>navigat</w:t>
      </w:r>
      <w:r w:rsidR="00647B9D">
        <w:t>ing</w:t>
      </w:r>
      <w:r w:rsidR="00686454">
        <w:t xml:space="preserve"> the doctoral student-researcher-teacher borderlands withi</w:t>
      </w:r>
      <w:r w:rsidR="00FE091E" w:rsidRPr="009077D3">
        <w:rPr>
          <w:color w:val="000000" w:themeColor="text1"/>
        </w:rPr>
        <w:t xml:space="preserve">n a neoliberal culture of </w:t>
      </w:r>
      <w:r w:rsidR="00C95A73" w:rsidRPr="00B96B8F">
        <w:rPr>
          <w:color w:val="000000" w:themeColor="text1"/>
          <w:highlight w:val="yellow"/>
        </w:rPr>
        <w:t>precarity</w:t>
      </w:r>
      <w:r w:rsidR="00DF7817" w:rsidRPr="009077D3">
        <w:rPr>
          <w:color w:val="000000" w:themeColor="text1"/>
        </w:rPr>
        <w:t xml:space="preserve">. </w:t>
      </w:r>
    </w:p>
    <w:p w14:paraId="56AA88AD" w14:textId="7E1DEDB3" w:rsidR="005F45B8" w:rsidRDefault="00686454" w:rsidP="00B96B8F">
      <w:pPr>
        <w:pStyle w:val="Paragraph"/>
        <w:numPr>
          <w:ilvl w:val="0"/>
          <w:numId w:val="5"/>
        </w:numPr>
        <w:rPr>
          <w:color w:val="000000" w:themeColor="text1"/>
        </w:rPr>
      </w:pPr>
      <w:r>
        <w:rPr>
          <w:color w:val="000000" w:themeColor="text1"/>
        </w:rPr>
        <w:t>How institutional structural inequalities can affect GTAs</w:t>
      </w:r>
      <w:r w:rsidR="00C82CF0">
        <w:rPr>
          <w:color w:val="000000" w:themeColor="text1"/>
        </w:rPr>
        <w:t xml:space="preserve"> experiences in</w:t>
      </w:r>
      <w:r>
        <w:rPr>
          <w:color w:val="000000" w:themeColor="text1"/>
        </w:rPr>
        <w:t xml:space="preserve"> </w:t>
      </w:r>
      <w:r w:rsidR="00886FA8">
        <w:rPr>
          <w:color w:val="000000" w:themeColor="text1"/>
        </w:rPr>
        <w:t>moving beyond</w:t>
      </w:r>
      <w:r>
        <w:rPr>
          <w:color w:val="000000" w:themeColor="text1"/>
        </w:rPr>
        <w:t xml:space="preserve"> the doctoral student-researcher-teacher borderlands </w:t>
      </w:r>
      <w:r w:rsidR="00FA3CE6">
        <w:rPr>
          <w:color w:val="000000" w:themeColor="text1"/>
        </w:rPr>
        <w:t xml:space="preserve">in a context of </w:t>
      </w:r>
      <w:r w:rsidR="00DF7817" w:rsidRPr="009077D3">
        <w:rPr>
          <w:color w:val="000000" w:themeColor="text1"/>
        </w:rPr>
        <w:t xml:space="preserve">precarity. </w:t>
      </w:r>
    </w:p>
    <w:p w14:paraId="5994A725" w14:textId="69F59DFC" w:rsidR="005F45B8" w:rsidRDefault="005F45B8" w:rsidP="00B96B8F">
      <w:pPr>
        <w:pStyle w:val="Newparagraph"/>
      </w:pPr>
      <w:r>
        <w:t xml:space="preserve">The next section highlights the neoliberal culture within academia in which doctoral students undertake these teaching roles to </w:t>
      </w:r>
      <w:r w:rsidR="00FA3CE6">
        <w:t>comprehend</w:t>
      </w:r>
      <w:r>
        <w:t xml:space="preserve"> the challenges they experience.   </w:t>
      </w:r>
    </w:p>
    <w:p w14:paraId="7046D9EE" w14:textId="7B15FD3C" w:rsidR="00383B0E" w:rsidRDefault="00EA01AF" w:rsidP="00A221F4">
      <w:pPr>
        <w:pStyle w:val="Heading1"/>
      </w:pPr>
      <w:r>
        <w:t>Situating doctoral students’ teaching work in neoliberal H</w:t>
      </w:r>
      <w:r w:rsidR="00BB5D7C">
        <w:t xml:space="preserve">igher </w:t>
      </w:r>
      <w:r>
        <w:t>E</w:t>
      </w:r>
      <w:r w:rsidR="00BB5D7C">
        <w:t>ducation</w:t>
      </w:r>
      <w:r>
        <w:t xml:space="preserve"> </w:t>
      </w:r>
    </w:p>
    <w:p w14:paraId="69237027" w14:textId="004BD6AE" w:rsidR="00383B0E" w:rsidRDefault="00383B0E" w:rsidP="00D53863">
      <w:pPr>
        <w:pStyle w:val="Paragraph"/>
      </w:pPr>
      <w:r w:rsidRPr="006A798C">
        <w:rPr>
          <w:color w:val="000000" w:themeColor="text1"/>
        </w:rPr>
        <w:t>Most W</w:t>
      </w:r>
      <w:r>
        <w:t xml:space="preserve">estern universities </w:t>
      </w:r>
      <w:r w:rsidR="00DC1E74">
        <w:t>have been</w:t>
      </w:r>
      <w:r>
        <w:t xml:space="preserve"> shaped by </w:t>
      </w:r>
      <w:r w:rsidR="005F45B8">
        <w:t xml:space="preserve">the </w:t>
      </w:r>
      <w:proofErr w:type="spellStart"/>
      <w:r>
        <w:t>neoliberalisation</w:t>
      </w:r>
      <w:proofErr w:type="spellEnd"/>
      <w:r>
        <w:t xml:space="preserve"> processes that reflect an increasing emphasis on economic competitiveness, </w:t>
      </w:r>
      <w:r w:rsidRPr="00B96B8F">
        <w:rPr>
          <w:highlight w:val="yellow"/>
        </w:rPr>
        <w:t xml:space="preserve">quality </w:t>
      </w:r>
      <w:r w:rsidR="00BB5441" w:rsidRPr="00B96B8F">
        <w:rPr>
          <w:highlight w:val="yellow"/>
        </w:rPr>
        <w:t>assurance</w:t>
      </w:r>
      <w:r w:rsidR="00BB5441">
        <w:t xml:space="preserve"> </w:t>
      </w:r>
      <w:r>
        <w:t xml:space="preserve">and accountability </w:t>
      </w:r>
      <w:r w:rsidR="00F40198">
        <w:t>(</w:t>
      </w:r>
      <w:proofErr w:type="spellStart"/>
      <w:r w:rsidR="00F40198">
        <w:t>McCaig</w:t>
      </w:r>
      <w:proofErr w:type="spellEnd"/>
      <w:r w:rsidR="00F40198">
        <w:t xml:space="preserve"> 2018; Naidoo and Williams 2015)</w:t>
      </w:r>
      <w:r w:rsidR="005B5317">
        <w:t>.</w:t>
      </w:r>
      <w:r>
        <w:t xml:space="preserve"> Neoliberalism in this paper is understood as a specific mode of </w:t>
      </w:r>
      <w:r w:rsidR="00BB5441" w:rsidRPr="00B96B8F">
        <w:rPr>
          <w:highlight w:val="yellow"/>
        </w:rPr>
        <w:t>governance</w:t>
      </w:r>
      <w:r w:rsidR="00BB5441">
        <w:t xml:space="preserve"> </w:t>
      </w:r>
      <w:r>
        <w:t>that is paradoxical in terms of promoting free choice and individual liberties whil</w:t>
      </w:r>
      <w:r w:rsidR="002D768F">
        <w:t>st</w:t>
      </w:r>
      <w:r>
        <w:t xml:space="preserve"> also introducing new techniques that regulate competitive relations and institutional/individual success</w:t>
      </w:r>
      <w:r w:rsidR="00F40198">
        <w:t xml:space="preserve"> (</w:t>
      </w:r>
      <w:proofErr w:type="spellStart"/>
      <w:r w:rsidR="00F40198">
        <w:t>Raaper</w:t>
      </w:r>
      <w:proofErr w:type="spellEnd"/>
      <w:r w:rsidR="00F40198">
        <w:t xml:space="preserve"> 2016)</w:t>
      </w:r>
      <w:r>
        <w:t xml:space="preserve">. </w:t>
      </w:r>
      <w:proofErr w:type="spellStart"/>
      <w:r>
        <w:t>Radice</w:t>
      </w:r>
      <w:proofErr w:type="spellEnd"/>
      <w:r>
        <w:t xml:space="preserve"> (2013, 408) would describe this contradiction as ‘a combination of Stalinist hierarchical control and the so-called free market’. In practical terms, neoliberalism has promoted privatisation of public sector services and introduced the understanding of citizens as consumers (Peters 2012). </w:t>
      </w:r>
      <w:r w:rsidR="00D53863" w:rsidRPr="008B0F5B">
        <w:t xml:space="preserve">The </w:t>
      </w:r>
      <w:proofErr w:type="spellStart"/>
      <w:r w:rsidR="00D53863">
        <w:t>neoliberalisation</w:t>
      </w:r>
      <w:proofErr w:type="spellEnd"/>
      <w:r w:rsidR="00D53863">
        <w:t xml:space="preserve"> of higher education </w:t>
      </w:r>
      <w:r w:rsidR="00D53863" w:rsidRPr="008B0F5B">
        <w:t xml:space="preserve">has </w:t>
      </w:r>
      <w:r w:rsidR="00D53863">
        <w:t>constructed undergraduate</w:t>
      </w:r>
      <w:r w:rsidR="00D53863" w:rsidRPr="008B0F5B">
        <w:t xml:space="preserve"> students as </w:t>
      </w:r>
      <w:r w:rsidR="00D53863">
        <w:t>consumers</w:t>
      </w:r>
      <w:r w:rsidR="00D53863" w:rsidRPr="008B0F5B">
        <w:t xml:space="preserve"> who pay for the service offered</w:t>
      </w:r>
      <w:r w:rsidR="00D53863">
        <w:t xml:space="preserve">: </w:t>
      </w:r>
      <w:r w:rsidR="00D53863" w:rsidRPr="008B0F5B">
        <w:t xml:space="preserve">their </w:t>
      </w:r>
      <w:r w:rsidR="00D53863" w:rsidRPr="008B0F5B">
        <w:lastRenderedPageBreak/>
        <w:t xml:space="preserve">education (Williams 2013). </w:t>
      </w:r>
      <w:r w:rsidR="00D53863">
        <w:rPr>
          <w:highlight w:val="yellow"/>
        </w:rPr>
        <w:t>As universities primarily rely on tuition fees for income, the</w:t>
      </w:r>
      <w:r w:rsidR="00D53863" w:rsidRPr="0023126B">
        <w:rPr>
          <w:highlight w:val="yellow"/>
        </w:rPr>
        <w:t xml:space="preserve"> sector has witnessed severe massification where the student numbers in the UK have reached over 2.5 million students in 2019/20 (HESA, 2021).</w:t>
      </w:r>
      <w:r w:rsidR="00D53863">
        <w:t xml:space="preserve"> </w:t>
      </w:r>
      <w:r>
        <w:t xml:space="preserve">We recognise that academic work is also being shaped by these neoliberal forces that expect academics (but also students and administrators) to become self-managing and self-improving with an aim to succeed in highly competitive and instrumental higher education environments (Gill 2014; Gill and </w:t>
      </w:r>
      <w:proofErr w:type="spellStart"/>
      <w:r>
        <w:t>Donaghue</w:t>
      </w:r>
      <w:proofErr w:type="spellEnd"/>
      <w:r>
        <w:t xml:space="preserve"> 2016). For example, it is now widely known that academic work has become insecure where ‘precariousness rather than security’ defines academic life (Gill and </w:t>
      </w:r>
      <w:proofErr w:type="spellStart"/>
      <w:r>
        <w:t>Donaghue</w:t>
      </w:r>
      <w:proofErr w:type="spellEnd"/>
      <w:r>
        <w:t xml:space="preserve"> 2016, 92). The U</w:t>
      </w:r>
      <w:r w:rsidR="00353E2B">
        <w:t>K University and College Union (U</w:t>
      </w:r>
      <w:r>
        <w:t>CU</w:t>
      </w:r>
      <w:r w:rsidR="00353E2B">
        <w:t>) su</w:t>
      </w:r>
      <w:r>
        <w:t>ggest</w:t>
      </w:r>
      <w:r w:rsidR="00353E2B">
        <w:t>s</w:t>
      </w:r>
      <w:r>
        <w:t xml:space="preserve"> that 54% of all academic staff in the UK work in precarious conditions, </w:t>
      </w:r>
      <w:proofErr w:type="gramStart"/>
      <w:r>
        <w:t>e.g.</w:t>
      </w:r>
      <w:proofErr w:type="gramEnd"/>
      <w:r>
        <w:t xml:space="preserve"> they have short-term contracts and/or they are paid by the hour (UCU 2016). It is likely that </w:t>
      </w:r>
      <w:r w:rsidR="002D768F">
        <w:t xml:space="preserve">large proportions of </w:t>
      </w:r>
      <w:r>
        <w:t xml:space="preserve">undergraduate teaching </w:t>
      </w:r>
      <w:r w:rsidR="002D768F">
        <w:t xml:space="preserve">are </w:t>
      </w:r>
      <w:r>
        <w:t xml:space="preserve">carried out by staff with short-term or bank contracts (UCU 2016). </w:t>
      </w:r>
      <w:r w:rsidR="000B66A1">
        <w:t xml:space="preserve">The UCU (2018) Freedom of Information request indicated that most UK universities rely on hourly paid staff to deliver around 25% of their undergraduate teaching, with some pre-92 universities even </w:t>
      </w:r>
      <w:r w:rsidR="002D768F">
        <w:t>employ</w:t>
      </w:r>
      <w:r w:rsidR="000B66A1">
        <w:t xml:space="preserve"> hourly paid staff for up to 50% of their</w:t>
      </w:r>
      <w:r w:rsidR="002D768F">
        <w:t xml:space="preserve"> undergraduate</w:t>
      </w:r>
      <w:r w:rsidR="000B66A1">
        <w:t xml:space="preserve"> teaching. </w:t>
      </w:r>
      <w:r>
        <w:t>This ongoing casualisation of academic workforce is part of neoliberal reforms in higher education (</w:t>
      </w:r>
      <w:proofErr w:type="spellStart"/>
      <w:r w:rsidR="002D768F">
        <w:t>Olssen</w:t>
      </w:r>
      <w:proofErr w:type="spellEnd"/>
      <w:r w:rsidR="002D768F">
        <w:t xml:space="preserve"> and Peters 2005; </w:t>
      </w:r>
      <w:r>
        <w:t xml:space="preserve">Thwaites and </w:t>
      </w:r>
      <w:proofErr w:type="spellStart"/>
      <w:r>
        <w:t>Pressland</w:t>
      </w:r>
      <w:proofErr w:type="spellEnd"/>
      <w:r>
        <w:t xml:space="preserve"> 2017). It has been argued that higher education is one of the most casualised sectors of employment in the UK </w:t>
      </w:r>
      <w:r w:rsidR="001A6628">
        <w:t xml:space="preserve">second </w:t>
      </w:r>
      <w:r>
        <w:t xml:space="preserve">only </w:t>
      </w:r>
      <w:r w:rsidR="001A6628">
        <w:t xml:space="preserve">to </w:t>
      </w:r>
      <w:r>
        <w:t>the hospitality industry</w:t>
      </w:r>
      <w:r w:rsidR="001A6628">
        <w:t xml:space="preserve"> which</w:t>
      </w:r>
      <w:r>
        <w:t xml:space="preserve"> has a greater proportion of casualised workforce (Gill and </w:t>
      </w:r>
      <w:proofErr w:type="spellStart"/>
      <w:r>
        <w:t>Donaghue</w:t>
      </w:r>
      <w:proofErr w:type="spellEnd"/>
      <w:r>
        <w:t xml:space="preserve"> 2016).</w:t>
      </w:r>
    </w:p>
    <w:p w14:paraId="7B6D1141" w14:textId="77777777" w:rsidR="00194F39" w:rsidRDefault="00D53863">
      <w:pPr>
        <w:pStyle w:val="Newparagraph"/>
      </w:pPr>
      <w:r>
        <w:t>The</w:t>
      </w:r>
      <w:r w:rsidRPr="008B0F5B">
        <w:t xml:space="preserve"> legal frameworks</w:t>
      </w:r>
      <w:r>
        <w:t>, also,</w:t>
      </w:r>
      <w:r w:rsidRPr="008B0F5B">
        <w:t xml:space="preserve"> have been adjusted to protect the consumer interest in HE, </w:t>
      </w:r>
      <w:r>
        <w:t xml:space="preserve">for example, in the UK, </w:t>
      </w:r>
      <w:r w:rsidRPr="008B0F5B">
        <w:t>the Consumer Rights Act 2015</w:t>
      </w:r>
      <w:r>
        <w:t xml:space="preserve"> regulates the relationship between students as consumers and universities as providers</w:t>
      </w:r>
      <w:r w:rsidRPr="008B0F5B">
        <w:t xml:space="preserve"> (see CMA</w:t>
      </w:r>
      <w:r>
        <w:t xml:space="preserve"> </w:t>
      </w:r>
      <w:r w:rsidRPr="008B0F5B">
        <w:t xml:space="preserve">2015). This has </w:t>
      </w:r>
      <w:r>
        <w:t>placed</w:t>
      </w:r>
      <w:r w:rsidRPr="008B0F5B">
        <w:t xml:space="preserve"> pressure on HEIs in England to consider ways of responding to the </w:t>
      </w:r>
      <w:r>
        <w:t>consumer</w:t>
      </w:r>
      <w:r w:rsidRPr="008B0F5B">
        <w:t xml:space="preserve"> </w:t>
      </w:r>
      <w:r w:rsidRPr="008B0F5B">
        <w:lastRenderedPageBreak/>
        <w:t xml:space="preserve">interest in the environment </w:t>
      </w:r>
      <w:r>
        <w:t>that</w:t>
      </w:r>
      <w:r w:rsidRPr="008B0F5B">
        <w:t xml:space="preserve"> is already grappling with </w:t>
      </w:r>
      <w:r w:rsidRPr="0023126B">
        <w:rPr>
          <w:highlight w:val="yellow"/>
        </w:rPr>
        <w:t>student numbers and</w:t>
      </w:r>
      <w:r>
        <w:t xml:space="preserve"> </w:t>
      </w:r>
      <w:r w:rsidRPr="008B0F5B">
        <w:t xml:space="preserve">other pressures of performativity created by </w:t>
      </w:r>
      <w:r>
        <w:t>r</w:t>
      </w:r>
      <w:r w:rsidRPr="008B0F5B">
        <w:t xml:space="preserve">esearch and </w:t>
      </w:r>
      <w:r>
        <w:t>t</w:t>
      </w:r>
      <w:r w:rsidRPr="008B0F5B">
        <w:t xml:space="preserve">eaching </w:t>
      </w:r>
      <w:r>
        <w:t>e</w:t>
      </w:r>
      <w:r w:rsidRPr="008B0F5B">
        <w:t xml:space="preserve">xcellence </w:t>
      </w:r>
      <w:r>
        <w:t>f</w:t>
      </w:r>
      <w:r w:rsidRPr="008B0F5B">
        <w:t xml:space="preserve">rameworks. </w:t>
      </w:r>
      <w:r w:rsidR="00383B0E">
        <w:t xml:space="preserve"> Recent scholarly work (</w:t>
      </w:r>
      <w:proofErr w:type="spellStart"/>
      <w:r w:rsidR="00383B0E">
        <w:t>Bosanquet</w:t>
      </w:r>
      <w:proofErr w:type="spellEnd"/>
      <w:r w:rsidR="00383B0E">
        <w:t xml:space="preserve"> 2017; Gill and </w:t>
      </w:r>
      <w:proofErr w:type="spellStart"/>
      <w:r w:rsidR="00383B0E">
        <w:t>Donaghue</w:t>
      </w:r>
      <w:proofErr w:type="spellEnd"/>
      <w:r w:rsidR="00383B0E">
        <w:t xml:space="preserve"> 2016; Thwaites and </w:t>
      </w:r>
      <w:proofErr w:type="spellStart"/>
      <w:r w:rsidR="00383B0E">
        <w:t>Pressland</w:t>
      </w:r>
      <w:proofErr w:type="spellEnd"/>
      <w:r w:rsidR="00383B0E">
        <w:t xml:space="preserve"> 2017) has emphasised the impact that neoliberal reforms have on early career academics, their career trajectories and wellbeing. For example, </w:t>
      </w:r>
      <w:proofErr w:type="spellStart"/>
      <w:r w:rsidR="00383B0E">
        <w:t>Bosanquet</w:t>
      </w:r>
      <w:proofErr w:type="spellEnd"/>
      <w:r w:rsidR="00383B0E">
        <w:t xml:space="preserve"> (2017) argues that early career academics are particularly vulnerable to a variety of performance measures such as research outputs, impact metrics and funding targets, that are seen essential for gaining a permanent or at least long-term academic employment. </w:t>
      </w:r>
    </w:p>
    <w:p w14:paraId="3D974416" w14:textId="1964E4F4" w:rsidR="00192324" w:rsidRPr="00B96B8F" w:rsidRDefault="00194F39" w:rsidP="00B96B8F">
      <w:pPr>
        <w:pStyle w:val="Newparagraph"/>
      </w:pPr>
      <w:r>
        <w:t xml:space="preserve">One set of vulnerable early career academics that this becomes relevant to are the GTAs. </w:t>
      </w:r>
      <w:r w:rsidR="00D53863" w:rsidRPr="008B0F5B">
        <w:t xml:space="preserve">Amongst the various ways in which institutions have responded to the </w:t>
      </w:r>
      <w:r w:rsidR="00D53863" w:rsidRPr="0023126B">
        <w:rPr>
          <w:highlight w:val="yellow"/>
        </w:rPr>
        <w:t xml:space="preserve">pressures </w:t>
      </w:r>
      <w:r>
        <w:rPr>
          <w:highlight w:val="yellow"/>
        </w:rPr>
        <w:t xml:space="preserve">of increasing student numbers </w:t>
      </w:r>
      <w:r w:rsidR="00D53863" w:rsidRPr="0023126B">
        <w:rPr>
          <w:highlight w:val="yellow"/>
        </w:rPr>
        <w:t>is to employ casual and so called ‘atypical’ teaching staff to improve staff-student ratio</w:t>
      </w:r>
      <w:r w:rsidR="00D53863">
        <w:rPr>
          <w:highlight w:val="yellow"/>
        </w:rPr>
        <w:t>, such as doctoral students as GTAs</w:t>
      </w:r>
      <w:r w:rsidR="00D53863" w:rsidRPr="0023126B">
        <w:rPr>
          <w:highlight w:val="yellow"/>
        </w:rPr>
        <w:t>.</w:t>
      </w:r>
      <w:r w:rsidR="00D53863">
        <w:t xml:space="preserve"> </w:t>
      </w:r>
      <w:r w:rsidR="00647B9D">
        <w:t>T</w:t>
      </w:r>
      <w:r w:rsidR="00890F9B">
        <w:t xml:space="preserve">he </w:t>
      </w:r>
      <w:r w:rsidR="00383B0E">
        <w:t>GTAs</w:t>
      </w:r>
      <w:r w:rsidR="00647B9D">
        <w:t xml:space="preserve"> often</w:t>
      </w:r>
      <w:r w:rsidR="00383B0E">
        <w:t xml:space="preserve"> engage with teaching as the main source </w:t>
      </w:r>
      <w:r w:rsidR="00890F9B">
        <w:t>of</w:t>
      </w:r>
      <w:r w:rsidR="00383B0E">
        <w:t>, or as a supplement to the funding for their doctoral studies (</w:t>
      </w:r>
      <w:proofErr w:type="spellStart"/>
      <w:r w:rsidR="00383B0E">
        <w:t>Winstone</w:t>
      </w:r>
      <w:proofErr w:type="spellEnd"/>
      <w:r w:rsidR="00383B0E">
        <w:t xml:space="preserve"> and Moore 2016). While it is expected that large proportions of undergraduate teaching </w:t>
      </w:r>
      <w:proofErr w:type="gramStart"/>
      <w:r w:rsidR="00383B0E">
        <w:t>is</w:t>
      </w:r>
      <w:proofErr w:type="gramEnd"/>
      <w:r w:rsidR="00383B0E">
        <w:t xml:space="preserve"> conducted by GTAs in the UK, the actual statistical data is unavailable, possibly due to the temporary nature of their work. Furthermore, they often work on an hourly paid basis, where the contact hours of teaching are rewarded but preparation, marking and pastoral care of students are not often remunerated (Gill 2014</w:t>
      </w:r>
      <w:r w:rsidR="002D768F">
        <w:t xml:space="preserve">; </w:t>
      </w:r>
      <w:proofErr w:type="spellStart"/>
      <w:r w:rsidR="002D768F">
        <w:t>Raaper</w:t>
      </w:r>
      <w:proofErr w:type="spellEnd"/>
      <w:r w:rsidR="002D768F">
        <w:t xml:space="preserve"> 2018</w:t>
      </w:r>
      <w:r w:rsidR="00383B0E">
        <w:t>)</w:t>
      </w:r>
      <w:r w:rsidR="00647B9D">
        <w:t xml:space="preserve"> unlike their academic peers who have successfully </w:t>
      </w:r>
      <w:r w:rsidR="00886FA8">
        <w:t xml:space="preserve">moved beyond the </w:t>
      </w:r>
      <w:r w:rsidR="00647B9D">
        <w:t>borderlands</w:t>
      </w:r>
      <w:r w:rsidR="00383B0E">
        <w:t xml:space="preserve">. </w:t>
      </w:r>
      <w:r w:rsidR="00647B9D">
        <w:rPr>
          <w:highlight w:val="yellow"/>
        </w:rPr>
        <w:t>GTAs</w:t>
      </w:r>
      <w:r w:rsidR="00BB5441" w:rsidRPr="00B96B8F">
        <w:rPr>
          <w:highlight w:val="yellow"/>
        </w:rPr>
        <w:t xml:space="preserve"> working arrangements are </w:t>
      </w:r>
      <w:r w:rsidR="003A5E25" w:rsidRPr="00B96B8F">
        <w:rPr>
          <w:highlight w:val="yellow"/>
        </w:rPr>
        <w:t xml:space="preserve">labelled as ‘atypical’ in the UK HE </w:t>
      </w:r>
      <w:proofErr w:type="gramStart"/>
      <w:r w:rsidR="003A5E25" w:rsidRPr="00B96B8F">
        <w:rPr>
          <w:highlight w:val="yellow"/>
        </w:rPr>
        <w:t>sector</w:t>
      </w:r>
      <w:proofErr w:type="gramEnd"/>
      <w:r w:rsidR="003A5E25" w:rsidRPr="00B96B8F">
        <w:rPr>
          <w:highlight w:val="yellow"/>
        </w:rPr>
        <w:t>, and the UCU (2020</w:t>
      </w:r>
      <w:r w:rsidR="00BF6E62">
        <w:rPr>
          <w:highlight w:val="yellow"/>
        </w:rPr>
        <w:t>a</w:t>
      </w:r>
      <w:r w:rsidR="003A5E25" w:rsidRPr="00B96B8F">
        <w:rPr>
          <w:highlight w:val="yellow"/>
        </w:rPr>
        <w:t>) indicates that there are nearly 70,00</w:t>
      </w:r>
      <w:r w:rsidR="001A6628">
        <w:rPr>
          <w:highlight w:val="yellow"/>
        </w:rPr>
        <w:t>0</w:t>
      </w:r>
      <w:r w:rsidR="003A5E25" w:rsidRPr="00B96B8F">
        <w:rPr>
          <w:highlight w:val="yellow"/>
        </w:rPr>
        <w:t xml:space="preserve"> university teaching staff </w:t>
      </w:r>
      <w:r w:rsidR="00192324">
        <w:rPr>
          <w:highlight w:val="yellow"/>
        </w:rPr>
        <w:t>(primarily early career</w:t>
      </w:r>
      <w:r w:rsidR="00B51041">
        <w:rPr>
          <w:highlight w:val="yellow"/>
        </w:rPr>
        <w:t xml:space="preserve"> staff</w:t>
      </w:r>
      <w:r w:rsidR="00192324">
        <w:rPr>
          <w:highlight w:val="yellow"/>
        </w:rPr>
        <w:t xml:space="preserve">) </w:t>
      </w:r>
      <w:r w:rsidR="003A5E25" w:rsidRPr="00B96B8F">
        <w:rPr>
          <w:highlight w:val="yellow"/>
        </w:rPr>
        <w:t xml:space="preserve">working based on ‘atypical’ arrangements </w:t>
      </w:r>
      <w:r w:rsidR="00794C8D" w:rsidRPr="00B96B8F">
        <w:rPr>
          <w:highlight w:val="yellow"/>
        </w:rPr>
        <w:t>that reflect in</w:t>
      </w:r>
      <w:r w:rsidR="003A5E25" w:rsidRPr="00B96B8F">
        <w:rPr>
          <w:highlight w:val="yellow"/>
        </w:rPr>
        <w:t xml:space="preserve"> hourly paid casual work on the lowest contract levels with </w:t>
      </w:r>
      <w:r w:rsidR="00B51041">
        <w:rPr>
          <w:highlight w:val="yellow"/>
        </w:rPr>
        <w:t>no job security, holiday pay or sickness cover</w:t>
      </w:r>
      <w:r w:rsidR="003A5E25" w:rsidRPr="00B96B8F">
        <w:rPr>
          <w:highlight w:val="yellow"/>
        </w:rPr>
        <w:t xml:space="preserve">. </w:t>
      </w:r>
      <w:r w:rsidR="00794C8D" w:rsidRPr="00B96B8F">
        <w:rPr>
          <w:highlight w:val="yellow"/>
        </w:rPr>
        <w:t xml:space="preserve">While there is limited information on GTA pay, the Times Higher Education (2014) survey indicated that the </w:t>
      </w:r>
      <w:r w:rsidR="00794C8D" w:rsidRPr="00B96B8F">
        <w:rPr>
          <w:highlight w:val="yellow"/>
        </w:rPr>
        <w:lastRenderedPageBreak/>
        <w:t xml:space="preserve">hourly rate differs across universities, ranging from £10 per hour at some universities to more than £40 an hour at others (see Else 2014). However, UCU </w:t>
      </w:r>
      <w:r w:rsidR="00D54D74" w:rsidRPr="00B96B8F">
        <w:rPr>
          <w:highlight w:val="yellow"/>
        </w:rPr>
        <w:t>(2020</w:t>
      </w:r>
      <w:r w:rsidR="00BF6E62">
        <w:rPr>
          <w:highlight w:val="yellow"/>
        </w:rPr>
        <w:t>a</w:t>
      </w:r>
      <w:r w:rsidR="00D54D74" w:rsidRPr="00B96B8F">
        <w:rPr>
          <w:highlight w:val="yellow"/>
        </w:rPr>
        <w:t>) also indicates that when taking into account all the work that is carried out by hourly-paid staff, the</w:t>
      </w:r>
      <w:r w:rsidR="00192324">
        <w:rPr>
          <w:highlight w:val="yellow"/>
        </w:rPr>
        <w:t xml:space="preserve"> </w:t>
      </w:r>
      <w:r w:rsidR="00D54D74" w:rsidRPr="00B96B8F">
        <w:rPr>
          <w:highlight w:val="yellow"/>
        </w:rPr>
        <w:t>rate is usually inadequate and can even come down to £4 an hour which is less that the UK national minimum wage.</w:t>
      </w:r>
    </w:p>
    <w:p w14:paraId="2604AFF3" w14:textId="5C696A74" w:rsidR="00383B0E" w:rsidRDefault="00D54D74" w:rsidP="00B96B8F">
      <w:pPr>
        <w:pStyle w:val="Newparagraph"/>
      </w:pPr>
      <w:proofErr w:type="gramStart"/>
      <w:r>
        <w:rPr>
          <w:highlight w:val="yellow"/>
        </w:rPr>
        <w:t>Furthermore</w:t>
      </w:r>
      <w:proofErr w:type="gramEnd"/>
      <w:r>
        <w:rPr>
          <w:highlight w:val="yellow"/>
        </w:rPr>
        <w:t xml:space="preserve"> </w:t>
      </w:r>
      <w:proofErr w:type="spellStart"/>
      <w:r w:rsidR="00383B0E" w:rsidRPr="00B96B8F">
        <w:rPr>
          <w:highlight w:val="yellow"/>
        </w:rPr>
        <w:t>Heijst</w:t>
      </w:r>
      <w:r w:rsidRPr="00B96B8F">
        <w:rPr>
          <w:highlight w:val="yellow"/>
        </w:rPr>
        <w:t>r</w:t>
      </w:r>
      <w:r w:rsidR="00383B0E" w:rsidRPr="00B96B8F">
        <w:rPr>
          <w:highlight w:val="yellow"/>
        </w:rPr>
        <w:t>a</w:t>
      </w:r>
      <w:proofErr w:type="spellEnd"/>
      <w:r w:rsidR="00383B0E">
        <w:t xml:space="preserve"> et al (201</w:t>
      </w:r>
      <w:r w:rsidR="005B5317">
        <w:t>7</w:t>
      </w:r>
      <w:r w:rsidR="00383B0E">
        <w:t xml:space="preserve">) argue that PhD students and early career researchers who are new </w:t>
      </w:r>
      <w:r w:rsidR="002D768F">
        <w:t xml:space="preserve">to </w:t>
      </w:r>
      <w:r w:rsidR="00383B0E">
        <w:t>the academic field feel that they need ‘to shine on all fronts of the profession’ which makes them especially vulnerable for exploitation</w:t>
      </w:r>
      <w:r w:rsidR="0079441D">
        <w:t xml:space="preserve"> wh</w:t>
      </w:r>
      <w:r w:rsidR="00863207">
        <w:t xml:space="preserve">ilst in and </w:t>
      </w:r>
      <w:r w:rsidR="0079441D">
        <w:t>trying to permanently cross th</w:t>
      </w:r>
      <w:r w:rsidR="009211C0">
        <w:t xml:space="preserve">e </w:t>
      </w:r>
      <w:r w:rsidR="001208C7">
        <w:t>GTA</w:t>
      </w:r>
      <w:r w:rsidR="0079441D">
        <w:t xml:space="preserve"> borderland</w:t>
      </w:r>
      <w:r w:rsidR="00383B0E">
        <w:t xml:space="preserve">. This is particularly the case as fierce competition for a limited number of academic jobs makes the definite upward mobility challenging, putting </w:t>
      </w:r>
      <w:r w:rsidR="00C25A6A">
        <w:t>vast</w:t>
      </w:r>
      <w:r w:rsidR="00383B0E">
        <w:t xml:space="preserve"> pressure on individuals to prove their competitiveness (Thwaites and </w:t>
      </w:r>
      <w:proofErr w:type="spellStart"/>
      <w:r w:rsidR="00383B0E">
        <w:t>Pressland</w:t>
      </w:r>
      <w:proofErr w:type="spellEnd"/>
      <w:r w:rsidR="00383B0E">
        <w:t xml:space="preserve"> 2017). </w:t>
      </w:r>
      <w:proofErr w:type="spellStart"/>
      <w:r w:rsidR="00383B0E">
        <w:t>Natanel</w:t>
      </w:r>
      <w:proofErr w:type="spellEnd"/>
      <w:r w:rsidR="00383B0E">
        <w:t xml:space="preserve"> (2017, 242) has vividly problematised the </w:t>
      </w:r>
      <w:r w:rsidR="00863207">
        <w:t xml:space="preserve">borderland </w:t>
      </w:r>
      <w:r w:rsidR="00383B0E">
        <w:t>situation w</w:t>
      </w:r>
      <w:r w:rsidR="00863207">
        <w:t>h</w:t>
      </w:r>
      <w:r w:rsidR="00383B0E">
        <w:t xml:space="preserve">ere PhD students are enforced to ‘[vie] against each other in order to gain the experience as educators and researchers that will enable employment in seemingly elusive permanent full-time </w:t>
      </w:r>
      <w:proofErr w:type="gramStart"/>
      <w:r w:rsidR="00383B0E">
        <w:t>positions’</w:t>
      </w:r>
      <w:proofErr w:type="gramEnd"/>
      <w:r w:rsidR="00383B0E">
        <w:t>. In other words, a nomenclature that implies that GTA</w:t>
      </w:r>
      <w:r w:rsidR="00F15EB5">
        <w:t>s</w:t>
      </w:r>
      <w:r w:rsidR="00383B0E">
        <w:t xml:space="preserve"> are to ‘assist’ while</w:t>
      </w:r>
      <w:r w:rsidR="00863207">
        <w:t xml:space="preserve"> occupying the borderlands</w:t>
      </w:r>
      <w:r w:rsidR="00383B0E">
        <w:t xml:space="preserve"> is often misleading</w:t>
      </w:r>
      <w:r w:rsidR="00863207">
        <w:t xml:space="preserve"> as</w:t>
      </w:r>
      <w:r w:rsidR="00383B0E">
        <w:t xml:space="preserve"> PhD students can find themselves delivering large proportions of undergraduate programmes without any significant training or support (Gill 2014; Gill and </w:t>
      </w:r>
      <w:proofErr w:type="spellStart"/>
      <w:r w:rsidR="00383B0E">
        <w:t>Donaghue</w:t>
      </w:r>
      <w:proofErr w:type="spellEnd"/>
      <w:r w:rsidR="00383B0E">
        <w:t xml:space="preserve"> 2016</w:t>
      </w:r>
      <w:r w:rsidR="002D768F">
        <w:t xml:space="preserve">; </w:t>
      </w:r>
      <w:proofErr w:type="spellStart"/>
      <w:r w:rsidR="002D768F">
        <w:t>Raaper</w:t>
      </w:r>
      <w:proofErr w:type="spellEnd"/>
      <w:r w:rsidR="002D768F">
        <w:t xml:space="preserve"> 2018</w:t>
      </w:r>
      <w:r w:rsidR="00383B0E">
        <w:t xml:space="preserve">). </w:t>
      </w:r>
      <w:r w:rsidR="00D42E5E" w:rsidRPr="00B96B8F">
        <w:rPr>
          <w:highlight w:val="yellow"/>
        </w:rPr>
        <w:t xml:space="preserve">Furthermore, it is important to note that by undertaking hourly paid work, GTAs might actually </w:t>
      </w:r>
      <w:r w:rsidR="001A6628">
        <w:rPr>
          <w:highlight w:val="yellow"/>
        </w:rPr>
        <w:t>rein</w:t>
      </w:r>
      <w:r w:rsidR="00D42E5E" w:rsidRPr="00B96B8F">
        <w:rPr>
          <w:highlight w:val="yellow"/>
        </w:rPr>
        <w:t>force the system that promotes precarious academic contracts rather than full-time employment of new academic staff.</w:t>
      </w:r>
      <w:r w:rsidR="00D42E5E">
        <w:t xml:space="preserve"> </w:t>
      </w:r>
      <w:r w:rsidR="00D42E5E" w:rsidRPr="00B96B8F">
        <w:rPr>
          <w:highlight w:val="yellow"/>
        </w:rPr>
        <w:t>It is</w:t>
      </w:r>
      <w:r w:rsidR="00192324">
        <w:rPr>
          <w:highlight w:val="yellow"/>
        </w:rPr>
        <w:t xml:space="preserve"> therefore</w:t>
      </w:r>
      <w:r w:rsidR="00D42E5E" w:rsidRPr="00B96B8F">
        <w:rPr>
          <w:highlight w:val="yellow"/>
        </w:rPr>
        <w:t xml:space="preserve"> hugely important to </w:t>
      </w:r>
      <w:r w:rsidR="00192324">
        <w:rPr>
          <w:highlight w:val="yellow"/>
        </w:rPr>
        <w:t>problematise casual work and to find ways to recognise and support GTA</w:t>
      </w:r>
      <w:r w:rsidR="00D42E5E" w:rsidRPr="00B96B8F">
        <w:rPr>
          <w:highlight w:val="yellow"/>
        </w:rPr>
        <w:t xml:space="preserve"> role </w:t>
      </w:r>
      <w:r w:rsidR="00863207">
        <w:rPr>
          <w:highlight w:val="yellow"/>
        </w:rPr>
        <w:t xml:space="preserve">within the borderlands where they may be taken advantage of </w:t>
      </w:r>
      <w:r w:rsidR="00D42E5E" w:rsidRPr="00B96B8F">
        <w:rPr>
          <w:highlight w:val="yellow"/>
        </w:rPr>
        <w:t xml:space="preserve">in an increasingly </w:t>
      </w:r>
      <w:proofErr w:type="gramStart"/>
      <w:r w:rsidR="00D42E5E" w:rsidRPr="00B96B8F">
        <w:rPr>
          <w:highlight w:val="yellow"/>
        </w:rPr>
        <w:t>precarious</w:t>
      </w:r>
      <w:proofErr w:type="gramEnd"/>
      <w:r w:rsidR="00D42E5E" w:rsidRPr="00B96B8F">
        <w:rPr>
          <w:highlight w:val="yellow"/>
        </w:rPr>
        <w:t xml:space="preserve"> HE marke</w:t>
      </w:r>
      <w:r w:rsidR="00D42E5E">
        <w:t>t.</w:t>
      </w:r>
    </w:p>
    <w:p w14:paraId="2954873D" w14:textId="79AA6B6F" w:rsidR="008265C0" w:rsidRPr="008265C0" w:rsidRDefault="00383B0E" w:rsidP="00B96B8F">
      <w:pPr>
        <w:pStyle w:val="Newparagraph"/>
      </w:pPr>
      <w:r>
        <w:lastRenderedPageBreak/>
        <w:t>As a sector we have recognised the need for academic staff</w:t>
      </w:r>
      <w:r w:rsidR="00C25A6A">
        <w:t xml:space="preserve"> in the UK</w:t>
      </w:r>
      <w:r>
        <w:t xml:space="preserve"> to undertake some professional </w:t>
      </w:r>
      <w:r w:rsidR="00C25A6A">
        <w:t xml:space="preserve">development </w:t>
      </w:r>
      <w:r>
        <w:t xml:space="preserve">in learning and teaching to secure the </w:t>
      </w:r>
      <w:r w:rsidR="0030475E">
        <w:t>F</w:t>
      </w:r>
      <w:r>
        <w:t>ellowship of the H</w:t>
      </w:r>
      <w:r w:rsidR="00353E2B">
        <w:t xml:space="preserve">igher </w:t>
      </w:r>
      <w:r>
        <w:t>E</w:t>
      </w:r>
      <w:r w:rsidR="00353E2B">
        <w:t xml:space="preserve">ducation </w:t>
      </w:r>
      <w:r>
        <w:t>A</w:t>
      </w:r>
      <w:r w:rsidR="00353E2B">
        <w:t>cademy</w:t>
      </w:r>
      <w:r>
        <w:t xml:space="preserve"> (</w:t>
      </w:r>
      <w:r w:rsidR="00353E2B">
        <w:t xml:space="preserve">HEA, </w:t>
      </w:r>
      <w:r>
        <w:t xml:space="preserve">now Advance HE) which validates their teaching </w:t>
      </w:r>
      <w:r w:rsidR="00C25A6A">
        <w:t xml:space="preserve">readiness and </w:t>
      </w:r>
      <w:r>
        <w:t>competencies (see Advance HE 2018).</w:t>
      </w:r>
      <w:r w:rsidR="00647B9D">
        <w:t xml:space="preserve"> In most UK universities, it is a requirement for new lecturers to achieve fellowship</w:t>
      </w:r>
      <w:r w:rsidR="0030475E">
        <w:t xml:space="preserve"> and over </w:t>
      </w:r>
      <w:r w:rsidR="0030475E" w:rsidRPr="00C30C98">
        <w:rPr>
          <w:highlight w:val="yellow"/>
        </w:rPr>
        <w:t>12</w:t>
      </w:r>
      <w:r w:rsidR="0030475E">
        <w:rPr>
          <w:highlight w:val="yellow"/>
        </w:rPr>
        <w:t>0</w:t>
      </w:r>
      <w:r w:rsidR="0030475E">
        <w:rPr>
          <w:rStyle w:val="FootnoteReference"/>
          <w:highlight w:val="yellow"/>
        </w:rPr>
        <w:footnoteReference w:id="2"/>
      </w:r>
      <w:r w:rsidR="0030475E" w:rsidRPr="00C30C98">
        <w:rPr>
          <w:highlight w:val="yellow"/>
        </w:rPr>
        <w:t xml:space="preserve"> </w:t>
      </w:r>
      <w:r w:rsidR="0030475E">
        <w:t>institutions having accredited schemes (Advance HE, 2020)</w:t>
      </w:r>
      <w:r w:rsidR="00647B9D">
        <w:t>.</w:t>
      </w:r>
      <w:r>
        <w:t xml:space="preserve"> </w:t>
      </w:r>
      <w:r w:rsidR="0030475E" w:rsidRPr="00CC753C">
        <w:rPr>
          <w:highlight w:val="yellow"/>
        </w:rPr>
        <w:t>As part of this scheme, universities also offer training opportunities</w:t>
      </w:r>
      <w:r w:rsidR="0030475E">
        <w:t xml:space="preserve"> </w:t>
      </w:r>
      <w:r w:rsidR="0030475E" w:rsidRPr="008265C0">
        <w:t xml:space="preserve">to their GTAs, whether it is a formal teaching qualification that leads to a teaching accreditation such as </w:t>
      </w:r>
      <w:r w:rsidR="0030475E">
        <w:t xml:space="preserve">Associate Fellowship or </w:t>
      </w:r>
      <w:r w:rsidR="0030475E" w:rsidRPr="008265C0">
        <w:t xml:space="preserve">Fellowship Status of the </w:t>
      </w:r>
      <w:r w:rsidR="0030475E" w:rsidRPr="00CC753C">
        <w:rPr>
          <w:highlight w:val="yellow"/>
        </w:rPr>
        <w:t>HEA</w:t>
      </w:r>
      <w:r w:rsidR="0030475E" w:rsidRPr="008265C0">
        <w:t xml:space="preserve"> (FHEA) in the UK or a series of non-credit bearing workshops. </w:t>
      </w:r>
      <w:r>
        <w:t xml:space="preserve">However, there </w:t>
      </w:r>
      <w:r w:rsidR="00192324" w:rsidRPr="00B96B8F">
        <w:rPr>
          <w:highlight w:val="yellow"/>
        </w:rPr>
        <w:t>is</w:t>
      </w:r>
      <w:r>
        <w:t xml:space="preserve"> limited advice on the</w:t>
      </w:r>
      <w:r w:rsidR="006E3102">
        <w:t xml:space="preserve"> </w:t>
      </w:r>
      <w:r>
        <w:t xml:space="preserve">expectations </w:t>
      </w:r>
      <w:r w:rsidR="00C25A6A">
        <w:t xml:space="preserve">and development opportunities </w:t>
      </w:r>
      <w:r w:rsidR="006E3102">
        <w:t xml:space="preserve">for </w:t>
      </w:r>
      <w:r w:rsidR="00E40418">
        <w:t>GTAs</w:t>
      </w:r>
      <w:r w:rsidR="00647B9D">
        <w:t xml:space="preserve"> because of their uncertain academic lives in the borderlands</w:t>
      </w:r>
      <w:r>
        <w:t xml:space="preserve">. </w:t>
      </w:r>
      <w:r w:rsidR="00E40418">
        <w:t>Since</w:t>
      </w:r>
      <w:r w:rsidR="00863207">
        <w:t xml:space="preserve"> GTAs</w:t>
      </w:r>
      <w:r w:rsidR="00E40418">
        <w:t xml:space="preserve"> </w:t>
      </w:r>
      <w:r w:rsidR="00863207">
        <w:t xml:space="preserve">occupy the borderlands, </w:t>
      </w:r>
      <w:r w:rsidR="00E40418">
        <w:t>unlike</w:t>
      </w:r>
      <w:r w:rsidR="00863207">
        <w:t xml:space="preserve"> academics, the</w:t>
      </w:r>
      <w:r w:rsidR="008265C0" w:rsidRPr="008265C0">
        <w:t xml:space="preserve"> teaching support offered is uneven</w:t>
      </w:r>
      <w:r w:rsidR="00155BFB">
        <w:t xml:space="preserve"> </w:t>
      </w:r>
      <w:r w:rsidR="00155BFB" w:rsidRPr="00B96B8F">
        <w:rPr>
          <w:highlight w:val="yellow"/>
        </w:rPr>
        <w:t>in its scope and scale</w:t>
      </w:r>
      <w:r w:rsidR="00863207">
        <w:t xml:space="preserve">, </w:t>
      </w:r>
      <w:r w:rsidR="008265C0" w:rsidRPr="008265C0">
        <w:t xml:space="preserve">particularly for students </w:t>
      </w:r>
      <w:r w:rsidR="00C25A6A">
        <w:t xml:space="preserve">outside </w:t>
      </w:r>
      <w:r w:rsidR="005C3FCE">
        <w:t>of th</w:t>
      </w:r>
      <w:r w:rsidR="006F0D39">
        <w:t xml:space="preserve">ose institutions that belong to </w:t>
      </w:r>
      <w:r w:rsidR="005C3FCE">
        <w:t>research council funded Doctoral Trainin</w:t>
      </w:r>
      <w:r w:rsidR="00E40418">
        <w:t>g</w:t>
      </w:r>
      <w:r w:rsidR="005C3FCE">
        <w:t xml:space="preserve"> Centres (DTC) </w:t>
      </w:r>
      <w:r w:rsidR="008265C0" w:rsidRPr="005C3FCE">
        <w:t>(</w:t>
      </w:r>
      <w:r w:rsidR="005C3FCE" w:rsidRPr="005C3FCE">
        <w:t xml:space="preserve">see Budd, O’Connell, Yuan an </w:t>
      </w:r>
      <w:proofErr w:type="spellStart"/>
      <w:r w:rsidR="005C3FCE" w:rsidRPr="005C3FCE">
        <w:t>Ververi</w:t>
      </w:r>
      <w:proofErr w:type="spellEnd"/>
      <w:r w:rsidR="005C3FCE" w:rsidRPr="005C3FCE">
        <w:t>, 2018</w:t>
      </w:r>
      <w:r w:rsidR="008265C0" w:rsidRPr="005C3FCE">
        <w:t>)</w:t>
      </w:r>
      <w:r w:rsidR="006F0D39">
        <w:t xml:space="preserve">. Therefore, while GTAs are all occupants of the borderlands, their experiences </w:t>
      </w:r>
      <w:proofErr w:type="gramStart"/>
      <w:r w:rsidR="006F0D39">
        <w:t>is</w:t>
      </w:r>
      <w:proofErr w:type="gramEnd"/>
      <w:r w:rsidR="006F0D39">
        <w:t xml:space="preserve"> unlikely to be homogenous because of institutional differences</w:t>
      </w:r>
      <w:r w:rsidR="00155BFB">
        <w:t>,</w:t>
      </w:r>
      <w:r w:rsidR="00863207">
        <w:t xml:space="preserve"> </w:t>
      </w:r>
      <w:r w:rsidR="00B409C0">
        <w:t>and this</w:t>
      </w:r>
      <w:r w:rsidR="00155BFB">
        <w:t xml:space="preserve"> </w:t>
      </w:r>
      <w:r w:rsidR="00155BFB" w:rsidRPr="00B96B8F">
        <w:rPr>
          <w:highlight w:val="yellow"/>
        </w:rPr>
        <w:t>rais</w:t>
      </w:r>
      <w:r w:rsidR="00863207">
        <w:rPr>
          <w:highlight w:val="yellow"/>
        </w:rPr>
        <w:t>es</w:t>
      </w:r>
      <w:r w:rsidR="00155BFB" w:rsidRPr="00B96B8F">
        <w:rPr>
          <w:highlight w:val="yellow"/>
        </w:rPr>
        <w:t xml:space="preserve"> significant concerns about support available to GTAs</w:t>
      </w:r>
      <w:r w:rsidR="00B409C0">
        <w:rPr>
          <w:highlight w:val="yellow"/>
        </w:rPr>
        <w:t xml:space="preserve"> and their development as teachers</w:t>
      </w:r>
      <w:r w:rsidR="00155BFB" w:rsidRPr="00B96B8F">
        <w:rPr>
          <w:highlight w:val="yellow"/>
        </w:rPr>
        <w:t>.</w:t>
      </w:r>
      <w:r w:rsidR="00BB5D7C">
        <w:t xml:space="preserve"> </w:t>
      </w:r>
    </w:p>
    <w:p w14:paraId="27A3441E" w14:textId="0491A287" w:rsidR="00383B0E" w:rsidRPr="00DF7817" w:rsidRDefault="008265C0" w:rsidP="00B96B8F">
      <w:pPr>
        <w:pStyle w:val="Newparagraph"/>
      </w:pPr>
      <w:r w:rsidRPr="008265C0">
        <w:t xml:space="preserve"> </w:t>
      </w:r>
      <w:r w:rsidR="00D42E5E" w:rsidRPr="00B96B8F">
        <w:rPr>
          <w:highlight w:val="yellow"/>
        </w:rPr>
        <w:t>This</w:t>
      </w:r>
      <w:r w:rsidR="00383B0E">
        <w:t xml:space="preserve"> paper explores </w:t>
      </w:r>
      <w:r w:rsidR="00E40418">
        <w:t>GTAs</w:t>
      </w:r>
      <w:r w:rsidR="00383B0E">
        <w:t xml:space="preserve"> experiences</w:t>
      </w:r>
      <w:r w:rsidR="00863207">
        <w:t xml:space="preserve"> in the borderlands</w:t>
      </w:r>
      <w:r w:rsidR="00383B0E">
        <w:t xml:space="preserve"> in </w:t>
      </w:r>
      <w:r w:rsidR="006A798C">
        <w:t xml:space="preserve">the </w:t>
      </w:r>
      <w:proofErr w:type="spellStart"/>
      <w:r w:rsidR="00383B0E">
        <w:t>neoliberalised</w:t>
      </w:r>
      <w:proofErr w:type="spellEnd"/>
      <w:r w:rsidR="00383B0E">
        <w:t xml:space="preserve"> higher education settings that are insecure and chaotic in </w:t>
      </w:r>
      <w:r w:rsidR="00C25A6A">
        <w:t>terms</w:t>
      </w:r>
      <w:r w:rsidR="00383B0E">
        <w:t xml:space="preserve"> of support they offer to GTAs. It particularly </w:t>
      </w:r>
      <w:r w:rsidR="006A798C">
        <w:t xml:space="preserve">seeks to highlight the </w:t>
      </w:r>
      <w:r w:rsidR="00383B0E">
        <w:t>support mechanisms available and challenges experienced</w:t>
      </w:r>
      <w:r w:rsidR="005921C8">
        <w:t xml:space="preserve"> by GTAs</w:t>
      </w:r>
      <w:r w:rsidR="00383B0E">
        <w:t xml:space="preserve"> during their early university teaching experiences</w:t>
      </w:r>
      <w:r w:rsidR="0079441D">
        <w:t xml:space="preserve"> as they navigate the student-teacher-researcher borderland</w:t>
      </w:r>
      <w:r w:rsidR="00383B0E">
        <w:t xml:space="preserve">. </w:t>
      </w:r>
      <w:r w:rsidR="00D42E5E" w:rsidRPr="00B96B8F">
        <w:rPr>
          <w:highlight w:val="yellow"/>
        </w:rPr>
        <w:t xml:space="preserve">We </w:t>
      </w:r>
      <w:r w:rsidR="005F2B54">
        <w:rPr>
          <w:highlight w:val="yellow"/>
        </w:rPr>
        <w:t xml:space="preserve">also </w:t>
      </w:r>
      <w:r w:rsidR="00D42E5E" w:rsidRPr="00B96B8F">
        <w:rPr>
          <w:highlight w:val="yellow"/>
        </w:rPr>
        <w:t xml:space="preserve">argue that is essential </w:t>
      </w:r>
      <w:r w:rsidR="00D42E5E" w:rsidRPr="00B96B8F">
        <w:rPr>
          <w:highlight w:val="yellow"/>
        </w:rPr>
        <w:lastRenderedPageBreak/>
        <w:t xml:space="preserve">to problematise GTA work in contemporary HE settings and to develop holistic support and recognition systems that would systematically facilitate doctoral students’ development as university teachers and academics. This project was set up to respond to such gap existing practice and to encourage discussion on future developments of GTA </w:t>
      </w:r>
      <w:r w:rsidR="00D42E5E">
        <w:rPr>
          <w:highlight w:val="yellow"/>
        </w:rPr>
        <w:t>role</w:t>
      </w:r>
      <w:r w:rsidR="00D42E5E" w:rsidRPr="00B96B8F">
        <w:rPr>
          <w:highlight w:val="yellow"/>
        </w:rPr>
        <w:t xml:space="preserve"> and support</w:t>
      </w:r>
      <w:r w:rsidR="00D42E5E">
        <w:rPr>
          <w:highlight w:val="yellow"/>
        </w:rPr>
        <w:t xml:space="preserve"> needs</w:t>
      </w:r>
      <w:r w:rsidR="00D42E5E" w:rsidRPr="00B96B8F">
        <w:rPr>
          <w:highlight w:val="yellow"/>
        </w:rPr>
        <w:t>.</w:t>
      </w:r>
    </w:p>
    <w:p w14:paraId="41CE46D2" w14:textId="26532C55" w:rsidR="00DF7817" w:rsidRDefault="00DF7817" w:rsidP="0018640D">
      <w:pPr>
        <w:pStyle w:val="Heading1"/>
      </w:pPr>
      <w:r>
        <w:t>Methodology</w:t>
      </w:r>
    </w:p>
    <w:p w14:paraId="1F733ECB" w14:textId="66B15026" w:rsidR="005D032B" w:rsidRDefault="006F0D39" w:rsidP="00B96B8F">
      <w:pPr>
        <w:pStyle w:val="Newparagraph"/>
        <w:spacing w:before="240"/>
        <w:ind w:firstLine="0"/>
      </w:pPr>
      <w:r>
        <w:t>To understand GTAs borderland experiences,</w:t>
      </w:r>
      <w:r w:rsidRPr="00DF7817">
        <w:t xml:space="preserve"> </w:t>
      </w:r>
      <w:r>
        <w:t>t</w:t>
      </w:r>
      <w:r w:rsidR="00DF7817" w:rsidRPr="00DF7817">
        <w:t xml:space="preserve">he </w:t>
      </w:r>
      <w:r w:rsidR="00677A52">
        <w:t>project</w:t>
      </w:r>
      <w:r w:rsidR="00677A52" w:rsidRPr="00DF7817">
        <w:t xml:space="preserve"> </w:t>
      </w:r>
      <w:r w:rsidR="005B5317">
        <w:t>used two British universities as</w:t>
      </w:r>
      <w:r w:rsidR="00DF7817" w:rsidRPr="00DF7817">
        <w:t xml:space="preserve"> </w:t>
      </w:r>
      <w:r w:rsidR="001E6C57">
        <w:t xml:space="preserve">multiple </w:t>
      </w:r>
      <w:r w:rsidR="00DF7817" w:rsidRPr="00DF7817">
        <w:t>case stud</w:t>
      </w:r>
      <w:r w:rsidR="005B5317">
        <w:t>ies</w:t>
      </w:r>
      <w:r w:rsidR="006A5C19">
        <w:t xml:space="preserve"> (Yin, 2013)</w:t>
      </w:r>
      <w:r w:rsidR="00BC1815" w:rsidRPr="00DF7817">
        <w:t xml:space="preserve"> </w:t>
      </w:r>
      <w:r w:rsidR="00DF7817" w:rsidRPr="00DF7817">
        <w:t xml:space="preserve">to capture the teaching and </w:t>
      </w:r>
      <w:r w:rsidR="005921C8">
        <w:t>professional development</w:t>
      </w:r>
      <w:r w:rsidR="00DF7817" w:rsidRPr="00DF7817">
        <w:t xml:space="preserve"> experiences of eight doctoral students </w:t>
      </w:r>
      <w:r w:rsidR="00677A52">
        <w:t>from a range of disciplines (see Table 1 and Table 2)</w:t>
      </w:r>
      <w:r w:rsidR="005921C8">
        <w:t>.</w:t>
      </w:r>
      <w:r w:rsidR="001E6C57">
        <w:t xml:space="preserve"> </w:t>
      </w:r>
      <w:r w:rsidR="005D032B">
        <w:t xml:space="preserve">Doctoral students </w:t>
      </w:r>
      <w:r w:rsidR="00463B95">
        <w:t xml:space="preserve">were engaged in a teaching role </w:t>
      </w:r>
      <w:proofErr w:type="gramStart"/>
      <w:r w:rsidR="00463B95">
        <w:t>and</w:t>
      </w:r>
      <w:r w:rsidR="00271756">
        <w:t xml:space="preserve"> </w:t>
      </w:r>
      <w:r w:rsidR="00463B95">
        <w:t xml:space="preserve"> were</w:t>
      </w:r>
      <w:proofErr w:type="gramEnd"/>
      <w:r w:rsidR="00463B95">
        <w:t xml:space="preserve"> recruited using</w:t>
      </w:r>
      <w:r w:rsidR="00271756">
        <w:t xml:space="preserve"> a snowballing </w:t>
      </w:r>
      <w:proofErr w:type="spellStart"/>
      <w:r w:rsidR="00271756">
        <w:t>sample</w:t>
      </w:r>
      <w:r w:rsidR="00463B95">
        <w:t>ing</w:t>
      </w:r>
      <w:proofErr w:type="spellEnd"/>
      <w:r w:rsidR="00463B95">
        <w:t xml:space="preserve"> approach</w:t>
      </w:r>
      <w:r w:rsidR="005D032B">
        <w:t xml:space="preserve">. </w:t>
      </w:r>
      <w:r w:rsidR="005D032B" w:rsidRPr="000662F1">
        <w:rPr>
          <w:highlight w:val="yellow"/>
        </w:rPr>
        <w:t xml:space="preserve">The </w:t>
      </w:r>
      <w:r w:rsidR="005D032B">
        <w:rPr>
          <w:highlight w:val="yellow"/>
        </w:rPr>
        <w:t xml:space="preserve">use of </w:t>
      </w:r>
      <w:r w:rsidR="00271756">
        <w:rPr>
          <w:highlight w:val="yellow"/>
        </w:rPr>
        <w:t>a multiple</w:t>
      </w:r>
      <w:r w:rsidR="005D032B">
        <w:rPr>
          <w:highlight w:val="yellow"/>
        </w:rPr>
        <w:t xml:space="preserve"> </w:t>
      </w:r>
      <w:r w:rsidR="005D032B" w:rsidRPr="000662F1">
        <w:rPr>
          <w:highlight w:val="yellow"/>
        </w:rPr>
        <w:t>case stud</w:t>
      </w:r>
      <w:r w:rsidR="00271756">
        <w:rPr>
          <w:highlight w:val="yellow"/>
        </w:rPr>
        <w:t>y</w:t>
      </w:r>
      <w:r w:rsidR="005D032B" w:rsidRPr="000662F1">
        <w:rPr>
          <w:highlight w:val="yellow"/>
        </w:rPr>
        <w:t xml:space="preserve"> enabled us to </w:t>
      </w:r>
      <w:r w:rsidR="00CA1F7D">
        <w:rPr>
          <w:highlight w:val="yellow"/>
        </w:rPr>
        <w:t>explore how borderland experiences may be affected by</w:t>
      </w:r>
      <w:r w:rsidR="005D032B" w:rsidRPr="000662F1">
        <w:rPr>
          <w:highlight w:val="yellow"/>
        </w:rPr>
        <w:t xml:space="preserve"> institutional differences in doctoral</w:t>
      </w:r>
      <w:r w:rsidR="00463B95">
        <w:rPr>
          <w:highlight w:val="yellow"/>
        </w:rPr>
        <w:t xml:space="preserve"> teaching</w:t>
      </w:r>
      <w:r w:rsidR="005D032B" w:rsidRPr="000662F1">
        <w:rPr>
          <w:highlight w:val="yellow"/>
        </w:rPr>
        <w:t xml:space="preserve"> training provision and support mechanisms in place</w:t>
      </w:r>
      <w:r w:rsidR="005D032B">
        <w:t xml:space="preserve">, </w:t>
      </w:r>
      <w:r w:rsidR="00463B95">
        <w:t>in</w:t>
      </w:r>
      <w:r w:rsidR="005D032B">
        <w:t xml:space="preserve"> newer and more established universities. </w:t>
      </w:r>
      <w:r w:rsidR="00271756">
        <w:t>The two universities selected represent two different levels of established research and teaching support as these may affect doctoral student experiences</w:t>
      </w:r>
      <w:r w:rsidR="00463B95">
        <w:t xml:space="preserve"> and support</w:t>
      </w:r>
      <w:r w:rsidR="00271756">
        <w:t xml:space="preserve">. University A is </w:t>
      </w:r>
      <w:r w:rsidR="00271756" w:rsidRPr="00DF7817">
        <w:t xml:space="preserve">a </w:t>
      </w:r>
      <w:r w:rsidR="00271756">
        <w:t>teaching-focused</w:t>
      </w:r>
      <w:r w:rsidR="00271756" w:rsidRPr="00DF7817">
        <w:t xml:space="preserve"> </w:t>
      </w:r>
      <w:r w:rsidR="00271756">
        <w:t xml:space="preserve">newer </w:t>
      </w:r>
      <w:r w:rsidR="00271756" w:rsidRPr="00DF7817">
        <w:t>university</w:t>
      </w:r>
      <w:r w:rsidR="00271756">
        <w:t xml:space="preserve"> (post-1992</w:t>
      </w:r>
      <w:r w:rsidR="00271756">
        <w:rPr>
          <w:rStyle w:val="FootnoteReference"/>
        </w:rPr>
        <w:footnoteReference w:id="3"/>
      </w:r>
      <w:r w:rsidR="00271756">
        <w:t>)</w:t>
      </w:r>
      <w:r w:rsidR="00271756" w:rsidRPr="00DF7817">
        <w:t> with recent research degree awarding powers</w:t>
      </w:r>
      <w:r w:rsidR="00271756">
        <w:t>,</w:t>
      </w:r>
      <w:r w:rsidR="00271756" w:rsidRPr="00DF7817">
        <w:t xml:space="preserve"> </w:t>
      </w:r>
      <w:r w:rsidR="00271756">
        <w:t>while</w:t>
      </w:r>
      <w:r w:rsidR="00271756" w:rsidRPr="00DF7817">
        <w:t xml:space="preserve"> </w:t>
      </w:r>
      <w:r w:rsidR="00271756">
        <w:t>the University B was established in 1960</w:t>
      </w:r>
      <w:proofErr w:type="gramStart"/>
      <w:r w:rsidR="00271756">
        <w:t>s  and</w:t>
      </w:r>
      <w:proofErr w:type="gramEnd"/>
      <w:r w:rsidR="00271756">
        <w:t xml:space="preserve"> focuses on both teaching and research with </w:t>
      </w:r>
      <w:r w:rsidR="00271756" w:rsidRPr="00DF7817">
        <w:t>a well</w:t>
      </w:r>
      <w:r w:rsidR="00271756">
        <w:t>-</w:t>
      </w:r>
      <w:r w:rsidR="00271756" w:rsidRPr="00DF7817">
        <w:t>established doctoral programme</w:t>
      </w:r>
      <w:r w:rsidR="00CA1F7D">
        <w:t xml:space="preserve"> and part of a DTC</w:t>
      </w:r>
      <w:r w:rsidR="00271756" w:rsidRPr="00DF7817">
        <w:t>.</w:t>
      </w:r>
      <w:r w:rsidR="00271756">
        <w:t xml:space="preserve"> </w:t>
      </w:r>
      <w:r w:rsidR="005D032B" w:rsidRPr="000662F1">
        <w:rPr>
          <w:highlight w:val="yellow"/>
        </w:rPr>
        <w:t>The key structural differences across the two case</w:t>
      </w:r>
      <w:r w:rsidR="005D032B">
        <w:rPr>
          <w:highlight w:val="yellow"/>
        </w:rPr>
        <w:t xml:space="preserve"> study universities</w:t>
      </w:r>
      <w:r w:rsidR="005D032B" w:rsidRPr="000662F1">
        <w:rPr>
          <w:highlight w:val="yellow"/>
        </w:rPr>
        <w:t xml:space="preserve"> are outlined below.</w:t>
      </w:r>
      <w:r w:rsidR="00271756" w:rsidRPr="00271756">
        <w:t xml:space="preserve"> </w:t>
      </w:r>
    </w:p>
    <w:p w14:paraId="5C4231E1" w14:textId="6CF1AE3C" w:rsidR="00DF7817" w:rsidRDefault="00041233" w:rsidP="00B96B8F">
      <w:pPr>
        <w:pStyle w:val="Newparagraph"/>
      </w:pPr>
      <w:r>
        <w:t>The</w:t>
      </w:r>
      <w:r w:rsidR="00DF7817" w:rsidRPr="00DF7817">
        <w:t xml:space="preserve"> University A </w:t>
      </w:r>
      <w:r>
        <w:t>is</w:t>
      </w:r>
      <w:r w:rsidRPr="00DF7817">
        <w:t xml:space="preserve"> </w:t>
      </w:r>
      <w:r>
        <w:t xml:space="preserve">a </w:t>
      </w:r>
      <w:r w:rsidR="00DF7817" w:rsidRPr="00DF7817">
        <w:t>relatively new university with a small number of doctoral students an</w:t>
      </w:r>
      <w:r>
        <w:t xml:space="preserve">d therefore </w:t>
      </w:r>
      <w:r w:rsidR="00DF7817" w:rsidRPr="00DF7817">
        <w:t xml:space="preserve">new to </w:t>
      </w:r>
      <w:r w:rsidR="00677A52">
        <w:t>employing</w:t>
      </w:r>
      <w:r w:rsidR="00677A52" w:rsidRPr="00DF7817">
        <w:t> </w:t>
      </w:r>
      <w:r w:rsidR="00DF7817" w:rsidRPr="00DF7817">
        <w:t xml:space="preserve">doctoral students as </w:t>
      </w:r>
      <w:r w:rsidR="00BC1815">
        <w:t>GTAs</w:t>
      </w:r>
      <w:r w:rsidR="00DF7817" w:rsidRPr="00DF7817">
        <w:t>. The doctoral students interviewed were from four different disciplines</w:t>
      </w:r>
      <w:r w:rsidR="00677A52">
        <w:t>:</w:t>
      </w:r>
      <w:r w:rsidR="00DF7817" w:rsidRPr="00DF7817">
        <w:t xml:space="preserve"> Music, Mathematics, </w:t>
      </w:r>
      <w:r w:rsidR="00DF7817" w:rsidRPr="00DF7817">
        <w:lastRenderedPageBreak/>
        <w:t xml:space="preserve">Geography and Sociology. Of the four students interviewed two were international doctoral students and two were home students. The university did not have a doctoral school and the students were based in individual departments </w:t>
      </w:r>
      <w:r>
        <w:t>but jointly attended the</w:t>
      </w:r>
      <w:r w:rsidR="00DF7817" w:rsidRPr="00DF7817">
        <w:t xml:space="preserve"> university wide research training sessions. </w:t>
      </w:r>
      <w:r>
        <w:t>All</w:t>
      </w:r>
      <w:r w:rsidRPr="00DF7817">
        <w:t xml:space="preserve"> </w:t>
      </w:r>
      <w:r w:rsidR="00DF7817" w:rsidRPr="00DF7817">
        <w:t xml:space="preserve">students </w:t>
      </w:r>
      <w:r>
        <w:t xml:space="preserve">interviewed </w:t>
      </w:r>
      <w:r w:rsidR="00DF7817" w:rsidRPr="00DF7817">
        <w:t>were on scholarships</w:t>
      </w:r>
      <w:r w:rsidR="00677A52">
        <w:t xml:space="preserve">; their </w:t>
      </w:r>
      <w:r>
        <w:t xml:space="preserve">funding </w:t>
      </w:r>
      <w:r w:rsidR="00677A52">
        <w:t>scheme required</w:t>
      </w:r>
      <w:r w:rsidR="00DF7817" w:rsidRPr="00DF7817">
        <w:t xml:space="preserve"> </w:t>
      </w:r>
      <w:r w:rsidR="00677A52">
        <w:t>them</w:t>
      </w:r>
      <w:r>
        <w:t xml:space="preserve"> to complete</w:t>
      </w:r>
      <w:r w:rsidR="00DF7817" w:rsidRPr="00DF7817">
        <w:t xml:space="preserve"> the doctoral study in </w:t>
      </w:r>
      <w:r w:rsidR="00BC1815">
        <w:t xml:space="preserve">a </w:t>
      </w:r>
      <w:r>
        <w:t>given timeframe</w:t>
      </w:r>
      <w:r w:rsidR="00DF7817" w:rsidRPr="00DF7817">
        <w:t xml:space="preserve"> and </w:t>
      </w:r>
      <w:r>
        <w:t>to undertake</w:t>
      </w:r>
      <w:r w:rsidRPr="00DF7817">
        <w:t xml:space="preserve"> </w:t>
      </w:r>
      <w:r w:rsidR="00DF7817" w:rsidRPr="00DF7817">
        <w:t>some undergraduate teaching alongside. The teaching commitments of the four students varied</w:t>
      </w:r>
      <w:r w:rsidR="00BC1815">
        <w:t xml:space="preserve">, </w:t>
      </w:r>
      <w:r w:rsidR="00DF7817" w:rsidRPr="00DF7817">
        <w:t xml:space="preserve">some </w:t>
      </w:r>
      <w:r w:rsidR="00677A52">
        <w:t>acted</w:t>
      </w:r>
      <w:r w:rsidR="00DF7817" w:rsidRPr="00DF7817">
        <w:t xml:space="preserve"> as teaching assistants </w:t>
      </w:r>
      <w:r w:rsidR="00BC1815">
        <w:t xml:space="preserve">and </w:t>
      </w:r>
      <w:r w:rsidR="00DF7817" w:rsidRPr="00DF7817">
        <w:t xml:space="preserve">others </w:t>
      </w:r>
      <w:r w:rsidR="00BC1815">
        <w:t xml:space="preserve">in relatively smaller departments </w:t>
      </w:r>
      <w:r w:rsidR="00DF7817" w:rsidRPr="00DF7817">
        <w:t>were responsible for running a course, where they had</w:t>
      </w:r>
      <w:r>
        <w:t xml:space="preserve"> a responsibility for curriculum development and design</w:t>
      </w:r>
      <w:r w:rsidR="00DF7817" w:rsidRPr="00DF7817">
        <w:t xml:space="preserve">. </w:t>
      </w:r>
      <w:r>
        <w:t>Their</w:t>
      </w:r>
      <w:r w:rsidR="00DF7817" w:rsidRPr="00DF7817">
        <w:t xml:space="preserve"> teaching training programme</w:t>
      </w:r>
      <w:r>
        <w:t xml:space="preserve"> included</w:t>
      </w:r>
      <w:r w:rsidR="00DF7817" w:rsidRPr="00DF7817">
        <w:t xml:space="preserve"> a series of workshops</w:t>
      </w:r>
      <w:r>
        <w:t>, running alongside their teaching commitments and</w:t>
      </w:r>
      <w:r w:rsidR="00DF7817" w:rsidRPr="00DF7817">
        <w:t xml:space="preserve"> targeted at discussing </w:t>
      </w:r>
      <w:r>
        <w:t>best practices</w:t>
      </w:r>
      <w:r w:rsidR="00DF7817" w:rsidRPr="00DF7817">
        <w:t xml:space="preserve"> </w:t>
      </w:r>
      <w:r>
        <w:t>and teaching techniques.</w:t>
      </w:r>
    </w:p>
    <w:p w14:paraId="2FE87C8F" w14:textId="03989C96" w:rsidR="003E075D" w:rsidRPr="00DF7817" w:rsidRDefault="00041233" w:rsidP="00B96B8F">
      <w:pPr>
        <w:pStyle w:val="Newparagraph"/>
      </w:pPr>
      <w:r>
        <w:t xml:space="preserve">The </w:t>
      </w:r>
      <w:r w:rsidR="00DF7817" w:rsidRPr="00DF7817">
        <w:t xml:space="preserve">University B had </w:t>
      </w:r>
      <w:r w:rsidR="0018640D">
        <w:t xml:space="preserve">a </w:t>
      </w:r>
      <w:proofErr w:type="gramStart"/>
      <w:r w:rsidR="00DF7817" w:rsidRPr="00DF7817">
        <w:t>well-established doctoral programmes</w:t>
      </w:r>
      <w:proofErr w:type="gramEnd"/>
      <w:r w:rsidR="00DF7817" w:rsidRPr="00DF7817">
        <w:t xml:space="preserve"> </w:t>
      </w:r>
      <w:r w:rsidR="00E50EB7">
        <w:t xml:space="preserve">which came </w:t>
      </w:r>
      <w:r w:rsidR="00DF7817" w:rsidRPr="00DF7817">
        <w:t xml:space="preserve">under </w:t>
      </w:r>
      <w:r w:rsidR="00E50EB7">
        <w:t>the</w:t>
      </w:r>
      <w:r w:rsidR="00E50EB7" w:rsidRPr="00DF7817">
        <w:t xml:space="preserve"> </w:t>
      </w:r>
      <w:r w:rsidR="00DF7817" w:rsidRPr="00DF7817">
        <w:t>university-wide doctoral school</w:t>
      </w:r>
      <w:r w:rsidR="00E50EB7">
        <w:t xml:space="preserve"> responsible for </w:t>
      </w:r>
      <w:r w:rsidR="00DF7817" w:rsidRPr="00DF7817">
        <w:t>coordinat</w:t>
      </w:r>
      <w:r w:rsidR="00E50EB7">
        <w:t>ing</w:t>
      </w:r>
      <w:r w:rsidR="00DF7817" w:rsidRPr="00DF7817">
        <w:t xml:space="preserve"> </w:t>
      </w:r>
      <w:r w:rsidR="003E075D">
        <w:t xml:space="preserve">the </w:t>
      </w:r>
      <w:r w:rsidR="00DF7817" w:rsidRPr="00DF7817">
        <w:t>doctoral research training.</w:t>
      </w:r>
      <w:r w:rsidR="0079441D">
        <w:t xml:space="preserve"> </w:t>
      </w:r>
      <w:r w:rsidR="00DF7817" w:rsidRPr="00DF7817">
        <w:t>The support for research came from supervisors</w:t>
      </w:r>
      <w:r w:rsidR="00CA1F7D">
        <w:t xml:space="preserve">, </w:t>
      </w:r>
      <w:r w:rsidR="00DF7817" w:rsidRPr="00DF7817">
        <w:t>university-wide research training sessions run by the doctoral school</w:t>
      </w:r>
      <w:r w:rsidR="00CA1F7D">
        <w:t xml:space="preserve"> as well as from the</w:t>
      </w:r>
      <w:r w:rsidR="00463B95">
        <w:t xml:space="preserve"> </w:t>
      </w:r>
      <w:r w:rsidR="00CA1F7D">
        <w:t>DTCs</w:t>
      </w:r>
      <w:r w:rsidR="00DF7817" w:rsidRPr="00DF7817">
        <w:t xml:space="preserve">. With regards to teaching, the doctoral students </w:t>
      </w:r>
      <w:r w:rsidR="003E075D">
        <w:t>were</w:t>
      </w:r>
      <w:r w:rsidR="003E075D" w:rsidRPr="00DF7817">
        <w:t xml:space="preserve"> </w:t>
      </w:r>
      <w:r w:rsidR="00DF7817" w:rsidRPr="00DF7817">
        <w:t xml:space="preserve">required to take two non-credit bearing teaching and learning </w:t>
      </w:r>
      <w:r w:rsidR="003E075D">
        <w:t>workshops</w:t>
      </w:r>
      <w:r w:rsidR="003E075D" w:rsidRPr="00DF7817">
        <w:t xml:space="preserve"> </w:t>
      </w:r>
      <w:r w:rsidR="00DF7817" w:rsidRPr="00DF7817">
        <w:t xml:space="preserve">prior to undertaking any teaching. They also </w:t>
      </w:r>
      <w:r w:rsidR="003E075D">
        <w:t>had</w:t>
      </w:r>
      <w:r w:rsidR="003E075D" w:rsidRPr="00DF7817">
        <w:t xml:space="preserve"> </w:t>
      </w:r>
      <w:r w:rsidR="00DF7817" w:rsidRPr="00DF7817">
        <w:t xml:space="preserve">the option to undertake a formal teaching certificate in learning and teaching worth 60 credits </w:t>
      </w:r>
      <w:r w:rsidR="0079441D">
        <w:t xml:space="preserve">which led to </w:t>
      </w:r>
      <w:r w:rsidR="006461B6">
        <w:t xml:space="preserve">the </w:t>
      </w:r>
      <w:r w:rsidR="0079441D">
        <w:t>Fellowship of the Advanced HE</w:t>
      </w:r>
      <w:r w:rsidR="00DF7817" w:rsidRPr="00DF7817">
        <w:t>. However, engaging in teaching was optional for these students</w:t>
      </w:r>
      <w:r w:rsidR="006461B6">
        <w:t>,</w:t>
      </w:r>
      <w:r w:rsidR="00DF7817" w:rsidRPr="00DF7817">
        <w:t xml:space="preserve"> unless they ha</w:t>
      </w:r>
      <w:r w:rsidR="0079441D">
        <w:t>d</w:t>
      </w:r>
      <w:r w:rsidR="00DF7817" w:rsidRPr="00DF7817">
        <w:t xml:space="preserve"> a departmental studentship</w:t>
      </w:r>
      <w:r w:rsidR="006461B6">
        <w:t xml:space="preserve"> with teaching requirements</w:t>
      </w:r>
      <w:r w:rsidR="005C3FCE">
        <w:t xml:space="preserve"> (two of the interviewees were on departmental studentships)</w:t>
      </w:r>
      <w:r w:rsidR="00DF7817" w:rsidRPr="00DF7817">
        <w:t>. </w:t>
      </w:r>
      <w:r w:rsidR="003E075D">
        <w:t xml:space="preserve"> </w:t>
      </w:r>
      <w:r w:rsidR="00CA1F7D">
        <w:t>The participants selected were on the formal teaching programme.</w:t>
      </w:r>
    </w:p>
    <w:p w14:paraId="592198CE" w14:textId="2F89DC7D" w:rsidR="00463B95" w:rsidRDefault="00463B95">
      <w:r>
        <w:br w:type="page"/>
      </w:r>
    </w:p>
    <w:p w14:paraId="56DC77BB" w14:textId="77777777" w:rsidR="00051421" w:rsidRDefault="00051421" w:rsidP="0018640D">
      <w:pPr>
        <w:pStyle w:val="Newparagraph"/>
      </w:pPr>
    </w:p>
    <w:p w14:paraId="448AA4FA" w14:textId="0804968A" w:rsidR="00DF7817" w:rsidRDefault="003E075D" w:rsidP="00B96B8F">
      <w:pPr>
        <w:pStyle w:val="Newparagraph"/>
      </w:pPr>
      <w:r>
        <w:t>Table 1 about here</w:t>
      </w:r>
    </w:p>
    <w:p w14:paraId="330FF1D1" w14:textId="05BCB5EC" w:rsidR="003E075D" w:rsidRPr="00DF7817" w:rsidRDefault="003E075D" w:rsidP="00B96B8F">
      <w:pPr>
        <w:pStyle w:val="Newparagraph"/>
      </w:pPr>
      <w:r>
        <w:t>Table 2 about here</w:t>
      </w:r>
    </w:p>
    <w:p w14:paraId="188522AA" w14:textId="77777777" w:rsidR="00DF7817" w:rsidRPr="00DF7817" w:rsidRDefault="00DF7817" w:rsidP="0018640D">
      <w:pPr>
        <w:pStyle w:val="Newparagraph"/>
      </w:pPr>
    </w:p>
    <w:p w14:paraId="5DA4D518" w14:textId="10BBD8B3" w:rsidR="005D032B" w:rsidRDefault="005D032B" w:rsidP="0018640D">
      <w:pPr>
        <w:pStyle w:val="Newparagraph"/>
      </w:pPr>
      <w:r w:rsidRPr="00DF7817">
        <w:t xml:space="preserve">Ethical approval was </w:t>
      </w:r>
      <w:r>
        <w:t xml:space="preserve">obtained through the University of Surrey Self-Assessment Form (ID: </w:t>
      </w:r>
      <w:r w:rsidRPr="00754E98">
        <w:t>160708-160702-20596432</w:t>
      </w:r>
      <w:r>
        <w:t>). The</w:t>
      </w:r>
      <w:r w:rsidRPr="00DF7817">
        <w:t xml:space="preserve"> participants were explained the purpose of the study and </w:t>
      </w:r>
      <w:r>
        <w:t xml:space="preserve">that their </w:t>
      </w:r>
      <w:r w:rsidRPr="00DF7817">
        <w:t xml:space="preserve">participation </w:t>
      </w:r>
      <w:r>
        <w:t>was</w:t>
      </w:r>
      <w:r w:rsidRPr="00DF7817">
        <w:t xml:space="preserve"> voluntary</w:t>
      </w:r>
      <w:r>
        <w:t>,</w:t>
      </w:r>
      <w:r w:rsidRPr="00DF7817">
        <w:t xml:space="preserve"> anonymous </w:t>
      </w:r>
      <w:r>
        <w:t xml:space="preserve">and </w:t>
      </w:r>
      <w:r w:rsidRPr="00DF7817">
        <w:t>confidential</w:t>
      </w:r>
      <w:r>
        <w:t>.</w:t>
      </w:r>
      <w:r w:rsidRPr="00DF7817">
        <w:t> </w:t>
      </w:r>
      <w:r>
        <w:t>Participants were provided with an information sheet and were required to sign a consent form.</w:t>
      </w:r>
      <w:r w:rsidR="0056708B">
        <w:t xml:space="preserve"> The interviews explored doctoral students’ motivations for teaching, the teaching support structures they accessed and their experiences of teaching.</w:t>
      </w:r>
    </w:p>
    <w:p w14:paraId="3F30CA2F" w14:textId="7B78E9FE" w:rsidR="00DF7817" w:rsidRDefault="00DF7817" w:rsidP="00B96B8F">
      <w:pPr>
        <w:pStyle w:val="Newparagraph"/>
      </w:pPr>
      <w:r w:rsidRPr="00B96B8F">
        <w:rPr>
          <w:highlight w:val="yellow"/>
        </w:rPr>
        <w:t xml:space="preserve">An exploratory </w:t>
      </w:r>
      <w:r w:rsidR="0033333A" w:rsidRPr="00B96B8F">
        <w:rPr>
          <w:highlight w:val="yellow"/>
        </w:rPr>
        <w:t xml:space="preserve">combination of both deductive and </w:t>
      </w:r>
      <w:r w:rsidRPr="00B96B8F">
        <w:rPr>
          <w:highlight w:val="yellow"/>
        </w:rPr>
        <w:t>inductive thematic analysis of the interview transcripts was undertaken (Braun and Clarke, 2006; 2012; 2013)</w:t>
      </w:r>
      <w:r w:rsidR="005D032B">
        <w:rPr>
          <w:highlight w:val="yellow"/>
        </w:rPr>
        <w:t>. T</w:t>
      </w:r>
      <w:r w:rsidR="001E6C57">
        <w:rPr>
          <w:highlight w:val="yellow"/>
        </w:rPr>
        <w:t>he doctoral students</w:t>
      </w:r>
      <w:r w:rsidR="005D032B">
        <w:rPr>
          <w:highlight w:val="yellow"/>
        </w:rPr>
        <w:t>’ experiences</w:t>
      </w:r>
      <w:r w:rsidR="001E6C57">
        <w:rPr>
          <w:highlight w:val="yellow"/>
        </w:rPr>
        <w:t xml:space="preserve"> </w:t>
      </w:r>
      <w:r w:rsidR="00271756">
        <w:rPr>
          <w:highlight w:val="yellow"/>
        </w:rPr>
        <w:t xml:space="preserve">of their teaching and teaching support </w:t>
      </w:r>
      <w:r w:rsidR="001E6C57">
        <w:rPr>
          <w:highlight w:val="yellow"/>
        </w:rPr>
        <w:t>were used as units of analysis</w:t>
      </w:r>
      <w:r w:rsidRPr="00B96B8F">
        <w:rPr>
          <w:highlight w:val="yellow"/>
        </w:rPr>
        <w:t xml:space="preserve">. </w:t>
      </w:r>
      <w:r w:rsidR="006461B6" w:rsidRPr="00B96B8F">
        <w:rPr>
          <w:highlight w:val="yellow"/>
        </w:rPr>
        <w:t xml:space="preserve">The data </w:t>
      </w:r>
      <w:r w:rsidR="0033333A" w:rsidRPr="00B96B8F">
        <w:rPr>
          <w:highlight w:val="yellow"/>
        </w:rPr>
        <w:t xml:space="preserve">was first analysed by exploring </w:t>
      </w:r>
      <w:r w:rsidR="004668B7" w:rsidRPr="00B96B8F">
        <w:rPr>
          <w:highlight w:val="yellow"/>
        </w:rPr>
        <w:t xml:space="preserve">the support that doctoral students were receiving to navigate the borderlands </w:t>
      </w:r>
      <w:r w:rsidR="006461B6" w:rsidRPr="00B96B8F">
        <w:rPr>
          <w:highlight w:val="yellow"/>
        </w:rPr>
        <w:t xml:space="preserve">outlined earlier in this paper, as </w:t>
      </w:r>
      <w:r w:rsidR="004668B7" w:rsidRPr="00B96B8F">
        <w:rPr>
          <w:highlight w:val="yellow"/>
        </w:rPr>
        <w:t xml:space="preserve">well as structural inequalities </w:t>
      </w:r>
      <w:r w:rsidR="006461B6" w:rsidRPr="00B96B8F">
        <w:rPr>
          <w:highlight w:val="yellow"/>
        </w:rPr>
        <w:t>that affected their experience</w:t>
      </w:r>
      <w:r w:rsidR="004668B7" w:rsidRPr="00B96B8F">
        <w:rPr>
          <w:highlight w:val="yellow"/>
        </w:rPr>
        <w:t xml:space="preserve">. </w:t>
      </w:r>
      <w:r w:rsidR="0033333A" w:rsidRPr="00B96B8F">
        <w:rPr>
          <w:highlight w:val="yellow"/>
        </w:rPr>
        <w:t>The second stage of analysis focused on inductive approaches, letting the participant voices around GTA experience and support to emerge.</w:t>
      </w:r>
      <w:r w:rsidR="0033333A">
        <w:t xml:space="preserve"> </w:t>
      </w:r>
      <w:r w:rsidRPr="00DF7817">
        <w:t>Meaning and patterns in interview transcripts were actively sought by a systematic examination of the transcripts. This helped to identify codes which were supported by illustrative interview extracts, these were later grouped into the content-driven emergent themes</w:t>
      </w:r>
      <w:r w:rsidR="006461B6">
        <w:t xml:space="preserve"> as presented below</w:t>
      </w:r>
      <w:r w:rsidRPr="00DF7817">
        <w:t xml:space="preserve">. </w:t>
      </w:r>
    </w:p>
    <w:p w14:paraId="6F0917AD" w14:textId="7692B421" w:rsidR="00DF7817" w:rsidRDefault="00DF7817" w:rsidP="0018640D">
      <w:pPr>
        <w:pStyle w:val="Heading1"/>
      </w:pPr>
      <w:r>
        <w:t>Findings</w:t>
      </w:r>
      <w:r w:rsidR="00677A52">
        <w:t xml:space="preserve"> and discussion</w:t>
      </w:r>
    </w:p>
    <w:p w14:paraId="7ED78F71" w14:textId="1F1C6E57" w:rsidR="00677A52" w:rsidRPr="00785C11" w:rsidRDefault="00677A52" w:rsidP="005D032B">
      <w:pPr>
        <w:pStyle w:val="Paragraph"/>
      </w:pPr>
      <w:r>
        <w:t>The</w:t>
      </w:r>
      <w:r w:rsidR="0011792A">
        <w:t xml:space="preserve"> </w:t>
      </w:r>
      <w:r w:rsidR="003219C0">
        <w:t>findings</w:t>
      </w:r>
      <w:r w:rsidR="0011792A">
        <w:t xml:space="preserve"> indicate how doctoral students navigate the complex field of higher education when </w:t>
      </w:r>
      <w:r w:rsidR="002B31CD">
        <w:t>undertaking the</w:t>
      </w:r>
      <w:r w:rsidR="0011792A">
        <w:t xml:space="preserve"> GTA</w:t>
      </w:r>
      <w:r w:rsidR="002B31CD">
        <w:t xml:space="preserve"> roles</w:t>
      </w:r>
      <w:r w:rsidR="0011792A">
        <w:t xml:space="preserve">. This includes entering the borderland that </w:t>
      </w:r>
      <w:r w:rsidR="0011792A">
        <w:lastRenderedPageBreak/>
        <w:t xml:space="preserve">for GTAs provides hope for more secure academic futures, but also causes uncertainties and dislocations as the GTA roles are often undefined with limited institutional support. </w:t>
      </w:r>
    </w:p>
    <w:p w14:paraId="5E8533C5" w14:textId="71CDCA52" w:rsidR="00043ED2" w:rsidRPr="00D86BAF" w:rsidRDefault="00781C90" w:rsidP="005D032B">
      <w:pPr>
        <w:pStyle w:val="Newparagraph"/>
        <w:ind w:firstLine="0"/>
        <w:rPr>
          <w:b/>
          <w:i/>
          <w:color w:val="000000" w:themeColor="text1"/>
        </w:rPr>
      </w:pPr>
      <w:r>
        <w:rPr>
          <w:b/>
          <w:i/>
          <w:color w:val="000000" w:themeColor="text1"/>
        </w:rPr>
        <w:t xml:space="preserve">Entering the Borderland </w:t>
      </w:r>
      <w:r w:rsidR="00CC15C5">
        <w:rPr>
          <w:b/>
          <w:i/>
          <w:color w:val="000000" w:themeColor="text1"/>
        </w:rPr>
        <w:t>for Academic Career</w:t>
      </w:r>
    </w:p>
    <w:p w14:paraId="45D50B14" w14:textId="20C1CE95" w:rsidR="0088228D" w:rsidRDefault="0011792A" w:rsidP="00B96B8F">
      <w:pPr>
        <w:spacing w:line="480" w:lineRule="auto"/>
      </w:pPr>
      <w:r>
        <w:t>First, the</w:t>
      </w:r>
      <w:r w:rsidRPr="00DF7817">
        <w:t xml:space="preserve"> </w:t>
      </w:r>
      <w:r w:rsidR="004A11CD" w:rsidRPr="00DF7817">
        <w:t xml:space="preserve">interviews revealed that </w:t>
      </w:r>
      <w:r>
        <w:t xml:space="preserve">most </w:t>
      </w:r>
      <w:r w:rsidR="00642A0D">
        <w:t xml:space="preserve">doctoral students </w:t>
      </w:r>
      <w:r>
        <w:t xml:space="preserve">in this study </w:t>
      </w:r>
      <w:r w:rsidR="007A7689">
        <w:t>wanted to engage</w:t>
      </w:r>
      <w:r w:rsidR="0088228D">
        <w:t xml:space="preserve"> in teaching because of the</w:t>
      </w:r>
      <w:r w:rsidR="003219C0">
        <w:t>ir</w:t>
      </w:r>
      <w:r w:rsidR="0088228D">
        <w:t xml:space="preserve"> </w:t>
      </w:r>
      <w:r w:rsidR="003219C0">
        <w:t xml:space="preserve">ambition </w:t>
      </w:r>
      <w:r w:rsidR="00FC7441">
        <w:t xml:space="preserve">to cross the GTA borderland and pursue an </w:t>
      </w:r>
      <w:r w:rsidR="003219C0">
        <w:t>academic career:</w:t>
      </w:r>
      <w:r w:rsidR="0088228D">
        <w:t xml:space="preserve"> </w:t>
      </w:r>
    </w:p>
    <w:p w14:paraId="1AFD6609" w14:textId="07381EC3" w:rsidR="0088228D" w:rsidRDefault="0088228D" w:rsidP="0018640D">
      <w:pPr>
        <w:pStyle w:val="Displayedquotation"/>
      </w:pPr>
      <w:r>
        <w:t>Like, I think that I felt that a career in academia and teaching could be something I wanted to… Would be a career that I would enjoy, and that I would derive, you know, meaning from, or meaning that I wasn’t getting, necessarily, from my other job. (Participant 7, University B)</w:t>
      </w:r>
    </w:p>
    <w:p w14:paraId="0F00DC49" w14:textId="2F0F8DE6" w:rsidR="007A7689" w:rsidRDefault="007A7689" w:rsidP="005D032B">
      <w:pPr>
        <w:pStyle w:val="Displayedquotation"/>
      </w:pPr>
    </w:p>
    <w:p w14:paraId="02C37EEF" w14:textId="205C1C53" w:rsidR="007A7689" w:rsidRPr="009037A9" w:rsidRDefault="007A7689" w:rsidP="005D032B">
      <w:pPr>
        <w:pStyle w:val="Displayedquotation"/>
        <w:rPr>
          <w:szCs w:val="22"/>
        </w:rPr>
      </w:pPr>
      <w:r w:rsidRPr="00B96B8F">
        <w:rPr>
          <w:szCs w:val="22"/>
        </w:rPr>
        <w:t>Yes</w:t>
      </w:r>
      <w:r w:rsidR="0011792A" w:rsidRPr="00B96B8F">
        <w:rPr>
          <w:szCs w:val="22"/>
        </w:rPr>
        <w:t>, d</w:t>
      </w:r>
      <w:r w:rsidRPr="00B96B8F">
        <w:rPr>
          <w:szCs w:val="22"/>
        </w:rPr>
        <w:t>efinitely it was something that I really wanted to have, the teaching role, because one of the reasons why I wanted to be an academic was the teaching side of it. (Participant 1, University A)</w:t>
      </w:r>
    </w:p>
    <w:p w14:paraId="46C8563D" w14:textId="1E941D6E" w:rsidR="00EE5431" w:rsidRDefault="00781C90" w:rsidP="00271756">
      <w:pPr>
        <w:pStyle w:val="Newparagraph"/>
      </w:pPr>
      <w:r>
        <w:t xml:space="preserve">However, </w:t>
      </w:r>
      <w:r w:rsidR="0011792A">
        <w:t xml:space="preserve">this </w:t>
      </w:r>
      <w:r>
        <w:t xml:space="preserve">desire to </w:t>
      </w:r>
      <w:r w:rsidR="001208C7">
        <w:t xml:space="preserve">enter the GTA borderland </w:t>
      </w:r>
      <w:r>
        <w:t xml:space="preserve">was also </w:t>
      </w:r>
      <w:r w:rsidR="0011792A">
        <w:t>shaped by</w:t>
      </w:r>
      <w:r>
        <w:t xml:space="preserve"> </w:t>
      </w:r>
      <w:r w:rsidR="0011792A">
        <w:t>their awareness of the</w:t>
      </w:r>
      <w:r>
        <w:t xml:space="preserve"> precar</w:t>
      </w:r>
      <w:r w:rsidR="0011792A">
        <w:t xml:space="preserve">ious </w:t>
      </w:r>
      <w:r>
        <w:t>academic job market</w:t>
      </w:r>
      <w:r w:rsidR="0011792A">
        <w:t xml:space="preserve"> (</w:t>
      </w:r>
      <w:r w:rsidR="0011792A" w:rsidRPr="0011792A">
        <w:t xml:space="preserve">Gill and </w:t>
      </w:r>
      <w:proofErr w:type="spellStart"/>
      <w:r w:rsidR="0011792A" w:rsidRPr="0011792A">
        <w:t>Donaghue</w:t>
      </w:r>
      <w:proofErr w:type="spellEnd"/>
      <w:r w:rsidR="0011792A" w:rsidRPr="0011792A">
        <w:t xml:space="preserve"> 2016</w:t>
      </w:r>
      <w:r w:rsidR="0011792A">
        <w:t>; UCU 2018</w:t>
      </w:r>
      <w:r w:rsidR="00F368B8">
        <w:t xml:space="preserve">, </w:t>
      </w:r>
      <w:proofErr w:type="spellStart"/>
      <w:r w:rsidR="00F368B8">
        <w:t>Mantai</w:t>
      </w:r>
      <w:proofErr w:type="spellEnd"/>
      <w:r w:rsidR="00F368B8">
        <w:t>, 2019</w:t>
      </w:r>
      <w:r w:rsidR="0011792A">
        <w:t>)</w:t>
      </w:r>
      <w:r>
        <w:t xml:space="preserve">. For example, </w:t>
      </w:r>
      <w:r w:rsidR="0011792A">
        <w:t xml:space="preserve">the account below </w:t>
      </w:r>
      <w:r w:rsidR="00CF08DB">
        <w:t>illustrates</w:t>
      </w:r>
      <w:r w:rsidR="0011792A">
        <w:t xml:space="preserve"> how doctoral students often choose their places of study based on employability prospects. Teaching experience can therefore be seen as an important aspect of developing one’s employability </w:t>
      </w:r>
      <w:r w:rsidR="003219C0">
        <w:t>in a</w:t>
      </w:r>
      <w:r w:rsidR="002B31CD">
        <w:t xml:space="preserve"> sector that is increasingly competitive (</w:t>
      </w:r>
      <w:proofErr w:type="spellStart"/>
      <w:r w:rsidR="002B31CD" w:rsidRPr="00B96B8F">
        <w:rPr>
          <w:highlight w:val="yellow"/>
        </w:rPr>
        <w:t>Heijst</w:t>
      </w:r>
      <w:r w:rsidR="009037A9" w:rsidRPr="00B96B8F">
        <w:rPr>
          <w:highlight w:val="yellow"/>
        </w:rPr>
        <w:t>r</w:t>
      </w:r>
      <w:r w:rsidR="002B31CD" w:rsidRPr="00B96B8F">
        <w:rPr>
          <w:highlight w:val="yellow"/>
        </w:rPr>
        <w:t>a</w:t>
      </w:r>
      <w:proofErr w:type="spellEnd"/>
      <w:r w:rsidR="002B31CD" w:rsidRPr="002B31CD">
        <w:t xml:space="preserve"> et al 2016</w:t>
      </w:r>
      <w:r w:rsidR="003219C0">
        <w:t xml:space="preserve">; </w:t>
      </w:r>
      <w:proofErr w:type="spellStart"/>
      <w:r w:rsidR="003219C0">
        <w:t>Natanel</w:t>
      </w:r>
      <w:proofErr w:type="spellEnd"/>
      <w:r w:rsidR="003219C0">
        <w:t xml:space="preserve"> 2017</w:t>
      </w:r>
      <w:r w:rsidR="002B31CD">
        <w:t>)</w:t>
      </w:r>
      <w:r w:rsidR="0011792A">
        <w:t xml:space="preserve">. </w:t>
      </w:r>
    </w:p>
    <w:p w14:paraId="4131B916" w14:textId="4812161C" w:rsidR="00781C90" w:rsidRDefault="00781C90" w:rsidP="00271756">
      <w:pPr>
        <w:pStyle w:val="Displayedquotation"/>
      </w:pPr>
      <w:proofErr w:type="gramStart"/>
      <w:r w:rsidRPr="00781C90">
        <w:t>So</w:t>
      </w:r>
      <w:proofErr w:type="gramEnd"/>
      <w:r w:rsidRPr="00781C90">
        <w:t xml:space="preserve"> I spoke to people I knew at other universities, what are the possibilities of, ‘If I came to do a PhD with you, would you allow me to teach?’ A lot of universities there, they’re very, kind of, sketchy as to whether that’s a possibility.  It’s not an assured thing.  For me, having just come out of the job interview process of, ‘You’re over-qualified, you’re under-experienced,’ I didn’t want to go and do yet another qualification. Therefore, come out even more qualified than I was before, but with no experience because I would just be three years / four years older, more qualified and still apparently unemployable. So, for me, I would only ever have </w:t>
      </w:r>
      <w:r w:rsidRPr="00781C90">
        <w:lastRenderedPageBreak/>
        <w:t>done, and I’m only ever doing, a PhD where teaching is a part of it.</w:t>
      </w:r>
      <w:r>
        <w:t xml:space="preserve"> (Participant 4, University A)</w:t>
      </w:r>
    </w:p>
    <w:p w14:paraId="67ED5223" w14:textId="31708C83" w:rsidR="007A7689" w:rsidRDefault="00781C90" w:rsidP="00271756">
      <w:pPr>
        <w:pStyle w:val="Newparagraph"/>
      </w:pPr>
      <w:r>
        <w:t xml:space="preserve">Thus, the access to the </w:t>
      </w:r>
      <w:r w:rsidR="001208C7">
        <w:t xml:space="preserve">GTA </w:t>
      </w:r>
      <w:r>
        <w:t>borderland appear</w:t>
      </w:r>
      <w:r w:rsidR="00AE70B2">
        <w:t>s</w:t>
      </w:r>
      <w:r>
        <w:t xml:space="preserve"> to be essential </w:t>
      </w:r>
      <w:r w:rsidR="00AE70B2">
        <w:t xml:space="preserve">for doctoral students </w:t>
      </w:r>
      <w:r>
        <w:t xml:space="preserve">to </w:t>
      </w:r>
      <w:r w:rsidR="00AE70B2">
        <w:t xml:space="preserve">relieve some of </w:t>
      </w:r>
      <w:r>
        <w:t xml:space="preserve">the precarity that </w:t>
      </w:r>
      <w:r w:rsidR="00AE70B2">
        <w:t>they</w:t>
      </w:r>
      <w:r>
        <w:t xml:space="preserve"> face</w:t>
      </w:r>
      <w:r w:rsidR="00AE70B2">
        <w:t xml:space="preserve"> in the process of becoming academics. </w:t>
      </w:r>
      <w:r>
        <w:t xml:space="preserve">However, </w:t>
      </w:r>
      <w:r w:rsidR="00AE70B2">
        <w:t>gaining access to this</w:t>
      </w:r>
      <w:r w:rsidR="007A7689">
        <w:t xml:space="preserve"> </w:t>
      </w:r>
      <w:r>
        <w:t xml:space="preserve">borderland </w:t>
      </w:r>
      <w:r w:rsidR="007A7689">
        <w:t>w</w:t>
      </w:r>
      <w:r>
        <w:t>as</w:t>
      </w:r>
      <w:r w:rsidR="007A7689">
        <w:t xml:space="preserve"> variable amongst doctoral students</w:t>
      </w:r>
      <w:r w:rsidR="002B31CD">
        <w:t xml:space="preserve"> interviewed</w:t>
      </w:r>
      <w:r w:rsidR="002A678A">
        <w:t xml:space="preserve">. </w:t>
      </w:r>
      <w:r w:rsidR="00D37EE5">
        <w:t xml:space="preserve">Most </w:t>
      </w:r>
      <w:r w:rsidR="00AE70B2">
        <w:t>students</w:t>
      </w:r>
      <w:r w:rsidR="00D37EE5">
        <w:t xml:space="preserve"> </w:t>
      </w:r>
      <w:r w:rsidR="00AE70B2">
        <w:t xml:space="preserve">in this study </w:t>
      </w:r>
      <w:r w:rsidR="00D37EE5">
        <w:t xml:space="preserve">were able to </w:t>
      </w:r>
      <w:r w:rsidR="00AE70B2">
        <w:t xml:space="preserve">gain </w:t>
      </w:r>
      <w:r w:rsidR="00D37EE5">
        <w:t xml:space="preserve">teaching experience </w:t>
      </w:r>
      <w:r w:rsidR="00AE70B2">
        <w:t xml:space="preserve">as a result </w:t>
      </w:r>
      <w:r w:rsidR="00D37EE5">
        <w:t xml:space="preserve">of </w:t>
      </w:r>
      <w:r w:rsidR="00AE70B2">
        <w:t xml:space="preserve">the </w:t>
      </w:r>
      <w:r w:rsidR="00D37EE5">
        <w:t xml:space="preserve">contractual obligations </w:t>
      </w:r>
      <w:r w:rsidR="002B31CD">
        <w:t xml:space="preserve">of their doctoral scholarships </w:t>
      </w:r>
      <w:r w:rsidR="00D37EE5">
        <w:t xml:space="preserve">or by </w:t>
      </w:r>
      <w:r w:rsidR="002A678A">
        <w:t xml:space="preserve">serendipitous association with supervisors who </w:t>
      </w:r>
      <w:r w:rsidR="002B31CD">
        <w:t>created and provided teaching opportunities</w:t>
      </w:r>
      <w:r w:rsidR="00AE70B2">
        <w:t>:</w:t>
      </w:r>
    </w:p>
    <w:p w14:paraId="30377590" w14:textId="5AA5D79F" w:rsidR="009D2A8D" w:rsidRPr="00B96B8F" w:rsidRDefault="009D2A8D" w:rsidP="00271756">
      <w:pPr>
        <w:pStyle w:val="Displayedquotation"/>
        <w:rPr>
          <w:szCs w:val="22"/>
        </w:rPr>
      </w:pPr>
      <w:r w:rsidRPr="00B96B8F">
        <w:rPr>
          <w:szCs w:val="22"/>
        </w:rPr>
        <w:t>In the scholarship breakdown the maximum teaching hours were six hours a week, but I’ve got four hours a week. (Participant 1, University A)</w:t>
      </w:r>
    </w:p>
    <w:p w14:paraId="274DE573" w14:textId="77777777" w:rsidR="009D2A8D" w:rsidRDefault="009D2A8D" w:rsidP="00A221F4">
      <w:pPr>
        <w:pStyle w:val="Displayedquotation"/>
      </w:pPr>
    </w:p>
    <w:p w14:paraId="3AAFA96D" w14:textId="58FBEAE6" w:rsidR="00D37EE5" w:rsidRDefault="009D2A8D" w:rsidP="0030475E">
      <w:pPr>
        <w:pStyle w:val="Displayedquotation"/>
      </w:pPr>
      <w:r w:rsidRPr="009D2A8D">
        <w:t xml:space="preserve">Yes, I was demonstrating on a course that my supervisor was convening. And because I hadn’t passed the confirmation I wasn’t allowed to convey core module content, but I was demonstrating on it with </w:t>
      </w:r>
      <w:proofErr w:type="gramStart"/>
      <w:r w:rsidRPr="009D2A8D">
        <w:t>him.</w:t>
      </w:r>
      <w:r>
        <w:t>[</w:t>
      </w:r>
      <w:proofErr w:type="gramEnd"/>
      <w:r>
        <w:t xml:space="preserve">…] </w:t>
      </w:r>
      <w:r w:rsidRPr="009D2A8D">
        <w:t>Well, I’m not so certain, I probably asked him if I could teach or demonstrate on something</w:t>
      </w:r>
      <w:r w:rsidR="00D37EE5">
        <w:t xml:space="preserve"> (Participant 8, University B)</w:t>
      </w:r>
    </w:p>
    <w:p w14:paraId="37C0EED9" w14:textId="659B5C8F" w:rsidR="00642A0D" w:rsidRDefault="00AE70B2" w:rsidP="0030475E">
      <w:pPr>
        <w:pStyle w:val="Newparagraph"/>
      </w:pPr>
      <w:r>
        <w:t>It is also important to note that the doctoral students</w:t>
      </w:r>
      <w:r w:rsidR="009D3418">
        <w:t xml:space="preserve"> in this study</w:t>
      </w:r>
      <w:r>
        <w:t xml:space="preserve"> were standing for their right to teach</w:t>
      </w:r>
      <w:r w:rsidR="00842CC3">
        <w:t xml:space="preserve"> and occupy the GTA borderland</w:t>
      </w:r>
      <w:r>
        <w:t xml:space="preserve"> and perceived it as an important element of their doctoral training and professional development. However</w:t>
      </w:r>
      <w:r w:rsidR="002A678A">
        <w:t xml:space="preserve">, </w:t>
      </w:r>
      <w:r>
        <w:t>this uneven access to teaching</w:t>
      </w:r>
      <w:r w:rsidR="00CC15C5">
        <w:t>,</w:t>
      </w:r>
      <w:r>
        <w:t xml:space="preserve"> where some students rel</w:t>
      </w:r>
      <w:r w:rsidR="002B31CD">
        <w:t>ied</w:t>
      </w:r>
      <w:r>
        <w:t xml:space="preserve"> on close contact</w:t>
      </w:r>
      <w:r w:rsidR="00F368B8">
        <w:t>s</w:t>
      </w:r>
      <w:r>
        <w:t xml:space="preserve"> </w:t>
      </w:r>
      <w:r w:rsidR="00F368B8">
        <w:t>such as</w:t>
      </w:r>
      <w:r>
        <w:t xml:space="preserve"> their supervisor to gain teaching experienc</w:t>
      </w:r>
      <w:r w:rsidR="001208C7">
        <w:t>e</w:t>
      </w:r>
      <w:r w:rsidR="00F368B8">
        <w:t xml:space="preserve"> (see also </w:t>
      </w:r>
      <w:proofErr w:type="spellStart"/>
      <w:r w:rsidR="00F368B8">
        <w:t>Maintai</w:t>
      </w:r>
      <w:proofErr w:type="spellEnd"/>
      <w:r w:rsidR="00F368B8">
        <w:t>, 2019)</w:t>
      </w:r>
      <w:r>
        <w:t>,</w:t>
      </w:r>
      <w:r w:rsidR="00CC15C5">
        <w:t xml:space="preserve"> </w:t>
      </w:r>
      <w:r w:rsidR="00851E96">
        <w:t>demonstrate</w:t>
      </w:r>
      <w:r w:rsidR="002B31CD">
        <w:t>s</w:t>
      </w:r>
      <w:r w:rsidR="00851E96">
        <w:t xml:space="preserve"> significant forms of inequality in the </w:t>
      </w:r>
      <w:r w:rsidR="0030475E">
        <w:t xml:space="preserve">borderlands </w:t>
      </w:r>
      <w:r w:rsidR="00851E96">
        <w:t xml:space="preserve">where doctoral students compete for their academic futures. </w:t>
      </w:r>
      <w:r w:rsidR="00F368B8">
        <w:t xml:space="preserve">In other GTA research, doctoral students have also reported how supervisors can stop them from pursuing teaching by suggesting they concentrate on their research (see for example, Beaton, 2017). </w:t>
      </w:r>
      <w:r w:rsidR="00851E96">
        <w:t xml:space="preserve">It is evident that </w:t>
      </w:r>
      <w:r w:rsidR="00CC15C5">
        <w:t>so</w:t>
      </w:r>
      <w:r w:rsidR="002A678A">
        <w:t xml:space="preserve">me doctoral students </w:t>
      </w:r>
      <w:r w:rsidR="00851E96">
        <w:t>– particularly those without the s</w:t>
      </w:r>
      <w:r w:rsidR="00F368B8">
        <w:t>tudents</w:t>
      </w:r>
      <w:r w:rsidR="00851E96">
        <w:t xml:space="preserve">hip requirement to teach – are </w:t>
      </w:r>
      <w:r w:rsidR="002A678A">
        <w:t xml:space="preserve">in a more vulnerable </w:t>
      </w:r>
      <w:r w:rsidR="002B31CD">
        <w:t xml:space="preserve">and </w:t>
      </w:r>
      <w:r w:rsidR="002A678A">
        <w:lastRenderedPageBreak/>
        <w:t xml:space="preserve">precarious position </w:t>
      </w:r>
      <w:r w:rsidR="002B31CD">
        <w:t>to access</w:t>
      </w:r>
      <w:r w:rsidR="00851E96">
        <w:t xml:space="preserve"> </w:t>
      </w:r>
      <w:r w:rsidR="00EE5431">
        <w:t xml:space="preserve">the </w:t>
      </w:r>
      <w:r w:rsidR="00F368B8">
        <w:t xml:space="preserve">GTA </w:t>
      </w:r>
      <w:r w:rsidR="00EE5431">
        <w:t xml:space="preserve">borderland </w:t>
      </w:r>
      <w:r w:rsidR="00851E96">
        <w:t>and to develop their teaching profile. Teaching opportunities</w:t>
      </w:r>
      <w:r w:rsidR="003219C0">
        <w:t xml:space="preserve"> in the participants’ experiences</w:t>
      </w:r>
      <w:r w:rsidR="00851E96">
        <w:t xml:space="preserve"> therefore function as a kind of border</w:t>
      </w:r>
      <w:r w:rsidR="003219C0">
        <w:t xml:space="preserve"> to successful academic future</w:t>
      </w:r>
      <w:r w:rsidR="00851E96">
        <w:t xml:space="preserve">. </w:t>
      </w:r>
      <w:proofErr w:type="spellStart"/>
      <w:r w:rsidR="00851E96">
        <w:t>E</w:t>
      </w:r>
      <w:r w:rsidR="00851E96" w:rsidRPr="00851E96">
        <w:t>lenes</w:t>
      </w:r>
      <w:proofErr w:type="spellEnd"/>
      <w:r w:rsidR="00851E96" w:rsidRPr="00851E96">
        <w:t xml:space="preserve"> and Delgado Bernal (2009)</w:t>
      </w:r>
      <w:r w:rsidR="0041652A">
        <w:t xml:space="preserve"> </w:t>
      </w:r>
      <w:r w:rsidR="00851E96">
        <w:t xml:space="preserve">explain </w:t>
      </w:r>
      <w:r w:rsidR="00F368B8">
        <w:t xml:space="preserve">that </w:t>
      </w:r>
      <w:r w:rsidR="00851E96">
        <w:t xml:space="preserve">the role of </w:t>
      </w:r>
      <w:r w:rsidR="0041652A">
        <w:t xml:space="preserve">a geographical </w:t>
      </w:r>
      <w:r w:rsidR="00851E96">
        <w:t>border</w:t>
      </w:r>
      <w:r w:rsidR="0041652A">
        <w:t xml:space="preserve"> in borderland theory</w:t>
      </w:r>
      <w:r w:rsidR="00851E96">
        <w:t xml:space="preserve"> designate</w:t>
      </w:r>
      <w:r w:rsidR="0041652A">
        <w:t>s</w:t>
      </w:r>
      <w:r w:rsidR="00851E96">
        <w:t xml:space="preserve"> who can and cannot legitimately enter and occupy certain spaces</w:t>
      </w:r>
      <w:r w:rsidR="0041652A">
        <w:t xml:space="preserve">; </w:t>
      </w:r>
      <w:proofErr w:type="gramStart"/>
      <w:r w:rsidR="0041652A">
        <w:t>similarly</w:t>
      </w:r>
      <w:proofErr w:type="gramEnd"/>
      <w:r w:rsidR="0041652A">
        <w:t xml:space="preserve"> these GTAs narratives demonstrate that a border exists around the borderland and a gatekeeper sponsor such as through a supervisor or a studentship provides the legitimate pathway to enter this territory</w:t>
      </w:r>
      <w:r w:rsidR="00851E96">
        <w:t>.</w:t>
      </w:r>
      <w:r w:rsidR="00F368B8">
        <w:t xml:space="preserve"> </w:t>
      </w:r>
    </w:p>
    <w:p w14:paraId="4A583360" w14:textId="29BCBAD0" w:rsidR="002F616F" w:rsidRDefault="002F616F" w:rsidP="00B96B8F"/>
    <w:p w14:paraId="485799CD" w14:textId="10B33657" w:rsidR="002F616F" w:rsidRPr="009D2A8D" w:rsidRDefault="00CC6C2D" w:rsidP="00B96B8F">
      <w:pPr>
        <w:rPr>
          <w:b/>
          <w:bCs/>
          <w:i/>
          <w:iCs/>
        </w:rPr>
      </w:pPr>
      <w:r w:rsidRPr="009D2A8D">
        <w:rPr>
          <w:b/>
          <w:bCs/>
          <w:i/>
          <w:iCs/>
        </w:rPr>
        <w:t xml:space="preserve">Experiencing </w:t>
      </w:r>
      <w:r w:rsidR="009D2A8D" w:rsidRPr="009D2A8D">
        <w:rPr>
          <w:b/>
          <w:bCs/>
          <w:i/>
          <w:iCs/>
        </w:rPr>
        <w:t>L</w:t>
      </w:r>
      <w:r w:rsidRPr="009D2A8D">
        <w:rPr>
          <w:b/>
          <w:bCs/>
          <w:i/>
          <w:iCs/>
        </w:rPr>
        <w:t>iminality in the Borderland</w:t>
      </w:r>
    </w:p>
    <w:p w14:paraId="0231B799" w14:textId="3882B57A" w:rsidR="009D2A8D" w:rsidRPr="009D2A8D" w:rsidRDefault="00B86F1C" w:rsidP="0018640D">
      <w:pPr>
        <w:pStyle w:val="Paragraph"/>
      </w:pPr>
      <w:r>
        <w:t xml:space="preserve">In the GTA borderland, it is where </w:t>
      </w:r>
      <w:r w:rsidR="009D2A8D" w:rsidRPr="009D2A8D">
        <w:t xml:space="preserve">doctoral students </w:t>
      </w:r>
      <w:r>
        <w:t>begin to create and experience their hybrid identities of student-teacher-research</w:t>
      </w:r>
      <w:r w:rsidR="009037A9">
        <w:t xml:space="preserve">. </w:t>
      </w:r>
      <w:r w:rsidR="009037A9" w:rsidRPr="00B96B8F">
        <w:rPr>
          <w:highlight w:val="yellow"/>
        </w:rPr>
        <w:t>They experience</w:t>
      </w:r>
      <w:r w:rsidR="009037A9">
        <w:rPr>
          <w:highlight w:val="yellow"/>
        </w:rPr>
        <w:t xml:space="preserve">d </w:t>
      </w:r>
      <w:r w:rsidR="009D2A8D" w:rsidRPr="00B96B8F">
        <w:rPr>
          <w:highlight w:val="yellow"/>
        </w:rPr>
        <w:t xml:space="preserve">teaching </w:t>
      </w:r>
      <w:r w:rsidR="009037A9" w:rsidRPr="00B96B8F">
        <w:rPr>
          <w:highlight w:val="yellow"/>
        </w:rPr>
        <w:t>to be</w:t>
      </w:r>
      <w:r w:rsidR="009D2A8D" w:rsidRPr="009D2A8D">
        <w:t xml:space="preserve"> challenging and different from what they were expecting:</w:t>
      </w:r>
    </w:p>
    <w:p w14:paraId="7D8759CB" w14:textId="542D79BF" w:rsidR="009D2A8D" w:rsidRDefault="009D2A8D" w:rsidP="005D032B">
      <w:pPr>
        <w:pStyle w:val="Displayedquotation"/>
      </w:pPr>
      <w:r>
        <w:t>I was hoping to see some students like that, challenging me and leaving me speechless, but that didn’t happen, therefore I realised that there is a need that I have to be more innovative and creative in my sessions, and then, yes, preparation started to take so much time. (Participant 1, University A)</w:t>
      </w:r>
    </w:p>
    <w:p w14:paraId="57D65906" w14:textId="320977F7" w:rsidR="009D2A8D" w:rsidRDefault="009D2A8D" w:rsidP="005D032B">
      <w:pPr>
        <w:pStyle w:val="Displayedquotation"/>
        <w:rPr>
          <w:highlight w:val="yellow"/>
        </w:rPr>
      </w:pPr>
    </w:p>
    <w:p w14:paraId="304C02D7" w14:textId="704BC723" w:rsidR="009D2A8D" w:rsidRDefault="009D2A8D" w:rsidP="00271756">
      <w:pPr>
        <w:pStyle w:val="Displayedquotation"/>
        <w:rPr>
          <w:highlight w:val="yellow"/>
        </w:rPr>
      </w:pPr>
      <w:r w:rsidRPr="009D2A8D">
        <w:t>I found the debates interesting, and the complexity of the teaching environment, and the, sort of, I don’t know, unpredictable nature of it, in terms of, you know, different… You can deliver the same class, or the same seminar plan, to three classes, and it will go differently in each one.</w:t>
      </w:r>
      <w:r>
        <w:t xml:space="preserve"> (Participant 7, University B)</w:t>
      </w:r>
    </w:p>
    <w:p w14:paraId="32E1AD37" w14:textId="77777777" w:rsidR="009D2A8D" w:rsidRDefault="009D2A8D" w:rsidP="00271756">
      <w:pPr>
        <w:pStyle w:val="Displayedquotation"/>
        <w:rPr>
          <w:highlight w:val="yellow"/>
        </w:rPr>
      </w:pPr>
    </w:p>
    <w:p w14:paraId="7C4B92D2" w14:textId="7DBAED0C" w:rsidR="009D2A8D" w:rsidRDefault="009D2A8D" w:rsidP="00A221F4">
      <w:pPr>
        <w:pStyle w:val="Displayedquotation"/>
        <w:rPr>
          <w:highlight w:val="yellow"/>
        </w:rPr>
      </w:pPr>
      <w:r>
        <w:t>I never let anybody down anyway, but if students ask me for help, ‘Oh yes, no problem</w:t>
      </w:r>
      <w:r w:rsidR="009037A9">
        <w:t xml:space="preserve">’. </w:t>
      </w:r>
      <w:r>
        <w:t xml:space="preserve">Then there are certain points in the year that, ‘Oh yes, no problem,’ becomes days on end when I don’t do anything other than help students, which is part of my job, but it isn’t my main job.  That caused me, kind of, a bit of stress, that when I realised </w:t>
      </w:r>
      <w:proofErr w:type="gramStart"/>
      <w:r>
        <w:t>that,</w:t>
      </w:r>
      <w:proofErr w:type="gramEnd"/>
      <w:r>
        <w:t xml:space="preserve"> ‘Actually, I can’t solve these problems for you’</w:t>
      </w:r>
      <w:r w:rsidR="009037A9">
        <w:t>.</w:t>
      </w:r>
      <w:r>
        <w:t xml:space="preserve"> (Participant 4, University A)</w:t>
      </w:r>
    </w:p>
    <w:p w14:paraId="419EA21E" w14:textId="47D5D37A" w:rsidR="009D2A8D" w:rsidRPr="009D2A8D" w:rsidRDefault="009D2A8D" w:rsidP="0030475E">
      <w:pPr>
        <w:pStyle w:val="Newparagraph"/>
      </w:pPr>
      <w:r w:rsidRPr="009D2A8D">
        <w:lastRenderedPageBreak/>
        <w:t>Doctoral students who were engaging with teaching were thus entering a liminal state which is stressful as it requires them to navigate new discourse communities with diverse norms and expectations (Land, Rattray and Vivian 2014). The</w:t>
      </w:r>
      <w:r w:rsidR="00B86F1C">
        <w:t xml:space="preserve"> GTA borderland</w:t>
      </w:r>
      <w:r w:rsidRPr="009D2A8D">
        <w:t xml:space="preserve"> became</w:t>
      </w:r>
      <w:r w:rsidR="00B86F1C">
        <w:t xml:space="preserve"> a place for</w:t>
      </w:r>
      <w:r w:rsidRPr="009D2A8D">
        <w:t xml:space="preserve"> transformative experience </w:t>
      </w:r>
      <w:r w:rsidR="00B86F1C">
        <w:t xml:space="preserve">for doctoral students </w:t>
      </w:r>
      <w:r w:rsidRPr="009D2A8D">
        <w:t>in their process of becoming future academics (Meyer and Land. 2005).</w:t>
      </w:r>
      <w:r w:rsidR="009037A9">
        <w:t xml:space="preserve"> </w:t>
      </w:r>
      <w:r w:rsidRPr="009D2A8D">
        <w:t xml:space="preserve">However, there was a recognition that being </w:t>
      </w:r>
      <w:r w:rsidR="00B86F1C">
        <w:t xml:space="preserve">in the </w:t>
      </w:r>
      <w:r w:rsidRPr="009D2A8D">
        <w:t xml:space="preserve">GTA </w:t>
      </w:r>
      <w:r w:rsidR="00B86F1C">
        <w:t>borderland created confusion</w:t>
      </w:r>
      <w:r w:rsidR="00460AD1">
        <w:t>,</w:t>
      </w:r>
      <w:r w:rsidR="005F2B54">
        <w:t xml:space="preserve"> conflict</w:t>
      </w:r>
      <w:r w:rsidR="00460AD1">
        <w:t xml:space="preserve"> and struggles</w:t>
      </w:r>
      <w:r w:rsidR="005F2B54">
        <w:t xml:space="preserve"> </w:t>
      </w:r>
      <w:r w:rsidR="00B86F1C">
        <w:t>in</w:t>
      </w:r>
      <w:r w:rsidRPr="009D2A8D">
        <w:t xml:space="preserve"> their </w:t>
      </w:r>
      <w:r>
        <w:t>different roles and identities</w:t>
      </w:r>
      <w:r w:rsidRPr="009D2A8D">
        <w:t>:</w:t>
      </w:r>
    </w:p>
    <w:p w14:paraId="19DF2759" w14:textId="711ED824" w:rsidR="009D2A8D" w:rsidRPr="009D2A8D" w:rsidRDefault="009D2A8D" w:rsidP="0030475E">
      <w:pPr>
        <w:pStyle w:val="Displayedquotation"/>
      </w:pPr>
      <w:r w:rsidRPr="009D2A8D">
        <w:t xml:space="preserve">Yes. </w:t>
      </w:r>
      <w:proofErr w:type="gramStart"/>
      <w:r w:rsidRPr="009D2A8D">
        <w:t>So</w:t>
      </w:r>
      <w:proofErr w:type="gramEnd"/>
      <w:r w:rsidRPr="009D2A8D">
        <w:t xml:space="preserve"> it felt that it was, kind of, eating too much into the time I would want to be spending on my research. That was the realisation of, ‘I’m not doing as much research as I would like, therefore-,’ (Participant 4, University A)</w:t>
      </w:r>
    </w:p>
    <w:p w14:paraId="35FF5EEA" w14:textId="20E9054F" w:rsidR="009D2A8D" w:rsidRPr="009D2A8D" w:rsidRDefault="009D2A8D">
      <w:pPr>
        <w:pStyle w:val="Displayedquotation"/>
      </w:pPr>
    </w:p>
    <w:p w14:paraId="267D7A6C" w14:textId="3C3442BB" w:rsidR="009D2A8D" w:rsidRDefault="009D2A8D">
      <w:pPr>
        <w:pStyle w:val="Displayedquotation"/>
      </w:pPr>
      <w:r w:rsidRPr="009D2A8D">
        <w:t>I suppose it was kind of a balancing act preparing the work and my own research at the same time, but I think because from the start I knew what day I was teaching, because obviously I had to have office hour as well, trying to work out, ‘Well I’ll set that day aside just to do teaching work, to do the prep, to do the marking, to set the assignments.’ (Participant 3, University A)</w:t>
      </w:r>
    </w:p>
    <w:p w14:paraId="3BF0C16C" w14:textId="1E391CA3" w:rsidR="009D2A8D" w:rsidRDefault="009D2A8D">
      <w:pPr>
        <w:pStyle w:val="Displayedquotation"/>
      </w:pPr>
    </w:p>
    <w:p w14:paraId="100C48DF" w14:textId="6A741D05" w:rsidR="009D2A8D" w:rsidRPr="009D2A8D" w:rsidRDefault="009D2A8D">
      <w:pPr>
        <w:pStyle w:val="Displayedquotation"/>
      </w:pPr>
      <w:r w:rsidRPr="009D2A8D">
        <w:t>It’s like living in limbo at the moment because when I’m with my students I am like an adult and a teacher, and when I’m with my supervisors I’m still technically a student so I also fall into the student part of it and I feel the same insecurities, anxieties, with my students.  I don’t know exactly what I can say about that teaching.</w:t>
      </w:r>
      <w:r>
        <w:t xml:space="preserve"> (Participant 1, University A)</w:t>
      </w:r>
    </w:p>
    <w:p w14:paraId="5F302199" w14:textId="00630CA0" w:rsidR="00851E96" w:rsidRPr="009D2A8D" w:rsidRDefault="005F2B54">
      <w:pPr>
        <w:pStyle w:val="Newparagraph"/>
      </w:pPr>
      <w:r>
        <w:t xml:space="preserve">Participant 1 </w:t>
      </w:r>
      <w:r w:rsidR="00241EEA">
        <w:t xml:space="preserve">(above) </w:t>
      </w:r>
      <w:r>
        <w:t xml:space="preserve">demonstrates the identity “limbo” </w:t>
      </w:r>
      <w:r w:rsidR="00241EEA">
        <w:t xml:space="preserve">that occurs </w:t>
      </w:r>
      <w:r>
        <w:t>in a GTA borderland clearly</w:t>
      </w:r>
      <w:r w:rsidR="00241EEA">
        <w:t xml:space="preserve">. She </w:t>
      </w:r>
      <w:r>
        <w:t>shows how the identity that she foregrounds depends on a power relationship</w:t>
      </w:r>
      <w:r w:rsidR="00241EEA">
        <w:t xml:space="preserve"> between herself and her supervisors (student identity), and herself and her students (teacher identity). This hybrid identity allows her to understand simultaneously </w:t>
      </w:r>
      <w:r w:rsidR="000766F7">
        <w:t>her</w:t>
      </w:r>
      <w:r w:rsidR="004545F7">
        <w:t xml:space="preserve"> </w:t>
      </w:r>
      <w:r w:rsidR="000766F7">
        <w:t>identit</w:t>
      </w:r>
      <w:r w:rsidR="004545F7">
        <w:t>ies</w:t>
      </w:r>
      <w:r w:rsidR="000766F7">
        <w:t xml:space="preserve"> </w:t>
      </w:r>
      <w:r w:rsidR="00241EEA">
        <w:t xml:space="preserve">of </w:t>
      </w:r>
      <w:r w:rsidR="004545F7">
        <w:t xml:space="preserve">being </w:t>
      </w:r>
      <w:r w:rsidR="00241EEA">
        <w:t xml:space="preserve">a student and a teacher. </w:t>
      </w:r>
      <w:r w:rsidR="009E30B0">
        <w:t>Further, both Participants 1 and 4,</w:t>
      </w:r>
      <w:r w:rsidR="000766F7">
        <w:t xml:space="preserve"> </w:t>
      </w:r>
      <w:r w:rsidR="009E30B0">
        <w:t>allude to the difficulty in balancing their time</w:t>
      </w:r>
      <w:r w:rsidR="004545F7">
        <w:t>. W</w:t>
      </w:r>
      <w:r w:rsidR="009E30B0">
        <w:t xml:space="preserve">ithout </w:t>
      </w:r>
      <w:r w:rsidR="004545F7">
        <w:t xml:space="preserve">the </w:t>
      </w:r>
      <w:r w:rsidR="009E30B0">
        <w:t xml:space="preserve">protection of employment law and unionisation, it is likely that GTAs can be taken advantage of </w:t>
      </w:r>
      <w:r w:rsidR="009E30B0">
        <w:lastRenderedPageBreak/>
        <w:t xml:space="preserve">(Vaughn, 1998). </w:t>
      </w:r>
      <w:r w:rsidR="007434CC">
        <w:t>In the UK, GTAs</w:t>
      </w:r>
      <w:r w:rsidR="00BF6E62">
        <w:t>, whose teaching does not form part of studentships,</w:t>
      </w:r>
      <w:r w:rsidR="007434CC">
        <w:t xml:space="preserve"> have recently </w:t>
      </w:r>
      <w:r w:rsidR="00BF6E62">
        <w:t>been able</w:t>
      </w:r>
      <w:r w:rsidR="007434CC">
        <w:t xml:space="preserve"> </w:t>
      </w:r>
      <w:r w:rsidR="00BF6E62">
        <w:t>to join one of the</w:t>
      </w:r>
      <w:r w:rsidR="007434CC">
        <w:t xml:space="preserve"> academic unio</w:t>
      </w:r>
      <w:r w:rsidR="00BF6E62">
        <w:t>ns</w:t>
      </w:r>
      <w:r w:rsidR="007434CC">
        <w:t xml:space="preserve"> for free</w:t>
      </w:r>
      <w:r w:rsidR="004545F7">
        <w:t>,</w:t>
      </w:r>
      <w:r w:rsidR="007434CC">
        <w:t xml:space="preserve"> but th</w:t>
      </w:r>
      <w:r w:rsidR="00BF6E62">
        <w:t>eir rights are still limited and dependent on their institution (UCU, 2020b).</w:t>
      </w:r>
      <w:r w:rsidR="007434CC">
        <w:t xml:space="preserve"> </w:t>
      </w:r>
      <w:r w:rsidR="009E30B0">
        <w:t xml:space="preserve"> </w:t>
      </w:r>
      <w:r w:rsidR="009D2A8D" w:rsidRPr="009D2A8D">
        <w:t>Hence, undertaking a GTA role clearly becomes the borderland for doctoral students where they fluctuate between two worlds and where the belonging</w:t>
      </w:r>
      <w:r w:rsidR="000766F7">
        <w:t xml:space="preserve"> (or lack of)</w:t>
      </w:r>
      <w:r w:rsidR="009D2A8D" w:rsidRPr="009D2A8D">
        <w:t xml:space="preserve"> bec</w:t>
      </w:r>
      <w:r w:rsidR="000766F7">
        <w:t>o</w:t>
      </w:r>
      <w:r w:rsidR="009D2A8D" w:rsidRPr="009D2A8D">
        <w:t>me</w:t>
      </w:r>
      <w:r w:rsidR="000766F7">
        <w:t>s</w:t>
      </w:r>
      <w:r w:rsidR="009D2A8D" w:rsidRPr="009D2A8D">
        <w:t xml:space="preserve"> a key issue (Anzaldua 1987). </w:t>
      </w:r>
      <w:r w:rsidR="009E30B0">
        <w:t xml:space="preserve">Just like the Mexican citizens in Anzaldua’s </w:t>
      </w:r>
      <w:proofErr w:type="spellStart"/>
      <w:r w:rsidR="009E30B0">
        <w:t>Me</w:t>
      </w:r>
      <w:r w:rsidR="00304C19">
        <w:t>zcla</w:t>
      </w:r>
      <w:proofErr w:type="spellEnd"/>
      <w:r w:rsidR="009E30B0">
        <w:t xml:space="preserve">, the legal protections and support that GTAs </w:t>
      </w:r>
      <w:r w:rsidR="000766F7">
        <w:t>receive</w:t>
      </w:r>
      <w:r w:rsidR="009E30B0">
        <w:t xml:space="preserve"> would depend on their “legal citizenship”, and as a GTA their legal protection would be less than as a </w:t>
      </w:r>
      <w:r w:rsidR="000766F7">
        <w:t xml:space="preserve">research </w:t>
      </w:r>
      <w:r w:rsidR="009E30B0">
        <w:t xml:space="preserve">student. </w:t>
      </w:r>
      <w:r w:rsidR="00851E96" w:rsidRPr="009D2A8D">
        <w:t>GTAs are</w:t>
      </w:r>
      <w:r w:rsidR="009D2A8D" w:rsidRPr="009D2A8D">
        <w:t xml:space="preserve"> thus bein</w:t>
      </w:r>
      <w:r w:rsidR="00273744">
        <w:t>g</w:t>
      </w:r>
      <w:r w:rsidR="00851E96" w:rsidRPr="009D2A8D">
        <w:t xml:space="preserve"> ‘cradled in one culture, sandwiched between two cultures, straddling all three cultures and their value systems’ (Anzaldúa, </w:t>
      </w:r>
      <w:r w:rsidR="00304C19">
        <w:t>1989</w:t>
      </w:r>
      <w:r w:rsidR="00851E96" w:rsidRPr="009D2A8D">
        <w:t xml:space="preserve">, p. </w:t>
      </w:r>
      <w:r w:rsidR="00304C19">
        <w:t>78</w:t>
      </w:r>
      <w:r w:rsidR="00851E96" w:rsidRPr="009D2A8D">
        <w:t>).</w:t>
      </w:r>
    </w:p>
    <w:p w14:paraId="0716F1B5" w14:textId="7950E05D" w:rsidR="00D762DC" w:rsidRDefault="00D762DC">
      <w:pPr>
        <w:pStyle w:val="Heading2"/>
      </w:pPr>
      <w:r>
        <w:t>Support in the Borderland</w:t>
      </w:r>
    </w:p>
    <w:p w14:paraId="6B4EB6C4" w14:textId="4983391A" w:rsidR="00781C90" w:rsidRDefault="00D762DC">
      <w:pPr>
        <w:pStyle w:val="Paragraph"/>
      </w:pPr>
      <w:r>
        <w:t xml:space="preserve">In the </w:t>
      </w:r>
      <w:r w:rsidR="00241EEA">
        <w:t xml:space="preserve">GTA </w:t>
      </w:r>
      <w:r>
        <w:t xml:space="preserve">borderland, the support </w:t>
      </w:r>
      <w:r w:rsidR="008474F0">
        <w:t xml:space="preserve">provided to </w:t>
      </w:r>
      <w:r>
        <w:t>doctoral students</w:t>
      </w:r>
      <w:r w:rsidR="008474F0">
        <w:t xml:space="preserve"> </w:t>
      </w:r>
      <w:r>
        <w:t>depend</w:t>
      </w:r>
      <w:r w:rsidR="008474F0">
        <w:t xml:space="preserve">ed </w:t>
      </w:r>
      <w:r>
        <w:t xml:space="preserve">on the </w:t>
      </w:r>
      <w:r w:rsidR="008474F0">
        <w:t>institutional structures</w:t>
      </w:r>
      <w:r>
        <w:t xml:space="preserve"> (such as a structured training programme</w:t>
      </w:r>
      <w:r w:rsidR="008474F0">
        <w:t xml:space="preserve"> via the doctoral </w:t>
      </w:r>
      <w:r w:rsidR="00241EEA">
        <w:t>school</w:t>
      </w:r>
      <w:r>
        <w:t xml:space="preserve">) and informal </w:t>
      </w:r>
      <w:r w:rsidR="008474F0">
        <w:t xml:space="preserve">relationships developed with </w:t>
      </w:r>
      <w:r>
        <w:t xml:space="preserve">supervisors and </w:t>
      </w:r>
      <w:r w:rsidR="001B499C">
        <w:t xml:space="preserve">other teachers in the department. These types of support helped the </w:t>
      </w:r>
      <w:r w:rsidR="008474F0">
        <w:t xml:space="preserve">participants </w:t>
      </w:r>
      <w:r w:rsidR="001B499C">
        <w:t xml:space="preserve">to navigate the </w:t>
      </w:r>
      <w:r w:rsidR="008474F0">
        <w:t xml:space="preserve">liminality of the GTA work and familiarise themselves with diverse discourse </w:t>
      </w:r>
      <w:proofErr w:type="gramStart"/>
      <w:r w:rsidR="008474F0">
        <w:t>communities</w:t>
      </w:r>
      <w:proofErr w:type="gramEnd"/>
      <w:r w:rsidR="008474F0">
        <w:t xml:space="preserve"> characteristic to liminal spaces (</w:t>
      </w:r>
      <w:r w:rsidR="008474F0" w:rsidRPr="008474F0">
        <w:t>Land, Rattray and Vivian 2014</w:t>
      </w:r>
      <w:r w:rsidR="008474F0">
        <w:t>)</w:t>
      </w:r>
      <w:r w:rsidR="001B499C">
        <w:t xml:space="preserve">. For example, within the structured programme in University B, doctoral students were able to reflect on their teaching </w:t>
      </w:r>
      <w:r w:rsidR="008474F0">
        <w:t>which helped to</w:t>
      </w:r>
      <w:r w:rsidR="001B499C">
        <w:t xml:space="preserve"> develop</w:t>
      </w:r>
      <w:r w:rsidR="008474F0">
        <w:t xml:space="preserve"> </w:t>
      </w:r>
      <w:r w:rsidR="001B499C">
        <w:t xml:space="preserve">their </w:t>
      </w:r>
      <w:r w:rsidR="008474F0">
        <w:t xml:space="preserve">teacher </w:t>
      </w:r>
      <w:r w:rsidR="001B499C">
        <w:t xml:space="preserve">identity </w:t>
      </w:r>
      <w:r w:rsidR="008474F0">
        <w:t>and</w:t>
      </w:r>
      <w:r w:rsidR="001B499C">
        <w:t xml:space="preserve"> confidence: </w:t>
      </w:r>
    </w:p>
    <w:p w14:paraId="630DE4DE" w14:textId="32544ADB" w:rsidR="001B499C" w:rsidRDefault="008474F0">
      <w:pPr>
        <w:pStyle w:val="Displayedquotation"/>
      </w:pPr>
      <w:r>
        <w:t>…</w:t>
      </w:r>
      <w:r w:rsidR="001B499C" w:rsidRPr="000C0483">
        <w:t xml:space="preserve">I think the </w:t>
      </w:r>
      <w:proofErr w:type="spellStart"/>
      <w:r w:rsidR="001B499C">
        <w:t>GradCert</w:t>
      </w:r>
      <w:proofErr w:type="spellEnd"/>
      <w:r w:rsidR="001B499C">
        <w:t xml:space="preserve"> </w:t>
      </w:r>
      <w:r w:rsidR="001B499C" w:rsidRPr="000C0483">
        <w:t xml:space="preserve">provoked a lot of self-reflection about my teaching. I felt quite self-aware. I mean, you know, it’s a good thing. I mean, it’s… And, I suppose, in a sense, it didn’t make me afraid to fail, because it was a good way of showing how, you know, even professors and long-established teachers, still encounter the same difficulties that I do. And that, you know, not every seminar goes well, and it is just good to ask questions. And I felt that I could ask those </w:t>
      </w:r>
      <w:r w:rsidR="001B499C" w:rsidRPr="000C0483">
        <w:lastRenderedPageBreak/>
        <w:t xml:space="preserve">questions, actually, during the </w:t>
      </w:r>
      <w:proofErr w:type="spellStart"/>
      <w:r w:rsidR="001B499C" w:rsidRPr="000C0483">
        <w:t>GradCert</w:t>
      </w:r>
      <w:proofErr w:type="spellEnd"/>
      <w:r w:rsidR="001B499C" w:rsidRPr="000C0483">
        <w:t>. So that was good.</w:t>
      </w:r>
      <w:r w:rsidR="001B499C">
        <w:t xml:space="preserve"> (Participant 7, University B)</w:t>
      </w:r>
    </w:p>
    <w:p w14:paraId="6F5147DD" w14:textId="1C3ED183" w:rsidR="001B499C" w:rsidRDefault="001B499C">
      <w:pPr>
        <w:pStyle w:val="Displayedquotation"/>
      </w:pPr>
    </w:p>
    <w:p w14:paraId="30F85B8B" w14:textId="66C891BE" w:rsidR="001B499C" w:rsidRPr="000C0483" w:rsidRDefault="001B499C">
      <w:pPr>
        <w:pStyle w:val="Displayedquotation"/>
      </w:pPr>
      <w:r w:rsidRPr="000C0483">
        <w:t xml:space="preserve">I don’t think I was very confident at the time. It was still the early stages. Whenever I would meet with somebody from – well, with [Programme Leader], I could tell him what I was going through when teaching. He would reassure me that everything was </w:t>
      </w:r>
      <w:proofErr w:type="gramStart"/>
      <w:r w:rsidRPr="000C0483">
        <w:t>fine</w:t>
      </w:r>
      <w:proofErr w:type="gramEnd"/>
      <w:r w:rsidRPr="000C0483">
        <w:t xml:space="preserve"> and I didn’t do anything wrong because at first I wasn’t sure if I was doing the right thing or not and then I would have this validation issue on his part, that I was doing something right. This</w:t>
      </w:r>
      <w:r w:rsidR="008474F0">
        <w:t xml:space="preserve"> [</w:t>
      </w:r>
      <w:proofErr w:type="spellStart"/>
      <w:r w:rsidR="008474F0">
        <w:t>GradCert</w:t>
      </w:r>
      <w:proofErr w:type="spellEnd"/>
      <w:r w:rsidR="008474F0">
        <w:t>]</w:t>
      </w:r>
      <w:r w:rsidRPr="000C0483">
        <w:t xml:space="preserve"> helped me gain some confidence</w:t>
      </w:r>
      <w:r w:rsidR="008474F0">
        <w:t xml:space="preserve">, </w:t>
      </w:r>
      <w:r w:rsidRPr="000C0483">
        <w:t xml:space="preserve">after the modules had </w:t>
      </w:r>
      <w:proofErr w:type="gramStart"/>
      <w:r w:rsidRPr="000C0483">
        <w:t>finished</w:t>
      </w:r>
      <w:proofErr w:type="gramEnd"/>
      <w:r w:rsidRPr="000C0483">
        <w:t xml:space="preserve"> I think, or at least after the first module had finished.</w:t>
      </w:r>
      <w:r>
        <w:t xml:space="preserve"> (Participant 5, University B)</w:t>
      </w:r>
    </w:p>
    <w:p w14:paraId="155D6BA7" w14:textId="4A32836B" w:rsidR="00E43563" w:rsidRDefault="008474F0" w:rsidP="00B96B8F">
      <w:pPr>
        <w:spacing w:line="480" w:lineRule="auto"/>
      </w:pPr>
      <w:r>
        <w:t>Furthermore, t</w:t>
      </w:r>
      <w:r w:rsidR="00EB6BFE">
        <w:t xml:space="preserve">he structured programme </w:t>
      </w:r>
      <w:r>
        <w:t xml:space="preserve">enabled </w:t>
      </w:r>
      <w:r w:rsidR="00EB6BFE">
        <w:t xml:space="preserve">doctoral students to interact with academics who were already on the other side of </w:t>
      </w:r>
      <w:r>
        <w:t>‘</w:t>
      </w:r>
      <w:r w:rsidR="00EB6BFE">
        <w:t>the border</w:t>
      </w:r>
      <w:r>
        <w:t>’ (</w:t>
      </w:r>
      <w:proofErr w:type="spellStart"/>
      <w:r w:rsidRPr="008474F0">
        <w:t>Elenes</w:t>
      </w:r>
      <w:proofErr w:type="spellEnd"/>
      <w:r w:rsidRPr="008474F0">
        <w:t xml:space="preserve"> and Delgado Bernal</w:t>
      </w:r>
      <w:r w:rsidR="00E43563">
        <w:t>,</w:t>
      </w:r>
      <w:r>
        <w:t xml:space="preserve"> </w:t>
      </w:r>
      <w:r w:rsidRPr="008474F0">
        <w:t>2009</w:t>
      </w:r>
      <w:r>
        <w:t>)</w:t>
      </w:r>
      <w:r w:rsidR="00EB6BFE">
        <w:t xml:space="preserve"> and to meet other doctoral students navigating the borderlands</w:t>
      </w:r>
      <w:r w:rsidR="00A805A2">
        <w:t xml:space="preserve"> which provided them with a sense of belonging and recognition that they were not a lone occupier of the borderland</w:t>
      </w:r>
      <w:r>
        <w:t xml:space="preserve">. It seemed to be essential for the participants to feel part of the community that goes through similar challenges </w:t>
      </w:r>
      <w:r w:rsidR="00E43563">
        <w:t>when legitimising one’s role (</w:t>
      </w:r>
      <w:proofErr w:type="spellStart"/>
      <w:r w:rsidR="00E43563">
        <w:t>Paasi</w:t>
      </w:r>
      <w:proofErr w:type="spellEnd"/>
      <w:r w:rsidR="00E43563">
        <w:t>, 2009)</w:t>
      </w:r>
      <w:r w:rsidR="00BF53C2">
        <w:t>: as</w:t>
      </w:r>
      <w:r w:rsidR="00BF53C2" w:rsidRPr="00BF53C2">
        <w:t xml:space="preserve"> a teacher, researche</w:t>
      </w:r>
      <w:r w:rsidR="00BF53C2">
        <w:t>r</w:t>
      </w:r>
      <w:r w:rsidR="00BF53C2" w:rsidRPr="00BF53C2">
        <w:t xml:space="preserve"> and academic</w:t>
      </w:r>
      <w:r w:rsidR="00BF53C2">
        <w:t xml:space="preserve"> in this study</w:t>
      </w:r>
      <w:r w:rsidR="00241EEA">
        <w:t>:</w:t>
      </w:r>
    </w:p>
    <w:p w14:paraId="45A9CEAC" w14:textId="36272A58" w:rsidR="00EB6BFE" w:rsidRDefault="00EB6BFE" w:rsidP="0018640D">
      <w:pPr>
        <w:pStyle w:val="Displayedquotation"/>
      </w:pPr>
      <w:r>
        <w:t xml:space="preserve">In </w:t>
      </w:r>
      <w:r w:rsidR="00E43563">
        <w:t>L</w:t>
      </w:r>
      <w:r>
        <w:t>aw, because it’s very much your own project, you’re not really collaborating with anyone else on your PhD. People were quite positive about the fact that it was something to come in and meet other people on. Also, to meet people in different parts of the university, doing different subjects. Actually, it was quite useful for your own research. Unlike some of the more science-based subjects, where you’re going in on someone else’s project, in law, you don’t have that automatic support network around you. So, probably not the teaching at all, so much as the actual cross-university meeting people. (Participant 6, University B)</w:t>
      </w:r>
    </w:p>
    <w:p w14:paraId="37D8A63A" w14:textId="4E8BC882" w:rsidR="001B499C" w:rsidRDefault="00EB6BFE" w:rsidP="00B96B8F">
      <w:pPr>
        <w:pStyle w:val="Newparagraph"/>
      </w:pPr>
      <w:r>
        <w:t xml:space="preserve">However, in University A, doctoral students did not have a structured programme </w:t>
      </w:r>
      <w:r w:rsidR="00BF53C2">
        <w:t xml:space="preserve">to attend </w:t>
      </w:r>
      <w:r>
        <w:t xml:space="preserve">and instead sought support from </w:t>
      </w:r>
      <w:r w:rsidR="00BF53C2">
        <w:t xml:space="preserve">significant others </w:t>
      </w:r>
      <w:r w:rsidR="00F86B81">
        <w:t xml:space="preserve">within their </w:t>
      </w:r>
      <w:r w:rsidR="00CF08DB">
        <w:t xml:space="preserve">immediate </w:t>
      </w:r>
      <w:r w:rsidR="00F86B81">
        <w:t>sphere</w:t>
      </w:r>
      <w:r w:rsidR="005374AD">
        <w:t>, usually from the</w:t>
      </w:r>
      <w:r w:rsidR="00BF53C2">
        <w:t>ir</w:t>
      </w:r>
      <w:r w:rsidR="005374AD">
        <w:t xml:space="preserve"> </w:t>
      </w:r>
      <w:r w:rsidR="00BF53C2">
        <w:t>doctoral supervisor or a senior academic leading</w:t>
      </w:r>
      <w:r w:rsidR="005374AD">
        <w:t xml:space="preserve"> the course:</w:t>
      </w:r>
      <w:r w:rsidR="00151F67">
        <w:t xml:space="preserve"> </w:t>
      </w:r>
    </w:p>
    <w:p w14:paraId="2D0FDBD4" w14:textId="14A44541" w:rsidR="00BF53C2" w:rsidRDefault="00BF53C2" w:rsidP="0018640D">
      <w:pPr>
        <w:pStyle w:val="Displayedquotation"/>
      </w:pPr>
      <w:r>
        <w:lastRenderedPageBreak/>
        <w:t>I would definitely go to my supervisor.  I have told him very honestly everything, even the things which I didn’t like about the course, ‘I told you, every week we are doing a different topic, you know?  Things should be related, at least a bit, but after the Christmas break, I found the things were all related’. (Participant 2, University A)</w:t>
      </w:r>
    </w:p>
    <w:p w14:paraId="24C580BB" w14:textId="77777777" w:rsidR="00BF53C2" w:rsidRDefault="00BF53C2" w:rsidP="005D032B">
      <w:pPr>
        <w:pStyle w:val="Displayedquotation"/>
      </w:pPr>
    </w:p>
    <w:p w14:paraId="687BDC4D" w14:textId="7D019651" w:rsidR="005374AD" w:rsidRDefault="00151F67" w:rsidP="005D032B">
      <w:pPr>
        <w:pStyle w:val="Displayedquotation"/>
      </w:pPr>
      <w:r>
        <w:t xml:space="preserve">…the actual subject, what I was doing, was something I have done before and I’m very comfortable doing.  Therefore, it wasn’t something I had to think about.  I knew what I had to do.  It’s taught in conjunction with a colleague here. It’s more a senior colleague.  </w:t>
      </w:r>
      <w:proofErr w:type="gramStart"/>
      <w:r>
        <w:t>So</w:t>
      </w:r>
      <w:proofErr w:type="gramEnd"/>
      <w:r>
        <w:t xml:space="preserve"> he gave me, ‘This is the order I teach it.  You can either follow it, or don’t follow it.’  </w:t>
      </w:r>
      <w:proofErr w:type="gramStart"/>
      <w:r>
        <w:t>So</w:t>
      </w:r>
      <w:proofErr w:type="gramEnd"/>
      <w:r>
        <w:t xml:space="preserve"> this year I’ve followed the same order he’s done. </w:t>
      </w:r>
      <w:r w:rsidR="005374AD">
        <w:t>(</w:t>
      </w:r>
      <w:r>
        <w:t xml:space="preserve">Participant </w:t>
      </w:r>
      <w:r w:rsidR="005374AD">
        <w:t>4, University A)</w:t>
      </w:r>
    </w:p>
    <w:p w14:paraId="3ED31C9F" w14:textId="4FC4F0D7" w:rsidR="00F86B81" w:rsidRDefault="00F86B81" w:rsidP="00271756">
      <w:pPr>
        <w:pStyle w:val="Newparagraph"/>
      </w:pPr>
      <w:r>
        <w:t>I</w:t>
      </w:r>
      <w:r w:rsidR="00CF08DB">
        <w:t>t could be argued that i</w:t>
      </w:r>
      <w:r>
        <w:t xml:space="preserve">n both institutions, doctoral students were able to understand the pragmatics of working </w:t>
      </w:r>
      <w:r w:rsidR="00BF53C2">
        <w:t>on</w:t>
      </w:r>
      <w:r>
        <w:t xml:space="preserve"> borderland</w:t>
      </w:r>
      <w:r w:rsidR="00BF53C2">
        <w:t xml:space="preserve">s where </w:t>
      </w:r>
      <w:r w:rsidR="005C337B">
        <w:t>everyday practices, norms and cultures clash and create conflicting experiences (</w:t>
      </w:r>
      <w:proofErr w:type="spellStart"/>
      <w:r w:rsidR="005C337B">
        <w:t>Darder</w:t>
      </w:r>
      <w:proofErr w:type="spellEnd"/>
      <w:r w:rsidR="005C337B">
        <w:t>, 2012). H</w:t>
      </w:r>
      <w:r>
        <w:t xml:space="preserve">owever, those </w:t>
      </w:r>
      <w:r w:rsidR="005C337B">
        <w:t xml:space="preserve">on </w:t>
      </w:r>
      <w:r>
        <w:t>the structured programme</w:t>
      </w:r>
      <w:r w:rsidR="005C337B">
        <w:t xml:space="preserve"> </w:t>
      </w:r>
      <w:r>
        <w:t>were able to realise that all doctoral students in the borderlands were going through similar experiences</w:t>
      </w:r>
      <w:r w:rsidR="005C337B">
        <w:t>,</w:t>
      </w:r>
      <w:r>
        <w:t xml:space="preserve"> and </w:t>
      </w:r>
      <w:r w:rsidR="005C337B">
        <w:t>they found i</w:t>
      </w:r>
      <w:r w:rsidR="00CF08DB">
        <w:t>t</w:t>
      </w:r>
      <w:r>
        <w:t xml:space="preserve"> </w:t>
      </w:r>
      <w:r w:rsidR="005C337B">
        <w:t>easier to understand and accept difficult teaching encounters:</w:t>
      </w:r>
    </w:p>
    <w:p w14:paraId="2A1631A8" w14:textId="3827F358" w:rsidR="00550BC5" w:rsidRPr="000C0483" w:rsidRDefault="00F86B81" w:rsidP="00271756">
      <w:pPr>
        <w:pStyle w:val="Displayedquotation"/>
      </w:pPr>
      <w:r w:rsidRPr="000C0483">
        <w:t xml:space="preserve">I don’t like to be the centre of attention and when you are in the classroom you have to be. But I think I learned to live with it while I was on the </w:t>
      </w:r>
      <w:proofErr w:type="spellStart"/>
      <w:r w:rsidR="005C337B">
        <w:t>GradCert</w:t>
      </w:r>
      <w:proofErr w:type="spellEnd"/>
      <w:r w:rsidRPr="000C0483">
        <w:t>, that it’s okay to be exposed and it’s okay to be honest and to some extent reveal your vulnerability, to the extent that the students do not take advantage of it. I think it alleviated some of the fears that I had.</w:t>
      </w:r>
      <w:r w:rsidR="000C0483">
        <w:t xml:space="preserve"> (Participant 5, University B)</w:t>
      </w:r>
    </w:p>
    <w:p w14:paraId="1931270C" w14:textId="0EE88C12" w:rsidR="00550BC5" w:rsidRDefault="00550BC5" w:rsidP="00A221F4">
      <w:pPr>
        <w:pStyle w:val="Newparagraph"/>
      </w:pPr>
      <w:r>
        <w:t xml:space="preserve">It is therefore evident that the structured professional development programmes aimed at doctoral students do not prevent or remove difficulties </w:t>
      </w:r>
      <w:r w:rsidR="00D91890">
        <w:t xml:space="preserve">that </w:t>
      </w:r>
      <w:r w:rsidR="00241EEA">
        <w:t>occur in the GTA borderland</w:t>
      </w:r>
      <w:r>
        <w:t xml:space="preserve">. As a liminal experience (Meyer and Land 2005; </w:t>
      </w:r>
      <w:r w:rsidRPr="008474F0">
        <w:t>Land, Rattray and Vivian 2014</w:t>
      </w:r>
      <w:r>
        <w:t>)</w:t>
      </w:r>
      <w:r w:rsidR="00241EEA">
        <w:t>,</w:t>
      </w:r>
      <w:r>
        <w:t xml:space="preserve"> the early teaching encounters inevitably cause uncertainties, stress and issues of belonging as it is part of </w:t>
      </w:r>
      <w:r w:rsidR="00D91890">
        <w:t>the doctoral student</w:t>
      </w:r>
      <w:r>
        <w:t xml:space="preserve"> transition to academic work and practice. However, such programmes appear to provide coordinated support, peer networks and </w:t>
      </w:r>
      <w:r>
        <w:lastRenderedPageBreak/>
        <w:t>sense of belonging that GTAs interviewed in this study highly valued</w:t>
      </w:r>
      <w:r w:rsidR="009D2A8D">
        <w:t xml:space="preserve"> (</w:t>
      </w:r>
      <w:proofErr w:type="spellStart"/>
      <w:r w:rsidR="009D2A8D">
        <w:t>Rienties</w:t>
      </w:r>
      <w:proofErr w:type="spellEnd"/>
      <w:r w:rsidR="009D2A8D">
        <w:t xml:space="preserve"> and </w:t>
      </w:r>
      <w:proofErr w:type="spellStart"/>
      <w:r w:rsidR="009D2A8D">
        <w:t>Hosein</w:t>
      </w:r>
      <w:proofErr w:type="spellEnd"/>
      <w:r w:rsidR="009D2A8D">
        <w:t>, 2015)</w:t>
      </w:r>
      <w:r>
        <w:t xml:space="preserve">. It helped to receive support beyond </w:t>
      </w:r>
      <w:r w:rsidR="00D91890">
        <w:t xml:space="preserve">the immediate academic network that primarily centres around the doctoral supervisor who </w:t>
      </w:r>
      <w:r w:rsidR="00CF08DB">
        <w:t xml:space="preserve">often </w:t>
      </w:r>
      <w:r w:rsidR="00D91890">
        <w:t>acts as a gatekeeper and pastoral care provider</w:t>
      </w:r>
      <w:r w:rsidR="00CF08DB">
        <w:t xml:space="preserve"> (Lee, 2008)</w:t>
      </w:r>
      <w:r w:rsidR="00D91890">
        <w:t>. It is important to note that the lack of or limited access to such structured programmes is likely to make the doctoral students’ successful entrance to academia more difficult as the borders between the academia and doctoral studies are significant in the increasingly competitive and precarious higher education context (</w:t>
      </w:r>
      <w:proofErr w:type="spellStart"/>
      <w:r w:rsidR="00D91890" w:rsidRPr="00D91890">
        <w:t>Bosanquet</w:t>
      </w:r>
      <w:proofErr w:type="spellEnd"/>
      <w:r w:rsidR="00D91890" w:rsidRPr="00D91890">
        <w:t xml:space="preserve"> 2017</w:t>
      </w:r>
      <w:r w:rsidR="00D91890">
        <w:t xml:space="preserve">; </w:t>
      </w:r>
      <w:proofErr w:type="spellStart"/>
      <w:r w:rsidR="00D91890">
        <w:t>Raaper</w:t>
      </w:r>
      <w:proofErr w:type="spellEnd"/>
      <w:r w:rsidR="00D91890">
        <w:t xml:space="preserve"> 2018).</w:t>
      </w:r>
    </w:p>
    <w:p w14:paraId="52431437" w14:textId="0C4CA39F" w:rsidR="00FA39DF" w:rsidRPr="00FA39DF" w:rsidRDefault="000317D8" w:rsidP="00A221F4">
      <w:pPr>
        <w:pStyle w:val="Heading1"/>
      </w:pPr>
      <w:r>
        <w:t>Concluding thoughts and implications</w:t>
      </w:r>
    </w:p>
    <w:p w14:paraId="39D4E34B" w14:textId="0A524D1C" w:rsidR="00897925" w:rsidRDefault="0004010D" w:rsidP="008843CB">
      <w:pPr>
        <w:pStyle w:val="Paragraph"/>
      </w:pPr>
      <w:r>
        <w:t xml:space="preserve">Previous research on GTAs have recognised their plural identities of </w:t>
      </w:r>
      <w:r w:rsidR="008843CB">
        <w:t xml:space="preserve">being </w:t>
      </w:r>
      <w:r>
        <w:t>student</w:t>
      </w:r>
      <w:r w:rsidR="008843CB">
        <w:t xml:space="preserve">, </w:t>
      </w:r>
      <w:r>
        <w:t>researcher</w:t>
      </w:r>
      <w:r w:rsidR="008843CB">
        <w:t xml:space="preserve"> and </w:t>
      </w:r>
      <w:r>
        <w:t xml:space="preserve">teacher (see </w:t>
      </w:r>
      <w:proofErr w:type="spellStart"/>
      <w:r>
        <w:t>Mantai</w:t>
      </w:r>
      <w:proofErr w:type="spellEnd"/>
      <w:r>
        <w:t xml:space="preserve">, 2019; </w:t>
      </w:r>
      <w:proofErr w:type="spellStart"/>
      <w:r w:rsidRPr="008A36F7">
        <w:rPr>
          <w:highlight w:val="yellow"/>
        </w:rPr>
        <w:t>Emmioğlu</w:t>
      </w:r>
      <w:proofErr w:type="spellEnd"/>
      <w:r>
        <w:rPr>
          <w:highlight w:val="yellow"/>
        </w:rPr>
        <w:t xml:space="preserve"> et al, 2</w:t>
      </w:r>
      <w:r w:rsidRPr="008A36F7">
        <w:rPr>
          <w:highlight w:val="yellow"/>
        </w:rPr>
        <w:t>017</w:t>
      </w:r>
      <w:r>
        <w:t xml:space="preserve">). However, most of this research saw these identities as </w:t>
      </w:r>
      <w:r w:rsidR="008843CB">
        <w:t xml:space="preserve">separate and part of </w:t>
      </w:r>
      <w:r>
        <w:t>a journey to the development of an academic identity, almost like a pre-professional academic identity (</w:t>
      </w:r>
      <w:proofErr w:type="spellStart"/>
      <w:r w:rsidRPr="00B96B8F">
        <w:rPr>
          <w:highlight w:val="green"/>
        </w:rPr>
        <w:t>sensu</w:t>
      </w:r>
      <w:proofErr w:type="spellEnd"/>
      <w:r>
        <w:t xml:space="preserve"> Jackson, 2016)</w:t>
      </w:r>
      <w:r w:rsidR="008843CB">
        <w:t>.</w:t>
      </w:r>
      <w:r>
        <w:t xml:space="preserve"> However, by using this approach, research has failed to </w:t>
      </w:r>
      <w:r w:rsidR="008843CB">
        <w:t xml:space="preserve">understand </w:t>
      </w:r>
      <w:r>
        <w:t xml:space="preserve">GTA identities as a hybrid (except perhaps </w:t>
      </w:r>
      <w:proofErr w:type="spellStart"/>
      <w:r>
        <w:t>Winstone</w:t>
      </w:r>
      <w:proofErr w:type="spellEnd"/>
      <w:r>
        <w:t xml:space="preserve"> and Moore, 2017)</w:t>
      </w:r>
      <w:r w:rsidR="008843CB">
        <w:t xml:space="preserve"> and </w:t>
      </w:r>
      <w:r w:rsidR="000106E7">
        <w:t>therefore</w:t>
      </w:r>
      <w:r w:rsidR="008843CB">
        <w:t>, opportunities for GTA support and development may be atomistic, serendipitous rather than holistic and structured</w:t>
      </w:r>
      <w:r>
        <w:t xml:space="preserve">. </w:t>
      </w:r>
      <w:r w:rsidR="009D3418">
        <w:t>We</w:t>
      </w:r>
      <w:r w:rsidR="000106E7">
        <w:t xml:space="preserve"> have</w:t>
      </w:r>
      <w:r>
        <w:t>, hence,</w:t>
      </w:r>
      <w:r w:rsidR="009D3418">
        <w:t xml:space="preserve"> conceptualised GTAs as occupying a temporary borderland</w:t>
      </w:r>
      <w:r w:rsidR="008843CB">
        <w:t xml:space="preserve"> with a hybrid identity of student-researcher-teacher</w:t>
      </w:r>
      <w:r w:rsidR="009D3418">
        <w:t xml:space="preserve">. </w:t>
      </w:r>
      <w:r w:rsidR="006E0995">
        <w:t xml:space="preserve">Through this conceptualisation, we showed how GTAs entrance into this </w:t>
      </w:r>
      <w:r w:rsidR="00B7029C">
        <w:t xml:space="preserve">temporary </w:t>
      </w:r>
      <w:r w:rsidR="006E0995">
        <w:t xml:space="preserve">borderland </w:t>
      </w:r>
      <w:r w:rsidR="008843CB">
        <w:t>i</w:t>
      </w:r>
      <w:r w:rsidR="006E0995">
        <w:t>s uneven and unequal and often, like the Mexican citizens in An</w:t>
      </w:r>
      <w:r w:rsidR="00B7029C">
        <w:t>z</w:t>
      </w:r>
      <w:r w:rsidR="006E0995">
        <w:t>al</w:t>
      </w:r>
      <w:r w:rsidR="00B7029C">
        <w:t>du</w:t>
      </w:r>
      <w:r w:rsidR="006E0995">
        <w:t>a’s borderland theory, the GTA</w:t>
      </w:r>
      <w:r>
        <w:t>s</w:t>
      </w:r>
      <w:r w:rsidR="006E0995">
        <w:t xml:space="preserve"> enter</w:t>
      </w:r>
      <w:r w:rsidR="008843CB">
        <w:t>ed</w:t>
      </w:r>
      <w:r w:rsidR="006E0995">
        <w:t xml:space="preserve"> the borderland to improve their life opportunities because of the employment precarity in the now </w:t>
      </w:r>
      <w:proofErr w:type="spellStart"/>
      <w:r w:rsidR="009D3418">
        <w:t>neoliberalised</w:t>
      </w:r>
      <w:proofErr w:type="spellEnd"/>
      <w:r w:rsidR="009D3418">
        <w:t xml:space="preserve"> higher </w:t>
      </w:r>
      <w:r w:rsidR="006E0995">
        <w:t>education landscape</w:t>
      </w:r>
      <w:r w:rsidR="009D3418">
        <w:t xml:space="preserve">. </w:t>
      </w:r>
      <w:r w:rsidR="00B7029C">
        <w:t>Unlike the hybrid (</w:t>
      </w:r>
      <w:proofErr w:type="gramStart"/>
      <w:r w:rsidR="00B7029C">
        <w:t>i.e.</w:t>
      </w:r>
      <w:proofErr w:type="gramEnd"/>
      <w:r w:rsidR="00B7029C">
        <w:t xml:space="preserve"> the Mestizas) citizens in Anzaldua’s who can occupy their territory permanently, the GTAs precarity is reflected in the temporary nature of their borderland.</w:t>
      </w:r>
    </w:p>
    <w:p w14:paraId="120087CC" w14:textId="343AEBEB" w:rsidR="00897925" w:rsidRDefault="006E0995" w:rsidP="00897925">
      <w:pPr>
        <w:pStyle w:val="Newparagraph"/>
      </w:pPr>
      <w:r>
        <w:lastRenderedPageBreak/>
        <w:t>GTAs</w:t>
      </w:r>
      <w:r w:rsidR="00A805A2">
        <w:t xml:space="preserve"> had similar liminal</w:t>
      </w:r>
      <w:r>
        <w:t xml:space="preserve"> experiences </w:t>
      </w:r>
      <w:r w:rsidR="008843CB">
        <w:t xml:space="preserve">and struggles </w:t>
      </w:r>
      <w:r w:rsidR="000106E7">
        <w:t xml:space="preserve">in </w:t>
      </w:r>
      <w:r w:rsidR="008843CB">
        <w:t xml:space="preserve">making sense of </w:t>
      </w:r>
      <w:r>
        <w:t>their multiple identities in the borderland</w:t>
      </w:r>
      <w:r w:rsidR="00A805A2">
        <w:t xml:space="preserve"> regardless of their </w:t>
      </w:r>
      <w:r>
        <w:t>institutions. However,</w:t>
      </w:r>
      <w:r w:rsidR="008843CB">
        <w:t xml:space="preserve"> GTAs, who were navigating the borderland within an </w:t>
      </w:r>
      <w:r>
        <w:t xml:space="preserve">institution that provided </w:t>
      </w:r>
      <w:r w:rsidR="008843CB">
        <w:t>s</w:t>
      </w:r>
      <w:r>
        <w:t xml:space="preserve">tructured support, </w:t>
      </w:r>
      <w:r w:rsidR="008843CB">
        <w:t xml:space="preserve">felt </w:t>
      </w:r>
      <w:r>
        <w:t>less isolat</w:t>
      </w:r>
      <w:r w:rsidR="008843CB">
        <w:t>ed</w:t>
      </w:r>
      <w:r>
        <w:t xml:space="preserve"> and </w:t>
      </w:r>
      <w:r w:rsidR="008843CB">
        <w:t xml:space="preserve">had </w:t>
      </w:r>
      <w:r>
        <w:t>an increased sense of belonging in the GTA borderland because of meeting other GTAs</w:t>
      </w:r>
      <w:r w:rsidR="00A805A2">
        <w:t xml:space="preserve"> in similar positions, that is, “others like me”</w:t>
      </w:r>
      <w:r w:rsidR="008843CB">
        <w:t>. These GTAs also</w:t>
      </w:r>
      <w:r w:rsidR="0004010D">
        <w:t xml:space="preserve"> recognis</w:t>
      </w:r>
      <w:r w:rsidR="008843CB">
        <w:t>ed</w:t>
      </w:r>
      <w:r w:rsidR="0004010D">
        <w:t xml:space="preserve"> the struggles they face </w:t>
      </w:r>
      <w:r w:rsidR="008843CB">
        <w:t xml:space="preserve">with respect to teaching </w:t>
      </w:r>
      <w:r w:rsidR="0004010D">
        <w:t>were similar to other academics who had already cross the borderland</w:t>
      </w:r>
      <w:r w:rsidR="00A805A2">
        <w:t>. Hence, it is likely if these GTAs do become academics, this hybrid identity would make acculturation into academia easier</w:t>
      </w:r>
      <w:r w:rsidR="0004010D">
        <w:t xml:space="preserve">. </w:t>
      </w:r>
      <w:r w:rsidR="00897925" w:rsidRPr="00DF7817">
        <w:t>Th</w:t>
      </w:r>
      <w:r w:rsidR="00897925">
        <w:t>is</w:t>
      </w:r>
      <w:r w:rsidR="00897925" w:rsidRPr="00DF7817">
        <w:t xml:space="preserve"> </w:t>
      </w:r>
      <w:r w:rsidR="00897925">
        <w:t xml:space="preserve">exploratory project has, hence, highlighted structural inequalities in the support available to GTAs. Thus, </w:t>
      </w:r>
      <w:r w:rsidR="00897925" w:rsidRPr="00DF7817">
        <w:t xml:space="preserve">established doctoral schools </w:t>
      </w:r>
      <w:r w:rsidR="00897925">
        <w:t>with structured professional development programmes appear to be in a better place to</w:t>
      </w:r>
      <w:r w:rsidR="00897925" w:rsidRPr="00DF7817">
        <w:t xml:space="preserve"> offer </w:t>
      </w:r>
      <w:r w:rsidR="00897925">
        <w:t>coordinated</w:t>
      </w:r>
      <w:r w:rsidR="00897925" w:rsidRPr="00DF7817">
        <w:t xml:space="preserve"> guidance </w:t>
      </w:r>
      <w:r w:rsidR="00897925">
        <w:t xml:space="preserve">and networking </w:t>
      </w:r>
      <w:r w:rsidR="00897925" w:rsidRPr="00DF7817">
        <w:t xml:space="preserve">to doctoral students </w:t>
      </w:r>
      <w:r w:rsidR="00897925">
        <w:t>(</w:t>
      </w:r>
      <w:proofErr w:type="spellStart"/>
      <w:r w:rsidR="00897925">
        <w:t>Rienties</w:t>
      </w:r>
      <w:proofErr w:type="spellEnd"/>
      <w:r w:rsidR="00897925">
        <w:t xml:space="preserve"> and </w:t>
      </w:r>
      <w:proofErr w:type="spellStart"/>
      <w:r w:rsidR="00897925">
        <w:t>Hosein</w:t>
      </w:r>
      <w:proofErr w:type="spellEnd"/>
      <w:r w:rsidR="00897925">
        <w:t xml:space="preserve">, 2020) </w:t>
      </w:r>
      <w:r w:rsidR="00897925" w:rsidRPr="00DF7817">
        <w:t>than newer universities with a limited number of doctoral students</w:t>
      </w:r>
      <w:r w:rsidR="00897925">
        <w:t xml:space="preserve"> whose main and often only point of contact is their supervisor and the department. The post-1992 universities that often have limited number of doctoral students may struggle to provide a more organised teaching support by way of a customised programme due to the consequent resource implications. </w:t>
      </w:r>
    </w:p>
    <w:p w14:paraId="194499ED" w14:textId="439D7960" w:rsidR="00DF7817" w:rsidRPr="00DF7817" w:rsidRDefault="00893799" w:rsidP="0030475E">
      <w:pPr>
        <w:pStyle w:val="Newparagraph"/>
      </w:pPr>
      <w:r>
        <w:t>Some</w:t>
      </w:r>
      <w:r w:rsidRPr="00893799">
        <w:t xml:space="preserve"> </w:t>
      </w:r>
      <w:r w:rsidR="008A11DD">
        <w:t xml:space="preserve">successful </w:t>
      </w:r>
      <w:r w:rsidRPr="00893799">
        <w:t xml:space="preserve">examples </w:t>
      </w:r>
      <w:r w:rsidR="008A11DD">
        <w:t>of</w:t>
      </w:r>
      <w:r w:rsidRPr="00893799">
        <w:t xml:space="preserve"> existing GTA development programmes </w:t>
      </w:r>
      <w:r>
        <w:t>(see Chadha 2013; Gunn 2007 and Park 20</w:t>
      </w:r>
      <w:r w:rsidR="001F4A49">
        <w:t>04</w:t>
      </w:r>
      <w:r>
        <w:t xml:space="preserve">) and </w:t>
      </w:r>
      <w:r w:rsidRPr="00893799">
        <w:t xml:space="preserve">professionalisation of graduate teaching (see Winter et al </w:t>
      </w:r>
      <w:r>
        <w:t>2015) can be found in</w:t>
      </w:r>
      <w:r w:rsidRPr="00893799">
        <w:t xml:space="preserve"> </w:t>
      </w:r>
      <w:r>
        <w:t xml:space="preserve">literature. However, </w:t>
      </w:r>
      <w:r w:rsidR="006E3102">
        <w:t xml:space="preserve">there appears to be no organised effort </w:t>
      </w:r>
      <w:r w:rsidR="008A11DD">
        <w:t xml:space="preserve">or </w:t>
      </w:r>
      <w:r w:rsidR="006E3102">
        <w:t>shared understanding of how doctoral students are</w:t>
      </w:r>
      <w:r w:rsidR="008A11DD">
        <w:t xml:space="preserve"> and </w:t>
      </w:r>
      <w:r w:rsidR="006E3102">
        <w:t xml:space="preserve">should be supported in their teaching roles </w:t>
      </w:r>
      <w:r w:rsidR="00897925">
        <w:t>in the GTA borderland</w:t>
      </w:r>
      <w:r w:rsidR="006E3102">
        <w:t>.</w:t>
      </w:r>
      <w:r w:rsidR="00553C59">
        <w:t xml:space="preserve"> </w:t>
      </w:r>
      <w:r w:rsidR="008A11DD">
        <w:t>While the employability metrics of</w:t>
      </w:r>
      <w:r w:rsidR="006E3102">
        <w:t xml:space="preserve"> undergraduate students </w:t>
      </w:r>
      <w:r w:rsidR="008A11DD">
        <w:t>are increasingly important in various quality assurance exercises</w:t>
      </w:r>
      <w:r w:rsidR="006E3102">
        <w:t xml:space="preserve">, </w:t>
      </w:r>
      <w:r w:rsidR="008A11DD">
        <w:t>it is important not to</w:t>
      </w:r>
      <w:r w:rsidR="006E3102">
        <w:t xml:space="preserve"> ignore our responsibility </w:t>
      </w:r>
      <w:r w:rsidR="00994C02">
        <w:t xml:space="preserve">for </w:t>
      </w:r>
      <w:r w:rsidR="006E3102">
        <w:t xml:space="preserve">the holistic development of doctoral students as teachers and researchers to enhance their </w:t>
      </w:r>
      <w:r w:rsidR="006E3102">
        <w:lastRenderedPageBreak/>
        <w:t>employability</w:t>
      </w:r>
      <w:r w:rsidR="008A11DD">
        <w:t xml:space="preserve"> and</w:t>
      </w:r>
      <w:r w:rsidR="00994C02">
        <w:t xml:space="preserve"> support their</w:t>
      </w:r>
      <w:r w:rsidR="008A11DD">
        <w:t xml:space="preserve"> successful transition </w:t>
      </w:r>
      <w:r w:rsidR="009D2A8D">
        <w:t>across the borderland int</w:t>
      </w:r>
      <w:r w:rsidR="008A11DD">
        <w:t>o</w:t>
      </w:r>
      <w:r w:rsidR="009D2A8D">
        <w:t xml:space="preserve"> their </w:t>
      </w:r>
      <w:r w:rsidR="008A11DD">
        <w:t>academic career</w:t>
      </w:r>
      <w:r w:rsidR="006E3102">
        <w:t xml:space="preserve">. </w:t>
      </w:r>
      <w:r w:rsidR="00711544" w:rsidRPr="00DF7817">
        <w:t xml:space="preserve"> </w:t>
      </w:r>
      <w:r w:rsidR="008A11DD">
        <w:t xml:space="preserve">The findings </w:t>
      </w:r>
      <w:r w:rsidR="00711544" w:rsidRPr="00DF7817">
        <w:t xml:space="preserve">suggests that those who had access to </w:t>
      </w:r>
      <w:r w:rsidR="00711544">
        <w:t>teaching</w:t>
      </w:r>
      <w:r w:rsidR="00711544" w:rsidRPr="00DF7817">
        <w:t xml:space="preserve"> course</w:t>
      </w:r>
      <w:r w:rsidR="00711544">
        <w:t>s and formal teaching support</w:t>
      </w:r>
      <w:r w:rsidR="00711544" w:rsidRPr="00DF7817">
        <w:t xml:space="preserve"> </w:t>
      </w:r>
      <w:r w:rsidR="008A11DD">
        <w:t>were better able to enter and cope with the borderlands of academic teaching</w:t>
      </w:r>
      <w:r w:rsidR="00711544" w:rsidRPr="00DF7817">
        <w:t xml:space="preserve">. </w:t>
      </w:r>
      <w:r w:rsidR="006E3102">
        <w:t xml:space="preserve">The sector appears to be falling short in </w:t>
      </w:r>
      <w:r w:rsidR="000106E7">
        <w:t xml:space="preserve">its </w:t>
      </w:r>
      <w:r w:rsidR="006E3102">
        <w:t xml:space="preserve">responsibility towards the professional growth of doctoral student often due to the short-term nature of their teaching engagement. </w:t>
      </w:r>
      <w:r w:rsidR="006F71D2" w:rsidRPr="00DF7817">
        <w:t xml:space="preserve">We need to be mindful as a sector that in trying to meet the learning </w:t>
      </w:r>
      <w:r w:rsidR="008A11DD">
        <w:t xml:space="preserve">and support </w:t>
      </w:r>
      <w:r w:rsidR="006F71D2" w:rsidRPr="00DF7817">
        <w:t xml:space="preserve">needs of undergraduate students, we are not marginalising the developmental needs of another student body, the doctoral students. </w:t>
      </w:r>
      <w:r w:rsidR="00AA6E87" w:rsidRPr="00DF7817">
        <w:t xml:space="preserve">By offering temporary, insecure and/or instrumental support, there is a risk that the </w:t>
      </w:r>
      <w:r w:rsidR="00D53863">
        <w:t xml:space="preserve">GTA borderland becomes </w:t>
      </w:r>
      <w:proofErr w:type="gramStart"/>
      <w:r w:rsidR="00D53863">
        <w:t>a  place</w:t>
      </w:r>
      <w:proofErr w:type="gramEnd"/>
      <w:r w:rsidR="00D53863">
        <w:t xml:space="preserve"> where </w:t>
      </w:r>
      <w:r w:rsidR="00AA6E87" w:rsidRPr="00DF7817">
        <w:t xml:space="preserve">a new generation of academics internalise precarity as </w:t>
      </w:r>
      <w:r w:rsidR="008A11DD">
        <w:t>part of accepted</w:t>
      </w:r>
      <w:r w:rsidR="00AA6E87" w:rsidRPr="00DF7817">
        <w:t xml:space="preserve"> academic life. </w:t>
      </w:r>
    </w:p>
    <w:p w14:paraId="5B9ED42B" w14:textId="26417912" w:rsidR="00897925" w:rsidRDefault="00897925" w:rsidP="00897925">
      <w:pPr>
        <w:pStyle w:val="Newparagraph"/>
      </w:pPr>
      <w:r>
        <w:t>However, this narrative of ‘student as consumer’ appears to focus on the learning needs of undergraduate students, while ignoring the developmental and support needs of doctoral students as they traverse this borderland. In other words, the prevailing discourse of students as consumers can be counterproductive as it does not address the needs of doctoral students who are likely to do a significant amount of undergraduate teaching and student support during their studies.</w:t>
      </w:r>
    </w:p>
    <w:p w14:paraId="59F7963F" w14:textId="1EF3CAE5" w:rsidR="00BB6157" w:rsidRDefault="008A11DD" w:rsidP="0030475E">
      <w:pPr>
        <w:pStyle w:val="Paragraph"/>
        <w:ind w:firstLine="720"/>
      </w:pPr>
      <w:r>
        <w:t xml:space="preserve">The project enables us to </w:t>
      </w:r>
      <w:r w:rsidR="00460AD1">
        <w:t>constr</w:t>
      </w:r>
      <w:r w:rsidR="00471B8E">
        <w:t xml:space="preserve">ue </w:t>
      </w:r>
      <w:r w:rsidR="00460AD1">
        <w:t>GTAs as occupying a borderland and having a hybrid identity, and hence</w:t>
      </w:r>
      <w:r>
        <w:t xml:space="preserve"> mak</w:t>
      </w:r>
      <w:r w:rsidR="00471B8E">
        <w:t>e</w:t>
      </w:r>
      <w:r>
        <w:t xml:space="preserve"> the following recommendations:</w:t>
      </w:r>
    </w:p>
    <w:p w14:paraId="043B9903" w14:textId="79D0CC94" w:rsidR="00BB6157" w:rsidRPr="009C6D49" w:rsidRDefault="00BB6157" w:rsidP="00B96B8F">
      <w:pPr>
        <w:pStyle w:val="Newparagraph"/>
        <w:ind w:firstLine="0"/>
        <w:rPr>
          <w:i/>
        </w:rPr>
      </w:pPr>
      <w:r w:rsidRPr="009C6D49">
        <w:rPr>
          <w:i/>
        </w:rPr>
        <w:t xml:space="preserve">1. </w:t>
      </w:r>
      <w:r w:rsidR="00994C02">
        <w:rPr>
          <w:i/>
        </w:rPr>
        <w:t xml:space="preserve">Creating a closer alignment between </w:t>
      </w:r>
      <w:r w:rsidRPr="009C6D49">
        <w:rPr>
          <w:i/>
        </w:rPr>
        <w:t xml:space="preserve">doctoral training </w:t>
      </w:r>
      <w:r w:rsidR="00994C02">
        <w:rPr>
          <w:i/>
        </w:rPr>
        <w:t>and</w:t>
      </w:r>
      <w:r w:rsidR="00994C02" w:rsidRPr="009C6D49">
        <w:rPr>
          <w:i/>
        </w:rPr>
        <w:t xml:space="preserve"> </w:t>
      </w:r>
      <w:r w:rsidR="000106E7">
        <w:rPr>
          <w:i/>
        </w:rPr>
        <w:t xml:space="preserve">holistic </w:t>
      </w:r>
      <w:r w:rsidR="00994C02">
        <w:rPr>
          <w:i/>
        </w:rPr>
        <w:t>development</w:t>
      </w:r>
      <w:r w:rsidR="000106E7">
        <w:rPr>
          <w:i/>
        </w:rPr>
        <w:t xml:space="preserve"> of doctoral students as academics</w:t>
      </w:r>
      <w:r w:rsidRPr="009C6D49">
        <w:rPr>
          <w:i/>
        </w:rPr>
        <w:t xml:space="preserve"> </w:t>
      </w:r>
    </w:p>
    <w:p w14:paraId="72E3DCF9" w14:textId="51E98303" w:rsidR="00BB6157" w:rsidRPr="006F71D2" w:rsidRDefault="006F71D2" w:rsidP="00B96B8F">
      <w:pPr>
        <w:pStyle w:val="Paragraph"/>
      </w:pPr>
      <w:r w:rsidRPr="007C2253">
        <w:t xml:space="preserve">This may require </w:t>
      </w:r>
      <w:r w:rsidR="00994C02">
        <w:t>developing</w:t>
      </w:r>
      <w:r w:rsidRPr="007C2253">
        <w:t xml:space="preserve"> a doctoral role profile that </w:t>
      </w:r>
      <w:r w:rsidR="00994C02">
        <w:t xml:space="preserve">considers the roles and competencies of academic profession, and positions doctoral students who want to pursue with academic career and who engage with </w:t>
      </w:r>
      <w:r w:rsidRPr="007C2253">
        <w:t xml:space="preserve">teaching and research </w:t>
      </w:r>
      <w:r w:rsidR="00994C02">
        <w:t xml:space="preserve">roles during their studies </w:t>
      </w:r>
      <w:r w:rsidR="00C56F8F">
        <w:rPr>
          <w:color w:val="000000" w:themeColor="text1"/>
        </w:rPr>
        <w:t xml:space="preserve">as </w:t>
      </w:r>
      <w:r w:rsidR="00994C02">
        <w:rPr>
          <w:color w:val="000000" w:themeColor="text1"/>
        </w:rPr>
        <w:t>‘</w:t>
      </w:r>
      <w:r w:rsidR="00C56F8F">
        <w:rPr>
          <w:color w:val="000000" w:themeColor="text1"/>
        </w:rPr>
        <w:t>academics in the making</w:t>
      </w:r>
      <w:r w:rsidR="00994C02">
        <w:rPr>
          <w:color w:val="000000" w:themeColor="text1"/>
        </w:rPr>
        <w:t>’</w:t>
      </w:r>
      <w:r w:rsidR="00C56F8F">
        <w:rPr>
          <w:color w:val="000000" w:themeColor="text1"/>
        </w:rPr>
        <w:t xml:space="preserve"> </w:t>
      </w:r>
      <w:r w:rsidR="00C56F8F" w:rsidRPr="00621C2B">
        <w:rPr>
          <w:color w:val="000000" w:themeColor="text1"/>
        </w:rPr>
        <w:t xml:space="preserve">(see Archer 2008, 2008b, Gill 2014, </w:t>
      </w:r>
      <w:r w:rsidR="00C56F8F" w:rsidRPr="00621C2B">
        <w:rPr>
          <w:color w:val="000000" w:themeColor="text1"/>
        </w:rPr>
        <w:lastRenderedPageBreak/>
        <w:t>Fitzmaurice 2013)</w:t>
      </w:r>
      <w:r w:rsidR="00C56F8F">
        <w:rPr>
          <w:color w:val="000000" w:themeColor="text1"/>
        </w:rPr>
        <w:t>. </w:t>
      </w:r>
      <w:r w:rsidRPr="007C2253">
        <w:t> </w:t>
      </w:r>
      <w:r w:rsidR="00994C02">
        <w:t>Reforms could include an i</w:t>
      </w:r>
      <w:r w:rsidR="00BB6157" w:rsidRPr="00DA595D">
        <w:t xml:space="preserve">ntegration of teaching </w:t>
      </w:r>
      <w:r w:rsidR="00DA595D">
        <w:t>competencies</w:t>
      </w:r>
      <w:r w:rsidR="00BB6157" w:rsidRPr="00DA595D">
        <w:t xml:space="preserve"> within the vitae research development scheme</w:t>
      </w:r>
      <w:r w:rsidR="00994C02">
        <w:t xml:space="preserve">, and the development </w:t>
      </w:r>
      <w:r w:rsidR="00BB6157">
        <w:t>of doctoral programmes with integrated teaching programmes</w:t>
      </w:r>
      <w:r w:rsidR="007C2253">
        <w:t>.</w:t>
      </w:r>
      <w:r w:rsidR="00C56F8F">
        <w:t xml:space="preserve"> </w:t>
      </w:r>
    </w:p>
    <w:p w14:paraId="329BBBB0" w14:textId="0653FB03" w:rsidR="00DF7817" w:rsidRPr="009C6D49" w:rsidRDefault="00DF7817" w:rsidP="0018640D">
      <w:pPr>
        <w:pStyle w:val="Paragraph"/>
        <w:rPr>
          <w:i/>
        </w:rPr>
      </w:pPr>
      <w:r w:rsidRPr="009C6D49">
        <w:rPr>
          <w:i/>
        </w:rPr>
        <w:t> </w:t>
      </w:r>
      <w:r w:rsidR="007C2253" w:rsidRPr="009C6D49">
        <w:rPr>
          <w:i/>
        </w:rPr>
        <w:t xml:space="preserve">2. </w:t>
      </w:r>
      <w:r w:rsidR="00994C02">
        <w:rPr>
          <w:i/>
        </w:rPr>
        <w:t>Developing c</w:t>
      </w:r>
      <w:r w:rsidR="007C2253" w:rsidRPr="009C6D49">
        <w:rPr>
          <w:i/>
        </w:rPr>
        <w:t>ommunities of practice with focus on teaching support</w:t>
      </w:r>
    </w:p>
    <w:p w14:paraId="0ABDFBC8" w14:textId="1CA167C7" w:rsidR="000C27F9" w:rsidRPr="000C27F9" w:rsidRDefault="00994C02" w:rsidP="00B96B8F">
      <w:pPr>
        <w:pStyle w:val="Paragraph"/>
      </w:pPr>
      <w:r>
        <w:t>S</w:t>
      </w:r>
      <w:r w:rsidR="00DA595D" w:rsidRPr="00047D4B">
        <w:t xml:space="preserve">everal institutional and </w:t>
      </w:r>
      <w:r w:rsidRPr="00047D4B">
        <w:t>sector</w:t>
      </w:r>
      <w:r>
        <w:t>-wide</w:t>
      </w:r>
      <w:r w:rsidRPr="00047D4B">
        <w:t xml:space="preserve"> </w:t>
      </w:r>
      <w:r w:rsidR="00DA595D" w:rsidRPr="00047D4B">
        <w:t xml:space="preserve">support groups </w:t>
      </w:r>
      <w:r w:rsidR="00C168A7" w:rsidRPr="00047D4B">
        <w:t>(</w:t>
      </w:r>
      <w:proofErr w:type="gramStart"/>
      <w:r w:rsidR="000564EF">
        <w:t>e.g.</w:t>
      </w:r>
      <w:proofErr w:type="gramEnd"/>
      <w:r w:rsidR="00C168A7" w:rsidRPr="00047D4B">
        <w:t xml:space="preserve"> </w:t>
      </w:r>
      <w:r w:rsidR="000564EF">
        <w:t>the Society for Research into Higher Education ‘</w:t>
      </w:r>
      <w:r>
        <w:t>Newer Researchers</w:t>
      </w:r>
      <w:r w:rsidR="000564EF">
        <w:t>’</w:t>
      </w:r>
      <w:r w:rsidR="00C168A7" w:rsidRPr="00047D4B">
        <w:t xml:space="preserve"> network</w:t>
      </w:r>
      <w:r w:rsidR="000564EF">
        <w:t xml:space="preserve"> and</w:t>
      </w:r>
      <w:r w:rsidR="00C168A7" w:rsidRPr="00047D4B">
        <w:t xml:space="preserve"> </w:t>
      </w:r>
      <w:r w:rsidR="000564EF">
        <w:t xml:space="preserve">the </w:t>
      </w:r>
      <w:r w:rsidR="000564EF" w:rsidRPr="000564EF">
        <w:t>Early Career Higher Education Researcher</w:t>
      </w:r>
      <w:r w:rsidR="000564EF">
        <w:t>s group</w:t>
      </w:r>
      <w:r w:rsidR="009D2A8D">
        <w:t xml:space="preserve"> in the UK</w:t>
      </w:r>
      <w:r w:rsidR="000564EF">
        <w:t>)</w:t>
      </w:r>
      <w:r w:rsidR="00DA595D" w:rsidRPr="00047D4B">
        <w:t xml:space="preserve"> offer </w:t>
      </w:r>
      <w:r w:rsidR="00C168A7" w:rsidRPr="00047D4B">
        <w:t>research related</w:t>
      </w:r>
      <w:r w:rsidR="00DA595D" w:rsidRPr="00047D4B">
        <w:t xml:space="preserve"> </w:t>
      </w:r>
      <w:r w:rsidR="00C168A7" w:rsidRPr="00047D4B">
        <w:t xml:space="preserve">development and </w:t>
      </w:r>
      <w:r w:rsidR="000564EF">
        <w:t>guidance</w:t>
      </w:r>
      <w:r w:rsidR="000564EF" w:rsidRPr="00047D4B">
        <w:t xml:space="preserve"> </w:t>
      </w:r>
      <w:r w:rsidR="00DA595D" w:rsidRPr="00047D4B">
        <w:t>to doctoral students</w:t>
      </w:r>
      <w:r w:rsidR="00C168A7" w:rsidRPr="00047D4B">
        <w:t xml:space="preserve">. However, </w:t>
      </w:r>
      <w:r w:rsidR="00DA595D" w:rsidRPr="00047D4B">
        <w:t xml:space="preserve">there appears </w:t>
      </w:r>
      <w:r w:rsidR="000564EF">
        <w:t xml:space="preserve">to be limited evidence of </w:t>
      </w:r>
      <w:r w:rsidR="000106E7">
        <w:t xml:space="preserve">presence of </w:t>
      </w:r>
      <w:r w:rsidR="00DA595D" w:rsidRPr="00047D4B">
        <w:t xml:space="preserve">groups </w:t>
      </w:r>
      <w:r w:rsidR="000564EF">
        <w:t>that</w:t>
      </w:r>
      <w:r w:rsidR="00DA595D" w:rsidRPr="00047D4B">
        <w:t xml:space="preserve"> </w:t>
      </w:r>
      <w:r w:rsidR="000564EF">
        <w:t>would offer</w:t>
      </w:r>
      <w:r w:rsidR="00DA595D" w:rsidRPr="00047D4B">
        <w:t xml:space="preserve"> </w:t>
      </w:r>
      <w:r w:rsidR="000564EF">
        <w:t>teaching support and a sense of belonging</w:t>
      </w:r>
      <w:r w:rsidR="00DA595D" w:rsidRPr="00047D4B">
        <w:t xml:space="preserve"> </w:t>
      </w:r>
      <w:r w:rsidR="000564EF">
        <w:t>for doctoral students who undertake teaching roles</w:t>
      </w:r>
      <w:r w:rsidR="00C168A7" w:rsidRPr="00047D4B">
        <w:t xml:space="preserve">. </w:t>
      </w:r>
      <w:r w:rsidR="000D447D" w:rsidRPr="00047D4B">
        <w:t xml:space="preserve"> </w:t>
      </w:r>
      <w:r w:rsidR="000564EF">
        <w:t>Such sector-wide communities of practice would</w:t>
      </w:r>
      <w:r w:rsidR="000D447D" w:rsidRPr="00047D4B">
        <w:t xml:space="preserve"> be particularly helpful in mitigating the shortcomings of institutional support</w:t>
      </w:r>
      <w:r w:rsidR="000564EF">
        <w:t xml:space="preserve">, </w:t>
      </w:r>
      <w:r w:rsidR="000D447D" w:rsidRPr="00047D4B">
        <w:t xml:space="preserve">particularly in </w:t>
      </w:r>
      <w:r w:rsidR="000564EF">
        <w:t>universities</w:t>
      </w:r>
      <w:r w:rsidR="000564EF" w:rsidRPr="00047D4B">
        <w:t xml:space="preserve"> </w:t>
      </w:r>
      <w:r w:rsidR="000D447D" w:rsidRPr="00047D4B">
        <w:t xml:space="preserve">where </w:t>
      </w:r>
      <w:r w:rsidR="000564EF">
        <w:t xml:space="preserve">doctoral student numbers are low and coordinated </w:t>
      </w:r>
      <w:r w:rsidR="00CD02C7">
        <w:t xml:space="preserve">institutional </w:t>
      </w:r>
      <w:r w:rsidR="000564EF">
        <w:t>support absent</w:t>
      </w:r>
      <w:r w:rsidR="000106E7">
        <w:t xml:space="preserve"> or often not possible due to the resource limitations</w:t>
      </w:r>
      <w:r w:rsidR="000D447D" w:rsidRPr="00047D4B">
        <w:t>.</w:t>
      </w:r>
      <w:r w:rsidR="00081E0A" w:rsidRPr="00047D4B">
        <w:t xml:space="preserve"> Such </w:t>
      </w:r>
      <w:r w:rsidR="000564EF">
        <w:t>support groups</w:t>
      </w:r>
      <w:r w:rsidR="00081E0A" w:rsidRPr="00047D4B">
        <w:t xml:space="preserve"> </w:t>
      </w:r>
      <w:r w:rsidR="000564EF">
        <w:t>can help to overcome</w:t>
      </w:r>
      <w:r w:rsidR="00081E0A" w:rsidRPr="00047D4B">
        <w:t xml:space="preserve"> the feelings of isolation often experienced by doctoral students</w:t>
      </w:r>
      <w:r w:rsidR="00047D4B" w:rsidRPr="00047D4B">
        <w:t>,</w:t>
      </w:r>
      <w:r w:rsidR="00081E0A" w:rsidRPr="00047D4B">
        <w:t xml:space="preserve"> by offering a</w:t>
      </w:r>
      <w:r w:rsidR="000564EF">
        <w:t>n opportunity to develop</w:t>
      </w:r>
      <w:r w:rsidR="00081E0A" w:rsidRPr="00047D4B">
        <w:t xml:space="preserve"> peer support </w:t>
      </w:r>
      <w:r w:rsidR="000564EF">
        <w:t>and informal networks</w:t>
      </w:r>
      <w:r w:rsidR="000106E7">
        <w:t xml:space="preserve"> particularly for doctoral students from resource restricted institutions</w:t>
      </w:r>
      <w:r w:rsidR="000564EF">
        <w:t>.</w:t>
      </w:r>
    </w:p>
    <w:p w14:paraId="37E8FDBA" w14:textId="57E31625" w:rsidR="000D447D" w:rsidRPr="009C6D49" w:rsidRDefault="000D447D" w:rsidP="0018640D">
      <w:pPr>
        <w:pStyle w:val="Newparagraph"/>
        <w:ind w:firstLine="0"/>
        <w:rPr>
          <w:i/>
        </w:rPr>
      </w:pPr>
      <w:r w:rsidRPr="009C6D49">
        <w:rPr>
          <w:i/>
        </w:rPr>
        <w:t xml:space="preserve">3. </w:t>
      </w:r>
      <w:r w:rsidR="00CD02C7">
        <w:rPr>
          <w:i/>
        </w:rPr>
        <w:t>Recognising</w:t>
      </w:r>
      <w:r w:rsidR="000C27F9">
        <w:rPr>
          <w:i/>
        </w:rPr>
        <w:t xml:space="preserve"> diverse </w:t>
      </w:r>
      <w:r w:rsidR="00CD02C7">
        <w:rPr>
          <w:i/>
        </w:rPr>
        <w:t>experience and support needs</w:t>
      </w:r>
    </w:p>
    <w:p w14:paraId="019A2E1F" w14:textId="5A4534D6" w:rsidR="00047D4B" w:rsidRDefault="00CD02C7" w:rsidP="005D032B">
      <w:pPr>
        <w:spacing w:line="480" w:lineRule="auto"/>
      </w:pPr>
      <w:r>
        <w:t>It is likely that</w:t>
      </w:r>
      <w:r w:rsidR="000D447D" w:rsidRPr="00047D4B">
        <w:t xml:space="preserve"> the support needs of </w:t>
      </w:r>
      <w:r w:rsidR="00415DA0">
        <w:t xml:space="preserve">doctoral </w:t>
      </w:r>
      <w:r w:rsidR="000D447D" w:rsidRPr="00047D4B">
        <w:t xml:space="preserve">students </w:t>
      </w:r>
      <w:r>
        <w:t>are</w:t>
      </w:r>
      <w:r w:rsidR="000D447D" w:rsidRPr="00047D4B">
        <w:t xml:space="preserve"> diverse depending on the nature of discipline, whether they are home or international students</w:t>
      </w:r>
      <w:r w:rsidR="00081E0A" w:rsidRPr="00047D4B">
        <w:t xml:space="preserve">, </w:t>
      </w:r>
      <w:r>
        <w:t xml:space="preserve">and </w:t>
      </w:r>
      <w:r w:rsidR="00081E0A" w:rsidRPr="00047D4B">
        <w:t xml:space="preserve">the </w:t>
      </w:r>
      <w:r w:rsidR="000F60B9">
        <w:t xml:space="preserve">extent of </w:t>
      </w:r>
      <w:r w:rsidR="00081E0A" w:rsidRPr="00047D4B">
        <w:t>support offered by their supervisory team/departments</w:t>
      </w:r>
      <w:r>
        <w:t xml:space="preserve">. Differences are also likely to exist between </w:t>
      </w:r>
      <w:r w:rsidR="00081E0A" w:rsidRPr="00047D4B">
        <w:t xml:space="preserve">those with prior teaching experience </w:t>
      </w:r>
      <w:r>
        <w:t>and students who are new to the field and teaching practice</w:t>
      </w:r>
      <w:r w:rsidR="000D447D" w:rsidRPr="00047D4B">
        <w:t>. It is therefore important to recognise the diversity of th</w:t>
      </w:r>
      <w:r w:rsidR="00081E0A" w:rsidRPr="00047D4B">
        <w:t xml:space="preserve">ese </w:t>
      </w:r>
      <w:r w:rsidR="00194F39">
        <w:t>GTAs</w:t>
      </w:r>
      <w:r>
        <w:t xml:space="preserve"> and</w:t>
      </w:r>
      <w:r w:rsidR="000F60B9">
        <w:t xml:space="preserve"> their needs in order to</w:t>
      </w:r>
      <w:r>
        <w:t xml:space="preserve"> develop a</w:t>
      </w:r>
      <w:r w:rsidR="00081E0A" w:rsidRPr="00047D4B">
        <w:t xml:space="preserve"> support structure </w:t>
      </w:r>
      <w:r>
        <w:t>that acknowledges diversity and individuality in</w:t>
      </w:r>
      <w:r w:rsidR="00081E0A" w:rsidRPr="00047D4B">
        <w:t xml:space="preserve"> the development of their teaching identity. </w:t>
      </w:r>
      <w:r>
        <w:t xml:space="preserve">It may be the case that structured doctoral training programmes need to include more optional </w:t>
      </w:r>
      <w:r>
        <w:lastRenderedPageBreak/>
        <w:t xml:space="preserve">workshops and courses, alongside with mentoring </w:t>
      </w:r>
      <w:r w:rsidR="00943E25">
        <w:t>schemes</w:t>
      </w:r>
      <w:r>
        <w:t xml:space="preserve">, that allow doctoral students to build up their own professional development programme that suits their diverse needs. </w:t>
      </w:r>
      <w:r w:rsidR="000D447D" w:rsidRPr="00047D4B">
        <w:t xml:space="preserve"> </w:t>
      </w:r>
    </w:p>
    <w:p w14:paraId="599334C0" w14:textId="7F78FA97" w:rsidR="00194F39" w:rsidRPr="00B96B8F" w:rsidRDefault="00194F39" w:rsidP="00B96B8F">
      <w:pPr>
        <w:pStyle w:val="Newparagraph"/>
        <w:ind w:firstLine="0"/>
        <w:rPr>
          <w:i/>
        </w:rPr>
      </w:pPr>
      <w:r w:rsidRPr="00B96B8F">
        <w:rPr>
          <w:i/>
        </w:rPr>
        <w:t xml:space="preserve">4. </w:t>
      </w:r>
      <w:r w:rsidR="009E30B0" w:rsidRPr="00B96B8F">
        <w:rPr>
          <w:i/>
        </w:rPr>
        <w:t>More r</w:t>
      </w:r>
      <w:r w:rsidRPr="00B96B8F">
        <w:rPr>
          <w:i/>
        </w:rPr>
        <w:t>ecognition of the GTA role</w:t>
      </w:r>
    </w:p>
    <w:p w14:paraId="20A8BC3B" w14:textId="0D7A0D88" w:rsidR="00194F39" w:rsidRDefault="00194F39" w:rsidP="005D032B">
      <w:pPr>
        <w:spacing w:line="480" w:lineRule="auto"/>
      </w:pPr>
      <w:r>
        <w:t xml:space="preserve">The labelling of GTAs as atypical provides less legitimisation of their role within the higher education sector and </w:t>
      </w:r>
      <w:r w:rsidR="009E30B0">
        <w:t xml:space="preserve">they </w:t>
      </w:r>
      <w:r>
        <w:t xml:space="preserve">may fail to </w:t>
      </w:r>
      <w:r w:rsidR="009E30B0">
        <w:t xml:space="preserve">have protection through </w:t>
      </w:r>
      <w:r>
        <w:t>employment law and union</w:t>
      </w:r>
      <w:r w:rsidR="009E30B0">
        <w:t>isation</w:t>
      </w:r>
      <w:r>
        <w:t xml:space="preserve"> that is afforded to academics (Vaughn, 1998). </w:t>
      </w:r>
      <w:r w:rsidR="009E30B0">
        <w:t>Further, c</w:t>
      </w:r>
      <w:r>
        <w:t xml:space="preserve">hanging the labelling </w:t>
      </w:r>
      <w:r w:rsidR="007434CC">
        <w:t xml:space="preserve">of GTAs contracts as </w:t>
      </w:r>
      <w:r>
        <w:t>atypical in statistical returns</w:t>
      </w:r>
      <w:r w:rsidR="009E30B0">
        <w:t>,</w:t>
      </w:r>
      <w:r>
        <w:t xml:space="preserve"> may help policymakers in recognising the extent of support GTAs provide to institutions and higher education sectors. This can then allow for</w:t>
      </w:r>
      <w:r w:rsidR="009E30B0">
        <w:t xml:space="preserve"> reduction in precarity by affording</w:t>
      </w:r>
      <w:r>
        <w:t xml:space="preserve"> more coordinating support for GTAs nationally and internationally </w:t>
      </w:r>
      <w:r w:rsidR="009E30B0">
        <w:t>either through the</w:t>
      </w:r>
      <w:r w:rsidR="007434CC">
        <w:t>ir</w:t>
      </w:r>
      <w:r w:rsidR="009E30B0">
        <w:t xml:space="preserve"> own </w:t>
      </w:r>
      <w:r w:rsidR="007434CC">
        <w:t xml:space="preserve">work </w:t>
      </w:r>
      <w:r w:rsidR="009E30B0">
        <w:t>union or a special branch of their student union</w:t>
      </w:r>
      <w:r w:rsidR="007434CC">
        <w:t xml:space="preserve"> and/or academic union</w:t>
      </w:r>
      <w:r>
        <w:t xml:space="preserve">. </w:t>
      </w:r>
    </w:p>
    <w:p w14:paraId="4D0137BD" w14:textId="7B45DE7F" w:rsidR="00026F8F" w:rsidRPr="00026F8F" w:rsidRDefault="00026F8F" w:rsidP="005D032B">
      <w:pPr>
        <w:pStyle w:val="Heading1"/>
        <w:rPr>
          <w:color w:val="000000" w:themeColor="text1"/>
        </w:rPr>
      </w:pPr>
      <w:r w:rsidRPr="00026F8F">
        <w:rPr>
          <w:color w:val="000000" w:themeColor="text1"/>
        </w:rPr>
        <w:t>Acknowledgements</w:t>
      </w:r>
    </w:p>
    <w:p w14:paraId="314DBDDD" w14:textId="4C801FA1" w:rsidR="00026F8F" w:rsidRPr="00026F8F" w:rsidRDefault="00026F8F" w:rsidP="005D032B">
      <w:pPr>
        <w:pStyle w:val="Paragraph"/>
        <w:rPr>
          <w:lang w:val="en-US"/>
        </w:rPr>
      </w:pPr>
      <w:r w:rsidRPr="00026F8F">
        <w:rPr>
          <w:lang w:val="en-US"/>
        </w:rPr>
        <w:t xml:space="preserve">The authors would like to acknowledge the support of </w:t>
      </w:r>
      <w:r>
        <w:rPr>
          <w:lang w:val="en-US"/>
        </w:rPr>
        <w:t>Association for Learning Development in Higher Education</w:t>
      </w:r>
      <w:r w:rsidRPr="00026F8F">
        <w:rPr>
          <w:lang w:val="en-US"/>
        </w:rPr>
        <w:t xml:space="preserve"> in providing the research fund</w:t>
      </w:r>
      <w:r>
        <w:rPr>
          <w:lang w:val="en-US"/>
        </w:rPr>
        <w:t>ing which made this study poss</w:t>
      </w:r>
      <w:r w:rsidRPr="00026F8F">
        <w:rPr>
          <w:lang w:val="en-US"/>
        </w:rPr>
        <w:t xml:space="preserve">ible. They would also like to thank </w:t>
      </w:r>
      <w:r>
        <w:rPr>
          <w:lang w:val="en-US"/>
        </w:rPr>
        <w:t>the doctoral students who participated in this study and provided</w:t>
      </w:r>
      <w:r w:rsidRPr="00026F8F">
        <w:rPr>
          <w:lang w:val="en-US"/>
        </w:rPr>
        <w:t xml:space="preserve"> valuable </w:t>
      </w:r>
      <w:r>
        <w:rPr>
          <w:lang w:val="en-US"/>
        </w:rPr>
        <w:t xml:space="preserve">insights into their doctoral teaching work. </w:t>
      </w:r>
      <w:r w:rsidRPr="00026F8F">
        <w:rPr>
          <w:lang w:val="en-US"/>
        </w:rPr>
        <w:t xml:space="preserve"> </w:t>
      </w:r>
    </w:p>
    <w:p w14:paraId="0E798FBF" w14:textId="77777777" w:rsidR="00026F8F" w:rsidRPr="009A57C8" w:rsidRDefault="00026F8F" w:rsidP="005D032B">
      <w:pPr>
        <w:pStyle w:val="Paragraph"/>
        <w:rPr>
          <w:b/>
          <w:lang w:val="en-US"/>
        </w:rPr>
      </w:pPr>
      <w:r w:rsidRPr="009A57C8">
        <w:rPr>
          <w:b/>
          <w:lang w:val="en-US"/>
        </w:rPr>
        <w:t xml:space="preserve">Disclosure statement </w:t>
      </w:r>
    </w:p>
    <w:p w14:paraId="688C384C" w14:textId="77777777" w:rsidR="00026F8F" w:rsidRPr="00026F8F" w:rsidRDefault="00026F8F" w:rsidP="00271756">
      <w:pPr>
        <w:pStyle w:val="Paragraph"/>
        <w:rPr>
          <w:lang w:val="en-US"/>
        </w:rPr>
      </w:pPr>
      <w:r w:rsidRPr="00026F8F">
        <w:rPr>
          <w:lang w:val="en-US"/>
        </w:rPr>
        <w:t xml:space="preserve">No potential conflict of interest was reported by the authors. </w:t>
      </w:r>
    </w:p>
    <w:p w14:paraId="6658B85D" w14:textId="77777777" w:rsidR="00026F8F" w:rsidRPr="009A57C8" w:rsidRDefault="00026F8F" w:rsidP="00271756">
      <w:pPr>
        <w:pStyle w:val="Paragraph"/>
        <w:rPr>
          <w:b/>
          <w:lang w:val="en-US"/>
        </w:rPr>
      </w:pPr>
      <w:r w:rsidRPr="009A57C8">
        <w:rPr>
          <w:b/>
          <w:lang w:val="en-US"/>
        </w:rPr>
        <w:t xml:space="preserve">Funding </w:t>
      </w:r>
    </w:p>
    <w:p w14:paraId="3ABA6F69" w14:textId="27015219" w:rsidR="000D447D" w:rsidRPr="004E3DBF" w:rsidRDefault="00026F8F" w:rsidP="00A221F4">
      <w:pPr>
        <w:pStyle w:val="Paragraph"/>
        <w:rPr>
          <w:lang w:val="en-US"/>
        </w:rPr>
      </w:pPr>
      <w:r w:rsidRPr="00026F8F">
        <w:rPr>
          <w:lang w:val="en-US"/>
        </w:rPr>
        <w:t xml:space="preserve">This work was supported by the </w:t>
      </w:r>
      <w:r>
        <w:rPr>
          <w:lang w:val="en-US"/>
        </w:rPr>
        <w:t>Association for Learning Development in Higher Education</w:t>
      </w:r>
      <w:r w:rsidR="009A57C8">
        <w:rPr>
          <w:lang w:val="en-US"/>
        </w:rPr>
        <w:t xml:space="preserve"> Grant. </w:t>
      </w:r>
    </w:p>
    <w:p w14:paraId="40137DAD" w14:textId="66E1BD53" w:rsidR="00DF7817" w:rsidRDefault="00DF7817" w:rsidP="00A221F4">
      <w:pPr>
        <w:pStyle w:val="Heading1"/>
      </w:pPr>
      <w:r>
        <w:lastRenderedPageBreak/>
        <w:t>References</w:t>
      </w:r>
    </w:p>
    <w:p w14:paraId="1B2A1833" w14:textId="77777777" w:rsidR="001348A2" w:rsidRPr="001348A2" w:rsidRDefault="001348A2" w:rsidP="001348A2">
      <w:pPr>
        <w:pStyle w:val="References"/>
        <w:rPr>
          <w:b/>
          <w:bCs/>
        </w:rPr>
      </w:pPr>
      <w:r>
        <w:t xml:space="preserve">Advance HE (2020) </w:t>
      </w:r>
      <w:r w:rsidRPr="00B96B8F">
        <w:t>Annual Review of Advance HE Accredited CPD Schemes 2018-19</w:t>
      </w:r>
    </w:p>
    <w:p w14:paraId="4447864E" w14:textId="79C6D650" w:rsidR="001348A2" w:rsidRPr="00B96B8F" w:rsidRDefault="001348A2" w:rsidP="001348A2">
      <w:pPr>
        <w:pStyle w:val="References"/>
      </w:pPr>
      <w:r>
        <w:t xml:space="preserve"> </w:t>
      </w:r>
      <w:hyperlink r:id="rId14" w:history="1">
        <w:r w:rsidRPr="00724095">
          <w:rPr>
            <w:rStyle w:val="Hyperlink"/>
          </w:rPr>
          <w:t>https://www.advance-he.ac.uk/knowledge-hub/annual-review-advance-he-accredited-cpd-schemes-2018-19</w:t>
        </w:r>
      </w:hyperlink>
      <w:r>
        <w:t xml:space="preserve">  [accessed 2</w:t>
      </w:r>
      <w:r w:rsidRPr="00B96B8F">
        <w:rPr>
          <w:vertAlign w:val="superscript"/>
        </w:rPr>
        <w:t>nd</w:t>
      </w:r>
      <w:r>
        <w:t xml:space="preserve"> Feb 2021]</w:t>
      </w:r>
    </w:p>
    <w:p w14:paraId="7620F16B" w14:textId="2C08E550" w:rsidR="00CF363F" w:rsidRPr="00CF363F" w:rsidRDefault="00CF363F" w:rsidP="0030475E">
      <w:pPr>
        <w:pStyle w:val="References"/>
        <w:rPr>
          <w:lang w:val="en-US"/>
        </w:rPr>
      </w:pPr>
      <w:r w:rsidRPr="00CF363F">
        <w:rPr>
          <w:lang w:val="en-US"/>
        </w:rPr>
        <w:t>Archer</w:t>
      </w:r>
      <w:r>
        <w:rPr>
          <w:lang w:val="en-US"/>
        </w:rPr>
        <w:t xml:space="preserve">, L. </w:t>
      </w:r>
      <w:r w:rsidRPr="00CF363F">
        <w:rPr>
          <w:lang w:val="en-US"/>
        </w:rPr>
        <w:t xml:space="preserve"> (2008) Younger academics</w:t>
      </w:r>
      <w:r w:rsidRPr="00CF363F">
        <w:rPr>
          <w:rFonts w:hint="eastAsia"/>
          <w:lang w:val="en-US"/>
        </w:rPr>
        <w:t>’</w:t>
      </w:r>
      <w:r w:rsidRPr="00CF363F">
        <w:rPr>
          <w:lang w:val="en-US"/>
        </w:rPr>
        <w:t xml:space="preserve"> constructions of </w:t>
      </w:r>
      <w:r w:rsidRPr="00CF363F">
        <w:rPr>
          <w:rFonts w:hint="eastAsia"/>
          <w:lang w:val="en-US"/>
        </w:rPr>
        <w:t>‘</w:t>
      </w:r>
      <w:r w:rsidRPr="00CF363F">
        <w:rPr>
          <w:lang w:val="en-US"/>
        </w:rPr>
        <w:t>authenticity</w:t>
      </w:r>
      <w:r w:rsidRPr="00CF363F">
        <w:rPr>
          <w:rFonts w:hint="eastAsia"/>
          <w:lang w:val="en-US"/>
        </w:rPr>
        <w:t>’</w:t>
      </w:r>
      <w:r w:rsidRPr="00CF363F">
        <w:rPr>
          <w:lang w:val="en-US"/>
        </w:rPr>
        <w:t xml:space="preserve">, </w:t>
      </w:r>
      <w:r w:rsidRPr="00CF363F">
        <w:rPr>
          <w:rFonts w:hint="eastAsia"/>
          <w:lang w:val="en-US"/>
        </w:rPr>
        <w:t>‘</w:t>
      </w:r>
      <w:r w:rsidRPr="00CF363F">
        <w:rPr>
          <w:lang w:val="en-US"/>
        </w:rPr>
        <w:t>success</w:t>
      </w:r>
      <w:r w:rsidRPr="00CF363F">
        <w:rPr>
          <w:rFonts w:hint="eastAsia"/>
          <w:lang w:val="en-US"/>
        </w:rPr>
        <w:t>’</w:t>
      </w:r>
      <w:r w:rsidRPr="00CF363F">
        <w:rPr>
          <w:lang w:val="en-US"/>
        </w:rPr>
        <w:t xml:space="preserve"> and professional identity, </w:t>
      </w:r>
      <w:r w:rsidRPr="00CF363F">
        <w:rPr>
          <w:i/>
          <w:lang w:val="en-US"/>
        </w:rPr>
        <w:t>Studies in Higher Education</w:t>
      </w:r>
      <w:r w:rsidRPr="00CF363F">
        <w:rPr>
          <w:lang w:val="en-US"/>
        </w:rPr>
        <w:t>, 33</w:t>
      </w:r>
      <w:r w:rsidR="00FB3D36">
        <w:rPr>
          <w:lang w:val="en-US"/>
        </w:rPr>
        <w:t>(</w:t>
      </w:r>
      <w:r w:rsidRPr="00CF363F">
        <w:rPr>
          <w:lang w:val="en-US"/>
        </w:rPr>
        <w:t>4</w:t>
      </w:r>
      <w:r w:rsidR="00FB3D36">
        <w:rPr>
          <w:lang w:val="en-US"/>
        </w:rPr>
        <w:t>)</w:t>
      </w:r>
      <w:r w:rsidRPr="00CF363F">
        <w:rPr>
          <w:lang w:val="en-US"/>
        </w:rPr>
        <w:t xml:space="preserve">, 385-403, DOI: 10.1080/03075070802211729 </w:t>
      </w:r>
    </w:p>
    <w:p w14:paraId="0501AFD1" w14:textId="6C51F34B" w:rsidR="00904592" w:rsidRPr="00B96B8F" w:rsidRDefault="00904592" w:rsidP="0030475E">
      <w:pPr>
        <w:pStyle w:val="References"/>
      </w:pPr>
      <w:proofErr w:type="gramStart"/>
      <w:r w:rsidRPr="00904592">
        <w:rPr>
          <w:lang w:val="en-US"/>
        </w:rPr>
        <w:t>Archer</w:t>
      </w:r>
      <w:r>
        <w:rPr>
          <w:lang w:val="en-US"/>
        </w:rPr>
        <w:t xml:space="preserve"> ,</w:t>
      </w:r>
      <w:proofErr w:type="gramEnd"/>
      <w:r>
        <w:rPr>
          <w:lang w:val="en-US"/>
        </w:rPr>
        <w:t xml:space="preserve"> L. </w:t>
      </w:r>
      <w:r w:rsidRPr="00904592">
        <w:rPr>
          <w:lang w:val="en-US"/>
        </w:rPr>
        <w:t xml:space="preserve"> (2008</w:t>
      </w:r>
      <w:r>
        <w:rPr>
          <w:lang w:val="en-US"/>
        </w:rPr>
        <w:t>b</w:t>
      </w:r>
      <w:r w:rsidRPr="00904592">
        <w:rPr>
          <w:lang w:val="en-US"/>
        </w:rPr>
        <w:t>) The new neoliberal subjects? Young/er academics</w:t>
      </w:r>
      <w:r w:rsidRPr="00904592">
        <w:rPr>
          <w:rFonts w:hint="eastAsia"/>
          <w:lang w:val="en-US"/>
        </w:rPr>
        <w:t>’</w:t>
      </w:r>
      <w:r w:rsidRPr="00904592">
        <w:rPr>
          <w:lang w:val="en-US"/>
        </w:rPr>
        <w:t xml:space="preserve"> constructions of professional identity, </w:t>
      </w:r>
      <w:r w:rsidRPr="00904592">
        <w:rPr>
          <w:i/>
          <w:lang w:val="en-US"/>
        </w:rPr>
        <w:t>Journal of Education Policy</w:t>
      </w:r>
      <w:r w:rsidRPr="00904592">
        <w:rPr>
          <w:lang w:val="en-US"/>
        </w:rPr>
        <w:t>, 23</w:t>
      </w:r>
      <w:r w:rsidR="00FB3D36">
        <w:rPr>
          <w:lang w:val="en-US"/>
        </w:rPr>
        <w:t>(</w:t>
      </w:r>
      <w:r w:rsidRPr="00904592">
        <w:rPr>
          <w:lang w:val="en-US"/>
        </w:rPr>
        <w:t>3</w:t>
      </w:r>
      <w:r w:rsidR="00FB3D36">
        <w:rPr>
          <w:lang w:val="en-US"/>
        </w:rPr>
        <w:t>)</w:t>
      </w:r>
      <w:r w:rsidRPr="00904592">
        <w:rPr>
          <w:lang w:val="en-US"/>
        </w:rPr>
        <w:t xml:space="preserve">, 265-285, DOI: </w:t>
      </w:r>
      <w:r w:rsidRPr="00B96B8F">
        <w:t xml:space="preserve">10.1080/02680930701754047 </w:t>
      </w:r>
    </w:p>
    <w:p w14:paraId="2477D83A" w14:textId="07A8B54B" w:rsidR="00D01E42" w:rsidRDefault="00D01E42" w:rsidP="00B96B8F">
      <w:pPr>
        <w:pStyle w:val="References"/>
      </w:pPr>
      <w:proofErr w:type="spellStart"/>
      <w:r w:rsidRPr="000C0483">
        <w:t>Andzaldúa</w:t>
      </w:r>
      <w:proofErr w:type="spellEnd"/>
      <w:r w:rsidRPr="000C0483">
        <w:t>, G. (1987) Borderlands / La Frontera, San Francisco: Spinsters/Aunt Lute.</w:t>
      </w:r>
    </w:p>
    <w:p w14:paraId="6E3FAD99" w14:textId="290CFD50" w:rsidR="00FB3D36" w:rsidRDefault="00FB3D36" w:rsidP="00B96B8F">
      <w:pPr>
        <w:pStyle w:val="References"/>
      </w:pPr>
      <w:r w:rsidRPr="00FB3D36">
        <w:t xml:space="preserve">Beaton, F. (2017). Just in time and </w:t>
      </w:r>
      <w:proofErr w:type="gramStart"/>
      <w:r w:rsidRPr="00FB3D36">
        <w:t>future-proofing</w:t>
      </w:r>
      <w:proofErr w:type="gramEnd"/>
      <w:r w:rsidRPr="00FB3D36">
        <w:t xml:space="preserve">? Policy, challenges and opportunities in the professional development of part-time teachers. </w:t>
      </w:r>
      <w:r w:rsidRPr="00B96B8F">
        <w:rPr>
          <w:i/>
          <w:iCs/>
        </w:rPr>
        <w:t>International Journal for Academic Development</w:t>
      </w:r>
      <w:r w:rsidRPr="00FB3D36">
        <w:t>, 22(1), 19-30.</w:t>
      </w:r>
    </w:p>
    <w:p w14:paraId="0CF10624" w14:textId="77777777" w:rsidR="00DF7817" w:rsidRPr="00383B0E" w:rsidRDefault="00DF7817">
      <w:pPr>
        <w:pStyle w:val="References"/>
      </w:pPr>
      <w:r w:rsidRPr="00383B0E">
        <w:t xml:space="preserve">Braun, V., and V. Clarke (2006). Using Thematic Analysis in Psychology. </w:t>
      </w:r>
      <w:r w:rsidRPr="009A57C8">
        <w:rPr>
          <w:i/>
        </w:rPr>
        <w:t>Qualitative Research in Psychology</w:t>
      </w:r>
      <w:r w:rsidRPr="00383B0E">
        <w:t xml:space="preserve"> 3 (2): 77– 101.</w:t>
      </w:r>
    </w:p>
    <w:p w14:paraId="1585401D" w14:textId="173396DB" w:rsidR="00DF7817" w:rsidRPr="00383B0E" w:rsidRDefault="00DF7817">
      <w:pPr>
        <w:pStyle w:val="References"/>
      </w:pPr>
      <w:r w:rsidRPr="00383B0E">
        <w:t xml:space="preserve">Braun, V., and V. Clarke (2012). </w:t>
      </w:r>
      <w:r w:rsidR="009A57C8">
        <w:t>“</w:t>
      </w:r>
      <w:r w:rsidRPr="00383B0E">
        <w:t xml:space="preserve">Thematic Analysis.” In </w:t>
      </w:r>
      <w:r w:rsidRPr="009A57C8">
        <w:rPr>
          <w:i/>
        </w:rPr>
        <w:t>Handbook of Research Methods in Psychology. Vol 2: Research Designs</w:t>
      </w:r>
      <w:r w:rsidRPr="00383B0E">
        <w:t>, edited by H. Cooper, 57–71. Washington, DC: APA Books.</w:t>
      </w:r>
    </w:p>
    <w:p w14:paraId="33F95262" w14:textId="379E773A" w:rsidR="00DF7817" w:rsidRDefault="00DF7817">
      <w:pPr>
        <w:pStyle w:val="References"/>
      </w:pPr>
      <w:r w:rsidRPr="00383B0E">
        <w:t xml:space="preserve">Braun, V., and V. Clarke (2013). </w:t>
      </w:r>
      <w:r w:rsidRPr="009A57C8">
        <w:rPr>
          <w:i/>
        </w:rPr>
        <w:t>Successful Qualitative Research: A Practical Guide for Beginners</w:t>
      </w:r>
      <w:r w:rsidRPr="00383B0E">
        <w:t>. London: Sage.</w:t>
      </w:r>
    </w:p>
    <w:p w14:paraId="5550C5AF" w14:textId="18D402A9" w:rsidR="005C3FCE" w:rsidRPr="00383B0E" w:rsidRDefault="005C3FCE">
      <w:pPr>
        <w:pStyle w:val="References"/>
      </w:pPr>
      <w:r w:rsidRPr="005C3FCE">
        <w:t>Budd</w:t>
      </w:r>
      <w:r>
        <w:t>, R.,</w:t>
      </w:r>
      <w:r w:rsidRPr="005C3FCE">
        <w:t xml:space="preserve"> O'Connell</w:t>
      </w:r>
      <w:r>
        <w:t>, C.,</w:t>
      </w:r>
      <w:r w:rsidRPr="005C3FCE">
        <w:t xml:space="preserve"> Yuan</w:t>
      </w:r>
      <w:r>
        <w:t>, T.</w:t>
      </w:r>
      <w:r w:rsidRPr="005C3FCE">
        <w:t xml:space="preserve"> and </w:t>
      </w:r>
      <w:proofErr w:type="spellStart"/>
      <w:r w:rsidRPr="005C3FCE">
        <w:t>Ververi</w:t>
      </w:r>
      <w:proofErr w:type="spellEnd"/>
      <w:r>
        <w:t>, O.</w:t>
      </w:r>
      <w:r w:rsidRPr="005C3FCE">
        <w:t xml:space="preserve"> (2018)</w:t>
      </w:r>
      <w:r>
        <w:t>.</w:t>
      </w:r>
      <w:r w:rsidRPr="005C3FCE">
        <w:t xml:space="preserve"> </w:t>
      </w:r>
      <w:r w:rsidRPr="005C3FCE">
        <w:rPr>
          <w:i/>
          <w:iCs/>
        </w:rPr>
        <w:t>The DTC Effect: ESRC Doctoral Training Centres and the UK Social Science Doctoral Landscape</w:t>
      </w:r>
      <w:r w:rsidRPr="005C3FCE">
        <w:t>. Liverpool University Press, Liverpool.</w:t>
      </w:r>
    </w:p>
    <w:p w14:paraId="7EDA35C4" w14:textId="1B4F4D31" w:rsidR="00DF7817" w:rsidRDefault="00DF7817">
      <w:pPr>
        <w:pStyle w:val="References"/>
      </w:pPr>
      <w:r w:rsidRPr="00383B0E">
        <w:t xml:space="preserve">Chadha, D. </w:t>
      </w:r>
      <w:r w:rsidR="000E5E0A">
        <w:t>(</w:t>
      </w:r>
      <w:r w:rsidRPr="00383B0E">
        <w:t>2013</w:t>
      </w:r>
      <w:r w:rsidR="000E5E0A">
        <w:t>)</w:t>
      </w:r>
      <w:r w:rsidRPr="00383B0E">
        <w:t xml:space="preserve">. “Reconceptualising and Reframing Graduate Teaching Assistant (GTA) Provision for a Research-Intensive Institution.” </w:t>
      </w:r>
      <w:r w:rsidRPr="000E5E0A">
        <w:rPr>
          <w:i/>
        </w:rPr>
        <w:t>Teaching in Higher Education</w:t>
      </w:r>
      <w:r w:rsidRPr="00383B0E">
        <w:t xml:space="preserve"> 18 (2): 205-217. </w:t>
      </w:r>
      <w:proofErr w:type="spellStart"/>
      <w:r w:rsidRPr="00383B0E">
        <w:t>doi</w:t>
      </w:r>
      <w:proofErr w:type="spellEnd"/>
      <w:r w:rsidRPr="00383B0E">
        <w:t>: 10.1080/13562517.2012.696537.</w:t>
      </w:r>
    </w:p>
    <w:p w14:paraId="4C51240C" w14:textId="11871E79" w:rsidR="00FB3D36" w:rsidRDefault="00FB3D36">
      <w:pPr>
        <w:pStyle w:val="References"/>
      </w:pPr>
      <w:r w:rsidRPr="00FB3D36">
        <w:t xml:space="preserve">Chadha, D. (2015). Evaluating the impact of the graduate certificate in academic practice (GCAP) programme. </w:t>
      </w:r>
      <w:r w:rsidRPr="00B96B8F">
        <w:rPr>
          <w:i/>
          <w:iCs/>
        </w:rPr>
        <w:t>International Journal for Academic Development</w:t>
      </w:r>
      <w:r w:rsidRPr="00FB3D36">
        <w:t>, 20(1), 46-57.</w:t>
      </w:r>
    </w:p>
    <w:p w14:paraId="499E2985" w14:textId="7AF4BF59" w:rsidR="00494B09" w:rsidRPr="00383B0E" w:rsidRDefault="00494B09">
      <w:pPr>
        <w:pStyle w:val="References"/>
      </w:pPr>
      <w:r w:rsidRPr="00494B09">
        <w:t>CMA. (2015).</w:t>
      </w:r>
      <w:r w:rsidRPr="00494B09">
        <w:rPr>
          <w:i/>
          <w:iCs/>
        </w:rPr>
        <w:t xml:space="preserve"> Higher education providers: Consumer law. 60-second summary. </w:t>
      </w:r>
      <w:hyperlink r:id="rId15" w:history="1">
        <w:r w:rsidRPr="00494B09">
          <w:rPr>
            <w:rStyle w:val="Hyperlink"/>
          </w:rPr>
          <w:t>https://www.gov.uk/government/uploads/system/uploads/attachment_data/file/411392/HE_providers_60ss.pdf</w:t>
        </w:r>
      </w:hyperlink>
      <w:r w:rsidRPr="00494B09">
        <w:t xml:space="preserve"> [accessed 23rd May 2019]</w:t>
      </w:r>
    </w:p>
    <w:p w14:paraId="144D9AF0" w14:textId="740FDC61" w:rsidR="00DF7817" w:rsidRDefault="00DF7817">
      <w:pPr>
        <w:pStyle w:val="References"/>
      </w:pPr>
      <w:r w:rsidRPr="00383B0E">
        <w:lastRenderedPageBreak/>
        <w:t>Court</w:t>
      </w:r>
      <w:r w:rsidR="009A57C8">
        <w:t>ois, A. D. M., and</w:t>
      </w:r>
      <w:r w:rsidRPr="00383B0E">
        <w:t xml:space="preserve"> O'Keefe, T. (2015). Precarity in the ivory cage: Neoliberalism and casualisation of work in the Irish higher education sector. </w:t>
      </w:r>
      <w:r w:rsidRPr="009A57C8">
        <w:rPr>
          <w:i/>
        </w:rPr>
        <w:t>Journal for Critical Education Policy Studies</w:t>
      </w:r>
      <w:r w:rsidRPr="00383B0E">
        <w:t>, 13(1): 43-66.</w:t>
      </w:r>
    </w:p>
    <w:p w14:paraId="3DE9EA1B" w14:textId="1EEF7E28" w:rsidR="006D7B26" w:rsidRDefault="006D7B26">
      <w:pPr>
        <w:pStyle w:val="References"/>
      </w:pPr>
      <w:proofErr w:type="spellStart"/>
      <w:r w:rsidRPr="006D7B26">
        <w:t>Darder</w:t>
      </w:r>
      <w:proofErr w:type="spellEnd"/>
      <w:r>
        <w:t>, A.</w:t>
      </w:r>
      <w:r w:rsidRPr="006D7B26">
        <w:t> (2012) Neoliberalism in the Academic Borderlands: An On-going Struggle for Equality and Human Rights, </w:t>
      </w:r>
      <w:r w:rsidRPr="006D7B26">
        <w:rPr>
          <w:i/>
        </w:rPr>
        <w:t>Educational Studies</w:t>
      </w:r>
      <w:r w:rsidRPr="006D7B26">
        <w:t>, 48</w:t>
      </w:r>
      <w:r w:rsidR="00FB3D36">
        <w:t>(</w:t>
      </w:r>
      <w:r w:rsidRPr="006D7B26">
        <w:t>5</w:t>
      </w:r>
      <w:r w:rsidR="00FB3D36">
        <w:t>)</w:t>
      </w:r>
      <w:r w:rsidRPr="006D7B26">
        <w:t>, 412-426, DOI: </w:t>
      </w:r>
      <w:hyperlink r:id="rId16" w:history="1">
        <w:r w:rsidRPr="006D7B26">
          <w:rPr>
            <w:rStyle w:val="Hyperlink"/>
          </w:rPr>
          <w:t>10.1080/00131946.2012.714334</w:t>
        </w:r>
      </w:hyperlink>
    </w:p>
    <w:p w14:paraId="3300632D" w14:textId="26725BC6" w:rsidR="006D7B26" w:rsidRDefault="006D7B26">
      <w:pPr>
        <w:pStyle w:val="References"/>
      </w:pPr>
      <w:proofErr w:type="spellStart"/>
      <w:r w:rsidRPr="006D7B26">
        <w:t>Elenes</w:t>
      </w:r>
      <w:proofErr w:type="spellEnd"/>
      <w:r w:rsidRPr="006D7B26">
        <w:t>, C. A.</w:t>
      </w:r>
      <w:r>
        <w:t>, and</w:t>
      </w:r>
      <w:r w:rsidRPr="006D7B26">
        <w:t> Delgado Bernal, D. (2009). Latina/o education and the reciprocal relationsh</w:t>
      </w:r>
      <w:r w:rsidR="009A57C8">
        <w:t xml:space="preserve">ip between theory and practice. </w:t>
      </w:r>
      <w:r w:rsidRPr="006D7B26">
        <w:t xml:space="preserve">In E.G. Murillo, S. Villenas, R.T. Galván, J.S. Muñoz, C. Martinez, </w:t>
      </w:r>
      <w:r>
        <w:t>and</w:t>
      </w:r>
      <w:r w:rsidRPr="006D7B26">
        <w:t> M. Machado-Casas. (Eds.), </w:t>
      </w:r>
      <w:r w:rsidRPr="006D7B26">
        <w:rPr>
          <w:i/>
          <w:iCs/>
        </w:rPr>
        <w:t>Handbook of Latinos and education theory, research, and practice</w:t>
      </w:r>
      <w:r w:rsidRPr="006D7B26">
        <w:t> (pp. 63–89). New York, NY: Routledge. </w:t>
      </w:r>
    </w:p>
    <w:p w14:paraId="0C377441" w14:textId="38577B22" w:rsidR="001348A2" w:rsidRPr="00B96B8F" w:rsidRDefault="001348A2" w:rsidP="007E0936">
      <w:pPr>
        <w:pStyle w:val="References"/>
        <w:rPr>
          <w:lang w:val="en-US"/>
        </w:rPr>
      </w:pPr>
      <w:r w:rsidRPr="00B96B8F">
        <w:rPr>
          <w:lang w:val="en-US"/>
        </w:rPr>
        <w:t xml:space="preserve">Else, H. (2014). “Huge variation in graduate teaching assistants pay.” </w:t>
      </w:r>
      <w:r w:rsidRPr="00B96B8F">
        <w:rPr>
          <w:i/>
          <w:iCs/>
          <w:lang w:val="en-US"/>
        </w:rPr>
        <w:t xml:space="preserve">Times Higher Education, </w:t>
      </w:r>
      <w:r w:rsidRPr="00B96B8F">
        <w:rPr>
          <w:lang w:val="en-US"/>
        </w:rPr>
        <w:t xml:space="preserve">April 24. </w:t>
      </w:r>
      <w:hyperlink r:id="rId17" w:history="1">
        <w:r w:rsidRPr="00B96B8F">
          <w:rPr>
            <w:lang w:val="en-US"/>
          </w:rPr>
          <w:t xml:space="preserve">http://www.timeshighereducation.co.uk/news/huge-variation-in-graduate-teaching-assistants-pay/2012859.article  </w:t>
        </w:r>
      </w:hyperlink>
      <w:r w:rsidRPr="00B96B8F">
        <w:rPr>
          <w:lang w:val="en-US"/>
        </w:rPr>
        <w:t>[accessed 2nd Feb 2021]</w:t>
      </w:r>
    </w:p>
    <w:p w14:paraId="66DCD920" w14:textId="2CFFD057" w:rsidR="00FB3D36" w:rsidRDefault="00FB3D36" w:rsidP="00FB3D36">
      <w:pPr>
        <w:pStyle w:val="References"/>
        <w:rPr>
          <w:lang w:val="en-US"/>
        </w:rPr>
      </w:pPr>
      <w:proofErr w:type="spellStart"/>
      <w:r w:rsidRPr="00FB3D36">
        <w:rPr>
          <w:lang w:val="en-US"/>
        </w:rPr>
        <w:t>Emmioğlu</w:t>
      </w:r>
      <w:proofErr w:type="spellEnd"/>
      <w:r w:rsidRPr="00FB3D36">
        <w:rPr>
          <w:lang w:val="en-US"/>
        </w:rPr>
        <w:t xml:space="preserve">, E., McAlpine, L., &amp; Amundsen, C. (2017). </w:t>
      </w:r>
      <w:r>
        <w:rPr>
          <w:lang w:val="en-US"/>
        </w:rPr>
        <w:t>Doctoral students’ experiences of feeling (or not) like an academic</w:t>
      </w:r>
      <w:r w:rsidRPr="00FB3D36">
        <w:rPr>
          <w:lang w:val="en-US"/>
        </w:rPr>
        <w:t xml:space="preserve">. </w:t>
      </w:r>
      <w:r w:rsidRPr="00B96B8F">
        <w:rPr>
          <w:i/>
          <w:iCs/>
          <w:lang w:val="en-US"/>
        </w:rPr>
        <w:t>International Journal of Doctoral Studies</w:t>
      </w:r>
      <w:r w:rsidRPr="00FB3D36">
        <w:rPr>
          <w:lang w:val="en-US"/>
        </w:rPr>
        <w:t>, 12</w:t>
      </w:r>
      <w:r>
        <w:rPr>
          <w:lang w:val="en-US"/>
        </w:rPr>
        <w:t>,</w:t>
      </w:r>
      <w:r w:rsidRPr="00FB3D36">
        <w:t xml:space="preserve"> </w:t>
      </w:r>
      <w:r w:rsidRPr="00FB3D36">
        <w:rPr>
          <w:lang w:val="en-US"/>
        </w:rPr>
        <w:t>73-90. Retrieved from</w:t>
      </w:r>
      <w:r>
        <w:rPr>
          <w:lang w:val="en-US"/>
        </w:rPr>
        <w:t xml:space="preserve"> </w:t>
      </w:r>
      <w:hyperlink r:id="rId18" w:history="1">
        <w:r w:rsidR="007E0936" w:rsidRPr="00724095">
          <w:rPr>
            <w:rStyle w:val="Hyperlink"/>
            <w:lang w:val="en-US"/>
          </w:rPr>
          <w:t>http://www.informingscience.org/Publications/3727</w:t>
        </w:r>
      </w:hyperlink>
    </w:p>
    <w:p w14:paraId="6CE86F19" w14:textId="5AEF489A" w:rsidR="007E0936" w:rsidRDefault="007E0936" w:rsidP="00FB3D36">
      <w:pPr>
        <w:pStyle w:val="References"/>
        <w:rPr>
          <w:lang w:val="en-US"/>
        </w:rPr>
      </w:pPr>
      <w:r>
        <w:rPr>
          <w:lang w:val="en-US"/>
        </w:rPr>
        <w:t xml:space="preserve">Eurydice (2019) Types of Higher Education Institutions. </w:t>
      </w:r>
    </w:p>
    <w:p w14:paraId="298D33A0" w14:textId="2C59D3F3" w:rsidR="007E0936" w:rsidRDefault="005D3082" w:rsidP="00FB3D36">
      <w:pPr>
        <w:pStyle w:val="References"/>
        <w:rPr>
          <w:lang w:val="en-US"/>
        </w:rPr>
      </w:pPr>
      <w:hyperlink r:id="rId19" w:history="1">
        <w:r w:rsidR="007E0936" w:rsidRPr="0033333A">
          <w:rPr>
            <w:rStyle w:val="Hyperlink"/>
            <w:highlight w:val="yellow"/>
          </w:rPr>
          <w:t>https://eacea.ec.europa.eu/national-policies/eurydice/content/types-higher-education-institutions-91_en</w:t>
        </w:r>
      </w:hyperlink>
      <w:r w:rsidR="007E0936">
        <w:rPr>
          <w:rStyle w:val="Hyperlink"/>
        </w:rPr>
        <w:t xml:space="preserve"> [accessed 2nd Feb 2021]</w:t>
      </w:r>
    </w:p>
    <w:p w14:paraId="233BF83B" w14:textId="64C78C63" w:rsidR="00CF363F" w:rsidRDefault="00CF363F">
      <w:pPr>
        <w:pStyle w:val="References"/>
        <w:rPr>
          <w:lang w:val="en-US"/>
        </w:rPr>
      </w:pPr>
      <w:r w:rsidRPr="00CF363F">
        <w:rPr>
          <w:lang w:val="en-US"/>
        </w:rPr>
        <w:t>Fitzmaurice</w:t>
      </w:r>
      <w:r w:rsidR="00904592">
        <w:rPr>
          <w:lang w:val="en-US"/>
        </w:rPr>
        <w:t xml:space="preserve">, M. </w:t>
      </w:r>
      <w:r w:rsidRPr="00CF363F">
        <w:rPr>
          <w:lang w:val="en-US"/>
        </w:rPr>
        <w:t xml:space="preserve"> (2013) Constructing professional identity as a new academic: a moral </w:t>
      </w:r>
      <w:proofErr w:type="spellStart"/>
      <w:r w:rsidRPr="00CF363F">
        <w:rPr>
          <w:lang w:val="en-US"/>
        </w:rPr>
        <w:t>endeavour</w:t>
      </w:r>
      <w:proofErr w:type="spellEnd"/>
      <w:r w:rsidRPr="00CF363F">
        <w:rPr>
          <w:lang w:val="en-US"/>
        </w:rPr>
        <w:t xml:space="preserve">, </w:t>
      </w:r>
      <w:r w:rsidRPr="00CF363F">
        <w:rPr>
          <w:i/>
          <w:lang w:val="en-US"/>
        </w:rPr>
        <w:t>Studies in Higher Education</w:t>
      </w:r>
      <w:r w:rsidRPr="00CF363F">
        <w:rPr>
          <w:lang w:val="en-US"/>
        </w:rPr>
        <w:t>, 38</w:t>
      </w:r>
      <w:r w:rsidR="00FB3D36">
        <w:rPr>
          <w:lang w:val="en-US"/>
        </w:rPr>
        <w:t>(</w:t>
      </w:r>
      <w:r w:rsidRPr="00CF363F">
        <w:rPr>
          <w:lang w:val="en-US"/>
        </w:rPr>
        <w:t>4</w:t>
      </w:r>
      <w:r w:rsidR="00FB3D36">
        <w:rPr>
          <w:lang w:val="en-US"/>
        </w:rPr>
        <w:t>)</w:t>
      </w:r>
      <w:r w:rsidRPr="00CF363F">
        <w:rPr>
          <w:lang w:val="en-US"/>
        </w:rPr>
        <w:t xml:space="preserve">, 613-622, DOI: 10.1080/03075079.2011.594501 </w:t>
      </w:r>
    </w:p>
    <w:p w14:paraId="4749851E" w14:textId="48E302DA" w:rsidR="00415072" w:rsidRDefault="00415072">
      <w:pPr>
        <w:pStyle w:val="References"/>
        <w:rPr>
          <w:lang w:val="en-US"/>
        </w:rPr>
      </w:pPr>
      <w:r w:rsidRPr="00415072">
        <w:rPr>
          <w:lang w:val="en-US"/>
        </w:rPr>
        <w:t xml:space="preserve">Garbutt, R., Biermann, S., &amp; Offord, B. (2012). Into the borderlands: unruly pedagogy, tactile theory and the </w:t>
      </w:r>
      <w:proofErr w:type="spellStart"/>
      <w:r w:rsidRPr="00415072">
        <w:rPr>
          <w:lang w:val="en-US"/>
        </w:rPr>
        <w:t>decolonising</w:t>
      </w:r>
      <w:proofErr w:type="spellEnd"/>
      <w:r w:rsidRPr="00415072">
        <w:rPr>
          <w:lang w:val="en-US"/>
        </w:rPr>
        <w:t xml:space="preserve"> nation.</w:t>
      </w:r>
      <w:r w:rsidRPr="00B96B8F">
        <w:rPr>
          <w:i/>
          <w:iCs/>
          <w:lang w:val="en-US"/>
        </w:rPr>
        <w:t xml:space="preserve"> Critical Arts</w:t>
      </w:r>
      <w:r w:rsidRPr="00415072">
        <w:rPr>
          <w:lang w:val="en-US"/>
        </w:rPr>
        <w:t>, 26(1), 62-81.</w:t>
      </w:r>
    </w:p>
    <w:p w14:paraId="283C4D15" w14:textId="22238217" w:rsidR="00DA0E13" w:rsidRPr="00CF363F" w:rsidRDefault="00DA0E13">
      <w:pPr>
        <w:pStyle w:val="References"/>
        <w:rPr>
          <w:lang w:val="en-US"/>
        </w:rPr>
      </w:pPr>
      <w:r w:rsidRPr="00DA0E13">
        <w:rPr>
          <w:lang w:val="en-US"/>
        </w:rPr>
        <w:t xml:space="preserve">Gill, R. and </w:t>
      </w:r>
      <w:proofErr w:type="spellStart"/>
      <w:r w:rsidRPr="00DA0E13">
        <w:rPr>
          <w:lang w:val="en-US"/>
        </w:rPr>
        <w:t>Donaghue</w:t>
      </w:r>
      <w:proofErr w:type="spellEnd"/>
      <w:r w:rsidRPr="00DA0E13">
        <w:rPr>
          <w:lang w:val="en-US"/>
        </w:rPr>
        <w:t xml:space="preserve">, N. </w:t>
      </w:r>
      <w:r>
        <w:rPr>
          <w:lang w:val="en-US"/>
        </w:rPr>
        <w:t>(</w:t>
      </w:r>
      <w:r w:rsidRPr="00DA0E13">
        <w:rPr>
          <w:lang w:val="en-US"/>
        </w:rPr>
        <w:t>2016</w:t>
      </w:r>
      <w:r>
        <w:rPr>
          <w:lang w:val="en-US"/>
        </w:rPr>
        <w:t>)</w:t>
      </w:r>
      <w:r w:rsidR="00FB3D36">
        <w:rPr>
          <w:lang w:val="en-US"/>
        </w:rPr>
        <w:t>.</w:t>
      </w:r>
      <w:r w:rsidRPr="00DA0E13">
        <w:rPr>
          <w:lang w:val="en-US"/>
        </w:rPr>
        <w:t xml:space="preserve"> Resilience, apps and reluctant individualism: Technologies of self in the neoliberal academy. In </w:t>
      </w:r>
      <w:r w:rsidRPr="00B96B8F">
        <w:rPr>
          <w:i/>
          <w:iCs/>
          <w:lang w:val="en-US"/>
        </w:rPr>
        <w:t xml:space="preserve">Women's Studies International Forum </w:t>
      </w:r>
      <w:r w:rsidRPr="00DA0E13">
        <w:rPr>
          <w:lang w:val="en-US"/>
        </w:rPr>
        <w:t xml:space="preserve">(54, </w:t>
      </w:r>
      <w:r w:rsidR="00FB3D36">
        <w:rPr>
          <w:lang w:val="en-US"/>
        </w:rPr>
        <w:t xml:space="preserve">pp. </w:t>
      </w:r>
      <w:r w:rsidRPr="00DA0E13">
        <w:rPr>
          <w:lang w:val="en-US"/>
        </w:rPr>
        <w:t>91-99). Pergamon.</w:t>
      </w:r>
    </w:p>
    <w:p w14:paraId="1A275360" w14:textId="225E83F9" w:rsidR="00CF363F" w:rsidRPr="00CF363F" w:rsidRDefault="00CF363F">
      <w:pPr>
        <w:pStyle w:val="References"/>
        <w:rPr>
          <w:lang w:val="en-US"/>
        </w:rPr>
      </w:pPr>
      <w:r w:rsidRPr="00CF363F">
        <w:rPr>
          <w:lang w:val="en-US"/>
        </w:rPr>
        <w:t>Gill</w:t>
      </w:r>
      <w:r>
        <w:rPr>
          <w:lang w:val="en-US"/>
        </w:rPr>
        <w:t xml:space="preserve">, R. </w:t>
      </w:r>
      <w:r w:rsidRPr="00CF363F">
        <w:rPr>
          <w:lang w:val="en-US"/>
        </w:rPr>
        <w:t xml:space="preserve"> (2014)</w:t>
      </w:r>
      <w:r w:rsidR="00FB3D36">
        <w:rPr>
          <w:lang w:val="en-US"/>
        </w:rPr>
        <w:t>.</w:t>
      </w:r>
      <w:r w:rsidRPr="00CF363F">
        <w:rPr>
          <w:lang w:val="en-US"/>
        </w:rPr>
        <w:t xml:space="preserve"> Academics, Cultural Workers and Critical </w:t>
      </w:r>
      <w:proofErr w:type="spellStart"/>
      <w:r w:rsidRPr="00CF363F">
        <w:rPr>
          <w:lang w:val="en-US"/>
        </w:rPr>
        <w:t>Labour</w:t>
      </w:r>
      <w:proofErr w:type="spellEnd"/>
      <w:r w:rsidRPr="00CF363F">
        <w:rPr>
          <w:lang w:val="en-US"/>
        </w:rPr>
        <w:t xml:space="preserve"> Studies, </w:t>
      </w:r>
      <w:r w:rsidRPr="009A57C8">
        <w:rPr>
          <w:i/>
          <w:lang w:val="en-US"/>
        </w:rPr>
        <w:t>Journal of Cultural Economy</w:t>
      </w:r>
      <w:r w:rsidR="009A57C8">
        <w:rPr>
          <w:lang w:val="en-US"/>
        </w:rPr>
        <w:t>, 7(</w:t>
      </w:r>
      <w:r w:rsidRPr="00CF363F">
        <w:rPr>
          <w:lang w:val="en-US"/>
        </w:rPr>
        <w:t>1</w:t>
      </w:r>
      <w:r w:rsidR="009A57C8">
        <w:rPr>
          <w:lang w:val="en-US"/>
        </w:rPr>
        <w:t>)</w:t>
      </w:r>
      <w:r w:rsidRPr="00CF363F">
        <w:rPr>
          <w:lang w:val="en-US"/>
        </w:rPr>
        <w:t xml:space="preserve">, 12-30, DOI: 10.1080/17530350.2013.861763 </w:t>
      </w:r>
    </w:p>
    <w:p w14:paraId="551074F8" w14:textId="7859C2B4" w:rsidR="00DF7817" w:rsidRDefault="00DF7817">
      <w:pPr>
        <w:pStyle w:val="References"/>
      </w:pPr>
      <w:proofErr w:type="spellStart"/>
      <w:r w:rsidRPr="00383B0E">
        <w:t>Gourlay</w:t>
      </w:r>
      <w:proofErr w:type="spellEnd"/>
      <w:r w:rsidRPr="00383B0E">
        <w:t xml:space="preserve">, L., </w:t>
      </w:r>
      <w:r w:rsidR="00875DB7">
        <w:t>and</w:t>
      </w:r>
      <w:r w:rsidR="00875DB7" w:rsidRPr="00383B0E">
        <w:t xml:space="preserve"> </w:t>
      </w:r>
      <w:r w:rsidRPr="00383B0E">
        <w:t xml:space="preserve">Stevenson, J. (2017). Teaching excellence in higher education: Critical perspectives. </w:t>
      </w:r>
      <w:r w:rsidRPr="009A57C8">
        <w:rPr>
          <w:i/>
        </w:rPr>
        <w:t>Teaching in Higher Education</w:t>
      </w:r>
      <w:r w:rsidRPr="00383B0E">
        <w:t>, 22</w:t>
      </w:r>
      <w:r w:rsidR="00FB3D36">
        <w:t>:</w:t>
      </w:r>
      <w:r w:rsidRPr="00383B0E">
        <w:t>4, 391–395. </w:t>
      </w:r>
    </w:p>
    <w:p w14:paraId="15637A55" w14:textId="36FA8CEE" w:rsidR="00CF363F" w:rsidRPr="00CF363F" w:rsidRDefault="00CF363F">
      <w:pPr>
        <w:pStyle w:val="References"/>
        <w:rPr>
          <w:lang w:val="en-US"/>
        </w:rPr>
      </w:pPr>
      <w:r w:rsidRPr="00CF363F">
        <w:rPr>
          <w:lang w:val="en-US"/>
        </w:rPr>
        <w:lastRenderedPageBreak/>
        <w:t>Gunn</w:t>
      </w:r>
      <w:r>
        <w:rPr>
          <w:lang w:val="en-US"/>
        </w:rPr>
        <w:t>, V.</w:t>
      </w:r>
      <w:r w:rsidRPr="00CF363F">
        <w:rPr>
          <w:lang w:val="en-US"/>
        </w:rPr>
        <w:t xml:space="preserve"> (2007) What do graduate teaching assistants’ perceptions of pedagogy suggest about current approaches to their vocational </w:t>
      </w:r>
      <w:proofErr w:type="gramStart"/>
      <w:r w:rsidRPr="00CF363F">
        <w:rPr>
          <w:lang w:val="en-US"/>
        </w:rPr>
        <w:t>development?,</w:t>
      </w:r>
      <w:proofErr w:type="gramEnd"/>
      <w:r w:rsidRPr="00CF363F">
        <w:rPr>
          <w:lang w:val="en-US"/>
        </w:rPr>
        <w:t xml:space="preserve"> </w:t>
      </w:r>
      <w:r w:rsidRPr="00CF363F">
        <w:rPr>
          <w:i/>
          <w:lang w:val="en-US"/>
        </w:rPr>
        <w:t>Journal of Vocational Education &amp; Training</w:t>
      </w:r>
      <w:r w:rsidRPr="00CF363F">
        <w:rPr>
          <w:lang w:val="en-US"/>
        </w:rPr>
        <w:t xml:space="preserve">, 59:4, 535-549, DOI: 10.1080/13636820701650992 </w:t>
      </w:r>
    </w:p>
    <w:p w14:paraId="66EC3002" w14:textId="268F5ACB" w:rsidR="00DF7817" w:rsidRDefault="00DF7817">
      <w:pPr>
        <w:pStyle w:val="References"/>
      </w:pPr>
      <w:proofErr w:type="spellStart"/>
      <w:r w:rsidRPr="00383B0E">
        <w:t>Heijstra</w:t>
      </w:r>
      <w:proofErr w:type="spellEnd"/>
      <w:r w:rsidRPr="00383B0E">
        <w:t xml:space="preserve">, T.M., </w:t>
      </w:r>
      <w:proofErr w:type="spellStart"/>
      <w:r w:rsidRPr="00383B0E">
        <w:t>Steinthorsdóttir</w:t>
      </w:r>
      <w:proofErr w:type="spellEnd"/>
      <w:r w:rsidRPr="00383B0E">
        <w:t xml:space="preserve">, F.S. and </w:t>
      </w:r>
      <w:proofErr w:type="spellStart"/>
      <w:r w:rsidRPr="00383B0E">
        <w:t>Einarsdóttir</w:t>
      </w:r>
      <w:proofErr w:type="spellEnd"/>
      <w:r w:rsidRPr="00383B0E">
        <w:t>, T.</w:t>
      </w:r>
      <w:r w:rsidR="00DA0E13">
        <w:t xml:space="preserve"> </w:t>
      </w:r>
      <w:r w:rsidRPr="00383B0E">
        <w:t>(2017</w:t>
      </w:r>
      <w:proofErr w:type="gramStart"/>
      <w:r w:rsidRPr="00383B0E">
        <w:t>).Academic</w:t>
      </w:r>
      <w:proofErr w:type="gramEnd"/>
      <w:r w:rsidRPr="00383B0E">
        <w:t xml:space="preserve"> career making and the double-edged role of academic housework. </w:t>
      </w:r>
      <w:r w:rsidR="009A57C8">
        <w:rPr>
          <w:i/>
        </w:rPr>
        <w:t>Gender and E</w:t>
      </w:r>
      <w:r w:rsidRPr="009A57C8">
        <w:rPr>
          <w:i/>
        </w:rPr>
        <w:t>ducation</w:t>
      </w:r>
      <w:r w:rsidRPr="00383B0E">
        <w:t>, 29(6), 764-780</w:t>
      </w:r>
    </w:p>
    <w:p w14:paraId="6EC2682F" w14:textId="2F9E8068" w:rsidR="00B409C0" w:rsidRPr="000F60B9" w:rsidRDefault="00B409C0" w:rsidP="001348A2">
      <w:pPr>
        <w:pStyle w:val="References"/>
      </w:pPr>
      <w:r w:rsidRPr="00B96B8F">
        <w:t xml:space="preserve">HESA (2021) </w:t>
      </w:r>
      <w:r w:rsidRPr="00B96B8F">
        <w:rPr>
          <w:i/>
          <w:iCs/>
        </w:rPr>
        <w:t>Higher Education Student Statistics: UK, 2019/20 - Student numbers and characteristics</w:t>
      </w:r>
      <w:r w:rsidR="001348A2" w:rsidRPr="00B96B8F">
        <w:rPr>
          <w:i/>
          <w:iCs/>
        </w:rPr>
        <w:t>.</w:t>
      </w:r>
      <w:r w:rsidR="001348A2" w:rsidRPr="00B96B8F">
        <w:t xml:space="preserve"> </w:t>
      </w:r>
      <w:hyperlink r:id="rId20" w:history="1">
        <w:r w:rsidR="001348A2" w:rsidRPr="00B96B8F">
          <w:rPr>
            <w:rStyle w:val="Hyperlink"/>
          </w:rPr>
          <w:t>https://www.hesa.ac.uk/news/27-01-2021/sb258-higher-education-student-statistics/numbers</w:t>
        </w:r>
      </w:hyperlink>
      <w:r w:rsidR="001348A2" w:rsidRPr="00B96B8F">
        <w:t xml:space="preserve"> [accessed 2nd Feb 2021]</w:t>
      </w:r>
    </w:p>
    <w:p w14:paraId="5081B400" w14:textId="023456C0" w:rsidR="0004010D" w:rsidRDefault="0004010D">
      <w:pPr>
        <w:pStyle w:val="References"/>
      </w:pPr>
      <w:r w:rsidRPr="0004010D">
        <w:t xml:space="preserve">Jackson, D. (2016). Re-conceptualising graduate employability: The importance of pre-professional identity. </w:t>
      </w:r>
      <w:r w:rsidRPr="00B96B8F">
        <w:rPr>
          <w:i/>
          <w:iCs/>
        </w:rPr>
        <w:t>Higher Education Research &amp; Development</w:t>
      </w:r>
      <w:r w:rsidRPr="0004010D">
        <w:t>, 35(5), 925-939.</w:t>
      </w:r>
    </w:p>
    <w:p w14:paraId="14DB90A7" w14:textId="6C8DE9CD" w:rsidR="00FB3D36" w:rsidRDefault="00FB3D36">
      <w:pPr>
        <w:pStyle w:val="References"/>
      </w:pPr>
      <w:r w:rsidRPr="00FB3D36">
        <w:t xml:space="preserve">Jordan, K., &amp; Howe, C. (2018). The perceived benefits and problems associated with teaching activities undertaken by doctoral students. </w:t>
      </w:r>
      <w:r w:rsidRPr="00B96B8F">
        <w:rPr>
          <w:i/>
          <w:iCs/>
        </w:rPr>
        <w:t>Teaching in Higher Education</w:t>
      </w:r>
      <w:r w:rsidRPr="00FB3D36">
        <w:t>, 23(4), 504-521.</w:t>
      </w:r>
    </w:p>
    <w:p w14:paraId="1B1C0F88" w14:textId="43C22139" w:rsidR="00845EF2" w:rsidRDefault="00845EF2">
      <w:pPr>
        <w:pStyle w:val="References"/>
      </w:pPr>
      <w:r w:rsidRPr="00845EF2">
        <w:t>Land, R., Rattray, J. &amp; Vivian, P.</w:t>
      </w:r>
      <w:r>
        <w:t xml:space="preserve"> (2014)</w:t>
      </w:r>
      <w:r w:rsidRPr="00845EF2">
        <w:t xml:space="preserve"> Learning in the liminal space: a semiotic approach to threshold concepts. </w:t>
      </w:r>
      <w:r w:rsidRPr="00845EF2">
        <w:rPr>
          <w:i/>
          <w:iCs/>
        </w:rPr>
        <w:t>High</w:t>
      </w:r>
      <w:r>
        <w:rPr>
          <w:i/>
          <w:iCs/>
        </w:rPr>
        <w:t>er</w:t>
      </w:r>
      <w:r w:rsidRPr="00845EF2">
        <w:rPr>
          <w:i/>
          <w:iCs/>
        </w:rPr>
        <w:t xml:space="preserve"> Educ</w:t>
      </w:r>
      <w:r>
        <w:rPr>
          <w:i/>
          <w:iCs/>
        </w:rPr>
        <w:t>ation</w:t>
      </w:r>
      <w:r w:rsidRPr="00845EF2">
        <w:t> </w:t>
      </w:r>
      <w:r w:rsidRPr="00845EF2">
        <w:rPr>
          <w:b/>
          <w:bCs/>
        </w:rPr>
        <w:t>67, </w:t>
      </w:r>
      <w:r>
        <w:t xml:space="preserve">199–217 </w:t>
      </w:r>
      <w:hyperlink r:id="rId21" w:history="1">
        <w:r w:rsidR="0025113C" w:rsidRPr="000A6995">
          <w:rPr>
            <w:rStyle w:val="Hyperlink"/>
          </w:rPr>
          <w:t>https://doi.org/10.1007/s10734-013-9705</w:t>
        </w:r>
      </w:hyperlink>
    </w:p>
    <w:p w14:paraId="2008B6DB" w14:textId="6AC87EC4" w:rsidR="0025113C" w:rsidRDefault="0025113C">
      <w:pPr>
        <w:pStyle w:val="References"/>
        <w:rPr>
          <w:rStyle w:val="Hyperlink"/>
        </w:rPr>
      </w:pPr>
      <w:r w:rsidRPr="0025113C">
        <w:t>Lee</w:t>
      </w:r>
      <w:r>
        <w:t>, A.</w:t>
      </w:r>
      <w:r w:rsidRPr="0025113C">
        <w:t> (2008) How are doctoral students supervised? Concepts of doctoral research supervision, </w:t>
      </w:r>
      <w:r w:rsidRPr="009A57C8">
        <w:rPr>
          <w:i/>
        </w:rPr>
        <w:t>Studies in Higher Education</w:t>
      </w:r>
      <w:r w:rsidRPr="0025113C">
        <w:t>, 33:3, 267-281, DOI: </w:t>
      </w:r>
      <w:hyperlink r:id="rId22" w:history="1">
        <w:r w:rsidRPr="0025113C">
          <w:rPr>
            <w:rStyle w:val="Hyperlink"/>
          </w:rPr>
          <w:t>10.1080/03075070802049202</w:t>
        </w:r>
      </w:hyperlink>
    </w:p>
    <w:p w14:paraId="28B41586" w14:textId="1114DEE5" w:rsidR="00842CC3" w:rsidRDefault="00842CC3">
      <w:pPr>
        <w:pStyle w:val="References"/>
      </w:pPr>
      <w:proofErr w:type="spellStart"/>
      <w:r w:rsidRPr="00842CC3">
        <w:t>Mantai</w:t>
      </w:r>
      <w:proofErr w:type="spellEnd"/>
      <w:r w:rsidRPr="00842CC3">
        <w:t xml:space="preserve">, L. (2019). “Feeling more academic now”: Doctoral stories of becoming an academic. </w:t>
      </w:r>
      <w:r w:rsidRPr="00B96B8F">
        <w:rPr>
          <w:i/>
          <w:iCs/>
        </w:rPr>
        <w:t>The Australian Educational Researcher</w:t>
      </w:r>
      <w:r w:rsidRPr="00842CC3">
        <w:t>, 46(1), 137-153.</w:t>
      </w:r>
    </w:p>
    <w:p w14:paraId="6E9823AA" w14:textId="71DF4586" w:rsidR="00845EF2" w:rsidRPr="00845EF2" w:rsidRDefault="00845EF2">
      <w:pPr>
        <w:pStyle w:val="References"/>
        <w:rPr>
          <w:bCs/>
        </w:rPr>
      </w:pPr>
      <w:proofErr w:type="spellStart"/>
      <w:r w:rsidRPr="00845EF2">
        <w:rPr>
          <w:bCs/>
        </w:rPr>
        <w:t>McCaig</w:t>
      </w:r>
      <w:proofErr w:type="spellEnd"/>
      <w:r w:rsidRPr="00845EF2">
        <w:rPr>
          <w:bCs/>
        </w:rPr>
        <w:t xml:space="preserve"> C (2018) </w:t>
      </w:r>
      <w:r w:rsidRPr="00845EF2">
        <w:rPr>
          <w:bCs/>
          <w:i/>
          <w:iCs/>
        </w:rPr>
        <w:t>The Marketisation of English Higher Education: A Policy Analysis of a Risk.</w:t>
      </w:r>
      <w:r w:rsidRPr="00845EF2">
        <w:rPr>
          <w:bCs/>
        </w:rPr>
        <w:t xml:space="preserve"> Bingley: Emerald Publishing.</w:t>
      </w:r>
    </w:p>
    <w:p w14:paraId="7FD1988C" w14:textId="1D7B1720" w:rsidR="00845EF2" w:rsidRPr="00845EF2" w:rsidRDefault="00845EF2">
      <w:pPr>
        <w:pStyle w:val="References"/>
      </w:pPr>
      <w:r>
        <w:t>Meyer, J.H.F, Land, R. (2005).</w:t>
      </w:r>
      <w:r w:rsidRPr="00FE7EBB">
        <w:t xml:space="preserve"> Threshold concepts and troublesome knowledge (2): Epistemological considerations and a conceptual framework for teaching and learning</w:t>
      </w:r>
      <w:r>
        <w:t xml:space="preserve">. </w:t>
      </w:r>
      <w:r w:rsidRPr="009A57C8">
        <w:rPr>
          <w:i/>
        </w:rPr>
        <w:t>Higher Education</w:t>
      </w:r>
      <w:r>
        <w:t>, 49: 373-388.</w:t>
      </w:r>
    </w:p>
    <w:p w14:paraId="76FE951A" w14:textId="26D630BE" w:rsidR="00845EF2" w:rsidRDefault="00845EF2">
      <w:pPr>
        <w:pStyle w:val="References"/>
      </w:pPr>
      <w:r w:rsidRPr="00845EF2">
        <w:t xml:space="preserve">Naidoo R and Williams J (2015) The neoliberal regime in English higher education: charters, consumers and the erosion of the public good. </w:t>
      </w:r>
      <w:r w:rsidRPr="00845EF2">
        <w:rPr>
          <w:i/>
        </w:rPr>
        <w:t xml:space="preserve">Critical Studies in Education </w:t>
      </w:r>
      <w:r w:rsidRPr="00845EF2">
        <w:rPr>
          <w:iCs/>
        </w:rPr>
        <w:t>56</w:t>
      </w:r>
      <w:r w:rsidRPr="00845EF2">
        <w:t>(2): 208-223.</w:t>
      </w:r>
    </w:p>
    <w:p w14:paraId="1CF42AE3" w14:textId="5EC52EB4" w:rsidR="008B0F5B" w:rsidRPr="00383B0E" w:rsidRDefault="008B0F5B">
      <w:pPr>
        <w:pStyle w:val="References"/>
      </w:pPr>
      <w:r w:rsidRPr="008B0F5B">
        <w:lastRenderedPageBreak/>
        <w:t xml:space="preserve">Neary, M. (2016). Teaching Excellence Framework: A critical response and an alternative future. </w:t>
      </w:r>
      <w:r w:rsidRPr="009A57C8">
        <w:rPr>
          <w:i/>
        </w:rPr>
        <w:t>Journal of Contemporary European Research</w:t>
      </w:r>
      <w:r w:rsidRPr="008B0F5B">
        <w:t>, 12(3), 690–695.</w:t>
      </w:r>
    </w:p>
    <w:p w14:paraId="0DFAA9C0" w14:textId="7C53CCBB" w:rsidR="00DF7817" w:rsidRDefault="00DF7817">
      <w:pPr>
        <w:pStyle w:val="References"/>
      </w:pPr>
      <w:proofErr w:type="spellStart"/>
      <w:r w:rsidRPr="00383B0E">
        <w:t>Natanel</w:t>
      </w:r>
      <w:proofErr w:type="spellEnd"/>
      <w:r w:rsidRPr="00383B0E">
        <w:t xml:space="preserve">, K. (2017) </w:t>
      </w:r>
      <w:r w:rsidRPr="009A57C8">
        <w:rPr>
          <w:i/>
        </w:rPr>
        <w:t>On Becoming “Bad Subjects”: Teaching to Transgress in Neoliberal Education. Being</w:t>
      </w:r>
      <w:r w:rsidR="009A57C8" w:rsidRPr="009A57C8">
        <w:rPr>
          <w:i/>
        </w:rPr>
        <w:t xml:space="preserve"> </w:t>
      </w:r>
      <w:r w:rsidRPr="009A57C8">
        <w:rPr>
          <w:i/>
        </w:rPr>
        <w:t>an early career feminist academic</w:t>
      </w:r>
      <w:r w:rsidRPr="00383B0E">
        <w:t xml:space="preserve"> (pp. 239-253). Palgrave Macmillan, London</w:t>
      </w:r>
    </w:p>
    <w:p w14:paraId="60C14623" w14:textId="77777777" w:rsidR="00D01E42" w:rsidRPr="00904592" w:rsidRDefault="00D01E42">
      <w:pPr>
        <w:pStyle w:val="References"/>
        <w:rPr>
          <w:lang w:val="en-US"/>
        </w:rPr>
      </w:pPr>
      <w:proofErr w:type="spellStart"/>
      <w:r w:rsidRPr="000C0483">
        <w:t>Paasi</w:t>
      </w:r>
      <w:proofErr w:type="spellEnd"/>
      <w:r w:rsidRPr="000C0483">
        <w:t>, A. (2009). Bounded spaces in a ‘borderless world’: border studies, power and the anatomy of territory. </w:t>
      </w:r>
      <w:r w:rsidRPr="000C0483">
        <w:rPr>
          <w:i/>
          <w:iCs/>
        </w:rPr>
        <w:t>Journal of Power</w:t>
      </w:r>
      <w:r w:rsidRPr="000C0483">
        <w:t>, 2(2), 213-234.</w:t>
      </w:r>
    </w:p>
    <w:p w14:paraId="06329756" w14:textId="649AEAB2" w:rsidR="00875DB7" w:rsidRDefault="00875DB7">
      <w:pPr>
        <w:pStyle w:val="References"/>
        <w:rPr>
          <w:lang w:val="en-US"/>
        </w:rPr>
      </w:pPr>
      <w:r w:rsidRPr="00875DB7">
        <w:rPr>
          <w:lang w:val="en-US"/>
        </w:rPr>
        <w:t>Park</w:t>
      </w:r>
      <w:r>
        <w:rPr>
          <w:lang w:val="en-US"/>
        </w:rPr>
        <w:t>, C.  (20</w:t>
      </w:r>
      <w:r w:rsidR="001F4A49">
        <w:rPr>
          <w:lang w:val="en-US"/>
        </w:rPr>
        <w:t>04</w:t>
      </w:r>
      <w:r w:rsidRPr="00875DB7">
        <w:rPr>
          <w:lang w:val="en-US"/>
        </w:rPr>
        <w:t xml:space="preserve">) The graduate teaching assistant (GTA): lessons from North American experience, </w:t>
      </w:r>
      <w:r w:rsidRPr="00875DB7">
        <w:rPr>
          <w:i/>
          <w:lang w:val="en-US"/>
        </w:rPr>
        <w:t>Teaching in Higher Education</w:t>
      </w:r>
      <w:r w:rsidRPr="00875DB7">
        <w:rPr>
          <w:lang w:val="en-US"/>
        </w:rPr>
        <w:t xml:space="preserve">, 9:3, 349-361, DOI: 10.1080/1356251042000216660 </w:t>
      </w:r>
    </w:p>
    <w:p w14:paraId="37F1689A" w14:textId="0095BF91" w:rsidR="00845EF2" w:rsidRPr="00845EF2" w:rsidRDefault="00845EF2">
      <w:pPr>
        <w:pStyle w:val="References"/>
      </w:pPr>
      <w:proofErr w:type="spellStart"/>
      <w:r w:rsidRPr="00845EF2">
        <w:rPr>
          <w:bCs/>
        </w:rPr>
        <w:t>Raaper</w:t>
      </w:r>
      <w:proofErr w:type="spellEnd"/>
      <w:r w:rsidRPr="00845EF2">
        <w:rPr>
          <w:bCs/>
        </w:rPr>
        <w:t>, R.</w:t>
      </w:r>
      <w:r w:rsidRPr="00845EF2">
        <w:t> (2016). </w:t>
      </w:r>
      <w:r w:rsidRPr="009D2A8D">
        <w:t>Academic perceptions of higher education assessment processes in neoliberal academia</w:t>
      </w:r>
      <w:r w:rsidRPr="00845EF2">
        <w:t>. </w:t>
      </w:r>
      <w:r w:rsidRPr="00845EF2">
        <w:rPr>
          <w:i/>
          <w:iCs/>
        </w:rPr>
        <w:t>Critical Studies in Education</w:t>
      </w:r>
      <w:r w:rsidRPr="00845EF2">
        <w:t> </w:t>
      </w:r>
      <w:r w:rsidRPr="00845EF2">
        <w:rPr>
          <w:bCs/>
        </w:rPr>
        <w:t>57</w:t>
      </w:r>
      <w:r w:rsidRPr="00845EF2">
        <w:t>(2): 175-190.</w:t>
      </w:r>
    </w:p>
    <w:p w14:paraId="6AD5F368" w14:textId="3534D654" w:rsidR="00845EF2" w:rsidRDefault="00845EF2">
      <w:pPr>
        <w:pStyle w:val="References"/>
        <w:rPr>
          <w:bCs/>
        </w:rPr>
      </w:pPr>
      <w:proofErr w:type="spellStart"/>
      <w:r w:rsidRPr="00845EF2">
        <w:rPr>
          <w:bCs/>
        </w:rPr>
        <w:t>Raaper</w:t>
      </w:r>
      <w:proofErr w:type="spellEnd"/>
      <w:r w:rsidRPr="00845EF2">
        <w:rPr>
          <w:bCs/>
        </w:rPr>
        <w:t>, R. (2018). </w:t>
      </w:r>
      <w:r w:rsidRPr="009D2A8D">
        <w:rPr>
          <w:bCs/>
        </w:rPr>
        <w:t xml:space="preserve">'Peacekeepers’ and ‘machine factories’ tracing Graduate Teaching Assistant subjectivity in a </w:t>
      </w:r>
      <w:proofErr w:type="spellStart"/>
      <w:r w:rsidRPr="009D2A8D">
        <w:rPr>
          <w:bCs/>
        </w:rPr>
        <w:t>neoliberalised</w:t>
      </w:r>
      <w:proofErr w:type="spellEnd"/>
      <w:r w:rsidRPr="009D2A8D">
        <w:rPr>
          <w:bCs/>
        </w:rPr>
        <w:t xml:space="preserve"> university</w:t>
      </w:r>
      <w:r w:rsidRPr="00845EF2">
        <w:rPr>
          <w:bCs/>
        </w:rPr>
        <w:t>. </w:t>
      </w:r>
      <w:r w:rsidRPr="00845EF2">
        <w:rPr>
          <w:bCs/>
          <w:i/>
          <w:iCs/>
        </w:rPr>
        <w:t>British Journal of Sociology of Education</w:t>
      </w:r>
      <w:r w:rsidRPr="00845EF2">
        <w:rPr>
          <w:bCs/>
        </w:rPr>
        <w:t> 39(4): 421-435.</w:t>
      </w:r>
    </w:p>
    <w:p w14:paraId="31C01E28" w14:textId="61699BB0" w:rsidR="009D2A8D" w:rsidRPr="00845EF2" w:rsidRDefault="009D2A8D">
      <w:pPr>
        <w:pStyle w:val="References"/>
      </w:pPr>
      <w:proofErr w:type="spellStart"/>
      <w:r w:rsidRPr="009D2A8D">
        <w:t>Rienties</w:t>
      </w:r>
      <w:proofErr w:type="spellEnd"/>
      <w:r w:rsidRPr="009D2A8D">
        <w:t>, B.</w:t>
      </w:r>
      <w:r w:rsidR="003D48E5">
        <w:t xml:space="preserve"> and</w:t>
      </w:r>
      <w:r w:rsidRPr="009D2A8D">
        <w:t xml:space="preserve"> </w:t>
      </w:r>
      <w:proofErr w:type="spellStart"/>
      <w:r w:rsidRPr="009D2A8D">
        <w:t>Hosein</w:t>
      </w:r>
      <w:proofErr w:type="spellEnd"/>
      <w:r w:rsidRPr="009D2A8D">
        <w:t xml:space="preserve">, A. (2015). Unpacking (in)formal learning in an academic development programme: a mixed-method social network perspective. </w:t>
      </w:r>
      <w:r w:rsidRPr="009D2A8D">
        <w:rPr>
          <w:i/>
          <w:iCs/>
        </w:rPr>
        <w:t>International Journal for Academic Development</w:t>
      </w:r>
      <w:r w:rsidRPr="009D2A8D">
        <w:t>, 20(2)</w:t>
      </w:r>
      <w:r>
        <w:t>:</w:t>
      </w:r>
      <w:r w:rsidRPr="009D2A8D">
        <w:t xml:space="preserve"> 163-177.</w:t>
      </w:r>
    </w:p>
    <w:p w14:paraId="516476E8" w14:textId="0F52C3AB" w:rsidR="003D48E5" w:rsidRDefault="003D48E5">
      <w:pPr>
        <w:pStyle w:val="References"/>
        <w:rPr>
          <w:bCs/>
        </w:rPr>
      </w:pPr>
      <w:proofErr w:type="spellStart"/>
      <w:r w:rsidRPr="003D48E5">
        <w:rPr>
          <w:bCs/>
        </w:rPr>
        <w:t>Rienties</w:t>
      </w:r>
      <w:proofErr w:type="spellEnd"/>
      <w:r w:rsidRPr="003D48E5">
        <w:rPr>
          <w:bCs/>
        </w:rPr>
        <w:t>, B.</w:t>
      </w:r>
      <w:r>
        <w:rPr>
          <w:bCs/>
        </w:rPr>
        <w:t xml:space="preserve"> </w:t>
      </w:r>
      <w:proofErr w:type="gramStart"/>
      <w:r>
        <w:rPr>
          <w:bCs/>
        </w:rPr>
        <w:t xml:space="preserve">and </w:t>
      </w:r>
      <w:r w:rsidRPr="003D48E5">
        <w:rPr>
          <w:bCs/>
        </w:rPr>
        <w:t xml:space="preserve"> </w:t>
      </w:r>
      <w:proofErr w:type="spellStart"/>
      <w:r w:rsidRPr="003D48E5">
        <w:rPr>
          <w:bCs/>
        </w:rPr>
        <w:t>Hosein</w:t>
      </w:r>
      <w:proofErr w:type="spellEnd"/>
      <w:proofErr w:type="gramEnd"/>
      <w:r w:rsidRPr="003D48E5">
        <w:rPr>
          <w:bCs/>
        </w:rPr>
        <w:t xml:space="preserve">, A. (2020). Complex transitions of early career academics (ECA): a mixed method study of with whom ECA develop and maintain new networks. </w:t>
      </w:r>
      <w:r w:rsidRPr="003D48E5">
        <w:rPr>
          <w:bCs/>
          <w:i/>
          <w:iCs/>
        </w:rPr>
        <w:t>Frontiers in Education</w:t>
      </w:r>
      <w:r>
        <w:rPr>
          <w:bCs/>
        </w:rPr>
        <w:t xml:space="preserve">, 5(137). </w:t>
      </w:r>
      <w:r w:rsidRPr="003D48E5">
        <w:rPr>
          <w:bCs/>
        </w:rPr>
        <w:t>doi:10.3389/feduc.2020.00137</w:t>
      </w:r>
    </w:p>
    <w:p w14:paraId="75293E60" w14:textId="4F9A9390" w:rsidR="00BF6E62" w:rsidRDefault="00BF6E62">
      <w:pPr>
        <w:pStyle w:val="References"/>
        <w:rPr>
          <w:bCs/>
        </w:rPr>
      </w:pPr>
      <w:r>
        <w:rPr>
          <w:bCs/>
        </w:rPr>
        <w:t>UCU (2016).</w:t>
      </w:r>
      <w:r w:rsidRPr="00B96B8F">
        <w:rPr>
          <w:bCs/>
          <w:i/>
          <w:iCs/>
        </w:rPr>
        <w:t xml:space="preserve"> Precarious Work in Higher Education: A Snapshot of Insecure Contracts and Institutional Attitudes</w:t>
      </w:r>
      <w:r>
        <w:rPr>
          <w:bCs/>
        </w:rPr>
        <w:t xml:space="preserve">. </w:t>
      </w:r>
      <w:hyperlink r:id="rId23" w:history="1">
        <w:r w:rsidRPr="00533E59">
          <w:rPr>
            <w:rStyle w:val="Hyperlink"/>
            <w:bCs/>
          </w:rPr>
          <w:t>https://www.ucu.org.uk/media/7995/Precarious-work-in-higher-education-a-snapshot-of-insecure-contracts-and-institutional-attitudes-Apr-16/pdf/ucu_precariouscontract_hereport_apr16.pdf</w:t>
        </w:r>
      </w:hyperlink>
      <w:r>
        <w:rPr>
          <w:bCs/>
        </w:rPr>
        <w:t xml:space="preserve">  </w:t>
      </w:r>
    </w:p>
    <w:p w14:paraId="77AEEA2B" w14:textId="502042EF" w:rsidR="00845EF2" w:rsidRDefault="00845EF2">
      <w:pPr>
        <w:pStyle w:val="References"/>
        <w:rPr>
          <w:rStyle w:val="Hyperlink"/>
          <w:bCs/>
        </w:rPr>
      </w:pPr>
      <w:r w:rsidRPr="009D2A8D">
        <w:rPr>
          <w:bCs/>
        </w:rPr>
        <w:t>UCU (2018)</w:t>
      </w:r>
      <w:r w:rsidR="009D2A8D" w:rsidRPr="009D2A8D">
        <w:rPr>
          <w:bCs/>
        </w:rPr>
        <w:t xml:space="preserve">. </w:t>
      </w:r>
      <w:r w:rsidR="009D2A8D" w:rsidRPr="00B96B8F">
        <w:rPr>
          <w:bCs/>
          <w:i/>
          <w:iCs/>
        </w:rPr>
        <w:t>Precarious education: how much university teaching is being delivered by hourly-paid academics</w:t>
      </w:r>
      <w:r w:rsidR="009D2A8D" w:rsidRPr="009D2A8D">
        <w:rPr>
          <w:bCs/>
        </w:rPr>
        <w:t>?</w:t>
      </w:r>
      <w:r w:rsidRPr="009D2A8D">
        <w:rPr>
          <w:bCs/>
        </w:rPr>
        <w:t xml:space="preserve"> </w:t>
      </w:r>
      <w:hyperlink r:id="rId24" w:history="1">
        <w:r w:rsidRPr="009D2A8D">
          <w:rPr>
            <w:rStyle w:val="Hyperlink"/>
            <w:bCs/>
          </w:rPr>
          <w:t>https://www.ucu.org.uk/media/9258/uni-teaching-by-hp-staff-march-2018/pdf/uniteachingbyhpstaffmarch</w:t>
        </w:r>
      </w:hyperlink>
    </w:p>
    <w:p w14:paraId="00B4A4AB" w14:textId="762516B0" w:rsidR="001348A2" w:rsidRDefault="001348A2" w:rsidP="001348A2">
      <w:pPr>
        <w:pStyle w:val="References"/>
      </w:pPr>
      <w:r w:rsidRPr="000F60B9">
        <w:rPr>
          <w:bCs/>
        </w:rPr>
        <w:t>UCU (2020</w:t>
      </w:r>
      <w:r w:rsidR="00BF6E62">
        <w:rPr>
          <w:bCs/>
        </w:rPr>
        <w:t>a</w:t>
      </w:r>
      <w:r w:rsidRPr="000F60B9">
        <w:rPr>
          <w:bCs/>
        </w:rPr>
        <w:t>)</w:t>
      </w:r>
      <w:r w:rsidR="007434CC">
        <w:rPr>
          <w:bCs/>
        </w:rPr>
        <w:t>.</w:t>
      </w:r>
      <w:r w:rsidRPr="000F60B9">
        <w:rPr>
          <w:bCs/>
        </w:rPr>
        <w:t xml:space="preserve"> </w:t>
      </w:r>
      <w:r w:rsidRPr="00B96B8F">
        <w:rPr>
          <w:bCs/>
          <w:i/>
          <w:iCs/>
        </w:rPr>
        <w:t xml:space="preserve">Survival </w:t>
      </w:r>
      <w:r w:rsidR="007434CC" w:rsidRPr="00B96B8F">
        <w:rPr>
          <w:bCs/>
          <w:i/>
          <w:iCs/>
        </w:rPr>
        <w:t>G</w:t>
      </w:r>
      <w:r w:rsidRPr="00B96B8F">
        <w:rPr>
          <w:bCs/>
          <w:i/>
          <w:iCs/>
        </w:rPr>
        <w:t xml:space="preserve">uide for </w:t>
      </w:r>
      <w:r w:rsidR="007434CC" w:rsidRPr="00B96B8F">
        <w:rPr>
          <w:bCs/>
          <w:i/>
          <w:iCs/>
        </w:rPr>
        <w:t>H</w:t>
      </w:r>
      <w:r w:rsidRPr="00B96B8F">
        <w:rPr>
          <w:bCs/>
          <w:i/>
          <w:iCs/>
        </w:rPr>
        <w:t>ourly-</w:t>
      </w:r>
      <w:r w:rsidR="007434CC" w:rsidRPr="00B96B8F">
        <w:rPr>
          <w:bCs/>
          <w:i/>
          <w:iCs/>
        </w:rPr>
        <w:t>P</w:t>
      </w:r>
      <w:r w:rsidRPr="00B96B8F">
        <w:rPr>
          <w:bCs/>
          <w:i/>
          <w:iCs/>
        </w:rPr>
        <w:t xml:space="preserve">aid </w:t>
      </w:r>
      <w:r w:rsidR="007434CC" w:rsidRPr="00B96B8F">
        <w:rPr>
          <w:bCs/>
          <w:i/>
          <w:iCs/>
        </w:rPr>
        <w:t>S</w:t>
      </w:r>
      <w:r w:rsidRPr="00B96B8F">
        <w:rPr>
          <w:bCs/>
          <w:i/>
          <w:iCs/>
        </w:rPr>
        <w:t>taff</w:t>
      </w:r>
      <w:r w:rsidRPr="000F60B9">
        <w:rPr>
          <w:bCs/>
        </w:rPr>
        <w:t xml:space="preserve"> </w:t>
      </w:r>
      <w:hyperlink r:id="rId25" w:history="1">
        <w:r w:rsidRPr="00B96B8F">
          <w:rPr>
            <w:rStyle w:val="Hyperlink"/>
          </w:rPr>
          <w:t>https://www.ucu.org.uk/media/4647/UCU-hourly-paid-survival-guide/pdf/ucu_hourlypaidsurvivalguide_jan20.pdf</w:t>
        </w:r>
      </w:hyperlink>
      <w:r w:rsidRPr="000F60B9">
        <w:t xml:space="preserve"> [accessed 2nd Feb 2021]</w:t>
      </w:r>
    </w:p>
    <w:p w14:paraId="60BB7498" w14:textId="310008DD" w:rsidR="00BF6E62" w:rsidRDefault="00BF6E62" w:rsidP="001348A2">
      <w:pPr>
        <w:pStyle w:val="References"/>
      </w:pPr>
      <w:r>
        <w:t xml:space="preserve">UCU (2020b). </w:t>
      </w:r>
      <w:r w:rsidRPr="00B96B8F">
        <w:rPr>
          <w:i/>
          <w:iCs/>
        </w:rPr>
        <w:t xml:space="preserve">Special HE </w:t>
      </w:r>
      <w:proofErr w:type="gramStart"/>
      <w:r w:rsidRPr="00B96B8F">
        <w:rPr>
          <w:i/>
          <w:iCs/>
        </w:rPr>
        <w:t>sector</w:t>
      </w:r>
      <w:proofErr w:type="gramEnd"/>
      <w:r w:rsidRPr="00B96B8F">
        <w:rPr>
          <w:i/>
          <w:iCs/>
        </w:rPr>
        <w:t xml:space="preserve"> conference - Wednesday 30 September</w:t>
      </w:r>
      <w:r w:rsidR="004545F7" w:rsidRPr="00B96B8F">
        <w:rPr>
          <w:i/>
          <w:iCs/>
        </w:rPr>
        <w:t>.</w:t>
      </w:r>
      <w:r w:rsidR="004545F7">
        <w:t xml:space="preserve"> </w:t>
      </w:r>
      <w:r w:rsidR="004545F7" w:rsidRPr="004545F7">
        <w:t>https://www.ucu.org.uk/hesc_sept20</w:t>
      </w:r>
      <w:r>
        <w:t xml:space="preserve"> </w:t>
      </w:r>
      <w:r w:rsidR="004545F7">
        <w:t>[accessed 8</w:t>
      </w:r>
      <w:r w:rsidR="004545F7" w:rsidRPr="00B96B8F">
        <w:rPr>
          <w:vertAlign w:val="superscript"/>
        </w:rPr>
        <w:t>th</w:t>
      </w:r>
      <w:r w:rsidR="004545F7">
        <w:t xml:space="preserve"> </w:t>
      </w:r>
      <w:proofErr w:type="gramStart"/>
      <w:r w:rsidR="004545F7">
        <w:t>Feb,</w:t>
      </w:r>
      <w:proofErr w:type="gramEnd"/>
      <w:r w:rsidR="004545F7">
        <w:t xml:space="preserve"> 2021]</w:t>
      </w:r>
    </w:p>
    <w:p w14:paraId="14E09B6D" w14:textId="5F1BFB7A" w:rsidR="007E0936" w:rsidRPr="00B96B8F" w:rsidRDefault="007E0936" w:rsidP="001348A2">
      <w:pPr>
        <w:pStyle w:val="References"/>
        <w:rPr>
          <w:rStyle w:val="Hyperlink"/>
          <w:bCs/>
          <w:color w:val="auto"/>
          <w:u w:val="none"/>
        </w:rPr>
      </w:pPr>
      <w:r>
        <w:lastRenderedPageBreak/>
        <w:t>Universities UK (2020)</w:t>
      </w:r>
      <w:r w:rsidR="007434CC">
        <w:t xml:space="preserve">. </w:t>
      </w:r>
      <w:r w:rsidR="007434CC" w:rsidRPr="00B96B8F">
        <w:rPr>
          <w:i/>
          <w:iCs/>
        </w:rPr>
        <w:t>Higher Education in Numbers</w:t>
      </w:r>
      <w:r w:rsidR="007434CC">
        <w:t>.</w:t>
      </w:r>
      <w:r>
        <w:t xml:space="preserve"> </w:t>
      </w:r>
      <w:r w:rsidR="007434CC" w:rsidRPr="007434CC">
        <w:t>https://www.universitiesuk.ac.uk/facts-and-stats/Pages/higher-education-data.aspx</w:t>
      </w:r>
      <w:r>
        <w:t xml:space="preserve"> [accessed 2</w:t>
      </w:r>
      <w:r w:rsidRPr="00B96B8F">
        <w:rPr>
          <w:vertAlign w:val="superscript"/>
        </w:rPr>
        <w:t>nd</w:t>
      </w:r>
      <w:r>
        <w:t xml:space="preserve"> Feb 2021]</w:t>
      </w:r>
    </w:p>
    <w:p w14:paraId="71A7D25C" w14:textId="001C74EC" w:rsidR="009F5B25" w:rsidRDefault="009F5B25">
      <w:pPr>
        <w:pStyle w:val="References"/>
        <w:rPr>
          <w:rStyle w:val="Hyperlink"/>
          <w:bCs/>
        </w:rPr>
      </w:pPr>
      <w:r w:rsidRPr="009F5B25">
        <w:rPr>
          <w:rStyle w:val="Hyperlink"/>
          <w:bCs/>
        </w:rPr>
        <w:t xml:space="preserve">Vaughn, W. (1998). Apprentice or Employee? Graduate Students and Their Unions. </w:t>
      </w:r>
      <w:r w:rsidRPr="00B96B8F">
        <w:rPr>
          <w:rStyle w:val="Hyperlink"/>
          <w:bCs/>
          <w:i/>
          <w:iCs/>
        </w:rPr>
        <w:t>Academe</w:t>
      </w:r>
      <w:r w:rsidRPr="009F5B25">
        <w:rPr>
          <w:rStyle w:val="Hyperlink"/>
          <w:bCs/>
        </w:rPr>
        <w:t>, 84(6), 43-49.</w:t>
      </w:r>
    </w:p>
    <w:p w14:paraId="29B73FA1" w14:textId="77777777" w:rsidR="00494B09" w:rsidRDefault="00494B09">
      <w:pPr>
        <w:pStyle w:val="References"/>
      </w:pPr>
      <w:r w:rsidRPr="00383B0E">
        <w:t xml:space="preserve">Williams, J. (2013). </w:t>
      </w:r>
      <w:r w:rsidRPr="009A57C8">
        <w:rPr>
          <w:i/>
        </w:rPr>
        <w:t>Consuming higher education. Why learning can’t be bought</w:t>
      </w:r>
      <w:r w:rsidRPr="00383B0E">
        <w:t>. London: Bloomsbury.</w:t>
      </w:r>
    </w:p>
    <w:p w14:paraId="73EE1C3B" w14:textId="747B06ED" w:rsidR="00875DB7" w:rsidRDefault="00DF7817">
      <w:pPr>
        <w:pStyle w:val="References"/>
      </w:pPr>
      <w:proofErr w:type="spellStart"/>
      <w:r w:rsidRPr="00383B0E">
        <w:t>Winstone</w:t>
      </w:r>
      <w:proofErr w:type="spellEnd"/>
      <w:r w:rsidRPr="00383B0E">
        <w:t xml:space="preserve">, N. and Moore, D., </w:t>
      </w:r>
      <w:r w:rsidR="00FB3D36">
        <w:t>(</w:t>
      </w:r>
      <w:r w:rsidRPr="00383B0E">
        <w:t>2017</w:t>
      </w:r>
      <w:r w:rsidR="00FB3D36">
        <w:t>)</w:t>
      </w:r>
      <w:r w:rsidRPr="00383B0E">
        <w:t>. Sometimes fish, sometimes fowl? Liminality, identity work and identity malleability in graduate teach</w:t>
      </w:r>
      <w:r w:rsidR="009A57C8">
        <w:t xml:space="preserve">ing assistants. </w:t>
      </w:r>
      <w:r w:rsidR="009A57C8" w:rsidRPr="009A57C8">
        <w:rPr>
          <w:i/>
        </w:rPr>
        <w:t>Innovations in Education and T</w:t>
      </w:r>
      <w:r w:rsidRPr="009A57C8">
        <w:rPr>
          <w:i/>
        </w:rPr>
        <w:t>eaching</w:t>
      </w:r>
      <w:r w:rsidR="009A57C8" w:rsidRPr="009A57C8">
        <w:rPr>
          <w:i/>
        </w:rPr>
        <w:t xml:space="preserve"> I</w:t>
      </w:r>
      <w:r w:rsidRPr="009A57C8">
        <w:rPr>
          <w:i/>
        </w:rPr>
        <w:t>nternational</w:t>
      </w:r>
      <w:r w:rsidRPr="00383B0E">
        <w:t>, 54(5), pp.494-502</w:t>
      </w:r>
    </w:p>
    <w:p w14:paraId="7D3C74CF" w14:textId="1BC75F38" w:rsidR="00875DB7" w:rsidRDefault="00875DB7">
      <w:pPr>
        <w:pStyle w:val="References"/>
        <w:rPr>
          <w:lang w:val="en-US"/>
        </w:rPr>
      </w:pPr>
      <w:r w:rsidRPr="00875DB7">
        <w:rPr>
          <w:lang w:val="en-US"/>
        </w:rPr>
        <w:t>Winter,</w:t>
      </w:r>
      <w:r>
        <w:rPr>
          <w:lang w:val="en-US"/>
        </w:rPr>
        <w:t xml:space="preserve"> </w:t>
      </w:r>
      <w:proofErr w:type="gramStart"/>
      <w:r>
        <w:rPr>
          <w:lang w:val="en-US"/>
        </w:rPr>
        <w:t>J. ,</w:t>
      </w:r>
      <w:proofErr w:type="gramEnd"/>
      <w:r>
        <w:rPr>
          <w:lang w:val="en-US"/>
        </w:rPr>
        <w:t xml:space="preserve"> </w:t>
      </w:r>
      <w:r w:rsidRPr="00875DB7">
        <w:rPr>
          <w:lang w:val="en-US"/>
        </w:rPr>
        <w:t>Turner,</w:t>
      </w:r>
      <w:r>
        <w:rPr>
          <w:lang w:val="en-US"/>
        </w:rPr>
        <w:t xml:space="preserve"> R.</w:t>
      </w:r>
      <w:r w:rsidRPr="00875DB7">
        <w:rPr>
          <w:lang w:val="en-US"/>
        </w:rPr>
        <w:t xml:space="preserve"> </w:t>
      </w:r>
      <w:r>
        <w:rPr>
          <w:lang w:val="en-US"/>
        </w:rPr>
        <w:t xml:space="preserve">, </w:t>
      </w:r>
      <w:proofErr w:type="spellStart"/>
      <w:r w:rsidRPr="00875DB7">
        <w:rPr>
          <w:lang w:val="en-US"/>
        </w:rPr>
        <w:t>Gedye</w:t>
      </w:r>
      <w:proofErr w:type="spellEnd"/>
      <w:r w:rsidRPr="00875DB7">
        <w:rPr>
          <w:lang w:val="en-US"/>
        </w:rPr>
        <w:t xml:space="preserve">, </w:t>
      </w:r>
      <w:r>
        <w:rPr>
          <w:lang w:val="en-US"/>
        </w:rPr>
        <w:t xml:space="preserve">S. , </w:t>
      </w:r>
      <w:r w:rsidRPr="00875DB7">
        <w:rPr>
          <w:lang w:val="en-US"/>
        </w:rPr>
        <w:t>Nash</w:t>
      </w:r>
      <w:r>
        <w:rPr>
          <w:lang w:val="en-US"/>
        </w:rPr>
        <w:t xml:space="preserve">, P. </w:t>
      </w:r>
      <w:r w:rsidRPr="00875DB7">
        <w:rPr>
          <w:lang w:val="en-US"/>
        </w:rPr>
        <w:t xml:space="preserve"> </w:t>
      </w:r>
      <w:r>
        <w:rPr>
          <w:lang w:val="en-US"/>
        </w:rPr>
        <w:t>and</w:t>
      </w:r>
      <w:r w:rsidRPr="00875DB7">
        <w:rPr>
          <w:lang w:val="en-US"/>
        </w:rPr>
        <w:t xml:space="preserve"> </w:t>
      </w:r>
      <w:proofErr w:type="gramStart"/>
      <w:r w:rsidRPr="00875DB7">
        <w:rPr>
          <w:lang w:val="en-US"/>
        </w:rPr>
        <w:t xml:space="preserve">Grant </w:t>
      </w:r>
      <w:r>
        <w:rPr>
          <w:lang w:val="en-US"/>
        </w:rPr>
        <w:t>,</w:t>
      </w:r>
      <w:proofErr w:type="gramEnd"/>
      <w:r>
        <w:rPr>
          <w:lang w:val="en-US"/>
        </w:rPr>
        <w:t xml:space="preserve"> V. </w:t>
      </w:r>
      <w:r w:rsidRPr="00875DB7">
        <w:rPr>
          <w:lang w:val="en-US"/>
        </w:rPr>
        <w:t xml:space="preserve">(2015) Graduate teaching assistants: responding to the challenges of </w:t>
      </w:r>
      <w:proofErr w:type="spellStart"/>
      <w:r w:rsidRPr="00875DB7">
        <w:rPr>
          <w:lang w:val="en-US"/>
        </w:rPr>
        <w:t>internationalisation</w:t>
      </w:r>
      <w:proofErr w:type="spellEnd"/>
      <w:r w:rsidRPr="00875DB7">
        <w:rPr>
          <w:lang w:val="en-US"/>
        </w:rPr>
        <w:t xml:space="preserve">, </w:t>
      </w:r>
      <w:r w:rsidRPr="009A57C8">
        <w:rPr>
          <w:i/>
          <w:lang w:val="en-US"/>
        </w:rPr>
        <w:t>International Journal for Academic Development</w:t>
      </w:r>
      <w:r w:rsidR="009A57C8">
        <w:rPr>
          <w:lang w:val="en-US"/>
        </w:rPr>
        <w:t>, 20 (</w:t>
      </w:r>
      <w:r w:rsidRPr="00875DB7">
        <w:rPr>
          <w:lang w:val="en-US"/>
        </w:rPr>
        <w:t>1</w:t>
      </w:r>
      <w:r w:rsidR="009A57C8">
        <w:rPr>
          <w:lang w:val="en-US"/>
        </w:rPr>
        <w:t>)</w:t>
      </w:r>
      <w:r w:rsidRPr="00875DB7">
        <w:rPr>
          <w:lang w:val="en-US"/>
        </w:rPr>
        <w:t xml:space="preserve">, 33-45, DOI: 10.1080/1360144X.2014.986661 </w:t>
      </w:r>
    </w:p>
    <w:p w14:paraId="4A9CADC7" w14:textId="78018253" w:rsidR="001348A2" w:rsidRPr="00875DB7" w:rsidRDefault="001348A2">
      <w:pPr>
        <w:pStyle w:val="References"/>
        <w:rPr>
          <w:lang w:val="en-US"/>
        </w:rPr>
      </w:pPr>
      <w:r>
        <w:rPr>
          <w:lang w:val="en-US"/>
        </w:rPr>
        <w:t xml:space="preserve">Yin (2013) </w:t>
      </w:r>
      <w:r w:rsidRPr="00B96B8F">
        <w:rPr>
          <w:i/>
          <w:iCs/>
        </w:rPr>
        <w:t>Case study research: Design and methods</w:t>
      </w:r>
      <w:r w:rsidRPr="001348A2">
        <w:t>. Los Angeles: SAGE Publications.</w:t>
      </w:r>
    </w:p>
    <w:p w14:paraId="6B8BC3A3" w14:textId="77777777" w:rsidR="00875DB7" w:rsidRPr="00383B0E" w:rsidRDefault="00875DB7">
      <w:pPr>
        <w:pStyle w:val="References"/>
      </w:pPr>
    </w:p>
    <w:p w14:paraId="77D45A44" w14:textId="77777777" w:rsidR="00BB492C" w:rsidRDefault="00BB492C">
      <w:pPr>
        <w:pStyle w:val="References"/>
      </w:pPr>
    </w:p>
    <w:p w14:paraId="6536780B" w14:textId="77777777" w:rsidR="00BB492C" w:rsidRDefault="00BB492C">
      <w:pPr>
        <w:pStyle w:val="References"/>
      </w:pPr>
    </w:p>
    <w:p w14:paraId="08C53D4A" w14:textId="6D284DD6" w:rsidR="00E535CD" w:rsidRPr="000C0483" w:rsidRDefault="00E535CD">
      <w:r w:rsidRPr="000C0483">
        <w:br w:type="page"/>
      </w:r>
    </w:p>
    <w:p w14:paraId="23F8B389" w14:textId="399E4B8D" w:rsidR="003E075D" w:rsidRPr="00DF7817" w:rsidRDefault="003E075D">
      <w:pPr>
        <w:pStyle w:val="Newparagraph"/>
      </w:pPr>
      <w:r w:rsidRPr="00DF7817">
        <w:rPr>
          <w:b/>
          <w:bCs/>
        </w:rPr>
        <w:lastRenderedPageBreak/>
        <w:t>Table 1. Characteristics of the study participants</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1267"/>
        <w:gridCol w:w="2879"/>
        <w:gridCol w:w="1255"/>
        <w:gridCol w:w="3078"/>
      </w:tblGrid>
      <w:tr w:rsidR="00A443FF" w:rsidRPr="00DF7817" w14:paraId="7572AEAE" w14:textId="227AE4F6" w:rsidTr="008644E0">
        <w:tc>
          <w:tcPr>
            <w:tcW w:w="74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0C53EE" w14:textId="68D71BAE" w:rsidR="00A443FF" w:rsidRPr="00DF7817" w:rsidRDefault="00A443FF">
            <w:r>
              <w:t>Participant</w:t>
            </w:r>
          </w:p>
        </w:tc>
        <w:tc>
          <w:tcPr>
            <w:tcW w:w="16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FC9E09" w14:textId="77777777" w:rsidR="00A443FF" w:rsidRPr="00DF7817" w:rsidRDefault="00A443FF">
            <w:r w:rsidRPr="00DF7817">
              <w:t>University A</w:t>
            </w:r>
          </w:p>
        </w:tc>
        <w:tc>
          <w:tcPr>
            <w:tcW w:w="74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47B189" w14:textId="735FC956" w:rsidR="00A443FF" w:rsidRPr="00DF7817" w:rsidRDefault="00A443FF">
            <w:r>
              <w:t>Participant</w:t>
            </w:r>
          </w:p>
        </w:tc>
        <w:tc>
          <w:tcPr>
            <w:tcW w:w="1815" w:type="pct"/>
            <w:tcBorders>
              <w:top w:val="single" w:sz="8" w:space="0" w:color="000000"/>
              <w:left w:val="single" w:sz="8" w:space="0" w:color="000000"/>
              <w:bottom w:val="single" w:sz="8" w:space="0" w:color="000000"/>
              <w:right w:val="single" w:sz="8" w:space="0" w:color="000000"/>
            </w:tcBorders>
          </w:tcPr>
          <w:p w14:paraId="5FAE66CA" w14:textId="5B9FA9C4" w:rsidR="00A443FF" w:rsidRPr="00DF7817" w:rsidRDefault="00A443FF">
            <w:r w:rsidRPr="00DF7817">
              <w:t>University B</w:t>
            </w:r>
          </w:p>
        </w:tc>
      </w:tr>
      <w:tr w:rsidR="00A443FF" w:rsidRPr="00DF7817" w14:paraId="5D9CE177" w14:textId="07261918" w:rsidTr="008644E0">
        <w:tc>
          <w:tcPr>
            <w:tcW w:w="74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A44837" w14:textId="3CBBE1C7" w:rsidR="00A443FF" w:rsidRPr="00DF7817" w:rsidRDefault="00A443FF" w:rsidP="0018640D">
            <w:r>
              <w:t>1</w:t>
            </w:r>
          </w:p>
        </w:tc>
        <w:tc>
          <w:tcPr>
            <w:tcW w:w="16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733B52" w14:textId="77777777" w:rsidR="00A443FF" w:rsidRPr="00DF7817" w:rsidRDefault="00A443FF" w:rsidP="005D032B">
            <w:r w:rsidRPr="00DF7817">
              <w:t>Female, International Student, Social Policy/Sociology, Prior teaching experience in HE </w:t>
            </w:r>
          </w:p>
        </w:tc>
        <w:tc>
          <w:tcPr>
            <w:tcW w:w="74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B7B4B8" w14:textId="559B3DF7" w:rsidR="00A443FF" w:rsidRPr="00DF7817" w:rsidRDefault="00A443FF" w:rsidP="005D032B">
            <w:r>
              <w:t>5</w:t>
            </w:r>
          </w:p>
        </w:tc>
        <w:tc>
          <w:tcPr>
            <w:tcW w:w="1815" w:type="pct"/>
            <w:tcBorders>
              <w:top w:val="single" w:sz="8" w:space="0" w:color="000000"/>
              <w:left w:val="single" w:sz="8" w:space="0" w:color="000000"/>
              <w:bottom w:val="single" w:sz="8" w:space="0" w:color="000000"/>
              <w:right w:val="single" w:sz="8" w:space="0" w:color="000000"/>
            </w:tcBorders>
          </w:tcPr>
          <w:p w14:paraId="5B9D6AA2" w14:textId="6D9B3996" w:rsidR="00A443FF" w:rsidRPr="00DF7817" w:rsidRDefault="00A443FF" w:rsidP="00271756">
            <w:r>
              <w:t>Female, International Student, Translation Studies, Prior Teaching Experience in HE (during PhD)</w:t>
            </w:r>
          </w:p>
        </w:tc>
      </w:tr>
      <w:tr w:rsidR="00A443FF" w:rsidRPr="00DF7817" w14:paraId="4AB9D96D" w14:textId="27F4AB21" w:rsidTr="008644E0">
        <w:tc>
          <w:tcPr>
            <w:tcW w:w="74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827E5A" w14:textId="0ED15AC0" w:rsidR="00A443FF" w:rsidRPr="00DF7817" w:rsidRDefault="00A443FF" w:rsidP="0018640D">
            <w:r>
              <w:t>2</w:t>
            </w:r>
          </w:p>
        </w:tc>
        <w:tc>
          <w:tcPr>
            <w:tcW w:w="16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3620A8" w14:textId="77777777" w:rsidR="00A443FF" w:rsidRPr="00DF7817" w:rsidRDefault="00A443FF" w:rsidP="005D032B">
            <w:r w:rsidRPr="00DF7817">
              <w:t>Female, International Student, Mathematics, No prior teaching experience in HE</w:t>
            </w:r>
          </w:p>
        </w:tc>
        <w:tc>
          <w:tcPr>
            <w:tcW w:w="74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8F9E54" w14:textId="0E373AD0" w:rsidR="00A443FF" w:rsidRPr="00DF7817" w:rsidRDefault="00A443FF" w:rsidP="005D032B">
            <w:r>
              <w:t>6</w:t>
            </w:r>
          </w:p>
        </w:tc>
        <w:tc>
          <w:tcPr>
            <w:tcW w:w="1815" w:type="pct"/>
            <w:tcBorders>
              <w:top w:val="single" w:sz="8" w:space="0" w:color="000000"/>
              <w:left w:val="single" w:sz="8" w:space="0" w:color="000000"/>
              <w:bottom w:val="single" w:sz="8" w:space="0" w:color="000000"/>
              <w:right w:val="single" w:sz="8" w:space="0" w:color="000000"/>
            </w:tcBorders>
          </w:tcPr>
          <w:p w14:paraId="7055C702" w14:textId="66E8C46C" w:rsidR="00A443FF" w:rsidRPr="00DF7817" w:rsidRDefault="00A443FF" w:rsidP="00271756">
            <w:r>
              <w:t xml:space="preserve">Female, Home Student, Law, </w:t>
            </w:r>
            <w:r w:rsidR="004668B7">
              <w:t>Prior Teaching in a professional context</w:t>
            </w:r>
          </w:p>
        </w:tc>
      </w:tr>
      <w:tr w:rsidR="00A443FF" w:rsidRPr="00DF7817" w14:paraId="77ED6A1E" w14:textId="7B8EB0D1" w:rsidTr="008644E0">
        <w:tc>
          <w:tcPr>
            <w:tcW w:w="74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D70D6D" w14:textId="109327DB" w:rsidR="00A443FF" w:rsidRPr="00DF7817" w:rsidRDefault="00A443FF" w:rsidP="0018640D">
            <w:r>
              <w:t>3</w:t>
            </w:r>
          </w:p>
        </w:tc>
        <w:tc>
          <w:tcPr>
            <w:tcW w:w="16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2AFED8" w14:textId="77777777" w:rsidR="00A443FF" w:rsidRPr="00DF7817" w:rsidRDefault="00A443FF" w:rsidP="005D032B">
            <w:r w:rsidRPr="00DF7817">
              <w:t>Male, home student, Geography, Prior teaching experience but in schools</w:t>
            </w:r>
          </w:p>
        </w:tc>
        <w:tc>
          <w:tcPr>
            <w:tcW w:w="74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7F5BB0" w14:textId="77D7FF1F" w:rsidR="00A443FF" w:rsidRPr="00DF7817" w:rsidRDefault="00A443FF" w:rsidP="005D032B">
            <w:r>
              <w:t>7</w:t>
            </w:r>
          </w:p>
        </w:tc>
        <w:tc>
          <w:tcPr>
            <w:tcW w:w="1815" w:type="pct"/>
            <w:tcBorders>
              <w:top w:val="single" w:sz="8" w:space="0" w:color="000000"/>
              <w:left w:val="single" w:sz="8" w:space="0" w:color="000000"/>
              <w:bottom w:val="single" w:sz="8" w:space="0" w:color="000000"/>
              <w:right w:val="single" w:sz="8" w:space="0" w:color="000000"/>
            </w:tcBorders>
          </w:tcPr>
          <w:p w14:paraId="2C222F66" w14:textId="6D988E29" w:rsidR="00A443FF" w:rsidRPr="00DF7817" w:rsidRDefault="004668B7" w:rsidP="00271756">
            <w:r>
              <w:t>Male, Home Student, Politics, Prior Teaching Experience in HE (during PhD)</w:t>
            </w:r>
          </w:p>
        </w:tc>
      </w:tr>
      <w:tr w:rsidR="00A443FF" w:rsidRPr="00DF7817" w14:paraId="19919342" w14:textId="39756572" w:rsidTr="008644E0">
        <w:tc>
          <w:tcPr>
            <w:tcW w:w="74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0CF26A" w14:textId="786CC78F" w:rsidR="00A443FF" w:rsidRPr="00DF7817" w:rsidRDefault="00A443FF" w:rsidP="0018640D">
            <w:r>
              <w:t>4</w:t>
            </w:r>
          </w:p>
        </w:tc>
        <w:tc>
          <w:tcPr>
            <w:tcW w:w="16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BCAD8B" w14:textId="77777777" w:rsidR="00A443FF" w:rsidRPr="00DF7817" w:rsidRDefault="00A443FF" w:rsidP="005D032B">
            <w:r w:rsidRPr="00DF7817">
              <w:t>Female, home student, Music, Prior teaching experience but in sixth form colleges and private tuitions </w:t>
            </w:r>
          </w:p>
        </w:tc>
        <w:tc>
          <w:tcPr>
            <w:tcW w:w="74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5A6997" w14:textId="346345FE" w:rsidR="00A443FF" w:rsidRPr="00DF7817" w:rsidRDefault="00A443FF" w:rsidP="005D032B">
            <w:r>
              <w:t>8</w:t>
            </w:r>
          </w:p>
        </w:tc>
        <w:tc>
          <w:tcPr>
            <w:tcW w:w="1815" w:type="pct"/>
            <w:tcBorders>
              <w:top w:val="single" w:sz="8" w:space="0" w:color="000000"/>
              <w:left w:val="single" w:sz="8" w:space="0" w:color="000000"/>
              <w:bottom w:val="single" w:sz="8" w:space="0" w:color="000000"/>
              <w:right w:val="single" w:sz="8" w:space="0" w:color="000000"/>
            </w:tcBorders>
          </w:tcPr>
          <w:p w14:paraId="67C19097" w14:textId="76C0DCED" w:rsidR="00A443FF" w:rsidRPr="00DF7817" w:rsidRDefault="004668B7" w:rsidP="00271756">
            <w:r>
              <w:t>Female, International Student, Arts, Prior Teaching Experience in HE (during PhD)</w:t>
            </w:r>
          </w:p>
        </w:tc>
      </w:tr>
    </w:tbl>
    <w:p w14:paraId="00CB16CF" w14:textId="77777777" w:rsidR="003E075D" w:rsidRPr="00DF7817" w:rsidRDefault="003E075D" w:rsidP="0018640D">
      <w:pPr>
        <w:pStyle w:val="Newparagraph"/>
      </w:pPr>
    </w:p>
    <w:p w14:paraId="2EA4E4CB" w14:textId="77777777" w:rsidR="000E191D" w:rsidRDefault="000E191D">
      <w:pPr>
        <w:rPr>
          <w:b/>
          <w:bCs/>
        </w:rPr>
      </w:pPr>
      <w:r>
        <w:rPr>
          <w:b/>
          <w:bCs/>
        </w:rPr>
        <w:br w:type="page"/>
      </w:r>
    </w:p>
    <w:p w14:paraId="6F02686B" w14:textId="06EA03B6" w:rsidR="003E075D" w:rsidRPr="00DF7817" w:rsidRDefault="003E075D">
      <w:pPr>
        <w:pStyle w:val="Newparagraph"/>
      </w:pPr>
      <w:r w:rsidRPr="00DF7817">
        <w:rPr>
          <w:b/>
          <w:bCs/>
        </w:rPr>
        <w:lastRenderedPageBreak/>
        <w:t>Table 2. The two study contexts</w:t>
      </w:r>
    </w:p>
    <w:tbl>
      <w:tblPr>
        <w:tblW w:w="9332" w:type="dxa"/>
        <w:tblCellMar>
          <w:top w:w="15" w:type="dxa"/>
          <w:left w:w="15" w:type="dxa"/>
          <w:bottom w:w="15" w:type="dxa"/>
          <w:right w:w="15" w:type="dxa"/>
        </w:tblCellMar>
        <w:tblLook w:val="04A0" w:firstRow="1" w:lastRow="0" w:firstColumn="1" w:lastColumn="0" w:noHBand="0" w:noVBand="1"/>
      </w:tblPr>
      <w:tblGrid>
        <w:gridCol w:w="4495"/>
        <w:gridCol w:w="4837"/>
      </w:tblGrid>
      <w:tr w:rsidR="003E075D" w:rsidRPr="00DF7817" w14:paraId="1C0E7504" w14:textId="77777777" w:rsidTr="000E191D">
        <w:tc>
          <w:tcPr>
            <w:tcW w:w="4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6CB144" w14:textId="77777777" w:rsidR="003E075D" w:rsidRPr="00DF7817" w:rsidRDefault="003E075D" w:rsidP="00B96B8F">
            <w:pPr>
              <w:pStyle w:val="Newparagraph"/>
              <w:spacing w:line="360" w:lineRule="auto"/>
            </w:pPr>
            <w:r w:rsidRPr="00DF7817">
              <w:rPr>
                <w:b/>
                <w:bCs/>
              </w:rPr>
              <w:t>Context One - post 92 university (University A)</w:t>
            </w:r>
          </w:p>
        </w:tc>
        <w:tc>
          <w:tcPr>
            <w:tcW w:w="48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D95E96" w14:textId="77777777" w:rsidR="003E075D" w:rsidRPr="00DF7817" w:rsidRDefault="003E075D" w:rsidP="00B96B8F">
            <w:pPr>
              <w:pStyle w:val="Newparagraph"/>
              <w:spacing w:line="360" w:lineRule="auto"/>
            </w:pPr>
            <w:r w:rsidRPr="00DF7817">
              <w:rPr>
                <w:b/>
                <w:bCs/>
              </w:rPr>
              <w:t>Context two - pre 92 university (University B)</w:t>
            </w:r>
          </w:p>
        </w:tc>
      </w:tr>
      <w:tr w:rsidR="003E075D" w:rsidRPr="00DF7817" w14:paraId="17ECC904" w14:textId="77777777" w:rsidTr="000E191D">
        <w:tc>
          <w:tcPr>
            <w:tcW w:w="4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ABC9BB" w14:textId="77777777" w:rsidR="003E075D" w:rsidRPr="00DF7817" w:rsidRDefault="003E075D" w:rsidP="00B96B8F">
            <w:pPr>
              <w:pStyle w:val="Newparagraph"/>
              <w:spacing w:line="360" w:lineRule="auto"/>
              <w:ind w:firstLine="0"/>
            </w:pPr>
            <w:r w:rsidRPr="00DF7817">
              <w:t>Ranked highly in teaching metrics</w:t>
            </w:r>
          </w:p>
        </w:tc>
        <w:tc>
          <w:tcPr>
            <w:tcW w:w="48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66FC5F" w14:textId="77777777" w:rsidR="003E075D" w:rsidRPr="00DF7817" w:rsidRDefault="003E075D" w:rsidP="00B96B8F">
            <w:pPr>
              <w:pStyle w:val="Newparagraph"/>
              <w:spacing w:line="360" w:lineRule="auto"/>
              <w:ind w:firstLine="0"/>
            </w:pPr>
            <w:r w:rsidRPr="00DF7817">
              <w:t>Ranked highly in teaching metrics</w:t>
            </w:r>
          </w:p>
        </w:tc>
      </w:tr>
      <w:tr w:rsidR="003E075D" w:rsidRPr="00DF7817" w14:paraId="5AA2600F" w14:textId="77777777" w:rsidTr="000E191D">
        <w:tc>
          <w:tcPr>
            <w:tcW w:w="4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E865A2" w14:textId="77777777" w:rsidR="003E075D" w:rsidRPr="00DF7817" w:rsidRDefault="003E075D" w:rsidP="00B96B8F">
            <w:pPr>
              <w:pStyle w:val="Newparagraph"/>
              <w:spacing w:line="360" w:lineRule="auto"/>
              <w:ind w:firstLine="0"/>
            </w:pPr>
            <w:r w:rsidRPr="00DF7817">
              <w:t>Relatively new doctoral programmes </w:t>
            </w:r>
          </w:p>
        </w:tc>
        <w:tc>
          <w:tcPr>
            <w:tcW w:w="48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8FE71E" w14:textId="77777777" w:rsidR="003E075D" w:rsidRPr="00DF7817" w:rsidRDefault="003E075D" w:rsidP="00B96B8F">
            <w:pPr>
              <w:pStyle w:val="Newparagraph"/>
              <w:spacing w:line="360" w:lineRule="auto"/>
              <w:ind w:firstLine="0"/>
            </w:pPr>
            <w:r w:rsidRPr="00DF7817">
              <w:t>Well-established doctoral programmes</w:t>
            </w:r>
          </w:p>
        </w:tc>
      </w:tr>
      <w:tr w:rsidR="003E075D" w:rsidRPr="00DF7817" w14:paraId="5E000CD4" w14:textId="77777777" w:rsidTr="000E191D">
        <w:tc>
          <w:tcPr>
            <w:tcW w:w="4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4C0A86" w14:textId="77777777" w:rsidR="003E075D" w:rsidRPr="00DF7817" w:rsidRDefault="003E075D" w:rsidP="00B96B8F">
            <w:pPr>
              <w:pStyle w:val="Newparagraph"/>
              <w:spacing w:line="360" w:lineRule="auto"/>
              <w:ind w:firstLine="0"/>
            </w:pPr>
            <w:r w:rsidRPr="00DF7817">
              <w:t>Relatively small cohort of doctoral students</w:t>
            </w:r>
          </w:p>
        </w:tc>
        <w:tc>
          <w:tcPr>
            <w:tcW w:w="48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3C7FCF" w14:textId="77777777" w:rsidR="003E075D" w:rsidRPr="00DF7817" w:rsidRDefault="003E075D" w:rsidP="00B96B8F">
            <w:pPr>
              <w:pStyle w:val="Newparagraph"/>
              <w:spacing w:line="360" w:lineRule="auto"/>
              <w:ind w:firstLine="0"/>
            </w:pPr>
            <w:r w:rsidRPr="00DF7817">
              <w:t>Large cohorts of doctoral students</w:t>
            </w:r>
          </w:p>
        </w:tc>
      </w:tr>
      <w:tr w:rsidR="003E075D" w:rsidRPr="00DF7817" w14:paraId="2EF032FF" w14:textId="77777777" w:rsidTr="000E191D">
        <w:tc>
          <w:tcPr>
            <w:tcW w:w="4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F8F8AF" w14:textId="77777777" w:rsidR="003E075D" w:rsidRPr="00DF7817" w:rsidRDefault="003E075D" w:rsidP="00B96B8F">
            <w:pPr>
              <w:pStyle w:val="Newparagraph"/>
              <w:spacing w:line="360" w:lineRule="auto"/>
              <w:ind w:firstLine="0"/>
            </w:pPr>
            <w:r w:rsidRPr="00DF7817">
              <w:t>Participation in teaching as graduate teaching assistants mandatory but paid on an hourly basis as part of the expectation of the doctoral programme.</w:t>
            </w:r>
          </w:p>
        </w:tc>
        <w:tc>
          <w:tcPr>
            <w:tcW w:w="48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6918FB" w14:textId="77777777" w:rsidR="003E075D" w:rsidRPr="00DF7817" w:rsidRDefault="003E075D" w:rsidP="00B96B8F">
            <w:pPr>
              <w:pStyle w:val="Newparagraph"/>
              <w:spacing w:line="360" w:lineRule="auto"/>
              <w:ind w:firstLine="0"/>
            </w:pPr>
            <w:r w:rsidRPr="00DF7817">
              <w:t>Participation in teaching as graduate teaching assistants/teaching fellows voluntary except in the case of students with departmental studentships but paid on an hourly basis in both cases. </w:t>
            </w:r>
          </w:p>
        </w:tc>
      </w:tr>
      <w:tr w:rsidR="003E075D" w:rsidRPr="00DF7817" w14:paraId="1E597177" w14:textId="77777777" w:rsidTr="000E191D">
        <w:tc>
          <w:tcPr>
            <w:tcW w:w="4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E123FF" w14:textId="77777777" w:rsidR="003E075D" w:rsidRPr="00DF7817" w:rsidRDefault="003E075D" w:rsidP="00B96B8F">
            <w:pPr>
              <w:pStyle w:val="Newparagraph"/>
              <w:spacing w:line="360" w:lineRule="auto"/>
              <w:ind w:firstLine="0"/>
            </w:pPr>
            <w:r w:rsidRPr="00DF7817">
              <w:t>The students supported in their teaching via some teaching and learning workshops. </w:t>
            </w:r>
          </w:p>
        </w:tc>
        <w:tc>
          <w:tcPr>
            <w:tcW w:w="48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2ED2CB" w14:textId="77777777" w:rsidR="003E075D" w:rsidRPr="00DF7817" w:rsidRDefault="003E075D" w:rsidP="00B96B8F">
            <w:pPr>
              <w:pStyle w:val="Newparagraph"/>
              <w:spacing w:line="360" w:lineRule="auto"/>
              <w:ind w:firstLine="0"/>
            </w:pPr>
            <w:r w:rsidRPr="00DF7817">
              <w:t>The students supported in their teaching via two non-credit bearing teaching and learning workshops and the graduate certificate in learning and teaching which would lead to a formal certification and a fellowship of the higher education academy. </w:t>
            </w:r>
          </w:p>
        </w:tc>
      </w:tr>
      <w:tr w:rsidR="003E075D" w:rsidRPr="00DF7817" w14:paraId="18E64805" w14:textId="77777777" w:rsidTr="000E191D">
        <w:tc>
          <w:tcPr>
            <w:tcW w:w="4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62B327" w14:textId="77777777" w:rsidR="003E075D" w:rsidRPr="00DF7817" w:rsidRDefault="003E075D" w:rsidP="00B96B8F">
            <w:pPr>
              <w:pStyle w:val="Newparagraph"/>
              <w:spacing w:line="360" w:lineRule="auto"/>
              <w:ind w:firstLine="0"/>
            </w:pPr>
            <w:r w:rsidRPr="00DF7817">
              <w:t>The degree of teaching responsibility would vary from department to department with maximum six hours of teaching permissible in a week.</w:t>
            </w:r>
          </w:p>
        </w:tc>
        <w:tc>
          <w:tcPr>
            <w:tcW w:w="48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7FBF9A" w14:textId="77777777" w:rsidR="003E075D" w:rsidRPr="00DF7817" w:rsidRDefault="003E075D" w:rsidP="00B96B8F">
            <w:pPr>
              <w:pStyle w:val="Newparagraph"/>
              <w:spacing w:line="360" w:lineRule="auto"/>
              <w:ind w:firstLine="0"/>
            </w:pPr>
            <w:r w:rsidRPr="00DF7817">
              <w:t>The degree of responsibility for teaching would largely involve seminar, laboratory demonstrations and tutorials and most cases doctoral students have autonomy to decide how they would like to deliver the session. </w:t>
            </w:r>
          </w:p>
        </w:tc>
      </w:tr>
    </w:tbl>
    <w:p w14:paraId="63012457" w14:textId="77C046EB" w:rsidR="00DF7817" w:rsidRDefault="00DF7817" w:rsidP="0018640D">
      <w:pPr>
        <w:pStyle w:val="Paragraph"/>
      </w:pPr>
    </w:p>
    <w:p w14:paraId="266DA13B" w14:textId="56CF11A6" w:rsidR="00383B0E" w:rsidRDefault="00383B0E" w:rsidP="005D032B">
      <w:pPr>
        <w:pStyle w:val="Newparagraph"/>
      </w:pPr>
    </w:p>
    <w:p w14:paraId="518FE7D1" w14:textId="168044D1" w:rsidR="00EA01AF" w:rsidRPr="00383B0E" w:rsidRDefault="00EA01AF" w:rsidP="005D032B">
      <w:pPr>
        <w:pStyle w:val="Paragraph"/>
      </w:pPr>
    </w:p>
    <w:sectPr w:rsidR="00EA01AF" w:rsidRPr="00383B0E" w:rsidSect="00074B81">
      <w:pgSz w:w="11901" w:h="16840"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AB6D24" w14:textId="77777777" w:rsidR="005D3082" w:rsidRDefault="005D3082" w:rsidP="00AF2C92">
      <w:r>
        <w:separator/>
      </w:r>
    </w:p>
  </w:endnote>
  <w:endnote w:type="continuationSeparator" w:id="0">
    <w:p w14:paraId="1B807F43" w14:textId="77777777" w:rsidR="005D3082" w:rsidRDefault="005D3082"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egoe UI">
    <w:altName w:val="Calibri"/>
    <w:panose1 w:val="020B0502040204020203"/>
    <w:charset w:val="00"/>
    <w:family w:val="swiss"/>
    <w:pitch w:val="variable"/>
    <w:sig w:usb0="E5002EFF" w:usb1="C000E47F" w:usb2="0000002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C0567D" w14:textId="77777777" w:rsidR="005D3082" w:rsidRDefault="005D3082" w:rsidP="00AF2C92">
      <w:r>
        <w:separator/>
      </w:r>
    </w:p>
  </w:footnote>
  <w:footnote w:type="continuationSeparator" w:id="0">
    <w:p w14:paraId="6CB6D7E2" w14:textId="77777777" w:rsidR="005D3082" w:rsidRDefault="005D3082" w:rsidP="00AF2C92">
      <w:r>
        <w:continuationSeparator/>
      </w:r>
    </w:p>
  </w:footnote>
  <w:footnote w:id="1">
    <w:p w14:paraId="42DEA90E" w14:textId="27B9E377" w:rsidR="00463B95" w:rsidRDefault="00463B95" w:rsidP="00226BF8">
      <w:pPr>
        <w:pStyle w:val="FootnoteText"/>
      </w:pPr>
      <w:r w:rsidRPr="00B96B8F">
        <w:rPr>
          <w:rStyle w:val="FootnoteReference"/>
          <w:highlight w:val="yellow"/>
        </w:rPr>
        <w:footnoteRef/>
      </w:r>
      <w:r w:rsidRPr="00B96B8F">
        <w:rPr>
          <w:highlight w:val="yellow"/>
        </w:rPr>
        <w:t xml:space="preserve"> For example, see the QS World University Rankings at </w:t>
      </w:r>
      <w:hyperlink r:id="rId1" w:history="1">
        <w:r w:rsidRPr="00B96B8F">
          <w:rPr>
            <w:rStyle w:val="Hyperlink"/>
            <w:highlight w:val="yellow"/>
          </w:rPr>
          <w:t>https://www.topuniversities.com/qs-world-university-rankings/methodology</w:t>
        </w:r>
      </w:hyperlink>
      <w:r w:rsidRPr="00B96B8F">
        <w:rPr>
          <w:highlight w:val="yellow"/>
        </w:rPr>
        <w:t xml:space="preserve"> and the Times Higher Education World University Rankings at https://www.timeshighereducation.com/world-university-rankings/2020/world-ranking#!/page/0/length/25/sort_by/stats_female_male_ratio/sort_order/desc/cols/stats</w:t>
      </w:r>
    </w:p>
  </w:footnote>
  <w:footnote w:id="2">
    <w:p w14:paraId="7B172E80" w14:textId="77777777" w:rsidR="00463B95" w:rsidRDefault="00463B95" w:rsidP="0030475E">
      <w:pPr>
        <w:pStyle w:val="FootnoteText"/>
      </w:pPr>
      <w:r>
        <w:rPr>
          <w:rStyle w:val="FootnoteReference"/>
        </w:rPr>
        <w:footnoteRef/>
      </w:r>
      <w:r>
        <w:t xml:space="preserve"> </w:t>
      </w:r>
      <w:r w:rsidRPr="00C30C98">
        <w:rPr>
          <w:highlight w:val="yellow"/>
        </w:rPr>
        <w:t>According to 2018-19 statistics, there are 165 HE institutions in the UK (Universities UK, 2020)</w:t>
      </w:r>
      <w:r>
        <w:t xml:space="preserve"> </w:t>
      </w:r>
    </w:p>
  </w:footnote>
  <w:footnote w:id="3">
    <w:p w14:paraId="0451BC00" w14:textId="77777777" w:rsidR="00463B95" w:rsidRDefault="00463B95" w:rsidP="00271756">
      <w:pPr>
        <w:pStyle w:val="FootnoteText"/>
      </w:pPr>
      <w:r>
        <w:rPr>
          <w:rStyle w:val="FootnoteReference"/>
        </w:rPr>
        <w:footnoteRef/>
      </w:r>
      <w:r>
        <w:t xml:space="preserve"> </w:t>
      </w:r>
      <w:r w:rsidRPr="00B67BC7">
        <w:rPr>
          <w:highlight w:val="yellow"/>
        </w:rPr>
        <w:t>The post-1992 university label refers to former polytechnics that were given a university status with the Further and Higher Education Act 1992 (see more from Eurydice, 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33DCC"/>
    <w:multiLevelType w:val="multilevel"/>
    <w:tmpl w:val="EEDC0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8175B6"/>
    <w:multiLevelType w:val="hybridMultilevel"/>
    <w:tmpl w:val="4CAA9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CF45B6"/>
    <w:multiLevelType w:val="hybridMultilevel"/>
    <w:tmpl w:val="2D58ECF8"/>
    <w:lvl w:ilvl="0" w:tplc="B7888868">
      <w:start w:val="1"/>
      <w:numFmt w:val="bullet"/>
      <w:lvlText w:val=""/>
      <w:lvlJc w:val="left"/>
      <w:pPr>
        <w:tabs>
          <w:tab w:val="num" w:pos="720"/>
        </w:tabs>
        <w:ind w:left="720" w:hanging="360"/>
      </w:pPr>
      <w:rPr>
        <w:rFonts w:ascii="Symbol" w:hAnsi="Symbol" w:hint="default"/>
        <w:sz w:val="20"/>
      </w:rPr>
    </w:lvl>
    <w:lvl w:ilvl="1" w:tplc="A746D344" w:tentative="1">
      <w:start w:val="1"/>
      <w:numFmt w:val="bullet"/>
      <w:lvlText w:val="o"/>
      <w:lvlJc w:val="left"/>
      <w:pPr>
        <w:tabs>
          <w:tab w:val="num" w:pos="1440"/>
        </w:tabs>
        <w:ind w:left="1440" w:hanging="360"/>
      </w:pPr>
      <w:rPr>
        <w:rFonts w:ascii="Courier New" w:hAnsi="Courier New" w:hint="default"/>
        <w:sz w:val="20"/>
      </w:rPr>
    </w:lvl>
    <w:lvl w:ilvl="2" w:tplc="66DED852" w:tentative="1">
      <w:start w:val="1"/>
      <w:numFmt w:val="bullet"/>
      <w:lvlText w:val=""/>
      <w:lvlJc w:val="left"/>
      <w:pPr>
        <w:tabs>
          <w:tab w:val="num" w:pos="2160"/>
        </w:tabs>
        <w:ind w:left="2160" w:hanging="360"/>
      </w:pPr>
      <w:rPr>
        <w:rFonts w:ascii="Wingdings" w:hAnsi="Wingdings" w:hint="default"/>
        <w:sz w:val="20"/>
      </w:rPr>
    </w:lvl>
    <w:lvl w:ilvl="3" w:tplc="5F8C021C" w:tentative="1">
      <w:start w:val="1"/>
      <w:numFmt w:val="bullet"/>
      <w:lvlText w:val=""/>
      <w:lvlJc w:val="left"/>
      <w:pPr>
        <w:tabs>
          <w:tab w:val="num" w:pos="2880"/>
        </w:tabs>
        <w:ind w:left="2880" w:hanging="360"/>
      </w:pPr>
      <w:rPr>
        <w:rFonts w:ascii="Wingdings" w:hAnsi="Wingdings" w:hint="default"/>
        <w:sz w:val="20"/>
      </w:rPr>
    </w:lvl>
    <w:lvl w:ilvl="4" w:tplc="6D0865BC" w:tentative="1">
      <w:start w:val="1"/>
      <w:numFmt w:val="bullet"/>
      <w:lvlText w:val=""/>
      <w:lvlJc w:val="left"/>
      <w:pPr>
        <w:tabs>
          <w:tab w:val="num" w:pos="3600"/>
        </w:tabs>
        <w:ind w:left="3600" w:hanging="360"/>
      </w:pPr>
      <w:rPr>
        <w:rFonts w:ascii="Wingdings" w:hAnsi="Wingdings" w:hint="default"/>
        <w:sz w:val="20"/>
      </w:rPr>
    </w:lvl>
    <w:lvl w:ilvl="5" w:tplc="358EFCBE" w:tentative="1">
      <w:start w:val="1"/>
      <w:numFmt w:val="bullet"/>
      <w:lvlText w:val=""/>
      <w:lvlJc w:val="left"/>
      <w:pPr>
        <w:tabs>
          <w:tab w:val="num" w:pos="4320"/>
        </w:tabs>
        <w:ind w:left="4320" w:hanging="360"/>
      </w:pPr>
      <w:rPr>
        <w:rFonts w:ascii="Wingdings" w:hAnsi="Wingdings" w:hint="default"/>
        <w:sz w:val="20"/>
      </w:rPr>
    </w:lvl>
    <w:lvl w:ilvl="6" w:tplc="CE0E79B4" w:tentative="1">
      <w:start w:val="1"/>
      <w:numFmt w:val="bullet"/>
      <w:lvlText w:val=""/>
      <w:lvlJc w:val="left"/>
      <w:pPr>
        <w:tabs>
          <w:tab w:val="num" w:pos="5040"/>
        </w:tabs>
        <w:ind w:left="5040" w:hanging="360"/>
      </w:pPr>
      <w:rPr>
        <w:rFonts w:ascii="Wingdings" w:hAnsi="Wingdings" w:hint="default"/>
        <w:sz w:val="20"/>
      </w:rPr>
    </w:lvl>
    <w:lvl w:ilvl="7" w:tplc="91447B42" w:tentative="1">
      <w:start w:val="1"/>
      <w:numFmt w:val="bullet"/>
      <w:lvlText w:val=""/>
      <w:lvlJc w:val="left"/>
      <w:pPr>
        <w:tabs>
          <w:tab w:val="num" w:pos="5760"/>
        </w:tabs>
        <w:ind w:left="5760" w:hanging="360"/>
      </w:pPr>
      <w:rPr>
        <w:rFonts w:ascii="Wingdings" w:hAnsi="Wingdings" w:hint="default"/>
        <w:sz w:val="20"/>
      </w:rPr>
    </w:lvl>
    <w:lvl w:ilvl="8" w:tplc="0C6CD20C"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8F56E0"/>
    <w:multiLevelType w:val="multilevel"/>
    <w:tmpl w:val="431E2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272032"/>
    <w:multiLevelType w:val="multilevel"/>
    <w:tmpl w:val="B39CEA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B53917"/>
    <w:multiLevelType w:val="hybridMultilevel"/>
    <w:tmpl w:val="C08C48B4"/>
    <w:lvl w:ilvl="0" w:tplc="A80A1F6A">
      <w:start w:val="1"/>
      <w:numFmt w:val="bullet"/>
      <w:lvlText w:val=""/>
      <w:lvlJc w:val="left"/>
      <w:pPr>
        <w:tabs>
          <w:tab w:val="num" w:pos="720"/>
        </w:tabs>
        <w:ind w:left="720" w:hanging="360"/>
      </w:pPr>
      <w:rPr>
        <w:rFonts w:ascii="Symbol" w:hAnsi="Symbol" w:hint="default"/>
        <w:sz w:val="20"/>
      </w:rPr>
    </w:lvl>
    <w:lvl w:ilvl="1" w:tplc="A2B6ADF8" w:tentative="1">
      <w:start w:val="1"/>
      <w:numFmt w:val="bullet"/>
      <w:lvlText w:val="o"/>
      <w:lvlJc w:val="left"/>
      <w:pPr>
        <w:tabs>
          <w:tab w:val="num" w:pos="1440"/>
        </w:tabs>
        <w:ind w:left="1440" w:hanging="360"/>
      </w:pPr>
      <w:rPr>
        <w:rFonts w:ascii="Courier New" w:hAnsi="Courier New" w:hint="default"/>
        <w:sz w:val="20"/>
      </w:rPr>
    </w:lvl>
    <w:lvl w:ilvl="2" w:tplc="9796E0BE" w:tentative="1">
      <w:start w:val="1"/>
      <w:numFmt w:val="bullet"/>
      <w:lvlText w:val=""/>
      <w:lvlJc w:val="left"/>
      <w:pPr>
        <w:tabs>
          <w:tab w:val="num" w:pos="2160"/>
        </w:tabs>
        <w:ind w:left="2160" w:hanging="360"/>
      </w:pPr>
      <w:rPr>
        <w:rFonts w:ascii="Wingdings" w:hAnsi="Wingdings" w:hint="default"/>
        <w:sz w:val="20"/>
      </w:rPr>
    </w:lvl>
    <w:lvl w:ilvl="3" w:tplc="9CCE380E" w:tentative="1">
      <w:start w:val="1"/>
      <w:numFmt w:val="bullet"/>
      <w:lvlText w:val=""/>
      <w:lvlJc w:val="left"/>
      <w:pPr>
        <w:tabs>
          <w:tab w:val="num" w:pos="2880"/>
        </w:tabs>
        <w:ind w:left="2880" w:hanging="360"/>
      </w:pPr>
      <w:rPr>
        <w:rFonts w:ascii="Wingdings" w:hAnsi="Wingdings" w:hint="default"/>
        <w:sz w:val="20"/>
      </w:rPr>
    </w:lvl>
    <w:lvl w:ilvl="4" w:tplc="C494F400" w:tentative="1">
      <w:start w:val="1"/>
      <w:numFmt w:val="bullet"/>
      <w:lvlText w:val=""/>
      <w:lvlJc w:val="left"/>
      <w:pPr>
        <w:tabs>
          <w:tab w:val="num" w:pos="3600"/>
        </w:tabs>
        <w:ind w:left="3600" w:hanging="360"/>
      </w:pPr>
      <w:rPr>
        <w:rFonts w:ascii="Wingdings" w:hAnsi="Wingdings" w:hint="default"/>
        <w:sz w:val="20"/>
      </w:rPr>
    </w:lvl>
    <w:lvl w:ilvl="5" w:tplc="4AF0420E" w:tentative="1">
      <w:start w:val="1"/>
      <w:numFmt w:val="bullet"/>
      <w:lvlText w:val=""/>
      <w:lvlJc w:val="left"/>
      <w:pPr>
        <w:tabs>
          <w:tab w:val="num" w:pos="4320"/>
        </w:tabs>
        <w:ind w:left="4320" w:hanging="360"/>
      </w:pPr>
      <w:rPr>
        <w:rFonts w:ascii="Wingdings" w:hAnsi="Wingdings" w:hint="default"/>
        <w:sz w:val="20"/>
      </w:rPr>
    </w:lvl>
    <w:lvl w:ilvl="6" w:tplc="86363326" w:tentative="1">
      <w:start w:val="1"/>
      <w:numFmt w:val="bullet"/>
      <w:lvlText w:val=""/>
      <w:lvlJc w:val="left"/>
      <w:pPr>
        <w:tabs>
          <w:tab w:val="num" w:pos="5040"/>
        </w:tabs>
        <w:ind w:left="5040" w:hanging="360"/>
      </w:pPr>
      <w:rPr>
        <w:rFonts w:ascii="Wingdings" w:hAnsi="Wingdings" w:hint="default"/>
        <w:sz w:val="20"/>
      </w:rPr>
    </w:lvl>
    <w:lvl w:ilvl="7" w:tplc="816EDC7E" w:tentative="1">
      <w:start w:val="1"/>
      <w:numFmt w:val="bullet"/>
      <w:lvlText w:val=""/>
      <w:lvlJc w:val="left"/>
      <w:pPr>
        <w:tabs>
          <w:tab w:val="num" w:pos="5760"/>
        </w:tabs>
        <w:ind w:left="5760" w:hanging="360"/>
      </w:pPr>
      <w:rPr>
        <w:rFonts w:ascii="Wingdings" w:hAnsi="Wingdings" w:hint="default"/>
        <w:sz w:val="20"/>
      </w:rPr>
    </w:lvl>
    <w:lvl w:ilvl="8" w:tplc="49C47670"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FA1B1F"/>
    <w:multiLevelType w:val="hybridMultilevel"/>
    <w:tmpl w:val="516023B4"/>
    <w:lvl w:ilvl="0" w:tplc="5BA8D886">
      <w:start w:val="1"/>
      <w:numFmt w:val="bullet"/>
      <w:lvlText w:val=""/>
      <w:lvlJc w:val="left"/>
      <w:pPr>
        <w:tabs>
          <w:tab w:val="num" w:pos="720"/>
        </w:tabs>
        <w:ind w:left="720" w:hanging="360"/>
      </w:pPr>
      <w:rPr>
        <w:rFonts w:ascii="Symbol" w:hAnsi="Symbol" w:hint="default"/>
        <w:sz w:val="20"/>
      </w:rPr>
    </w:lvl>
    <w:lvl w:ilvl="1" w:tplc="2D30FFCA" w:tentative="1">
      <w:start w:val="1"/>
      <w:numFmt w:val="bullet"/>
      <w:lvlText w:val="o"/>
      <w:lvlJc w:val="left"/>
      <w:pPr>
        <w:tabs>
          <w:tab w:val="num" w:pos="1440"/>
        </w:tabs>
        <w:ind w:left="1440" w:hanging="360"/>
      </w:pPr>
      <w:rPr>
        <w:rFonts w:ascii="Courier New" w:hAnsi="Courier New" w:hint="default"/>
        <w:sz w:val="20"/>
      </w:rPr>
    </w:lvl>
    <w:lvl w:ilvl="2" w:tplc="7F182DC6" w:tentative="1">
      <w:start w:val="1"/>
      <w:numFmt w:val="bullet"/>
      <w:lvlText w:val=""/>
      <w:lvlJc w:val="left"/>
      <w:pPr>
        <w:tabs>
          <w:tab w:val="num" w:pos="2160"/>
        </w:tabs>
        <w:ind w:left="2160" w:hanging="360"/>
      </w:pPr>
      <w:rPr>
        <w:rFonts w:ascii="Wingdings" w:hAnsi="Wingdings" w:hint="default"/>
        <w:sz w:val="20"/>
      </w:rPr>
    </w:lvl>
    <w:lvl w:ilvl="3" w:tplc="4CCED188" w:tentative="1">
      <w:start w:val="1"/>
      <w:numFmt w:val="bullet"/>
      <w:lvlText w:val=""/>
      <w:lvlJc w:val="left"/>
      <w:pPr>
        <w:tabs>
          <w:tab w:val="num" w:pos="2880"/>
        </w:tabs>
        <w:ind w:left="2880" w:hanging="360"/>
      </w:pPr>
      <w:rPr>
        <w:rFonts w:ascii="Wingdings" w:hAnsi="Wingdings" w:hint="default"/>
        <w:sz w:val="20"/>
      </w:rPr>
    </w:lvl>
    <w:lvl w:ilvl="4" w:tplc="ED3CCBD0" w:tentative="1">
      <w:start w:val="1"/>
      <w:numFmt w:val="bullet"/>
      <w:lvlText w:val=""/>
      <w:lvlJc w:val="left"/>
      <w:pPr>
        <w:tabs>
          <w:tab w:val="num" w:pos="3600"/>
        </w:tabs>
        <w:ind w:left="3600" w:hanging="360"/>
      </w:pPr>
      <w:rPr>
        <w:rFonts w:ascii="Wingdings" w:hAnsi="Wingdings" w:hint="default"/>
        <w:sz w:val="20"/>
      </w:rPr>
    </w:lvl>
    <w:lvl w:ilvl="5" w:tplc="A0706746" w:tentative="1">
      <w:start w:val="1"/>
      <w:numFmt w:val="bullet"/>
      <w:lvlText w:val=""/>
      <w:lvlJc w:val="left"/>
      <w:pPr>
        <w:tabs>
          <w:tab w:val="num" w:pos="4320"/>
        </w:tabs>
        <w:ind w:left="4320" w:hanging="360"/>
      </w:pPr>
      <w:rPr>
        <w:rFonts w:ascii="Wingdings" w:hAnsi="Wingdings" w:hint="default"/>
        <w:sz w:val="20"/>
      </w:rPr>
    </w:lvl>
    <w:lvl w:ilvl="6" w:tplc="5E1E031E" w:tentative="1">
      <w:start w:val="1"/>
      <w:numFmt w:val="bullet"/>
      <w:lvlText w:val=""/>
      <w:lvlJc w:val="left"/>
      <w:pPr>
        <w:tabs>
          <w:tab w:val="num" w:pos="5040"/>
        </w:tabs>
        <w:ind w:left="5040" w:hanging="360"/>
      </w:pPr>
      <w:rPr>
        <w:rFonts w:ascii="Wingdings" w:hAnsi="Wingdings" w:hint="default"/>
        <w:sz w:val="20"/>
      </w:rPr>
    </w:lvl>
    <w:lvl w:ilvl="7" w:tplc="D27A3076" w:tentative="1">
      <w:start w:val="1"/>
      <w:numFmt w:val="bullet"/>
      <w:lvlText w:val=""/>
      <w:lvlJc w:val="left"/>
      <w:pPr>
        <w:tabs>
          <w:tab w:val="num" w:pos="5760"/>
        </w:tabs>
        <w:ind w:left="5760" w:hanging="360"/>
      </w:pPr>
      <w:rPr>
        <w:rFonts w:ascii="Wingdings" w:hAnsi="Wingdings" w:hint="default"/>
        <w:sz w:val="20"/>
      </w:rPr>
    </w:lvl>
    <w:lvl w:ilvl="8" w:tplc="755EF19E"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0329B9"/>
    <w:multiLevelType w:val="multilevel"/>
    <w:tmpl w:val="9D5E8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F17145"/>
    <w:multiLevelType w:val="multilevel"/>
    <w:tmpl w:val="6B4262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8211198"/>
    <w:multiLevelType w:val="multilevel"/>
    <w:tmpl w:val="68481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9DA288D"/>
    <w:multiLevelType w:val="multilevel"/>
    <w:tmpl w:val="E7AEB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C971E58"/>
    <w:multiLevelType w:val="multilevel"/>
    <w:tmpl w:val="7B420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35609D"/>
    <w:multiLevelType w:val="multilevel"/>
    <w:tmpl w:val="6B589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3A732B"/>
    <w:multiLevelType w:val="multilevel"/>
    <w:tmpl w:val="29EC9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517941"/>
    <w:multiLevelType w:val="multilevel"/>
    <w:tmpl w:val="232A6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944A5B"/>
    <w:multiLevelType w:val="multilevel"/>
    <w:tmpl w:val="7CA89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A2690B"/>
    <w:multiLevelType w:val="multilevel"/>
    <w:tmpl w:val="3C7CD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4B12F8"/>
    <w:multiLevelType w:val="hybridMultilevel"/>
    <w:tmpl w:val="B9CE8A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320B8E"/>
    <w:multiLevelType w:val="hybridMultilevel"/>
    <w:tmpl w:val="F6D885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124E7F"/>
    <w:multiLevelType w:val="multilevel"/>
    <w:tmpl w:val="62387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423295"/>
    <w:multiLevelType w:val="multilevel"/>
    <w:tmpl w:val="8B829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DA1036"/>
    <w:multiLevelType w:val="multilevel"/>
    <w:tmpl w:val="12164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103F45"/>
    <w:multiLevelType w:val="multilevel"/>
    <w:tmpl w:val="FCF02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9D5AE0"/>
    <w:multiLevelType w:val="multilevel"/>
    <w:tmpl w:val="3E06B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9"/>
  </w:num>
  <w:num w:numId="3">
    <w:abstractNumId w:val="24"/>
  </w:num>
  <w:num w:numId="4">
    <w:abstractNumId w:val="4"/>
  </w:num>
  <w:num w:numId="5">
    <w:abstractNumId w:val="20"/>
  </w:num>
  <w:num w:numId="6">
    <w:abstractNumId w:val="18"/>
  </w:num>
  <w:num w:numId="7">
    <w:abstractNumId w:val="3"/>
  </w:num>
  <w:num w:numId="8">
    <w:abstractNumId w:val="14"/>
  </w:num>
  <w:num w:numId="9">
    <w:abstractNumId w:val="23"/>
  </w:num>
  <w:num w:numId="10">
    <w:abstractNumId w:val="21"/>
  </w:num>
  <w:num w:numId="11">
    <w:abstractNumId w:val="9"/>
    <w:lvlOverride w:ilvl="0">
      <w:lvl w:ilvl="0">
        <w:numFmt w:val="upperLetter"/>
        <w:lvlText w:val="%1."/>
        <w:lvlJc w:val="left"/>
      </w:lvl>
    </w:lvlOverride>
  </w:num>
  <w:num w:numId="12">
    <w:abstractNumId w:val="22"/>
  </w:num>
  <w:num w:numId="13">
    <w:abstractNumId w:val="25"/>
  </w:num>
  <w:num w:numId="14">
    <w:abstractNumId w:val="6"/>
  </w:num>
  <w:num w:numId="15">
    <w:abstractNumId w:val="7"/>
  </w:num>
  <w:num w:numId="16">
    <w:abstractNumId w:val="12"/>
  </w:num>
  <w:num w:numId="17">
    <w:abstractNumId w:val="0"/>
  </w:num>
  <w:num w:numId="18">
    <w:abstractNumId w:val="10"/>
  </w:num>
  <w:num w:numId="19">
    <w:abstractNumId w:val="15"/>
  </w:num>
  <w:num w:numId="20">
    <w:abstractNumId w:val="13"/>
  </w:num>
  <w:num w:numId="21">
    <w:abstractNumId w:val="5"/>
  </w:num>
  <w:num w:numId="22">
    <w:abstractNumId w:val="16"/>
  </w:num>
  <w:num w:numId="23">
    <w:abstractNumId w:val="8"/>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num>
  <w:num w:numId="44">
    <w:abstractNumId w:val="17"/>
  </w:num>
  <w:num w:numId="45">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9"/>
  <w:doNotDisplayPageBoundaries/>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c3NTczMzI3sTS0NDJV0lEKTi0uzszPAykwNKoFADS0uJstAAAA"/>
  </w:docVars>
  <w:rsids>
    <w:rsidRoot w:val="007937D6"/>
    <w:rsid w:val="00001899"/>
    <w:rsid w:val="000049AD"/>
    <w:rsid w:val="0000681B"/>
    <w:rsid w:val="000106E7"/>
    <w:rsid w:val="000133C0"/>
    <w:rsid w:val="00014C4E"/>
    <w:rsid w:val="00017107"/>
    <w:rsid w:val="000202E2"/>
    <w:rsid w:val="00022441"/>
    <w:rsid w:val="0002261E"/>
    <w:rsid w:val="00024839"/>
    <w:rsid w:val="00026871"/>
    <w:rsid w:val="00026F8F"/>
    <w:rsid w:val="000317D8"/>
    <w:rsid w:val="00037A98"/>
    <w:rsid w:val="0004010D"/>
    <w:rsid w:val="00041233"/>
    <w:rsid w:val="000427FB"/>
    <w:rsid w:val="00043ED2"/>
    <w:rsid w:val="0004455E"/>
    <w:rsid w:val="00047CB5"/>
    <w:rsid w:val="00047D4B"/>
    <w:rsid w:val="00051421"/>
    <w:rsid w:val="00051FAA"/>
    <w:rsid w:val="000564EF"/>
    <w:rsid w:val="000572A9"/>
    <w:rsid w:val="00060E5B"/>
    <w:rsid w:val="00061325"/>
    <w:rsid w:val="000733AC"/>
    <w:rsid w:val="00074B81"/>
    <w:rsid w:val="00074D22"/>
    <w:rsid w:val="00075081"/>
    <w:rsid w:val="0007528A"/>
    <w:rsid w:val="00076438"/>
    <w:rsid w:val="000766F7"/>
    <w:rsid w:val="00077728"/>
    <w:rsid w:val="000807E0"/>
    <w:rsid w:val="000811AB"/>
    <w:rsid w:val="00081E0A"/>
    <w:rsid w:val="00083C5F"/>
    <w:rsid w:val="0009172C"/>
    <w:rsid w:val="000930EC"/>
    <w:rsid w:val="00095E61"/>
    <w:rsid w:val="000966C1"/>
    <w:rsid w:val="0009677C"/>
    <w:rsid w:val="000970AC"/>
    <w:rsid w:val="000A1167"/>
    <w:rsid w:val="000A2766"/>
    <w:rsid w:val="000A4428"/>
    <w:rsid w:val="000A6D40"/>
    <w:rsid w:val="000A7BC3"/>
    <w:rsid w:val="000B1661"/>
    <w:rsid w:val="000B1F0B"/>
    <w:rsid w:val="000B2E88"/>
    <w:rsid w:val="000B4603"/>
    <w:rsid w:val="000B66A1"/>
    <w:rsid w:val="000C0483"/>
    <w:rsid w:val="000C09BE"/>
    <w:rsid w:val="000C1380"/>
    <w:rsid w:val="000C27F9"/>
    <w:rsid w:val="000C554F"/>
    <w:rsid w:val="000C6218"/>
    <w:rsid w:val="000D02E8"/>
    <w:rsid w:val="000D0DC5"/>
    <w:rsid w:val="000D15FF"/>
    <w:rsid w:val="000D28DF"/>
    <w:rsid w:val="000D447D"/>
    <w:rsid w:val="000D488B"/>
    <w:rsid w:val="000D68DF"/>
    <w:rsid w:val="000E138D"/>
    <w:rsid w:val="000E187A"/>
    <w:rsid w:val="000E191D"/>
    <w:rsid w:val="000E2D61"/>
    <w:rsid w:val="000E450E"/>
    <w:rsid w:val="000E5E0A"/>
    <w:rsid w:val="000E6259"/>
    <w:rsid w:val="000F4677"/>
    <w:rsid w:val="000F5BE0"/>
    <w:rsid w:val="000F60B9"/>
    <w:rsid w:val="00100587"/>
    <w:rsid w:val="0010115D"/>
    <w:rsid w:val="0010284E"/>
    <w:rsid w:val="00103122"/>
    <w:rsid w:val="0010336A"/>
    <w:rsid w:val="001050F1"/>
    <w:rsid w:val="00105AEA"/>
    <w:rsid w:val="00106DAF"/>
    <w:rsid w:val="00114ABE"/>
    <w:rsid w:val="00116023"/>
    <w:rsid w:val="0011792A"/>
    <w:rsid w:val="001208C7"/>
    <w:rsid w:val="001348A2"/>
    <w:rsid w:val="00134A51"/>
    <w:rsid w:val="00140727"/>
    <w:rsid w:val="00151F67"/>
    <w:rsid w:val="00155BFB"/>
    <w:rsid w:val="00160628"/>
    <w:rsid w:val="00161344"/>
    <w:rsid w:val="00162195"/>
    <w:rsid w:val="0016322A"/>
    <w:rsid w:val="00165A21"/>
    <w:rsid w:val="001705CE"/>
    <w:rsid w:val="0017714B"/>
    <w:rsid w:val="001804DF"/>
    <w:rsid w:val="00181BDC"/>
    <w:rsid w:val="00181DB0"/>
    <w:rsid w:val="00181E73"/>
    <w:rsid w:val="001829E3"/>
    <w:rsid w:val="0018640D"/>
    <w:rsid w:val="00192324"/>
    <w:rsid w:val="001924C0"/>
    <w:rsid w:val="00194938"/>
    <w:rsid w:val="00194F39"/>
    <w:rsid w:val="0019731E"/>
    <w:rsid w:val="001A09FE"/>
    <w:rsid w:val="001A2502"/>
    <w:rsid w:val="001A4159"/>
    <w:rsid w:val="001A6628"/>
    <w:rsid w:val="001A67C9"/>
    <w:rsid w:val="001A69DE"/>
    <w:rsid w:val="001A713C"/>
    <w:rsid w:val="001B1C7C"/>
    <w:rsid w:val="001B398F"/>
    <w:rsid w:val="001B46C6"/>
    <w:rsid w:val="001B499C"/>
    <w:rsid w:val="001B4B48"/>
    <w:rsid w:val="001B4D1F"/>
    <w:rsid w:val="001B7681"/>
    <w:rsid w:val="001B7CAE"/>
    <w:rsid w:val="001C0772"/>
    <w:rsid w:val="001C0D4F"/>
    <w:rsid w:val="001C1BA3"/>
    <w:rsid w:val="001C1DEC"/>
    <w:rsid w:val="001C5736"/>
    <w:rsid w:val="001D647F"/>
    <w:rsid w:val="001D665B"/>
    <w:rsid w:val="001D6857"/>
    <w:rsid w:val="001D7A50"/>
    <w:rsid w:val="001E0572"/>
    <w:rsid w:val="001E0873"/>
    <w:rsid w:val="001E0A67"/>
    <w:rsid w:val="001E1028"/>
    <w:rsid w:val="001E14E2"/>
    <w:rsid w:val="001E6302"/>
    <w:rsid w:val="001E6C57"/>
    <w:rsid w:val="001E7DCB"/>
    <w:rsid w:val="001F3411"/>
    <w:rsid w:val="001F4287"/>
    <w:rsid w:val="001F4A49"/>
    <w:rsid w:val="001F4DBA"/>
    <w:rsid w:val="0020415E"/>
    <w:rsid w:val="002042ED"/>
    <w:rsid w:val="00204FF4"/>
    <w:rsid w:val="0021056E"/>
    <w:rsid w:val="0021075D"/>
    <w:rsid w:val="0021165A"/>
    <w:rsid w:val="00211BC9"/>
    <w:rsid w:val="002123E6"/>
    <w:rsid w:val="00214277"/>
    <w:rsid w:val="0021620C"/>
    <w:rsid w:val="00216E78"/>
    <w:rsid w:val="00217275"/>
    <w:rsid w:val="00226BF8"/>
    <w:rsid w:val="00236F4B"/>
    <w:rsid w:val="0024014C"/>
    <w:rsid w:val="00241EEA"/>
    <w:rsid w:val="00242B0D"/>
    <w:rsid w:val="002467C6"/>
    <w:rsid w:val="0024692A"/>
    <w:rsid w:val="0025113C"/>
    <w:rsid w:val="00252BBA"/>
    <w:rsid w:val="00253123"/>
    <w:rsid w:val="00264001"/>
    <w:rsid w:val="0026503F"/>
    <w:rsid w:val="00266354"/>
    <w:rsid w:val="00267A18"/>
    <w:rsid w:val="00271756"/>
    <w:rsid w:val="00273462"/>
    <w:rsid w:val="00273744"/>
    <w:rsid w:val="0027395B"/>
    <w:rsid w:val="00274508"/>
    <w:rsid w:val="00275854"/>
    <w:rsid w:val="00277626"/>
    <w:rsid w:val="00283B41"/>
    <w:rsid w:val="00285F28"/>
    <w:rsid w:val="00286398"/>
    <w:rsid w:val="002921D1"/>
    <w:rsid w:val="002A3C42"/>
    <w:rsid w:val="002A5D75"/>
    <w:rsid w:val="002A678A"/>
    <w:rsid w:val="002B1B1A"/>
    <w:rsid w:val="002B31CD"/>
    <w:rsid w:val="002B7228"/>
    <w:rsid w:val="002C53EE"/>
    <w:rsid w:val="002D0085"/>
    <w:rsid w:val="002D24F7"/>
    <w:rsid w:val="002D2799"/>
    <w:rsid w:val="002D2CD7"/>
    <w:rsid w:val="002D4DDC"/>
    <w:rsid w:val="002D4F75"/>
    <w:rsid w:val="002D6493"/>
    <w:rsid w:val="002D768F"/>
    <w:rsid w:val="002D7AB6"/>
    <w:rsid w:val="002E06D0"/>
    <w:rsid w:val="002E3C27"/>
    <w:rsid w:val="002E403A"/>
    <w:rsid w:val="002E7F3A"/>
    <w:rsid w:val="002F4EDB"/>
    <w:rsid w:val="002F6054"/>
    <w:rsid w:val="002F616F"/>
    <w:rsid w:val="0030475E"/>
    <w:rsid w:val="00304C19"/>
    <w:rsid w:val="00310E13"/>
    <w:rsid w:val="00315713"/>
    <w:rsid w:val="0031686C"/>
    <w:rsid w:val="00316FE0"/>
    <w:rsid w:val="003204D2"/>
    <w:rsid w:val="003219C0"/>
    <w:rsid w:val="0032583C"/>
    <w:rsid w:val="0032605E"/>
    <w:rsid w:val="003275D1"/>
    <w:rsid w:val="00330B2A"/>
    <w:rsid w:val="00331E17"/>
    <w:rsid w:val="00333063"/>
    <w:rsid w:val="0033333A"/>
    <w:rsid w:val="003408E3"/>
    <w:rsid w:val="00343480"/>
    <w:rsid w:val="00345E89"/>
    <w:rsid w:val="003522A1"/>
    <w:rsid w:val="0035254B"/>
    <w:rsid w:val="00353555"/>
    <w:rsid w:val="00353E2B"/>
    <w:rsid w:val="003565D4"/>
    <w:rsid w:val="003607FB"/>
    <w:rsid w:val="00360FD5"/>
    <w:rsid w:val="0036340D"/>
    <w:rsid w:val="003634A5"/>
    <w:rsid w:val="00366868"/>
    <w:rsid w:val="00367506"/>
    <w:rsid w:val="00370085"/>
    <w:rsid w:val="003744A7"/>
    <w:rsid w:val="00376235"/>
    <w:rsid w:val="003812E1"/>
    <w:rsid w:val="00381FB6"/>
    <w:rsid w:val="003836D3"/>
    <w:rsid w:val="00383A52"/>
    <w:rsid w:val="00383B0E"/>
    <w:rsid w:val="00391652"/>
    <w:rsid w:val="0039400E"/>
    <w:rsid w:val="0039507F"/>
    <w:rsid w:val="003A1260"/>
    <w:rsid w:val="003A295F"/>
    <w:rsid w:val="003A41DD"/>
    <w:rsid w:val="003A5E25"/>
    <w:rsid w:val="003A7033"/>
    <w:rsid w:val="003A7178"/>
    <w:rsid w:val="003B43C9"/>
    <w:rsid w:val="003B47FE"/>
    <w:rsid w:val="003B5673"/>
    <w:rsid w:val="003B6287"/>
    <w:rsid w:val="003B62C9"/>
    <w:rsid w:val="003C7176"/>
    <w:rsid w:val="003D0929"/>
    <w:rsid w:val="003D4729"/>
    <w:rsid w:val="003D48E5"/>
    <w:rsid w:val="003D7DD6"/>
    <w:rsid w:val="003E075D"/>
    <w:rsid w:val="003E4B7F"/>
    <w:rsid w:val="003E5AAF"/>
    <w:rsid w:val="003E600D"/>
    <w:rsid w:val="003E64DF"/>
    <w:rsid w:val="003E6A5D"/>
    <w:rsid w:val="003F193A"/>
    <w:rsid w:val="003F4207"/>
    <w:rsid w:val="003F5C46"/>
    <w:rsid w:val="003F7CBB"/>
    <w:rsid w:val="003F7D34"/>
    <w:rsid w:val="00402AF1"/>
    <w:rsid w:val="00412C8E"/>
    <w:rsid w:val="00415072"/>
    <w:rsid w:val="0041518D"/>
    <w:rsid w:val="00415DA0"/>
    <w:rsid w:val="0041652A"/>
    <w:rsid w:val="0042221D"/>
    <w:rsid w:val="00424DD3"/>
    <w:rsid w:val="004269C5"/>
    <w:rsid w:val="00426C09"/>
    <w:rsid w:val="00435939"/>
    <w:rsid w:val="00437CC7"/>
    <w:rsid w:val="00442B9C"/>
    <w:rsid w:val="0044421C"/>
    <w:rsid w:val="00445EFA"/>
    <w:rsid w:val="0044738A"/>
    <w:rsid w:val="004473D3"/>
    <w:rsid w:val="00452231"/>
    <w:rsid w:val="004545F7"/>
    <w:rsid w:val="00457D9C"/>
    <w:rsid w:val="00460AD1"/>
    <w:rsid w:val="00460C13"/>
    <w:rsid w:val="00463228"/>
    <w:rsid w:val="00463782"/>
    <w:rsid w:val="00463B95"/>
    <w:rsid w:val="004667E0"/>
    <w:rsid w:val="004668B7"/>
    <w:rsid w:val="0046760E"/>
    <w:rsid w:val="00470E10"/>
    <w:rsid w:val="00471B8E"/>
    <w:rsid w:val="00477A97"/>
    <w:rsid w:val="00481343"/>
    <w:rsid w:val="0048549E"/>
    <w:rsid w:val="00493347"/>
    <w:rsid w:val="00494B09"/>
    <w:rsid w:val="00496092"/>
    <w:rsid w:val="004A08DB"/>
    <w:rsid w:val="004A11CD"/>
    <w:rsid w:val="004A25D0"/>
    <w:rsid w:val="004A37E8"/>
    <w:rsid w:val="004A7549"/>
    <w:rsid w:val="004B09D4"/>
    <w:rsid w:val="004B309D"/>
    <w:rsid w:val="004B330A"/>
    <w:rsid w:val="004B7C8E"/>
    <w:rsid w:val="004C2DCF"/>
    <w:rsid w:val="004C3D3C"/>
    <w:rsid w:val="004C47C8"/>
    <w:rsid w:val="004D0EDC"/>
    <w:rsid w:val="004D1220"/>
    <w:rsid w:val="004D14B3"/>
    <w:rsid w:val="004D1529"/>
    <w:rsid w:val="004D2253"/>
    <w:rsid w:val="004D5514"/>
    <w:rsid w:val="004D56C3"/>
    <w:rsid w:val="004E0338"/>
    <w:rsid w:val="004E3DBF"/>
    <w:rsid w:val="004E4FF3"/>
    <w:rsid w:val="004E56A8"/>
    <w:rsid w:val="004F3B55"/>
    <w:rsid w:val="004F4E46"/>
    <w:rsid w:val="004F6349"/>
    <w:rsid w:val="004F6B7D"/>
    <w:rsid w:val="005015F6"/>
    <w:rsid w:val="005030C4"/>
    <w:rsid w:val="005031C5"/>
    <w:rsid w:val="00504FDC"/>
    <w:rsid w:val="005120CC"/>
    <w:rsid w:val="00512B7B"/>
    <w:rsid w:val="00514EA1"/>
    <w:rsid w:val="0051798B"/>
    <w:rsid w:val="00521F5A"/>
    <w:rsid w:val="00525E06"/>
    <w:rsid w:val="00526454"/>
    <w:rsid w:val="00527316"/>
    <w:rsid w:val="00531823"/>
    <w:rsid w:val="00533764"/>
    <w:rsid w:val="00534ECC"/>
    <w:rsid w:val="0053720D"/>
    <w:rsid w:val="005374AD"/>
    <w:rsid w:val="00540962"/>
    <w:rsid w:val="00540EF5"/>
    <w:rsid w:val="00541BF3"/>
    <w:rsid w:val="00541CD3"/>
    <w:rsid w:val="005476FA"/>
    <w:rsid w:val="00550BC5"/>
    <w:rsid w:val="00553C59"/>
    <w:rsid w:val="0055595E"/>
    <w:rsid w:val="00557988"/>
    <w:rsid w:val="00562C49"/>
    <w:rsid w:val="00562DEF"/>
    <w:rsid w:val="0056321A"/>
    <w:rsid w:val="00563A35"/>
    <w:rsid w:val="00566596"/>
    <w:rsid w:val="0056708B"/>
    <w:rsid w:val="005741E9"/>
    <w:rsid w:val="005748CF"/>
    <w:rsid w:val="005824F7"/>
    <w:rsid w:val="00584270"/>
    <w:rsid w:val="00584738"/>
    <w:rsid w:val="00586858"/>
    <w:rsid w:val="00586C9E"/>
    <w:rsid w:val="005920B0"/>
    <w:rsid w:val="005921C8"/>
    <w:rsid w:val="0059380D"/>
    <w:rsid w:val="00595A8F"/>
    <w:rsid w:val="005977C2"/>
    <w:rsid w:val="00597BF2"/>
    <w:rsid w:val="00597D09"/>
    <w:rsid w:val="005B134E"/>
    <w:rsid w:val="005B2039"/>
    <w:rsid w:val="005B344F"/>
    <w:rsid w:val="005B3FBA"/>
    <w:rsid w:val="005B4A1D"/>
    <w:rsid w:val="005B5317"/>
    <w:rsid w:val="005B674D"/>
    <w:rsid w:val="005C0CBE"/>
    <w:rsid w:val="005C1FCF"/>
    <w:rsid w:val="005C337B"/>
    <w:rsid w:val="005C3FCE"/>
    <w:rsid w:val="005D032B"/>
    <w:rsid w:val="005D1885"/>
    <w:rsid w:val="005D3082"/>
    <w:rsid w:val="005D4A38"/>
    <w:rsid w:val="005E2EEA"/>
    <w:rsid w:val="005E3708"/>
    <w:rsid w:val="005E3CCD"/>
    <w:rsid w:val="005E3D6B"/>
    <w:rsid w:val="005E5B55"/>
    <w:rsid w:val="005E5E4A"/>
    <w:rsid w:val="005E693D"/>
    <w:rsid w:val="005E75BF"/>
    <w:rsid w:val="005F221C"/>
    <w:rsid w:val="005F2B54"/>
    <w:rsid w:val="005F45B8"/>
    <w:rsid w:val="005F5650"/>
    <w:rsid w:val="005F57BA"/>
    <w:rsid w:val="005F61E6"/>
    <w:rsid w:val="005F6C45"/>
    <w:rsid w:val="005F7258"/>
    <w:rsid w:val="00605A69"/>
    <w:rsid w:val="00606C54"/>
    <w:rsid w:val="00611D12"/>
    <w:rsid w:val="00614375"/>
    <w:rsid w:val="00615B0A"/>
    <w:rsid w:val="0061617D"/>
    <w:rsid w:val="006168CF"/>
    <w:rsid w:val="0062011B"/>
    <w:rsid w:val="00621C2B"/>
    <w:rsid w:val="00626DE0"/>
    <w:rsid w:val="00630901"/>
    <w:rsid w:val="00631F8E"/>
    <w:rsid w:val="00636EE9"/>
    <w:rsid w:val="00640950"/>
    <w:rsid w:val="00641AE7"/>
    <w:rsid w:val="00642629"/>
    <w:rsid w:val="00642A0D"/>
    <w:rsid w:val="006461B6"/>
    <w:rsid w:val="00647B9D"/>
    <w:rsid w:val="00651FDC"/>
    <w:rsid w:val="0065293D"/>
    <w:rsid w:val="00653EFC"/>
    <w:rsid w:val="00654021"/>
    <w:rsid w:val="00661045"/>
    <w:rsid w:val="00663FAD"/>
    <w:rsid w:val="00666DA8"/>
    <w:rsid w:val="00671057"/>
    <w:rsid w:val="00673D79"/>
    <w:rsid w:val="00675AAF"/>
    <w:rsid w:val="00676106"/>
    <w:rsid w:val="00677A52"/>
    <w:rsid w:val="0068031A"/>
    <w:rsid w:val="00681B2F"/>
    <w:rsid w:val="0068335F"/>
    <w:rsid w:val="00684CE9"/>
    <w:rsid w:val="006851DF"/>
    <w:rsid w:val="00686454"/>
    <w:rsid w:val="00687217"/>
    <w:rsid w:val="00693302"/>
    <w:rsid w:val="0069640B"/>
    <w:rsid w:val="006A1B83"/>
    <w:rsid w:val="006A21CD"/>
    <w:rsid w:val="006A3846"/>
    <w:rsid w:val="006A5918"/>
    <w:rsid w:val="006A5C19"/>
    <w:rsid w:val="006A798C"/>
    <w:rsid w:val="006B21B2"/>
    <w:rsid w:val="006B4A4A"/>
    <w:rsid w:val="006C1038"/>
    <w:rsid w:val="006C19B2"/>
    <w:rsid w:val="006C4409"/>
    <w:rsid w:val="006C5BB8"/>
    <w:rsid w:val="006C6936"/>
    <w:rsid w:val="006C7B01"/>
    <w:rsid w:val="006D0FE8"/>
    <w:rsid w:val="006D4B2B"/>
    <w:rsid w:val="006D4F3C"/>
    <w:rsid w:val="006D5C66"/>
    <w:rsid w:val="006D7B26"/>
    <w:rsid w:val="006E0995"/>
    <w:rsid w:val="006E1B3C"/>
    <w:rsid w:val="006E23FB"/>
    <w:rsid w:val="006E3102"/>
    <w:rsid w:val="006E325A"/>
    <w:rsid w:val="006E33EC"/>
    <w:rsid w:val="006E3802"/>
    <w:rsid w:val="006E6C02"/>
    <w:rsid w:val="006F0D39"/>
    <w:rsid w:val="006F231A"/>
    <w:rsid w:val="006F6B55"/>
    <w:rsid w:val="006F71D2"/>
    <w:rsid w:val="006F788D"/>
    <w:rsid w:val="006F78E1"/>
    <w:rsid w:val="00701072"/>
    <w:rsid w:val="00702054"/>
    <w:rsid w:val="007035A4"/>
    <w:rsid w:val="007060D4"/>
    <w:rsid w:val="007114C6"/>
    <w:rsid w:val="00711544"/>
    <w:rsid w:val="00711799"/>
    <w:rsid w:val="00712B78"/>
    <w:rsid w:val="007134B8"/>
    <w:rsid w:val="0071393B"/>
    <w:rsid w:val="00713EE2"/>
    <w:rsid w:val="007177FC"/>
    <w:rsid w:val="00720C5E"/>
    <w:rsid w:val="00721701"/>
    <w:rsid w:val="00731835"/>
    <w:rsid w:val="007341F8"/>
    <w:rsid w:val="00734372"/>
    <w:rsid w:val="00734EB8"/>
    <w:rsid w:val="00735F8B"/>
    <w:rsid w:val="00742D1F"/>
    <w:rsid w:val="007434CC"/>
    <w:rsid w:val="00743EBA"/>
    <w:rsid w:val="00744C8E"/>
    <w:rsid w:val="0074707E"/>
    <w:rsid w:val="007512F4"/>
    <w:rsid w:val="007516DC"/>
    <w:rsid w:val="00752E58"/>
    <w:rsid w:val="00753235"/>
    <w:rsid w:val="00754B80"/>
    <w:rsid w:val="00754E98"/>
    <w:rsid w:val="00761918"/>
    <w:rsid w:val="00762F03"/>
    <w:rsid w:val="0076413B"/>
    <w:rsid w:val="007648AE"/>
    <w:rsid w:val="00764BF8"/>
    <w:rsid w:val="0076514D"/>
    <w:rsid w:val="00772E2E"/>
    <w:rsid w:val="00773D59"/>
    <w:rsid w:val="00781003"/>
    <w:rsid w:val="00781C90"/>
    <w:rsid w:val="00782FE3"/>
    <w:rsid w:val="00785991"/>
    <w:rsid w:val="00785C11"/>
    <w:rsid w:val="007911FD"/>
    <w:rsid w:val="007937D6"/>
    <w:rsid w:val="00793930"/>
    <w:rsid w:val="00793DD1"/>
    <w:rsid w:val="0079441D"/>
    <w:rsid w:val="00794C8D"/>
    <w:rsid w:val="00794FEC"/>
    <w:rsid w:val="007A003E"/>
    <w:rsid w:val="007A1965"/>
    <w:rsid w:val="007A2ED1"/>
    <w:rsid w:val="007A4BE6"/>
    <w:rsid w:val="007A7689"/>
    <w:rsid w:val="007B0DC6"/>
    <w:rsid w:val="007B1094"/>
    <w:rsid w:val="007B1762"/>
    <w:rsid w:val="007B3320"/>
    <w:rsid w:val="007C2253"/>
    <w:rsid w:val="007C301F"/>
    <w:rsid w:val="007C4540"/>
    <w:rsid w:val="007C65AF"/>
    <w:rsid w:val="007D135D"/>
    <w:rsid w:val="007D56D5"/>
    <w:rsid w:val="007D730F"/>
    <w:rsid w:val="007D7CD8"/>
    <w:rsid w:val="007E0936"/>
    <w:rsid w:val="007E3AA7"/>
    <w:rsid w:val="007F737D"/>
    <w:rsid w:val="0080308E"/>
    <w:rsid w:val="00804A37"/>
    <w:rsid w:val="00805303"/>
    <w:rsid w:val="00806705"/>
    <w:rsid w:val="00806738"/>
    <w:rsid w:val="008216D5"/>
    <w:rsid w:val="008249CE"/>
    <w:rsid w:val="008265C0"/>
    <w:rsid w:val="00827F31"/>
    <w:rsid w:val="00831A50"/>
    <w:rsid w:val="00831B3C"/>
    <w:rsid w:val="00831C89"/>
    <w:rsid w:val="00832114"/>
    <w:rsid w:val="00834C46"/>
    <w:rsid w:val="0084093E"/>
    <w:rsid w:val="00841CE1"/>
    <w:rsid w:val="00842CC3"/>
    <w:rsid w:val="00845EF2"/>
    <w:rsid w:val="008473D8"/>
    <w:rsid w:val="008474F0"/>
    <w:rsid w:val="00851E96"/>
    <w:rsid w:val="008528DC"/>
    <w:rsid w:val="00852B8C"/>
    <w:rsid w:val="008541C3"/>
    <w:rsid w:val="00854981"/>
    <w:rsid w:val="00863207"/>
    <w:rsid w:val="008644E0"/>
    <w:rsid w:val="00864B2E"/>
    <w:rsid w:val="00865963"/>
    <w:rsid w:val="00871C1D"/>
    <w:rsid w:val="0087450E"/>
    <w:rsid w:val="00875A82"/>
    <w:rsid w:val="00875DB7"/>
    <w:rsid w:val="00876CA3"/>
    <w:rsid w:val="008772FE"/>
    <w:rsid w:val="008775F1"/>
    <w:rsid w:val="008821AE"/>
    <w:rsid w:val="0088228D"/>
    <w:rsid w:val="00883D3A"/>
    <w:rsid w:val="008843CB"/>
    <w:rsid w:val="008854F7"/>
    <w:rsid w:val="00885A9D"/>
    <w:rsid w:val="00886FA8"/>
    <w:rsid w:val="00890F9B"/>
    <w:rsid w:val="008929D2"/>
    <w:rsid w:val="00893636"/>
    <w:rsid w:val="00893799"/>
    <w:rsid w:val="00893B94"/>
    <w:rsid w:val="00896E9D"/>
    <w:rsid w:val="00896F11"/>
    <w:rsid w:val="00897925"/>
    <w:rsid w:val="008A1049"/>
    <w:rsid w:val="008A11DD"/>
    <w:rsid w:val="008A1C98"/>
    <w:rsid w:val="008A322D"/>
    <w:rsid w:val="008A4D72"/>
    <w:rsid w:val="008A6285"/>
    <w:rsid w:val="008A63B2"/>
    <w:rsid w:val="008B0F5B"/>
    <w:rsid w:val="008B345D"/>
    <w:rsid w:val="008C1FC2"/>
    <w:rsid w:val="008C2980"/>
    <w:rsid w:val="008C4893"/>
    <w:rsid w:val="008C4DD6"/>
    <w:rsid w:val="008C5AFB"/>
    <w:rsid w:val="008D07FB"/>
    <w:rsid w:val="008D0C02"/>
    <w:rsid w:val="008D357D"/>
    <w:rsid w:val="008D435A"/>
    <w:rsid w:val="008E387B"/>
    <w:rsid w:val="008E6087"/>
    <w:rsid w:val="008E758D"/>
    <w:rsid w:val="008F10A7"/>
    <w:rsid w:val="008F7022"/>
    <w:rsid w:val="008F755D"/>
    <w:rsid w:val="008F7A39"/>
    <w:rsid w:val="009021E8"/>
    <w:rsid w:val="009037A9"/>
    <w:rsid w:val="00904592"/>
    <w:rsid w:val="00904677"/>
    <w:rsid w:val="00905EE2"/>
    <w:rsid w:val="009077D3"/>
    <w:rsid w:val="00911440"/>
    <w:rsid w:val="00911712"/>
    <w:rsid w:val="00911B27"/>
    <w:rsid w:val="00911B2F"/>
    <w:rsid w:val="009170BE"/>
    <w:rsid w:val="009171FE"/>
    <w:rsid w:val="00920B55"/>
    <w:rsid w:val="009211C0"/>
    <w:rsid w:val="00924869"/>
    <w:rsid w:val="009262C9"/>
    <w:rsid w:val="00926649"/>
    <w:rsid w:val="00930EB9"/>
    <w:rsid w:val="00933DC7"/>
    <w:rsid w:val="009418F4"/>
    <w:rsid w:val="00942BBC"/>
    <w:rsid w:val="00943E25"/>
    <w:rsid w:val="00944180"/>
    <w:rsid w:val="00944AA0"/>
    <w:rsid w:val="00947DA2"/>
    <w:rsid w:val="00951177"/>
    <w:rsid w:val="0095481A"/>
    <w:rsid w:val="00956CEA"/>
    <w:rsid w:val="00966D3F"/>
    <w:rsid w:val="009673E8"/>
    <w:rsid w:val="00971A39"/>
    <w:rsid w:val="00974DB8"/>
    <w:rsid w:val="00976951"/>
    <w:rsid w:val="00980661"/>
    <w:rsid w:val="0098093B"/>
    <w:rsid w:val="009876D4"/>
    <w:rsid w:val="009914A5"/>
    <w:rsid w:val="00994C02"/>
    <w:rsid w:val="0099548E"/>
    <w:rsid w:val="00996456"/>
    <w:rsid w:val="00996A12"/>
    <w:rsid w:val="00997B0F"/>
    <w:rsid w:val="009A0CC3"/>
    <w:rsid w:val="009A1CAD"/>
    <w:rsid w:val="009A3440"/>
    <w:rsid w:val="009A57C8"/>
    <w:rsid w:val="009A5832"/>
    <w:rsid w:val="009A6838"/>
    <w:rsid w:val="009B24B5"/>
    <w:rsid w:val="009B4EBC"/>
    <w:rsid w:val="009B5ABB"/>
    <w:rsid w:val="009B73CE"/>
    <w:rsid w:val="009B78C4"/>
    <w:rsid w:val="009C2461"/>
    <w:rsid w:val="009C6D49"/>
    <w:rsid w:val="009C6FE2"/>
    <w:rsid w:val="009C7674"/>
    <w:rsid w:val="009C7BC5"/>
    <w:rsid w:val="009D004A"/>
    <w:rsid w:val="009D28F7"/>
    <w:rsid w:val="009D2A8D"/>
    <w:rsid w:val="009D3418"/>
    <w:rsid w:val="009D5880"/>
    <w:rsid w:val="009E1FD4"/>
    <w:rsid w:val="009E30B0"/>
    <w:rsid w:val="009E3B07"/>
    <w:rsid w:val="009E51D1"/>
    <w:rsid w:val="009E5531"/>
    <w:rsid w:val="009F171E"/>
    <w:rsid w:val="009F3D2F"/>
    <w:rsid w:val="009F5B25"/>
    <w:rsid w:val="009F7052"/>
    <w:rsid w:val="00A02668"/>
    <w:rsid w:val="00A02801"/>
    <w:rsid w:val="00A06A39"/>
    <w:rsid w:val="00A07F58"/>
    <w:rsid w:val="00A131CB"/>
    <w:rsid w:val="00A14847"/>
    <w:rsid w:val="00A15135"/>
    <w:rsid w:val="00A16D6D"/>
    <w:rsid w:val="00A21383"/>
    <w:rsid w:val="00A2199F"/>
    <w:rsid w:val="00A21B31"/>
    <w:rsid w:val="00A21D7C"/>
    <w:rsid w:val="00A221F4"/>
    <w:rsid w:val="00A2360E"/>
    <w:rsid w:val="00A26E0C"/>
    <w:rsid w:val="00A32FCB"/>
    <w:rsid w:val="00A34C25"/>
    <w:rsid w:val="00A3507D"/>
    <w:rsid w:val="00A3717A"/>
    <w:rsid w:val="00A4088C"/>
    <w:rsid w:val="00A443FF"/>
    <w:rsid w:val="00A4456B"/>
    <w:rsid w:val="00A448D4"/>
    <w:rsid w:val="00A452E0"/>
    <w:rsid w:val="00A51EA5"/>
    <w:rsid w:val="00A53742"/>
    <w:rsid w:val="00A557A1"/>
    <w:rsid w:val="00A61844"/>
    <w:rsid w:val="00A63059"/>
    <w:rsid w:val="00A63AE3"/>
    <w:rsid w:val="00A651A4"/>
    <w:rsid w:val="00A673AA"/>
    <w:rsid w:val="00A71361"/>
    <w:rsid w:val="00A746E2"/>
    <w:rsid w:val="00A805A2"/>
    <w:rsid w:val="00A81FF2"/>
    <w:rsid w:val="00A83904"/>
    <w:rsid w:val="00A90A79"/>
    <w:rsid w:val="00A96B30"/>
    <w:rsid w:val="00AA1F43"/>
    <w:rsid w:val="00AA59B5"/>
    <w:rsid w:val="00AA6E87"/>
    <w:rsid w:val="00AA7777"/>
    <w:rsid w:val="00AA7B84"/>
    <w:rsid w:val="00AC0B4C"/>
    <w:rsid w:val="00AC1164"/>
    <w:rsid w:val="00AC2296"/>
    <w:rsid w:val="00AC2754"/>
    <w:rsid w:val="00AC2C9C"/>
    <w:rsid w:val="00AC48B0"/>
    <w:rsid w:val="00AC4ACD"/>
    <w:rsid w:val="00AC5DFB"/>
    <w:rsid w:val="00AD13DC"/>
    <w:rsid w:val="00AD6DE2"/>
    <w:rsid w:val="00AE0A40"/>
    <w:rsid w:val="00AE1ED4"/>
    <w:rsid w:val="00AE21E1"/>
    <w:rsid w:val="00AE2F8D"/>
    <w:rsid w:val="00AE3BAE"/>
    <w:rsid w:val="00AE6A21"/>
    <w:rsid w:val="00AE70B2"/>
    <w:rsid w:val="00AF1C8F"/>
    <w:rsid w:val="00AF2B68"/>
    <w:rsid w:val="00AF2C92"/>
    <w:rsid w:val="00AF3EC1"/>
    <w:rsid w:val="00AF5025"/>
    <w:rsid w:val="00AF519F"/>
    <w:rsid w:val="00AF5387"/>
    <w:rsid w:val="00AF55F5"/>
    <w:rsid w:val="00AF6531"/>
    <w:rsid w:val="00AF7ABB"/>
    <w:rsid w:val="00AF7E86"/>
    <w:rsid w:val="00B024B9"/>
    <w:rsid w:val="00B077FA"/>
    <w:rsid w:val="00B127D7"/>
    <w:rsid w:val="00B13B0C"/>
    <w:rsid w:val="00B1453A"/>
    <w:rsid w:val="00B20F82"/>
    <w:rsid w:val="00B22B10"/>
    <w:rsid w:val="00B25BD5"/>
    <w:rsid w:val="00B34079"/>
    <w:rsid w:val="00B3793A"/>
    <w:rsid w:val="00B401BA"/>
    <w:rsid w:val="00B407E4"/>
    <w:rsid w:val="00B409C0"/>
    <w:rsid w:val="00B425B6"/>
    <w:rsid w:val="00B42A72"/>
    <w:rsid w:val="00B441AE"/>
    <w:rsid w:val="00B44C12"/>
    <w:rsid w:val="00B4511C"/>
    <w:rsid w:val="00B45A65"/>
    <w:rsid w:val="00B45F33"/>
    <w:rsid w:val="00B46D50"/>
    <w:rsid w:val="00B51041"/>
    <w:rsid w:val="00B514DD"/>
    <w:rsid w:val="00B53170"/>
    <w:rsid w:val="00B548B9"/>
    <w:rsid w:val="00B56DBE"/>
    <w:rsid w:val="00B62999"/>
    <w:rsid w:val="00B63BE3"/>
    <w:rsid w:val="00B64885"/>
    <w:rsid w:val="00B66810"/>
    <w:rsid w:val="00B7029C"/>
    <w:rsid w:val="00B72BE3"/>
    <w:rsid w:val="00B73B80"/>
    <w:rsid w:val="00B770C7"/>
    <w:rsid w:val="00B80F26"/>
    <w:rsid w:val="00B81FB8"/>
    <w:rsid w:val="00B822BD"/>
    <w:rsid w:val="00B842F4"/>
    <w:rsid w:val="00B86F1C"/>
    <w:rsid w:val="00B87D72"/>
    <w:rsid w:val="00B91A7B"/>
    <w:rsid w:val="00B91ACF"/>
    <w:rsid w:val="00B929DD"/>
    <w:rsid w:val="00B93AF6"/>
    <w:rsid w:val="00B93F21"/>
    <w:rsid w:val="00B95405"/>
    <w:rsid w:val="00B963F1"/>
    <w:rsid w:val="00B96B8F"/>
    <w:rsid w:val="00BA020A"/>
    <w:rsid w:val="00BB025A"/>
    <w:rsid w:val="00BB02A4"/>
    <w:rsid w:val="00BB1270"/>
    <w:rsid w:val="00BB1E44"/>
    <w:rsid w:val="00BB492C"/>
    <w:rsid w:val="00BB5267"/>
    <w:rsid w:val="00BB52B8"/>
    <w:rsid w:val="00BB5441"/>
    <w:rsid w:val="00BB59D8"/>
    <w:rsid w:val="00BB5D7C"/>
    <w:rsid w:val="00BB6157"/>
    <w:rsid w:val="00BB7E69"/>
    <w:rsid w:val="00BC0E51"/>
    <w:rsid w:val="00BC1815"/>
    <w:rsid w:val="00BC23B7"/>
    <w:rsid w:val="00BC3C1F"/>
    <w:rsid w:val="00BC56C3"/>
    <w:rsid w:val="00BC7CE7"/>
    <w:rsid w:val="00BD295E"/>
    <w:rsid w:val="00BD4664"/>
    <w:rsid w:val="00BE03CA"/>
    <w:rsid w:val="00BE1193"/>
    <w:rsid w:val="00BF4849"/>
    <w:rsid w:val="00BF4EA7"/>
    <w:rsid w:val="00BF53C2"/>
    <w:rsid w:val="00BF6E62"/>
    <w:rsid w:val="00C00EDB"/>
    <w:rsid w:val="00C02863"/>
    <w:rsid w:val="00C0383A"/>
    <w:rsid w:val="00C067FF"/>
    <w:rsid w:val="00C12862"/>
    <w:rsid w:val="00C13D28"/>
    <w:rsid w:val="00C14585"/>
    <w:rsid w:val="00C165A0"/>
    <w:rsid w:val="00C168A7"/>
    <w:rsid w:val="00C216CE"/>
    <w:rsid w:val="00C2184F"/>
    <w:rsid w:val="00C22A78"/>
    <w:rsid w:val="00C23C7E"/>
    <w:rsid w:val="00C246C5"/>
    <w:rsid w:val="00C25A3C"/>
    <w:rsid w:val="00C25A6A"/>
    <w:rsid w:val="00C25A82"/>
    <w:rsid w:val="00C30A2A"/>
    <w:rsid w:val="00C33993"/>
    <w:rsid w:val="00C4069E"/>
    <w:rsid w:val="00C41ADC"/>
    <w:rsid w:val="00C42A2A"/>
    <w:rsid w:val="00C44149"/>
    <w:rsid w:val="00C44410"/>
    <w:rsid w:val="00C44A15"/>
    <w:rsid w:val="00C4630A"/>
    <w:rsid w:val="00C523F0"/>
    <w:rsid w:val="00C526D2"/>
    <w:rsid w:val="00C53A91"/>
    <w:rsid w:val="00C56F8F"/>
    <w:rsid w:val="00C5794E"/>
    <w:rsid w:val="00C60968"/>
    <w:rsid w:val="00C63D39"/>
    <w:rsid w:val="00C63EDD"/>
    <w:rsid w:val="00C65B36"/>
    <w:rsid w:val="00C7292E"/>
    <w:rsid w:val="00C74E88"/>
    <w:rsid w:val="00C80924"/>
    <w:rsid w:val="00C8286B"/>
    <w:rsid w:val="00C82CF0"/>
    <w:rsid w:val="00C87E43"/>
    <w:rsid w:val="00C913C8"/>
    <w:rsid w:val="00C947F8"/>
    <w:rsid w:val="00C9515F"/>
    <w:rsid w:val="00C95A73"/>
    <w:rsid w:val="00C963C5"/>
    <w:rsid w:val="00CA030C"/>
    <w:rsid w:val="00CA1F41"/>
    <w:rsid w:val="00CA1F7D"/>
    <w:rsid w:val="00CA32EE"/>
    <w:rsid w:val="00CA5771"/>
    <w:rsid w:val="00CA6A1A"/>
    <w:rsid w:val="00CC15C5"/>
    <w:rsid w:val="00CC1E75"/>
    <w:rsid w:val="00CC2E0E"/>
    <w:rsid w:val="00CC361C"/>
    <w:rsid w:val="00CC474B"/>
    <w:rsid w:val="00CC658C"/>
    <w:rsid w:val="00CC67BF"/>
    <w:rsid w:val="00CC6C2D"/>
    <w:rsid w:val="00CD02C7"/>
    <w:rsid w:val="00CD0843"/>
    <w:rsid w:val="00CD4E31"/>
    <w:rsid w:val="00CD5A78"/>
    <w:rsid w:val="00CD7345"/>
    <w:rsid w:val="00CE372E"/>
    <w:rsid w:val="00CF08DB"/>
    <w:rsid w:val="00CF0A1B"/>
    <w:rsid w:val="00CF19F6"/>
    <w:rsid w:val="00CF2F4F"/>
    <w:rsid w:val="00CF363F"/>
    <w:rsid w:val="00CF536D"/>
    <w:rsid w:val="00D01E42"/>
    <w:rsid w:val="00D02E9D"/>
    <w:rsid w:val="00D05DAD"/>
    <w:rsid w:val="00D10CB8"/>
    <w:rsid w:val="00D12806"/>
    <w:rsid w:val="00D12D44"/>
    <w:rsid w:val="00D15018"/>
    <w:rsid w:val="00D158AC"/>
    <w:rsid w:val="00D1694C"/>
    <w:rsid w:val="00D20F5E"/>
    <w:rsid w:val="00D23B76"/>
    <w:rsid w:val="00D2403A"/>
    <w:rsid w:val="00D24B4A"/>
    <w:rsid w:val="00D35C27"/>
    <w:rsid w:val="00D36313"/>
    <w:rsid w:val="00D379A3"/>
    <w:rsid w:val="00D37EE5"/>
    <w:rsid w:val="00D42E5E"/>
    <w:rsid w:val="00D43DB6"/>
    <w:rsid w:val="00D44258"/>
    <w:rsid w:val="00D45FF3"/>
    <w:rsid w:val="00D512CF"/>
    <w:rsid w:val="00D528B9"/>
    <w:rsid w:val="00D53186"/>
    <w:rsid w:val="00D53863"/>
    <w:rsid w:val="00D5487D"/>
    <w:rsid w:val="00D54D74"/>
    <w:rsid w:val="00D60140"/>
    <w:rsid w:val="00D6024A"/>
    <w:rsid w:val="00D608B5"/>
    <w:rsid w:val="00D64739"/>
    <w:rsid w:val="00D71F99"/>
    <w:rsid w:val="00D73CA4"/>
    <w:rsid w:val="00D73D71"/>
    <w:rsid w:val="00D74396"/>
    <w:rsid w:val="00D762DC"/>
    <w:rsid w:val="00D80284"/>
    <w:rsid w:val="00D81A5A"/>
    <w:rsid w:val="00D81F71"/>
    <w:rsid w:val="00D8642D"/>
    <w:rsid w:val="00D86BAF"/>
    <w:rsid w:val="00D90A5E"/>
    <w:rsid w:val="00D91890"/>
    <w:rsid w:val="00D91A68"/>
    <w:rsid w:val="00D92D7B"/>
    <w:rsid w:val="00D95A68"/>
    <w:rsid w:val="00DA0E13"/>
    <w:rsid w:val="00DA17C7"/>
    <w:rsid w:val="00DA595D"/>
    <w:rsid w:val="00DA6A9A"/>
    <w:rsid w:val="00DB1EFD"/>
    <w:rsid w:val="00DB3EAF"/>
    <w:rsid w:val="00DB46C6"/>
    <w:rsid w:val="00DC1E74"/>
    <w:rsid w:val="00DC3203"/>
    <w:rsid w:val="00DC3C99"/>
    <w:rsid w:val="00DC52F5"/>
    <w:rsid w:val="00DC5FD0"/>
    <w:rsid w:val="00DD0354"/>
    <w:rsid w:val="00DD27D7"/>
    <w:rsid w:val="00DD458C"/>
    <w:rsid w:val="00DD72E9"/>
    <w:rsid w:val="00DD7605"/>
    <w:rsid w:val="00DE2020"/>
    <w:rsid w:val="00DE3476"/>
    <w:rsid w:val="00DE7BEA"/>
    <w:rsid w:val="00DF5B84"/>
    <w:rsid w:val="00DF6D5B"/>
    <w:rsid w:val="00DF771B"/>
    <w:rsid w:val="00DF7817"/>
    <w:rsid w:val="00DF7EE2"/>
    <w:rsid w:val="00E01BAA"/>
    <w:rsid w:val="00E0282A"/>
    <w:rsid w:val="00E02F9B"/>
    <w:rsid w:val="00E052EA"/>
    <w:rsid w:val="00E07E14"/>
    <w:rsid w:val="00E11407"/>
    <w:rsid w:val="00E14F94"/>
    <w:rsid w:val="00E17336"/>
    <w:rsid w:val="00E17D15"/>
    <w:rsid w:val="00E22B95"/>
    <w:rsid w:val="00E30331"/>
    <w:rsid w:val="00E30BB8"/>
    <w:rsid w:val="00E31F9C"/>
    <w:rsid w:val="00E37C05"/>
    <w:rsid w:val="00E40418"/>
    <w:rsid w:val="00E40488"/>
    <w:rsid w:val="00E43563"/>
    <w:rsid w:val="00E50367"/>
    <w:rsid w:val="00E50EB7"/>
    <w:rsid w:val="00E51ABA"/>
    <w:rsid w:val="00E524CB"/>
    <w:rsid w:val="00E535CD"/>
    <w:rsid w:val="00E65456"/>
    <w:rsid w:val="00E65A91"/>
    <w:rsid w:val="00E66188"/>
    <w:rsid w:val="00E664FB"/>
    <w:rsid w:val="00E672F0"/>
    <w:rsid w:val="00E70373"/>
    <w:rsid w:val="00E72E40"/>
    <w:rsid w:val="00E73601"/>
    <w:rsid w:val="00E73665"/>
    <w:rsid w:val="00E73999"/>
    <w:rsid w:val="00E73BDC"/>
    <w:rsid w:val="00E73E9E"/>
    <w:rsid w:val="00E81660"/>
    <w:rsid w:val="00E854FE"/>
    <w:rsid w:val="00E906CC"/>
    <w:rsid w:val="00E93879"/>
    <w:rsid w:val="00E939A0"/>
    <w:rsid w:val="00E97E4E"/>
    <w:rsid w:val="00EA01AF"/>
    <w:rsid w:val="00EA1CC2"/>
    <w:rsid w:val="00EA2D76"/>
    <w:rsid w:val="00EA4644"/>
    <w:rsid w:val="00EA758A"/>
    <w:rsid w:val="00EB096F"/>
    <w:rsid w:val="00EB199F"/>
    <w:rsid w:val="00EB27C4"/>
    <w:rsid w:val="00EB5387"/>
    <w:rsid w:val="00EB5C10"/>
    <w:rsid w:val="00EB6BFE"/>
    <w:rsid w:val="00EB7322"/>
    <w:rsid w:val="00EC0FD8"/>
    <w:rsid w:val="00EC0FE9"/>
    <w:rsid w:val="00EC198B"/>
    <w:rsid w:val="00EC426D"/>
    <w:rsid w:val="00EC5481"/>
    <w:rsid w:val="00EC571B"/>
    <w:rsid w:val="00EC57D7"/>
    <w:rsid w:val="00EC6385"/>
    <w:rsid w:val="00ED1DE9"/>
    <w:rsid w:val="00ED23D4"/>
    <w:rsid w:val="00ED5E0B"/>
    <w:rsid w:val="00EE37B6"/>
    <w:rsid w:val="00EE5431"/>
    <w:rsid w:val="00EF0F45"/>
    <w:rsid w:val="00EF2C74"/>
    <w:rsid w:val="00EF7463"/>
    <w:rsid w:val="00EF7971"/>
    <w:rsid w:val="00F002EF"/>
    <w:rsid w:val="00F01EE9"/>
    <w:rsid w:val="00F028D4"/>
    <w:rsid w:val="00F04900"/>
    <w:rsid w:val="00F065A4"/>
    <w:rsid w:val="00F126B9"/>
    <w:rsid w:val="00F12715"/>
    <w:rsid w:val="00F144D5"/>
    <w:rsid w:val="00F146F0"/>
    <w:rsid w:val="00F15039"/>
    <w:rsid w:val="00F15EB5"/>
    <w:rsid w:val="00F16E6A"/>
    <w:rsid w:val="00F20FF3"/>
    <w:rsid w:val="00F2190B"/>
    <w:rsid w:val="00F228B5"/>
    <w:rsid w:val="00F2389C"/>
    <w:rsid w:val="00F25C67"/>
    <w:rsid w:val="00F30DFF"/>
    <w:rsid w:val="00F32B80"/>
    <w:rsid w:val="00F340EB"/>
    <w:rsid w:val="00F35285"/>
    <w:rsid w:val="00F368B8"/>
    <w:rsid w:val="00F40198"/>
    <w:rsid w:val="00F40A67"/>
    <w:rsid w:val="00F43B9D"/>
    <w:rsid w:val="00F44171"/>
    <w:rsid w:val="00F44D5E"/>
    <w:rsid w:val="00F4521E"/>
    <w:rsid w:val="00F463E6"/>
    <w:rsid w:val="00F53A35"/>
    <w:rsid w:val="00F55A3D"/>
    <w:rsid w:val="00F5744B"/>
    <w:rsid w:val="00F61209"/>
    <w:rsid w:val="00F6259E"/>
    <w:rsid w:val="00F65DD4"/>
    <w:rsid w:val="00F672B2"/>
    <w:rsid w:val="00F73243"/>
    <w:rsid w:val="00F80305"/>
    <w:rsid w:val="00F83973"/>
    <w:rsid w:val="00F86B81"/>
    <w:rsid w:val="00F87FA3"/>
    <w:rsid w:val="00F93D8C"/>
    <w:rsid w:val="00FA3102"/>
    <w:rsid w:val="00FA39DF"/>
    <w:rsid w:val="00FA3CE6"/>
    <w:rsid w:val="00FA48D4"/>
    <w:rsid w:val="00FA4EB7"/>
    <w:rsid w:val="00FA54FA"/>
    <w:rsid w:val="00FA6D39"/>
    <w:rsid w:val="00FB227E"/>
    <w:rsid w:val="00FB3D36"/>
    <w:rsid w:val="00FB3D61"/>
    <w:rsid w:val="00FB44CE"/>
    <w:rsid w:val="00FB5009"/>
    <w:rsid w:val="00FB76AB"/>
    <w:rsid w:val="00FC7441"/>
    <w:rsid w:val="00FD03FE"/>
    <w:rsid w:val="00FD126E"/>
    <w:rsid w:val="00FD3C36"/>
    <w:rsid w:val="00FD4D81"/>
    <w:rsid w:val="00FD7498"/>
    <w:rsid w:val="00FD7FB3"/>
    <w:rsid w:val="00FE091E"/>
    <w:rsid w:val="00FE4713"/>
    <w:rsid w:val="00FE7EBB"/>
    <w:rsid w:val="00FF1F44"/>
    <w:rsid w:val="00FF225E"/>
    <w:rsid w:val="00FF672C"/>
    <w:rsid w:val="00FF6CE8"/>
    <w:rsid w:val="14525E8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02A0CE"/>
  <w15:docId w15:val="{40412C01-2C60-4D2A-A8BC-78A9E3008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5"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lsdException w:name="List 3" w:semiHidden="1" w:unhideWhenUsed="1"/>
    <w:lsdException w:name="List 4"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48A2"/>
    <w:rPr>
      <w:sz w:val="24"/>
      <w:szCs w:val="24"/>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310E13"/>
    <w:pPr>
      <w:spacing w:before="360" w:after="300" w:line="360" w:lineRule="auto"/>
      <w:ind w:left="720" w:right="567"/>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1"/>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line="480" w:lineRule="auto"/>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pPr>
      <w:spacing w:line="480" w:lineRule="auto"/>
    </w:pPr>
  </w:style>
  <w:style w:type="paragraph" w:customStyle="1" w:styleId="Paragraph">
    <w:name w:val="Paragraph"/>
    <w:basedOn w:val="Normal"/>
    <w:next w:val="Newparagraph"/>
    <w:qFormat/>
    <w:rsid w:val="001B7681"/>
    <w:pPr>
      <w:widowControl w:val="0"/>
      <w:spacing w:before="240" w:line="480" w:lineRule="auto"/>
    </w:pPr>
  </w:style>
  <w:style w:type="paragraph" w:customStyle="1" w:styleId="Newparagraph">
    <w:name w:val="New paragraph"/>
    <w:basedOn w:val="Normal"/>
    <w:qFormat/>
    <w:rsid w:val="00AE2F8D"/>
    <w:pPr>
      <w:spacing w:line="480" w:lineRule="auto"/>
      <w:ind w:firstLine="720"/>
    </w:pPr>
  </w:style>
  <w:style w:type="paragraph" w:styleId="NormalIndent">
    <w:name w:val="Normal Indent"/>
    <w:basedOn w:val="Normal"/>
    <w:rsid w:val="00526454"/>
    <w:pPr>
      <w:spacing w:line="480" w:lineRule="auto"/>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
      </w:numPr>
      <w:spacing w:after="240"/>
      <w:contextualSpacing/>
    </w:pPr>
  </w:style>
  <w:style w:type="paragraph" w:styleId="FootnoteText">
    <w:name w:val="footnote text"/>
    <w:basedOn w:val="Normal"/>
    <w:link w:val="FootnoteTextChar"/>
    <w:autoRedefine/>
    <w:rsid w:val="00226BF8"/>
    <w:pPr>
      <w:ind w:left="284" w:hanging="284"/>
    </w:pPr>
    <w:rPr>
      <w:sz w:val="22"/>
      <w:szCs w:val="20"/>
    </w:rPr>
  </w:style>
  <w:style w:type="character" w:customStyle="1" w:styleId="FootnoteTextChar">
    <w:name w:val="Footnote Text Char"/>
    <w:basedOn w:val="DefaultParagraphFont"/>
    <w:link w:val="FootnoteText"/>
    <w:rsid w:val="00226BF8"/>
    <w:rPr>
      <w:sz w:val="22"/>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rsid w:val="006C19B2"/>
    <w:pPr>
      <w:spacing w:line="480" w:lineRule="auto"/>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rsid w:val="003F193A"/>
    <w:pPr>
      <w:tabs>
        <w:tab w:val="center" w:pos="4320"/>
        <w:tab w:val="right" w:pos="8640"/>
      </w:tabs>
      <w:spacing w:after="120"/>
      <w:contextualSpacing/>
    </w:pPr>
  </w:style>
  <w:style w:type="character" w:customStyle="1" w:styleId="HeaderChar">
    <w:name w:val="Header Char"/>
    <w:basedOn w:val="DefaultParagraphFont"/>
    <w:link w:val="Header"/>
    <w:rsid w:val="003F193A"/>
    <w:rPr>
      <w:rFonts w:eastAsia="Times New Roman"/>
      <w:sz w:val="24"/>
      <w:szCs w:val="24"/>
      <w:lang w:eastAsia="en-GB"/>
    </w:rPr>
  </w:style>
  <w:style w:type="paragraph" w:styleId="Footer">
    <w:name w:val="footer"/>
    <w:basedOn w:val="Normal"/>
    <w:link w:val="FooterChar"/>
    <w:rsid w:val="00AE6A21"/>
    <w:pPr>
      <w:tabs>
        <w:tab w:val="center" w:pos="4320"/>
        <w:tab w:val="right" w:pos="8640"/>
      </w:tabs>
      <w:spacing w:before="240"/>
      <w:contextualSpacing/>
    </w:pPr>
  </w:style>
  <w:style w:type="character" w:customStyle="1" w:styleId="FooterChar">
    <w:name w:val="Footer Char"/>
    <w:basedOn w:val="DefaultParagraphFont"/>
    <w:link w:val="Footer"/>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paragraph" w:styleId="BalloonText">
    <w:name w:val="Balloon Text"/>
    <w:basedOn w:val="Normal"/>
    <w:link w:val="BalloonTextChar"/>
    <w:semiHidden/>
    <w:unhideWhenUsed/>
    <w:rsid w:val="00DF7817"/>
    <w:rPr>
      <w:rFonts w:ascii="Segoe UI" w:hAnsi="Segoe UI" w:cs="Segoe UI"/>
      <w:sz w:val="18"/>
      <w:szCs w:val="18"/>
    </w:rPr>
  </w:style>
  <w:style w:type="character" w:customStyle="1" w:styleId="BalloonTextChar">
    <w:name w:val="Balloon Text Char"/>
    <w:basedOn w:val="DefaultParagraphFont"/>
    <w:link w:val="BalloonText"/>
    <w:semiHidden/>
    <w:rsid w:val="00DF7817"/>
    <w:rPr>
      <w:rFonts w:ascii="Segoe UI" w:hAnsi="Segoe UI" w:cs="Segoe UI"/>
      <w:sz w:val="18"/>
      <w:szCs w:val="18"/>
    </w:rPr>
  </w:style>
  <w:style w:type="paragraph" w:styleId="NormalWeb">
    <w:name w:val="Normal (Web)"/>
    <w:basedOn w:val="Normal"/>
    <w:uiPriority w:val="99"/>
    <w:semiHidden/>
    <w:unhideWhenUsed/>
    <w:rsid w:val="00DF7817"/>
    <w:pPr>
      <w:spacing w:before="100" w:beforeAutospacing="1" w:after="100" w:afterAutospacing="1"/>
    </w:pPr>
  </w:style>
  <w:style w:type="paragraph" w:styleId="ListParagraph">
    <w:name w:val="List Paragraph"/>
    <w:basedOn w:val="Normal"/>
    <w:rsid w:val="00383B0E"/>
    <w:pPr>
      <w:spacing w:line="480" w:lineRule="auto"/>
      <w:ind w:left="720"/>
      <w:contextualSpacing/>
    </w:pPr>
  </w:style>
  <w:style w:type="character" w:styleId="Hyperlink">
    <w:name w:val="Hyperlink"/>
    <w:basedOn w:val="DefaultParagraphFont"/>
    <w:uiPriority w:val="99"/>
    <w:unhideWhenUsed/>
    <w:rsid w:val="00383B0E"/>
    <w:rPr>
      <w:color w:val="0000FF" w:themeColor="hyperlink"/>
      <w:u w:val="single"/>
    </w:rPr>
  </w:style>
  <w:style w:type="character" w:customStyle="1" w:styleId="UnresolvedMention1">
    <w:name w:val="Unresolved Mention1"/>
    <w:basedOn w:val="DefaultParagraphFont"/>
    <w:uiPriority w:val="99"/>
    <w:semiHidden/>
    <w:unhideWhenUsed/>
    <w:rsid w:val="00383B0E"/>
    <w:rPr>
      <w:color w:val="605E5C"/>
      <w:shd w:val="clear" w:color="auto" w:fill="E1DFDD"/>
    </w:rPr>
  </w:style>
  <w:style w:type="character" w:styleId="CommentReference">
    <w:name w:val="annotation reference"/>
    <w:basedOn w:val="DefaultParagraphFont"/>
    <w:semiHidden/>
    <w:unhideWhenUsed/>
    <w:rsid w:val="00FA39DF"/>
    <w:rPr>
      <w:sz w:val="16"/>
      <w:szCs w:val="16"/>
    </w:rPr>
  </w:style>
  <w:style w:type="paragraph" w:styleId="CommentText">
    <w:name w:val="annotation text"/>
    <w:basedOn w:val="Normal"/>
    <w:link w:val="CommentTextChar"/>
    <w:semiHidden/>
    <w:unhideWhenUsed/>
    <w:rsid w:val="00FA39DF"/>
    <w:rPr>
      <w:sz w:val="20"/>
      <w:szCs w:val="20"/>
    </w:rPr>
  </w:style>
  <w:style w:type="character" w:customStyle="1" w:styleId="CommentTextChar">
    <w:name w:val="Comment Text Char"/>
    <w:basedOn w:val="DefaultParagraphFont"/>
    <w:link w:val="CommentText"/>
    <w:semiHidden/>
    <w:rsid w:val="00FA39DF"/>
  </w:style>
  <w:style w:type="paragraph" w:styleId="CommentSubject">
    <w:name w:val="annotation subject"/>
    <w:basedOn w:val="CommentText"/>
    <w:next w:val="CommentText"/>
    <w:link w:val="CommentSubjectChar"/>
    <w:semiHidden/>
    <w:unhideWhenUsed/>
    <w:rsid w:val="00FA39DF"/>
    <w:rPr>
      <w:b/>
      <w:bCs/>
    </w:rPr>
  </w:style>
  <w:style w:type="character" w:customStyle="1" w:styleId="CommentSubjectChar">
    <w:name w:val="Comment Subject Char"/>
    <w:basedOn w:val="CommentTextChar"/>
    <w:link w:val="CommentSubject"/>
    <w:semiHidden/>
    <w:rsid w:val="00FA39DF"/>
    <w:rPr>
      <w:b/>
      <w:bCs/>
    </w:rPr>
  </w:style>
  <w:style w:type="character" w:styleId="Emphasis">
    <w:name w:val="Emphasis"/>
    <w:basedOn w:val="DefaultParagraphFont"/>
    <w:uiPriority w:val="20"/>
    <w:qFormat/>
    <w:rsid w:val="00BB492C"/>
    <w:rPr>
      <w:i/>
      <w:iCs/>
    </w:rPr>
  </w:style>
  <w:style w:type="paragraph" w:customStyle="1" w:styleId="c-bibliographic-informationcitation">
    <w:name w:val="c-bibliographic-information__citation"/>
    <w:basedOn w:val="Normal"/>
    <w:rsid w:val="001D7A50"/>
    <w:pPr>
      <w:spacing w:before="100" w:beforeAutospacing="1" w:after="100" w:afterAutospacing="1"/>
    </w:pPr>
  </w:style>
  <w:style w:type="character" w:customStyle="1" w:styleId="UnresolvedMention2">
    <w:name w:val="Unresolved Mention2"/>
    <w:basedOn w:val="DefaultParagraphFont"/>
    <w:uiPriority w:val="99"/>
    <w:semiHidden/>
    <w:unhideWhenUsed/>
    <w:rsid w:val="000B66A1"/>
    <w:rPr>
      <w:color w:val="605E5C"/>
      <w:shd w:val="clear" w:color="auto" w:fill="E1DFDD"/>
    </w:rPr>
  </w:style>
  <w:style w:type="character" w:customStyle="1" w:styleId="hlfld-contribauthor">
    <w:name w:val="hlfld-contribauthor"/>
    <w:basedOn w:val="DefaultParagraphFont"/>
    <w:rsid w:val="00851E96"/>
  </w:style>
  <w:style w:type="character" w:customStyle="1" w:styleId="nlmgiven-names">
    <w:name w:val="nlm_given-names"/>
    <w:basedOn w:val="DefaultParagraphFont"/>
    <w:rsid w:val="00851E96"/>
  </w:style>
  <w:style w:type="character" w:customStyle="1" w:styleId="nlmyear">
    <w:name w:val="nlm_year"/>
    <w:basedOn w:val="DefaultParagraphFont"/>
    <w:rsid w:val="00851E96"/>
  </w:style>
  <w:style w:type="character" w:customStyle="1" w:styleId="nlmchapter-title">
    <w:name w:val="nlm_chapter-title"/>
    <w:basedOn w:val="DefaultParagraphFont"/>
    <w:rsid w:val="00851E96"/>
  </w:style>
  <w:style w:type="character" w:customStyle="1" w:styleId="nlmfpage">
    <w:name w:val="nlm_fpage"/>
    <w:basedOn w:val="DefaultParagraphFont"/>
    <w:rsid w:val="00851E96"/>
  </w:style>
  <w:style w:type="character" w:customStyle="1" w:styleId="nlmlpage">
    <w:name w:val="nlm_lpage"/>
    <w:basedOn w:val="DefaultParagraphFont"/>
    <w:rsid w:val="00851E96"/>
  </w:style>
  <w:style w:type="character" w:customStyle="1" w:styleId="nlmpublisher-loc">
    <w:name w:val="nlm_publisher-loc"/>
    <w:basedOn w:val="DefaultParagraphFont"/>
    <w:rsid w:val="00851E96"/>
  </w:style>
  <w:style w:type="character" w:customStyle="1" w:styleId="nlmpublisher-name">
    <w:name w:val="nlm_publisher-name"/>
    <w:basedOn w:val="DefaultParagraphFont"/>
    <w:rsid w:val="00851E96"/>
  </w:style>
  <w:style w:type="character" w:customStyle="1" w:styleId="reflink-block">
    <w:name w:val="reflink-block"/>
    <w:basedOn w:val="DefaultParagraphFont"/>
    <w:rsid w:val="00851E96"/>
  </w:style>
  <w:style w:type="character" w:customStyle="1" w:styleId="nlmedition">
    <w:name w:val="nlm_edition"/>
    <w:basedOn w:val="DefaultParagraphFont"/>
    <w:rsid w:val="00851E96"/>
  </w:style>
  <w:style w:type="character" w:customStyle="1" w:styleId="authors">
    <w:name w:val="authors"/>
    <w:basedOn w:val="DefaultParagraphFont"/>
    <w:rsid w:val="005C337B"/>
  </w:style>
  <w:style w:type="character" w:customStyle="1" w:styleId="Date1">
    <w:name w:val="Date1"/>
    <w:basedOn w:val="DefaultParagraphFont"/>
    <w:rsid w:val="005C337B"/>
  </w:style>
  <w:style w:type="character" w:customStyle="1" w:styleId="arttitle">
    <w:name w:val="art_title"/>
    <w:basedOn w:val="DefaultParagraphFont"/>
    <w:rsid w:val="005C337B"/>
  </w:style>
  <w:style w:type="character" w:customStyle="1" w:styleId="serialtitle">
    <w:name w:val="serial_title"/>
    <w:basedOn w:val="DefaultParagraphFont"/>
    <w:rsid w:val="005C337B"/>
  </w:style>
  <w:style w:type="character" w:customStyle="1" w:styleId="volumeissue">
    <w:name w:val="volume_issue"/>
    <w:basedOn w:val="DefaultParagraphFont"/>
    <w:rsid w:val="005C337B"/>
  </w:style>
  <w:style w:type="character" w:customStyle="1" w:styleId="pagerange">
    <w:name w:val="page_range"/>
    <w:basedOn w:val="DefaultParagraphFont"/>
    <w:rsid w:val="005C337B"/>
  </w:style>
  <w:style w:type="character" w:customStyle="1" w:styleId="doilink">
    <w:name w:val="doi_link"/>
    <w:basedOn w:val="DefaultParagraphFont"/>
    <w:rsid w:val="005C337B"/>
  </w:style>
  <w:style w:type="paragraph" w:styleId="Revision">
    <w:name w:val="Revision"/>
    <w:hidden/>
    <w:semiHidden/>
    <w:rsid w:val="00415DA0"/>
    <w:rPr>
      <w:sz w:val="24"/>
      <w:szCs w:val="24"/>
    </w:rPr>
  </w:style>
  <w:style w:type="character" w:styleId="UnresolvedMention">
    <w:name w:val="Unresolved Mention"/>
    <w:basedOn w:val="DefaultParagraphFont"/>
    <w:uiPriority w:val="99"/>
    <w:semiHidden/>
    <w:unhideWhenUsed/>
    <w:rsid w:val="00226BF8"/>
    <w:rPr>
      <w:color w:val="605E5C"/>
      <w:shd w:val="clear" w:color="auto" w:fill="E1DFDD"/>
    </w:rPr>
  </w:style>
  <w:style w:type="character" w:styleId="FollowedHyperlink">
    <w:name w:val="FollowedHyperlink"/>
    <w:basedOn w:val="DefaultParagraphFont"/>
    <w:semiHidden/>
    <w:unhideWhenUsed/>
    <w:rsid w:val="00B409C0"/>
    <w:rPr>
      <w:color w:val="800080" w:themeColor="followedHyperlink"/>
      <w:u w:val="single"/>
    </w:rPr>
  </w:style>
  <w:style w:type="character" w:customStyle="1" w:styleId="apple-converted-space">
    <w:name w:val="apple-converted-space"/>
    <w:basedOn w:val="DefaultParagraphFont"/>
    <w:rsid w:val="001348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80526">
      <w:bodyDiv w:val="1"/>
      <w:marLeft w:val="0"/>
      <w:marRight w:val="0"/>
      <w:marTop w:val="0"/>
      <w:marBottom w:val="0"/>
      <w:divBdr>
        <w:top w:val="none" w:sz="0" w:space="0" w:color="auto"/>
        <w:left w:val="none" w:sz="0" w:space="0" w:color="auto"/>
        <w:bottom w:val="none" w:sz="0" w:space="0" w:color="auto"/>
        <w:right w:val="none" w:sz="0" w:space="0" w:color="auto"/>
      </w:divBdr>
      <w:divsChild>
        <w:div w:id="1987276618">
          <w:marLeft w:val="0"/>
          <w:marRight w:val="0"/>
          <w:marTop w:val="0"/>
          <w:marBottom w:val="0"/>
          <w:divBdr>
            <w:top w:val="none" w:sz="0" w:space="0" w:color="auto"/>
            <w:left w:val="none" w:sz="0" w:space="0" w:color="auto"/>
            <w:bottom w:val="none" w:sz="0" w:space="0" w:color="auto"/>
            <w:right w:val="none" w:sz="0" w:space="0" w:color="auto"/>
          </w:divBdr>
          <w:divsChild>
            <w:div w:id="1087926813">
              <w:marLeft w:val="0"/>
              <w:marRight w:val="0"/>
              <w:marTop w:val="0"/>
              <w:marBottom w:val="0"/>
              <w:divBdr>
                <w:top w:val="none" w:sz="0" w:space="0" w:color="auto"/>
                <w:left w:val="none" w:sz="0" w:space="0" w:color="auto"/>
                <w:bottom w:val="none" w:sz="0" w:space="0" w:color="auto"/>
                <w:right w:val="none" w:sz="0" w:space="0" w:color="auto"/>
              </w:divBdr>
              <w:divsChild>
                <w:div w:id="72052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60994">
      <w:bodyDiv w:val="1"/>
      <w:marLeft w:val="0"/>
      <w:marRight w:val="0"/>
      <w:marTop w:val="0"/>
      <w:marBottom w:val="0"/>
      <w:divBdr>
        <w:top w:val="none" w:sz="0" w:space="0" w:color="auto"/>
        <w:left w:val="none" w:sz="0" w:space="0" w:color="auto"/>
        <w:bottom w:val="none" w:sz="0" w:space="0" w:color="auto"/>
        <w:right w:val="none" w:sz="0" w:space="0" w:color="auto"/>
      </w:divBdr>
    </w:div>
    <w:div w:id="157506651">
      <w:bodyDiv w:val="1"/>
      <w:marLeft w:val="0"/>
      <w:marRight w:val="0"/>
      <w:marTop w:val="0"/>
      <w:marBottom w:val="0"/>
      <w:divBdr>
        <w:top w:val="none" w:sz="0" w:space="0" w:color="auto"/>
        <w:left w:val="none" w:sz="0" w:space="0" w:color="auto"/>
        <w:bottom w:val="none" w:sz="0" w:space="0" w:color="auto"/>
        <w:right w:val="none" w:sz="0" w:space="0" w:color="auto"/>
      </w:divBdr>
    </w:div>
    <w:div w:id="188957739">
      <w:bodyDiv w:val="1"/>
      <w:marLeft w:val="0"/>
      <w:marRight w:val="0"/>
      <w:marTop w:val="0"/>
      <w:marBottom w:val="0"/>
      <w:divBdr>
        <w:top w:val="none" w:sz="0" w:space="0" w:color="auto"/>
        <w:left w:val="none" w:sz="0" w:space="0" w:color="auto"/>
        <w:bottom w:val="none" w:sz="0" w:space="0" w:color="auto"/>
        <w:right w:val="none" w:sz="0" w:space="0" w:color="auto"/>
      </w:divBdr>
    </w:div>
    <w:div w:id="230696676">
      <w:bodyDiv w:val="1"/>
      <w:marLeft w:val="0"/>
      <w:marRight w:val="0"/>
      <w:marTop w:val="0"/>
      <w:marBottom w:val="0"/>
      <w:divBdr>
        <w:top w:val="none" w:sz="0" w:space="0" w:color="auto"/>
        <w:left w:val="none" w:sz="0" w:space="0" w:color="auto"/>
        <w:bottom w:val="none" w:sz="0" w:space="0" w:color="auto"/>
        <w:right w:val="none" w:sz="0" w:space="0" w:color="auto"/>
      </w:divBdr>
    </w:div>
    <w:div w:id="277566441">
      <w:bodyDiv w:val="1"/>
      <w:marLeft w:val="0"/>
      <w:marRight w:val="0"/>
      <w:marTop w:val="0"/>
      <w:marBottom w:val="0"/>
      <w:divBdr>
        <w:top w:val="none" w:sz="0" w:space="0" w:color="auto"/>
        <w:left w:val="none" w:sz="0" w:space="0" w:color="auto"/>
        <w:bottom w:val="none" w:sz="0" w:space="0" w:color="auto"/>
        <w:right w:val="none" w:sz="0" w:space="0" w:color="auto"/>
      </w:divBdr>
    </w:div>
    <w:div w:id="317729742">
      <w:bodyDiv w:val="1"/>
      <w:marLeft w:val="0"/>
      <w:marRight w:val="0"/>
      <w:marTop w:val="0"/>
      <w:marBottom w:val="0"/>
      <w:divBdr>
        <w:top w:val="none" w:sz="0" w:space="0" w:color="auto"/>
        <w:left w:val="none" w:sz="0" w:space="0" w:color="auto"/>
        <w:bottom w:val="none" w:sz="0" w:space="0" w:color="auto"/>
        <w:right w:val="none" w:sz="0" w:space="0" w:color="auto"/>
      </w:divBdr>
    </w:div>
    <w:div w:id="366874976">
      <w:bodyDiv w:val="1"/>
      <w:marLeft w:val="0"/>
      <w:marRight w:val="0"/>
      <w:marTop w:val="0"/>
      <w:marBottom w:val="0"/>
      <w:divBdr>
        <w:top w:val="none" w:sz="0" w:space="0" w:color="auto"/>
        <w:left w:val="none" w:sz="0" w:space="0" w:color="auto"/>
        <w:bottom w:val="none" w:sz="0" w:space="0" w:color="auto"/>
        <w:right w:val="none" w:sz="0" w:space="0" w:color="auto"/>
      </w:divBdr>
    </w:div>
    <w:div w:id="494690592">
      <w:bodyDiv w:val="1"/>
      <w:marLeft w:val="0"/>
      <w:marRight w:val="0"/>
      <w:marTop w:val="0"/>
      <w:marBottom w:val="0"/>
      <w:divBdr>
        <w:top w:val="none" w:sz="0" w:space="0" w:color="auto"/>
        <w:left w:val="none" w:sz="0" w:space="0" w:color="auto"/>
        <w:bottom w:val="none" w:sz="0" w:space="0" w:color="auto"/>
        <w:right w:val="none" w:sz="0" w:space="0" w:color="auto"/>
      </w:divBdr>
    </w:div>
    <w:div w:id="501774958">
      <w:bodyDiv w:val="1"/>
      <w:marLeft w:val="0"/>
      <w:marRight w:val="0"/>
      <w:marTop w:val="0"/>
      <w:marBottom w:val="0"/>
      <w:divBdr>
        <w:top w:val="none" w:sz="0" w:space="0" w:color="auto"/>
        <w:left w:val="none" w:sz="0" w:space="0" w:color="auto"/>
        <w:bottom w:val="none" w:sz="0" w:space="0" w:color="auto"/>
        <w:right w:val="none" w:sz="0" w:space="0" w:color="auto"/>
      </w:divBdr>
    </w:div>
    <w:div w:id="596601247">
      <w:bodyDiv w:val="1"/>
      <w:marLeft w:val="0"/>
      <w:marRight w:val="0"/>
      <w:marTop w:val="0"/>
      <w:marBottom w:val="0"/>
      <w:divBdr>
        <w:top w:val="none" w:sz="0" w:space="0" w:color="auto"/>
        <w:left w:val="none" w:sz="0" w:space="0" w:color="auto"/>
        <w:bottom w:val="none" w:sz="0" w:space="0" w:color="auto"/>
        <w:right w:val="none" w:sz="0" w:space="0" w:color="auto"/>
      </w:divBdr>
    </w:div>
    <w:div w:id="633873020">
      <w:bodyDiv w:val="1"/>
      <w:marLeft w:val="0"/>
      <w:marRight w:val="0"/>
      <w:marTop w:val="0"/>
      <w:marBottom w:val="0"/>
      <w:divBdr>
        <w:top w:val="none" w:sz="0" w:space="0" w:color="auto"/>
        <w:left w:val="none" w:sz="0" w:space="0" w:color="auto"/>
        <w:bottom w:val="none" w:sz="0" w:space="0" w:color="auto"/>
        <w:right w:val="none" w:sz="0" w:space="0" w:color="auto"/>
      </w:divBdr>
    </w:div>
    <w:div w:id="634798741">
      <w:bodyDiv w:val="1"/>
      <w:marLeft w:val="0"/>
      <w:marRight w:val="0"/>
      <w:marTop w:val="0"/>
      <w:marBottom w:val="0"/>
      <w:divBdr>
        <w:top w:val="none" w:sz="0" w:space="0" w:color="auto"/>
        <w:left w:val="none" w:sz="0" w:space="0" w:color="auto"/>
        <w:bottom w:val="none" w:sz="0" w:space="0" w:color="auto"/>
        <w:right w:val="none" w:sz="0" w:space="0" w:color="auto"/>
      </w:divBdr>
    </w:div>
    <w:div w:id="645352374">
      <w:bodyDiv w:val="1"/>
      <w:marLeft w:val="0"/>
      <w:marRight w:val="0"/>
      <w:marTop w:val="0"/>
      <w:marBottom w:val="0"/>
      <w:divBdr>
        <w:top w:val="none" w:sz="0" w:space="0" w:color="auto"/>
        <w:left w:val="none" w:sz="0" w:space="0" w:color="auto"/>
        <w:bottom w:val="none" w:sz="0" w:space="0" w:color="auto"/>
        <w:right w:val="none" w:sz="0" w:space="0" w:color="auto"/>
      </w:divBdr>
    </w:div>
    <w:div w:id="647704529">
      <w:bodyDiv w:val="1"/>
      <w:marLeft w:val="0"/>
      <w:marRight w:val="0"/>
      <w:marTop w:val="0"/>
      <w:marBottom w:val="0"/>
      <w:divBdr>
        <w:top w:val="none" w:sz="0" w:space="0" w:color="auto"/>
        <w:left w:val="none" w:sz="0" w:space="0" w:color="auto"/>
        <w:bottom w:val="none" w:sz="0" w:space="0" w:color="auto"/>
        <w:right w:val="none" w:sz="0" w:space="0" w:color="auto"/>
      </w:divBdr>
    </w:div>
    <w:div w:id="657000951">
      <w:bodyDiv w:val="1"/>
      <w:marLeft w:val="0"/>
      <w:marRight w:val="0"/>
      <w:marTop w:val="0"/>
      <w:marBottom w:val="0"/>
      <w:divBdr>
        <w:top w:val="none" w:sz="0" w:space="0" w:color="auto"/>
        <w:left w:val="none" w:sz="0" w:space="0" w:color="auto"/>
        <w:bottom w:val="none" w:sz="0" w:space="0" w:color="auto"/>
        <w:right w:val="none" w:sz="0" w:space="0" w:color="auto"/>
      </w:divBdr>
    </w:div>
    <w:div w:id="686178047">
      <w:bodyDiv w:val="1"/>
      <w:marLeft w:val="0"/>
      <w:marRight w:val="0"/>
      <w:marTop w:val="0"/>
      <w:marBottom w:val="0"/>
      <w:divBdr>
        <w:top w:val="none" w:sz="0" w:space="0" w:color="auto"/>
        <w:left w:val="none" w:sz="0" w:space="0" w:color="auto"/>
        <w:bottom w:val="none" w:sz="0" w:space="0" w:color="auto"/>
        <w:right w:val="none" w:sz="0" w:space="0" w:color="auto"/>
      </w:divBdr>
    </w:div>
    <w:div w:id="705720719">
      <w:bodyDiv w:val="1"/>
      <w:marLeft w:val="0"/>
      <w:marRight w:val="0"/>
      <w:marTop w:val="0"/>
      <w:marBottom w:val="0"/>
      <w:divBdr>
        <w:top w:val="none" w:sz="0" w:space="0" w:color="auto"/>
        <w:left w:val="none" w:sz="0" w:space="0" w:color="auto"/>
        <w:bottom w:val="none" w:sz="0" w:space="0" w:color="auto"/>
        <w:right w:val="none" w:sz="0" w:space="0" w:color="auto"/>
      </w:divBdr>
    </w:div>
    <w:div w:id="719089860">
      <w:bodyDiv w:val="1"/>
      <w:marLeft w:val="0"/>
      <w:marRight w:val="0"/>
      <w:marTop w:val="0"/>
      <w:marBottom w:val="0"/>
      <w:divBdr>
        <w:top w:val="none" w:sz="0" w:space="0" w:color="auto"/>
        <w:left w:val="none" w:sz="0" w:space="0" w:color="auto"/>
        <w:bottom w:val="none" w:sz="0" w:space="0" w:color="auto"/>
        <w:right w:val="none" w:sz="0" w:space="0" w:color="auto"/>
      </w:divBdr>
    </w:div>
    <w:div w:id="720832941">
      <w:bodyDiv w:val="1"/>
      <w:marLeft w:val="0"/>
      <w:marRight w:val="0"/>
      <w:marTop w:val="0"/>
      <w:marBottom w:val="0"/>
      <w:divBdr>
        <w:top w:val="none" w:sz="0" w:space="0" w:color="auto"/>
        <w:left w:val="none" w:sz="0" w:space="0" w:color="auto"/>
        <w:bottom w:val="none" w:sz="0" w:space="0" w:color="auto"/>
        <w:right w:val="none" w:sz="0" w:space="0" w:color="auto"/>
      </w:divBdr>
    </w:div>
    <w:div w:id="807864610">
      <w:bodyDiv w:val="1"/>
      <w:marLeft w:val="0"/>
      <w:marRight w:val="0"/>
      <w:marTop w:val="0"/>
      <w:marBottom w:val="0"/>
      <w:divBdr>
        <w:top w:val="none" w:sz="0" w:space="0" w:color="auto"/>
        <w:left w:val="none" w:sz="0" w:space="0" w:color="auto"/>
        <w:bottom w:val="none" w:sz="0" w:space="0" w:color="auto"/>
        <w:right w:val="none" w:sz="0" w:space="0" w:color="auto"/>
      </w:divBdr>
    </w:div>
    <w:div w:id="845248144">
      <w:bodyDiv w:val="1"/>
      <w:marLeft w:val="0"/>
      <w:marRight w:val="0"/>
      <w:marTop w:val="0"/>
      <w:marBottom w:val="0"/>
      <w:divBdr>
        <w:top w:val="none" w:sz="0" w:space="0" w:color="auto"/>
        <w:left w:val="none" w:sz="0" w:space="0" w:color="auto"/>
        <w:bottom w:val="none" w:sz="0" w:space="0" w:color="auto"/>
        <w:right w:val="none" w:sz="0" w:space="0" w:color="auto"/>
      </w:divBdr>
    </w:div>
    <w:div w:id="854150687">
      <w:bodyDiv w:val="1"/>
      <w:marLeft w:val="0"/>
      <w:marRight w:val="0"/>
      <w:marTop w:val="0"/>
      <w:marBottom w:val="0"/>
      <w:divBdr>
        <w:top w:val="none" w:sz="0" w:space="0" w:color="auto"/>
        <w:left w:val="none" w:sz="0" w:space="0" w:color="auto"/>
        <w:bottom w:val="none" w:sz="0" w:space="0" w:color="auto"/>
        <w:right w:val="none" w:sz="0" w:space="0" w:color="auto"/>
      </w:divBdr>
    </w:div>
    <w:div w:id="870805352">
      <w:bodyDiv w:val="1"/>
      <w:marLeft w:val="0"/>
      <w:marRight w:val="0"/>
      <w:marTop w:val="0"/>
      <w:marBottom w:val="0"/>
      <w:divBdr>
        <w:top w:val="none" w:sz="0" w:space="0" w:color="auto"/>
        <w:left w:val="none" w:sz="0" w:space="0" w:color="auto"/>
        <w:bottom w:val="none" w:sz="0" w:space="0" w:color="auto"/>
        <w:right w:val="none" w:sz="0" w:space="0" w:color="auto"/>
      </w:divBdr>
    </w:div>
    <w:div w:id="900365945">
      <w:bodyDiv w:val="1"/>
      <w:marLeft w:val="0"/>
      <w:marRight w:val="0"/>
      <w:marTop w:val="0"/>
      <w:marBottom w:val="0"/>
      <w:divBdr>
        <w:top w:val="none" w:sz="0" w:space="0" w:color="auto"/>
        <w:left w:val="none" w:sz="0" w:space="0" w:color="auto"/>
        <w:bottom w:val="none" w:sz="0" w:space="0" w:color="auto"/>
        <w:right w:val="none" w:sz="0" w:space="0" w:color="auto"/>
      </w:divBdr>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979386530">
      <w:bodyDiv w:val="1"/>
      <w:marLeft w:val="0"/>
      <w:marRight w:val="0"/>
      <w:marTop w:val="0"/>
      <w:marBottom w:val="0"/>
      <w:divBdr>
        <w:top w:val="none" w:sz="0" w:space="0" w:color="auto"/>
        <w:left w:val="none" w:sz="0" w:space="0" w:color="auto"/>
        <w:bottom w:val="none" w:sz="0" w:space="0" w:color="auto"/>
        <w:right w:val="none" w:sz="0" w:space="0" w:color="auto"/>
      </w:divBdr>
    </w:div>
    <w:div w:id="986325964">
      <w:bodyDiv w:val="1"/>
      <w:marLeft w:val="0"/>
      <w:marRight w:val="0"/>
      <w:marTop w:val="0"/>
      <w:marBottom w:val="0"/>
      <w:divBdr>
        <w:top w:val="none" w:sz="0" w:space="0" w:color="auto"/>
        <w:left w:val="none" w:sz="0" w:space="0" w:color="auto"/>
        <w:bottom w:val="none" w:sz="0" w:space="0" w:color="auto"/>
        <w:right w:val="none" w:sz="0" w:space="0" w:color="auto"/>
      </w:divBdr>
    </w:div>
    <w:div w:id="999428598">
      <w:bodyDiv w:val="1"/>
      <w:marLeft w:val="0"/>
      <w:marRight w:val="0"/>
      <w:marTop w:val="0"/>
      <w:marBottom w:val="0"/>
      <w:divBdr>
        <w:top w:val="none" w:sz="0" w:space="0" w:color="auto"/>
        <w:left w:val="none" w:sz="0" w:space="0" w:color="auto"/>
        <w:bottom w:val="none" w:sz="0" w:space="0" w:color="auto"/>
        <w:right w:val="none" w:sz="0" w:space="0" w:color="auto"/>
      </w:divBdr>
    </w:div>
    <w:div w:id="999696098">
      <w:bodyDiv w:val="1"/>
      <w:marLeft w:val="0"/>
      <w:marRight w:val="0"/>
      <w:marTop w:val="0"/>
      <w:marBottom w:val="0"/>
      <w:divBdr>
        <w:top w:val="none" w:sz="0" w:space="0" w:color="auto"/>
        <w:left w:val="none" w:sz="0" w:space="0" w:color="auto"/>
        <w:bottom w:val="none" w:sz="0" w:space="0" w:color="auto"/>
        <w:right w:val="none" w:sz="0" w:space="0" w:color="auto"/>
      </w:divBdr>
    </w:div>
    <w:div w:id="1005981362">
      <w:bodyDiv w:val="1"/>
      <w:marLeft w:val="0"/>
      <w:marRight w:val="0"/>
      <w:marTop w:val="0"/>
      <w:marBottom w:val="0"/>
      <w:divBdr>
        <w:top w:val="none" w:sz="0" w:space="0" w:color="auto"/>
        <w:left w:val="none" w:sz="0" w:space="0" w:color="auto"/>
        <w:bottom w:val="none" w:sz="0" w:space="0" w:color="auto"/>
        <w:right w:val="none" w:sz="0" w:space="0" w:color="auto"/>
      </w:divBdr>
    </w:div>
    <w:div w:id="1031953188">
      <w:bodyDiv w:val="1"/>
      <w:marLeft w:val="0"/>
      <w:marRight w:val="0"/>
      <w:marTop w:val="0"/>
      <w:marBottom w:val="0"/>
      <w:divBdr>
        <w:top w:val="none" w:sz="0" w:space="0" w:color="auto"/>
        <w:left w:val="none" w:sz="0" w:space="0" w:color="auto"/>
        <w:bottom w:val="none" w:sz="0" w:space="0" w:color="auto"/>
        <w:right w:val="none" w:sz="0" w:space="0" w:color="auto"/>
      </w:divBdr>
    </w:div>
    <w:div w:id="1050762600">
      <w:bodyDiv w:val="1"/>
      <w:marLeft w:val="0"/>
      <w:marRight w:val="0"/>
      <w:marTop w:val="0"/>
      <w:marBottom w:val="0"/>
      <w:divBdr>
        <w:top w:val="none" w:sz="0" w:space="0" w:color="auto"/>
        <w:left w:val="none" w:sz="0" w:space="0" w:color="auto"/>
        <w:bottom w:val="none" w:sz="0" w:space="0" w:color="auto"/>
        <w:right w:val="none" w:sz="0" w:space="0" w:color="auto"/>
      </w:divBdr>
    </w:div>
    <w:div w:id="1092504894">
      <w:bodyDiv w:val="1"/>
      <w:marLeft w:val="0"/>
      <w:marRight w:val="0"/>
      <w:marTop w:val="0"/>
      <w:marBottom w:val="0"/>
      <w:divBdr>
        <w:top w:val="none" w:sz="0" w:space="0" w:color="auto"/>
        <w:left w:val="none" w:sz="0" w:space="0" w:color="auto"/>
        <w:bottom w:val="none" w:sz="0" w:space="0" w:color="auto"/>
        <w:right w:val="none" w:sz="0" w:space="0" w:color="auto"/>
      </w:divBdr>
    </w:div>
    <w:div w:id="1112822860">
      <w:bodyDiv w:val="1"/>
      <w:marLeft w:val="0"/>
      <w:marRight w:val="0"/>
      <w:marTop w:val="0"/>
      <w:marBottom w:val="0"/>
      <w:divBdr>
        <w:top w:val="none" w:sz="0" w:space="0" w:color="auto"/>
        <w:left w:val="none" w:sz="0" w:space="0" w:color="auto"/>
        <w:bottom w:val="none" w:sz="0" w:space="0" w:color="auto"/>
        <w:right w:val="none" w:sz="0" w:space="0" w:color="auto"/>
      </w:divBdr>
    </w:div>
    <w:div w:id="1138450243">
      <w:bodyDiv w:val="1"/>
      <w:marLeft w:val="0"/>
      <w:marRight w:val="0"/>
      <w:marTop w:val="0"/>
      <w:marBottom w:val="0"/>
      <w:divBdr>
        <w:top w:val="none" w:sz="0" w:space="0" w:color="auto"/>
        <w:left w:val="none" w:sz="0" w:space="0" w:color="auto"/>
        <w:bottom w:val="none" w:sz="0" w:space="0" w:color="auto"/>
        <w:right w:val="none" w:sz="0" w:space="0" w:color="auto"/>
      </w:divBdr>
    </w:div>
    <w:div w:id="1166088562">
      <w:bodyDiv w:val="1"/>
      <w:marLeft w:val="0"/>
      <w:marRight w:val="0"/>
      <w:marTop w:val="0"/>
      <w:marBottom w:val="0"/>
      <w:divBdr>
        <w:top w:val="none" w:sz="0" w:space="0" w:color="auto"/>
        <w:left w:val="none" w:sz="0" w:space="0" w:color="auto"/>
        <w:bottom w:val="none" w:sz="0" w:space="0" w:color="auto"/>
        <w:right w:val="none" w:sz="0" w:space="0" w:color="auto"/>
      </w:divBdr>
    </w:div>
    <w:div w:id="1183126492">
      <w:bodyDiv w:val="1"/>
      <w:marLeft w:val="0"/>
      <w:marRight w:val="0"/>
      <w:marTop w:val="0"/>
      <w:marBottom w:val="0"/>
      <w:divBdr>
        <w:top w:val="none" w:sz="0" w:space="0" w:color="auto"/>
        <w:left w:val="none" w:sz="0" w:space="0" w:color="auto"/>
        <w:bottom w:val="none" w:sz="0" w:space="0" w:color="auto"/>
        <w:right w:val="none" w:sz="0" w:space="0" w:color="auto"/>
      </w:divBdr>
    </w:div>
    <w:div w:id="1197155979">
      <w:bodyDiv w:val="1"/>
      <w:marLeft w:val="0"/>
      <w:marRight w:val="0"/>
      <w:marTop w:val="0"/>
      <w:marBottom w:val="0"/>
      <w:divBdr>
        <w:top w:val="none" w:sz="0" w:space="0" w:color="auto"/>
        <w:left w:val="none" w:sz="0" w:space="0" w:color="auto"/>
        <w:bottom w:val="none" w:sz="0" w:space="0" w:color="auto"/>
        <w:right w:val="none" w:sz="0" w:space="0" w:color="auto"/>
      </w:divBdr>
    </w:div>
    <w:div w:id="1300955623">
      <w:bodyDiv w:val="1"/>
      <w:marLeft w:val="0"/>
      <w:marRight w:val="0"/>
      <w:marTop w:val="0"/>
      <w:marBottom w:val="0"/>
      <w:divBdr>
        <w:top w:val="none" w:sz="0" w:space="0" w:color="auto"/>
        <w:left w:val="none" w:sz="0" w:space="0" w:color="auto"/>
        <w:bottom w:val="none" w:sz="0" w:space="0" w:color="auto"/>
        <w:right w:val="none" w:sz="0" w:space="0" w:color="auto"/>
      </w:divBdr>
    </w:div>
    <w:div w:id="1311445247">
      <w:bodyDiv w:val="1"/>
      <w:marLeft w:val="0"/>
      <w:marRight w:val="0"/>
      <w:marTop w:val="0"/>
      <w:marBottom w:val="0"/>
      <w:divBdr>
        <w:top w:val="none" w:sz="0" w:space="0" w:color="auto"/>
        <w:left w:val="none" w:sz="0" w:space="0" w:color="auto"/>
        <w:bottom w:val="none" w:sz="0" w:space="0" w:color="auto"/>
        <w:right w:val="none" w:sz="0" w:space="0" w:color="auto"/>
      </w:divBdr>
    </w:div>
    <w:div w:id="1382557474">
      <w:bodyDiv w:val="1"/>
      <w:marLeft w:val="0"/>
      <w:marRight w:val="0"/>
      <w:marTop w:val="0"/>
      <w:marBottom w:val="0"/>
      <w:divBdr>
        <w:top w:val="none" w:sz="0" w:space="0" w:color="auto"/>
        <w:left w:val="none" w:sz="0" w:space="0" w:color="auto"/>
        <w:bottom w:val="none" w:sz="0" w:space="0" w:color="auto"/>
        <w:right w:val="none" w:sz="0" w:space="0" w:color="auto"/>
      </w:divBdr>
      <w:divsChild>
        <w:div w:id="1208302111">
          <w:marLeft w:val="0"/>
          <w:marRight w:val="0"/>
          <w:marTop w:val="0"/>
          <w:marBottom w:val="0"/>
          <w:divBdr>
            <w:top w:val="none" w:sz="0" w:space="0" w:color="auto"/>
            <w:left w:val="none" w:sz="0" w:space="0" w:color="auto"/>
            <w:bottom w:val="none" w:sz="0" w:space="0" w:color="auto"/>
            <w:right w:val="none" w:sz="0" w:space="0" w:color="auto"/>
          </w:divBdr>
          <w:divsChild>
            <w:div w:id="644164212">
              <w:marLeft w:val="0"/>
              <w:marRight w:val="0"/>
              <w:marTop w:val="0"/>
              <w:marBottom w:val="0"/>
              <w:divBdr>
                <w:top w:val="none" w:sz="0" w:space="0" w:color="auto"/>
                <w:left w:val="none" w:sz="0" w:space="0" w:color="auto"/>
                <w:bottom w:val="none" w:sz="0" w:space="0" w:color="auto"/>
                <w:right w:val="none" w:sz="0" w:space="0" w:color="auto"/>
              </w:divBdr>
              <w:divsChild>
                <w:div w:id="35680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101493">
      <w:bodyDiv w:val="1"/>
      <w:marLeft w:val="0"/>
      <w:marRight w:val="0"/>
      <w:marTop w:val="0"/>
      <w:marBottom w:val="0"/>
      <w:divBdr>
        <w:top w:val="none" w:sz="0" w:space="0" w:color="auto"/>
        <w:left w:val="none" w:sz="0" w:space="0" w:color="auto"/>
        <w:bottom w:val="none" w:sz="0" w:space="0" w:color="auto"/>
        <w:right w:val="none" w:sz="0" w:space="0" w:color="auto"/>
      </w:divBdr>
      <w:divsChild>
        <w:div w:id="1767461558">
          <w:marLeft w:val="0"/>
          <w:marRight w:val="0"/>
          <w:marTop w:val="0"/>
          <w:marBottom w:val="0"/>
          <w:divBdr>
            <w:top w:val="none" w:sz="0" w:space="0" w:color="auto"/>
            <w:left w:val="none" w:sz="0" w:space="0" w:color="auto"/>
            <w:bottom w:val="none" w:sz="0" w:space="0" w:color="auto"/>
            <w:right w:val="none" w:sz="0" w:space="0" w:color="auto"/>
          </w:divBdr>
        </w:div>
      </w:divsChild>
    </w:div>
    <w:div w:id="1484196981">
      <w:bodyDiv w:val="1"/>
      <w:marLeft w:val="0"/>
      <w:marRight w:val="0"/>
      <w:marTop w:val="0"/>
      <w:marBottom w:val="0"/>
      <w:divBdr>
        <w:top w:val="none" w:sz="0" w:space="0" w:color="auto"/>
        <w:left w:val="none" w:sz="0" w:space="0" w:color="auto"/>
        <w:bottom w:val="none" w:sz="0" w:space="0" w:color="auto"/>
        <w:right w:val="none" w:sz="0" w:space="0" w:color="auto"/>
      </w:divBdr>
    </w:div>
    <w:div w:id="1548181302">
      <w:bodyDiv w:val="1"/>
      <w:marLeft w:val="0"/>
      <w:marRight w:val="0"/>
      <w:marTop w:val="0"/>
      <w:marBottom w:val="0"/>
      <w:divBdr>
        <w:top w:val="none" w:sz="0" w:space="0" w:color="auto"/>
        <w:left w:val="none" w:sz="0" w:space="0" w:color="auto"/>
        <w:bottom w:val="none" w:sz="0" w:space="0" w:color="auto"/>
        <w:right w:val="none" w:sz="0" w:space="0" w:color="auto"/>
      </w:divBdr>
    </w:div>
    <w:div w:id="1619145430">
      <w:bodyDiv w:val="1"/>
      <w:marLeft w:val="0"/>
      <w:marRight w:val="0"/>
      <w:marTop w:val="0"/>
      <w:marBottom w:val="0"/>
      <w:divBdr>
        <w:top w:val="none" w:sz="0" w:space="0" w:color="auto"/>
        <w:left w:val="none" w:sz="0" w:space="0" w:color="auto"/>
        <w:bottom w:val="none" w:sz="0" w:space="0" w:color="auto"/>
        <w:right w:val="none" w:sz="0" w:space="0" w:color="auto"/>
      </w:divBdr>
    </w:div>
    <w:div w:id="1673793598">
      <w:bodyDiv w:val="1"/>
      <w:marLeft w:val="0"/>
      <w:marRight w:val="0"/>
      <w:marTop w:val="0"/>
      <w:marBottom w:val="0"/>
      <w:divBdr>
        <w:top w:val="none" w:sz="0" w:space="0" w:color="auto"/>
        <w:left w:val="none" w:sz="0" w:space="0" w:color="auto"/>
        <w:bottom w:val="none" w:sz="0" w:space="0" w:color="auto"/>
        <w:right w:val="none" w:sz="0" w:space="0" w:color="auto"/>
      </w:divBdr>
    </w:div>
    <w:div w:id="1674919403">
      <w:bodyDiv w:val="1"/>
      <w:marLeft w:val="0"/>
      <w:marRight w:val="0"/>
      <w:marTop w:val="0"/>
      <w:marBottom w:val="0"/>
      <w:divBdr>
        <w:top w:val="none" w:sz="0" w:space="0" w:color="auto"/>
        <w:left w:val="none" w:sz="0" w:space="0" w:color="auto"/>
        <w:bottom w:val="none" w:sz="0" w:space="0" w:color="auto"/>
        <w:right w:val="none" w:sz="0" w:space="0" w:color="auto"/>
      </w:divBdr>
    </w:div>
    <w:div w:id="1725520861">
      <w:bodyDiv w:val="1"/>
      <w:marLeft w:val="0"/>
      <w:marRight w:val="0"/>
      <w:marTop w:val="0"/>
      <w:marBottom w:val="0"/>
      <w:divBdr>
        <w:top w:val="none" w:sz="0" w:space="0" w:color="auto"/>
        <w:left w:val="none" w:sz="0" w:space="0" w:color="auto"/>
        <w:bottom w:val="none" w:sz="0" w:space="0" w:color="auto"/>
        <w:right w:val="none" w:sz="0" w:space="0" w:color="auto"/>
      </w:divBdr>
    </w:div>
    <w:div w:id="1733430569">
      <w:bodyDiv w:val="1"/>
      <w:marLeft w:val="0"/>
      <w:marRight w:val="0"/>
      <w:marTop w:val="0"/>
      <w:marBottom w:val="0"/>
      <w:divBdr>
        <w:top w:val="none" w:sz="0" w:space="0" w:color="auto"/>
        <w:left w:val="none" w:sz="0" w:space="0" w:color="auto"/>
        <w:bottom w:val="none" w:sz="0" w:space="0" w:color="auto"/>
        <w:right w:val="none" w:sz="0" w:space="0" w:color="auto"/>
      </w:divBdr>
    </w:div>
    <w:div w:id="1745639922">
      <w:bodyDiv w:val="1"/>
      <w:marLeft w:val="0"/>
      <w:marRight w:val="0"/>
      <w:marTop w:val="0"/>
      <w:marBottom w:val="0"/>
      <w:divBdr>
        <w:top w:val="none" w:sz="0" w:space="0" w:color="auto"/>
        <w:left w:val="none" w:sz="0" w:space="0" w:color="auto"/>
        <w:bottom w:val="none" w:sz="0" w:space="0" w:color="auto"/>
        <w:right w:val="none" w:sz="0" w:space="0" w:color="auto"/>
      </w:divBdr>
    </w:div>
    <w:div w:id="1783451667">
      <w:bodyDiv w:val="1"/>
      <w:marLeft w:val="0"/>
      <w:marRight w:val="0"/>
      <w:marTop w:val="0"/>
      <w:marBottom w:val="0"/>
      <w:divBdr>
        <w:top w:val="none" w:sz="0" w:space="0" w:color="auto"/>
        <w:left w:val="none" w:sz="0" w:space="0" w:color="auto"/>
        <w:bottom w:val="none" w:sz="0" w:space="0" w:color="auto"/>
        <w:right w:val="none" w:sz="0" w:space="0" w:color="auto"/>
      </w:divBdr>
    </w:div>
    <w:div w:id="1803378058">
      <w:bodyDiv w:val="1"/>
      <w:marLeft w:val="0"/>
      <w:marRight w:val="0"/>
      <w:marTop w:val="0"/>
      <w:marBottom w:val="0"/>
      <w:divBdr>
        <w:top w:val="none" w:sz="0" w:space="0" w:color="auto"/>
        <w:left w:val="none" w:sz="0" w:space="0" w:color="auto"/>
        <w:bottom w:val="none" w:sz="0" w:space="0" w:color="auto"/>
        <w:right w:val="none" w:sz="0" w:space="0" w:color="auto"/>
      </w:divBdr>
    </w:div>
    <w:div w:id="1822698129">
      <w:bodyDiv w:val="1"/>
      <w:marLeft w:val="0"/>
      <w:marRight w:val="0"/>
      <w:marTop w:val="0"/>
      <w:marBottom w:val="0"/>
      <w:divBdr>
        <w:top w:val="none" w:sz="0" w:space="0" w:color="auto"/>
        <w:left w:val="none" w:sz="0" w:space="0" w:color="auto"/>
        <w:bottom w:val="none" w:sz="0" w:space="0" w:color="auto"/>
        <w:right w:val="none" w:sz="0" w:space="0" w:color="auto"/>
      </w:divBdr>
    </w:div>
    <w:div w:id="1863394491">
      <w:bodyDiv w:val="1"/>
      <w:marLeft w:val="0"/>
      <w:marRight w:val="0"/>
      <w:marTop w:val="0"/>
      <w:marBottom w:val="0"/>
      <w:divBdr>
        <w:top w:val="none" w:sz="0" w:space="0" w:color="auto"/>
        <w:left w:val="none" w:sz="0" w:space="0" w:color="auto"/>
        <w:bottom w:val="none" w:sz="0" w:space="0" w:color="auto"/>
        <w:right w:val="none" w:sz="0" w:space="0" w:color="auto"/>
      </w:divBdr>
    </w:div>
    <w:div w:id="1886989189">
      <w:bodyDiv w:val="1"/>
      <w:marLeft w:val="0"/>
      <w:marRight w:val="0"/>
      <w:marTop w:val="0"/>
      <w:marBottom w:val="0"/>
      <w:divBdr>
        <w:top w:val="none" w:sz="0" w:space="0" w:color="auto"/>
        <w:left w:val="none" w:sz="0" w:space="0" w:color="auto"/>
        <w:bottom w:val="none" w:sz="0" w:space="0" w:color="auto"/>
        <w:right w:val="none" w:sz="0" w:space="0" w:color="auto"/>
      </w:divBdr>
    </w:div>
    <w:div w:id="1898390085">
      <w:bodyDiv w:val="1"/>
      <w:marLeft w:val="0"/>
      <w:marRight w:val="0"/>
      <w:marTop w:val="0"/>
      <w:marBottom w:val="0"/>
      <w:divBdr>
        <w:top w:val="none" w:sz="0" w:space="0" w:color="auto"/>
        <w:left w:val="none" w:sz="0" w:space="0" w:color="auto"/>
        <w:bottom w:val="none" w:sz="0" w:space="0" w:color="auto"/>
        <w:right w:val="none" w:sz="0" w:space="0" w:color="auto"/>
      </w:divBdr>
    </w:div>
    <w:div w:id="1905212310">
      <w:bodyDiv w:val="1"/>
      <w:marLeft w:val="0"/>
      <w:marRight w:val="0"/>
      <w:marTop w:val="0"/>
      <w:marBottom w:val="0"/>
      <w:divBdr>
        <w:top w:val="none" w:sz="0" w:space="0" w:color="auto"/>
        <w:left w:val="none" w:sz="0" w:space="0" w:color="auto"/>
        <w:bottom w:val="none" w:sz="0" w:space="0" w:color="auto"/>
        <w:right w:val="none" w:sz="0" w:space="0" w:color="auto"/>
      </w:divBdr>
    </w:div>
    <w:div w:id="1908035228">
      <w:bodyDiv w:val="1"/>
      <w:marLeft w:val="0"/>
      <w:marRight w:val="0"/>
      <w:marTop w:val="0"/>
      <w:marBottom w:val="0"/>
      <w:divBdr>
        <w:top w:val="none" w:sz="0" w:space="0" w:color="auto"/>
        <w:left w:val="none" w:sz="0" w:space="0" w:color="auto"/>
        <w:bottom w:val="none" w:sz="0" w:space="0" w:color="auto"/>
        <w:right w:val="none" w:sz="0" w:space="0" w:color="auto"/>
      </w:divBdr>
    </w:div>
    <w:div w:id="2003853776">
      <w:bodyDiv w:val="1"/>
      <w:marLeft w:val="0"/>
      <w:marRight w:val="0"/>
      <w:marTop w:val="0"/>
      <w:marBottom w:val="0"/>
      <w:divBdr>
        <w:top w:val="none" w:sz="0" w:space="0" w:color="auto"/>
        <w:left w:val="none" w:sz="0" w:space="0" w:color="auto"/>
        <w:bottom w:val="none" w:sz="0" w:space="0" w:color="auto"/>
        <w:right w:val="none" w:sz="0" w:space="0" w:color="auto"/>
      </w:divBdr>
    </w:div>
    <w:div w:id="2014603980">
      <w:bodyDiv w:val="1"/>
      <w:marLeft w:val="0"/>
      <w:marRight w:val="0"/>
      <w:marTop w:val="0"/>
      <w:marBottom w:val="0"/>
      <w:divBdr>
        <w:top w:val="none" w:sz="0" w:space="0" w:color="auto"/>
        <w:left w:val="none" w:sz="0" w:space="0" w:color="auto"/>
        <w:bottom w:val="none" w:sz="0" w:space="0" w:color="auto"/>
        <w:right w:val="none" w:sz="0" w:space="0" w:color="auto"/>
      </w:divBdr>
    </w:div>
    <w:div w:id="2022463968">
      <w:bodyDiv w:val="1"/>
      <w:marLeft w:val="0"/>
      <w:marRight w:val="0"/>
      <w:marTop w:val="0"/>
      <w:marBottom w:val="0"/>
      <w:divBdr>
        <w:top w:val="none" w:sz="0" w:space="0" w:color="auto"/>
        <w:left w:val="none" w:sz="0" w:space="0" w:color="auto"/>
        <w:bottom w:val="none" w:sz="0" w:space="0" w:color="auto"/>
        <w:right w:val="none" w:sz="0" w:space="0" w:color="auto"/>
      </w:divBdr>
    </w:div>
    <w:div w:id="2063014022">
      <w:bodyDiv w:val="1"/>
      <w:marLeft w:val="0"/>
      <w:marRight w:val="0"/>
      <w:marTop w:val="0"/>
      <w:marBottom w:val="0"/>
      <w:divBdr>
        <w:top w:val="none" w:sz="0" w:space="0" w:color="auto"/>
        <w:left w:val="none" w:sz="0" w:space="0" w:color="auto"/>
        <w:bottom w:val="none" w:sz="0" w:space="0" w:color="auto"/>
        <w:right w:val="none" w:sz="0" w:space="0" w:color="auto"/>
      </w:divBdr>
    </w:div>
    <w:div w:id="2095204195">
      <w:bodyDiv w:val="1"/>
      <w:marLeft w:val="0"/>
      <w:marRight w:val="0"/>
      <w:marTop w:val="0"/>
      <w:marBottom w:val="0"/>
      <w:divBdr>
        <w:top w:val="none" w:sz="0" w:space="0" w:color="auto"/>
        <w:left w:val="none" w:sz="0" w:space="0" w:color="auto"/>
        <w:bottom w:val="none" w:sz="0" w:space="0" w:color="auto"/>
        <w:right w:val="none" w:sz="0" w:space="0" w:color="auto"/>
      </w:divBdr>
    </w:div>
    <w:div w:id="209662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on@hope.ac.uk" TargetMode="External"/><Relationship Id="rId13" Type="http://schemas.openxmlformats.org/officeDocument/2006/relationships/hyperlink" Target="https://orcid.org/0000-0001-7098-0241" TargetMode="External"/><Relationship Id="rId18" Type="http://schemas.openxmlformats.org/officeDocument/2006/relationships/hyperlink" Target="http://www.informingscience.org/Publications/3727"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1007/s10734-013-9705" TargetMode="External"/><Relationship Id="rId7" Type="http://schemas.openxmlformats.org/officeDocument/2006/relationships/endnotes" Target="endnotes.xml"/><Relationship Id="rId12" Type="http://schemas.openxmlformats.org/officeDocument/2006/relationships/hyperlink" Target="mailto:rille.raaper@durham.ac.uk" TargetMode="External"/><Relationship Id="rId17" Type="http://schemas.openxmlformats.org/officeDocument/2006/relationships/hyperlink" Target="http://www.timeshighereducation.co.uk/news/huge-variation-in-graduate-teaching-assistants-pay/2012859.article" TargetMode="External"/><Relationship Id="rId25" Type="http://schemas.openxmlformats.org/officeDocument/2006/relationships/hyperlink" Target="https://www.ucu.org.uk/media/4647/UCU-hourly-paid-survival-guide/pdf/ucu_hourlypaidsurvivalguide_jan20.pdf" TargetMode="External"/><Relationship Id="rId2" Type="http://schemas.openxmlformats.org/officeDocument/2006/relationships/numbering" Target="numbering.xml"/><Relationship Id="rId16" Type="http://schemas.openxmlformats.org/officeDocument/2006/relationships/hyperlink" Target="https://doi.org/10.1080/00131946.2012.714334" TargetMode="External"/><Relationship Id="rId20" Type="http://schemas.openxmlformats.org/officeDocument/2006/relationships/hyperlink" Target="https://www.hesa.ac.uk/news/27-01-2021/sb258-higher-education-student-statistics/numbe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2-7325-5640" TargetMode="External"/><Relationship Id="rId24" Type="http://schemas.openxmlformats.org/officeDocument/2006/relationships/hyperlink" Target="https://www.ucu.org.uk/media/9258/uni-teaching-by-hp-staff-march-2018/pdf/uniteachingbyhpstaffmarch2018" TargetMode="External"/><Relationship Id="rId5" Type="http://schemas.openxmlformats.org/officeDocument/2006/relationships/webSettings" Target="webSettings.xml"/><Relationship Id="rId15" Type="http://schemas.openxmlformats.org/officeDocument/2006/relationships/hyperlink" Target="https://www.gov.uk/government/uploads/system/uploads/attachment_data/file/411392/HE_providers_60ss.pdf" TargetMode="External"/><Relationship Id="rId23" Type="http://schemas.openxmlformats.org/officeDocument/2006/relationships/hyperlink" Target="https://www.ucu.org.uk/media/7995/Precarious-work-in-higher-education-a-snapshot-of-insecure-contracts-and-institutional-attitudes-Apr-16/pdf/ucu_precariouscontract_hereport_apr16.pdf" TargetMode="External"/><Relationship Id="rId10" Type="http://schemas.openxmlformats.org/officeDocument/2006/relationships/hyperlink" Target="mailto:a.hosein@surrey.ac.uk" TargetMode="External"/><Relationship Id="rId19" Type="http://schemas.openxmlformats.org/officeDocument/2006/relationships/hyperlink" Target="https://eacea.ec.europa.eu/national-policies/eurydice/content/types-higher-education-institutions-91_en" TargetMode="External"/><Relationship Id="rId4" Type="http://schemas.openxmlformats.org/officeDocument/2006/relationships/settings" Target="settings.xml"/><Relationship Id="rId9" Type="http://schemas.openxmlformats.org/officeDocument/2006/relationships/hyperlink" Target="https://orcid.org/0000-0002-1774-4263" TargetMode="External"/><Relationship Id="rId14" Type="http://schemas.openxmlformats.org/officeDocument/2006/relationships/hyperlink" Target="https://www.advance-he.ac.uk/knowledge-hub/annual-review-advance-he-accredited-cpd-schemes-2018-19" TargetMode="External"/><Relationship Id="rId22" Type="http://schemas.openxmlformats.org/officeDocument/2006/relationships/hyperlink" Target="https://doi.org/10.1080/03075070802049202"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topuniversities.com/qs-world-university-rankings/methodolog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esa\AppData\Local\Temp\Rar$DIa0.675\TF_Template_Word_Windows_20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CD9FD4-E20F-4A98-969B-A8806ADA7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C:\Users\Anesa\AppData\Local\Temp\Rar$DIa0.675\TF_Template_Word_Windows_2013.dotx</Template>
  <TotalTime>0</TotalTime>
  <Pages>32</Pages>
  <Words>8910</Words>
  <Characters>50793</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TF_Template_Word_Windows_2013</vt:lpstr>
    </vt:vector>
  </TitlesOfParts>
  <Company>Informa Plc</Company>
  <LinksUpToDate>false</LinksUpToDate>
  <CharactersWithSpaces>59584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TF_Template_Word_Windows_2013</dc:title>
  <dc:creator>Anesa Hosein</dc:creator>
  <cp:lastModifiedBy>Namrata Rao</cp:lastModifiedBy>
  <cp:revision>2</cp:revision>
  <cp:lastPrinted>2011-07-22T14:54:00Z</cp:lastPrinted>
  <dcterms:created xsi:type="dcterms:W3CDTF">2021-02-16T19:24:00Z</dcterms:created>
  <dcterms:modified xsi:type="dcterms:W3CDTF">2021-02-16T19:24:00Z</dcterms:modified>
</cp:coreProperties>
</file>