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22CE5" w14:textId="77777777" w:rsidR="00A101B9" w:rsidRPr="0020279F" w:rsidRDefault="00A101B9" w:rsidP="00C350DF">
      <w:pPr>
        <w:pStyle w:val="Articletitle"/>
      </w:pPr>
      <w:r>
        <w:t>Selling lemons?: The relationship between</w:t>
      </w:r>
      <w:r w:rsidRPr="00CC1607">
        <w:t xml:space="preserve"> </w:t>
      </w:r>
      <w:r>
        <w:t xml:space="preserve">learning and teaching </w:t>
      </w:r>
      <w:r w:rsidRPr="00CC1607">
        <w:t xml:space="preserve">information on </w:t>
      </w:r>
      <w:r w:rsidRPr="000F18E6">
        <w:t>university</w:t>
      </w:r>
      <w:r w:rsidRPr="00CC1607">
        <w:t xml:space="preserve"> programme web pages </w:t>
      </w:r>
      <w:r>
        <w:t>and future</w:t>
      </w:r>
      <w:r w:rsidRPr="00CC1607">
        <w:t xml:space="preserve"> students</w:t>
      </w:r>
      <w:r>
        <w:t>’</w:t>
      </w:r>
      <w:r w:rsidRPr="00CC1607">
        <w:t xml:space="preserve"> </w:t>
      </w:r>
      <w:r>
        <w:t>course satisfaction</w:t>
      </w:r>
    </w:p>
    <w:p w14:paraId="22326BA2" w14:textId="277B8228" w:rsidR="00C63A5D" w:rsidRDefault="00C63A5D" w:rsidP="00C63A5D">
      <w:pPr>
        <w:pStyle w:val="Heading1"/>
      </w:pPr>
      <w:r>
        <w:t>Abstract</w:t>
      </w:r>
    </w:p>
    <w:p w14:paraId="17D108C3" w14:textId="6DA6C426" w:rsidR="00A101B9" w:rsidRDefault="00A101B9" w:rsidP="00C350DF">
      <w:pPr>
        <w:pStyle w:val="Abstract"/>
        <w:rPr>
          <w:rFonts w:asciiTheme="majorHAnsi" w:hAnsiTheme="majorHAnsi"/>
        </w:rPr>
      </w:pPr>
      <w:bookmarkStart w:id="0" w:name="_Hlk49259489"/>
      <w:bookmarkStart w:id="1" w:name="_GoBack"/>
      <w:r w:rsidRPr="008470F6">
        <w:t xml:space="preserve">The sources and types of information </w:t>
      </w:r>
      <w:r w:rsidR="007004DD">
        <w:t xml:space="preserve">that </w:t>
      </w:r>
      <w:r w:rsidRPr="008470F6">
        <w:t>prospective student</w:t>
      </w:r>
      <w:r>
        <w:t xml:space="preserve">s </w:t>
      </w:r>
      <w:r w:rsidR="007004DD">
        <w:t>desire</w:t>
      </w:r>
      <w:r w:rsidR="007004DD" w:rsidRPr="008470F6">
        <w:t xml:space="preserve"> have</w:t>
      </w:r>
      <w:r w:rsidRPr="008470F6">
        <w:t xml:space="preserve"> been widely researched</w:t>
      </w:r>
      <w:r>
        <w:t>. H</w:t>
      </w:r>
      <w:r w:rsidRPr="008470F6">
        <w:t>owever</w:t>
      </w:r>
      <w:r>
        <w:t>,</w:t>
      </w:r>
      <w:r w:rsidRPr="008470F6">
        <w:t xml:space="preserve"> there is limited </w:t>
      </w:r>
      <w:r>
        <w:t>research</w:t>
      </w:r>
      <w:r w:rsidRPr="008470F6">
        <w:t xml:space="preserve"> </w:t>
      </w:r>
      <w:r>
        <w:t>on the usefulness of learning and teaching (</w:t>
      </w:r>
      <w:r w:rsidRPr="008470F6">
        <w:t>L&amp;T</w:t>
      </w:r>
      <w:r>
        <w:t>)</w:t>
      </w:r>
      <w:r w:rsidRPr="008470F6">
        <w:t xml:space="preserve"> </w:t>
      </w:r>
      <w:r>
        <w:t xml:space="preserve">information provided by </w:t>
      </w:r>
      <w:r w:rsidR="007004DD">
        <w:t>universities</w:t>
      </w:r>
      <w:r>
        <w:t xml:space="preserve"> in describing the actual student experience. Using the concept of information failure, the study investigates the meaningfulness of the efforts of </w:t>
      </w:r>
      <w:r w:rsidR="007004DD">
        <w:t>universities</w:t>
      </w:r>
      <w:r>
        <w:t xml:space="preserve"> in </w:t>
      </w:r>
      <w:r w:rsidR="007004DD">
        <w:t xml:space="preserve">1) </w:t>
      </w:r>
      <w:r>
        <w:t>providing L&amp;T information to prospective students and 2) attending to information guidance from government bodies. Findings based on secondary data analysis of L&amp;T information</w:t>
      </w:r>
      <w:r w:rsidR="007004DD">
        <w:t xml:space="preserve"> provided</w:t>
      </w:r>
      <w:r>
        <w:t xml:space="preserve"> </w:t>
      </w:r>
      <w:r w:rsidR="007004DD">
        <w:t>on</w:t>
      </w:r>
      <w:r>
        <w:t xml:space="preserve"> 36 HEIs’ </w:t>
      </w:r>
      <w:r w:rsidRPr="008470F6">
        <w:t>websites</w:t>
      </w:r>
      <w:r>
        <w:t xml:space="preserve"> and students’ satisfaction scores of their perceived learning experience indicate that only a small proportion of information provided on</w:t>
      </w:r>
      <w:r w:rsidR="007004DD">
        <w:t xml:space="preserve"> university</w:t>
      </w:r>
      <w:r>
        <w:t xml:space="preserve"> websites reflects the students’ actual perceived learning experience. Further, the study provides guidance on the L&amp;T information HEIs should feature on their programme </w:t>
      </w:r>
      <w:r w:rsidRPr="00EE333A">
        <w:rPr>
          <w:noProof/>
        </w:rPr>
        <w:t>webpages</w:t>
      </w:r>
      <w:r>
        <w:t xml:space="preserve"> which is likely to be an indicator of their actual learning experience. </w:t>
      </w:r>
    </w:p>
    <w:bookmarkEnd w:id="0"/>
    <w:bookmarkEnd w:id="1"/>
    <w:p w14:paraId="4949E3D3" w14:textId="77777777" w:rsidR="00A101B9" w:rsidRDefault="00A101B9" w:rsidP="00C350DF">
      <w:pPr>
        <w:pStyle w:val="Keywords"/>
      </w:pPr>
      <w:r w:rsidRPr="00D30740">
        <w:t>Keywords:</w:t>
      </w:r>
      <w:r>
        <w:rPr>
          <w:b/>
        </w:rPr>
        <w:t xml:space="preserve"> </w:t>
      </w:r>
      <w:r w:rsidRPr="006C5C45">
        <w:t xml:space="preserve">Student </w:t>
      </w:r>
      <w:r>
        <w:t>Experience, Learning and Teaching, W</w:t>
      </w:r>
      <w:r w:rsidRPr="006C5C45">
        <w:t xml:space="preserve">ebsite </w:t>
      </w:r>
      <w:r>
        <w:t>I</w:t>
      </w:r>
      <w:r w:rsidRPr="006C5C45">
        <w:t xml:space="preserve">nformation, </w:t>
      </w:r>
      <w:r>
        <w:t>University, Student Satisfaction, Expert Failure</w:t>
      </w:r>
    </w:p>
    <w:p w14:paraId="32B5FE54" w14:textId="77777777" w:rsidR="00A101B9" w:rsidRDefault="00A101B9" w:rsidP="00C350DF">
      <w:pPr>
        <w:pStyle w:val="Heading1"/>
      </w:pPr>
      <w:r w:rsidRPr="00C86AD9">
        <w:t>Introduction</w:t>
      </w:r>
    </w:p>
    <w:p w14:paraId="0AEAACD8" w14:textId="181D3EF5" w:rsidR="00A101B9" w:rsidRDefault="00A101B9" w:rsidP="00C350DF">
      <w:pPr>
        <w:pStyle w:val="Paragraph"/>
      </w:pPr>
      <w:r w:rsidRPr="005A0A1F">
        <w:t>Over th</w:t>
      </w:r>
      <w:r>
        <w:t>e last decade, the Western</w:t>
      </w:r>
      <w:r w:rsidRPr="005A0A1F">
        <w:t xml:space="preserve"> H</w:t>
      </w:r>
      <w:r>
        <w:t xml:space="preserve">igher </w:t>
      </w:r>
      <w:r w:rsidRPr="005A0A1F">
        <w:t>E</w:t>
      </w:r>
      <w:r>
        <w:t>ducation (HE)</w:t>
      </w:r>
      <w:r w:rsidRPr="005A0A1F">
        <w:t xml:space="preserve"> sector has witnessed a </w:t>
      </w:r>
      <w:r>
        <w:t xml:space="preserve">funding </w:t>
      </w:r>
      <w:r w:rsidRPr="005A0A1F">
        <w:t>paradi</w:t>
      </w:r>
      <w:r>
        <w:t>gm shift, moving from</w:t>
      </w:r>
      <w:r w:rsidRPr="004B18BB">
        <w:t xml:space="preserve"> </w:t>
      </w:r>
      <w:r w:rsidRPr="006F47A4">
        <w:rPr>
          <w:noProof/>
        </w:rPr>
        <w:t>state</w:t>
      </w:r>
      <w:r>
        <w:rPr>
          <w:noProof/>
        </w:rPr>
        <w:t>-</w:t>
      </w:r>
      <w:r w:rsidRPr="006F47A4">
        <w:rPr>
          <w:noProof/>
        </w:rPr>
        <w:t>controlled</w:t>
      </w:r>
      <w:r w:rsidRPr="004B18BB">
        <w:t xml:space="preserve"> to a more </w:t>
      </w:r>
      <w:r>
        <w:t xml:space="preserve">neo-liberal </w:t>
      </w:r>
      <w:proofErr w:type="spellStart"/>
      <w:r w:rsidRPr="004B18BB">
        <w:t>marketised</w:t>
      </w:r>
      <w:proofErr w:type="spellEnd"/>
      <w:r w:rsidRPr="004B18BB">
        <w:t xml:space="preserve"> sector globally</w:t>
      </w:r>
      <w:r>
        <w:t xml:space="preserve"> where the income of Higher Education Institutions (HEIs) are dependent on student tuition fees</w:t>
      </w:r>
      <w:r w:rsidRPr="004B18BB">
        <w:t xml:space="preserve"> </w:t>
      </w:r>
      <w:r>
        <w:rPr>
          <w:noProof/>
        </w:rPr>
        <w:t>(Hemsley-Brown and Oplatka 2006; Jongbloed 2003; Tomlinson 2016)</w:t>
      </w:r>
      <w:r>
        <w:t xml:space="preserve">. </w:t>
      </w:r>
      <w:r w:rsidR="003613C1">
        <w:t>Whether HEIs should treat their students as customers is a highly contested issue in the academic communities</w:t>
      </w:r>
      <w:r w:rsidR="004B4826">
        <w:t xml:space="preserve"> (Tomlinson, 2016)</w:t>
      </w:r>
      <w:r w:rsidR="003613C1">
        <w:t>. However, HEIs</w:t>
      </w:r>
      <w:r w:rsidR="004B4826">
        <w:t xml:space="preserve">, </w:t>
      </w:r>
      <w:r w:rsidR="003613C1">
        <w:t>in their strategic</w:t>
      </w:r>
      <w:r w:rsidR="004B4826">
        <w:t xml:space="preserve"> and marketing</w:t>
      </w:r>
      <w:r w:rsidR="003613C1">
        <w:t xml:space="preserve"> operations</w:t>
      </w:r>
      <w:r w:rsidR="004B4826">
        <w:t>, often</w:t>
      </w:r>
      <w:r w:rsidR="003613C1">
        <w:t xml:space="preserve"> </w:t>
      </w:r>
      <w:r w:rsidR="004B4826">
        <w:t>approach the recruitment of their so-called customers, the prospective student, as a business.</w:t>
      </w:r>
      <w:r w:rsidR="003613C1">
        <w:t xml:space="preserve"> </w:t>
      </w:r>
      <w:r>
        <w:t xml:space="preserve">HEIs compete for a larger share of the prospective students, in both internal and external markets. Prospective students, theoretically, have a larger range of HEI choices </w:t>
      </w:r>
      <w:r>
        <w:lastRenderedPageBreak/>
        <w:t xml:space="preserve">providing they are not bound by finance, caring responsibilities or geography. The theory of markets suggests that these prospective students will be distributed efficiently across all HEIs if the HEIs meet the prospective students’ requirements. However, if the prospective students do not have all the available information (often called complete or symmetric information) needed for their choice, then there will be a market failure, that is, the market will be inefficient </w:t>
      </w:r>
      <w:r>
        <w:rPr>
          <w:noProof/>
        </w:rPr>
        <w:t>(Akerlof 1978)</w:t>
      </w:r>
      <w:r>
        <w:t xml:space="preserve">. HEIs have thus sought to make appropriate learning and teaching (L&amp;T) information available </w:t>
      </w:r>
      <w:r>
        <w:rPr>
          <w:noProof/>
        </w:rPr>
        <w:t>(Binsardi and Ekwulugo 2003; Pucciarelli and Kaplan 2016)</w:t>
      </w:r>
      <w:r>
        <w:t xml:space="preserve"> to prospective students. </w:t>
      </w:r>
    </w:p>
    <w:p w14:paraId="67F58327" w14:textId="119EDA69" w:rsidR="00A101B9" w:rsidRDefault="00A101B9" w:rsidP="00C350DF">
      <w:pPr>
        <w:pStyle w:val="Newparagraph"/>
      </w:pPr>
      <w:r>
        <w:t xml:space="preserve">What constitutes appropriate L&amp;T information is a matter of debate. Appropriate L&amp;T information framed through a neo-liberalised lens relates to the dominant pedagogical discourse </w:t>
      </w:r>
      <w:r>
        <w:rPr>
          <w:noProof/>
        </w:rPr>
        <w:t>(sensu Authors, 2019)</w:t>
      </w:r>
      <w:r>
        <w:t xml:space="preserve"> of creating and sharing quantitative and qualitative metrics that represent students’ satisfaction as a proxy of teaching excellence </w:t>
      </w:r>
      <w:r>
        <w:rPr>
          <w:noProof/>
        </w:rPr>
        <w:t>(Authors, 2017; Saunders and Blanco Ramírez 2017)</w:t>
      </w:r>
      <w:r>
        <w:t xml:space="preserve">. Prospective students, in turn, demand more availability of this L&amp;T information from HEIs </w:t>
      </w:r>
      <w:r>
        <w:rPr>
          <w:noProof/>
        </w:rPr>
        <w:t>(see for example Coccari and Javalgi 1995; Johnston 2010; Veloutsou</w:t>
      </w:r>
      <w:r w:rsidRPr="007D5236">
        <w:rPr>
          <w:i/>
          <w:noProof/>
        </w:rPr>
        <w:t xml:space="preserve"> et al.</w:t>
      </w:r>
      <w:r>
        <w:rPr>
          <w:noProof/>
        </w:rPr>
        <w:t xml:space="preserve"> 2004)</w:t>
      </w:r>
      <w:r>
        <w:t xml:space="preserve"> to help them pre-determine their eventual satisfaction with the HEI </w:t>
      </w:r>
      <w:r>
        <w:rPr>
          <w:noProof/>
        </w:rPr>
        <w:t>(Saunders and Blanco Ramírez 2017)</w:t>
      </w:r>
      <w:r>
        <w:t xml:space="preserve">. </w:t>
      </w:r>
    </w:p>
    <w:p w14:paraId="50B56135" w14:textId="727281D7" w:rsidR="00A101B9" w:rsidRDefault="00A101B9" w:rsidP="00C350DF">
      <w:pPr>
        <w:pStyle w:val="Newparagraph"/>
      </w:pPr>
      <w:r>
        <w:t>The question arises</w:t>
      </w:r>
      <w:r w:rsidR="004B4826">
        <w:t>;</w:t>
      </w:r>
      <w:r>
        <w:t xml:space="preserve"> are prospective students being sold lemons </w:t>
      </w:r>
      <w:r>
        <w:rPr>
          <w:noProof/>
        </w:rPr>
        <w:t>(sensu Akerlof 1978)</w:t>
      </w:r>
      <w:r>
        <w:t xml:space="preserve">, in the sense of being sold a misrepresented product? Thus, when we say lemons, we want to know whether the current availability of L&amp;T information can help prospective </w:t>
      </w:r>
      <w:r w:rsidRPr="00DD5CAA">
        <w:t>students determine their future satisfaction? Or whether the current availability of L&amp;T information is superfluous (sometimes referred to as non-instrumental information)</w:t>
      </w:r>
      <w:r>
        <w:t xml:space="preserve">? These are important questions as there is surprisingly limited research </w:t>
      </w:r>
      <w:r>
        <w:rPr>
          <w:noProof/>
        </w:rPr>
        <w:t>(see for example Diamond</w:t>
      </w:r>
      <w:r w:rsidRPr="007D5236">
        <w:rPr>
          <w:i/>
          <w:noProof/>
        </w:rPr>
        <w:t xml:space="preserve"> et al.</w:t>
      </w:r>
      <w:r>
        <w:rPr>
          <w:noProof/>
        </w:rPr>
        <w:t xml:space="preserve"> 2015; Johnston 2010; Mortimer 1997)</w:t>
      </w:r>
      <w:r>
        <w:t xml:space="preserve"> on whether the extent the current availability of L&amp;T information has any relationship with future student satisfaction and certainly not from a longitudinal perspective.</w:t>
      </w:r>
    </w:p>
    <w:p w14:paraId="595F19A0" w14:textId="77777777" w:rsidR="00A101B9" w:rsidRDefault="00A101B9" w:rsidP="00C350DF">
      <w:pPr>
        <w:pStyle w:val="Heading2"/>
      </w:pPr>
      <w:r>
        <w:lastRenderedPageBreak/>
        <w:t>Learning and Teaching Information at HEIs</w:t>
      </w:r>
    </w:p>
    <w:p w14:paraId="3066F421" w14:textId="5E1B8849" w:rsidR="00A101B9" w:rsidRDefault="00A101B9" w:rsidP="00C350DF">
      <w:pPr>
        <w:pStyle w:val="Paragraph"/>
      </w:pPr>
      <w:r>
        <w:t xml:space="preserve">HEIs invest a large amount of their budget to marketing the teaching excellence information to the students. The selection and availability of this information </w:t>
      </w:r>
      <w:r>
        <w:rPr>
          <w:noProof/>
        </w:rPr>
        <w:t>are</w:t>
      </w:r>
      <w:r>
        <w:t xml:space="preserve"> predominantly determined by HEIs’ marketing experts and informed by feedback from students and government regulations/ guidance. Both current and prospective undergraduate students advise HEIs on the L&amp;T information</w:t>
      </w:r>
      <w:r w:rsidRPr="006E7F09">
        <w:t xml:space="preserve"> </w:t>
      </w:r>
      <w:r>
        <w:t xml:space="preserve">they want, </w:t>
      </w:r>
      <w:r w:rsidR="004B4826">
        <w:t>for example, in the UK, the</w:t>
      </w:r>
      <w:r>
        <w:t xml:space="preserve"> National Union of Students </w:t>
      </w:r>
      <w:r w:rsidR="004B4826">
        <w:t>have done this</w:t>
      </w:r>
      <w:r>
        <w:t xml:space="preserve"> </w:t>
      </w:r>
      <w:r>
        <w:rPr>
          <w:noProof/>
        </w:rPr>
        <w:t>(NUS 2012)</w:t>
      </w:r>
      <w:r>
        <w:t xml:space="preserve">. </w:t>
      </w:r>
      <w:r w:rsidR="004B4826">
        <w:t xml:space="preserve">The </w:t>
      </w:r>
      <w:r>
        <w:rPr>
          <w:noProof/>
        </w:rPr>
        <w:t>NUS (2012)</w:t>
      </w:r>
      <w:r>
        <w:t xml:space="preserve"> found that prospective students wanted information on their contact hours and class size as they considered this the key to their decision-making in course selection. </w:t>
      </w:r>
    </w:p>
    <w:p w14:paraId="78B06A21" w14:textId="77777777" w:rsidR="00A101B9" w:rsidRDefault="00A101B9" w:rsidP="00C350DF">
      <w:pPr>
        <w:pStyle w:val="Newparagraph"/>
      </w:pPr>
      <w:r>
        <w:t>T</w:t>
      </w:r>
      <w:r w:rsidRPr="00AD1B08">
        <w:t>he quality</w:t>
      </w:r>
      <w:r>
        <w:t xml:space="preserve"> and quantity</w:t>
      </w:r>
      <w:r w:rsidRPr="00AD1B08">
        <w:t xml:space="preserve"> </w:t>
      </w:r>
      <w:r>
        <w:t xml:space="preserve">of </w:t>
      </w:r>
      <w:r w:rsidRPr="00AD1B08">
        <w:t xml:space="preserve">information </w:t>
      </w:r>
      <w:r>
        <w:t>that the HEIs provide</w:t>
      </w:r>
      <w:r w:rsidRPr="00AD1B08">
        <w:t xml:space="preserve"> </w:t>
      </w:r>
      <w:r>
        <w:t xml:space="preserve">to the prospective students via various information portals (websites, prospectuses, open days etc.) </w:t>
      </w:r>
      <w:r>
        <w:rPr>
          <w:noProof/>
        </w:rPr>
        <w:t>are</w:t>
      </w:r>
      <w:r>
        <w:t xml:space="preserve"> perceived as being critical for students to make confident decisions </w:t>
      </w:r>
      <w:r>
        <w:rPr>
          <w:noProof/>
        </w:rPr>
        <w:t>(Diamond</w:t>
      </w:r>
      <w:r w:rsidRPr="007D5236">
        <w:rPr>
          <w:i/>
          <w:noProof/>
        </w:rPr>
        <w:t xml:space="preserve"> et al.</w:t>
      </w:r>
      <w:r>
        <w:rPr>
          <w:noProof/>
        </w:rPr>
        <w:t xml:space="preserve"> 2012)</w:t>
      </w:r>
      <w:r w:rsidRPr="00AD1B08">
        <w:t xml:space="preserve">. </w:t>
      </w:r>
      <w:r>
        <w:t>Of these, w</w:t>
      </w:r>
      <w:r w:rsidRPr="00AD1B08">
        <w:t xml:space="preserve">ebsites </w:t>
      </w:r>
      <w:r w:rsidR="00A700F4">
        <w:rPr>
          <w:noProof/>
        </w:rPr>
        <w:t>are</w:t>
      </w:r>
      <w:r>
        <w:t xml:space="preserve"> one of the main </w:t>
      </w:r>
      <w:r w:rsidRPr="006F47A4">
        <w:rPr>
          <w:noProof/>
        </w:rPr>
        <w:t>source</w:t>
      </w:r>
      <w:r>
        <w:rPr>
          <w:noProof/>
        </w:rPr>
        <w:t>s</w:t>
      </w:r>
      <w:r>
        <w:t xml:space="preserve"> of information </w:t>
      </w:r>
      <w:r>
        <w:rPr>
          <w:noProof/>
        </w:rPr>
        <w:t>(Gordon and Berhow 2009; Schimmel</w:t>
      </w:r>
      <w:r w:rsidRPr="007D5236">
        <w:rPr>
          <w:i/>
          <w:noProof/>
        </w:rPr>
        <w:t xml:space="preserve"> et al.</w:t>
      </w:r>
      <w:r>
        <w:rPr>
          <w:noProof/>
        </w:rPr>
        <w:t xml:space="preserve"> 2010; Simões and Soares 2010)</w:t>
      </w:r>
      <w:r w:rsidRPr="00AD1B08">
        <w:t>.</w:t>
      </w:r>
      <w:r>
        <w:t xml:space="preserve"> Prospective s</w:t>
      </w:r>
      <w:r w:rsidRPr="00AD1B08">
        <w:t>tudents from disadvantaged backgrounds</w:t>
      </w:r>
      <w:r w:rsidR="00A700F4">
        <w:t>, as well as international students,</w:t>
      </w:r>
      <w:r w:rsidRPr="00AD1B08">
        <w:t xml:space="preserve"> </w:t>
      </w:r>
      <w:r>
        <w:t>depend on websites</w:t>
      </w:r>
      <w:r w:rsidRPr="00AD1B08">
        <w:t xml:space="preserve"> </w:t>
      </w:r>
      <w:r>
        <w:t>as they</w:t>
      </w:r>
      <w:r w:rsidRPr="00AD1B08">
        <w:t xml:space="preserve"> have limited access to sources of information</w:t>
      </w:r>
      <w:r>
        <w:t xml:space="preserve"> from family and friends </w:t>
      </w:r>
      <w:r>
        <w:rPr>
          <w:noProof/>
        </w:rPr>
        <w:t>(Hemsley-Brown and Oplatka 2006; Mellors-Bourne</w:t>
      </w:r>
      <w:r w:rsidRPr="007D5236">
        <w:rPr>
          <w:i/>
          <w:noProof/>
        </w:rPr>
        <w:t xml:space="preserve"> et al.</w:t>
      </w:r>
      <w:r>
        <w:rPr>
          <w:noProof/>
        </w:rPr>
        <w:t xml:space="preserve"> 2014; Slack</w:t>
      </w:r>
      <w:r w:rsidRPr="007D5236">
        <w:rPr>
          <w:i/>
          <w:noProof/>
        </w:rPr>
        <w:t xml:space="preserve"> et al.</w:t>
      </w:r>
      <w:r>
        <w:rPr>
          <w:noProof/>
        </w:rPr>
        <w:t xml:space="preserve"> 2014)</w:t>
      </w:r>
      <w:r>
        <w:t xml:space="preserve">. </w:t>
      </w:r>
      <w:r>
        <w:rPr>
          <w:noProof/>
        </w:rPr>
        <w:t>Slack</w:t>
      </w:r>
      <w:r w:rsidRPr="007D5236">
        <w:rPr>
          <w:i/>
          <w:noProof/>
        </w:rPr>
        <w:t xml:space="preserve"> et al.</w:t>
      </w:r>
      <w:r>
        <w:rPr>
          <w:noProof/>
        </w:rPr>
        <w:t xml:space="preserve"> (2014)</w:t>
      </w:r>
      <w:r>
        <w:t xml:space="preserve"> </w:t>
      </w:r>
      <w:r w:rsidRPr="00AD1B08">
        <w:t xml:space="preserve">reported that 95% of the students, irrespective of their socio-economic status or whether they </w:t>
      </w:r>
      <w:r>
        <w:t>we</w:t>
      </w:r>
      <w:r w:rsidRPr="00AD1B08">
        <w:t>re first or second</w:t>
      </w:r>
      <w:r w:rsidR="00A700F4">
        <w:t>-</w:t>
      </w:r>
      <w:r w:rsidRPr="00AD1B08">
        <w:t xml:space="preserve">generation </w:t>
      </w:r>
      <w:r>
        <w:t>HEI</w:t>
      </w:r>
      <w:r w:rsidRPr="00AD1B08">
        <w:t xml:space="preserve"> students</w:t>
      </w:r>
      <w:r>
        <w:t>,</w:t>
      </w:r>
      <w:r w:rsidRPr="00AD1B08">
        <w:t xml:space="preserve"> access </w:t>
      </w:r>
      <w:r>
        <w:t>HEI</w:t>
      </w:r>
      <w:r w:rsidRPr="00AD1B08">
        <w:t xml:space="preserve"> website</w:t>
      </w:r>
      <w:r>
        <w:t>s</w:t>
      </w:r>
      <w:r w:rsidRPr="00AD1B08">
        <w:t xml:space="preserve"> and prospectuses</w:t>
      </w:r>
      <w:r>
        <w:t xml:space="preserve"> for information</w:t>
      </w:r>
    </w:p>
    <w:p w14:paraId="22E47385" w14:textId="77777777" w:rsidR="00A101B9" w:rsidRDefault="00A101B9" w:rsidP="00C350DF">
      <w:pPr>
        <w:pStyle w:val="Newparagraph"/>
      </w:pPr>
      <w:r>
        <w:t xml:space="preserve"> However, students may also distrust information that HEIs provide considering them to </w:t>
      </w:r>
      <w:r w:rsidRPr="00EE333A">
        <w:rPr>
          <w:noProof/>
        </w:rPr>
        <w:t>be bias</w:t>
      </w:r>
      <w:r>
        <w:rPr>
          <w:noProof/>
        </w:rPr>
        <w:t>ed</w:t>
      </w:r>
      <w:r>
        <w:t xml:space="preserve"> </w:t>
      </w:r>
      <w:r>
        <w:rPr>
          <w:noProof/>
        </w:rPr>
        <w:t>(Slack</w:t>
      </w:r>
      <w:r w:rsidRPr="007D5236">
        <w:rPr>
          <w:i/>
          <w:noProof/>
        </w:rPr>
        <w:t xml:space="preserve"> et al.</w:t>
      </w:r>
      <w:r>
        <w:rPr>
          <w:noProof/>
        </w:rPr>
        <w:t xml:space="preserve"> 2014)</w:t>
      </w:r>
      <w:r>
        <w:t xml:space="preserve">; perhaps rightly so, as website information made available by marketing experts is often based on presenting the HEI in a positive light </w:t>
      </w:r>
      <w:r>
        <w:rPr>
          <w:noProof/>
        </w:rPr>
        <w:t>(Authors, 2017)</w:t>
      </w:r>
      <w:r>
        <w:t xml:space="preserve">. Therefore, the available information on the websites may have very little relevance to the prospective students’ satisfaction with their learning experience. Hence, this paper intends to open a critical discussion on the practice validity of HEIs providing L&amp;T information by </w:t>
      </w:r>
      <w:r>
        <w:lastRenderedPageBreak/>
        <w:t>analysing whether the available information ha</w:t>
      </w:r>
      <w:r w:rsidR="00A700F4">
        <w:t>s</w:t>
      </w:r>
      <w:r>
        <w:t xml:space="preserve"> any relationship to the prospective student’s satisfaction of student learning experience. Thus, this paper is not about the factors that influence student experience </w:t>
      </w:r>
      <w:r>
        <w:rPr>
          <w:noProof/>
        </w:rPr>
        <w:t>(such as that by Calvo</w:t>
      </w:r>
      <w:r w:rsidRPr="00CC1607">
        <w:rPr>
          <w:i/>
          <w:noProof/>
        </w:rPr>
        <w:t xml:space="preserve"> et al.</w:t>
      </w:r>
      <w:r>
        <w:rPr>
          <w:noProof/>
        </w:rPr>
        <w:t xml:space="preserve"> 2010)</w:t>
      </w:r>
      <w:r>
        <w:t xml:space="preserve"> but rather about the practice of providing web information that is sold to prospective students as being representative of their future student experience. Our research question is, </w:t>
      </w:r>
      <w:r w:rsidRPr="00EE333A">
        <w:rPr>
          <w:noProof/>
        </w:rPr>
        <w:t>therefore</w:t>
      </w:r>
      <w:r>
        <w:t xml:space="preserve">:  </w:t>
      </w:r>
    </w:p>
    <w:p w14:paraId="31306ECA" w14:textId="77777777" w:rsidR="00A101B9" w:rsidRPr="000D6BED" w:rsidRDefault="00A101B9" w:rsidP="00C350DF">
      <w:pPr>
        <w:pStyle w:val="Quote"/>
        <w:rPr>
          <w:color w:val="auto"/>
        </w:rPr>
      </w:pPr>
      <w:r w:rsidRPr="000D6BED">
        <w:rPr>
          <w:color w:val="auto"/>
        </w:rPr>
        <w:t xml:space="preserve">To what extent </w:t>
      </w:r>
      <w:r w:rsidR="00A700F4">
        <w:rPr>
          <w:color w:val="auto"/>
        </w:rPr>
        <w:t>is the available</w:t>
      </w:r>
      <w:r>
        <w:rPr>
          <w:color w:val="auto"/>
        </w:rPr>
        <w:t xml:space="preserve"> </w:t>
      </w:r>
      <w:r w:rsidRPr="000D6BED">
        <w:rPr>
          <w:color w:val="auto"/>
        </w:rPr>
        <w:t xml:space="preserve">learning and teaching information </w:t>
      </w:r>
      <w:r>
        <w:rPr>
          <w:color w:val="auto"/>
        </w:rPr>
        <w:t xml:space="preserve">marketed to prospective students </w:t>
      </w:r>
      <w:r w:rsidRPr="000D6BED">
        <w:rPr>
          <w:color w:val="auto"/>
        </w:rPr>
        <w:t xml:space="preserve">on university </w:t>
      </w:r>
      <w:r w:rsidRPr="000D6BED">
        <w:rPr>
          <w:noProof/>
          <w:color w:val="auto"/>
        </w:rPr>
        <w:t>web pages</w:t>
      </w:r>
      <w:r w:rsidRPr="000D6BED">
        <w:rPr>
          <w:color w:val="auto"/>
        </w:rPr>
        <w:t xml:space="preserve"> </w:t>
      </w:r>
      <w:r>
        <w:rPr>
          <w:color w:val="auto"/>
        </w:rPr>
        <w:t xml:space="preserve">related to </w:t>
      </w:r>
      <w:r w:rsidR="00A700F4">
        <w:rPr>
          <w:color w:val="auto"/>
        </w:rPr>
        <w:t>students’</w:t>
      </w:r>
      <w:r>
        <w:rPr>
          <w:color w:val="auto"/>
        </w:rPr>
        <w:t xml:space="preserve"> future satisfaction of their</w:t>
      </w:r>
      <w:r w:rsidRPr="000D6BED">
        <w:rPr>
          <w:color w:val="auto"/>
        </w:rPr>
        <w:t xml:space="preserve"> learning experience?</w:t>
      </w:r>
    </w:p>
    <w:p w14:paraId="2A16FB13" w14:textId="77777777" w:rsidR="00A101B9" w:rsidRDefault="00A101B9" w:rsidP="00C350DF">
      <w:pPr>
        <w:pStyle w:val="Heading2"/>
      </w:pPr>
      <w:r>
        <w:t>Conceptual Framework</w:t>
      </w:r>
    </w:p>
    <w:p w14:paraId="4EAACA83" w14:textId="47AB49ED" w:rsidR="00A101B9" w:rsidRDefault="00A101B9" w:rsidP="00C350DF">
      <w:pPr>
        <w:pStyle w:val="Paragraph"/>
      </w:pPr>
      <w:r>
        <w:t xml:space="preserve">We frame this study within the concept of </w:t>
      </w:r>
      <w:r w:rsidRPr="00EE333A">
        <w:rPr>
          <w:noProof/>
        </w:rPr>
        <w:t>information</w:t>
      </w:r>
      <w:r>
        <w:t xml:space="preserve"> choice theory </w:t>
      </w:r>
      <w:r>
        <w:rPr>
          <w:noProof/>
        </w:rPr>
        <w:t>(Koppl 2012</w:t>
      </w:r>
      <w:r w:rsidR="00C51DE5">
        <w:rPr>
          <w:noProof/>
        </w:rPr>
        <w:t>; 2015</w:t>
      </w:r>
      <w:r>
        <w:rPr>
          <w:noProof/>
        </w:rPr>
        <w:t>)</w:t>
      </w:r>
      <w:r>
        <w:t xml:space="preserve"> which </w:t>
      </w:r>
      <w:r w:rsidR="00BC440B">
        <w:t xml:space="preserve">is a positive theory about experts. In this theory, experts are not objective </w:t>
      </w:r>
      <w:r w:rsidR="00FE32C5">
        <w:t xml:space="preserve">truth seekers </w:t>
      </w:r>
      <w:r w:rsidR="00BC440B">
        <w:t xml:space="preserve">but rather the information or expertise they choose to share is </w:t>
      </w:r>
      <w:r w:rsidR="00BC440B">
        <w:rPr>
          <w:noProof/>
        </w:rPr>
        <w:t xml:space="preserve">value-laden and purposive in order to enhance epistemic outcomes. Information choice theory </w:t>
      </w:r>
      <w:r w:rsidR="00FE32C5">
        <w:rPr>
          <w:noProof/>
        </w:rPr>
        <w:t>has three motivational assumptions, firstly that an</w:t>
      </w:r>
      <w:r w:rsidR="00BC440B">
        <w:rPr>
          <w:noProof/>
        </w:rPr>
        <w:t xml:space="preserve"> expert will provide information that maximises </w:t>
      </w:r>
      <w:r w:rsidR="00FE32C5">
        <w:rPr>
          <w:noProof/>
        </w:rPr>
        <w:t xml:space="preserve">their </w:t>
      </w:r>
      <w:r w:rsidR="00BC440B">
        <w:rPr>
          <w:noProof/>
        </w:rPr>
        <w:t xml:space="preserve">utility, </w:t>
      </w:r>
      <w:r w:rsidR="00FE32C5">
        <w:rPr>
          <w:noProof/>
        </w:rPr>
        <w:t xml:space="preserve">secondly, an expert </w:t>
      </w:r>
      <w:r w:rsidR="00BC440B">
        <w:rPr>
          <w:noProof/>
        </w:rPr>
        <w:t xml:space="preserve">may consciously or unconsiously deviate from the truth and </w:t>
      </w:r>
      <w:r w:rsidR="00FE32C5">
        <w:rPr>
          <w:noProof/>
        </w:rPr>
        <w:t xml:space="preserve">thirdly, an expert </w:t>
      </w:r>
      <w:r w:rsidR="00BC440B">
        <w:rPr>
          <w:noProof/>
        </w:rPr>
        <w:t>ha</w:t>
      </w:r>
      <w:r w:rsidR="00FE32C5">
        <w:rPr>
          <w:noProof/>
        </w:rPr>
        <w:t>s</w:t>
      </w:r>
      <w:r w:rsidR="00BC440B">
        <w:rPr>
          <w:noProof/>
        </w:rPr>
        <w:t xml:space="preserve"> limited </w:t>
      </w:r>
      <w:r w:rsidR="00FE32C5">
        <w:rPr>
          <w:noProof/>
        </w:rPr>
        <w:t xml:space="preserve">and erring </w:t>
      </w:r>
      <w:r w:rsidR="00BC440B">
        <w:rPr>
          <w:noProof/>
        </w:rPr>
        <w:t>cognition</w:t>
      </w:r>
      <w:r w:rsidR="00FE32C5">
        <w:rPr>
          <w:noProof/>
        </w:rPr>
        <w:t>. Therefore,</w:t>
      </w:r>
      <w:r>
        <w:t xml:space="preserve"> HEI marketing experts</w:t>
      </w:r>
      <w:r w:rsidR="00FE32C5">
        <w:t>,</w:t>
      </w:r>
      <w:r>
        <w:t xml:space="preserve"> </w:t>
      </w:r>
      <w:r w:rsidR="00FE32C5">
        <w:t>who are responsible for making</w:t>
      </w:r>
      <w:r>
        <w:t xml:space="preserve"> L&amp;T information</w:t>
      </w:r>
      <w:r w:rsidR="00FE32C5">
        <w:t>,</w:t>
      </w:r>
      <w:r>
        <w:t xml:space="preserve"> </w:t>
      </w:r>
      <w:r w:rsidR="00FE32C5">
        <w:t>will fit these motivational assumptions</w:t>
      </w:r>
      <w:r>
        <w:t xml:space="preserve">. </w:t>
      </w:r>
    </w:p>
    <w:p w14:paraId="0927EFCA" w14:textId="77777777" w:rsidR="00A101B9" w:rsidRPr="00C14FAA" w:rsidRDefault="00A101B9" w:rsidP="00C350DF">
      <w:pPr>
        <w:pStyle w:val="Newparagraph"/>
        <w:jc w:val="center"/>
        <w:rPr>
          <w:i/>
          <w:iCs/>
        </w:rPr>
      </w:pPr>
      <w:r w:rsidRPr="00C14FAA">
        <w:rPr>
          <w:i/>
          <w:iCs/>
        </w:rPr>
        <w:t>(Figure 1 about here)</w:t>
      </w:r>
    </w:p>
    <w:p w14:paraId="5C26D6F2" w14:textId="0027A7E2" w:rsidR="00A101B9" w:rsidRDefault="00A101B9" w:rsidP="00C350DF">
      <w:pPr>
        <w:pStyle w:val="Newparagraph"/>
      </w:pPr>
      <w:r>
        <w:t xml:space="preserve">Considering the student-as-customer rhetoric, information choice theory suggests that HE marketing experts will be motivated to make available L&amp;T information on </w:t>
      </w:r>
      <w:r w:rsidRPr="00EE333A">
        <w:rPr>
          <w:noProof/>
        </w:rPr>
        <w:t>web</w:t>
      </w:r>
      <w:r>
        <w:rPr>
          <w:noProof/>
        </w:rPr>
        <w:t xml:space="preserve"> </w:t>
      </w:r>
      <w:r w:rsidRPr="00EE333A">
        <w:rPr>
          <w:noProof/>
        </w:rPr>
        <w:t>pages</w:t>
      </w:r>
      <w:r>
        <w:t xml:space="preserve"> that represent a positive HEI brand image (see Figure 1) in order to increase their student recruitment </w:t>
      </w:r>
      <w:r>
        <w:rPr>
          <w:noProof/>
        </w:rPr>
        <w:t>(Chapleo</w:t>
      </w:r>
      <w:r w:rsidRPr="00F158C7">
        <w:rPr>
          <w:i/>
          <w:noProof/>
        </w:rPr>
        <w:t xml:space="preserve"> et al.</w:t>
      </w:r>
      <w:r>
        <w:rPr>
          <w:noProof/>
        </w:rPr>
        <w:t xml:space="preserve"> 2011; Polkinghorne</w:t>
      </w:r>
      <w:r w:rsidRPr="00F158C7">
        <w:rPr>
          <w:i/>
          <w:noProof/>
        </w:rPr>
        <w:t xml:space="preserve"> et al.</w:t>
      </w:r>
      <w:r>
        <w:rPr>
          <w:noProof/>
        </w:rPr>
        <w:t xml:space="preserve"> 2017; Authors, 2017)</w:t>
      </w:r>
      <w:r>
        <w:t xml:space="preserve">. For example, HEIs who are known for having good support for learning and contact time are more likely to make that information available on the web, while universities who have less support and less </w:t>
      </w:r>
      <w:r>
        <w:lastRenderedPageBreak/>
        <w:t xml:space="preserve">contact time may not provide it. However, all the available information inevitably is based on the current time period and the extent it relates to the students’ future satisfaction or even the current students’ satisfaction, is uncertain. Therefore, HEI marketing-related experts (such as marketing personnel, programme leaders, faculty deans etc) will use their professional judgement based on students’ current satisfaction to make available the information that persuades the prospective student they will be satisfied with their future student learning experience </w:t>
      </w:r>
      <w:r>
        <w:rPr>
          <w:noProof/>
        </w:rPr>
        <w:t>(Authors, 2017)</w:t>
      </w:r>
      <w:r>
        <w:t xml:space="preserve">. </w:t>
      </w:r>
      <w:r w:rsidR="00C51DE5">
        <w:t xml:space="preserve">Further, the information provided by HEI marketing experts are influenced by what students say they need to have in order to have a better purview of their satisfaction with the learning experience at the HEI </w:t>
      </w:r>
      <w:r w:rsidR="00C51DE5">
        <w:rPr>
          <w:noProof/>
        </w:rPr>
        <w:t>(for example NUS 2012)</w:t>
      </w:r>
      <w:r w:rsidR="00C51DE5">
        <w:t xml:space="preserve">. </w:t>
      </w:r>
      <w:r>
        <w:t xml:space="preserve">However, marketing-related experts are likely to provide asymmetric information, that is, information that does not represent a holistic view of the student learning experience. This means the selection of information by experts, can sometimes lead to information failure </w:t>
      </w:r>
      <w:r>
        <w:rPr>
          <w:noProof/>
        </w:rPr>
        <w:t>(Akerlof 1978; Koppl 2012)</w:t>
      </w:r>
      <w:r>
        <w:t xml:space="preserve">. This is where HEIs marketing experts may exclude and/ or provide superfluous information (that is non-instrumental information) to prospective students which makes it difficult for them to understand their satisfaction with their future student learning experience </w:t>
      </w:r>
      <w:r>
        <w:rPr>
          <w:noProof/>
        </w:rPr>
        <w:t>(Bastardi and Shafir 1998)</w:t>
      </w:r>
      <w:r>
        <w:t>.</w:t>
      </w:r>
      <w:r w:rsidR="00FE32C5" w:rsidRPr="00FE32C5">
        <w:t xml:space="preserve"> </w:t>
      </w:r>
    </w:p>
    <w:p w14:paraId="5910F574" w14:textId="77777777" w:rsidR="00A101B9" w:rsidRDefault="00A101B9" w:rsidP="00C350DF">
      <w:pPr>
        <w:pStyle w:val="Newparagraph"/>
      </w:pPr>
      <w:r>
        <w:t>From Figure 1, two specific research questions are developed:</w:t>
      </w:r>
    </w:p>
    <w:p w14:paraId="7AA5406C" w14:textId="77777777" w:rsidR="00A101B9" w:rsidRPr="00CD45A2" w:rsidRDefault="00A101B9" w:rsidP="00C350DF">
      <w:pPr>
        <w:pStyle w:val="ListParagraph"/>
        <w:numPr>
          <w:ilvl w:val="0"/>
          <w:numId w:val="8"/>
        </w:numPr>
      </w:pPr>
      <w:r>
        <w:t xml:space="preserve">RQ1: Does the availability of online L&amp;T information relate to students’ satisfaction with their current and/or future learning experience? </w:t>
      </w:r>
    </w:p>
    <w:p w14:paraId="30A574E8" w14:textId="77777777" w:rsidR="00A101B9" w:rsidRDefault="00A101B9" w:rsidP="00C350DF">
      <w:pPr>
        <w:pStyle w:val="ListParagraph"/>
        <w:numPr>
          <w:ilvl w:val="0"/>
          <w:numId w:val="8"/>
        </w:numPr>
      </w:pPr>
      <w:r>
        <w:t>RQ2: Following from RQ1, if there is a relationship, is there a positive relationship between the availability of online L&amp;T information and students’ satisfaction with their current and/ or future learning experience?</w:t>
      </w:r>
    </w:p>
    <w:p w14:paraId="5682C3EB" w14:textId="77777777" w:rsidR="00A101B9" w:rsidRDefault="00A101B9" w:rsidP="00C350DF">
      <w:pPr>
        <w:spacing w:line="240" w:lineRule="auto"/>
        <w:rPr>
          <w:rFonts w:asciiTheme="majorHAnsi" w:hAnsiTheme="majorHAnsi"/>
          <w:sz w:val="20"/>
          <w:szCs w:val="20"/>
        </w:rPr>
        <w:sectPr w:rsidR="00A101B9" w:rsidSect="00C350DF">
          <w:pgSz w:w="11906" w:h="16838"/>
          <w:pgMar w:top="1440" w:right="1440" w:bottom="1440" w:left="1440" w:header="708" w:footer="708" w:gutter="0"/>
          <w:cols w:space="708"/>
          <w:docGrid w:linePitch="360"/>
        </w:sectPr>
      </w:pPr>
    </w:p>
    <w:p w14:paraId="71A2EDD4" w14:textId="296114DC" w:rsidR="00A101B9" w:rsidRDefault="00A101B9" w:rsidP="00C350DF">
      <w:pPr>
        <w:pStyle w:val="Newparagraph"/>
      </w:pPr>
      <w:r>
        <w:lastRenderedPageBreak/>
        <w:t xml:space="preserve">Using these research questions, the model in </w:t>
      </w:r>
      <w:r>
        <w:fldChar w:fldCharType="begin"/>
      </w:r>
      <w:r>
        <w:instrText xml:space="preserve"> REF _Ref27263313 \h </w:instrText>
      </w:r>
      <w:r>
        <w:fldChar w:fldCharType="separate"/>
      </w:r>
      <w:r w:rsidR="00137FF1">
        <w:t xml:space="preserve">Figure </w:t>
      </w:r>
      <w:r w:rsidR="00137FF1">
        <w:rPr>
          <w:noProof/>
        </w:rPr>
        <w:t>2</w:t>
      </w:r>
      <w:r>
        <w:fldChar w:fldCharType="end"/>
      </w:r>
      <w:r>
        <w:t xml:space="preserve"> will be tested. L&amp;T information selected by marketing experts can be</w:t>
      </w:r>
      <w:r w:rsidRPr="00D84812">
        <w:t xml:space="preserve"> influenced by government polic</w:t>
      </w:r>
      <w:r>
        <w:t xml:space="preserve">ies which makes cross-country comparisons of information difficult. Hence, for this study, a single country case study of </w:t>
      </w:r>
      <w:r w:rsidRPr="00D84812">
        <w:t xml:space="preserve">UK HEIs </w:t>
      </w:r>
      <w:r>
        <w:t>is used. T</w:t>
      </w:r>
      <w:r w:rsidRPr="008A4D21">
        <w:t>he next section provide</w:t>
      </w:r>
      <w:r>
        <w:t xml:space="preserve">s a brief overview of the UK context focussing particularly on the influence of </w:t>
      </w:r>
      <w:r w:rsidRPr="008A4D21">
        <w:t>gove</w:t>
      </w:r>
      <w:r>
        <w:t xml:space="preserve">rnment drivers on the </w:t>
      </w:r>
      <w:r>
        <w:rPr>
          <w:noProof/>
        </w:rPr>
        <w:t>availability of information</w:t>
      </w:r>
      <w:r>
        <w:t xml:space="preserve"> by </w:t>
      </w:r>
      <w:r w:rsidRPr="008A4D21">
        <w:t>UK HEIs</w:t>
      </w:r>
      <w:r>
        <w:t xml:space="preserve"> marketing experts</w:t>
      </w:r>
      <w:r w:rsidRPr="008A4D21">
        <w:t xml:space="preserve">. </w:t>
      </w:r>
    </w:p>
    <w:p w14:paraId="128AC798" w14:textId="77777777" w:rsidR="00A101B9" w:rsidRPr="002A5B9B" w:rsidRDefault="00A101B9" w:rsidP="00C350DF">
      <w:pPr>
        <w:pStyle w:val="Newparagraph"/>
        <w:jc w:val="center"/>
      </w:pPr>
      <w:r>
        <w:t>(</w:t>
      </w:r>
      <w:r w:rsidRPr="00C07693">
        <w:rPr>
          <w:i/>
        </w:rPr>
        <w:t>Figure 2 about here</w:t>
      </w:r>
      <w:r>
        <w:t>)</w:t>
      </w:r>
    </w:p>
    <w:p w14:paraId="7117C325" w14:textId="77777777" w:rsidR="00A101B9" w:rsidRPr="004E49E5" w:rsidRDefault="00A101B9" w:rsidP="00C350DF">
      <w:pPr>
        <w:pStyle w:val="Heading2"/>
      </w:pPr>
      <w:r w:rsidRPr="004E49E5">
        <w:t>The UK Context</w:t>
      </w:r>
    </w:p>
    <w:p w14:paraId="37A653BC" w14:textId="77777777" w:rsidR="00A101B9" w:rsidRDefault="00A101B9" w:rsidP="00C350DF">
      <w:pPr>
        <w:pStyle w:val="Paragraph"/>
      </w:pPr>
      <w:r>
        <w:t>I</w:t>
      </w:r>
      <w:r w:rsidRPr="00D30740">
        <w:t xml:space="preserve">n 2010, </w:t>
      </w:r>
      <w:r>
        <w:t xml:space="preserve">after the massification of the UK HE sector, an </w:t>
      </w:r>
      <w:r w:rsidRPr="00D30740">
        <w:t xml:space="preserve">independent </w:t>
      </w:r>
      <w:r>
        <w:t xml:space="preserve">review chaired by Lord Browne of </w:t>
      </w:r>
      <w:proofErr w:type="spellStart"/>
      <w:r>
        <w:t>Madingley</w:t>
      </w:r>
      <w:proofErr w:type="spellEnd"/>
      <w:r>
        <w:t xml:space="preserve"> </w:t>
      </w:r>
      <w:r>
        <w:rPr>
          <w:noProof/>
        </w:rPr>
        <w:t>(Browne</w:t>
      </w:r>
      <w:r w:rsidRPr="007D5236">
        <w:rPr>
          <w:i/>
          <w:noProof/>
        </w:rPr>
        <w:t xml:space="preserve"> et al.</w:t>
      </w:r>
      <w:r>
        <w:rPr>
          <w:noProof/>
        </w:rPr>
        <w:t xml:space="preserve"> 2010)</w:t>
      </w:r>
      <w:r>
        <w:t xml:space="preserve"> recommended radical reforms in the UK HEI funding system whereby undergraduates could be charged up to £9000 per annum, an increase of £6000 </w:t>
      </w:r>
      <w:r>
        <w:rPr>
          <w:noProof/>
        </w:rPr>
        <w:t>(McCaig 2010)</w:t>
      </w:r>
      <w:r>
        <w:t xml:space="preserve">. Considering the steep increase in </w:t>
      </w:r>
      <w:r w:rsidRPr="00EE333A">
        <w:rPr>
          <w:noProof/>
        </w:rPr>
        <w:t>financial</w:t>
      </w:r>
      <w:r>
        <w:t xml:space="preserve"> commitment, the review also emphasised the need for HEIs to provide comprehensive information to prospective students to enable informed decision-making </w:t>
      </w:r>
      <w:r>
        <w:rPr>
          <w:noProof/>
        </w:rPr>
        <w:t>(Sheridan and Simpson 2014)</w:t>
      </w:r>
      <w:r>
        <w:t>. The</w:t>
      </w:r>
      <w:r w:rsidRPr="00C5049C">
        <w:t xml:space="preserve"> Government also emphasised the requirement for </w:t>
      </w:r>
      <w:r w:rsidR="00A700F4">
        <w:t xml:space="preserve">the </w:t>
      </w:r>
      <w:r w:rsidRPr="00C5049C">
        <w:t xml:space="preserve">responsiveness of the HEIs to </w:t>
      </w:r>
      <w:r>
        <w:t xml:space="preserve">meet </w:t>
      </w:r>
      <w:r w:rsidRPr="00C5049C">
        <w:t>the information needs of</w:t>
      </w:r>
      <w:r>
        <w:t xml:space="preserve"> all its </w:t>
      </w:r>
      <w:r w:rsidRPr="00C5049C">
        <w:t xml:space="preserve">students </w:t>
      </w:r>
      <w:r>
        <w:rPr>
          <w:noProof/>
        </w:rPr>
        <w:t>(BIS 2011)</w:t>
      </w:r>
      <w:r w:rsidRPr="00C5049C">
        <w:t xml:space="preserve">. </w:t>
      </w:r>
      <w:r>
        <w:t>The mass</w:t>
      </w:r>
      <w:r w:rsidRPr="00C5049C">
        <w:t>ificat</w:t>
      </w:r>
      <w:r>
        <w:t xml:space="preserve">ion of the UK HE coupled with increasing financial commitments, consequent directives from government bodies and the need to avoid </w:t>
      </w:r>
      <w:r>
        <w:rPr>
          <w:rFonts w:cs="Times"/>
        </w:rPr>
        <w:t xml:space="preserve">penalisation by the UK Competitions and Marketing Authority (CMA) </w:t>
      </w:r>
      <w:r>
        <w:t>ha</w:t>
      </w:r>
      <w:r w:rsidR="00A700F4">
        <w:t>s</w:t>
      </w:r>
      <w:r>
        <w:t xml:space="preserve"> created an unprecedented need for the HEIs to prioritise making available appropriate and accurate information to the diverse prospective student body</w:t>
      </w:r>
      <w:r>
        <w:rPr>
          <w:rFonts w:cs="Times"/>
        </w:rPr>
        <w:t>.</w:t>
      </w:r>
    </w:p>
    <w:p w14:paraId="02E71F5A" w14:textId="77777777" w:rsidR="00A101B9" w:rsidRPr="003C328E" w:rsidRDefault="00A101B9" w:rsidP="00C350DF">
      <w:pPr>
        <w:pStyle w:val="Newparagraph"/>
      </w:pPr>
      <w:r>
        <w:t xml:space="preserve">Considering these drivers and the Browne review, </w:t>
      </w:r>
      <w:r w:rsidRPr="001C38AB">
        <w:t xml:space="preserve">the </w:t>
      </w:r>
      <w:r w:rsidRPr="006F47A4">
        <w:rPr>
          <w:noProof/>
        </w:rPr>
        <w:t>now</w:t>
      </w:r>
      <w:r>
        <w:rPr>
          <w:noProof/>
        </w:rPr>
        <w:t>-</w:t>
      </w:r>
      <w:r w:rsidRPr="006F47A4">
        <w:rPr>
          <w:noProof/>
        </w:rPr>
        <w:t>defunct</w:t>
      </w:r>
      <w:r>
        <w:t xml:space="preserve"> </w:t>
      </w:r>
      <w:r w:rsidRPr="001C38AB">
        <w:t>Higher Education Funding Council for England</w:t>
      </w:r>
      <w:r>
        <w:t xml:space="preserve"> (HEFCE)</w:t>
      </w:r>
      <w:r w:rsidRPr="001C38AB">
        <w:t xml:space="preserve"> </w:t>
      </w:r>
      <w:r>
        <w:t xml:space="preserve">prescribed that all HEIs provide </w:t>
      </w:r>
      <w:r w:rsidRPr="001C38AB">
        <w:t>comparable standardised information</w:t>
      </w:r>
      <w:r>
        <w:t>, referred to as</w:t>
      </w:r>
      <w:r w:rsidRPr="001C38AB">
        <w:t xml:space="preserve"> </w:t>
      </w:r>
      <w:r>
        <w:t>t</w:t>
      </w:r>
      <w:r w:rsidRPr="001C38AB">
        <w:t xml:space="preserve">he </w:t>
      </w:r>
      <w:r>
        <w:t>‘</w:t>
      </w:r>
      <w:r w:rsidRPr="001C38AB">
        <w:t xml:space="preserve">Key </w:t>
      </w:r>
      <w:r>
        <w:t>I</w:t>
      </w:r>
      <w:r w:rsidRPr="001C38AB">
        <w:t xml:space="preserve">nformation </w:t>
      </w:r>
      <w:r>
        <w:t>S</w:t>
      </w:r>
      <w:r w:rsidRPr="001C38AB">
        <w:t>et</w:t>
      </w:r>
      <w:r>
        <w:t xml:space="preserve">’ (KIS), </w:t>
      </w:r>
      <w:r>
        <w:lastRenderedPageBreak/>
        <w:t xml:space="preserve">on their websites based on statistics collected by the UK Government </w:t>
      </w:r>
      <w:r>
        <w:rPr>
          <w:noProof/>
        </w:rPr>
        <w:t>(HEFCE 2012)</w:t>
      </w:r>
      <w:r>
        <w:t>. KIS is</w:t>
      </w:r>
      <w:r w:rsidRPr="001C38AB">
        <w:t xml:space="preserve"> </w:t>
      </w:r>
      <w:r>
        <w:t>intended to help</w:t>
      </w:r>
      <w:r w:rsidRPr="001C38AB">
        <w:t xml:space="preserve"> prospective</w:t>
      </w:r>
      <w:r>
        <w:t xml:space="preserve"> undergraduate</w:t>
      </w:r>
      <w:r w:rsidRPr="001C38AB">
        <w:t xml:space="preserve"> students to make informed HE choices</w:t>
      </w:r>
      <w:r>
        <w:t xml:space="preserve"> </w:t>
      </w:r>
      <w:r>
        <w:rPr>
          <w:noProof/>
        </w:rPr>
        <w:t>(Renfrew</w:t>
      </w:r>
      <w:r w:rsidRPr="007D5236">
        <w:rPr>
          <w:i/>
          <w:noProof/>
        </w:rPr>
        <w:t xml:space="preserve"> et al.</w:t>
      </w:r>
      <w:r>
        <w:rPr>
          <w:noProof/>
        </w:rPr>
        <w:t xml:space="preserve"> 2010)</w:t>
      </w:r>
      <w:r w:rsidRPr="001C38AB">
        <w:t>.</w:t>
      </w:r>
      <w:r>
        <w:t xml:space="preserve"> KIS covers a wide range of information including data on employment, learning and teaching methods, assessments etc. for each degree programme at each HEI. T</w:t>
      </w:r>
      <w:r w:rsidRPr="001C38AB">
        <w:t xml:space="preserve">hough KIS provides </w:t>
      </w:r>
      <w:r>
        <w:t xml:space="preserve">prospective </w:t>
      </w:r>
      <w:r w:rsidRPr="001C38AB">
        <w:t>stu</w:t>
      </w:r>
      <w:r>
        <w:t xml:space="preserve">dents with valuable </w:t>
      </w:r>
      <w:r w:rsidRPr="00F53326">
        <w:t xml:space="preserve">information on </w:t>
      </w:r>
      <w:r>
        <w:t>the university experience</w:t>
      </w:r>
      <w:r w:rsidRPr="00F53326">
        <w:t xml:space="preserve">, not all </w:t>
      </w:r>
      <w:r>
        <w:t xml:space="preserve">the </w:t>
      </w:r>
      <w:r w:rsidRPr="00F53326">
        <w:t xml:space="preserve">information that </w:t>
      </w:r>
      <w:r>
        <w:t>prospective</w:t>
      </w:r>
      <w:r w:rsidRPr="00F53326">
        <w:t xml:space="preserve"> students need</w:t>
      </w:r>
      <w:r>
        <w:t xml:space="preserve"> for their decision-making process</w:t>
      </w:r>
      <w:r w:rsidRPr="00F53326">
        <w:t xml:space="preserve"> can be presented on a comparable basis th</w:t>
      </w:r>
      <w:r w:rsidRPr="00632EF0">
        <w:t xml:space="preserve">at may fit the KIS model </w:t>
      </w:r>
      <w:r>
        <w:rPr>
          <w:noProof/>
        </w:rPr>
        <w:t>(DELNI</w:t>
      </w:r>
      <w:r w:rsidRPr="007D5236">
        <w:rPr>
          <w:i/>
          <w:noProof/>
        </w:rPr>
        <w:t xml:space="preserve"> et al.</w:t>
      </w:r>
      <w:r>
        <w:rPr>
          <w:noProof/>
        </w:rPr>
        <w:t xml:space="preserve"> 2015)</w:t>
      </w:r>
      <w:r w:rsidRPr="00632EF0">
        <w:t>. Further, the KIS data does not present all the</w:t>
      </w:r>
      <w:r>
        <w:t xml:space="preserve"> L&amp;T </w:t>
      </w:r>
      <w:r w:rsidRPr="00632EF0">
        <w:t xml:space="preserve">information that prospective students </w:t>
      </w:r>
      <w:r>
        <w:t xml:space="preserve">perceive as necessary </w:t>
      </w:r>
      <w:r>
        <w:rPr>
          <w:noProof/>
        </w:rPr>
        <w:t>(see QAA 2013a; b; c)</w:t>
      </w:r>
      <w:r>
        <w:t xml:space="preserve"> even though L&amp;T information</w:t>
      </w:r>
      <w:r w:rsidRPr="00632EF0">
        <w:t xml:space="preserve"> is one of the key aspects that students consider in their decision</w:t>
      </w:r>
      <w:r>
        <w:t>-</w:t>
      </w:r>
      <w:r w:rsidRPr="00632EF0">
        <w:t xml:space="preserve">making </w:t>
      </w:r>
      <w:r>
        <w:rPr>
          <w:noProof/>
        </w:rPr>
        <w:t>(Burge</w:t>
      </w:r>
      <w:r w:rsidRPr="007D5236">
        <w:rPr>
          <w:i/>
          <w:noProof/>
        </w:rPr>
        <w:t xml:space="preserve"> et al.</w:t>
      </w:r>
      <w:r>
        <w:rPr>
          <w:noProof/>
        </w:rPr>
        <w:t xml:space="preserve"> 2014; DELNI</w:t>
      </w:r>
      <w:r w:rsidRPr="007D5236">
        <w:rPr>
          <w:i/>
          <w:noProof/>
        </w:rPr>
        <w:t xml:space="preserve"> et al.</w:t>
      </w:r>
      <w:r>
        <w:rPr>
          <w:noProof/>
        </w:rPr>
        <w:t xml:space="preserve"> 2015; Gibbs 2010; Veloutsou</w:t>
      </w:r>
      <w:r w:rsidRPr="007D5236">
        <w:rPr>
          <w:i/>
          <w:noProof/>
        </w:rPr>
        <w:t xml:space="preserve"> et al.</w:t>
      </w:r>
      <w:r>
        <w:rPr>
          <w:noProof/>
        </w:rPr>
        <w:t xml:space="preserve"> 2004)</w:t>
      </w:r>
      <w:r w:rsidRPr="00D30740">
        <w:t xml:space="preserve">. </w:t>
      </w:r>
      <w:r>
        <w:t>In</w:t>
      </w:r>
      <w:r w:rsidRPr="00632EF0">
        <w:t xml:space="preserve"> view of the limitations of the information provided by KIS, </w:t>
      </w:r>
      <w:r>
        <w:t>HEIs’ marketing-related experts use their own discretion on the additional L&amp;T information</w:t>
      </w:r>
      <w:r w:rsidRPr="00632EF0">
        <w:t xml:space="preserve"> </w:t>
      </w:r>
      <w:r>
        <w:t xml:space="preserve">they make available on degree programme </w:t>
      </w:r>
      <w:r w:rsidRPr="00632EF0">
        <w:t xml:space="preserve">websites </w:t>
      </w:r>
      <w:r>
        <w:t xml:space="preserve">to </w:t>
      </w:r>
      <w:r w:rsidRPr="00632EF0">
        <w:t>attract prospective students.</w:t>
      </w:r>
      <w:r w:rsidRPr="00D30740">
        <w:t xml:space="preserve"> </w:t>
      </w:r>
    </w:p>
    <w:p w14:paraId="77AA812E" w14:textId="77777777" w:rsidR="00A101B9" w:rsidRPr="00DF0A9A" w:rsidRDefault="00A101B9" w:rsidP="00C350DF">
      <w:pPr>
        <w:pStyle w:val="Heading1"/>
      </w:pPr>
      <w:r>
        <w:t>Methods</w:t>
      </w:r>
    </w:p>
    <w:p w14:paraId="632AB879" w14:textId="77777777" w:rsidR="00A101B9" w:rsidRDefault="00A101B9" w:rsidP="00C350DF">
      <w:pPr>
        <w:pStyle w:val="Paragraph"/>
      </w:pPr>
      <w:r>
        <w:t xml:space="preserve">To answer the two specific research questions, this study utilises a secondary data analysis approach using a single country case study. Secondary data analysis is a method that uses existing data for answering research questions. Two sets of secondary data were used. The first set of secondary data was drawn from a Quality Assurance Agency (QAA) commissioned study undertaken in May-June of 2015, which surveyed the L&amp;T information of 38 university websites </w:t>
      </w:r>
      <w:r>
        <w:rPr>
          <w:noProof/>
        </w:rPr>
        <w:t>(Hosein and Rao 2015)</w:t>
      </w:r>
      <w:r>
        <w:t xml:space="preserve">. The second set of data uses a longitudinal cross-sectional data drawn from the National Student Survey (NSS). The NSS measures final year undergraduate students’ </w:t>
      </w:r>
      <w:r>
        <w:lastRenderedPageBreak/>
        <w:t xml:space="preserve">satisfaction </w:t>
      </w:r>
      <w:r w:rsidR="00A700F4">
        <w:t>with</w:t>
      </w:r>
      <w:r>
        <w:t xml:space="preserve"> their perceived learning experience for each university across the UK. Whilst it does not track each individual student, the large sample size provides an average satisfaction of students in each university</w:t>
      </w:r>
    </w:p>
    <w:p w14:paraId="78F3E6F9" w14:textId="77777777" w:rsidR="00A101B9" w:rsidRDefault="00A101B9" w:rsidP="00C350DF">
      <w:pPr>
        <w:pStyle w:val="Newparagraph"/>
      </w:pPr>
      <w:r>
        <w:t>The sample size for this study was determined by the QAA study and the NSS results. In 2019, two HEIs from the original 38 universities in the QAA study did not take part in the NSS survey and hence, the final sample size was 36 HEIs. The QAA study and the NSS data are now briefly explained.</w:t>
      </w:r>
    </w:p>
    <w:p w14:paraId="3FF0E9AD" w14:textId="77777777" w:rsidR="00A101B9" w:rsidRDefault="00A101B9" w:rsidP="00C350DF">
      <w:pPr>
        <w:pStyle w:val="Heading2"/>
      </w:pPr>
      <w:r>
        <w:t>The QAA study: Students’ Choice of Information and Website Presence</w:t>
      </w:r>
    </w:p>
    <w:p w14:paraId="18415835" w14:textId="77777777" w:rsidR="00A101B9" w:rsidRDefault="00A101B9" w:rsidP="00C350DF">
      <w:pPr>
        <w:pStyle w:val="Paragraph"/>
      </w:pPr>
      <w:r>
        <w:t xml:space="preserve">In the QAA study, a stratified random sample of all HEIs within the UK was used. The sample was stratified by the size of the HEI and the overall student satisfaction based on the NSS. </w:t>
      </w:r>
      <w:r w:rsidR="00A700F4">
        <w:t>Chi-S</w:t>
      </w:r>
      <w:r>
        <w:t xml:space="preserve">quare analysis showed that the distribution of the stratified random sampling of the 38 universities </w:t>
      </w:r>
      <w:r w:rsidRPr="006F47A4">
        <w:rPr>
          <w:noProof/>
        </w:rPr>
        <w:t>w</w:t>
      </w:r>
      <w:r>
        <w:rPr>
          <w:noProof/>
        </w:rPr>
        <w:t>as</w:t>
      </w:r>
      <w:r>
        <w:t xml:space="preserve"> representative of the 136 UK HEIs </w:t>
      </w:r>
      <w:r>
        <w:rPr>
          <w:noProof/>
        </w:rPr>
        <w:t>(see Hosein and Rao 2015 for further information on the selection and randomisation procedure)</w:t>
      </w:r>
      <w:r>
        <w:t>. The presence of L&amp;T information on university websites</w:t>
      </w:r>
      <w:r>
        <w:rPr>
          <w:rFonts w:cs="Times"/>
        </w:rPr>
        <w:t xml:space="preserve"> (that did not form part of the mandatory information provided by KIS)</w:t>
      </w:r>
      <w:r>
        <w:t xml:space="preserve"> </w:t>
      </w:r>
      <w:r w:rsidRPr="006F47A4">
        <w:rPr>
          <w:noProof/>
        </w:rPr>
        <w:t>w</w:t>
      </w:r>
      <w:r>
        <w:rPr>
          <w:noProof/>
        </w:rPr>
        <w:t>as</w:t>
      </w:r>
      <w:r>
        <w:t xml:space="preserve"> collected on a project commissioned by the UK </w:t>
      </w:r>
      <w:r>
        <w:rPr>
          <w:rFonts w:cs="Times"/>
        </w:rPr>
        <w:t xml:space="preserve">Quality Assurance Agency (QAA) </w:t>
      </w:r>
      <w:r>
        <w:rPr>
          <w:rFonts w:cs="Times"/>
          <w:noProof/>
        </w:rPr>
        <w:t>(see Hosein and Rao 2015)</w:t>
      </w:r>
      <w:r>
        <w:t xml:space="preserve">. This L&amp;T information </w:t>
      </w:r>
      <w:r w:rsidRPr="00EE333A">
        <w:rPr>
          <w:noProof/>
        </w:rPr>
        <w:t>w</w:t>
      </w:r>
      <w:r>
        <w:rPr>
          <w:noProof/>
        </w:rPr>
        <w:t>as</w:t>
      </w:r>
      <w:r>
        <w:t xml:space="preserve"> based on three documents published by the QAA that gave guidance on providing information for students on </w:t>
      </w:r>
      <w:r w:rsidRPr="0020279F">
        <w:t>teach</w:t>
      </w:r>
      <w:r>
        <w:t xml:space="preserve">ing qualifications, class size and </w:t>
      </w:r>
      <w:r w:rsidRPr="0020279F">
        <w:t>student workload</w:t>
      </w:r>
      <w:r>
        <w:t xml:space="preserve"> </w:t>
      </w:r>
      <w:r>
        <w:rPr>
          <w:noProof/>
        </w:rPr>
        <w:t>(see QAA 2013a; b; c)</w:t>
      </w:r>
      <w:r>
        <w:t xml:space="preserve">. These documents were informed by and represented students’ views and were based on national student surveys such as from the National Union of Students (NUS) and HEFCE as well as QAA reviews of institutions. </w:t>
      </w:r>
    </w:p>
    <w:p w14:paraId="1DE1B23D" w14:textId="77777777" w:rsidR="00A101B9" w:rsidRDefault="00A101B9" w:rsidP="00C350DF">
      <w:pPr>
        <w:pStyle w:val="Newparagraph"/>
      </w:pPr>
      <w:r>
        <w:t xml:space="preserve">Each document provided several student-informed recommendations on the type of information that HEIs should provide for each degree programme for </w:t>
      </w:r>
      <w:r>
        <w:lastRenderedPageBreak/>
        <w:t xml:space="preserve">prospective students. These recommendations were open-coded into fifteen discipline-specific L&amp;T information variables (see Table 1 and Appendix 1). An undergraduate student, who represented a prospective student, searched the 38 HEIs’ websites across </w:t>
      </w:r>
      <w:r w:rsidRPr="00EE333A">
        <w:rPr>
          <w:noProof/>
        </w:rPr>
        <w:t>two degree</w:t>
      </w:r>
      <w:r>
        <w:t xml:space="preserve"> programmes (Sociology and Biological Sciences) for 30 minutes each looking for the fifteen L&amp;T information variables </w:t>
      </w:r>
      <w:r>
        <w:rPr>
          <w:noProof/>
        </w:rPr>
        <w:t>(see Hosein and Rao 2015 for more details)</w:t>
      </w:r>
      <w:r>
        <w:t xml:space="preserve">. The student’s </w:t>
      </w:r>
      <w:proofErr w:type="spellStart"/>
      <w:r>
        <w:t>codings</w:t>
      </w:r>
      <w:proofErr w:type="spellEnd"/>
      <w:r>
        <w:t xml:space="preserve"> were corroborated with the researchers using two test HEIs </w:t>
      </w:r>
      <w:r>
        <w:rPr>
          <w:noProof/>
        </w:rPr>
        <w:t>(see Hosein and Rao 2015 for more details)</w:t>
      </w:r>
      <w:r>
        <w:t xml:space="preserve">. The </w:t>
      </w:r>
      <w:r w:rsidRPr="00EE333A">
        <w:rPr>
          <w:noProof/>
        </w:rPr>
        <w:t>two degree</w:t>
      </w:r>
      <w:r>
        <w:t xml:space="preserve"> programmes were selected </w:t>
      </w:r>
      <w:r w:rsidRPr="00EE333A">
        <w:rPr>
          <w:noProof/>
        </w:rPr>
        <w:t>firstly</w:t>
      </w:r>
      <w:r>
        <w:t xml:space="preserve"> because they were both common degree programmes across all HEIs which meant the data across HEIs were comparable. Secondly, they represented two of the major disciplines (Social Sciences and STEM) for which students may have different information needs.</w:t>
      </w:r>
    </w:p>
    <w:p w14:paraId="767F7E7C" w14:textId="77777777" w:rsidR="00A101B9" w:rsidRDefault="00A101B9" w:rsidP="00C350DF">
      <w:pPr>
        <w:pStyle w:val="Newparagraph"/>
        <w:jc w:val="center"/>
      </w:pPr>
      <w:r>
        <w:t>(</w:t>
      </w:r>
      <w:r w:rsidRPr="00C14FAA">
        <w:rPr>
          <w:i/>
          <w:iCs/>
        </w:rPr>
        <w:t>Table 1 about here</w:t>
      </w:r>
      <w:r>
        <w:t>)</w:t>
      </w:r>
    </w:p>
    <w:p w14:paraId="14246152" w14:textId="77777777" w:rsidR="00A101B9" w:rsidRDefault="00A101B9" w:rsidP="00C350DF">
      <w:pPr>
        <w:pStyle w:val="Newparagraph"/>
      </w:pPr>
    </w:p>
    <w:p w14:paraId="52B64D72" w14:textId="77777777" w:rsidR="00A101B9" w:rsidRPr="00337CEA" w:rsidRDefault="00A101B9" w:rsidP="00C350DF">
      <w:pPr>
        <w:pStyle w:val="Newparagraph"/>
        <w:rPr>
          <w:i/>
        </w:rPr>
      </w:pPr>
      <w:r>
        <w:t xml:space="preserve"> If an information variable was available for each degree programme, it was coded 1, and if it was not available, it was coded as 0. </w:t>
      </w:r>
      <w:r>
        <w:rPr>
          <w:noProof/>
        </w:rPr>
        <w:t>Hosein and Rao (2015)</w:t>
      </w:r>
      <w:r>
        <w:t xml:space="preserve"> noted that except for two variables, the availability of information across the two degree programmes were similar at universities possibly due to a marketing policy. Hence, an average of the frequency of the information variables across both degree programmes was used to represent the average availability of that information variable at each HEI. The accuracy of the search was cross-corroborated with interviews from personnel in eight HEIs </w:t>
      </w:r>
      <w:r>
        <w:rPr>
          <w:noProof/>
        </w:rPr>
        <w:t>(Rao and Hosein 2017)</w:t>
      </w:r>
      <w:r>
        <w:t>. Two HEIs indicated that some of the information that was shown as being coded not available could be found online but it may not be straightforward for prospective students as it required them to download the degree programme validation documents [personal communication with researchers].</w:t>
      </w:r>
    </w:p>
    <w:p w14:paraId="36C5F345" w14:textId="26B0E934" w:rsidR="00A101B9" w:rsidRPr="004E49E5" w:rsidRDefault="00A101B9" w:rsidP="00C350DF">
      <w:pPr>
        <w:pStyle w:val="Heading1"/>
      </w:pPr>
      <w:r>
        <w:lastRenderedPageBreak/>
        <w:t>N</w:t>
      </w:r>
      <w:r w:rsidR="004B4826">
        <w:t xml:space="preserve">ational </w:t>
      </w:r>
      <w:r>
        <w:t>S</w:t>
      </w:r>
      <w:r w:rsidR="004B4826">
        <w:t xml:space="preserve">tudent </w:t>
      </w:r>
      <w:r>
        <w:t>S</w:t>
      </w:r>
      <w:r w:rsidR="004B4826">
        <w:t>urvey (NSS)</w:t>
      </w:r>
      <w:r>
        <w:t xml:space="preserve"> data</w:t>
      </w:r>
    </w:p>
    <w:p w14:paraId="63126446" w14:textId="77777777" w:rsidR="00A101B9" w:rsidRDefault="00A101B9" w:rsidP="00C350DF">
      <w:pPr>
        <w:pStyle w:val="Paragraph"/>
      </w:pPr>
      <w:bookmarkStart w:id="2" w:name="_Toc432791529"/>
      <w:r>
        <w:t>The average NSS scores for the HEI for the 36 HEIs w</w:t>
      </w:r>
      <w:r w:rsidR="00A700F4">
        <w:t>ere</w:t>
      </w:r>
      <w:r>
        <w:t xml:space="preserve"> used. Whilst discipline-aggregated NSS scores could have been used, there were two issues that arose. Firstly, for some HEIs the NSS data was not published for discipline</w:t>
      </w:r>
      <w:r w:rsidR="00A700F4">
        <w:t>s</w:t>
      </w:r>
      <w:r>
        <w:t xml:space="preserve"> if there were less than ten responses and secondly, it was unclear for some HEIs which NSS discipline classification represented the degree programme. Further, </w:t>
      </w:r>
      <w:r>
        <w:rPr>
          <w:noProof/>
        </w:rPr>
        <w:t>Cheng and Marsh (2010)</w:t>
      </w:r>
      <w:r>
        <w:t xml:space="preserve"> in their study on one of the NSS item (item related to overall satisfaction) found that whilst there was variability on this item between disciplines, few disciplines differ significantly from the institution’s average. Also, </w:t>
      </w:r>
      <w:r w:rsidRPr="00D20DE0">
        <w:t>when</w:t>
      </w:r>
      <w:r>
        <w:t xml:space="preserve"> using the discipline classification, they found that disciplines with small numbers had a lack of reliability in measurement unlike when using all the disciplines in the university. Hence, our approach of using the institution’s NSS scores to represent the average student learning experience at the HEI circumvents this issue of reliability as well as it maps on to our approach of using the average availability of L&amp;T information between the two disciplines. </w:t>
      </w:r>
    </w:p>
    <w:p w14:paraId="539DB2D6" w14:textId="77777777" w:rsidR="00A101B9" w:rsidRDefault="00A101B9" w:rsidP="00C350DF">
      <w:pPr>
        <w:pStyle w:val="Newparagraph"/>
      </w:pPr>
      <w:r>
        <w:t xml:space="preserve">This data has a dual purpose. Firstly, the NSS data represents part of the L&amp;T information that prospective students will have access to (such as on HEI websites or league tables) and secondly, and more importantly, it is used as a proxy for measuring satisfaction of student learning experience. </w:t>
      </w:r>
      <w:r w:rsidRPr="003F45BA">
        <w:t xml:space="preserve">NSS data was collected from 2015 to represent the </w:t>
      </w:r>
      <w:r w:rsidRPr="003F45BA">
        <w:rPr>
          <w:i/>
        </w:rPr>
        <w:t>current</w:t>
      </w:r>
      <w:r w:rsidRPr="003F45BA">
        <w:t xml:space="preserve"> satisfaction of the student learning experience, as this data will be </w:t>
      </w:r>
      <w:r>
        <w:t>most closely related</w:t>
      </w:r>
      <w:r w:rsidRPr="003F45BA">
        <w:t xml:space="preserve"> </w:t>
      </w:r>
      <w:r>
        <w:t xml:space="preserve">to </w:t>
      </w:r>
      <w:r w:rsidRPr="003F45BA">
        <w:t>the</w:t>
      </w:r>
      <w:r>
        <w:t xml:space="preserve"> QAA </w:t>
      </w:r>
      <w:r w:rsidRPr="003F45BA">
        <w:t xml:space="preserve">L&amp;T information on websites in 2015. Secondly, we used NSS data from 2019 to represent </w:t>
      </w:r>
      <w:r w:rsidRPr="003F45BA">
        <w:rPr>
          <w:i/>
        </w:rPr>
        <w:t>future</w:t>
      </w:r>
      <w:r w:rsidRPr="003F45BA">
        <w:t xml:space="preserve"> satisfaction with </w:t>
      </w:r>
      <w:r w:rsidR="00A700F4">
        <w:t xml:space="preserve">the </w:t>
      </w:r>
      <w:r w:rsidRPr="003F45BA">
        <w:t xml:space="preserve">student learning experience. This assumes a typical </w:t>
      </w:r>
      <w:r w:rsidRPr="003F45BA">
        <w:rPr>
          <w:noProof/>
        </w:rPr>
        <w:t>three-year</w:t>
      </w:r>
      <w:r w:rsidRPr="003F45BA">
        <w:t xml:space="preserve"> degree programme and that students viewing L&amp;T data in 2015 will be entering university in 2016.</w:t>
      </w:r>
      <w:r>
        <w:t xml:space="preserve">  </w:t>
      </w:r>
    </w:p>
    <w:p w14:paraId="63E29AAD" w14:textId="00E40593" w:rsidR="00A101B9" w:rsidRPr="00E1320C" w:rsidRDefault="00A101B9" w:rsidP="00C350DF">
      <w:pPr>
        <w:pStyle w:val="Heading2"/>
      </w:pPr>
      <w:r>
        <w:lastRenderedPageBreak/>
        <w:t>About the N</w:t>
      </w:r>
      <w:r w:rsidR="004B4826">
        <w:t xml:space="preserve">ational </w:t>
      </w:r>
      <w:r>
        <w:t>S</w:t>
      </w:r>
      <w:r w:rsidR="004B4826">
        <w:t xml:space="preserve">tudent </w:t>
      </w:r>
      <w:r>
        <w:t>S</w:t>
      </w:r>
      <w:r w:rsidR="004B4826">
        <w:t>urvey (NSS)</w:t>
      </w:r>
    </w:p>
    <w:p w14:paraId="0754BE03" w14:textId="77777777" w:rsidR="00A101B9" w:rsidRDefault="00A101B9" w:rsidP="00C350DF">
      <w:pPr>
        <w:pStyle w:val="Paragraph"/>
      </w:pPr>
      <w:r>
        <w:t xml:space="preserve">The original NSS is a validated instrument </w:t>
      </w:r>
      <w:r>
        <w:rPr>
          <w:noProof/>
        </w:rPr>
        <w:t>(see Richardson</w:t>
      </w:r>
      <w:r w:rsidRPr="007D5236">
        <w:rPr>
          <w:i/>
          <w:noProof/>
        </w:rPr>
        <w:t xml:space="preserve"> et al.</w:t>
      </w:r>
      <w:r>
        <w:rPr>
          <w:noProof/>
        </w:rPr>
        <w:t xml:space="preserve"> 2007)</w:t>
      </w:r>
      <w:r>
        <w:t xml:space="preserve"> used annually to ascertain final year undergraduate students’ satisfaction with their student learning experience on their degree programmes using seven scales. It is, therefore, a measurement of the perception of the quality of the student experience. The NSS items are measured on a 5-point Likert scale (from 1 = definitely disagree to 5 = definitely agree)</w:t>
      </w:r>
      <w:r>
        <w:rPr>
          <w:rStyle w:val="FootnoteReference"/>
        </w:rPr>
        <w:footnoteReference w:id="1"/>
      </w:r>
      <w:r>
        <w:t xml:space="preserve">. In 2017, the NSS was modified with some scales and items being removed or added </w:t>
      </w:r>
      <w:r>
        <w:rPr>
          <w:noProof/>
        </w:rPr>
        <w:t>(HEFCE 2016)</w:t>
      </w:r>
      <w:r>
        <w:t>. Hence, the 2015 and 2019 NSS scales and items were matched based on similarity. There were five scales and items that were similar for the 2015 and 2019 NSS: Teaching on my course (NSSTC, 3 items); Assessment and Feedback (NSSAF, 4 items); Academic Support (</w:t>
      </w:r>
      <w:r w:rsidRPr="00EE333A">
        <w:rPr>
          <w:noProof/>
        </w:rPr>
        <w:t>NSSAS</w:t>
      </w:r>
      <w:r>
        <w:t>, 3 items); Organisation and Management (</w:t>
      </w:r>
      <w:proofErr w:type="spellStart"/>
      <w:r>
        <w:t>NSSOrg</w:t>
      </w:r>
      <w:proofErr w:type="spellEnd"/>
      <w:r>
        <w:t>, 3 items); and Overall Satisfaction (</w:t>
      </w:r>
      <w:proofErr w:type="spellStart"/>
      <w:r>
        <w:t>NSSOverall</w:t>
      </w:r>
      <w:proofErr w:type="spellEnd"/>
      <w:r>
        <w:t xml:space="preserve">, 1 item). Both 2019 NSSTC and 2015 NSSAF had a reduced set of items but they had good correlation with their original scales (r ≥ 0.98). </w:t>
      </w:r>
    </w:p>
    <w:p w14:paraId="590A206D" w14:textId="77777777" w:rsidR="00A101B9" w:rsidRDefault="00A101B9" w:rsidP="00C350DF">
      <w:pPr>
        <w:pStyle w:val="Newparagraph"/>
      </w:pPr>
      <w:proofErr w:type="spellStart"/>
      <w:r>
        <w:lastRenderedPageBreak/>
        <w:t>NSSOverall</w:t>
      </w:r>
      <w:proofErr w:type="spellEnd"/>
      <w:r>
        <w:t xml:space="preserve"> item has been criticised for its appropriateness to measure overall students’ satisfaction </w:t>
      </w:r>
      <w:r>
        <w:rPr>
          <w:noProof/>
        </w:rPr>
        <w:t>(see for example Canning 2015)</w:t>
      </w:r>
      <w:r>
        <w:t xml:space="preserve">, however, </w:t>
      </w:r>
      <w:r>
        <w:rPr>
          <w:noProof/>
        </w:rPr>
        <w:t>Richardson</w:t>
      </w:r>
      <w:r w:rsidRPr="007D5236">
        <w:rPr>
          <w:i/>
          <w:noProof/>
        </w:rPr>
        <w:t xml:space="preserve"> et al.</w:t>
      </w:r>
      <w:r>
        <w:rPr>
          <w:noProof/>
        </w:rPr>
        <w:t xml:space="preserve"> (2007)</w:t>
      </w:r>
      <w:r>
        <w:t xml:space="preserve"> found a good correlation between this variable and the other student satisfaction variables as well as fair to good reliability for the pilot scales in the original NSS (Cronbach alpha 0.63 to 0.88). Further, for the newer NSS survey which was used in 2018, </w:t>
      </w:r>
      <w:r>
        <w:rPr>
          <w:noProof/>
        </w:rPr>
        <w:t>HEFCE (2016)</w:t>
      </w:r>
      <w:r>
        <w:t xml:space="preserve"> found good reliability for all scales (</w:t>
      </w:r>
      <w:r w:rsidRPr="000B7011">
        <w:t>Cronbach alpha</w:t>
      </w:r>
      <w:r>
        <w:t xml:space="preserve"> </w:t>
      </w:r>
      <w:r w:rsidRPr="000B7011">
        <w:t>more than 0.7</w:t>
      </w:r>
      <w:r>
        <w:t xml:space="preserve">5). </w:t>
      </w:r>
    </w:p>
    <w:p w14:paraId="748ADD4C" w14:textId="77777777" w:rsidR="00A101B9" w:rsidRDefault="00A101B9" w:rsidP="00C350DF">
      <w:pPr>
        <w:pStyle w:val="Heading2"/>
      </w:pPr>
      <w:r>
        <w:t>Analytical Approach</w:t>
      </w:r>
    </w:p>
    <w:p w14:paraId="0E589570" w14:textId="20C4F9AF" w:rsidR="00A101B9" w:rsidRDefault="00A101B9" w:rsidP="005C4C00">
      <w:pPr>
        <w:pStyle w:val="Paragraph"/>
      </w:pPr>
      <w:r>
        <w:t xml:space="preserve">A two-stage analytical exploratory approach was undertaken to test the model in </w:t>
      </w:r>
      <w:r>
        <w:fldChar w:fldCharType="begin"/>
      </w:r>
      <w:r>
        <w:instrText xml:space="preserve"> REF _Ref27263313 \h </w:instrText>
      </w:r>
      <w:r w:rsidR="008D05D4">
        <w:instrText xml:space="preserve"> \* MERGEFORMAT </w:instrText>
      </w:r>
      <w:r>
        <w:fldChar w:fldCharType="separate"/>
      </w:r>
      <w:r w:rsidR="00137FF1">
        <w:t xml:space="preserve">Figure </w:t>
      </w:r>
      <w:r w:rsidR="00137FF1">
        <w:rPr>
          <w:noProof/>
        </w:rPr>
        <w:t>2</w:t>
      </w:r>
      <w:r>
        <w:fldChar w:fldCharType="end"/>
      </w:r>
      <w:r>
        <w:t xml:space="preserve">. In the first stage, the NSS data from 2015 and 2019 were correlated for 313 HEIs to determine any significant relationships. The fifteen L&amp;T information variables from the QAA study were correlated with the NSS scales </w:t>
      </w:r>
      <w:r w:rsidRPr="00EE333A">
        <w:rPr>
          <w:noProof/>
        </w:rPr>
        <w:t>from</w:t>
      </w:r>
      <w:r>
        <w:t xml:space="preserve"> 2015 and 2019 for the 36 HEIs. Seven variables had at least marginal significance (</w:t>
      </w:r>
      <w:r w:rsidRPr="008B38FD">
        <w:rPr>
          <w:i/>
        </w:rPr>
        <w:t>p</w:t>
      </w:r>
      <w:r>
        <w:t xml:space="preserve"> &lt;0.1) with the NSS scales (Pearson correlations). These seven variables were selected for the next stage of the analysis and their relationships with the NSS scales were noted (see </w:t>
      </w:r>
      <w:r w:rsidR="00D839E1">
        <w:fldChar w:fldCharType="begin"/>
      </w:r>
      <w:r w:rsidR="00D839E1">
        <w:instrText xml:space="preserve"> REF _Ref32612701 \h </w:instrText>
      </w:r>
      <w:r w:rsidR="008D05D4">
        <w:instrText xml:space="preserve"> \* MERGEFORMAT </w:instrText>
      </w:r>
      <w:r w:rsidR="00D839E1">
        <w:fldChar w:fldCharType="separate"/>
      </w:r>
      <w:r w:rsidR="00137FF1">
        <w:t xml:space="preserve">Table </w:t>
      </w:r>
      <w:r w:rsidR="00137FF1">
        <w:rPr>
          <w:noProof/>
        </w:rPr>
        <w:t>1</w:t>
      </w:r>
      <w:r w:rsidR="00D839E1">
        <w:fldChar w:fldCharType="end"/>
      </w:r>
      <w:r w:rsidR="00D839E1">
        <w:t xml:space="preserve"> </w:t>
      </w:r>
      <w:r>
        <w:t xml:space="preserve">and </w:t>
      </w:r>
      <w:r>
        <w:fldChar w:fldCharType="begin"/>
      </w:r>
      <w:r>
        <w:instrText xml:space="preserve"> REF _Ref32575200 \h </w:instrText>
      </w:r>
      <w:r w:rsidR="008D05D4">
        <w:instrText xml:space="preserve"> \* MERGEFORMAT </w:instrText>
      </w:r>
      <w:r>
        <w:fldChar w:fldCharType="separate"/>
      </w:r>
      <w:r w:rsidR="00137FF1">
        <w:t xml:space="preserve">Appendix </w:t>
      </w:r>
      <w:r w:rsidR="00137FF1">
        <w:rPr>
          <w:noProof/>
        </w:rPr>
        <w:t>1</w:t>
      </w:r>
      <w:r>
        <w:fldChar w:fldCharType="end"/>
      </w:r>
      <w:r>
        <w:t xml:space="preserve">, </w:t>
      </w:r>
      <w:r>
        <w:fldChar w:fldCharType="begin"/>
      </w:r>
      <w:r>
        <w:instrText xml:space="preserve"> REF _Ref32575150 \h </w:instrText>
      </w:r>
      <w:r w:rsidR="008D05D4">
        <w:instrText xml:space="preserve"> \* MERGEFORMAT </w:instrText>
      </w:r>
      <w:r>
        <w:fldChar w:fldCharType="separate"/>
      </w:r>
      <w:r w:rsidR="00137FF1">
        <w:t xml:space="preserve">Appendix </w:t>
      </w:r>
      <w:r w:rsidR="00137FF1">
        <w:rPr>
          <w:noProof/>
        </w:rPr>
        <w:t>2</w:t>
      </w:r>
      <w:r>
        <w:fldChar w:fldCharType="end"/>
      </w:r>
      <w:r>
        <w:t>,</w:t>
      </w:r>
      <w:r w:rsidR="00C350DF">
        <w:t xml:space="preserve"> </w:t>
      </w:r>
      <w:r w:rsidR="005C4C00">
        <w:fldChar w:fldCharType="begin"/>
      </w:r>
      <w:r w:rsidR="005C4C00">
        <w:instrText xml:space="preserve"> REF _Ref32613322 \h </w:instrText>
      </w:r>
      <w:r w:rsidR="005C4C00">
        <w:fldChar w:fldCharType="separate"/>
      </w:r>
      <w:r w:rsidR="00137FF1">
        <w:t xml:space="preserve">Appendix </w:t>
      </w:r>
      <w:r w:rsidR="00137FF1">
        <w:rPr>
          <w:noProof/>
        </w:rPr>
        <w:t>3</w:t>
      </w:r>
      <w:r w:rsidR="005C4C00">
        <w:fldChar w:fldCharType="end"/>
      </w:r>
      <w:r w:rsidR="005C4C00">
        <w:t xml:space="preserve"> </w:t>
      </w:r>
      <w:r>
        <w:t>and</w:t>
      </w:r>
      <w:r w:rsidR="00C350DF">
        <w:t xml:space="preserve"> </w:t>
      </w:r>
      <w:r w:rsidR="00C350DF">
        <w:fldChar w:fldCharType="begin"/>
      </w:r>
      <w:r w:rsidR="00C350DF">
        <w:instrText xml:space="preserve"> REF _Ref32612161 \h </w:instrText>
      </w:r>
      <w:r w:rsidR="008D05D4">
        <w:instrText xml:space="preserve"> \* MERGEFORMAT </w:instrText>
      </w:r>
      <w:r w:rsidR="00C350DF">
        <w:fldChar w:fldCharType="separate"/>
      </w:r>
      <w:r w:rsidR="00137FF1">
        <w:t xml:space="preserve">Appendix </w:t>
      </w:r>
      <w:r w:rsidR="00137FF1">
        <w:rPr>
          <w:noProof/>
        </w:rPr>
        <w:t>4</w:t>
      </w:r>
      <w:r w:rsidR="00C350DF">
        <w:fldChar w:fldCharType="end"/>
      </w:r>
      <w:r>
        <w:t>).</w:t>
      </w:r>
    </w:p>
    <w:p w14:paraId="7769A1A8" w14:textId="6683A5E3" w:rsidR="00A101B9" w:rsidRDefault="00A101B9" w:rsidP="00C350DF">
      <w:pPr>
        <w:pStyle w:val="Newparagraph"/>
      </w:pPr>
      <w:r>
        <w:t xml:space="preserve">In the second stage, an exploratory multivariate multiple regression approach was used in </w:t>
      </w:r>
      <w:r w:rsidR="004B4826">
        <w:t xml:space="preserve">SPSS </w:t>
      </w:r>
      <w:r>
        <w:t xml:space="preserve">AMOS </w:t>
      </w:r>
      <w:r w:rsidR="004B4826">
        <w:t xml:space="preserve">(version 26) </w:t>
      </w:r>
      <w:r>
        <w:t>to determine the total direct effects between the seven L&amp;T variables and the five NSS scales for 2015 and 2019. In the initial model, the relationships determined in the correlations were constructed between the L&amp;T variables and the NSS scales (</w:t>
      </w:r>
      <w:r>
        <w:fldChar w:fldCharType="begin"/>
      </w:r>
      <w:r>
        <w:instrText xml:space="preserve"> REF _Ref32575150 \h </w:instrText>
      </w:r>
      <w:r>
        <w:fldChar w:fldCharType="separate"/>
      </w:r>
      <w:r w:rsidR="00137FF1">
        <w:t xml:space="preserve">Appendix </w:t>
      </w:r>
      <w:r w:rsidR="00137FF1">
        <w:rPr>
          <w:noProof/>
        </w:rPr>
        <w:t>2</w:t>
      </w:r>
      <w:r>
        <w:fldChar w:fldCharType="end"/>
      </w:r>
      <w:r w:rsidR="00C350DF">
        <w:t>,</w:t>
      </w:r>
      <w:r w:rsidR="005C4C00">
        <w:t xml:space="preserve"> </w:t>
      </w:r>
      <w:r w:rsidR="005C4C00">
        <w:fldChar w:fldCharType="begin"/>
      </w:r>
      <w:r w:rsidR="005C4C00">
        <w:instrText xml:space="preserve"> REF _Ref32613322 \h </w:instrText>
      </w:r>
      <w:r w:rsidR="005C4C00">
        <w:fldChar w:fldCharType="separate"/>
      </w:r>
      <w:r w:rsidR="00137FF1">
        <w:t xml:space="preserve">Appendix </w:t>
      </w:r>
      <w:r w:rsidR="00137FF1">
        <w:rPr>
          <w:noProof/>
        </w:rPr>
        <w:t>3</w:t>
      </w:r>
      <w:r w:rsidR="005C4C00">
        <w:fldChar w:fldCharType="end"/>
      </w:r>
      <w:r w:rsidR="005C4C00">
        <w:t xml:space="preserve"> </w:t>
      </w:r>
      <w:r w:rsidR="00C350DF">
        <w:t xml:space="preserve">and </w:t>
      </w:r>
      <w:r w:rsidR="00C350DF">
        <w:fldChar w:fldCharType="begin"/>
      </w:r>
      <w:r w:rsidR="00C350DF">
        <w:instrText xml:space="preserve"> REF _Ref32612161 \h </w:instrText>
      </w:r>
      <w:r w:rsidR="00C350DF">
        <w:fldChar w:fldCharType="separate"/>
      </w:r>
      <w:r w:rsidR="00137FF1">
        <w:t xml:space="preserve">Appendix </w:t>
      </w:r>
      <w:r w:rsidR="00137FF1">
        <w:rPr>
          <w:noProof/>
        </w:rPr>
        <w:t>4</w:t>
      </w:r>
      <w:r w:rsidR="00C350DF">
        <w:fldChar w:fldCharType="end"/>
      </w:r>
      <w:r>
        <w:t xml:space="preserve">). The five NSS scales error terms for each year were all set to co-vary as the scales all correlated highly with each other as they are measuring different aspects of the student experience. Further, the L&amp;T information variables error terms were also set </w:t>
      </w:r>
      <w:r>
        <w:lastRenderedPageBreak/>
        <w:t>to co-vary as their availability may be related</w:t>
      </w:r>
      <w:r w:rsidR="00A700F4">
        <w:t xml:space="preserve"> to</w:t>
      </w:r>
      <w:r>
        <w:t xml:space="preserve"> a common marketing policy in the HEI. The model was improved by removing highly insignificant co-varying relationships (</w:t>
      </w:r>
      <w:r w:rsidRPr="005110CD">
        <w:rPr>
          <w:i/>
        </w:rPr>
        <w:t>p</w:t>
      </w:r>
      <w:r>
        <w:t xml:space="preserve">&gt;0.1). Modification indices were used to determine if there were additional relationships which </w:t>
      </w:r>
      <w:r w:rsidRPr="00EE333A">
        <w:rPr>
          <w:noProof/>
        </w:rPr>
        <w:t>w</w:t>
      </w:r>
      <w:r>
        <w:rPr>
          <w:noProof/>
        </w:rPr>
        <w:t>ere</w:t>
      </w:r>
      <w:r>
        <w:t xml:space="preserve"> not deduced during the correlations</w:t>
      </w:r>
      <w:r w:rsidRPr="00850E62">
        <w:t xml:space="preserve"> </w:t>
      </w:r>
      <w:r>
        <w:t xml:space="preserve">between the L&amp;T variables and the NSS </w:t>
      </w:r>
      <w:r>
        <w:rPr>
          <w:noProof/>
        </w:rPr>
        <w:t>scale</w:t>
      </w:r>
      <w:r w:rsidRPr="006F47A4">
        <w:rPr>
          <w:noProof/>
        </w:rPr>
        <w:t>s</w:t>
      </w:r>
      <w:r>
        <w:t xml:space="preserve"> when considering the total direct effect. </w:t>
      </w:r>
    </w:p>
    <w:bookmarkEnd w:id="2"/>
    <w:p w14:paraId="2A6B9E2C" w14:textId="77777777" w:rsidR="00A101B9" w:rsidRDefault="00A101B9" w:rsidP="00C350DF">
      <w:pPr>
        <w:pStyle w:val="Heading1"/>
      </w:pPr>
      <w:r w:rsidRPr="00D1434E">
        <w:t xml:space="preserve">Results </w:t>
      </w:r>
    </w:p>
    <w:p w14:paraId="7D9FC670" w14:textId="757B568F" w:rsidR="00A101B9" w:rsidRDefault="00A101B9" w:rsidP="00C350DF">
      <w:pPr>
        <w:pStyle w:val="Paragraph"/>
      </w:pPr>
      <w:r>
        <w:t xml:space="preserve">Step one of the analysis reduced the number of QAA L&amp;T variables from </w:t>
      </w:r>
      <w:r>
        <w:rPr>
          <w:noProof/>
        </w:rPr>
        <w:t>fifteen</w:t>
      </w:r>
      <w:r>
        <w:t xml:space="preserve"> to seven (Appendix 1 </w:t>
      </w:r>
      <w:r w:rsidR="008D05D4">
        <w:t xml:space="preserve">and </w:t>
      </w:r>
      <w:r w:rsidR="008D05D4">
        <w:fldChar w:fldCharType="begin"/>
      </w:r>
      <w:r w:rsidR="008D05D4">
        <w:instrText xml:space="preserve"> REF _Ref32612701 \h </w:instrText>
      </w:r>
      <w:r w:rsidR="008D05D4">
        <w:fldChar w:fldCharType="separate"/>
      </w:r>
      <w:r w:rsidR="00137FF1">
        <w:t xml:space="preserve">Table </w:t>
      </w:r>
      <w:r w:rsidR="00137FF1">
        <w:rPr>
          <w:noProof/>
        </w:rPr>
        <w:t>1</w:t>
      </w:r>
      <w:r w:rsidR="008D05D4">
        <w:fldChar w:fldCharType="end"/>
      </w:r>
      <w:r w:rsidR="008D05D4">
        <w:t xml:space="preserve">). </w:t>
      </w:r>
      <w:r>
        <w:t xml:space="preserve">Therefore, the presence of eight L&amp;T information variables </w:t>
      </w:r>
      <w:r>
        <w:rPr>
          <w:noProof/>
        </w:rPr>
        <w:t>did</w:t>
      </w:r>
      <w:r>
        <w:t xml:space="preserve"> not </w:t>
      </w:r>
      <w:r w:rsidRPr="00EE333A">
        <w:rPr>
          <w:noProof/>
        </w:rPr>
        <w:t>explain</w:t>
      </w:r>
      <w:r>
        <w:t xml:space="preserve"> future/current student satisfaction. The reduction of the number of variables was unrelated to whether these variables were highly present on HEIs websites. For example, most universities had information on the Anticipated Student Workload (74%), but the presence of this information was not related to any of the satisfaction scales on </w:t>
      </w:r>
      <w:r w:rsidR="00A700F4">
        <w:t xml:space="preserve">the </w:t>
      </w:r>
      <w:r>
        <w:t>student learning experience. The seven L&amp;T variables selected for the second step of analysis ranged in presence from 20% to 75%.</w:t>
      </w:r>
    </w:p>
    <w:p w14:paraId="758CA953" w14:textId="08411A93" w:rsidR="00A101B9" w:rsidRDefault="00A101B9" w:rsidP="00C350DF">
      <w:pPr>
        <w:pStyle w:val="Newparagraph"/>
      </w:pPr>
      <w:r>
        <w:t xml:space="preserve">The multivariate multiple regression model based on </w:t>
      </w:r>
      <w:r>
        <w:fldChar w:fldCharType="begin"/>
      </w:r>
      <w:r>
        <w:instrText xml:space="preserve"> REF _Ref27263313 \h </w:instrText>
      </w:r>
      <w:r>
        <w:fldChar w:fldCharType="separate"/>
      </w:r>
      <w:r w:rsidR="00137FF1">
        <w:t xml:space="preserve">Figure </w:t>
      </w:r>
      <w:r w:rsidR="00137FF1">
        <w:rPr>
          <w:noProof/>
        </w:rPr>
        <w:t>2</w:t>
      </w:r>
      <w:r>
        <w:fldChar w:fldCharType="end"/>
      </w:r>
      <w:r>
        <w:t xml:space="preserve"> had reasonable fit (χ</w:t>
      </w:r>
      <w:r>
        <w:rPr>
          <w:vertAlign w:val="superscript"/>
        </w:rPr>
        <w:t>2</w:t>
      </w:r>
      <w:r>
        <w:t xml:space="preserve">(70) = 59.87, </w:t>
      </w:r>
      <w:r w:rsidRPr="008B38FD">
        <w:rPr>
          <w:i/>
        </w:rPr>
        <w:t>p</w:t>
      </w:r>
      <w:r>
        <w:t xml:space="preserve"> = 0.80, CMIN/DF = 0.86; CFI = 1.00; RMSEA = 0.00, SRMR = 0.09).The SRMR is higher than the suggested cut-off of 0.08 </w:t>
      </w:r>
      <w:r>
        <w:rPr>
          <w:noProof/>
        </w:rPr>
        <w:t>(Hu and Bentler 1999)</w:t>
      </w:r>
      <w:r>
        <w:t xml:space="preserve">. However, </w:t>
      </w:r>
      <w:r>
        <w:rPr>
          <w:noProof/>
        </w:rPr>
        <w:t>Asparouhov and Muthén (2018)</w:t>
      </w:r>
      <w:r>
        <w:t xml:space="preserve"> indicated that SRMR usability is limited for small sample sizes and once the chi-square fit holds for small sample sizes (i.e. </w:t>
      </w:r>
      <w:r w:rsidRPr="000633E1">
        <w:rPr>
          <w:i/>
        </w:rPr>
        <w:t>p</w:t>
      </w:r>
      <w:r>
        <w:t xml:space="preserve">&gt;0.05 as it is in this model), there is no need to look further into SRMR and other fit indices, as exact fit tests, such as chi-square, are better at indicating model fit than approximate fit tests. Also, the ratio of chi-square statistics to degrees of freedom is less than two, which suggests a good fit </w:t>
      </w:r>
      <w:r>
        <w:rPr>
          <w:noProof/>
        </w:rPr>
        <w:t>(Tabachnick and Fidell 2007)</w:t>
      </w:r>
      <w:r>
        <w:t xml:space="preserve">. Therefore, we can accept the fit for this model. The Resources and Facilities L&amp;T variable (FACIL) </w:t>
      </w:r>
      <w:r>
        <w:lastRenderedPageBreak/>
        <w:t xml:space="preserve">was removed from the final model (see </w:t>
      </w:r>
      <w:r>
        <w:fldChar w:fldCharType="begin"/>
      </w:r>
      <w:r>
        <w:instrText xml:space="preserve"> REF _Ref32589431 \h </w:instrText>
      </w:r>
      <w:r>
        <w:fldChar w:fldCharType="separate"/>
      </w:r>
      <w:r w:rsidR="00137FF1">
        <w:t xml:space="preserve">Table </w:t>
      </w:r>
      <w:r w:rsidR="00137FF1">
        <w:rPr>
          <w:noProof/>
        </w:rPr>
        <w:t>2</w:t>
      </w:r>
      <w:r>
        <w:fldChar w:fldCharType="end"/>
      </w:r>
      <w:r>
        <w:t xml:space="preserve"> for the standardised total effects) as it had no relationship with the other variables.</w:t>
      </w:r>
    </w:p>
    <w:p w14:paraId="3048D20F" w14:textId="77777777" w:rsidR="00A101B9" w:rsidRPr="00C14FAA" w:rsidRDefault="00A101B9" w:rsidP="00C350DF">
      <w:pPr>
        <w:pStyle w:val="Newparagraph"/>
        <w:jc w:val="center"/>
        <w:rPr>
          <w:i/>
          <w:iCs/>
        </w:rPr>
      </w:pPr>
      <w:r w:rsidRPr="00C14FAA">
        <w:rPr>
          <w:i/>
          <w:iCs/>
        </w:rPr>
        <w:t>(Table 2 about here)</w:t>
      </w:r>
    </w:p>
    <w:p w14:paraId="74AF5B7E" w14:textId="77777777" w:rsidR="00A101B9" w:rsidRPr="0088767F" w:rsidRDefault="00A101B9" w:rsidP="00C350DF">
      <w:pPr>
        <w:pStyle w:val="Newparagraph"/>
      </w:pPr>
    </w:p>
    <w:p w14:paraId="0655ED02" w14:textId="77777777" w:rsidR="00A101B9" w:rsidRDefault="00A101B9" w:rsidP="00C350DF">
      <w:pPr>
        <w:pStyle w:val="Newparagraph"/>
        <w:ind w:firstLine="0"/>
        <w:rPr>
          <w:rFonts w:cs="Arial"/>
          <w:b/>
          <w:bCs/>
          <w:i/>
          <w:iCs/>
          <w:szCs w:val="28"/>
        </w:rPr>
      </w:pPr>
      <w:r w:rsidRPr="00B93FBA">
        <w:rPr>
          <w:rFonts w:cs="Arial"/>
          <w:b/>
          <w:bCs/>
          <w:i/>
          <w:iCs/>
          <w:szCs w:val="28"/>
        </w:rPr>
        <w:t xml:space="preserve">Summary of </w:t>
      </w:r>
      <w:r>
        <w:rPr>
          <w:rFonts w:cs="Arial"/>
          <w:b/>
          <w:bCs/>
          <w:i/>
          <w:iCs/>
          <w:szCs w:val="28"/>
        </w:rPr>
        <w:t>Key Findings</w:t>
      </w:r>
    </w:p>
    <w:p w14:paraId="29721F7F" w14:textId="764A7FDC" w:rsidR="00A101B9" w:rsidRDefault="00A101B9" w:rsidP="00C350DF">
      <w:pPr>
        <w:pStyle w:val="Newparagraph"/>
      </w:pPr>
      <w:r>
        <w:t xml:space="preserve">Our findings based on </w:t>
      </w:r>
      <w:r>
        <w:fldChar w:fldCharType="begin"/>
      </w:r>
      <w:r>
        <w:instrText xml:space="preserve"> REF _Ref32589431 \h </w:instrText>
      </w:r>
      <w:r>
        <w:fldChar w:fldCharType="separate"/>
      </w:r>
      <w:r w:rsidR="00137FF1">
        <w:t xml:space="preserve">Table </w:t>
      </w:r>
      <w:r w:rsidR="00137FF1">
        <w:rPr>
          <w:noProof/>
        </w:rPr>
        <w:t>2</w:t>
      </w:r>
      <w:r>
        <w:fldChar w:fldCharType="end"/>
      </w:r>
      <w:r>
        <w:t>:</w:t>
      </w:r>
    </w:p>
    <w:p w14:paraId="1A2F26B4" w14:textId="77777777" w:rsidR="00A101B9" w:rsidRDefault="00A101B9" w:rsidP="00C350DF">
      <w:pPr>
        <w:pStyle w:val="Newparagraph"/>
        <w:numPr>
          <w:ilvl w:val="0"/>
          <w:numId w:val="6"/>
        </w:numPr>
      </w:pPr>
      <w:r w:rsidRPr="009F49AE">
        <w:rPr>
          <w:b/>
        </w:rPr>
        <w:t>Research Question 1</w:t>
      </w:r>
      <w:r>
        <w:t>: The presence of most of the L&amp;T information provided on university websites are not related to the student learning experience. Less than half (6 out of 15) of the L&amp;T variables that students claimed they wanted were related to the current student’s satisfaction of their learning experience and about a tenth (2 out of 15) of the L&amp;T information was able to explain students’ future learning experience satisfaction.</w:t>
      </w:r>
    </w:p>
    <w:p w14:paraId="1DEC7985" w14:textId="77777777" w:rsidR="00A101B9" w:rsidRDefault="00A101B9" w:rsidP="00C350DF">
      <w:pPr>
        <w:pStyle w:val="Newparagraph"/>
        <w:numPr>
          <w:ilvl w:val="0"/>
          <w:numId w:val="6"/>
        </w:numPr>
      </w:pPr>
      <w:r w:rsidRPr="009F49AE">
        <w:rPr>
          <w:b/>
        </w:rPr>
        <w:t>Research Question 2</w:t>
      </w:r>
      <w:r>
        <w:t xml:space="preserve">: The presence of L&amp;T information variables on websites are sometimes negatively related to students’ current and future satisfaction. </w:t>
      </w:r>
      <w:r w:rsidRPr="009F49AE">
        <w:t xml:space="preserve"> </w:t>
      </w:r>
      <w:r>
        <w:t>For example, the presence of the L&amp;T variables CLASS (</w:t>
      </w:r>
      <w:r w:rsidRPr="0027605B">
        <w:rPr>
          <w:i/>
        </w:rPr>
        <w:t>Class Size</w:t>
      </w:r>
      <w:r>
        <w:t>) and AS (</w:t>
      </w:r>
      <w:r w:rsidRPr="0027605B">
        <w:rPr>
          <w:i/>
        </w:rPr>
        <w:t>Type and Amount of Academic Support</w:t>
      </w:r>
      <w:r>
        <w:t xml:space="preserve">) information were negatively related to </w:t>
      </w:r>
      <w:r w:rsidRPr="00EE333A">
        <w:rPr>
          <w:noProof/>
        </w:rPr>
        <w:t>the 2015</w:t>
      </w:r>
      <w:r>
        <w:t xml:space="preserve"> (current) NSS scales of Assessment and Feedback (NSSAF).</w:t>
      </w:r>
    </w:p>
    <w:p w14:paraId="13FEAAA7" w14:textId="77777777" w:rsidR="00A101B9" w:rsidRDefault="00A101B9" w:rsidP="00C350DF">
      <w:pPr>
        <w:pStyle w:val="Newparagraph"/>
        <w:ind w:firstLine="0"/>
      </w:pPr>
      <w:r>
        <w:t>More specifically, for L&amp;T variables, we found:</w:t>
      </w:r>
    </w:p>
    <w:p w14:paraId="2BE57926" w14:textId="77777777" w:rsidR="00A101B9" w:rsidRDefault="00A101B9" w:rsidP="00C350DF">
      <w:pPr>
        <w:pStyle w:val="Newparagraph"/>
        <w:numPr>
          <w:ilvl w:val="0"/>
          <w:numId w:val="6"/>
        </w:numPr>
      </w:pPr>
      <w:r>
        <w:t>The 2015 NSS variables (current satisfaction) had better explanatory power to the presence of all six L&amp;T variables. Only the variables of CLASS (</w:t>
      </w:r>
      <w:r w:rsidRPr="0027605B">
        <w:rPr>
          <w:i/>
        </w:rPr>
        <w:t>Class Size</w:t>
      </w:r>
      <w:r>
        <w:t>) and AS (</w:t>
      </w:r>
      <w:r w:rsidRPr="0027605B">
        <w:rPr>
          <w:i/>
        </w:rPr>
        <w:t>Type and Amount of Academic Support</w:t>
      </w:r>
      <w:r>
        <w:t>) were related to any of the NSS 2019 scales (i.e. future satisfaction).</w:t>
      </w:r>
    </w:p>
    <w:p w14:paraId="1D656E4A" w14:textId="77777777" w:rsidR="00A101B9" w:rsidRDefault="00A101B9" w:rsidP="00C350DF">
      <w:pPr>
        <w:pStyle w:val="Newparagraph"/>
        <w:numPr>
          <w:ilvl w:val="0"/>
          <w:numId w:val="6"/>
        </w:numPr>
      </w:pPr>
      <w:r>
        <w:lastRenderedPageBreak/>
        <w:t>Interestingly, sometimes the L&amp;T information variables are probably being used to compensate for lower students’ satisfaction. For example, HEIs that had scored lower in the 2015 NSS Academic Support scale (NSSAS15) were more likely to have AS (</w:t>
      </w:r>
      <w:r w:rsidRPr="0027605B">
        <w:rPr>
          <w:i/>
        </w:rPr>
        <w:t>Type and Amount of Academic Support</w:t>
      </w:r>
      <w:r>
        <w:t xml:space="preserve">) information present (-0.756). This suggests that marketing-relating experts may be compensated for low scores by providing more AS information. </w:t>
      </w:r>
    </w:p>
    <w:p w14:paraId="5744CB4C" w14:textId="77777777" w:rsidR="00A101B9" w:rsidRDefault="00A101B9" w:rsidP="00C350DF">
      <w:pPr>
        <w:pStyle w:val="Newparagraph"/>
        <w:numPr>
          <w:ilvl w:val="0"/>
          <w:numId w:val="6"/>
        </w:numPr>
      </w:pPr>
      <w:r>
        <w:t>Unsurprisingly, the corresponding NSS scales from 2015 and 2019 were positively related to each other, for example, the total effect for between NSSAF15 and NSSAF19 (Assessment and Feedback) was 0.731. However, there were also some negative relationships between the scales in 2015 and 2019. For example, NSSOrg15 was negatively related to NSSAF19, which suggests that HEIs that had high satisfaction in Organisation and Management in 2015, would have a lower Assessment and Feedback satisfaction in 2019.</w:t>
      </w:r>
    </w:p>
    <w:p w14:paraId="05380837" w14:textId="77777777" w:rsidR="00A101B9" w:rsidRDefault="00A101B9" w:rsidP="00C350DF">
      <w:pPr>
        <w:pStyle w:val="Heading1"/>
      </w:pPr>
      <w:r w:rsidRPr="00D1434E">
        <w:t>Discussion</w:t>
      </w:r>
    </w:p>
    <w:p w14:paraId="519FE525" w14:textId="5579F2F0" w:rsidR="00A101B9" w:rsidRDefault="00A101B9" w:rsidP="00C350DF">
      <w:pPr>
        <w:pStyle w:val="Paragraph"/>
        <w:rPr>
          <w:noProof/>
        </w:rPr>
      </w:pPr>
      <w:r>
        <w:t xml:space="preserve">Studies on L&amp;T information on HEI websites have focused primarily on the information that prospective students seek to understand their future learning experience in HEIs </w:t>
      </w:r>
      <w:r>
        <w:rPr>
          <w:noProof/>
        </w:rPr>
        <w:t>(see for example HEFCE 2012; Slack</w:t>
      </w:r>
      <w:r w:rsidRPr="007D5236">
        <w:rPr>
          <w:i/>
          <w:noProof/>
        </w:rPr>
        <w:t xml:space="preserve"> et al.</w:t>
      </w:r>
      <w:r>
        <w:rPr>
          <w:noProof/>
        </w:rPr>
        <w:t xml:space="preserve"> 2014)</w:t>
      </w:r>
      <w:r>
        <w:t xml:space="preserve">. The limited research on the HEIs perspective has largely concentrated on the websites’ brand image </w:t>
      </w:r>
      <w:r>
        <w:rPr>
          <w:noProof/>
        </w:rPr>
        <w:t>(Chapleo</w:t>
      </w:r>
      <w:r w:rsidRPr="007D5236">
        <w:rPr>
          <w:i/>
          <w:noProof/>
        </w:rPr>
        <w:t xml:space="preserve"> et al.</w:t>
      </w:r>
      <w:r>
        <w:rPr>
          <w:noProof/>
        </w:rPr>
        <w:t xml:space="preserve"> 2011)</w:t>
      </w:r>
      <w:r>
        <w:t xml:space="preserve">, the information on prospectuses </w:t>
      </w:r>
      <w:r>
        <w:rPr>
          <w:noProof/>
        </w:rPr>
        <w:t>(Mortimer 1997)</w:t>
      </w:r>
      <w:r>
        <w:t xml:space="preserve"> and the reasons behind the lack of L&amp;T information on websites </w:t>
      </w:r>
      <w:r>
        <w:rPr>
          <w:noProof/>
        </w:rPr>
        <w:t>(Rao and Hosein 2017)</w:t>
      </w:r>
      <w:r>
        <w:t>. However, research has not investigated whether there is any validity to the practice of HEIs selecting and providing information to prospective students for it to explain</w:t>
      </w:r>
      <w:r w:rsidRPr="005F11BE">
        <w:t xml:space="preserve"> </w:t>
      </w:r>
      <w:r>
        <w:t xml:space="preserve">the </w:t>
      </w:r>
      <w:r>
        <w:lastRenderedPageBreak/>
        <w:t xml:space="preserve">satisfaction with their future student learning experience (i.e. when prospective students graduate from the HEI). Our data shows that there is limited practice validity as the L&amp;T information mainly represents satisfaction with the current student learning experience (i.e. what is happening at the HEI now). Further, the presence of some L&amp;T information </w:t>
      </w:r>
      <w:r w:rsidR="00A700F4">
        <w:t>is</w:t>
      </w:r>
      <w:r>
        <w:t xml:space="preserve"> likely used to demonstrate a positive student learning experience even when it may not exist. Hence, this paper </w:t>
      </w:r>
      <w:r>
        <w:rPr>
          <w:noProof/>
        </w:rPr>
        <w:t>demonstrates through</w:t>
      </w:r>
      <w:r>
        <w:t xml:space="preserve"> using information choice theory that </w:t>
      </w:r>
      <w:r>
        <w:rPr>
          <w:noProof/>
        </w:rPr>
        <w:t>1)</w:t>
      </w:r>
      <w:r>
        <w:t xml:space="preserve"> the information that students claim they want</w:t>
      </w:r>
      <w:r w:rsidR="00C51DE5">
        <w:t xml:space="preserve"> (and which marketing experts provide)</w:t>
      </w:r>
      <w:r>
        <w:t xml:space="preserve"> minimally explain their satisfaction with the current and future student learning experience and 2) HEIs marketing experts are selecting website information to students that they </w:t>
      </w:r>
      <w:r w:rsidR="00C51DE5">
        <w:t>may not</w:t>
      </w:r>
      <w:r>
        <w:t xml:space="preserve"> positively </w:t>
      </w:r>
      <w:r w:rsidR="00C51DE5">
        <w:t xml:space="preserve">be related </w:t>
      </w:r>
      <w:r>
        <w:t xml:space="preserve">to students’ satisfaction with their current and future learning experience. </w:t>
      </w:r>
    </w:p>
    <w:p w14:paraId="7E269AFF" w14:textId="77777777" w:rsidR="00A101B9" w:rsidRDefault="00A101B9" w:rsidP="00C350DF">
      <w:pPr>
        <w:pStyle w:val="Newparagraph"/>
      </w:pPr>
      <w:r>
        <w:t xml:space="preserve">From the results, Finding 1, which relates to Research Question 1, suggests that there may be superfluous or non-instrumental information that HEIs are providing. There is a disconnect between the information that students seek and what information defines their perceived student learning experience when on the degree programme. HEI marketing-related experts may </w:t>
      </w:r>
      <w:proofErr w:type="spellStart"/>
      <w:r>
        <w:t>strategise</w:t>
      </w:r>
      <w:proofErr w:type="spellEnd"/>
      <w:r>
        <w:t xml:space="preserve"> or feel pressured to provide information that </w:t>
      </w:r>
      <w:r w:rsidRPr="00EE333A">
        <w:rPr>
          <w:noProof/>
        </w:rPr>
        <w:t>reflect</w:t>
      </w:r>
      <w:r>
        <w:rPr>
          <w:noProof/>
        </w:rPr>
        <w:t>s</w:t>
      </w:r>
      <w:r>
        <w:t xml:space="preserve"> what students suggest they want without knowing whether this information actually reflects the perceived student learning experience </w:t>
      </w:r>
      <w:r>
        <w:rPr>
          <w:noProof/>
        </w:rPr>
        <w:t>(Rao and Hosein 2017; Tomlinson 2013)</w:t>
      </w:r>
      <w:r>
        <w:t xml:space="preserve">. This feeling of pressure or need to </w:t>
      </w:r>
      <w:proofErr w:type="spellStart"/>
      <w:r>
        <w:t>strategise</w:t>
      </w:r>
      <w:proofErr w:type="spellEnd"/>
      <w:r>
        <w:t xml:space="preserve"> may come from sector-wide rhetoric of prioritising the information needs of the student (i.e. the customer) and of government regulatory bodies strongly advising HEIs to provide more information to their prospective students. However, this may play into students’ internal reward mechanism, where they feel rewarded by collecting non-instrumental information when making decisions under uncertainty </w:t>
      </w:r>
      <w:r>
        <w:rPr>
          <w:noProof/>
        </w:rPr>
        <w:t>(Brydevall</w:t>
      </w:r>
      <w:r w:rsidRPr="00462D3F">
        <w:rPr>
          <w:i/>
          <w:noProof/>
        </w:rPr>
        <w:t xml:space="preserve"> et al.</w:t>
      </w:r>
      <w:r>
        <w:rPr>
          <w:noProof/>
        </w:rPr>
        <w:t xml:space="preserve"> 2018)</w:t>
      </w:r>
      <w:r>
        <w:t>.</w:t>
      </w:r>
    </w:p>
    <w:p w14:paraId="2A1531AF" w14:textId="77777777" w:rsidR="00A101B9" w:rsidRDefault="00A101B9" w:rsidP="00C350DF">
      <w:pPr>
        <w:pStyle w:val="Newparagraph"/>
      </w:pPr>
      <w:r>
        <w:lastRenderedPageBreak/>
        <w:t xml:space="preserve">Findings 2 and 4 suggest that marketing-related experts provide L&amp;T information whether knowingly or unknowingly that do not represent a positive satisfaction with the student learning experience (e.g. information on </w:t>
      </w:r>
      <w:r w:rsidRPr="00666544">
        <w:rPr>
          <w:i/>
        </w:rPr>
        <w:t>type and amount of academic support</w:t>
      </w:r>
      <w:r>
        <w:t xml:space="preserve"> and </w:t>
      </w:r>
      <w:r w:rsidRPr="00666544">
        <w:rPr>
          <w:i/>
        </w:rPr>
        <w:t>class size</w:t>
      </w:r>
      <w:r>
        <w:t xml:space="preserve">). Thus, these marketing-related experts are creating an environment for information failure. Perhaps, HEIs with weaker satisfaction in the student learning experience such as around academic support may present information that suggests a positively perceived student learning experience even when it is not so </w:t>
      </w:r>
      <w:r>
        <w:rPr>
          <w:noProof/>
        </w:rPr>
        <w:t>(see for example interviewee quotations in Rao and Hosein 2017)</w:t>
      </w:r>
      <w:r>
        <w:t>. Thus, prospective students should be wondering whether they are being sold a lemon and being provided with misrepresented information. Alternatively, it may be that the academic support provided by the HEI is not the type of academic support that leads to students’ satisfaction. For example, the academic support may be generic and not discipline/module</w:t>
      </w:r>
      <w:r w:rsidR="00A700F4">
        <w:t>-</w:t>
      </w:r>
      <w:r>
        <w:t xml:space="preserve">specific or the students’ support is mainly through academic-related professionals such as learning developers and not with the academics </w:t>
      </w:r>
      <w:r>
        <w:rPr>
          <w:noProof/>
        </w:rPr>
        <w:t>(Gravett and Winstone 2018)</w:t>
      </w:r>
      <w:r>
        <w:t xml:space="preserve">. This demonstrates that to limit the information failure from marketing experts, there should be research evidence to corroborate their judgement in the selection of information that relates specifically to the future student learning experience </w:t>
      </w:r>
      <w:r>
        <w:rPr>
          <w:noProof/>
        </w:rPr>
        <w:t>(Burgman 2015)</w:t>
      </w:r>
      <w:r>
        <w:t>.</w:t>
      </w:r>
    </w:p>
    <w:p w14:paraId="0A1FC298" w14:textId="4D148E43" w:rsidR="00A101B9" w:rsidRDefault="00A101B9" w:rsidP="00C350DF">
      <w:pPr>
        <w:pStyle w:val="Newparagraph"/>
      </w:pPr>
      <w:r>
        <w:t xml:space="preserve">Findings 3 and 4 suggest that some information variables are good at explaining the perceived current student learning experience, but the information rarely provides a good preview of prospective students’ satisfaction with their future learning experience. In fact, the absence of information were better indicators of prospective </w:t>
      </w:r>
      <w:r w:rsidR="00C51DE5">
        <w:t>students</w:t>
      </w:r>
      <w:r>
        <w:t xml:space="preserve"> perceived future student learning experience (Finding 4) as HEIs who failed to put forward information on the </w:t>
      </w:r>
      <w:r w:rsidRPr="00312EE6">
        <w:rPr>
          <w:i/>
        </w:rPr>
        <w:t>amount &amp; type of academic support</w:t>
      </w:r>
      <w:r>
        <w:t xml:space="preserve"> </w:t>
      </w:r>
      <w:r w:rsidRPr="00EE333A">
        <w:rPr>
          <w:noProof/>
        </w:rPr>
        <w:t>w</w:t>
      </w:r>
      <w:r>
        <w:rPr>
          <w:noProof/>
        </w:rPr>
        <w:t>ere</w:t>
      </w:r>
      <w:r>
        <w:t xml:space="preserve"> associated with a </w:t>
      </w:r>
      <w:r w:rsidRPr="00EE333A">
        <w:rPr>
          <w:noProof/>
        </w:rPr>
        <w:t>better</w:t>
      </w:r>
      <w:r>
        <w:t xml:space="preserve"> satisfaction in academic support. In the case of </w:t>
      </w:r>
      <w:r w:rsidRPr="00312EE6">
        <w:rPr>
          <w:i/>
        </w:rPr>
        <w:t xml:space="preserve">class </w:t>
      </w:r>
      <w:r w:rsidRPr="00312EE6">
        <w:rPr>
          <w:i/>
        </w:rPr>
        <w:lastRenderedPageBreak/>
        <w:t>size</w:t>
      </w:r>
      <w:r>
        <w:t>, its negative relationship with the 2015 NSS scales of assessment and feedback and 2019 NSS scales academic support seems to be intuitively odd. S</w:t>
      </w:r>
      <w:r w:rsidRPr="006F47A4">
        <w:rPr>
          <w:noProof/>
        </w:rPr>
        <w:t>mall</w:t>
      </w:r>
      <w:r>
        <w:t xml:space="preserve"> class sizes </w:t>
      </w:r>
      <w:r>
        <w:rPr>
          <w:noProof/>
        </w:rPr>
        <w:t>are</w:t>
      </w:r>
      <w:r>
        <w:t xml:space="preserve"> generally positively associated with better student outcomes </w:t>
      </w:r>
      <w:r>
        <w:rPr>
          <w:noProof/>
        </w:rPr>
        <w:t>(Kokkelenberg</w:t>
      </w:r>
      <w:r w:rsidRPr="007D5236">
        <w:rPr>
          <w:i/>
          <w:noProof/>
        </w:rPr>
        <w:t xml:space="preserve"> et al.</w:t>
      </w:r>
      <w:r>
        <w:rPr>
          <w:noProof/>
        </w:rPr>
        <w:t xml:space="preserve"> 2008)</w:t>
      </w:r>
      <w:r>
        <w:t xml:space="preserve"> and it is likely that marketing experts are promoting website information that </w:t>
      </w:r>
      <w:r>
        <w:rPr>
          <w:noProof/>
        </w:rPr>
        <w:t>is specifically</w:t>
      </w:r>
      <w:r>
        <w:t xml:space="preserve"> related to small class sizes but may not be representative of the whole programme. For prospective students who are interested in their future overall satisfaction of their learning experience, using the current student satisfaction may be a good practice rather than the L&amp;T variables on the websites. However, the current students’ satisfaction has </w:t>
      </w:r>
      <w:r w:rsidR="00A700F4">
        <w:t xml:space="preserve">a </w:t>
      </w:r>
      <w:r>
        <w:t xml:space="preserve">fairly weak association with the future satisfaction except for Organisation and Management (0.819) and Assessment and Feedback (0.731); but these two scales appear to have a negative overlap with each other (Finding 5). </w:t>
      </w:r>
    </w:p>
    <w:p w14:paraId="7F7907A6" w14:textId="77777777" w:rsidR="00A101B9" w:rsidRDefault="00A101B9" w:rsidP="00C350DF">
      <w:pPr>
        <w:pStyle w:val="Heading1"/>
      </w:pPr>
      <w:r>
        <w:t>Conclusion</w:t>
      </w:r>
    </w:p>
    <w:p w14:paraId="6127619D" w14:textId="77777777" w:rsidR="00A101B9" w:rsidRDefault="00A101B9" w:rsidP="00C350DF">
      <w:pPr>
        <w:pStyle w:val="Paragraph"/>
      </w:pPr>
      <w:r>
        <w:t xml:space="preserve">In this study, the L&amp;T information is derived from recommendations by the </w:t>
      </w:r>
      <w:r>
        <w:rPr>
          <w:noProof/>
        </w:rPr>
        <w:t>QAA (2013a; 2013b; 2013c)</w:t>
      </w:r>
      <w:r>
        <w:t xml:space="preserve"> which are based on students’ judgements of their information needs, that is, it is student-informed. Further, whilst the L&amp;T information investigated was additional information to the KIS, it can provide students with insights to whether they need to look at additional data during their decision-making process. Further, the information data used in this research was determined by only whether it was present or not and hence more research needs to be conducted in investigating the qualitative value of the information for students’ satisfaction.</w:t>
      </w:r>
    </w:p>
    <w:p w14:paraId="3ED8BD0B" w14:textId="77777777" w:rsidR="00A101B9" w:rsidRDefault="00A101B9" w:rsidP="00C350DF">
      <w:pPr>
        <w:pStyle w:val="Newparagraph"/>
      </w:pPr>
      <w:r>
        <w:t xml:space="preserve">As the 36 HEIs were stratified to be representative of UK HEIs, the results in this study could be extrapolated to other UK HEIs as it represents the UK. However, as there is a global trend to market HE to both local and international students </w:t>
      </w:r>
      <w:r>
        <w:rPr>
          <w:noProof/>
        </w:rPr>
        <w:t>(Binsardi and Ekwulugo 2003; Authors, 2019)</w:t>
      </w:r>
      <w:r>
        <w:t xml:space="preserve">, particularly for those countries with </w:t>
      </w:r>
      <w:r>
        <w:lastRenderedPageBreak/>
        <w:t xml:space="preserve">liberal market economies such as the United States, Australia and Canada </w:t>
      </w:r>
      <w:r>
        <w:rPr>
          <w:noProof/>
        </w:rPr>
        <w:t>(Tomlinson 2016)</w:t>
      </w:r>
      <w:r>
        <w:t xml:space="preserve">, to remain competitive, HEIs’ marketing-related experts are also providing similar types of information as their British competitors to their prospective students to ensure </w:t>
      </w:r>
      <w:r w:rsidRPr="006F47A4">
        <w:rPr>
          <w:noProof/>
        </w:rPr>
        <w:t>favourable</w:t>
      </w:r>
      <w:r>
        <w:t xml:space="preserve"> outcomes </w:t>
      </w:r>
      <w:r>
        <w:rPr>
          <w:noProof/>
        </w:rPr>
        <w:t>(see for example Branco Oliveira and Soares 2016; Simões and Soares 2010)</w:t>
      </w:r>
      <w:r>
        <w:t xml:space="preserve">. Therefore, the findings from this study can be extrapolated to other HEIs, in </w:t>
      </w:r>
      <w:r w:rsidRPr="00EE333A">
        <w:rPr>
          <w:noProof/>
        </w:rPr>
        <w:t>particular</w:t>
      </w:r>
      <w:r>
        <w:rPr>
          <w:noProof/>
        </w:rPr>
        <w:t>,</w:t>
      </w:r>
      <w:r>
        <w:t xml:space="preserve"> that the information provided by HEI market-related experts can be hit or miss in explaining the student learning experience satisfaction, and a vast majority of the information present do not explain the current student learning experience and in almost all cases cannot explain the future student learning experience.</w:t>
      </w:r>
    </w:p>
    <w:p w14:paraId="1BD93640" w14:textId="77777777" w:rsidR="00A101B9" w:rsidRDefault="00A101B9" w:rsidP="00C350DF">
      <w:pPr>
        <w:pStyle w:val="Newparagraph"/>
      </w:pPr>
      <w:r>
        <w:t xml:space="preserve">In terms of the methodology, the determination of the presence of L&amp;T information was not an exhaustive web search for L&amp;T information. However, the generous time of 30 minutes to explore the websites for each programme is more than the average length of visitation for finding information on </w:t>
      </w:r>
      <w:r w:rsidRPr="00EE333A">
        <w:rPr>
          <w:noProof/>
        </w:rPr>
        <w:t>web</w:t>
      </w:r>
      <w:r>
        <w:rPr>
          <w:noProof/>
        </w:rPr>
        <w:t xml:space="preserve"> </w:t>
      </w:r>
      <w:r w:rsidRPr="00EE333A">
        <w:rPr>
          <w:noProof/>
        </w:rPr>
        <w:t>pages</w:t>
      </w:r>
      <w:r>
        <w:t xml:space="preserve"> (just over a minute) </w:t>
      </w:r>
      <w:r>
        <w:rPr>
          <w:noProof/>
        </w:rPr>
        <w:t>(Liu</w:t>
      </w:r>
      <w:r w:rsidRPr="007D5236">
        <w:rPr>
          <w:i/>
          <w:noProof/>
        </w:rPr>
        <w:t xml:space="preserve"> et al.</w:t>
      </w:r>
      <w:r>
        <w:rPr>
          <w:noProof/>
        </w:rPr>
        <w:t xml:space="preserve"> 2010)</w:t>
      </w:r>
      <w:r>
        <w:t xml:space="preserve"> and would be sufficient time to find the main information that marketing experts intend for prospective students to note. </w:t>
      </w:r>
    </w:p>
    <w:p w14:paraId="7702F443" w14:textId="77777777" w:rsidR="00A101B9" w:rsidRDefault="00A101B9" w:rsidP="00C350DF">
      <w:pPr>
        <w:pStyle w:val="Newparagraph"/>
      </w:pPr>
      <w:r>
        <w:t xml:space="preserve">Also, the satisfaction of the </w:t>
      </w:r>
      <w:r w:rsidRPr="00EE333A">
        <w:rPr>
          <w:noProof/>
        </w:rPr>
        <w:t>student</w:t>
      </w:r>
      <w:r>
        <w:t xml:space="preserve"> learning experience was measured in the final year of students’ degree which may be affected by immediacy bias effects. However, the NSS is a </w:t>
      </w:r>
      <w:r w:rsidRPr="00EE333A">
        <w:rPr>
          <w:noProof/>
        </w:rPr>
        <w:t>national</w:t>
      </w:r>
      <w:r>
        <w:t xml:space="preserve"> survey that was measured across all HEIs at approximately the same time, hence, immediacy bias effects will be random and present for all HEIs. Further, the perceived student learning experience was considered only against five scales and does not consider additional scales of the student learning experience such as personal development </w:t>
      </w:r>
      <w:r>
        <w:rPr>
          <w:noProof/>
        </w:rPr>
        <w:t>(HEFCE 2016)</w:t>
      </w:r>
      <w:r>
        <w:t>.</w:t>
      </w:r>
    </w:p>
    <w:p w14:paraId="4761A553" w14:textId="77777777" w:rsidR="00A101B9" w:rsidRDefault="00A101B9" w:rsidP="00C350DF">
      <w:pPr>
        <w:pStyle w:val="Newparagraph"/>
      </w:pPr>
      <w:r>
        <w:t xml:space="preserve">Finally, the student learning experience, itself, whilst shaped by the university environment (which is represented through the website information) is also dependent </w:t>
      </w:r>
      <w:r>
        <w:lastRenderedPageBreak/>
        <w:t>on what the student brings and how they engage in the programme. Therefore, any student’s learning experience will be dependent on their motivations for study and their background which is not captured specifically in this data.</w:t>
      </w:r>
    </w:p>
    <w:p w14:paraId="08104C14" w14:textId="77777777" w:rsidR="00A101B9" w:rsidRDefault="00A101B9" w:rsidP="00C350DF">
      <w:pPr>
        <w:pStyle w:val="Heading2"/>
      </w:pPr>
      <w:r>
        <w:t>Implications of the Study</w:t>
      </w:r>
    </w:p>
    <w:p w14:paraId="74435675" w14:textId="77777777" w:rsidR="00A101B9" w:rsidRDefault="00A101B9" w:rsidP="00C350DF">
      <w:pPr>
        <w:pStyle w:val="Paragraph"/>
      </w:pPr>
      <w:r>
        <w:t>There are three</w:t>
      </w:r>
      <w:r>
        <w:rPr>
          <w:noProof/>
        </w:rPr>
        <w:t xml:space="preserve"> </w:t>
      </w:r>
      <w:r>
        <w:t xml:space="preserve">implications of this research. Firstly, prospective students should not judge HEIs’ current and future student learning experience based on whether the L&amp;T information is present. HEIs without some key L&amp;T information may offer better satisfaction with the student learning experience but may not have expressed this on their websites explicitly. </w:t>
      </w:r>
    </w:p>
    <w:p w14:paraId="5658B360" w14:textId="77777777" w:rsidR="00A101B9" w:rsidRDefault="00A101B9" w:rsidP="00C350DF">
      <w:pPr>
        <w:pStyle w:val="Newparagraph"/>
      </w:pPr>
      <w:r>
        <w:t xml:space="preserve">Secondly, prospective students who wish to predict their satisfaction with their future student learning experience may only need to ignore the web pages and look to past student satisfaction but with the recognition. Thirdly, the L&amp;T information made available on the website more accurately reflects the experience of current students rather than the prospective cohort towards whom it is actually. </w:t>
      </w:r>
      <w:r w:rsidRPr="00085575">
        <w:t xml:space="preserve">However, even within a perfect information system, marketing experts can only provide information that represents the current student learning experience and not the future student learning experience (i.e. the student learning experience during the three years of the degree). </w:t>
      </w:r>
    </w:p>
    <w:p w14:paraId="23E640DE" w14:textId="77777777" w:rsidR="00A101B9" w:rsidRDefault="00A101B9" w:rsidP="00C350DF">
      <w:pPr>
        <w:pStyle w:val="Newparagraph"/>
      </w:pPr>
      <w:r>
        <w:t xml:space="preserve"> Therefore, we have provided evidence to question the validity of this practice as HEIs are presenting information which is based on the cohort which has already chosen them and their data cannot represent the experience for those students who they are trying to attract. Therefore, the presence of a wide range of information to prospective students may be meaningless as the majority of it cannot help them predict their satisfaction with their future learning experience. </w:t>
      </w:r>
    </w:p>
    <w:p w14:paraId="53535A11" w14:textId="77777777" w:rsidR="00A101B9" w:rsidRDefault="00A101B9" w:rsidP="00C350DF">
      <w:pPr>
        <w:pStyle w:val="Newparagraph"/>
      </w:pPr>
      <w:r>
        <w:t>These findings, therefore, suggest that HEIs should:</w:t>
      </w:r>
    </w:p>
    <w:p w14:paraId="3FB31AB6" w14:textId="77777777" w:rsidR="00A101B9" w:rsidRDefault="00A101B9" w:rsidP="00C350DF">
      <w:pPr>
        <w:pStyle w:val="Newparagraph"/>
        <w:numPr>
          <w:ilvl w:val="0"/>
          <w:numId w:val="22"/>
        </w:numPr>
      </w:pPr>
      <w:r>
        <w:lastRenderedPageBreak/>
        <w:t>Use evidence-based research in deciding the range of information needed to provide to students rather than following regulatory bodies’ recommendations</w:t>
      </w:r>
    </w:p>
    <w:p w14:paraId="55149E78" w14:textId="77777777" w:rsidR="00A101B9" w:rsidRDefault="00A101B9" w:rsidP="00C350DF">
      <w:pPr>
        <w:pStyle w:val="Newparagraph"/>
        <w:numPr>
          <w:ilvl w:val="0"/>
          <w:numId w:val="22"/>
        </w:numPr>
      </w:pPr>
      <w:r>
        <w:t>Spend their large amount of monies in developing the student experience instead of on providing unhelpful information to prospective students and</w:t>
      </w:r>
    </w:p>
    <w:p w14:paraId="13104015" w14:textId="77777777" w:rsidR="00A101B9" w:rsidRDefault="00A101B9" w:rsidP="00C350DF">
      <w:pPr>
        <w:pStyle w:val="Newparagraph"/>
        <w:numPr>
          <w:ilvl w:val="0"/>
          <w:numId w:val="22"/>
        </w:numPr>
      </w:pPr>
      <w:r>
        <w:t xml:space="preserve">Avoid providing non-instrumental information to students which may make their decision-making process more difficult as it does not impact on their future student learning experience satisfaction </w:t>
      </w:r>
      <w:r>
        <w:rPr>
          <w:noProof/>
        </w:rPr>
        <w:t>(Bastardi and Shafir 1998)</w:t>
      </w:r>
      <w:r>
        <w:t xml:space="preserve">. </w:t>
      </w:r>
    </w:p>
    <w:p w14:paraId="71771AFA" w14:textId="77777777" w:rsidR="00A101B9" w:rsidRDefault="00A101B9" w:rsidP="00C350DF">
      <w:pPr>
        <w:pStyle w:val="Newparagraph"/>
      </w:pPr>
      <w:r>
        <w:t xml:space="preserve">However, HEIs are probably providing a wide range of information as a tactical marketing strategy to demonstrate that they respect and listen to their student customers’ information needs and this tactic may be helpful in building </w:t>
      </w:r>
      <w:proofErr w:type="spellStart"/>
      <w:r>
        <w:t>customership</w:t>
      </w:r>
      <w:proofErr w:type="spellEnd"/>
      <w:r>
        <w:t xml:space="preserve"> within the marketisation context </w:t>
      </w:r>
      <w:r>
        <w:rPr>
          <w:noProof/>
        </w:rPr>
        <w:t>(Ramsey and Sohi 1997)</w:t>
      </w:r>
      <w:r>
        <w:t>. This may be even so if the presence of the information may not be useful to the student customer in contributing to their understanding of the future student learning experience. Perhaps, if HEIs are committed to using the corrosive corporate</w:t>
      </w:r>
      <w:r w:rsidR="00A700F4">
        <w:t>-</w:t>
      </w:r>
      <w:r>
        <w:t xml:space="preserve">speak of marketisation </w:t>
      </w:r>
      <w:r>
        <w:rPr>
          <w:noProof/>
        </w:rPr>
        <w:t>(Katz 2015)</w:t>
      </w:r>
      <w:r>
        <w:t>, then the information on HEIs should come with a disclaimer that past student learning experience satisfaction is not a predictor of future student learning experience satisfaction.</w:t>
      </w:r>
    </w:p>
    <w:p w14:paraId="0152CF40" w14:textId="77777777" w:rsidR="00A101B9" w:rsidRDefault="00A101B9" w:rsidP="00C350DF">
      <w:pPr>
        <w:pStyle w:val="Newparagraph"/>
      </w:pPr>
    </w:p>
    <w:p w14:paraId="60E5896A" w14:textId="77777777" w:rsidR="00A101B9" w:rsidRDefault="00A101B9" w:rsidP="00A101B9">
      <w:pPr>
        <w:pStyle w:val="Heading1"/>
      </w:pPr>
      <w:r>
        <w:t>References</w:t>
      </w:r>
    </w:p>
    <w:p w14:paraId="60D58611" w14:textId="77777777" w:rsidR="00A101B9" w:rsidRDefault="00A101B9" w:rsidP="00C350DF">
      <w:pPr>
        <w:pStyle w:val="EndNoteBibliographyTitle"/>
        <w:jc w:val="left"/>
      </w:pPr>
      <w:r>
        <w:t>Authors, 2017</w:t>
      </w:r>
    </w:p>
    <w:p w14:paraId="7A852851" w14:textId="77777777" w:rsidR="00A101B9" w:rsidRPr="00AD3DDB" w:rsidRDefault="00A101B9" w:rsidP="00C350DF">
      <w:pPr>
        <w:pStyle w:val="EndNoteBibliographyTitle"/>
        <w:jc w:val="left"/>
      </w:pPr>
      <w:r>
        <w:t>Authors, 2019</w:t>
      </w:r>
    </w:p>
    <w:p w14:paraId="6168AC13" w14:textId="77777777" w:rsidR="00A101B9" w:rsidRPr="00AD3DDB" w:rsidRDefault="00A101B9" w:rsidP="00C350DF">
      <w:pPr>
        <w:pStyle w:val="EndNoteBibliography"/>
        <w:ind w:left="720" w:hanging="720"/>
      </w:pPr>
      <w:r w:rsidRPr="00AD3DDB">
        <w:lastRenderedPageBreak/>
        <w:t xml:space="preserve">Akerlof, G.A. 1978. The market for "lemons": Quality uncertainty and the market mechanism. In </w:t>
      </w:r>
      <w:r w:rsidRPr="00AD3DDB">
        <w:rPr>
          <w:i/>
        </w:rPr>
        <w:t>Uncertainty in economics</w:t>
      </w:r>
      <w:r w:rsidRPr="00AD3DDB">
        <w:t>, eds Diamond, P and Rothschild, M, 235-51: Academic Press.</w:t>
      </w:r>
    </w:p>
    <w:p w14:paraId="079E5076" w14:textId="77777777" w:rsidR="00A101B9" w:rsidRPr="00AD3DDB" w:rsidRDefault="00A101B9" w:rsidP="00C350DF">
      <w:pPr>
        <w:pStyle w:val="EndNoteBibliography"/>
        <w:ind w:left="720" w:hanging="720"/>
      </w:pPr>
      <w:r w:rsidRPr="00AD3DDB">
        <w:t>Asparouhov, T. and B. Muthén. S</w:t>
      </w:r>
      <w:r w:rsidR="00A700F4">
        <w:t>RMR</w:t>
      </w:r>
      <w:r w:rsidRPr="00AD3DDB">
        <w:t xml:space="preserve"> in </w:t>
      </w:r>
      <w:r w:rsidR="00A700F4">
        <w:t>M</w:t>
      </w:r>
      <w:r w:rsidRPr="00AD3DDB">
        <w:t xml:space="preserve">plus. </w:t>
      </w:r>
      <w:r w:rsidRPr="00A101B9">
        <w:rPr>
          <w:u w:val="single"/>
        </w:rPr>
        <w:t>http://www.statmodel.com/download/SRMR2.pdf</w:t>
      </w:r>
      <w:r w:rsidRPr="00AD3DDB">
        <w:t>.</w:t>
      </w:r>
    </w:p>
    <w:p w14:paraId="5F81867F" w14:textId="77777777" w:rsidR="00A101B9" w:rsidRPr="00AD3DDB" w:rsidRDefault="00A101B9" w:rsidP="00C350DF">
      <w:pPr>
        <w:pStyle w:val="EndNoteBibliography"/>
        <w:ind w:left="720" w:hanging="720"/>
      </w:pPr>
      <w:r w:rsidRPr="00AD3DDB">
        <w:t xml:space="preserve">Bastardi, A. and E. Shafir. 1998. On the pursuit and misuse of useless information. </w:t>
      </w:r>
      <w:r w:rsidRPr="00AD3DDB">
        <w:rPr>
          <w:i/>
        </w:rPr>
        <w:t>Journal of Personality and Social Psychology</w:t>
      </w:r>
      <w:r w:rsidRPr="00AD3DDB">
        <w:t xml:space="preserve"> 75, no 1: 19-32.</w:t>
      </w:r>
    </w:p>
    <w:p w14:paraId="0711A8DB" w14:textId="77777777" w:rsidR="00A101B9" w:rsidRPr="00AD3DDB" w:rsidRDefault="00A101B9" w:rsidP="00C350DF">
      <w:pPr>
        <w:pStyle w:val="EndNoteBibliography"/>
        <w:ind w:left="720" w:hanging="720"/>
      </w:pPr>
      <w:r w:rsidRPr="00AD3DDB">
        <w:t xml:space="preserve">Binsardi, A. and F. Ekwulugo. 2003. International marketing of </w:t>
      </w:r>
      <w:r w:rsidR="00A700F4">
        <w:t>B</w:t>
      </w:r>
      <w:r w:rsidRPr="00AD3DDB">
        <w:t xml:space="preserve">ritish education: Research on the students' perception and the </w:t>
      </w:r>
      <w:r w:rsidR="00A700F4">
        <w:t>UK</w:t>
      </w:r>
      <w:r w:rsidRPr="00AD3DDB">
        <w:t xml:space="preserve"> market penetration. </w:t>
      </w:r>
      <w:r w:rsidRPr="00AD3DDB">
        <w:rPr>
          <w:i/>
        </w:rPr>
        <w:t>Marketing Intelligence &amp; Planning</w:t>
      </w:r>
      <w:r w:rsidRPr="00AD3DDB">
        <w:t xml:space="preserve"> 21, no 5: 318-27.</w:t>
      </w:r>
    </w:p>
    <w:p w14:paraId="4B87908E" w14:textId="77777777" w:rsidR="00A101B9" w:rsidRPr="00AD3DDB" w:rsidRDefault="00A101B9" w:rsidP="00C350DF">
      <w:pPr>
        <w:pStyle w:val="EndNoteBibliography"/>
        <w:ind w:left="720" w:hanging="720"/>
      </w:pPr>
      <w:r w:rsidRPr="00AD3DDB">
        <w:t>Bis. 2011. Higher education: Students at the heart of the system. London: UK Department for Business Innovation Innovation &amp; Skills.</w:t>
      </w:r>
    </w:p>
    <w:p w14:paraId="2AC17DDD" w14:textId="77777777" w:rsidR="00A101B9" w:rsidRPr="00AD3DDB" w:rsidRDefault="00A101B9" w:rsidP="00C350DF">
      <w:pPr>
        <w:pStyle w:val="EndNoteBibliography"/>
        <w:ind w:left="720" w:hanging="720"/>
      </w:pPr>
      <w:r w:rsidRPr="00AD3DDB">
        <w:t xml:space="preserve">Branco Oliveira, D. and A.M. Soares. 2016. Studying abroad: Developing a model for the decision process of international students. </w:t>
      </w:r>
      <w:r w:rsidRPr="00AD3DDB">
        <w:rPr>
          <w:i/>
        </w:rPr>
        <w:t>Journal of Higher Education Policy and Management</w:t>
      </w:r>
      <w:r w:rsidRPr="00AD3DDB">
        <w:t xml:space="preserve"> 38, no 2: 126-39.</w:t>
      </w:r>
    </w:p>
    <w:p w14:paraId="5C065ECD" w14:textId="77777777" w:rsidR="00A101B9" w:rsidRPr="00AD3DDB" w:rsidRDefault="00A101B9" w:rsidP="00C350DF">
      <w:pPr>
        <w:pStyle w:val="EndNoteBibliography"/>
        <w:ind w:left="720" w:hanging="720"/>
      </w:pPr>
      <w:r w:rsidRPr="00AD3DDB">
        <w:t>Browne, J., M. Barber, D. Coyle, D. Eastwood, J. King, R. Naik and P. Sands. 2010. Securing a sustainable future for higher education: An independent review of higher education funding and student finance. London: Department for Business, Innovation &amp; Skills.</w:t>
      </w:r>
    </w:p>
    <w:p w14:paraId="7B6FBE4D" w14:textId="77777777" w:rsidR="00A101B9" w:rsidRPr="00AD3DDB" w:rsidRDefault="00A101B9" w:rsidP="00C350DF">
      <w:pPr>
        <w:pStyle w:val="EndNoteBibliography"/>
        <w:ind w:left="720" w:hanging="720"/>
      </w:pPr>
      <w:r w:rsidRPr="00AD3DDB">
        <w:t xml:space="preserve">Brydevall, M., D. Bennett, C. Murawski and S. Bode. 2018. The neural encoding of information prediction errors during non-instrumental information seeking. </w:t>
      </w:r>
      <w:r w:rsidRPr="00AD3DDB">
        <w:rPr>
          <w:i/>
        </w:rPr>
        <w:t>Scientific Reports</w:t>
      </w:r>
      <w:r w:rsidRPr="00AD3DDB">
        <w:t xml:space="preserve"> 8, no 1: 6134.</w:t>
      </w:r>
    </w:p>
    <w:p w14:paraId="08E49C64" w14:textId="77777777" w:rsidR="00A101B9" w:rsidRPr="00AD3DDB" w:rsidRDefault="00A101B9" w:rsidP="00C350DF">
      <w:pPr>
        <w:pStyle w:val="EndNoteBibliography"/>
        <w:ind w:left="720" w:hanging="720"/>
      </w:pPr>
      <w:r w:rsidRPr="00AD3DDB">
        <w:t xml:space="preserve">Burge, P., C.W. Kim, C. Rohr, M. Frearson and B. Guerin. 2014. Understanding the impact of differential university fees in </w:t>
      </w:r>
      <w:r w:rsidR="00A700F4">
        <w:t>E</w:t>
      </w:r>
      <w:r w:rsidRPr="00AD3DDB">
        <w:t>ngland. Cambridge.</w:t>
      </w:r>
    </w:p>
    <w:p w14:paraId="45506B17" w14:textId="77777777" w:rsidR="00A101B9" w:rsidRPr="00AD3DDB" w:rsidRDefault="00A101B9" w:rsidP="00C350DF">
      <w:pPr>
        <w:pStyle w:val="EndNoteBibliography"/>
        <w:ind w:left="720" w:hanging="720"/>
      </w:pPr>
      <w:r w:rsidRPr="00AD3DDB">
        <w:t xml:space="preserve">Burgman, M.A. 2015. What's wrong with consulting experts? In </w:t>
      </w:r>
      <w:r w:rsidRPr="00AD3DDB">
        <w:rPr>
          <w:i/>
        </w:rPr>
        <w:t>Trusting judgements: How to get the best out of experts</w:t>
      </w:r>
      <w:r w:rsidRPr="00AD3DDB">
        <w:t>, ed. Burgman, MA, 1-26. Cambridge: Cambridge University Press.</w:t>
      </w:r>
    </w:p>
    <w:p w14:paraId="39292520" w14:textId="77777777" w:rsidR="00A101B9" w:rsidRPr="00AD3DDB" w:rsidRDefault="00A101B9" w:rsidP="00C350DF">
      <w:pPr>
        <w:pStyle w:val="EndNoteBibliography"/>
        <w:ind w:left="720" w:hanging="720"/>
      </w:pPr>
      <w:r w:rsidRPr="00AD3DDB">
        <w:t xml:space="preserve">Calvo, R.A., L. Markauskaite and K. Trigwell. 2010. Factors affecting students’ experiences and satisfaction about teaching quality in engineering. </w:t>
      </w:r>
      <w:r w:rsidRPr="00AD3DDB">
        <w:rPr>
          <w:i/>
        </w:rPr>
        <w:t>Australasian Journal of Engineering Education</w:t>
      </w:r>
      <w:r w:rsidRPr="00AD3DDB">
        <w:t xml:space="preserve"> 16, no 2: 139-48.</w:t>
      </w:r>
    </w:p>
    <w:p w14:paraId="7A82194F" w14:textId="77777777" w:rsidR="00A101B9" w:rsidRPr="00AD3DDB" w:rsidRDefault="00A101B9" w:rsidP="00C350DF">
      <w:pPr>
        <w:pStyle w:val="EndNoteBibliography"/>
        <w:ind w:left="720" w:hanging="720"/>
      </w:pPr>
      <w:r w:rsidRPr="00AD3DDB">
        <w:t xml:space="preserve">Canning, J. 2015. Half a million unsatisfied graduates? Increasing scrutiny of national student survey's ‘overall'question. </w:t>
      </w:r>
      <w:r w:rsidRPr="00AD3DDB">
        <w:rPr>
          <w:i/>
        </w:rPr>
        <w:t>Educational Developments</w:t>
      </w:r>
      <w:r w:rsidRPr="00AD3DDB">
        <w:t xml:space="preserve"> 16, no 3.</w:t>
      </w:r>
    </w:p>
    <w:p w14:paraId="6C11DFFC" w14:textId="77777777" w:rsidR="00A101B9" w:rsidRPr="00AD3DDB" w:rsidRDefault="00A101B9" w:rsidP="00C350DF">
      <w:pPr>
        <w:pStyle w:val="EndNoteBibliography"/>
        <w:ind w:left="720" w:hanging="720"/>
      </w:pPr>
      <w:r w:rsidRPr="00AD3DDB">
        <w:t xml:space="preserve">Chapleo, C., M.V. Carrillo Durán and A. Castillo Díaz. 2011. Do </w:t>
      </w:r>
      <w:r w:rsidR="00A700F4">
        <w:t>UK</w:t>
      </w:r>
      <w:r w:rsidRPr="00AD3DDB">
        <w:t xml:space="preserve"> universities communicate their brands effectively through their websites? </w:t>
      </w:r>
      <w:r w:rsidRPr="00AD3DDB">
        <w:rPr>
          <w:i/>
        </w:rPr>
        <w:t>Journal of Marketing for Higher Education</w:t>
      </w:r>
      <w:r w:rsidRPr="00AD3DDB">
        <w:t xml:space="preserve"> 21, no 1: 25-46.</w:t>
      </w:r>
    </w:p>
    <w:p w14:paraId="04CAC328" w14:textId="77777777" w:rsidR="00A101B9" w:rsidRPr="00AD3DDB" w:rsidRDefault="00A101B9" w:rsidP="00C350DF">
      <w:pPr>
        <w:pStyle w:val="EndNoteBibliography"/>
        <w:ind w:left="720" w:hanging="720"/>
      </w:pPr>
      <w:r w:rsidRPr="00AD3DDB">
        <w:t xml:space="preserve">Cheng, J.H.S. and H.W. Marsh. 2010. National student survey: Are differences between universities and courses reliable and meaningful? </w:t>
      </w:r>
      <w:r w:rsidRPr="00AD3DDB">
        <w:rPr>
          <w:i/>
        </w:rPr>
        <w:t>Oxford Review of Education</w:t>
      </w:r>
      <w:r w:rsidRPr="00AD3DDB">
        <w:t xml:space="preserve"> 36, no 6: 693-712.</w:t>
      </w:r>
    </w:p>
    <w:p w14:paraId="71AD8BB4" w14:textId="77777777" w:rsidR="00A101B9" w:rsidRPr="00AD3DDB" w:rsidRDefault="00A101B9" w:rsidP="00C350DF">
      <w:pPr>
        <w:pStyle w:val="EndNoteBibliography"/>
        <w:ind w:left="720" w:hanging="720"/>
      </w:pPr>
      <w:r w:rsidRPr="00AD3DDB">
        <w:t xml:space="preserve">Coccari, R.L. and R.G. Javalgi. 1995. Analysis of students' needs in selecting a college or university in a changing environment. </w:t>
      </w:r>
      <w:r w:rsidRPr="00AD3DDB">
        <w:rPr>
          <w:i/>
        </w:rPr>
        <w:t>Journal of Marketing for Higher Education</w:t>
      </w:r>
      <w:r w:rsidRPr="00AD3DDB">
        <w:t xml:space="preserve"> 6, no 2: 27-40.</w:t>
      </w:r>
    </w:p>
    <w:p w14:paraId="29D55EBF" w14:textId="77777777" w:rsidR="00A101B9" w:rsidRPr="00AD3DDB" w:rsidRDefault="00A101B9" w:rsidP="00C350DF">
      <w:pPr>
        <w:pStyle w:val="EndNoteBibliography"/>
        <w:ind w:left="720" w:hanging="720"/>
      </w:pPr>
      <w:r w:rsidRPr="00AD3DDB">
        <w:t>D</w:t>
      </w:r>
      <w:r w:rsidR="00A700F4">
        <w:t>ELNI</w:t>
      </w:r>
      <w:r w:rsidRPr="00AD3DDB">
        <w:t>, H</w:t>
      </w:r>
      <w:r w:rsidR="00A700F4">
        <w:t>EFCE</w:t>
      </w:r>
      <w:r w:rsidRPr="00AD3DDB">
        <w:t>, H</w:t>
      </w:r>
      <w:r w:rsidR="00A700F4">
        <w:t>EFCW</w:t>
      </w:r>
      <w:r w:rsidRPr="00AD3DDB">
        <w:t xml:space="preserve"> and S</w:t>
      </w:r>
      <w:r w:rsidR="00A700F4">
        <w:t>FC</w:t>
      </w:r>
      <w:r w:rsidRPr="00AD3DDB">
        <w:t>. 2015. Uk review of information about higher education - report on the review of the key information set and unistats. Bristol: HEFCE.</w:t>
      </w:r>
    </w:p>
    <w:p w14:paraId="79A07DA8" w14:textId="77777777" w:rsidR="00A101B9" w:rsidRPr="00AD3DDB" w:rsidRDefault="00A101B9" w:rsidP="00C350DF">
      <w:pPr>
        <w:pStyle w:val="EndNoteBibliography"/>
        <w:ind w:left="720" w:hanging="720"/>
      </w:pPr>
      <w:r w:rsidRPr="00AD3DDB">
        <w:t xml:space="preserve">Diamond, A., J. Evans, J. Sheen and G. Birkin. 2015. Uk review of information about higher education: Information mapping study: Report to the </w:t>
      </w:r>
      <w:r w:rsidR="00A700F4">
        <w:t>UK</w:t>
      </w:r>
      <w:r w:rsidRPr="00AD3DDB">
        <w:t xml:space="preserve"> higher education funding bodies. Leicester: CFE.</w:t>
      </w:r>
    </w:p>
    <w:p w14:paraId="1D017FAF" w14:textId="77777777" w:rsidR="00A101B9" w:rsidRPr="00AD3DDB" w:rsidRDefault="00A101B9" w:rsidP="00C350DF">
      <w:pPr>
        <w:pStyle w:val="EndNoteBibliography"/>
        <w:ind w:left="720" w:hanging="720"/>
      </w:pPr>
      <w:r w:rsidRPr="00AD3DDB">
        <w:t>Diamond, A., T. Vorley, J. Roberts and S. Jones. 2012. Behavioural approaches to understanding student choice. York, UK: Higher Education Academy.</w:t>
      </w:r>
    </w:p>
    <w:p w14:paraId="5D8C148B" w14:textId="77777777" w:rsidR="00A101B9" w:rsidRPr="00AD3DDB" w:rsidRDefault="00A101B9" w:rsidP="00C350DF">
      <w:pPr>
        <w:pStyle w:val="EndNoteBibliography"/>
        <w:ind w:left="720" w:hanging="720"/>
      </w:pPr>
      <w:r w:rsidRPr="00AD3DDB">
        <w:t>Gibbs, G. 2010. Dimensions of quality. York: Higher Education Academy.</w:t>
      </w:r>
    </w:p>
    <w:p w14:paraId="61FD0CA2" w14:textId="77777777" w:rsidR="00A101B9" w:rsidRPr="00AD3DDB" w:rsidRDefault="00A101B9" w:rsidP="00C350DF">
      <w:pPr>
        <w:pStyle w:val="EndNoteBibliography"/>
        <w:ind w:left="720" w:hanging="720"/>
      </w:pPr>
      <w:r w:rsidRPr="00AD3DDB">
        <w:lastRenderedPageBreak/>
        <w:t xml:space="preserve">Gordon, J. and S. Berhow. 2009. University websites and dialogic features for building relationships with potential students. </w:t>
      </w:r>
      <w:r w:rsidRPr="00AD3DDB">
        <w:rPr>
          <w:i/>
        </w:rPr>
        <w:t>Public Relations Review</w:t>
      </w:r>
      <w:r w:rsidRPr="00AD3DDB">
        <w:t xml:space="preserve"> 35, no 2: 150-52.</w:t>
      </w:r>
    </w:p>
    <w:p w14:paraId="43DA9185" w14:textId="77777777" w:rsidR="00A101B9" w:rsidRPr="00AD3DDB" w:rsidRDefault="00A101B9" w:rsidP="00C350DF">
      <w:pPr>
        <w:pStyle w:val="EndNoteBibliography"/>
        <w:ind w:left="720" w:hanging="720"/>
      </w:pPr>
      <w:r w:rsidRPr="00AD3DDB">
        <w:t xml:space="preserve">Gravett, K. and N.E. Winstone. 2018. ‘Feedback interpreters’: The role of learning development professionals in facilitating university students’ engagement with feedback. </w:t>
      </w:r>
      <w:r w:rsidRPr="00AD3DDB">
        <w:rPr>
          <w:i/>
        </w:rPr>
        <w:t>Teaching in Higher Education</w:t>
      </w:r>
      <w:r w:rsidRPr="00AD3DDB">
        <w:t>: 1-16.</w:t>
      </w:r>
    </w:p>
    <w:p w14:paraId="330D8005" w14:textId="77777777" w:rsidR="00A101B9" w:rsidRPr="00AD3DDB" w:rsidRDefault="00A101B9" w:rsidP="00C350DF">
      <w:pPr>
        <w:pStyle w:val="EndNoteBibliography"/>
        <w:ind w:left="720" w:hanging="720"/>
      </w:pPr>
      <w:r w:rsidRPr="00AD3DDB">
        <w:t>Hefce. 2012. Key information sets and unistats: Overview and next steps. Bristol: HEFCE.</w:t>
      </w:r>
    </w:p>
    <w:p w14:paraId="27F51E74" w14:textId="77777777" w:rsidR="00A101B9" w:rsidRPr="00AD3DDB" w:rsidRDefault="00A101B9" w:rsidP="00C350DF">
      <w:pPr>
        <w:pStyle w:val="EndNoteBibliography"/>
        <w:ind w:left="720" w:hanging="720"/>
      </w:pPr>
      <w:r w:rsidRPr="00AD3DDB">
        <w:t>Hefce. 2016. Review of information about learning and teaching, and the student experience: Higher Education Funding Council for England.</w:t>
      </w:r>
    </w:p>
    <w:p w14:paraId="019E0B6E" w14:textId="77777777" w:rsidR="00A101B9" w:rsidRPr="00AD3DDB" w:rsidRDefault="00A101B9" w:rsidP="00C350DF">
      <w:pPr>
        <w:pStyle w:val="EndNoteBibliography"/>
        <w:ind w:left="720" w:hanging="720"/>
      </w:pPr>
      <w:r w:rsidRPr="00AD3DDB">
        <w:t xml:space="preserve">Hemsley-Brown, J. and I. Oplatka. 2006. Universities in a competitive global marketplace: A systematic review of the literature on higher education marketing. </w:t>
      </w:r>
      <w:r w:rsidRPr="00AD3DDB">
        <w:rPr>
          <w:i/>
        </w:rPr>
        <w:t>International Journal of public sector management</w:t>
      </w:r>
      <w:r w:rsidRPr="00AD3DDB">
        <w:t xml:space="preserve"> 19, no 4: 316-38.</w:t>
      </w:r>
    </w:p>
    <w:p w14:paraId="272932C9" w14:textId="77777777" w:rsidR="00A101B9" w:rsidRPr="00AD3DDB" w:rsidRDefault="00A101B9" w:rsidP="00C350DF">
      <w:pPr>
        <w:pStyle w:val="EndNoteBibliography"/>
        <w:ind w:left="720" w:hanging="720"/>
      </w:pPr>
      <w:r w:rsidRPr="00AD3DDB">
        <w:t xml:space="preserve">Hosein, A. and N. Rao. 2015. An impact study of the guidance documents for higher education providers published by </w:t>
      </w:r>
      <w:r w:rsidR="00A700F4">
        <w:t>QAA</w:t>
      </w:r>
      <w:r w:rsidRPr="00AD3DDB">
        <w:t xml:space="preserve"> in 2013. Gloucester: Quality Assurance Agency.</w:t>
      </w:r>
    </w:p>
    <w:p w14:paraId="728E08DB" w14:textId="77777777" w:rsidR="00A101B9" w:rsidRPr="00AD3DDB" w:rsidRDefault="00A101B9" w:rsidP="00C350DF">
      <w:pPr>
        <w:pStyle w:val="EndNoteBibliography"/>
        <w:ind w:left="720" w:hanging="720"/>
      </w:pPr>
      <w:r w:rsidRPr="00AD3DDB">
        <w:t xml:space="preserve">Hu, L.T. and P.M. Bentler. 1999. Cutoff criteria for fit indexes in covariance structure analysis: Conventional criteria versus new alternatives. </w:t>
      </w:r>
      <w:r w:rsidRPr="00AD3DDB">
        <w:rPr>
          <w:i/>
        </w:rPr>
        <w:t>Structural Equation Modeling: A Multidisciplinary Journal</w:t>
      </w:r>
      <w:r w:rsidRPr="00AD3DDB">
        <w:t xml:space="preserve"> 6, no 1: 1-55.</w:t>
      </w:r>
    </w:p>
    <w:p w14:paraId="4DF6BBF9" w14:textId="77777777" w:rsidR="00A101B9" w:rsidRPr="00AD3DDB" w:rsidRDefault="00A101B9" w:rsidP="00C350DF">
      <w:pPr>
        <w:pStyle w:val="EndNoteBibliography"/>
        <w:ind w:left="720" w:hanging="720"/>
      </w:pPr>
      <w:r w:rsidRPr="00AD3DDB">
        <w:t xml:space="preserve">Johnston, T.C. 2010. Who and what influences choice of university? Student and university perceptions. </w:t>
      </w:r>
      <w:r w:rsidRPr="00AD3DDB">
        <w:rPr>
          <w:i/>
        </w:rPr>
        <w:t>American Journal of Business Education (AJBE)</w:t>
      </w:r>
      <w:r w:rsidRPr="00AD3DDB">
        <w:t xml:space="preserve"> 3, no 10.</w:t>
      </w:r>
    </w:p>
    <w:p w14:paraId="0D960BD0" w14:textId="77777777" w:rsidR="00A101B9" w:rsidRPr="00AD3DDB" w:rsidRDefault="00A101B9" w:rsidP="00C350DF">
      <w:pPr>
        <w:pStyle w:val="EndNoteBibliography"/>
        <w:ind w:left="720" w:hanging="720"/>
      </w:pPr>
      <w:r w:rsidRPr="00AD3DDB">
        <w:t xml:space="preserve">Jongbloed, B. 2003. Marketisation in higher education, </w:t>
      </w:r>
      <w:r w:rsidR="00A700F4">
        <w:t>C</w:t>
      </w:r>
      <w:r w:rsidRPr="00AD3DDB">
        <w:t xml:space="preserve">lark's triangle and the essential ingredients of markets. </w:t>
      </w:r>
      <w:r w:rsidRPr="00AD3DDB">
        <w:rPr>
          <w:i/>
        </w:rPr>
        <w:t>Higher Education Quarterly</w:t>
      </w:r>
      <w:r w:rsidRPr="00AD3DDB">
        <w:t xml:space="preserve"> 57, no 2: 110-35.</w:t>
      </w:r>
    </w:p>
    <w:p w14:paraId="504FE18F" w14:textId="77777777" w:rsidR="00A101B9" w:rsidRPr="00AD3DDB" w:rsidRDefault="00A101B9" w:rsidP="00C350DF">
      <w:pPr>
        <w:pStyle w:val="EndNoteBibliography"/>
        <w:ind w:left="720" w:hanging="720"/>
      </w:pPr>
      <w:r w:rsidRPr="00AD3DDB">
        <w:t xml:space="preserve">Katz, L. 2015. Against the corrosive language of corpspeak in the contemporary university. </w:t>
      </w:r>
      <w:r w:rsidRPr="00AD3DDB">
        <w:rPr>
          <w:i/>
        </w:rPr>
        <w:t>Higher Education Research &amp; Development</w:t>
      </w:r>
      <w:r w:rsidRPr="00AD3DDB">
        <w:t xml:space="preserve"> 34, no 3: 554-67.</w:t>
      </w:r>
    </w:p>
    <w:p w14:paraId="238D113A" w14:textId="77777777" w:rsidR="00A101B9" w:rsidRPr="00AD3DDB" w:rsidRDefault="00A101B9" w:rsidP="00C350DF">
      <w:pPr>
        <w:pStyle w:val="EndNoteBibliography"/>
        <w:ind w:left="720" w:hanging="720"/>
      </w:pPr>
      <w:r w:rsidRPr="00AD3DDB">
        <w:t xml:space="preserve">Kokkelenberg, E., M. Dillon and S. Christy. 2008. The effects of class size on student grades at a public university. </w:t>
      </w:r>
      <w:r w:rsidRPr="00AD3DDB">
        <w:rPr>
          <w:i/>
        </w:rPr>
        <w:t>Economics of Education Review</w:t>
      </w:r>
      <w:r w:rsidRPr="00AD3DDB">
        <w:t xml:space="preserve"> 27, no 2: 221-33.</w:t>
      </w:r>
    </w:p>
    <w:p w14:paraId="75DAB595" w14:textId="113FECFB" w:rsidR="00A101B9" w:rsidRDefault="00A101B9" w:rsidP="00C350DF">
      <w:pPr>
        <w:pStyle w:val="EndNoteBibliography"/>
        <w:ind w:left="720" w:hanging="720"/>
      </w:pPr>
      <w:r w:rsidRPr="00AD3DDB">
        <w:t xml:space="preserve">Koppl, R. 2012. Experts and information choice. In </w:t>
      </w:r>
      <w:r w:rsidRPr="00AD3DDB">
        <w:rPr>
          <w:i/>
        </w:rPr>
        <w:t>Experts and epistemic monopolies</w:t>
      </w:r>
      <w:r w:rsidRPr="00AD3DDB">
        <w:t>, eds Koppl, R, Horwitz, S and Dobuzinskis, L, 171-202.</w:t>
      </w:r>
    </w:p>
    <w:p w14:paraId="5C731CFE" w14:textId="4878DBDC" w:rsidR="00C51DE5" w:rsidRPr="00AD3DDB" w:rsidRDefault="00C51DE5" w:rsidP="00C350DF">
      <w:pPr>
        <w:pStyle w:val="EndNoteBibliography"/>
        <w:ind w:left="720" w:hanging="720"/>
      </w:pPr>
      <w:r w:rsidRPr="00C51DE5">
        <w:t>Koppl, R. (2015). The rule of experts.</w:t>
      </w:r>
      <w:r>
        <w:t xml:space="preserve"> In</w:t>
      </w:r>
      <w:r w:rsidRPr="00C51DE5">
        <w:t xml:space="preserve"> </w:t>
      </w:r>
      <w:r w:rsidRPr="00C51DE5">
        <w:rPr>
          <w:i/>
        </w:rPr>
        <w:t>The Oxford Handbook of Austrian Economics</w:t>
      </w:r>
      <w:r w:rsidRPr="00C51DE5">
        <w:t>, 343-363.</w:t>
      </w:r>
    </w:p>
    <w:p w14:paraId="62751B53" w14:textId="77777777" w:rsidR="00A101B9" w:rsidRPr="00AD3DDB" w:rsidRDefault="00A101B9" w:rsidP="00C350DF">
      <w:pPr>
        <w:pStyle w:val="EndNoteBibliography"/>
        <w:ind w:left="720" w:hanging="720"/>
      </w:pPr>
      <w:r w:rsidRPr="00AD3DDB">
        <w:t xml:space="preserve">Liu, C., R.W. White and S. Dumais. 2010. Understanding web browsing behaviors through </w:t>
      </w:r>
      <w:r w:rsidR="00A700F4">
        <w:t>W</w:t>
      </w:r>
      <w:r w:rsidRPr="00AD3DDB">
        <w:t>eibull analysis of dwell time. Proceedings of the 33rd international ACM SIGIR conference on Research and development in information retrieval, in Geneva, Switzerland.</w:t>
      </w:r>
    </w:p>
    <w:p w14:paraId="41A62548" w14:textId="77777777" w:rsidR="00A101B9" w:rsidRPr="00AD3DDB" w:rsidRDefault="00A101B9" w:rsidP="00C350DF">
      <w:pPr>
        <w:pStyle w:val="EndNoteBibliography"/>
        <w:ind w:left="720" w:hanging="720"/>
      </w:pPr>
      <w:r w:rsidRPr="00AD3DDB">
        <w:t xml:space="preserve">Mccaig, C. 2010. Access agreements, widening participation and market positionality: Enabling student choice. In </w:t>
      </w:r>
      <w:r w:rsidRPr="00AD3DDB">
        <w:rPr>
          <w:i/>
        </w:rPr>
        <w:t>The marketisation of higher education and the student as consumer</w:t>
      </w:r>
      <w:r w:rsidRPr="00AD3DDB">
        <w:t>, eds Molesworth, M, Nixon, E and Scullion, R, 115-28. Abingdon: Routledge.</w:t>
      </w:r>
    </w:p>
    <w:p w14:paraId="1DF104BD" w14:textId="77777777" w:rsidR="00A101B9" w:rsidRPr="00AD3DDB" w:rsidRDefault="00A101B9" w:rsidP="00C350DF">
      <w:pPr>
        <w:pStyle w:val="EndNoteBibliography"/>
        <w:ind w:left="720" w:hanging="720"/>
      </w:pPr>
      <w:r w:rsidRPr="00AD3DDB">
        <w:t>Mellors-Bourne, R., T. Hooley and J. Marriott. 2014. Understanding how people choose to pursue taught postgraduate study. Bristol: HEFCE.</w:t>
      </w:r>
    </w:p>
    <w:p w14:paraId="424F885F" w14:textId="77777777" w:rsidR="00A101B9" w:rsidRPr="00AD3DDB" w:rsidRDefault="00A101B9" w:rsidP="00C350DF">
      <w:pPr>
        <w:pStyle w:val="EndNoteBibliography"/>
        <w:ind w:left="720" w:hanging="720"/>
      </w:pPr>
      <w:r w:rsidRPr="00AD3DDB">
        <w:t xml:space="preserve">Mortimer, K. 1997. Recruiting overseas undergraduate students: Are their information requirements being satisfied? </w:t>
      </w:r>
      <w:r w:rsidRPr="00AD3DDB">
        <w:rPr>
          <w:i/>
        </w:rPr>
        <w:t>Higher Education Quarterly</w:t>
      </w:r>
      <w:r w:rsidRPr="00AD3DDB">
        <w:t xml:space="preserve"> 51, no 3: 225-38.</w:t>
      </w:r>
    </w:p>
    <w:p w14:paraId="002F89D2" w14:textId="77777777" w:rsidR="00A101B9" w:rsidRPr="00AD3DDB" w:rsidRDefault="00A101B9" w:rsidP="00C350DF">
      <w:pPr>
        <w:pStyle w:val="EndNoteBibliography"/>
        <w:ind w:left="720" w:hanging="720"/>
      </w:pPr>
      <w:r w:rsidRPr="00AD3DDB">
        <w:t>N</w:t>
      </w:r>
      <w:r w:rsidR="00A700F4">
        <w:t>US</w:t>
      </w:r>
      <w:r w:rsidRPr="00AD3DDB">
        <w:t>. 2012. Student experience research. Gloucester: National Union of Students.</w:t>
      </w:r>
    </w:p>
    <w:p w14:paraId="3AC6E095" w14:textId="77777777" w:rsidR="00A101B9" w:rsidRPr="00AD3DDB" w:rsidRDefault="00A101B9" w:rsidP="00C350DF">
      <w:pPr>
        <w:pStyle w:val="EndNoteBibliography"/>
        <w:ind w:left="720" w:hanging="720"/>
      </w:pPr>
      <w:r w:rsidRPr="00AD3DDB">
        <w:t xml:space="preserve">Polkinghorne, M., G. Roushan and J. Taylor. 2017. Considering the marketing of higher education: The role of student learning gain as a potential indicator of teaching quality. </w:t>
      </w:r>
      <w:r w:rsidRPr="00AD3DDB">
        <w:rPr>
          <w:i/>
        </w:rPr>
        <w:t>Journal of Marketing for Higher Education</w:t>
      </w:r>
      <w:r w:rsidRPr="00AD3DDB">
        <w:t>: 1-20.</w:t>
      </w:r>
    </w:p>
    <w:p w14:paraId="7AA27CCF" w14:textId="77777777" w:rsidR="00A101B9" w:rsidRPr="00AD3DDB" w:rsidRDefault="00A101B9" w:rsidP="00C350DF">
      <w:pPr>
        <w:pStyle w:val="EndNoteBibliography"/>
        <w:ind w:left="720" w:hanging="720"/>
      </w:pPr>
      <w:r w:rsidRPr="00AD3DDB">
        <w:t xml:space="preserve">Pucciarelli, F. and A. Kaplan. 2016. Competition and strategy in higher education: Managing complexity and uncertainty. </w:t>
      </w:r>
      <w:r w:rsidRPr="00AD3DDB">
        <w:rPr>
          <w:i/>
        </w:rPr>
        <w:t>Business Horizons</w:t>
      </w:r>
      <w:r w:rsidRPr="00AD3DDB">
        <w:t xml:space="preserve"> 59, no 3: 311-20.</w:t>
      </w:r>
    </w:p>
    <w:p w14:paraId="469B00C4" w14:textId="77777777" w:rsidR="00A101B9" w:rsidRPr="00AD3DDB" w:rsidRDefault="00A101B9" w:rsidP="00C350DF">
      <w:pPr>
        <w:pStyle w:val="EndNoteBibliography"/>
        <w:ind w:left="720" w:hanging="720"/>
      </w:pPr>
      <w:r w:rsidRPr="00AD3DDB">
        <w:lastRenderedPageBreak/>
        <w:t>Q</w:t>
      </w:r>
      <w:r w:rsidR="00A700F4">
        <w:t>AA</w:t>
      </w:r>
      <w:r w:rsidRPr="00AD3DDB">
        <w:t>. 2013a. Explaining class size. Gloucester: Quality Assurance Agency.</w:t>
      </w:r>
    </w:p>
    <w:p w14:paraId="43794AE0" w14:textId="77777777" w:rsidR="00A101B9" w:rsidRPr="00AD3DDB" w:rsidRDefault="00A101B9" w:rsidP="00C350DF">
      <w:pPr>
        <w:pStyle w:val="EndNoteBibliography"/>
        <w:ind w:left="720" w:hanging="720"/>
      </w:pPr>
      <w:r w:rsidRPr="00AD3DDB">
        <w:t>Q</w:t>
      </w:r>
      <w:r w:rsidR="00A700F4">
        <w:t>AA</w:t>
      </w:r>
      <w:r w:rsidRPr="00AD3DDB">
        <w:t>. 2013b. Explaining staff teaching qualifications. Gloucester: Quality Assurance Agency.</w:t>
      </w:r>
    </w:p>
    <w:p w14:paraId="1F3A4DE4" w14:textId="77777777" w:rsidR="00A101B9" w:rsidRPr="00AD3DDB" w:rsidRDefault="00A101B9" w:rsidP="00C350DF">
      <w:pPr>
        <w:pStyle w:val="EndNoteBibliography"/>
        <w:ind w:left="720" w:hanging="720"/>
      </w:pPr>
      <w:r w:rsidRPr="00AD3DDB">
        <w:t>Q</w:t>
      </w:r>
      <w:r w:rsidR="00A700F4">
        <w:t>AA.</w:t>
      </w:r>
      <w:r w:rsidRPr="00AD3DDB">
        <w:t xml:space="preserve"> 2013c. Explaining student workload. Gloucester: Quality Assurance Agency.</w:t>
      </w:r>
    </w:p>
    <w:p w14:paraId="1ACAE77E" w14:textId="77777777" w:rsidR="00A101B9" w:rsidRPr="00AD3DDB" w:rsidRDefault="00A101B9" w:rsidP="00C350DF">
      <w:pPr>
        <w:pStyle w:val="EndNoteBibliography"/>
        <w:ind w:left="720" w:hanging="720"/>
      </w:pPr>
      <w:r w:rsidRPr="00AD3DDB">
        <w:t xml:space="preserve">Ramsey, R.P. and R.S. Sohi. 1997. Listening to your customers: The impact of perceived salesperson listening behavior on relationship outcomes. </w:t>
      </w:r>
      <w:r w:rsidRPr="00AD3DDB">
        <w:rPr>
          <w:i/>
        </w:rPr>
        <w:t>Journal of the Academy of marketing Science</w:t>
      </w:r>
      <w:r w:rsidRPr="00AD3DDB">
        <w:t xml:space="preserve"> 25, no 2: 127.</w:t>
      </w:r>
    </w:p>
    <w:p w14:paraId="751F8112" w14:textId="77777777" w:rsidR="00A101B9" w:rsidRPr="00AD3DDB" w:rsidRDefault="00A101B9" w:rsidP="00C350DF">
      <w:pPr>
        <w:pStyle w:val="EndNoteBibliography"/>
        <w:ind w:left="720" w:hanging="720"/>
      </w:pPr>
      <w:r w:rsidRPr="00AD3DDB">
        <w:t xml:space="preserve">Rao, N. and A. Hosein. 2017. The limits of higher education institutions' websites as sources of learning and teaching information for prospective students: A survey of professional staff. </w:t>
      </w:r>
      <w:r w:rsidRPr="00AD3DDB">
        <w:rPr>
          <w:i/>
        </w:rPr>
        <w:t>Perspectives: Policy and Practice in Higher Education</w:t>
      </w:r>
      <w:r w:rsidRPr="00AD3DDB">
        <w:t xml:space="preserve"> 21, no 1: 4-10.</w:t>
      </w:r>
    </w:p>
    <w:p w14:paraId="54A78780" w14:textId="77777777" w:rsidR="00A101B9" w:rsidRPr="00AD3DDB" w:rsidRDefault="00A101B9" w:rsidP="00C350DF">
      <w:pPr>
        <w:pStyle w:val="EndNoteBibliography"/>
        <w:ind w:left="720" w:hanging="720"/>
      </w:pPr>
      <w:r w:rsidRPr="00AD3DDB">
        <w:t>Renfrew, K., H. Baird, H. Green, P. Davies, A. Hughes, J. Mangan and K. Slack. 2010. Understanding the information needs of users of public information about higher education. Bristol: HEFCE.</w:t>
      </w:r>
    </w:p>
    <w:p w14:paraId="3A060BFF" w14:textId="77777777" w:rsidR="00A101B9" w:rsidRPr="00AD3DDB" w:rsidRDefault="00A101B9" w:rsidP="00C350DF">
      <w:pPr>
        <w:pStyle w:val="EndNoteBibliography"/>
        <w:ind w:left="720" w:hanging="720"/>
      </w:pPr>
      <w:r w:rsidRPr="00AD3DDB">
        <w:t xml:space="preserve">Richardson, J.T.E., J.B. Slater and J. Wilson. 2007. The national student survey: Development, findings and implications. </w:t>
      </w:r>
      <w:r w:rsidRPr="00AD3DDB">
        <w:rPr>
          <w:i/>
        </w:rPr>
        <w:t>Studies in Higher Education</w:t>
      </w:r>
      <w:r w:rsidRPr="00AD3DDB">
        <w:t xml:space="preserve"> 32, no 5: 557-80.</w:t>
      </w:r>
    </w:p>
    <w:p w14:paraId="15070EF4" w14:textId="77777777" w:rsidR="00A101B9" w:rsidRPr="00AD3DDB" w:rsidRDefault="00A101B9" w:rsidP="00C350DF">
      <w:pPr>
        <w:pStyle w:val="EndNoteBibliography"/>
        <w:ind w:left="720" w:hanging="720"/>
      </w:pPr>
      <w:r w:rsidRPr="00AD3DDB">
        <w:t xml:space="preserve">Saunders, D.B. and G. Blanco Ramírez. 2017. Against ‘teaching excellence’: Ideology, commodification, and enabling the neoliberalization of postsecondary education. </w:t>
      </w:r>
      <w:r w:rsidRPr="00AD3DDB">
        <w:rPr>
          <w:i/>
        </w:rPr>
        <w:t>Teaching in Higher Education</w:t>
      </w:r>
      <w:r w:rsidRPr="00AD3DDB">
        <w:t xml:space="preserve"> 22, no 4: 396-407.</w:t>
      </w:r>
    </w:p>
    <w:p w14:paraId="4AD56DE6" w14:textId="77777777" w:rsidR="00A101B9" w:rsidRPr="00AD3DDB" w:rsidRDefault="00A101B9" w:rsidP="00C350DF">
      <w:pPr>
        <w:pStyle w:val="EndNoteBibliography"/>
        <w:ind w:left="720" w:hanging="720"/>
      </w:pPr>
      <w:r w:rsidRPr="00AD3DDB">
        <w:t xml:space="preserve">Schimmel, K., D. Motley, S. Racic, G. Marco and M. Eschenfelder. 2010. The importance of university web pages in selecting a higher education institution. </w:t>
      </w:r>
      <w:r w:rsidRPr="00AD3DDB">
        <w:rPr>
          <w:i/>
        </w:rPr>
        <w:t>Research in Higher Education Journal</w:t>
      </w:r>
      <w:r w:rsidRPr="00AD3DDB">
        <w:t xml:space="preserve"> 9: 1-16.</w:t>
      </w:r>
    </w:p>
    <w:p w14:paraId="78E5E06D" w14:textId="77777777" w:rsidR="00A101B9" w:rsidRPr="00AD3DDB" w:rsidRDefault="00A101B9" w:rsidP="00C350DF">
      <w:pPr>
        <w:pStyle w:val="EndNoteBibliography"/>
        <w:ind w:left="720" w:hanging="720"/>
      </w:pPr>
      <w:r w:rsidRPr="00AD3DDB">
        <w:t xml:space="preserve">Sheridan, A. and H. Simpson. 2014. Reforms in higher education = higher quality provision and better-informed choice? . </w:t>
      </w:r>
      <w:r w:rsidRPr="00AD3DDB">
        <w:rPr>
          <w:i/>
        </w:rPr>
        <w:t>Research in Public Policy - CMPO Bulletin</w:t>
      </w:r>
      <w:r w:rsidRPr="00AD3DDB">
        <w:t xml:space="preserve"> 17: 8-11.</w:t>
      </w:r>
    </w:p>
    <w:p w14:paraId="25DFA791" w14:textId="77777777" w:rsidR="00A101B9" w:rsidRPr="00AD3DDB" w:rsidRDefault="00A101B9" w:rsidP="00C350DF">
      <w:pPr>
        <w:pStyle w:val="EndNoteBibliography"/>
        <w:ind w:left="720" w:hanging="720"/>
      </w:pPr>
      <w:r w:rsidRPr="00AD3DDB">
        <w:t xml:space="preserve">Simões, C. and A.M. Soares. 2010. Applying to higher education: Information sources and choice factors. </w:t>
      </w:r>
      <w:r w:rsidRPr="00AD3DDB">
        <w:rPr>
          <w:i/>
        </w:rPr>
        <w:t>Studies in Higher Education</w:t>
      </w:r>
      <w:r w:rsidRPr="00AD3DDB">
        <w:t xml:space="preserve"> 35, no 4: 371-89.</w:t>
      </w:r>
    </w:p>
    <w:p w14:paraId="102C23CB" w14:textId="77777777" w:rsidR="00A101B9" w:rsidRPr="00AD3DDB" w:rsidRDefault="00A101B9" w:rsidP="00C350DF">
      <w:pPr>
        <w:pStyle w:val="EndNoteBibliography"/>
        <w:ind w:left="720" w:hanging="720"/>
      </w:pPr>
      <w:r w:rsidRPr="00AD3DDB">
        <w:t xml:space="preserve">Slack, K., J. Mangan, A. Hughes and P. Davies. 2014. 'Hot', 'cold' and 'warm' information and higher education decision-making. </w:t>
      </w:r>
      <w:r w:rsidRPr="00AD3DDB">
        <w:rPr>
          <w:i/>
        </w:rPr>
        <w:t>British Journal of Sociology of Education</w:t>
      </w:r>
      <w:r w:rsidRPr="00AD3DDB">
        <w:t xml:space="preserve"> 35, no 2: 204-23.</w:t>
      </w:r>
    </w:p>
    <w:p w14:paraId="0865EC7B" w14:textId="77777777" w:rsidR="00A101B9" w:rsidRPr="00AD3DDB" w:rsidRDefault="00A101B9" w:rsidP="00C350DF">
      <w:pPr>
        <w:pStyle w:val="EndNoteBibliography"/>
        <w:ind w:left="720" w:hanging="720"/>
      </w:pPr>
      <w:r w:rsidRPr="00AD3DDB">
        <w:t xml:space="preserve">Tabachnick, B.G. and L.S. Fidell. 2007. </w:t>
      </w:r>
      <w:r w:rsidRPr="00AD3DDB">
        <w:rPr>
          <w:i/>
        </w:rPr>
        <w:t>Using multivariate statistics</w:t>
      </w:r>
      <w:r w:rsidRPr="00AD3DDB">
        <w:t xml:space="preserve">. 5th Edition ed. Boston: Pearson Education Inc. </w:t>
      </w:r>
    </w:p>
    <w:p w14:paraId="492DD3F8" w14:textId="77777777" w:rsidR="00A101B9" w:rsidRPr="00AD3DDB" w:rsidRDefault="00A101B9" w:rsidP="00C350DF">
      <w:pPr>
        <w:pStyle w:val="EndNoteBibliography"/>
        <w:ind w:left="720" w:hanging="720"/>
      </w:pPr>
      <w:r w:rsidRPr="00AD3DDB">
        <w:t xml:space="preserve">Tomlinson, M. 2013. End games? Consumer-based learning in higher education and its implications for lifelong learning. </w:t>
      </w:r>
      <w:r w:rsidRPr="00AD3DDB">
        <w:rPr>
          <w:i/>
        </w:rPr>
        <w:t>Perspectives: Policy and Practice in Higher Education</w:t>
      </w:r>
      <w:r w:rsidRPr="00AD3DDB">
        <w:t xml:space="preserve"> 17, no 4: 124-28.</w:t>
      </w:r>
    </w:p>
    <w:p w14:paraId="7E29AE27" w14:textId="77777777" w:rsidR="00A101B9" w:rsidRPr="00AD3DDB" w:rsidRDefault="00A101B9" w:rsidP="00C350DF">
      <w:pPr>
        <w:pStyle w:val="EndNoteBibliography"/>
        <w:ind w:left="720" w:hanging="720"/>
      </w:pPr>
      <w:r w:rsidRPr="00AD3DDB">
        <w:t xml:space="preserve">Tomlinson, M. 2016. Student perceptions of themselves as ‘consumers’ of higher education. </w:t>
      </w:r>
      <w:r w:rsidRPr="00AD3DDB">
        <w:rPr>
          <w:i/>
        </w:rPr>
        <w:t>British Journal of Sociology of Education</w:t>
      </w:r>
      <w:r w:rsidRPr="00AD3DDB">
        <w:t>: 1-15.</w:t>
      </w:r>
    </w:p>
    <w:p w14:paraId="200AFEF0" w14:textId="77777777" w:rsidR="00A101B9" w:rsidRPr="00AD3DDB" w:rsidRDefault="00A101B9" w:rsidP="00C350DF">
      <w:pPr>
        <w:pStyle w:val="EndNoteBibliography"/>
        <w:ind w:left="720" w:hanging="720"/>
      </w:pPr>
      <w:r w:rsidRPr="00AD3DDB">
        <w:t xml:space="preserve">Veloutsou, C., J.W. Lewis and R.A. Paton. 2004. University selection: Information requirements and importance. </w:t>
      </w:r>
      <w:r w:rsidRPr="00AD3DDB">
        <w:rPr>
          <w:i/>
        </w:rPr>
        <w:t>International Journal of Educational Management</w:t>
      </w:r>
      <w:r w:rsidRPr="00AD3DDB">
        <w:t xml:space="preserve"> 18, no 3: 160-71.</w:t>
      </w:r>
    </w:p>
    <w:p w14:paraId="60E2FEE6" w14:textId="77777777" w:rsidR="00A101B9" w:rsidRDefault="00A101B9" w:rsidP="00C350DF">
      <w:pPr>
        <w:pStyle w:val="References"/>
        <w:rPr>
          <w:rFonts w:asciiTheme="majorHAnsi" w:hAnsiTheme="majorHAnsi"/>
          <w:sz w:val="20"/>
          <w:szCs w:val="20"/>
        </w:rPr>
      </w:pPr>
    </w:p>
    <w:p w14:paraId="7F59A2DB" w14:textId="77777777" w:rsidR="00A101B9" w:rsidRDefault="00A101B9" w:rsidP="00C350DF">
      <w:pPr>
        <w:pStyle w:val="Newparagraph"/>
        <w:ind w:firstLine="0"/>
        <w:rPr>
          <w:rFonts w:asciiTheme="majorHAnsi" w:hAnsiTheme="majorHAnsi"/>
          <w:sz w:val="20"/>
          <w:szCs w:val="20"/>
        </w:rPr>
      </w:pPr>
    </w:p>
    <w:p w14:paraId="2CC99B94" w14:textId="77777777" w:rsidR="00A101B9" w:rsidRDefault="00A101B9">
      <w:pPr>
        <w:spacing w:line="240" w:lineRule="auto"/>
        <w:rPr>
          <w:rFonts w:asciiTheme="majorHAnsi" w:hAnsiTheme="majorHAnsi"/>
          <w:sz w:val="20"/>
          <w:szCs w:val="20"/>
        </w:rPr>
      </w:pPr>
      <w:r>
        <w:rPr>
          <w:rFonts w:asciiTheme="majorHAnsi" w:hAnsiTheme="majorHAnsi"/>
          <w:sz w:val="20"/>
          <w:szCs w:val="20"/>
        </w:rPr>
        <w:br w:type="page"/>
      </w:r>
    </w:p>
    <w:p w14:paraId="4D624585" w14:textId="3041C2AF" w:rsidR="00A101B9" w:rsidRDefault="00A101B9" w:rsidP="00C350DF">
      <w:pPr>
        <w:pStyle w:val="Tabletitle"/>
      </w:pPr>
      <w:bookmarkStart w:id="3" w:name="_Ref32575200"/>
      <w:r>
        <w:lastRenderedPageBreak/>
        <w:t xml:space="preserve">Appendix </w:t>
      </w:r>
      <w:r w:rsidR="00BC440B">
        <w:rPr>
          <w:noProof/>
        </w:rPr>
        <w:fldChar w:fldCharType="begin"/>
      </w:r>
      <w:r w:rsidR="00BC440B">
        <w:rPr>
          <w:noProof/>
        </w:rPr>
        <w:instrText xml:space="preserve"> SEQ Appendix \* ARABIC </w:instrText>
      </w:r>
      <w:r w:rsidR="00BC440B">
        <w:rPr>
          <w:noProof/>
        </w:rPr>
        <w:fldChar w:fldCharType="separate"/>
      </w:r>
      <w:r w:rsidR="00137FF1">
        <w:rPr>
          <w:noProof/>
        </w:rPr>
        <w:t>1</w:t>
      </w:r>
      <w:r w:rsidR="00BC440B">
        <w:rPr>
          <w:noProof/>
        </w:rPr>
        <w:fldChar w:fldCharType="end"/>
      </w:r>
      <w:bookmarkEnd w:id="3"/>
      <w:r>
        <w:t>:</w:t>
      </w:r>
      <w:r w:rsidRPr="00747547">
        <w:t xml:space="preserve">The 8 excluded variables, description and their presence across </w:t>
      </w:r>
      <w:r>
        <w:t xml:space="preserve">the original </w:t>
      </w:r>
      <w:r w:rsidRPr="00747547">
        <w:t xml:space="preserve">38 </w:t>
      </w:r>
      <w:r>
        <w:t>HEIs</w:t>
      </w:r>
      <w:r w:rsidRPr="00747547">
        <w:t xml:space="preserve"> (from Hosein and Rao 2015)</w:t>
      </w:r>
    </w:p>
    <w:tbl>
      <w:tblPr>
        <w:tblStyle w:val="PlainTable21"/>
        <w:tblW w:w="5000" w:type="pct"/>
        <w:tblLook w:val="0620" w:firstRow="1" w:lastRow="0" w:firstColumn="0" w:lastColumn="0" w:noHBand="1" w:noVBand="1"/>
      </w:tblPr>
      <w:tblGrid>
        <w:gridCol w:w="4897"/>
        <w:gridCol w:w="3409"/>
      </w:tblGrid>
      <w:tr w:rsidR="00A101B9" w:rsidRPr="00AF6CB0" w14:paraId="628B9665" w14:textId="77777777" w:rsidTr="00C350DF">
        <w:trPr>
          <w:cnfStyle w:val="100000000000" w:firstRow="1" w:lastRow="0" w:firstColumn="0" w:lastColumn="0" w:oddVBand="0" w:evenVBand="0" w:oddHBand="0" w:evenHBand="0" w:firstRowFirstColumn="0" w:firstRowLastColumn="0" w:lastRowFirstColumn="0" w:lastRowLastColumn="0"/>
          <w:cantSplit/>
          <w:tblHeader/>
        </w:trPr>
        <w:tc>
          <w:tcPr>
            <w:tcW w:w="2948" w:type="pct"/>
          </w:tcPr>
          <w:p w14:paraId="4E11E777" w14:textId="77777777" w:rsidR="00A101B9" w:rsidRPr="00AF6CB0" w:rsidRDefault="00A101B9" w:rsidP="00C350DF">
            <w:pPr>
              <w:spacing w:after="120" w:line="240" w:lineRule="auto"/>
            </w:pPr>
            <w:r>
              <w:t xml:space="preserve">QAA </w:t>
            </w:r>
            <w:r w:rsidRPr="00AF6CB0">
              <w:t>Document/ Criteria</w:t>
            </w:r>
          </w:p>
        </w:tc>
        <w:tc>
          <w:tcPr>
            <w:tcW w:w="2052" w:type="pct"/>
          </w:tcPr>
          <w:p w14:paraId="1FE9AC81" w14:textId="77777777" w:rsidR="00A101B9" w:rsidRPr="00AF6CB0" w:rsidRDefault="00A101B9" w:rsidP="00C350DF">
            <w:pPr>
              <w:spacing w:after="120" w:line="240" w:lineRule="auto"/>
              <w:jc w:val="center"/>
            </w:pPr>
            <w:r>
              <w:t>Presence</w:t>
            </w:r>
          </w:p>
        </w:tc>
      </w:tr>
      <w:tr w:rsidR="00A101B9" w:rsidRPr="00AF6CB0" w14:paraId="04D74A2C" w14:textId="77777777" w:rsidTr="00C350DF">
        <w:trPr>
          <w:cantSplit/>
        </w:trPr>
        <w:tc>
          <w:tcPr>
            <w:tcW w:w="2948" w:type="pct"/>
          </w:tcPr>
          <w:p w14:paraId="2015901D" w14:textId="77777777" w:rsidR="00A101B9" w:rsidRPr="00102325" w:rsidRDefault="00A101B9" w:rsidP="00C350DF">
            <w:pPr>
              <w:spacing w:after="120" w:line="240" w:lineRule="auto"/>
              <w:rPr>
                <w:b/>
              </w:rPr>
            </w:pPr>
            <w:r w:rsidRPr="00102325">
              <w:rPr>
                <w:b/>
              </w:rPr>
              <w:t xml:space="preserve">Class Size </w:t>
            </w:r>
          </w:p>
        </w:tc>
        <w:tc>
          <w:tcPr>
            <w:tcW w:w="2052" w:type="pct"/>
          </w:tcPr>
          <w:p w14:paraId="76465FD4" w14:textId="77777777" w:rsidR="00A101B9" w:rsidRPr="00AF6CB0" w:rsidRDefault="00A101B9" w:rsidP="00C350DF">
            <w:pPr>
              <w:spacing w:after="120" w:line="240" w:lineRule="auto"/>
              <w:jc w:val="center"/>
            </w:pPr>
          </w:p>
        </w:tc>
      </w:tr>
      <w:tr w:rsidR="00A101B9" w:rsidRPr="00AF6CB0" w14:paraId="08FBF3DC" w14:textId="77777777" w:rsidTr="00C350DF">
        <w:trPr>
          <w:cantSplit/>
        </w:trPr>
        <w:tc>
          <w:tcPr>
            <w:tcW w:w="2948" w:type="pct"/>
          </w:tcPr>
          <w:p w14:paraId="52451ABA" w14:textId="77777777" w:rsidR="00A101B9" w:rsidRPr="00AF6CB0" w:rsidRDefault="00A101B9" w:rsidP="00C350DF">
            <w:pPr>
              <w:spacing w:after="120" w:line="240" w:lineRule="auto"/>
            </w:pPr>
            <w:r w:rsidRPr="00AF6CB0">
              <w:t>Learning Experiences of Pedagogical Approach</w:t>
            </w:r>
          </w:p>
        </w:tc>
        <w:tc>
          <w:tcPr>
            <w:tcW w:w="2052" w:type="pct"/>
          </w:tcPr>
          <w:p w14:paraId="401F39DF" w14:textId="77777777" w:rsidR="00A101B9" w:rsidRPr="00AF6CB0" w:rsidRDefault="00A101B9" w:rsidP="00C350DF">
            <w:pPr>
              <w:tabs>
                <w:tab w:val="left" w:pos="1526"/>
              </w:tabs>
              <w:spacing w:after="120" w:line="240" w:lineRule="auto"/>
              <w:jc w:val="center"/>
            </w:pPr>
            <w:r>
              <w:t>53%</w:t>
            </w:r>
          </w:p>
        </w:tc>
      </w:tr>
      <w:tr w:rsidR="00A101B9" w:rsidRPr="00AF6CB0" w14:paraId="7D205CA2" w14:textId="77777777" w:rsidTr="00C350DF">
        <w:trPr>
          <w:cantSplit/>
        </w:trPr>
        <w:tc>
          <w:tcPr>
            <w:tcW w:w="2948" w:type="pct"/>
          </w:tcPr>
          <w:p w14:paraId="44C6FC37" w14:textId="77777777" w:rsidR="00A101B9" w:rsidRPr="00AF6CB0" w:rsidRDefault="00A101B9" w:rsidP="00C350DF">
            <w:pPr>
              <w:spacing w:after="120" w:line="240" w:lineRule="auto"/>
            </w:pPr>
            <w:r>
              <w:t>R</w:t>
            </w:r>
            <w:r w:rsidRPr="00AF6CB0">
              <w:t xml:space="preserve">esources and </w:t>
            </w:r>
            <w:r>
              <w:t>Specialist F</w:t>
            </w:r>
            <w:r w:rsidRPr="00AF6CB0">
              <w:t>acilities</w:t>
            </w:r>
          </w:p>
        </w:tc>
        <w:tc>
          <w:tcPr>
            <w:tcW w:w="2052" w:type="pct"/>
          </w:tcPr>
          <w:p w14:paraId="20C693C9" w14:textId="77777777" w:rsidR="00A101B9" w:rsidRPr="00AF6CB0" w:rsidRDefault="00A101B9" w:rsidP="00C350DF">
            <w:pPr>
              <w:spacing w:after="120" w:line="240" w:lineRule="auto"/>
              <w:jc w:val="center"/>
            </w:pPr>
            <w:r>
              <w:t>67%</w:t>
            </w:r>
          </w:p>
        </w:tc>
      </w:tr>
      <w:tr w:rsidR="00A101B9" w:rsidRPr="00AF6CB0" w14:paraId="5738620C" w14:textId="77777777" w:rsidTr="00C350DF">
        <w:trPr>
          <w:cantSplit/>
        </w:trPr>
        <w:tc>
          <w:tcPr>
            <w:tcW w:w="2948" w:type="pct"/>
          </w:tcPr>
          <w:p w14:paraId="5D8EB227" w14:textId="77777777" w:rsidR="00A101B9" w:rsidRPr="00AF6CB0" w:rsidRDefault="00A101B9" w:rsidP="00C350DF">
            <w:pPr>
              <w:spacing w:after="120" w:line="240" w:lineRule="auto"/>
            </w:pPr>
          </w:p>
        </w:tc>
        <w:tc>
          <w:tcPr>
            <w:tcW w:w="2052" w:type="pct"/>
          </w:tcPr>
          <w:p w14:paraId="46557362" w14:textId="77777777" w:rsidR="00A101B9" w:rsidRPr="00AF6CB0" w:rsidRDefault="00A101B9" w:rsidP="00C350DF">
            <w:pPr>
              <w:spacing w:after="120" w:line="240" w:lineRule="auto"/>
              <w:jc w:val="center"/>
            </w:pPr>
          </w:p>
        </w:tc>
      </w:tr>
      <w:tr w:rsidR="00A101B9" w:rsidRPr="00AF6CB0" w14:paraId="294FB576" w14:textId="77777777" w:rsidTr="00C350DF">
        <w:trPr>
          <w:cantSplit/>
        </w:trPr>
        <w:tc>
          <w:tcPr>
            <w:tcW w:w="2948" w:type="pct"/>
          </w:tcPr>
          <w:p w14:paraId="29165255" w14:textId="77777777" w:rsidR="00A101B9" w:rsidRPr="00102325" w:rsidRDefault="00A101B9" w:rsidP="00C350DF">
            <w:pPr>
              <w:spacing w:after="120" w:line="240" w:lineRule="auto"/>
              <w:rPr>
                <w:b/>
              </w:rPr>
            </w:pPr>
            <w:r w:rsidRPr="00102325">
              <w:rPr>
                <w:b/>
              </w:rPr>
              <w:t>Staff Teaching</w:t>
            </w:r>
          </w:p>
        </w:tc>
        <w:tc>
          <w:tcPr>
            <w:tcW w:w="2052" w:type="pct"/>
          </w:tcPr>
          <w:p w14:paraId="586156E7" w14:textId="77777777" w:rsidR="00A101B9" w:rsidRPr="00AF6CB0" w:rsidRDefault="00A101B9" w:rsidP="00C350DF">
            <w:pPr>
              <w:spacing w:after="120" w:line="240" w:lineRule="auto"/>
              <w:jc w:val="center"/>
            </w:pPr>
          </w:p>
        </w:tc>
      </w:tr>
      <w:tr w:rsidR="00A101B9" w:rsidRPr="00AF6CB0" w14:paraId="447017A7" w14:textId="77777777" w:rsidTr="00C350DF">
        <w:trPr>
          <w:cantSplit/>
        </w:trPr>
        <w:tc>
          <w:tcPr>
            <w:tcW w:w="2948" w:type="pct"/>
          </w:tcPr>
          <w:p w14:paraId="71F125AA" w14:textId="77777777" w:rsidR="00A101B9" w:rsidRPr="00AF6CB0" w:rsidRDefault="00A101B9" w:rsidP="00C350DF">
            <w:pPr>
              <w:spacing w:after="120" w:line="240" w:lineRule="auto"/>
            </w:pPr>
            <w:r w:rsidRPr="00AF6CB0">
              <w:t>Proportion of Staff with Teaching Qualifications</w:t>
            </w:r>
          </w:p>
        </w:tc>
        <w:tc>
          <w:tcPr>
            <w:tcW w:w="2052" w:type="pct"/>
          </w:tcPr>
          <w:p w14:paraId="4B3ED4A2" w14:textId="77777777" w:rsidR="00A101B9" w:rsidRPr="00AF6CB0" w:rsidRDefault="00A101B9" w:rsidP="00C350DF">
            <w:pPr>
              <w:spacing w:after="120" w:line="240" w:lineRule="auto"/>
              <w:jc w:val="center"/>
            </w:pPr>
            <w:r>
              <w:t>0%</w:t>
            </w:r>
          </w:p>
        </w:tc>
      </w:tr>
      <w:tr w:rsidR="00A101B9" w:rsidRPr="00AF6CB0" w14:paraId="150CB7C7" w14:textId="77777777" w:rsidTr="00C350DF">
        <w:trPr>
          <w:cantSplit/>
        </w:trPr>
        <w:tc>
          <w:tcPr>
            <w:tcW w:w="2948" w:type="pct"/>
          </w:tcPr>
          <w:p w14:paraId="1B48427A" w14:textId="77777777" w:rsidR="00A101B9" w:rsidRPr="00AF6CB0" w:rsidRDefault="00A101B9" w:rsidP="00C350DF">
            <w:pPr>
              <w:spacing w:after="120" w:line="240" w:lineRule="auto"/>
            </w:pPr>
            <w:r w:rsidRPr="00AF6CB0">
              <w:t>Staff Qualification at Programme Level</w:t>
            </w:r>
          </w:p>
        </w:tc>
        <w:tc>
          <w:tcPr>
            <w:tcW w:w="2052" w:type="pct"/>
          </w:tcPr>
          <w:p w14:paraId="3E2B0FDF" w14:textId="77777777" w:rsidR="00A101B9" w:rsidRPr="00AF6CB0" w:rsidRDefault="00A101B9" w:rsidP="00C350DF">
            <w:pPr>
              <w:spacing w:after="120" w:line="240" w:lineRule="auto"/>
              <w:jc w:val="center"/>
            </w:pPr>
            <w:r>
              <w:t>43%</w:t>
            </w:r>
          </w:p>
        </w:tc>
      </w:tr>
      <w:tr w:rsidR="00A101B9" w:rsidRPr="00AF6CB0" w14:paraId="6C70D2A7" w14:textId="77777777" w:rsidTr="00C350DF">
        <w:trPr>
          <w:cantSplit/>
        </w:trPr>
        <w:tc>
          <w:tcPr>
            <w:tcW w:w="2948" w:type="pct"/>
          </w:tcPr>
          <w:p w14:paraId="23F31800" w14:textId="77777777" w:rsidR="00A101B9" w:rsidRPr="00AF6CB0" w:rsidRDefault="00A101B9" w:rsidP="00C350DF">
            <w:pPr>
              <w:spacing w:after="120" w:line="240" w:lineRule="auto"/>
            </w:pPr>
            <w:r w:rsidRPr="00AF6CB0">
              <w:t>Range of Staff</w:t>
            </w:r>
            <w:r>
              <w:t xml:space="preserve"> providing Learning Experiences</w:t>
            </w:r>
          </w:p>
        </w:tc>
        <w:tc>
          <w:tcPr>
            <w:tcW w:w="2052" w:type="pct"/>
          </w:tcPr>
          <w:p w14:paraId="3FEC6F26" w14:textId="77777777" w:rsidR="00A101B9" w:rsidRPr="00AF6CB0" w:rsidRDefault="00A101B9" w:rsidP="00C350DF">
            <w:pPr>
              <w:spacing w:after="120" w:line="240" w:lineRule="auto"/>
              <w:jc w:val="center"/>
            </w:pPr>
            <w:r>
              <w:t>34%</w:t>
            </w:r>
          </w:p>
        </w:tc>
      </w:tr>
      <w:tr w:rsidR="00A101B9" w:rsidRPr="00AF6CB0" w14:paraId="50A51C1F" w14:textId="77777777" w:rsidTr="00C350DF">
        <w:trPr>
          <w:cantSplit/>
        </w:trPr>
        <w:tc>
          <w:tcPr>
            <w:tcW w:w="2948" w:type="pct"/>
          </w:tcPr>
          <w:p w14:paraId="3F4E464E" w14:textId="77777777" w:rsidR="00A101B9" w:rsidRPr="00AF6CB0" w:rsidRDefault="00A101B9" w:rsidP="00C350DF">
            <w:pPr>
              <w:spacing w:after="120" w:line="240" w:lineRule="auto"/>
            </w:pPr>
          </w:p>
        </w:tc>
        <w:tc>
          <w:tcPr>
            <w:tcW w:w="2052" w:type="pct"/>
          </w:tcPr>
          <w:p w14:paraId="38EBFF12" w14:textId="77777777" w:rsidR="00A101B9" w:rsidRPr="00AF6CB0" w:rsidRDefault="00A101B9" w:rsidP="00C350DF">
            <w:pPr>
              <w:spacing w:after="120" w:line="240" w:lineRule="auto"/>
              <w:jc w:val="center"/>
            </w:pPr>
          </w:p>
        </w:tc>
      </w:tr>
      <w:tr w:rsidR="00A101B9" w:rsidRPr="00AF6CB0" w14:paraId="3FC16C62" w14:textId="77777777" w:rsidTr="00C350DF">
        <w:trPr>
          <w:cantSplit/>
        </w:trPr>
        <w:tc>
          <w:tcPr>
            <w:tcW w:w="2948" w:type="pct"/>
          </w:tcPr>
          <w:p w14:paraId="6934AF25" w14:textId="77777777" w:rsidR="00A101B9" w:rsidRPr="00102325" w:rsidRDefault="00A101B9" w:rsidP="00C350DF">
            <w:pPr>
              <w:spacing w:after="120" w:line="240" w:lineRule="auto"/>
              <w:rPr>
                <w:b/>
              </w:rPr>
            </w:pPr>
            <w:r w:rsidRPr="00102325">
              <w:rPr>
                <w:b/>
              </w:rPr>
              <w:t>Student Workload</w:t>
            </w:r>
          </w:p>
        </w:tc>
        <w:tc>
          <w:tcPr>
            <w:tcW w:w="2052" w:type="pct"/>
          </w:tcPr>
          <w:p w14:paraId="25300F23" w14:textId="77777777" w:rsidR="00A101B9" w:rsidRPr="00AF6CB0" w:rsidRDefault="00A101B9" w:rsidP="00C350DF">
            <w:pPr>
              <w:spacing w:after="120" w:line="240" w:lineRule="auto"/>
              <w:jc w:val="center"/>
            </w:pPr>
          </w:p>
        </w:tc>
      </w:tr>
      <w:tr w:rsidR="00A101B9" w:rsidRPr="00AF6CB0" w14:paraId="1C03911A" w14:textId="77777777" w:rsidTr="00C350DF">
        <w:trPr>
          <w:cantSplit/>
        </w:trPr>
        <w:tc>
          <w:tcPr>
            <w:tcW w:w="2948" w:type="pct"/>
          </w:tcPr>
          <w:p w14:paraId="7A67CE0E" w14:textId="77777777" w:rsidR="00A101B9" w:rsidRPr="00AF6CB0" w:rsidRDefault="00A101B9" w:rsidP="00C350DF">
            <w:pPr>
              <w:spacing w:after="120" w:line="240" w:lineRule="auto"/>
            </w:pPr>
            <w:r>
              <w:t>Persons providing Academic S</w:t>
            </w:r>
            <w:r w:rsidRPr="00AF6CB0">
              <w:t>upport</w:t>
            </w:r>
          </w:p>
        </w:tc>
        <w:tc>
          <w:tcPr>
            <w:tcW w:w="2052" w:type="pct"/>
          </w:tcPr>
          <w:p w14:paraId="7B58E2D9" w14:textId="77777777" w:rsidR="00A101B9" w:rsidRPr="00AF6CB0" w:rsidRDefault="00A101B9" w:rsidP="00C350DF">
            <w:pPr>
              <w:spacing w:after="120" w:line="240" w:lineRule="auto"/>
              <w:jc w:val="center"/>
            </w:pPr>
            <w:r>
              <w:t>63%</w:t>
            </w:r>
          </w:p>
        </w:tc>
      </w:tr>
      <w:tr w:rsidR="00A101B9" w:rsidRPr="00AF6CB0" w14:paraId="3FBD82F4" w14:textId="77777777" w:rsidTr="00C350DF">
        <w:trPr>
          <w:cantSplit/>
        </w:trPr>
        <w:tc>
          <w:tcPr>
            <w:tcW w:w="2948" w:type="pct"/>
          </w:tcPr>
          <w:p w14:paraId="4FE24612" w14:textId="77777777" w:rsidR="00A101B9" w:rsidRPr="00AF6CB0" w:rsidRDefault="00A101B9" w:rsidP="00C350DF">
            <w:pPr>
              <w:spacing w:after="120" w:line="240" w:lineRule="auto"/>
            </w:pPr>
            <w:r>
              <w:t>Methods of T</w:t>
            </w:r>
            <w:r w:rsidRPr="00AF6CB0">
              <w:t xml:space="preserve">eaching, </w:t>
            </w:r>
            <w:r>
              <w:t>L</w:t>
            </w:r>
            <w:r w:rsidRPr="00AF6CB0">
              <w:t xml:space="preserve">earning and </w:t>
            </w:r>
            <w:r>
              <w:t>A</w:t>
            </w:r>
            <w:r w:rsidRPr="00AF6CB0">
              <w:t>ssessment</w:t>
            </w:r>
          </w:p>
        </w:tc>
        <w:tc>
          <w:tcPr>
            <w:tcW w:w="2052" w:type="pct"/>
          </w:tcPr>
          <w:p w14:paraId="36A70026" w14:textId="77777777" w:rsidR="00A101B9" w:rsidRPr="00AF6CB0" w:rsidRDefault="00A101B9" w:rsidP="00C350DF">
            <w:pPr>
              <w:spacing w:after="120" w:line="240" w:lineRule="auto"/>
              <w:jc w:val="center"/>
            </w:pPr>
            <w:r>
              <w:t>91%</w:t>
            </w:r>
          </w:p>
        </w:tc>
      </w:tr>
      <w:tr w:rsidR="00A101B9" w:rsidRPr="00AF6CB0" w14:paraId="0064864E" w14:textId="77777777" w:rsidTr="00C350DF">
        <w:trPr>
          <w:cantSplit/>
        </w:trPr>
        <w:tc>
          <w:tcPr>
            <w:tcW w:w="2948" w:type="pct"/>
          </w:tcPr>
          <w:p w14:paraId="6455999D" w14:textId="77777777" w:rsidR="00A101B9" w:rsidRPr="00AF6CB0" w:rsidRDefault="00A101B9" w:rsidP="00C350DF">
            <w:pPr>
              <w:spacing w:after="120" w:line="240" w:lineRule="auto"/>
            </w:pPr>
            <w:r>
              <w:t>Anticipated Student Workload</w:t>
            </w:r>
          </w:p>
        </w:tc>
        <w:tc>
          <w:tcPr>
            <w:tcW w:w="2052" w:type="pct"/>
          </w:tcPr>
          <w:p w14:paraId="42F3071C" w14:textId="77777777" w:rsidR="00A101B9" w:rsidRPr="00AF6CB0" w:rsidRDefault="00A101B9" w:rsidP="00C350DF">
            <w:pPr>
              <w:spacing w:after="120" w:line="240" w:lineRule="auto"/>
              <w:jc w:val="center"/>
            </w:pPr>
            <w:r>
              <w:t>74%</w:t>
            </w:r>
          </w:p>
        </w:tc>
      </w:tr>
      <w:tr w:rsidR="00A101B9" w:rsidRPr="00AF6CB0" w14:paraId="2A1DB7D4" w14:textId="77777777" w:rsidTr="00C350DF">
        <w:trPr>
          <w:cantSplit/>
        </w:trPr>
        <w:tc>
          <w:tcPr>
            <w:tcW w:w="2948" w:type="pct"/>
          </w:tcPr>
          <w:p w14:paraId="2B811C9A" w14:textId="77777777" w:rsidR="00A101B9" w:rsidRDefault="00A101B9" w:rsidP="00C350DF">
            <w:pPr>
              <w:spacing w:after="120" w:line="240" w:lineRule="auto"/>
            </w:pPr>
          </w:p>
        </w:tc>
        <w:tc>
          <w:tcPr>
            <w:tcW w:w="2052" w:type="pct"/>
          </w:tcPr>
          <w:p w14:paraId="1333179E" w14:textId="77777777" w:rsidR="00A101B9" w:rsidRPr="00AF6CB0" w:rsidRDefault="00A101B9" w:rsidP="00C350DF">
            <w:pPr>
              <w:spacing w:after="120" w:line="240" w:lineRule="auto"/>
              <w:jc w:val="center"/>
            </w:pPr>
          </w:p>
        </w:tc>
      </w:tr>
    </w:tbl>
    <w:p w14:paraId="51221908" w14:textId="77777777" w:rsidR="00A101B9" w:rsidRDefault="00A101B9" w:rsidP="00C350DF">
      <w:pPr>
        <w:spacing w:line="240" w:lineRule="auto"/>
        <w:rPr>
          <w:rFonts w:asciiTheme="majorHAnsi" w:hAnsiTheme="majorHAnsi"/>
          <w:sz w:val="20"/>
          <w:szCs w:val="20"/>
        </w:rPr>
      </w:pPr>
    </w:p>
    <w:p w14:paraId="242719A8" w14:textId="77777777" w:rsidR="00A101B9" w:rsidRDefault="00A101B9">
      <w:pPr>
        <w:spacing w:line="240" w:lineRule="auto"/>
        <w:rPr>
          <w:rFonts w:asciiTheme="majorHAnsi" w:hAnsiTheme="majorHAnsi"/>
          <w:sz w:val="20"/>
          <w:szCs w:val="20"/>
        </w:rPr>
      </w:pPr>
    </w:p>
    <w:p w14:paraId="0B0FFC08" w14:textId="77777777" w:rsidR="00A101B9" w:rsidRDefault="00A101B9">
      <w:pPr>
        <w:spacing w:line="240" w:lineRule="auto"/>
        <w:rPr>
          <w:rFonts w:asciiTheme="majorHAnsi" w:hAnsiTheme="majorHAnsi"/>
          <w:sz w:val="20"/>
          <w:szCs w:val="20"/>
        </w:rPr>
      </w:pPr>
      <w:r>
        <w:rPr>
          <w:rFonts w:asciiTheme="majorHAnsi" w:hAnsiTheme="majorHAnsi"/>
          <w:sz w:val="20"/>
          <w:szCs w:val="20"/>
        </w:rPr>
        <w:br w:type="page"/>
      </w:r>
    </w:p>
    <w:p w14:paraId="7F4462A5" w14:textId="0A5D61EB" w:rsidR="00A101B9" w:rsidRDefault="00A101B9" w:rsidP="00C350DF">
      <w:pPr>
        <w:pStyle w:val="Tabletitle"/>
      </w:pPr>
      <w:bookmarkStart w:id="4" w:name="_Ref32575150"/>
      <w:r>
        <w:lastRenderedPageBreak/>
        <w:t xml:space="preserve">Appendix </w:t>
      </w:r>
      <w:r w:rsidR="00BC440B">
        <w:rPr>
          <w:noProof/>
        </w:rPr>
        <w:fldChar w:fldCharType="begin"/>
      </w:r>
      <w:r w:rsidR="00BC440B">
        <w:rPr>
          <w:noProof/>
        </w:rPr>
        <w:instrText xml:space="preserve"> SEQ Appendix \* ARABIC </w:instrText>
      </w:r>
      <w:r w:rsidR="00BC440B">
        <w:rPr>
          <w:noProof/>
        </w:rPr>
        <w:fldChar w:fldCharType="separate"/>
      </w:r>
      <w:r w:rsidR="00137FF1">
        <w:rPr>
          <w:noProof/>
        </w:rPr>
        <w:t>2</w:t>
      </w:r>
      <w:r w:rsidR="00BC440B">
        <w:rPr>
          <w:noProof/>
        </w:rPr>
        <w:fldChar w:fldCharType="end"/>
      </w:r>
      <w:bookmarkEnd w:id="4"/>
      <w:r>
        <w:t>: Correlations between the seven L&amp;T variables for the 36 HEIs</w:t>
      </w:r>
    </w:p>
    <w:tbl>
      <w:tblPr>
        <w:tblStyle w:val="PlainTable11"/>
        <w:tblW w:w="8520" w:type="dxa"/>
        <w:tblLook w:val="06A0" w:firstRow="1" w:lastRow="0" w:firstColumn="1" w:lastColumn="0" w:noHBand="1" w:noVBand="1"/>
      </w:tblPr>
      <w:tblGrid>
        <w:gridCol w:w="1767"/>
        <w:gridCol w:w="990"/>
        <w:gridCol w:w="960"/>
        <w:gridCol w:w="960"/>
        <w:gridCol w:w="960"/>
        <w:gridCol w:w="960"/>
        <w:gridCol w:w="960"/>
        <w:gridCol w:w="963"/>
      </w:tblGrid>
      <w:tr w:rsidR="00A101B9" w:rsidRPr="00982504" w14:paraId="1A331196" w14:textId="77777777" w:rsidTr="00C350D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7D89466E" w14:textId="77777777" w:rsidR="00A101B9" w:rsidRPr="00982504" w:rsidRDefault="00A101B9" w:rsidP="00C350DF">
            <w:pPr>
              <w:spacing w:line="240" w:lineRule="auto"/>
            </w:pPr>
            <w:r w:rsidRPr="00982504">
              <w:t> </w:t>
            </w:r>
          </w:p>
        </w:tc>
        <w:tc>
          <w:tcPr>
            <w:tcW w:w="990" w:type="dxa"/>
            <w:hideMark/>
          </w:tcPr>
          <w:p w14:paraId="165FD8C8"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CLASS</w:t>
            </w:r>
          </w:p>
        </w:tc>
        <w:tc>
          <w:tcPr>
            <w:tcW w:w="960" w:type="dxa"/>
            <w:hideMark/>
          </w:tcPr>
          <w:p w14:paraId="760C3D01"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RESP</w:t>
            </w:r>
          </w:p>
        </w:tc>
        <w:tc>
          <w:tcPr>
            <w:tcW w:w="960" w:type="dxa"/>
            <w:hideMark/>
          </w:tcPr>
          <w:p w14:paraId="4E8D5316"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SUP</w:t>
            </w:r>
          </w:p>
        </w:tc>
        <w:tc>
          <w:tcPr>
            <w:tcW w:w="960" w:type="dxa"/>
            <w:hideMark/>
          </w:tcPr>
          <w:p w14:paraId="1EB9596C"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QUAL</w:t>
            </w:r>
          </w:p>
        </w:tc>
        <w:tc>
          <w:tcPr>
            <w:tcW w:w="960" w:type="dxa"/>
            <w:hideMark/>
          </w:tcPr>
          <w:p w14:paraId="47A84353"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AS</w:t>
            </w:r>
          </w:p>
        </w:tc>
        <w:tc>
          <w:tcPr>
            <w:tcW w:w="960" w:type="dxa"/>
            <w:hideMark/>
          </w:tcPr>
          <w:p w14:paraId="1D2B9EBF"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TIME</w:t>
            </w:r>
          </w:p>
        </w:tc>
        <w:tc>
          <w:tcPr>
            <w:tcW w:w="963" w:type="dxa"/>
            <w:hideMark/>
          </w:tcPr>
          <w:p w14:paraId="2D75C5D4"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FACIL</w:t>
            </w:r>
          </w:p>
        </w:tc>
      </w:tr>
      <w:tr w:rsidR="00A101B9" w:rsidRPr="00982504" w14:paraId="7C510A8A"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34366A7B" w14:textId="77777777" w:rsidR="00A101B9" w:rsidRPr="00982504" w:rsidRDefault="00A101B9" w:rsidP="00C350DF">
            <w:pPr>
              <w:spacing w:line="240" w:lineRule="auto"/>
            </w:pPr>
            <w:r w:rsidRPr="00982504">
              <w:t>CLASS</w:t>
            </w:r>
          </w:p>
        </w:tc>
        <w:tc>
          <w:tcPr>
            <w:tcW w:w="990" w:type="dxa"/>
            <w:noWrap/>
            <w:hideMark/>
          </w:tcPr>
          <w:p w14:paraId="269FB2F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1</w:t>
            </w:r>
          </w:p>
        </w:tc>
        <w:tc>
          <w:tcPr>
            <w:tcW w:w="960" w:type="dxa"/>
            <w:noWrap/>
            <w:hideMark/>
          </w:tcPr>
          <w:p w14:paraId="57A2B0F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176B9C6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165C808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75BC663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57AACA7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3" w:type="dxa"/>
            <w:noWrap/>
            <w:hideMark/>
          </w:tcPr>
          <w:p w14:paraId="4E24FED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r>
      <w:tr w:rsidR="00A101B9" w:rsidRPr="00982504" w14:paraId="66178BA9"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4C0E562E" w14:textId="77777777" w:rsidR="00A101B9" w:rsidRPr="00982504" w:rsidRDefault="00A101B9" w:rsidP="00C350DF">
            <w:pPr>
              <w:spacing w:line="240" w:lineRule="auto"/>
            </w:pPr>
            <w:r w:rsidRPr="00982504">
              <w:t>RESP</w:t>
            </w:r>
          </w:p>
        </w:tc>
        <w:tc>
          <w:tcPr>
            <w:tcW w:w="990" w:type="dxa"/>
            <w:noWrap/>
            <w:hideMark/>
          </w:tcPr>
          <w:p w14:paraId="5D0CFAE6"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0.034</w:t>
            </w:r>
          </w:p>
        </w:tc>
        <w:tc>
          <w:tcPr>
            <w:tcW w:w="960" w:type="dxa"/>
            <w:noWrap/>
            <w:hideMark/>
          </w:tcPr>
          <w:p w14:paraId="560241B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1</w:t>
            </w:r>
          </w:p>
        </w:tc>
        <w:tc>
          <w:tcPr>
            <w:tcW w:w="960" w:type="dxa"/>
            <w:noWrap/>
            <w:hideMark/>
          </w:tcPr>
          <w:p w14:paraId="2FA0D6F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48646DE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4FD8B6B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47E58F9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3" w:type="dxa"/>
            <w:noWrap/>
            <w:hideMark/>
          </w:tcPr>
          <w:p w14:paraId="4CC2BE9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r>
      <w:tr w:rsidR="00A101B9" w:rsidRPr="00982504" w14:paraId="26D1BD7B"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3055D18D" w14:textId="77777777" w:rsidR="00A101B9" w:rsidRPr="00982504" w:rsidRDefault="00A101B9" w:rsidP="00C350DF">
            <w:pPr>
              <w:spacing w:line="240" w:lineRule="auto"/>
            </w:pPr>
            <w:r w:rsidRPr="00982504">
              <w:t>SUP</w:t>
            </w:r>
          </w:p>
        </w:tc>
        <w:tc>
          <w:tcPr>
            <w:tcW w:w="990" w:type="dxa"/>
            <w:noWrap/>
            <w:hideMark/>
          </w:tcPr>
          <w:p w14:paraId="6754CB1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0.200</w:t>
            </w:r>
          </w:p>
        </w:tc>
        <w:tc>
          <w:tcPr>
            <w:tcW w:w="960" w:type="dxa"/>
            <w:noWrap/>
            <w:hideMark/>
          </w:tcPr>
          <w:p w14:paraId="3AFF118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0.154</w:t>
            </w:r>
          </w:p>
        </w:tc>
        <w:tc>
          <w:tcPr>
            <w:tcW w:w="960" w:type="dxa"/>
            <w:noWrap/>
            <w:hideMark/>
          </w:tcPr>
          <w:p w14:paraId="66507DB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1</w:t>
            </w:r>
          </w:p>
        </w:tc>
        <w:tc>
          <w:tcPr>
            <w:tcW w:w="960" w:type="dxa"/>
            <w:noWrap/>
            <w:hideMark/>
          </w:tcPr>
          <w:p w14:paraId="38F5057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2ADE9FF6"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39AB6706"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3" w:type="dxa"/>
            <w:noWrap/>
            <w:hideMark/>
          </w:tcPr>
          <w:p w14:paraId="7F9C360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r>
      <w:tr w:rsidR="00A101B9" w:rsidRPr="00982504" w14:paraId="71BDF391"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575ED2CD" w14:textId="77777777" w:rsidR="00A101B9" w:rsidRPr="00982504" w:rsidRDefault="00A101B9" w:rsidP="00C350DF">
            <w:pPr>
              <w:spacing w:line="240" w:lineRule="auto"/>
            </w:pPr>
            <w:r w:rsidRPr="00982504">
              <w:t>QUAL</w:t>
            </w:r>
          </w:p>
        </w:tc>
        <w:tc>
          <w:tcPr>
            <w:tcW w:w="990" w:type="dxa"/>
            <w:noWrap/>
            <w:hideMark/>
          </w:tcPr>
          <w:p w14:paraId="6BC9E85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-0.235</w:t>
            </w:r>
          </w:p>
        </w:tc>
        <w:tc>
          <w:tcPr>
            <w:tcW w:w="960" w:type="dxa"/>
            <w:noWrap/>
            <w:hideMark/>
          </w:tcPr>
          <w:p w14:paraId="3BE485E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-0.237</w:t>
            </w:r>
          </w:p>
        </w:tc>
        <w:tc>
          <w:tcPr>
            <w:tcW w:w="960" w:type="dxa"/>
            <w:noWrap/>
            <w:hideMark/>
          </w:tcPr>
          <w:p w14:paraId="48F2302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-0.249</w:t>
            </w:r>
          </w:p>
        </w:tc>
        <w:tc>
          <w:tcPr>
            <w:tcW w:w="960" w:type="dxa"/>
            <w:noWrap/>
            <w:hideMark/>
          </w:tcPr>
          <w:p w14:paraId="0E2E59A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1</w:t>
            </w:r>
          </w:p>
        </w:tc>
        <w:tc>
          <w:tcPr>
            <w:tcW w:w="960" w:type="dxa"/>
            <w:noWrap/>
            <w:hideMark/>
          </w:tcPr>
          <w:p w14:paraId="2333385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0" w:type="dxa"/>
            <w:noWrap/>
            <w:hideMark/>
          </w:tcPr>
          <w:p w14:paraId="7F040F3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3" w:type="dxa"/>
            <w:noWrap/>
            <w:hideMark/>
          </w:tcPr>
          <w:p w14:paraId="59C83C4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r>
      <w:tr w:rsidR="00A101B9" w:rsidRPr="00982504" w14:paraId="70DA063D"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1F35F837" w14:textId="77777777" w:rsidR="00A101B9" w:rsidRPr="00982504" w:rsidRDefault="00A101B9" w:rsidP="00C350DF">
            <w:pPr>
              <w:spacing w:line="240" w:lineRule="auto"/>
            </w:pPr>
            <w:r w:rsidRPr="00982504">
              <w:t>AS</w:t>
            </w:r>
          </w:p>
        </w:tc>
        <w:tc>
          <w:tcPr>
            <w:tcW w:w="990" w:type="dxa"/>
            <w:noWrap/>
            <w:hideMark/>
          </w:tcPr>
          <w:p w14:paraId="7480173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0.235</w:t>
            </w:r>
          </w:p>
        </w:tc>
        <w:tc>
          <w:tcPr>
            <w:tcW w:w="960" w:type="dxa"/>
            <w:noWrap/>
            <w:hideMark/>
          </w:tcPr>
          <w:p w14:paraId="7108876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0.025</w:t>
            </w:r>
          </w:p>
        </w:tc>
        <w:tc>
          <w:tcPr>
            <w:tcW w:w="960" w:type="dxa"/>
            <w:noWrap/>
            <w:hideMark/>
          </w:tcPr>
          <w:p w14:paraId="6F3E76C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-0.054</w:t>
            </w:r>
          </w:p>
        </w:tc>
        <w:tc>
          <w:tcPr>
            <w:tcW w:w="960" w:type="dxa"/>
            <w:noWrap/>
            <w:hideMark/>
          </w:tcPr>
          <w:p w14:paraId="4A5F380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w:t>
            </w:r>
            <w:r>
              <w:t>0</w:t>
            </w:r>
            <w:r w:rsidRPr="00982504">
              <w:t>.385</w:t>
            </w:r>
            <w:r w:rsidRPr="00982504">
              <w:rPr>
                <w:vertAlign w:val="superscript"/>
              </w:rPr>
              <w:t>*</w:t>
            </w:r>
          </w:p>
        </w:tc>
        <w:tc>
          <w:tcPr>
            <w:tcW w:w="960" w:type="dxa"/>
            <w:noWrap/>
            <w:hideMark/>
          </w:tcPr>
          <w:p w14:paraId="41F499D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1</w:t>
            </w:r>
          </w:p>
        </w:tc>
        <w:tc>
          <w:tcPr>
            <w:tcW w:w="960" w:type="dxa"/>
            <w:noWrap/>
            <w:hideMark/>
          </w:tcPr>
          <w:p w14:paraId="5FBEA34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c>
          <w:tcPr>
            <w:tcW w:w="963" w:type="dxa"/>
            <w:noWrap/>
            <w:hideMark/>
          </w:tcPr>
          <w:p w14:paraId="2F8A89E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r>
      <w:tr w:rsidR="00A101B9" w:rsidRPr="00982504" w14:paraId="11FD66DD"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772E3463" w14:textId="77777777" w:rsidR="00A101B9" w:rsidRPr="00982504" w:rsidRDefault="00A101B9" w:rsidP="00C350DF">
            <w:pPr>
              <w:spacing w:line="240" w:lineRule="auto"/>
            </w:pPr>
            <w:r w:rsidRPr="00982504">
              <w:t>TIME</w:t>
            </w:r>
          </w:p>
        </w:tc>
        <w:tc>
          <w:tcPr>
            <w:tcW w:w="990" w:type="dxa"/>
            <w:noWrap/>
            <w:hideMark/>
          </w:tcPr>
          <w:p w14:paraId="429CBF4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-0.095</w:t>
            </w:r>
          </w:p>
        </w:tc>
        <w:tc>
          <w:tcPr>
            <w:tcW w:w="960" w:type="dxa"/>
            <w:noWrap/>
            <w:hideMark/>
          </w:tcPr>
          <w:p w14:paraId="12624C9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.605</w:t>
            </w:r>
            <w:r w:rsidRPr="00982504">
              <w:rPr>
                <w:vertAlign w:val="superscript"/>
              </w:rPr>
              <w:t>**</w:t>
            </w:r>
          </w:p>
        </w:tc>
        <w:tc>
          <w:tcPr>
            <w:tcW w:w="960" w:type="dxa"/>
            <w:noWrap/>
            <w:hideMark/>
          </w:tcPr>
          <w:p w14:paraId="6020781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0.095</w:t>
            </w:r>
          </w:p>
        </w:tc>
        <w:tc>
          <w:tcPr>
            <w:tcW w:w="960" w:type="dxa"/>
            <w:noWrap/>
            <w:hideMark/>
          </w:tcPr>
          <w:p w14:paraId="58AB2E1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-0.251</w:t>
            </w:r>
          </w:p>
        </w:tc>
        <w:tc>
          <w:tcPr>
            <w:tcW w:w="960" w:type="dxa"/>
            <w:noWrap/>
            <w:hideMark/>
          </w:tcPr>
          <w:p w14:paraId="3A151E1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0.242</w:t>
            </w:r>
          </w:p>
        </w:tc>
        <w:tc>
          <w:tcPr>
            <w:tcW w:w="960" w:type="dxa"/>
            <w:noWrap/>
            <w:hideMark/>
          </w:tcPr>
          <w:p w14:paraId="57307FD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1</w:t>
            </w:r>
          </w:p>
        </w:tc>
        <w:tc>
          <w:tcPr>
            <w:tcW w:w="963" w:type="dxa"/>
            <w:noWrap/>
            <w:hideMark/>
          </w:tcPr>
          <w:p w14:paraId="7AA473D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 </w:t>
            </w:r>
          </w:p>
        </w:tc>
      </w:tr>
      <w:tr w:rsidR="00A101B9" w:rsidRPr="00982504" w14:paraId="65D1A510"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767" w:type="dxa"/>
            <w:hideMark/>
          </w:tcPr>
          <w:p w14:paraId="415FD8B8" w14:textId="77777777" w:rsidR="00A101B9" w:rsidRPr="00982504" w:rsidRDefault="00A101B9" w:rsidP="00C350DF">
            <w:pPr>
              <w:spacing w:line="240" w:lineRule="auto"/>
            </w:pPr>
            <w:r w:rsidRPr="00982504">
              <w:t>FACIL</w:t>
            </w:r>
          </w:p>
        </w:tc>
        <w:tc>
          <w:tcPr>
            <w:tcW w:w="990" w:type="dxa"/>
            <w:noWrap/>
            <w:hideMark/>
          </w:tcPr>
          <w:p w14:paraId="1509D9A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-0.094</w:t>
            </w:r>
          </w:p>
        </w:tc>
        <w:tc>
          <w:tcPr>
            <w:tcW w:w="960" w:type="dxa"/>
            <w:noWrap/>
            <w:hideMark/>
          </w:tcPr>
          <w:p w14:paraId="35F0524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0.297</w:t>
            </w:r>
            <w:r w:rsidRPr="00982504">
              <w:rPr>
                <w:vertAlign w:val="superscript"/>
              </w:rPr>
              <w:t>+</w:t>
            </w:r>
          </w:p>
        </w:tc>
        <w:tc>
          <w:tcPr>
            <w:tcW w:w="960" w:type="dxa"/>
            <w:noWrap/>
            <w:hideMark/>
          </w:tcPr>
          <w:p w14:paraId="5F907F5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0.226</w:t>
            </w:r>
          </w:p>
        </w:tc>
        <w:tc>
          <w:tcPr>
            <w:tcW w:w="960" w:type="dxa"/>
            <w:noWrap/>
            <w:hideMark/>
          </w:tcPr>
          <w:p w14:paraId="45725D36"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0.296</w:t>
            </w:r>
            <w:r w:rsidRPr="00982504">
              <w:rPr>
                <w:vertAlign w:val="superscript"/>
              </w:rPr>
              <w:t>+</w:t>
            </w:r>
          </w:p>
        </w:tc>
        <w:tc>
          <w:tcPr>
            <w:tcW w:w="960" w:type="dxa"/>
            <w:noWrap/>
            <w:hideMark/>
          </w:tcPr>
          <w:p w14:paraId="4F6EBF5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-0.073</w:t>
            </w:r>
          </w:p>
        </w:tc>
        <w:tc>
          <w:tcPr>
            <w:tcW w:w="960" w:type="dxa"/>
            <w:noWrap/>
            <w:hideMark/>
          </w:tcPr>
          <w:p w14:paraId="66AEC3C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0.306</w:t>
            </w:r>
            <w:r w:rsidRPr="00982504">
              <w:rPr>
                <w:vertAlign w:val="superscript"/>
              </w:rPr>
              <w:t>+</w:t>
            </w:r>
          </w:p>
        </w:tc>
        <w:tc>
          <w:tcPr>
            <w:tcW w:w="963" w:type="dxa"/>
            <w:noWrap/>
            <w:hideMark/>
          </w:tcPr>
          <w:p w14:paraId="599936A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1</w:t>
            </w:r>
          </w:p>
        </w:tc>
      </w:tr>
    </w:tbl>
    <w:p w14:paraId="36B64A34" w14:textId="77777777" w:rsidR="00A101B9" w:rsidRDefault="00A101B9">
      <w:pPr>
        <w:spacing w:line="240" w:lineRule="auto"/>
        <w:rPr>
          <w:rFonts w:asciiTheme="majorHAnsi" w:hAnsiTheme="majorHAnsi"/>
          <w:sz w:val="20"/>
          <w:szCs w:val="20"/>
        </w:rPr>
      </w:pPr>
      <w:r>
        <w:rPr>
          <w:rFonts w:asciiTheme="majorHAnsi" w:hAnsiTheme="majorHAnsi"/>
          <w:sz w:val="20"/>
          <w:szCs w:val="20"/>
        </w:rPr>
        <w:t>** p&lt;0.01; *p&lt;0.05; +p&lt;0.1</w:t>
      </w:r>
    </w:p>
    <w:p w14:paraId="56D34460" w14:textId="77777777" w:rsidR="005C4C00" w:rsidRDefault="005C4C00">
      <w:pPr>
        <w:spacing w:after="160" w:line="259" w:lineRule="auto"/>
      </w:pPr>
      <w:bookmarkStart w:id="5" w:name="_Ref32575153"/>
    </w:p>
    <w:p w14:paraId="403017B6" w14:textId="4F0CE897" w:rsidR="005C4C00" w:rsidRDefault="005C4C00">
      <w:pPr>
        <w:spacing w:after="160" w:line="259" w:lineRule="auto"/>
      </w:pPr>
      <w:r>
        <w:br w:type="page"/>
      </w:r>
    </w:p>
    <w:p w14:paraId="3D43C64B" w14:textId="77777777" w:rsidR="00C350DF" w:rsidRDefault="00C350DF" w:rsidP="00C350DF">
      <w:pPr>
        <w:pStyle w:val="Tabletitle"/>
      </w:pPr>
    </w:p>
    <w:p w14:paraId="5F1C725B" w14:textId="242ACBB3" w:rsidR="005C4C00" w:rsidRDefault="005C4C00" w:rsidP="005C4C00">
      <w:pPr>
        <w:pStyle w:val="Tabletitle"/>
      </w:pPr>
      <w:bookmarkStart w:id="6" w:name="_Ref32613322"/>
      <w:bookmarkStart w:id="7" w:name="_Ref32613310"/>
      <w:r>
        <w:t xml:space="preserve">Appendix </w:t>
      </w:r>
      <w:fldSimple w:instr=" SEQ Appendix \* ARABIC ">
        <w:r w:rsidR="00137FF1">
          <w:rPr>
            <w:noProof/>
          </w:rPr>
          <w:t>3</w:t>
        </w:r>
      </w:fldSimple>
      <w:bookmarkEnd w:id="6"/>
      <w:r>
        <w:t xml:space="preserve">: </w:t>
      </w:r>
      <w:r w:rsidRPr="0073504B">
        <w:t>Correlations between the seven L&amp;T variables and the 2015 and 2019 NSS for the 36 HEIs</w:t>
      </w:r>
      <w:bookmarkEnd w:id="7"/>
    </w:p>
    <w:tbl>
      <w:tblPr>
        <w:tblStyle w:val="PlainTable11"/>
        <w:tblW w:w="5000" w:type="pct"/>
        <w:tblLook w:val="06A0" w:firstRow="1" w:lastRow="0" w:firstColumn="1" w:lastColumn="0" w:noHBand="1" w:noVBand="1"/>
      </w:tblPr>
      <w:tblGrid>
        <w:gridCol w:w="1936"/>
        <w:gridCol w:w="991"/>
        <w:gridCol w:w="881"/>
        <w:gridCol w:w="881"/>
        <w:gridCol w:w="910"/>
        <w:gridCol w:w="876"/>
        <w:gridCol w:w="858"/>
        <w:gridCol w:w="963"/>
      </w:tblGrid>
      <w:tr w:rsidR="00A101B9" w:rsidRPr="00982504" w14:paraId="6408A495" w14:textId="77777777" w:rsidTr="00C35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pct"/>
            <w:noWrap/>
            <w:hideMark/>
          </w:tcPr>
          <w:p w14:paraId="100A7C02" w14:textId="77777777" w:rsidR="00A101B9" w:rsidRPr="00982504" w:rsidRDefault="00A101B9" w:rsidP="00C350DF">
            <w:pPr>
              <w:spacing w:line="240" w:lineRule="auto"/>
            </w:pPr>
            <w:bookmarkStart w:id="8" w:name="_Ref522534794"/>
            <w:bookmarkEnd w:id="5"/>
          </w:p>
        </w:tc>
        <w:tc>
          <w:tcPr>
            <w:tcW w:w="597" w:type="pct"/>
            <w:hideMark/>
          </w:tcPr>
          <w:p w14:paraId="7D4418DD"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CLASS</w:t>
            </w:r>
          </w:p>
        </w:tc>
        <w:tc>
          <w:tcPr>
            <w:tcW w:w="531" w:type="pct"/>
            <w:hideMark/>
          </w:tcPr>
          <w:p w14:paraId="387AC2B5"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RESP</w:t>
            </w:r>
          </w:p>
        </w:tc>
        <w:tc>
          <w:tcPr>
            <w:tcW w:w="531" w:type="pct"/>
            <w:hideMark/>
          </w:tcPr>
          <w:p w14:paraId="588C6D4C"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SUP</w:t>
            </w:r>
          </w:p>
        </w:tc>
        <w:tc>
          <w:tcPr>
            <w:tcW w:w="548" w:type="pct"/>
            <w:hideMark/>
          </w:tcPr>
          <w:p w14:paraId="1E49EAC2"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QUAL</w:t>
            </w:r>
          </w:p>
        </w:tc>
        <w:tc>
          <w:tcPr>
            <w:tcW w:w="528" w:type="pct"/>
            <w:hideMark/>
          </w:tcPr>
          <w:p w14:paraId="14BFC868"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AS</w:t>
            </w:r>
          </w:p>
        </w:tc>
        <w:tc>
          <w:tcPr>
            <w:tcW w:w="517" w:type="pct"/>
            <w:hideMark/>
          </w:tcPr>
          <w:p w14:paraId="1C77EC8A"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TIME</w:t>
            </w:r>
          </w:p>
        </w:tc>
        <w:tc>
          <w:tcPr>
            <w:tcW w:w="580" w:type="pct"/>
            <w:hideMark/>
          </w:tcPr>
          <w:p w14:paraId="3FBA2ACC"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982504">
              <w:t>FACIL</w:t>
            </w:r>
          </w:p>
        </w:tc>
      </w:tr>
      <w:tr w:rsidR="00A101B9" w:rsidRPr="00982504" w14:paraId="6CAE61B2"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3A9EC51E" w14:textId="77777777" w:rsidR="00A101B9" w:rsidRPr="00982504" w:rsidRDefault="00A101B9" w:rsidP="00C350DF">
            <w:pPr>
              <w:spacing w:line="240" w:lineRule="auto"/>
            </w:pPr>
            <w:r w:rsidRPr="00982504">
              <w:t>NSSAS15</w:t>
            </w:r>
          </w:p>
        </w:tc>
        <w:tc>
          <w:tcPr>
            <w:tcW w:w="597" w:type="pct"/>
            <w:noWrap/>
            <w:hideMark/>
          </w:tcPr>
          <w:p w14:paraId="77FCD35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-0.042</w:t>
            </w:r>
          </w:p>
        </w:tc>
        <w:tc>
          <w:tcPr>
            <w:tcW w:w="531" w:type="pct"/>
            <w:noWrap/>
            <w:hideMark/>
          </w:tcPr>
          <w:p w14:paraId="3944500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.364</w:t>
            </w:r>
            <w:r w:rsidRPr="00982504">
              <w:rPr>
                <w:vertAlign w:val="superscript"/>
              </w:rPr>
              <w:t>*</w:t>
            </w:r>
          </w:p>
        </w:tc>
        <w:tc>
          <w:tcPr>
            <w:tcW w:w="531" w:type="pct"/>
            <w:noWrap/>
            <w:hideMark/>
          </w:tcPr>
          <w:p w14:paraId="0CBDEE0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.383</w:t>
            </w:r>
            <w:r w:rsidRPr="00982504">
              <w:rPr>
                <w:vertAlign w:val="superscript"/>
              </w:rPr>
              <w:t>*</w:t>
            </w:r>
          </w:p>
        </w:tc>
        <w:tc>
          <w:tcPr>
            <w:tcW w:w="548" w:type="pct"/>
            <w:noWrap/>
            <w:hideMark/>
          </w:tcPr>
          <w:p w14:paraId="6D61A78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0.227</w:t>
            </w:r>
          </w:p>
        </w:tc>
        <w:tc>
          <w:tcPr>
            <w:tcW w:w="528" w:type="pct"/>
            <w:noWrap/>
            <w:hideMark/>
          </w:tcPr>
          <w:p w14:paraId="56650B8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-.369</w:t>
            </w:r>
            <w:r w:rsidRPr="00982504">
              <w:rPr>
                <w:vertAlign w:val="superscript"/>
              </w:rPr>
              <w:t>*</w:t>
            </w:r>
          </w:p>
        </w:tc>
        <w:tc>
          <w:tcPr>
            <w:tcW w:w="517" w:type="pct"/>
            <w:noWrap/>
            <w:hideMark/>
          </w:tcPr>
          <w:p w14:paraId="7D79503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0.306</w:t>
            </w:r>
            <w:r w:rsidRPr="00982504">
              <w:rPr>
                <w:vertAlign w:val="superscript"/>
              </w:rPr>
              <w:t>+</w:t>
            </w:r>
          </w:p>
        </w:tc>
        <w:tc>
          <w:tcPr>
            <w:tcW w:w="580" w:type="pct"/>
            <w:noWrap/>
            <w:hideMark/>
          </w:tcPr>
          <w:p w14:paraId="3207B4C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0.153</w:t>
            </w:r>
          </w:p>
        </w:tc>
      </w:tr>
      <w:tr w:rsidR="00A101B9" w:rsidRPr="00982504" w14:paraId="088C0C87"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78E6E717" w14:textId="77777777" w:rsidR="00A101B9" w:rsidRPr="00982504" w:rsidRDefault="00A101B9" w:rsidP="00C350DF">
            <w:pPr>
              <w:spacing w:line="240" w:lineRule="auto"/>
            </w:pPr>
            <w:r w:rsidRPr="00982504">
              <w:t>NSSOrg15</w:t>
            </w:r>
          </w:p>
        </w:tc>
        <w:tc>
          <w:tcPr>
            <w:tcW w:w="597" w:type="pct"/>
            <w:noWrap/>
            <w:hideMark/>
          </w:tcPr>
          <w:p w14:paraId="4D3C604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0.235</w:t>
            </w:r>
          </w:p>
        </w:tc>
        <w:tc>
          <w:tcPr>
            <w:tcW w:w="531" w:type="pct"/>
            <w:noWrap/>
            <w:hideMark/>
          </w:tcPr>
          <w:p w14:paraId="2045840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.349</w:t>
            </w:r>
            <w:r w:rsidRPr="00982504">
              <w:rPr>
                <w:vertAlign w:val="superscript"/>
              </w:rPr>
              <w:t>*</w:t>
            </w:r>
          </w:p>
        </w:tc>
        <w:tc>
          <w:tcPr>
            <w:tcW w:w="531" w:type="pct"/>
            <w:noWrap/>
            <w:hideMark/>
          </w:tcPr>
          <w:p w14:paraId="25E75916"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.331</w:t>
            </w:r>
            <w:r w:rsidRPr="00982504">
              <w:rPr>
                <w:vertAlign w:val="superscript"/>
              </w:rPr>
              <w:t>*</w:t>
            </w:r>
          </w:p>
        </w:tc>
        <w:tc>
          <w:tcPr>
            <w:tcW w:w="548" w:type="pct"/>
            <w:noWrap/>
            <w:hideMark/>
          </w:tcPr>
          <w:p w14:paraId="37517896"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0.250</w:t>
            </w:r>
          </w:p>
        </w:tc>
        <w:tc>
          <w:tcPr>
            <w:tcW w:w="528" w:type="pct"/>
            <w:noWrap/>
            <w:hideMark/>
          </w:tcPr>
          <w:p w14:paraId="4B8BD2E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-0.096</w:t>
            </w:r>
          </w:p>
        </w:tc>
        <w:tc>
          <w:tcPr>
            <w:tcW w:w="517" w:type="pct"/>
            <w:noWrap/>
            <w:hideMark/>
          </w:tcPr>
          <w:p w14:paraId="4E27D66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.391</w:t>
            </w:r>
            <w:r w:rsidRPr="00982504">
              <w:rPr>
                <w:vertAlign w:val="superscript"/>
              </w:rPr>
              <w:t>*</w:t>
            </w:r>
          </w:p>
        </w:tc>
        <w:tc>
          <w:tcPr>
            <w:tcW w:w="580" w:type="pct"/>
            <w:noWrap/>
            <w:hideMark/>
          </w:tcPr>
          <w:p w14:paraId="6958A3A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0.212</w:t>
            </w:r>
          </w:p>
        </w:tc>
      </w:tr>
      <w:tr w:rsidR="00A101B9" w:rsidRPr="00982504" w14:paraId="0ABEA55E"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7FC94100" w14:textId="77777777" w:rsidR="00A101B9" w:rsidRPr="00982504" w:rsidRDefault="00A101B9" w:rsidP="00C350DF">
            <w:pPr>
              <w:spacing w:line="240" w:lineRule="auto"/>
            </w:pPr>
            <w:r w:rsidRPr="00982504">
              <w:t>NSSOverall15</w:t>
            </w:r>
          </w:p>
        </w:tc>
        <w:tc>
          <w:tcPr>
            <w:tcW w:w="597" w:type="pct"/>
            <w:noWrap/>
            <w:hideMark/>
          </w:tcPr>
          <w:p w14:paraId="66CF926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0.120</w:t>
            </w:r>
          </w:p>
        </w:tc>
        <w:tc>
          <w:tcPr>
            <w:tcW w:w="531" w:type="pct"/>
            <w:noWrap/>
            <w:hideMark/>
          </w:tcPr>
          <w:p w14:paraId="4430B84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0.304</w:t>
            </w:r>
            <w:r w:rsidRPr="00982504">
              <w:rPr>
                <w:vertAlign w:val="superscript"/>
              </w:rPr>
              <w:t>+</w:t>
            </w:r>
          </w:p>
        </w:tc>
        <w:tc>
          <w:tcPr>
            <w:tcW w:w="531" w:type="pct"/>
            <w:noWrap/>
            <w:hideMark/>
          </w:tcPr>
          <w:p w14:paraId="1C19AE5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.390</w:t>
            </w:r>
            <w:r w:rsidRPr="00982504">
              <w:rPr>
                <w:vertAlign w:val="superscript"/>
              </w:rPr>
              <w:t>*</w:t>
            </w:r>
          </w:p>
        </w:tc>
        <w:tc>
          <w:tcPr>
            <w:tcW w:w="548" w:type="pct"/>
            <w:noWrap/>
            <w:hideMark/>
          </w:tcPr>
          <w:p w14:paraId="20413A4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.331</w:t>
            </w:r>
            <w:r w:rsidRPr="00982504">
              <w:rPr>
                <w:vertAlign w:val="superscript"/>
              </w:rPr>
              <w:t>*</w:t>
            </w:r>
          </w:p>
        </w:tc>
        <w:tc>
          <w:tcPr>
            <w:tcW w:w="528" w:type="pct"/>
            <w:noWrap/>
            <w:hideMark/>
          </w:tcPr>
          <w:p w14:paraId="0166BD3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-0.163</w:t>
            </w:r>
          </w:p>
        </w:tc>
        <w:tc>
          <w:tcPr>
            <w:tcW w:w="517" w:type="pct"/>
            <w:noWrap/>
            <w:hideMark/>
          </w:tcPr>
          <w:p w14:paraId="5D75E2F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.393</w:t>
            </w:r>
            <w:r w:rsidRPr="00982504">
              <w:rPr>
                <w:vertAlign w:val="superscript"/>
              </w:rPr>
              <w:t>*</w:t>
            </w:r>
          </w:p>
        </w:tc>
        <w:tc>
          <w:tcPr>
            <w:tcW w:w="580" w:type="pct"/>
            <w:noWrap/>
            <w:hideMark/>
          </w:tcPr>
          <w:p w14:paraId="0E91CEF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0.148</w:t>
            </w:r>
          </w:p>
        </w:tc>
      </w:tr>
      <w:tr w:rsidR="00A101B9" w:rsidRPr="00982504" w14:paraId="79D114FB"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4EDAB860" w14:textId="77777777" w:rsidR="00A101B9" w:rsidRPr="00982504" w:rsidRDefault="00A101B9" w:rsidP="00C350DF">
            <w:pPr>
              <w:spacing w:line="240" w:lineRule="auto"/>
            </w:pPr>
            <w:r w:rsidRPr="00982504">
              <w:t>NSSTC15</w:t>
            </w:r>
          </w:p>
        </w:tc>
        <w:tc>
          <w:tcPr>
            <w:tcW w:w="597" w:type="pct"/>
            <w:noWrap/>
            <w:hideMark/>
          </w:tcPr>
          <w:p w14:paraId="37E021A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0.241</w:t>
            </w:r>
          </w:p>
        </w:tc>
        <w:tc>
          <w:tcPr>
            <w:tcW w:w="531" w:type="pct"/>
            <w:noWrap/>
            <w:hideMark/>
          </w:tcPr>
          <w:p w14:paraId="2C78CBC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0.257</w:t>
            </w:r>
          </w:p>
        </w:tc>
        <w:tc>
          <w:tcPr>
            <w:tcW w:w="531" w:type="pct"/>
            <w:noWrap/>
            <w:hideMark/>
          </w:tcPr>
          <w:p w14:paraId="312E7AA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.409</w:t>
            </w:r>
            <w:r w:rsidRPr="00982504">
              <w:rPr>
                <w:vertAlign w:val="superscript"/>
              </w:rPr>
              <w:t>*</w:t>
            </w:r>
          </w:p>
        </w:tc>
        <w:tc>
          <w:tcPr>
            <w:tcW w:w="548" w:type="pct"/>
            <w:noWrap/>
            <w:hideMark/>
          </w:tcPr>
          <w:p w14:paraId="5F23CE4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0.177</w:t>
            </w:r>
          </w:p>
        </w:tc>
        <w:tc>
          <w:tcPr>
            <w:tcW w:w="528" w:type="pct"/>
            <w:noWrap/>
            <w:hideMark/>
          </w:tcPr>
          <w:p w14:paraId="7BAC63E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-0.137</w:t>
            </w:r>
          </w:p>
        </w:tc>
        <w:tc>
          <w:tcPr>
            <w:tcW w:w="517" w:type="pct"/>
            <w:noWrap/>
            <w:hideMark/>
          </w:tcPr>
          <w:p w14:paraId="1F82BD3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0.299</w:t>
            </w:r>
            <w:r w:rsidRPr="00982504">
              <w:rPr>
                <w:vertAlign w:val="superscript"/>
              </w:rPr>
              <w:t>+</w:t>
            </w:r>
          </w:p>
        </w:tc>
        <w:tc>
          <w:tcPr>
            <w:tcW w:w="580" w:type="pct"/>
            <w:noWrap/>
            <w:hideMark/>
          </w:tcPr>
          <w:p w14:paraId="75A298E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-0.030</w:t>
            </w:r>
          </w:p>
        </w:tc>
      </w:tr>
      <w:tr w:rsidR="00A101B9" w:rsidRPr="00982504" w14:paraId="72604261"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651EE894" w14:textId="77777777" w:rsidR="00A101B9" w:rsidRPr="00982504" w:rsidRDefault="00A101B9" w:rsidP="00C350DF">
            <w:pPr>
              <w:spacing w:line="240" w:lineRule="auto"/>
            </w:pPr>
            <w:r w:rsidRPr="00982504">
              <w:t>NSSAF15</w:t>
            </w:r>
          </w:p>
        </w:tc>
        <w:tc>
          <w:tcPr>
            <w:tcW w:w="597" w:type="pct"/>
            <w:noWrap/>
            <w:hideMark/>
          </w:tcPr>
          <w:p w14:paraId="6DCD584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-.372</w:t>
            </w:r>
            <w:r w:rsidRPr="00982504">
              <w:rPr>
                <w:vertAlign w:val="superscript"/>
              </w:rPr>
              <w:t>*</w:t>
            </w:r>
          </w:p>
        </w:tc>
        <w:tc>
          <w:tcPr>
            <w:tcW w:w="531" w:type="pct"/>
            <w:noWrap/>
            <w:hideMark/>
          </w:tcPr>
          <w:p w14:paraId="79C12FF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0.215</w:t>
            </w:r>
          </w:p>
        </w:tc>
        <w:tc>
          <w:tcPr>
            <w:tcW w:w="531" w:type="pct"/>
            <w:noWrap/>
            <w:hideMark/>
          </w:tcPr>
          <w:p w14:paraId="035A780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.352</w:t>
            </w:r>
            <w:r w:rsidRPr="00982504">
              <w:rPr>
                <w:vertAlign w:val="superscript"/>
              </w:rPr>
              <w:t>*</w:t>
            </w:r>
          </w:p>
        </w:tc>
        <w:tc>
          <w:tcPr>
            <w:tcW w:w="548" w:type="pct"/>
            <w:noWrap/>
            <w:hideMark/>
          </w:tcPr>
          <w:p w14:paraId="40BBF8F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0.248</w:t>
            </w:r>
          </w:p>
        </w:tc>
        <w:tc>
          <w:tcPr>
            <w:tcW w:w="528" w:type="pct"/>
            <w:noWrap/>
            <w:hideMark/>
          </w:tcPr>
          <w:p w14:paraId="064AF3B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-.440</w:t>
            </w:r>
            <w:r w:rsidRPr="00982504">
              <w:rPr>
                <w:vertAlign w:val="superscript"/>
              </w:rPr>
              <w:t>**</w:t>
            </w:r>
          </w:p>
        </w:tc>
        <w:tc>
          <w:tcPr>
            <w:tcW w:w="517" w:type="pct"/>
            <w:noWrap/>
            <w:hideMark/>
          </w:tcPr>
          <w:p w14:paraId="0473D6F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0.256</w:t>
            </w:r>
          </w:p>
        </w:tc>
        <w:tc>
          <w:tcPr>
            <w:tcW w:w="580" w:type="pct"/>
            <w:noWrap/>
            <w:hideMark/>
          </w:tcPr>
          <w:p w14:paraId="6B09CF3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0.139</w:t>
            </w:r>
          </w:p>
        </w:tc>
      </w:tr>
      <w:tr w:rsidR="00A101B9" w:rsidRPr="00982504" w14:paraId="5CE0E2D8"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71DF80BE" w14:textId="77777777" w:rsidR="00A101B9" w:rsidRPr="00982504" w:rsidRDefault="00A101B9" w:rsidP="00C350DF">
            <w:pPr>
              <w:spacing w:line="240" w:lineRule="auto"/>
            </w:pPr>
            <w:r w:rsidRPr="00982504">
              <w:t>NSSOveral</w:t>
            </w:r>
            <w:r>
              <w:t>l</w:t>
            </w:r>
            <w:r w:rsidRPr="00982504">
              <w:t>19</w:t>
            </w:r>
          </w:p>
        </w:tc>
        <w:tc>
          <w:tcPr>
            <w:tcW w:w="597" w:type="pct"/>
            <w:noWrap/>
            <w:hideMark/>
          </w:tcPr>
          <w:p w14:paraId="265ADC7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0.078</w:t>
            </w:r>
          </w:p>
        </w:tc>
        <w:tc>
          <w:tcPr>
            <w:tcW w:w="531" w:type="pct"/>
            <w:noWrap/>
            <w:hideMark/>
          </w:tcPr>
          <w:p w14:paraId="06C8297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0.225</w:t>
            </w:r>
          </w:p>
        </w:tc>
        <w:tc>
          <w:tcPr>
            <w:tcW w:w="531" w:type="pct"/>
            <w:noWrap/>
            <w:hideMark/>
          </w:tcPr>
          <w:p w14:paraId="47EC174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-0.055</w:t>
            </w:r>
          </w:p>
        </w:tc>
        <w:tc>
          <w:tcPr>
            <w:tcW w:w="548" w:type="pct"/>
            <w:noWrap/>
            <w:hideMark/>
          </w:tcPr>
          <w:p w14:paraId="474585C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0.237</w:t>
            </w:r>
          </w:p>
        </w:tc>
        <w:tc>
          <w:tcPr>
            <w:tcW w:w="528" w:type="pct"/>
            <w:noWrap/>
            <w:hideMark/>
          </w:tcPr>
          <w:p w14:paraId="51295F8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-0.290</w:t>
            </w:r>
          </w:p>
        </w:tc>
        <w:tc>
          <w:tcPr>
            <w:tcW w:w="517" w:type="pct"/>
            <w:noWrap/>
            <w:hideMark/>
          </w:tcPr>
          <w:p w14:paraId="3B43C2F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0.146</w:t>
            </w:r>
          </w:p>
        </w:tc>
        <w:tc>
          <w:tcPr>
            <w:tcW w:w="580" w:type="pct"/>
            <w:noWrap/>
            <w:hideMark/>
          </w:tcPr>
          <w:p w14:paraId="319C868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-0.057</w:t>
            </w:r>
          </w:p>
        </w:tc>
      </w:tr>
      <w:tr w:rsidR="00A101B9" w:rsidRPr="00982504" w14:paraId="1E1E374B"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3A6B6C75" w14:textId="77777777" w:rsidR="00A101B9" w:rsidRPr="00982504" w:rsidRDefault="00A101B9" w:rsidP="00C350DF">
            <w:pPr>
              <w:spacing w:line="240" w:lineRule="auto"/>
            </w:pPr>
            <w:r w:rsidRPr="00982504">
              <w:t>NSSAS19</w:t>
            </w:r>
          </w:p>
        </w:tc>
        <w:tc>
          <w:tcPr>
            <w:tcW w:w="597" w:type="pct"/>
            <w:noWrap/>
            <w:hideMark/>
          </w:tcPr>
          <w:p w14:paraId="462CA53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rPr>
                <w:vertAlign w:val="superscript"/>
              </w:rPr>
            </w:pPr>
            <w:r w:rsidRPr="00982504">
              <w:t>-0.300</w:t>
            </w:r>
            <w:r w:rsidRPr="00982504">
              <w:rPr>
                <w:vertAlign w:val="superscript"/>
              </w:rPr>
              <w:t>+</w:t>
            </w:r>
          </w:p>
        </w:tc>
        <w:tc>
          <w:tcPr>
            <w:tcW w:w="531" w:type="pct"/>
            <w:noWrap/>
            <w:hideMark/>
          </w:tcPr>
          <w:p w14:paraId="39CBDBB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0.184</w:t>
            </w:r>
          </w:p>
        </w:tc>
        <w:tc>
          <w:tcPr>
            <w:tcW w:w="531" w:type="pct"/>
            <w:noWrap/>
            <w:hideMark/>
          </w:tcPr>
          <w:p w14:paraId="5CB9E5E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-0.078</w:t>
            </w:r>
          </w:p>
        </w:tc>
        <w:tc>
          <w:tcPr>
            <w:tcW w:w="548" w:type="pct"/>
            <w:noWrap/>
            <w:hideMark/>
          </w:tcPr>
          <w:p w14:paraId="62B5E5F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0.146</w:t>
            </w:r>
          </w:p>
        </w:tc>
        <w:tc>
          <w:tcPr>
            <w:tcW w:w="528" w:type="pct"/>
            <w:noWrap/>
            <w:hideMark/>
          </w:tcPr>
          <w:p w14:paraId="7744627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-.490</w:t>
            </w:r>
            <w:r w:rsidRPr="00982504">
              <w:rPr>
                <w:vertAlign w:val="superscript"/>
              </w:rPr>
              <w:t>**</w:t>
            </w:r>
          </w:p>
        </w:tc>
        <w:tc>
          <w:tcPr>
            <w:tcW w:w="517" w:type="pct"/>
            <w:noWrap/>
            <w:hideMark/>
          </w:tcPr>
          <w:p w14:paraId="158337D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0.017</w:t>
            </w:r>
          </w:p>
        </w:tc>
        <w:tc>
          <w:tcPr>
            <w:tcW w:w="580" w:type="pct"/>
            <w:noWrap/>
            <w:hideMark/>
          </w:tcPr>
          <w:p w14:paraId="66030D3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-0.109</w:t>
            </w:r>
          </w:p>
        </w:tc>
      </w:tr>
      <w:tr w:rsidR="00A101B9" w:rsidRPr="00982504" w14:paraId="4084AC57"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083C02F4" w14:textId="77777777" w:rsidR="00A101B9" w:rsidRPr="00982504" w:rsidRDefault="00A101B9" w:rsidP="00C350DF">
            <w:pPr>
              <w:spacing w:line="240" w:lineRule="auto"/>
            </w:pPr>
            <w:r w:rsidRPr="00982504">
              <w:t>NSSTC19</w:t>
            </w:r>
          </w:p>
        </w:tc>
        <w:tc>
          <w:tcPr>
            <w:tcW w:w="597" w:type="pct"/>
            <w:noWrap/>
            <w:hideMark/>
          </w:tcPr>
          <w:p w14:paraId="014A01C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0.125</w:t>
            </w:r>
          </w:p>
        </w:tc>
        <w:tc>
          <w:tcPr>
            <w:tcW w:w="531" w:type="pct"/>
            <w:noWrap/>
            <w:hideMark/>
          </w:tcPr>
          <w:p w14:paraId="0F33703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0.192</w:t>
            </w:r>
          </w:p>
        </w:tc>
        <w:tc>
          <w:tcPr>
            <w:tcW w:w="531" w:type="pct"/>
            <w:noWrap/>
            <w:hideMark/>
          </w:tcPr>
          <w:p w14:paraId="43657D1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-0.005</w:t>
            </w:r>
          </w:p>
        </w:tc>
        <w:tc>
          <w:tcPr>
            <w:tcW w:w="548" w:type="pct"/>
            <w:noWrap/>
            <w:hideMark/>
          </w:tcPr>
          <w:p w14:paraId="277C07A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-0.014</w:t>
            </w:r>
          </w:p>
        </w:tc>
        <w:tc>
          <w:tcPr>
            <w:tcW w:w="528" w:type="pct"/>
            <w:noWrap/>
            <w:hideMark/>
          </w:tcPr>
          <w:p w14:paraId="5C3D4C7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-0.257</w:t>
            </w:r>
          </w:p>
        </w:tc>
        <w:tc>
          <w:tcPr>
            <w:tcW w:w="517" w:type="pct"/>
            <w:noWrap/>
            <w:hideMark/>
          </w:tcPr>
          <w:p w14:paraId="36AAFB5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0.098</w:t>
            </w:r>
          </w:p>
        </w:tc>
        <w:tc>
          <w:tcPr>
            <w:tcW w:w="580" w:type="pct"/>
            <w:noWrap/>
            <w:hideMark/>
          </w:tcPr>
          <w:p w14:paraId="58794CD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-0.295</w:t>
            </w:r>
            <w:r w:rsidRPr="00982504">
              <w:rPr>
                <w:vertAlign w:val="superscript"/>
              </w:rPr>
              <w:t>+</w:t>
            </w:r>
          </w:p>
        </w:tc>
      </w:tr>
      <w:tr w:rsidR="00A101B9" w:rsidRPr="00982504" w14:paraId="57AB10F4"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3CD46B35" w14:textId="77777777" w:rsidR="00A101B9" w:rsidRPr="00982504" w:rsidRDefault="00A101B9" w:rsidP="00C350DF">
            <w:pPr>
              <w:spacing w:line="240" w:lineRule="auto"/>
            </w:pPr>
            <w:r w:rsidRPr="00982504">
              <w:t>NSSAF19</w:t>
            </w:r>
          </w:p>
        </w:tc>
        <w:tc>
          <w:tcPr>
            <w:tcW w:w="597" w:type="pct"/>
            <w:noWrap/>
            <w:hideMark/>
          </w:tcPr>
          <w:p w14:paraId="3C21B5C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-.424</w:t>
            </w:r>
            <w:r w:rsidRPr="00982504">
              <w:rPr>
                <w:vertAlign w:val="superscript"/>
              </w:rPr>
              <w:t>*</w:t>
            </w:r>
          </w:p>
        </w:tc>
        <w:tc>
          <w:tcPr>
            <w:tcW w:w="531" w:type="pct"/>
            <w:noWrap/>
            <w:hideMark/>
          </w:tcPr>
          <w:p w14:paraId="74479836"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0.058</w:t>
            </w:r>
          </w:p>
        </w:tc>
        <w:tc>
          <w:tcPr>
            <w:tcW w:w="531" w:type="pct"/>
            <w:noWrap/>
            <w:hideMark/>
          </w:tcPr>
          <w:p w14:paraId="79A758A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-0.124</w:t>
            </w:r>
          </w:p>
        </w:tc>
        <w:tc>
          <w:tcPr>
            <w:tcW w:w="548" w:type="pct"/>
            <w:noWrap/>
            <w:hideMark/>
          </w:tcPr>
          <w:p w14:paraId="24012DC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0.075</w:t>
            </w:r>
          </w:p>
        </w:tc>
        <w:tc>
          <w:tcPr>
            <w:tcW w:w="528" w:type="pct"/>
            <w:noWrap/>
            <w:hideMark/>
          </w:tcPr>
          <w:p w14:paraId="5C45F1C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-.447</w:t>
            </w:r>
            <w:r w:rsidRPr="00982504">
              <w:rPr>
                <w:vertAlign w:val="superscript"/>
              </w:rPr>
              <w:t>**</w:t>
            </w:r>
          </w:p>
        </w:tc>
        <w:tc>
          <w:tcPr>
            <w:tcW w:w="517" w:type="pct"/>
            <w:noWrap/>
            <w:hideMark/>
          </w:tcPr>
          <w:p w14:paraId="025A1C6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-0.137</w:t>
            </w:r>
          </w:p>
        </w:tc>
        <w:tc>
          <w:tcPr>
            <w:tcW w:w="580" w:type="pct"/>
            <w:noWrap/>
            <w:hideMark/>
          </w:tcPr>
          <w:p w14:paraId="55FFF6C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-0.104</w:t>
            </w:r>
          </w:p>
        </w:tc>
      </w:tr>
      <w:tr w:rsidR="00A101B9" w:rsidRPr="00982504" w14:paraId="1C25BA7A" w14:textId="77777777" w:rsidTr="00C350DF">
        <w:tc>
          <w:tcPr>
            <w:cnfStyle w:val="001000000000" w:firstRow="0" w:lastRow="0" w:firstColumn="1" w:lastColumn="0" w:oddVBand="0" w:evenVBand="0" w:oddHBand="0" w:evenHBand="0" w:firstRowFirstColumn="0" w:firstRowLastColumn="0" w:lastRowFirstColumn="0" w:lastRowLastColumn="0"/>
            <w:tcW w:w="1167" w:type="pct"/>
            <w:hideMark/>
          </w:tcPr>
          <w:p w14:paraId="58B63742" w14:textId="77777777" w:rsidR="00A101B9" w:rsidRPr="00982504" w:rsidRDefault="00A101B9" w:rsidP="00C350DF">
            <w:pPr>
              <w:spacing w:line="240" w:lineRule="auto"/>
            </w:pPr>
            <w:r w:rsidRPr="00982504">
              <w:t>NSSOrg19</w:t>
            </w:r>
          </w:p>
        </w:tc>
        <w:tc>
          <w:tcPr>
            <w:tcW w:w="597" w:type="pct"/>
            <w:noWrap/>
            <w:hideMark/>
          </w:tcPr>
          <w:p w14:paraId="6172B7E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0.111</w:t>
            </w:r>
          </w:p>
        </w:tc>
        <w:tc>
          <w:tcPr>
            <w:tcW w:w="531" w:type="pct"/>
            <w:noWrap/>
            <w:hideMark/>
          </w:tcPr>
          <w:p w14:paraId="09067D2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0.243</w:t>
            </w:r>
          </w:p>
        </w:tc>
        <w:tc>
          <w:tcPr>
            <w:tcW w:w="531" w:type="pct"/>
            <w:noWrap/>
            <w:hideMark/>
          </w:tcPr>
          <w:p w14:paraId="58FBFF4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-0.083</w:t>
            </w:r>
          </w:p>
        </w:tc>
        <w:tc>
          <w:tcPr>
            <w:tcW w:w="548" w:type="pct"/>
            <w:noWrap/>
            <w:hideMark/>
          </w:tcPr>
          <w:p w14:paraId="567D5D3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0.219</w:t>
            </w:r>
          </w:p>
        </w:tc>
        <w:tc>
          <w:tcPr>
            <w:tcW w:w="528" w:type="pct"/>
            <w:noWrap/>
            <w:hideMark/>
          </w:tcPr>
          <w:p w14:paraId="226F2FE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-0.034</w:t>
            </w:r>
          </w:p>
        </w:tc>
        <w:tc>
          <w:tcPr>
            <w:tcW w:w="517" w:type="pct"/>
            <w:noWrap/>
            <w:hideMark/>
          </w:tcPr>
          <w:p w14:paraId="1E8D679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0.258</w:t>
            </w:r>
          </w:p>
        </w:tc>
        <w:tc>
          <w:tcPr>
            <w:tcW w:w="580" w:type="pct"/>
            <w:noWrap/>
            <w:hideMark/>
          </w:tcPr>
          <w:p w14:paraId="31CCE2C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982504">
              <w:t>-0.027</w:t>
            </w:r>
          </w:p>
        </w:tc>
      </w:tr>
    </w:tbl>
    <w:p w14:paraId="6E6F924A" w14:textId="77777777" w:rsidR="00A101B9" w:rsidRDefault="00A101B9" w:rsidP="00C350DF">
      <w:pPr>
        <w:spacing w:line="240" w:lineRule="auto"/>
        <w:rPr>
          <w:rFonts w:asciiTheme="majorHAnsi" w:hAnsiTheme="majorHAnsi"/>
          <w:sz w:val="20"/>
          <w:szCs w:val="20"/>
        </w:rPr>
      </w:pPr>
      <w:r>
        <w:rPr>
          <w:rFonts w:asciiTheme="majorHAnsi" w:hAnsiTheme="majorHAnsi"/>
          <w:sz w:val="20"/>
          <w:szCs w:val="20"/>
        </w:rPr>
        <w:t>** p&lt;0.01; *p&lt;0.05; +p&lt;0.1</w:t>
      </w:r>
    </w:p>
    <w:p w14:paraId="494C1505" w14:textId="77777777" w:rsidR="00C350DF" w:rsidRDefault="00C350DF">
      <w:pPr>
        <w:spacing w:after="160" w:line="259" w:lineRule="auto"/>
      </w:pPr>
      <w:r>
        <w:br w:type="page"/>
      </w:r>
    </w:p>
    <w:p w14:paraId="06CF4FA4" w14:textId="2057ACC8" w:rsidR="00C350DF" w:rsidRDefault="00C350DF" w:rsidP="00C350DF">
      <w:pPr>
        <w:pStyle w:val="Tabletitle"/>
      </w:pPr>
      <w:bookmarkStart w:id="9" w:name="_Ref32612161"/>
      <w:r>
        <w:lastRenderedPageBreak/>
        <w:t xml:space="preserve">Appendix </w:t>
      </w:r>
      <w:r w:rsidR="00BC440B">
        <w:rPr>
          <w:noProof/>
        </w:rPr>
        <w:fldChar w:fldCharType="begin"/>
      </w:r>
      <w:r w:rsidR="00BC440B">
        <w:rPr>
          <w:noProof/>
        </w:rPr>
        <w:instrText xml:space="preserve"> SEQ Appendix \* ARABIC </w:instrText>
      </w:r>
      <w:r w:rsidR="00BC440B">
        <w:rPr>
          <w:noProof/>
        </w:rPr>
        <w:fldChar w:fldCharType="separate"/>
      </w:r>
      <w:r w:rsidR="00137FF1">
        <w:rPr>
          <w:noProof/>
        </w:rPr>
        <w:t>4</w:t>
      </w:r>
      <w:r w:rsidR="00BC440B">
        <w:rPr>
          <w:noProof/>
        </w:rPr>
        <w:fldChar w:fldCharType="end"/>
      </w:r>
      <w:bookmarkEnd w:id="9"/>
      <w:r>
        <w:t xml:space="preserve">: </w:t>
      </w:r>
      <w:r w:rsidRPr="00057A52">
        <w:t>Correlations between the 2015 and 2019 NSS variables for 313 HEIs</w:t>
      </w:r>
    </w:p>
    <w:tbl>
      <w:tblPr>
        <w:tblStyle w:val="PlainTable11"/>
        <w:tblW w:w="5765" w:type="pct"/>
        <w:tblLook w:val="06A0" w:firstRow="1" w:lastRow="0" w:firstColumn="1" w:lastColumn="0" w:noHBand="1" w:noVBand="1"/>
      </w:tblPr>
      <w:tblGrid>
        <w:gridCol w:w="2249"/>
        <w:gridCol w:w="796"/>
        <w:gridCol w:w="906"/>
        <w:gridCol w:w="817"/>
        <w:gridCol w:w="817"/>
        <w:gridCol w:w="796"/>
        <w:gridCol w:w="796"/>
        <w:gridCol w:w="796"/>
        <w:gridCol w:w="796"/>
        <w:gridCol w:w="796"/>
      </w:tblGrid>
      <w:tr w:rsidR="00A101B9" w:rsidRPr="00FC0C29" w14:paraId="344AF636" w14:textId="77777777" w:rsidTr="00C350D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76" w:type="pct"/>
            <w:noWrap/>
            <w:hideMark/>
          </w:tcPr>
          <w:p w14:paraId="5A2EEC7E" w14:textId="77777777" w:rsidR="00A101B9" w:rsidRPr="00982504" w:rsidRDefault="00A101B9" w:rsidP="00C350DF">
            <w:pPr>
              <w:spacing w:line="240" w:lineRule="auto"/>
            </w:pPr>
          </w:p>
        </w:tc>
        <w:tc>
          <w:tcPr>
            <w:tcW w:w="416" w:type="pct"/>
            <w:hideMark/>
          </w:tcPr>
          <w:p w14:paraId="5533742A"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1</w:t>
            </w:r>
          </w:p>
        </w:tc>
        <w:tc>
          <w:tcPr>
            <w:tcW w:w="474" w:type="pct"/>
            <w:hideMark/>
          </w:tcPr>
          <w:p w14:paraId="31FC59A8"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2</w:t>
            </w:r>
          </w:p>
        </w:tc>
        <w:tc>
          <w:tcPr>
            <w:tcW w:w="427" w:type="pct"/>
            <w:hideMark/>
          </w:tcPr>
          <w:p w14:paraId="3908592C"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3</w:t>
            </w:r>
          </w:p>
        </w:tc>
        <w:tc>
          <w:tcPr>
            <w:tcW w:w="427" w:type="pct"/>
            <w:hideMark/>
          </w:tcPr>
          <w:p w14:paraId="1051D058"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4</w:t>
            </w:r>
          </w:p>
        </w:tc>
        <w:tc>
          <w:tcPr>
            <w:tcW w:w="416" w:type="pct"/>
            <w:hideMark/>
          </w:tcPr>
          <w:p w14:paraId="2DB26DE7"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5</w:t>
            </w:r>
          </w:p>
        </w:tc>
        <w:tc>
          <w:tcPr>
            <w:tcW w:w="416" w:type="pct"/>
            <w:hideMark/>
          </w:tcPr>
          <w:p w14:paraId="312EF7A8"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6</w:t>
            </w:r>
          </w:p>
        </w:tc>
        <w:tc>
          <w:tcPr>
            <w:tcW w:w="416" w:type="pct"/>
            <w:hideMark/>
          </w:tcPr>
          <w:p w14:paraId="71DFBF78"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7</w:t>
            </w:r>
          </w:p>
        </w:tc>
        <w:tc>
          <w:tcPr>
            <w:tcW w:w="416" w:type="pct"/>
            <w:hideMark/>
          </w:tcPr>
          <w:p w14:paraId="2FC15DD3"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8</w:t>
            </w:r>
          </w:p>
        </w:tc>
        <w:tc>
          <w:tcPr>
            <w:tcW w:w="416" w:type="pct"/>
            <w:hideMark/>
          </w:tcPr>
          <w:p w14:paraId="28392B9D" w14:textId="77777777" w:rsidR="00A101B9" w:rsidRPr="00982504" w:rsidRDefault="00A101B9" w:rsidP="00C350DF">
            <w:pPr>
              <w:spacing w:line="240" w:lineRule="auto"/>
              <w:cnfStyle w:val="100000000000" w:firstRow="1" w:lastRow="0" w:firstColumn="0" w:lastColumn="0" w:oddVBand="0" w:evenVBand="0" w:oddHBand="0" w:evenHBand="0" w:firstRowFirstColumn="0" w:firstRowLastColumn="0" w:lastRowFirstColumn="0" w:lastRowLastColumn="0"/>
            </w:pPr>
            <w:r w:rsidRPr="00FC0C29">
              <w:t>9</w:t>
            </w:r>
          </w:p>
        </w:tc>
      </w:tr>
      <w:tr w:rsidR="00A101B9" w:rsidRPr="00FC0C29" w14:paraId="1880A177"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3AD436BB" w14:textId="77777777" w:rsidR="00A101B9" w:rsidRPr="00FC0C29" w:rsidRDefault="00A101B9" w:rsidP="00C350DF">
            <w:pPr>
              <w:pStyle w:val="ListParagraph"/>
              <w:numPr>
                <w:ilvl w:val="0"/>
                <w:numId w:val="23"/>
              </w:numPr>
              <w:spacing w:line="240" w:lineRule="auto"/>
            </w:pPr>
            <w:r w:rsidRPr="00315A8D">
              <w:t>NSSOveral15</w:t>
            </w:r>
          </w:p>
        </w:tc>
        <w:tc>
          <w:tcPr>
            <w:tcW w:w="416" w:type="pct"/>
            <w:noWrap/>
            <w:hideMark/>
          </w:tcPr>
          <w:p w14:paraId="7A4477D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74" w:type="pct"/>
            <w:noWrap/>
            <w:hideMark/>
          </w:tcPr>
          <w:p w14:paraId="2FB6D0D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27" w:type="pct"/>
            <w:noWrap/>
            <w:hideMark/>
          </w:tcPr>
          <w:p w14:paraId="1375CE0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27" w:type="pct"/>
            <w:noWrap/>
            <w:hideMark/>
          </w:tcPr>
          <w:p w14:paraId="296E805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0F3D9B1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497377E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6DCBBBB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3BEE7EA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477CC43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5897533F"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19BF1525" w14:textId="77777777" w:rsidR="00A101B9" w:rsidRPr="00FC0C29" w:rsidRDefault="00A101B9" w:rsidP="00C350DF">
            <w:pPr>
              <w:pStyle w:val="ListParagraph"/>
              <w:numPr>
                <w:ilvl w:val="0"/>
                <w:numId w:val="23"/>
              </w:numPr>
              <w:spacing w:line="240" w:lineRule="auto"/>
            </w:pPr>
            <w:r w:rsidRPr="00315A8D">
              <w:t>NSSTC15</w:t>
            </w:r>
          </w:p>
        </w:tc>
        <w:tc>
          <w:tcPr>
            <w:tcW w:w="416" w:type="pct"/>
            <w:noWrap/>
            <w:hideMark/>
          </w:tcPr>
          <w:p w14:paraId="529AE7C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.832</w:t>
            </w:r>
            <w:r w:rsidRPr="00A8705D">
              <w:rPr>
                <w:vertAlign w:val="superscript"/>
              </w:rPr>
              <w:t>**</w:t>
            </w:r>
          </w:p>
        </w:tc>
        <w:tc>
          <w:tcPr>
            <w:tcW w:w="474" w:type="pct"/>
            <w:noWrap/>
            <w:hideMark/>
          </w:tcPr>
          <w:p w14:paraId="1BBADE7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27" w:type="pct"/>
            <w:noWrap/>
            <w:hideMark/>
          </w:tcPr>
          <w:p w14:paraId="6AF549E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27" w:type="pct"/>
            <w:noWrap/>
            <w:hideMark/>
          </w:tcPr>
          <w:p w14:paraId="5F21187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3B5006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21DC269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5C2104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50F84DD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60CDF75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4E7A17B9"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40617506" w14:textId="77777777" w:rsidR="00A101B9" w:rsidRPr="00FC0C29" w:rsidRDefault="00A101B9" w:rsidP="00C350DF">
            <w:pPr>
              <w:pStyle w:val="ListParagraph"/>
              <w:numPr>
                <w:ilvl w:val="0"/>
                <w:numId w:val="23"/>
              </w:numPr>
              <w:spacing w:line="240" w:lineRule="auto"/>
            </w:pPr>
            <w:r w:rsidRPr="00315A8D">
              <w:t>NSSAS15</w:t>
            </w:r>
          </w:p>
        </w:tc>
        <w:tc>
          <w:tcPr>
            <w:tcW w:w="416" w:type="pct"/>
            <w:noWrap/>
            <w:hideMark/>
          </w:tcPr>
          <w:p w14:paraId="75D3388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.787</w:t>
            </w:r>
            <w:r w:rsidRPr="00A8705D">
              <w:rPr>
                <w:vertAlign w:val="superscript"/>
              </w:rPr>
              <w:t>**</w:t>
            </w:r>
          </w:p>
        </w:tc>
        <w:tc>
          <w:tcPr>
            <w:tcW w:w="474" w:type="pct"/>
            <w:noWrap/>
            <w:hideMark/>
          </w:tcPr>
          <w:p w14:paraId="432D5D1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.762</w:t>
            </w:r>
            <w:r w:rsidRPr="00A8705D">
              <w:rPr>
                <w:vertAlign w:val="superscript"/>
              </w:rPr>
              <w:t>**</w:t>
            </w:r>
          </w:p>
        </w:tc>
        <w:tc>
          <w:tcPr>
            <w:tcW w:w="427" w:type="pct"/>
            <w:noWrap/>
            <w:hideMark/>
          </w:tcPr>
          <w:p w14:paraId="3E598D3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27" w:type="pct"/>
            <w:noWrap/>
            <w:hideMark/>
          </w:tcPr>
          <w:p w14:paraId="0C8BE1A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6D5CBFF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A3D9A6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485977C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2B55BC2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320055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194C0C22"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3CECFFBB" w14:textId="77777777" w:rsidR="00A101B9" w:rsidRPr="00FC0C29" w:rsidRDefault="00A101B9" w:rsidP="00C350DF">
            <w:pPr>
              <w:pStyle w:val="ListParagraph"/>
              <w:numPr>
                <w:ilvl w:val="0"/>
                <w:numId w:val="23"/>
              </w:numPr>
              <w:spacing w:line="240" w:lineRule="auto"/>
            </w:pPr>
            <w:r w:rsidRPr="00315A8D">
              <w:t>NSSOrg15</w:t>
            </w:r>
          </w:p>
        </w:tc>
        <w:tc>
          <w:tcPr>
            <w:tcW w:w="416" w:type="pct"/>
            <w:noWrap/>
            <w:hideMark/>
          </w:tcPr>
          <w:p w14:paraId="6B1B758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.859</w:t>
            </w:r>
            <w:r w:rsidRPr="00A8705D">
              <w:rPr>
                <w:vertAlign w:val="superscript"/>
              </w:rPr>
              <w:t>**</w:t>
            </w:r>
          </w:p>
        </w:tc>
        <w:tc>
          <w:tcPr>
            <w:tcW w:w="474" w:type="pct"/>
            <w:noWrap/>
            <w:hideMark/>
          </w:tcPr>
          <w:p w14:paraId="1777EE7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.741</w:t>
            </w:r>
            <w:r w:rsidRPr="00A8705D">
              <w:rPr>
                <w:vertAlign w:val="superscript"/>
              </w:rPr>
              <w:t>**</w:t>
            </w:r>
          </w:p>
        </w:tc>
        <w:tc>
          <w:tcPr>
            <w:tcW w:w="427" w:type="pct"/>
            <w:noWrap/>
            <w:hideMark/>
          </w:tcPr>
          <w:p w14:paraId="6F0531C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.752</w:t>
            </w:r>
            <w:r w:rsidRPr="002F1380">
              <w:rPr>
                <w:vertAlign w:val="superscript"/>
              </w:rPr>
              <w:t>**</w:t>
            </w:r>
          </w:p>
        </w:tc>
        <w:tc>
          <w:tcPr>
            <w:tcW w:w="427" w:type="pct"/>
            <w:noWrap/>
            <w:hideMark/>
          </w:tcPr>
          <w:p w14:paraId="3552E57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16" w:type="pct"/>
            <w:noWrap/>
            <w:hideMark/>
          </w:tcPr>
          <w:p w14:paraId="48393DE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57097C1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21E9A99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C1CB52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45EF0E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0CC6586D"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157A3BC3" w14:textId="77777777" w:rsidR="00A101B9" w:rsidRPr="00FC0C29" w:rsidRDefault="00A101B9" w:rsidP="00C350DF">
            <w:pPr>
              <w:pStyle w:val="ListParagraph"/>
              <w:numPr>
                <w:ilvl w:val="0"/>
                <w:numId w:val="23"/>
              </w:numPr>
              <w:spacing w:line="240" w:lineRule="auto"/>
            </w:pPr>
            <w:r w:rsidRPr="00315A8D">
              <w:t>NSSAF15</w:t>
            </w:r>
          </w:p>
        </w:tc>
        <w:tc>
          <w:tcPr>
            <w:tcW w:w="416" w:type="pct"/>
            <w:noWrap/>
            <w:hideMark/>
          </w:tcPr>
          <w:p w14:paraId="0D535F4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.586</w:t>
            </w:r>
            <w:r w:rsidRPr="00A8705D">
              <w:rPr>
                <w:vertAlign w:val="superscript"/>
              </w:rPr>
              <w:t>**</w:t>
            </w:r>
          </w:p>
        </w:tc>
        <w:tc>
          <w:tcPr>
            <w:tcW w:w="474" w:type="pct"/>
            <w:noWrap/>
            <w:hideMark/>
          </w:tcPr>
          <w:p w14:paraId="527B5D3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.643</w:t>
            </w:r>
            <w:r w:rsidRPr="00A8705D">
              <w:rPr>
                <w:vertAlign w:val="superscript"/>
              </w:rPr>
              <w:t>**</w:t>
            </w:r>
          </w:p>
        </w:tc>
        <w:tc>
          <w:tcPr>
            <w:tcW w:w="427" w:type="pct"/>
            <w:noWrap/>
            <w:hideMark/>
          </w:tcPr>
          <w:p w14:paraId="61B4F8A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.745</w:t>
            </w:r>
            <w:r w:rsidRPr="002F1380">
              <w:rPr>
                <w:vertAlign w:val="superscript"/>
              </w:rPr>
              <w:t>**</w:t>
            </w:r>
          </w:p>
        </w:tc>
        <w:tc>
          <w:tcPr>
            <w:tcW w:w="427" w:type="pct"/>
            <w:noWrap/>
            <w:hideMark/>
          </w:tcPr>
          <w:p w14:paraId="76B4E6E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.576</w:t>
            </w:r>
            <w:r w:rsidRPr="002F1380">
              <w:rPr>
                <w:vertAlign w:val="superscript"/>
              </w:rPr>
              <w:t>**</w:t>
            </w:r>
          </w:p>
        </w:tc>
        <w:tc>
          <w:tcPr>
            <w:tcW w:w="416" w:type="pct"/>
            <w:noWrap/>
            <w:hideMark/>
          </w:tcPr>
          <w:p w14:paraId="150C096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16" w:type="pct"/>
            <w:noWrap/>
            <w:hideMark/>
          </w:tcPr>
          <w:p w14:paraId="09D0D50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2B898B5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56B376F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3DE81DA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1E732CCE"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303B0F63" w14:textId="77777777" w:rsidR="00A101B9" w:rsidRPr="00FC0C29" w:rsidRDefault="00A101B9" w:rsidP="00C350DF">
            <w:pPr>
              <w:pStyle w:val="ListParagraph"/>
              <w:numPr>
                <w:ilvl w:val="0"/>
                <w:numId w:val="23"/>
              </w:numPr>
              <w:spacing w:line="240" w:lineRule="auto"/>
            </w:pPr>
            <w:r w:rsidRPr="00315A8D">
              <w:t>NSSOverall19</w:t>
            </w:r>
          </w:p>
        </w:tc>
        <w:tc>
          <w:tcPr>
            <w:tcW w:w="416" w:type="pct"/>
            <w:noWrap/>
            <w:hideMark/>
          </w:tcPr>
          <w:p w14:paraId="64CA0ED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.301</w:t>
            </w:r>
            <w:r w:rsidRPr="00A8705D">
              <w:rPr>
                <w:vertAlign w:val="superscript"/>
              </w:rPr>
              <w:t>**</w:t>
            </w:r>
          </w:p>
        </w:tc>
        <w:tc>
          <w:tcPr>
            <w:tcW w:w="474" w:type="pct"/>
            <w:noWrap/>
            <w:hideMark/>
          </w:tcPr>
          <w:p w14:paraId="36A96CE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.209</w:t>
            </w:r>
            <w:r w:rsidRPr="00A8705D">
              <w:rPr>
                <w:vertAlign w:val="superscript"/>
              </w:rPr>
              <w:t>**</w:t>
            </w:r>
          </w:p>
        </w:tc>
        <w:tc>
          <w:tcPr>
            <w:tcW w:w="427" w:type="pct"/>
            <w:noWrap/>
            <w:hideMark/>
          </w:tcPr>
          <w:p w14:paraId="1CC3EFB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.262</w:t>
            </w:r>
            <w:r w:rsidRPr="002F1380">
              <w:rPr>
                <w:vertAlign w:val="superscript"/>
              </w:rPr>
              <w:t>**</w:t>
            </w:r>
          </w:p>
        </w:tc>
        <w:tc>
          <w:tcPr>
            <w:tcW w:w="427" w:type="pct"/>
            <w:noWrap/>
            <w:hideMark/>
          </w:tcPr>
          <w:p w14:paraId="23CF83B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.306</w:t>
            </w:r>
            <w:r w:rsidRPr="002F1380">
              <w:rPr>
                <w:vertAlign w:val="superscript"/>
              </w:rPr>
              <w:t>**</w:t>
            </w:r>
          </w:p>
        </w:tc>
        <w:tc>
          <w:tcPr>
            <w:tcW w:w="416" w:type="pct"/>
            <w:noWrap/>
            <w:hideMark/>
          </w:tcPr>
          <w:p w14:paraId="6AFBD2B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.146</w:t>
            </w:r>
            <w:r w:rsidRPr="002F1380">
              <w:rPr>
                <w:vertAlign w:val="superscript"/>
              </w:rPr>
              <w:t>**</w:t>
            </w:r>
          </w:p>
        </w:tc>
        <w:tc>
          <w:tcPr>
            <w:tcW w:w="416" w:type="pct"/>
            <w:noWrap/>
            <w:hideMark/>
          </w:tcPr>
          <w:p w14:paraId="59CFF09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16" w:type="pct"/>
            <w:noWrap/>
            <w:hideMark/>
          </w:tcPr>
          <w:p w14:paraId="194E254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65F8ECC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99FB1C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1A9D5D5A"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438A9FB2" w14:textId="77777777" w:rsidR="00A101B9" w:rsidRPr="00FC0C29" w:rsidRDefault="00A101B9" w:rsidP="00C350DF">
            <w:pPr>
              <w:pStyle w:val="ListParagraph"/>
              <w:numPr>
                <w:ilvl w:val="0"/>
                <w:numId w:val="23"/>
              </w:numPr>
              <w:spacing w:line="240" w:lineRule="auto"/>
            </w:pPr>
            <w:r w:rsidRPr="00315A8D">
              <w:t>NSSTC19</w:t>
            </w:r>
          </w:p>
        </w:tc>
        <w:tc>
          <w:tcPr>
            <w:tcW w:w="416" w:type="pct"/>
            <w:noWrap/>
            <w:hideMark/>
          </w:tcPr>
          <w:p w14:paraId="381D46B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.241</w:t>
            </w:r>
            <w:r w:rsidRPr="00A8705D">
              <w:rPr>
                <w:vertAlign w:val="superscript"/>
              </w:rPr>
              <w:t>**</w:t>
            </w:r>
          </w:p>
        </w:tc>
        <w:tc>
          <w:tcPr>
            <w:tcW w:w="474" w:type="pct"/>
            <w:noWrap/>
            <w:hideMark/>
          </w:tcPr>
          <w:p w14:paraId="562F505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.300</w:t>
            </w:r>
            <w:r w:rsidRPr="00A8705D">
              <w:rPr>
                <w:vertAlign w:val="superscript"/>
              </w:rPr>
              <w:t>**</w:t>
            </w:r>
          </w:p>
        </w:tc>
        <w:tc>
          <w:tcPr>
            <w:tcW w:w="427" w:type="pct"/>
            <w:noWrap/>
            <w:hideMark/>
          </w:tcPr>
          <w:p w14:paraId="7029323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.294</w:t>
            </w:r>
            <w:r w:rsidRPr="002F1380">
              <w:rPr>
                <w:vertAlign w:val="superscript"/>
              </w:rPr>
              <w:t>**</w:t>
            </w:r>
          </w:p>
        </w:tc>
        <w:tc>
          <w:tcPr>
            <w:tcW w:w="427" w:type="pct"/>
            <w:noWrap/>
            <w:hideMark/>
          </w:tcPr>
          <w:p w14:paraId="7777DB9D"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.221</w:t>
            </w:r>
            <w:r w:rsidRPr="002F1380">
              <w:rPr>
                <w:vertAlign w:val="superscript"/>
              </w:rPr>
              <w:t>**</w:t>
            </w:r>
          </w:p>
        </w:tc>
        <w:tc>
          <w:tcPr>
            <w:tcW w:w="416" w:type="pct"/>
            <w:noWrap/>
            <w:hideMark/>
          </w:tcPr>
          <w:p w14:paraId="4C31177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.250</w:t>
            </w:r>
            <w:r w:rsidRPr="002F1380">
              <w:rPr>
                <w:vertAlign w:val="superscript"/>
              </w:rPr>
              <w:t>**</w:t>
            </w:r>
          </w:p>
        </w:tc>
        <w:tc>
          <w:tcPr>
            <w:tcW w:w="416" w:type="pct"/>
            <w:noWrap/>
            <w:hideMark/>
          </w:tcPr>
          <w:p w14:paraId="125CF1D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.783</w:t>
            </w:r>
            <w:r w:rsidRPr="002F1380">
              <w:rPr>
                <w:vertAlign w:val="superscript"/>
              </w:rPr>
              <w:t>**</w:t>
            </w:r>
          </w:p>
        </w:tc>
        <w:tc>
          <w:tcPr>
            <w:tcW w:w="416" w:type="pct"/>
            <w:noWrap/>
            <w:hideMark/>
          </w:tcPr>
          <w:p w14:paraId="12B689E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16" w:type="pct"/>
            <w:noWrap/>
            <w:hideMark/>
          </w:tcPr>
          <w:p w14:paraId="7FD4BFE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c>
          <w:tcPr>
            <w:tcW w:w="416" w:type="pct"/>
            <w:noWrap/>
            <w:hideMark/>
          </w:tcPr>
          <w:p w14:paraId="1FD3C79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47FD663A"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22130995" w14:textId="77777777" w:rsidR="00A101B9" w:rsidRPr="00FC0C29" w:rsidRDefault="00A101B9" w:rsidP="00C350DF">
            <w:pPr>
              <w:pStyle w:val="ListParagraph"/>
              <w:numPr>
                <w:ilvl w:val="0"/>
                <w:numId w:val="23"/>
              </w:numPr>
              <w:spacing w:line="240" w:lineRule="auto"/>
            </w:pPr>
            <w:r w:rsidRPr="00315A8D">
              <w:t>NSSAS19</w:t>
            </w:r>
          </w:p>
        </w:tc>
        <w:tc>
          <w:tcPr>
            <w:tcW w:w="416" w:type="pct"/>
            <w:noWrap/>
            <w:hideMark/>
          </w:tcPr>
          <w:p w14:paraId="4F636255"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0.086</w:t>
            </w:r>
          </w:p>
        </w:tc>
        <w:tc>
          <w:tcPr>
            <w:tcW w:w="474" w:type="pct"/>
            <w:noWrap/>
            <w:hideMark/>
          </w:tcPr>
          <w:p w14:paraId="32C0427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rPr>
                <w:vertAlign w:val="superscript"/>
              </w:rPr>
            </w:pPr>
            <w:r w:rsidRPr="002D086E">
              <w:t>0.081</w:t>
            </w:r>
          </w:p>
        </w:tc>
        <w:tc>
          <w:tcPr>
            <w:tcW w:w="427" w:type="pct"/>
            <w:noWrap/>
            <w:hideMark/>
          </w:tcPr>
          <w:p w14:paraId="14C315D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.262</w:t>
            </w:r>
            <w:r w:rsidRPr="002F1380">
              <w:rPr>
                <w:vertAlign w:val="superscript"/>
              </w:rPr>
              <w:t>**</w:t>
            </w:r>
          </w:p>
        </w:tc>
        <w:tc>
          <w:tcPr>
            <w:tcW w:w="427" w:type="pct"/>
            <w:noWrap/>
            <w:hideMark/>
          </w:tcPr>
          <w:p w14:paraId="1B2AAD6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.120</w:t>
            </w:r>
            <w:r w:rsidRPr="002F1380">
              <w:rPr>
                <w:vertAlign w:val="superscript"/>
              </w:rPr>
              <w:t>*</w:t>
            </w:r>
          </w:p>
        </w:tc>
        <w:tc>
          <w:tcPr>
            <w:tcW w:w="416" w:type="pct"/>
            <w:noWrap/>
            <w:hideMark/>
          </w:tcPr>
          <w:p w14:paraId="4F4C2F4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.298</w:t>
            </w:r>
            <w:r w:rsidRPr="002F1380">
              <w:rPr>
                <w:vertAlign w:val="superscript"/>
              </w:rPr>
              <w:t>**</w:t>
            </w:r>
          </w:p>
        </w:tc>
        <w:tc>
          <w:tcPr>
            <w:tcW w:w="416" w:type="pct"/>
            <w:noWrap/>
            <w:hideMark/>
          </w:tcPr>
          <w:p w14:paraId="38BD7F5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.721</w:t>
            </w:r>
            <w:r w:rsidRPr="002F1380">
              <w:rPr>
                <w:vertAlign w:val="superscript"/>
              </w:rPr>
              <w:t>**</w:t>
            </w:r>
          </w:p>
        </w:tc>
        <w:tc>
          <w:tcPr>
            <w:tcW w:w="416" w:type="pct"/>
            <w:noWrap/>
            <w:hideMark/>
          </w:tcPr>
          <w:p w14:paraId="58CC202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.752</w:t>
            </w:r>
            <w:r w:rsidRPr="002F1380">
              <w:rPr>
                <w:vertAlign w:val="superscript"/>
              </w:rPr>
              <w:t>**</w:t>
            </w:r>
          </w:p>
        </w:tc>
        <w:tc>
          <w:tcPr>
            <w:tcW w:w="416" w:type="pct"/>
            <w:noWrap/>
            <w:hideMark/>
          </w:tcPr>
          <w:p w14:paraId="29FB2ED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c>
          <w:tcPr>
            <w:tcW w:w="416" w:type="pct"/>
            <w:noWrap/>
            <w:hideMark/>
          </w:tcPr>
          <w:p w14:paraId="24400B4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p>
        </w:tc>
      </w:tr>
      <w:tr w:rsidR="00A101B9" w:rsidRPr="00FC0C29" w14:paraId="2AB0B1A4"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5F47AB31" w14:textId="77777777" w:rsidR="00A101B9" w:rsidRPr="00FC0C29" w:rsidRDefault="00A101B9" w:rsidP="00C350DF">
            <w:pPr>
              <w:pStyle w:val="ListParagraph"/>
              <w:numPr>
                <w:ilvl w:val="0"/>
                <w:numId w:val="23"/>
              </w:numPr>
              <w:spacing w:line="240" w:lineRule="auto"/>
            </w:pPr>
            <w:r w:rsidRPr="00315A8D">
              <w:t>NSSOrg19</w:t>
            </w:r>
          </w:p>
        </w:tc>
        <w:tc>
          <w:tcPr>
            <w:tcW w:w="416" w:type="pct"/>
            <w:noWrap/>
            <w:hideMark/>
          </w:tcPr>
          <w:p w14:paraId="5B7F54C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.145</w:t>
            </w:r>
            <w:r w:rsidRPr="00A8705D">
              <w:rPr>
                <w:vertAlign w:val="superscript"/>
              </w:rPr>
              <w:t>*</w:t>
            </w:r>
          </w:p>
        </w:tc>
        <w:tc>
          <w:tcPr>
            <w:tcW w:w="474" w:type="pct"/>
            <w:noWrap/>
            <w:hideMark/>
          </w:tcPr>
          <w:p w14:paraId="3EE38E23"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rPr>
                <w:vertAlign w:val="superscript"/>
              </w:rPr>
            </w:pPr>
            <w:r w:rsidRPr="002D086E">
              <w:t>0.062</w:t>
            </w:r>
          </w:p>
        </w:tc>
        <w:tc>
          <w:tcPr>
            <w:tcW w:w="427" w:type="pct"/>
            <w:noWrap/>
            <w:hideMark/>
          </w:tcPr>
          <w:p w14:paraId="3AD0B1A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.144</w:t>
            </w:r>
            <w:r w:rsidRPr="002F1380">
              <w:rPr>
                <w:vertAlign w:val="superscript"/>
              </w:rPr>
              <w:t>*</w:t>
            </w:r>
          </w:p>
        </w:tc>
        <w:tc>
          <w:tcPr>
            <w:tcW w:w="427" w:type="pct"/>
            <w:noWrap/>
            <w:hideMark/>
          </w:tcPr>
          <w:p w14:paraId="733B29F4"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.245</w:t>
            </w:r>
            <w:r w:rsidRPr="002F1380">
              <w:rPr>
                <w:vertAlign w:val="superscript"/>
              </w:rPr>
              <w:t>**</w:t>
            </w:r>
          </w:p>
        </w:tc>
        <w:tc>
          <w:tcPr>
            <w:tcW w:w="416" w:type="pct"/>
            <w:noWrap/>
            <w:hideMark/>
          </w:tcPr>
          <w:p w14:paraId="3FC565E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.170</w:t>
            </w:r>
            <w:r w:rsidRPr="002F1380">
              <w:rPr>
                <w:vertAlign w:val="superscript"/>
              </w:rPr>
              <w:t>**</w:t>
            </w:r>
          </w:p>
        </w:tc>
        <w:tc>
          <w:tcPr>
            <w:tcW w:w="416" w:type="pct"/>
            <w:noWrap/>
            <w:hideMark/>
          </w:tcPr>
          <w:p w14:paraId="12E26CD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.841</w:t>
            </w:r>
            <w:r w:rsidRPr="002F1380">
              <w:rPr>
                <w:vertAlign w:val="superscript"/>
              </w:rPr>
              <w:t>**</w:t>
            </w:r>
          </w:p>
        </w:tc>
        <w:tc>
          <w:tcPr>
            <w:tcW w:w="416" w:type="pct"/>
            <w:noWrap/>
            <w:hideMark/>
          </w:tcPr>
          <w:p w14:paraId="13763080"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.687</w:t>
            </w:r>
            <w:r w:rsidRPr="002F1380">
              <w:rPr>
                <w:vertAlign w:val="superscript"/>
              </w:rPr>
              <w:t>**</w:t>
            </w:r>
          </w:p>
        </w:tc>
        <w:tc>
          <w:tcPr>
            <w:tcW w:w="416" w:type="pct"/>
            <w:noWrap/>
            <w:hideMark/>
          </w:tcPr>
          <w:p w14:paraId="382F6169"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.747</w:t>
            </w:r>
            <w:r w:rsidRPr="002F1380">
              <w:rPr>
                <w:vertAlign w:val="superscript"/>
              </w:rPr>
              <w:t>**</w:t>
            </w:r>
          </w:p>
        </w:tc>
        <w:tc>
          <w:tcPr>
            <w:tcW w:w="416" w:type="pct"/>
            <w:noWrap/>
            <w:hideMark/>
          </w:tcPr>
          <w:p w14:paraId="0CB8DADB"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w:t>
            </w:r>
          </w:p>
        </w:tc>
      </w:tr>
      <w:tr w:rsidR="00A101B9" w:rsidRPr="00FC0C29" w14:paraId="1088E0FE" w14:textId="77777777" w:rsidTr="00C350DF">
        <w:trPr>
          <w:trHeight w:val="290"/>
        </w:trPr>
        <w:tc>
          <w:tcPr>
            <w:cnfStyle w:val="001000000000" w:firstRow="0" w:lastRow="0" w:firstColumn="1" w:lastColumn="0" w:oddVBand="0" w:evenVBand="0" w:oddHBand="0" w:evenHBand="0" w:firstRowFirstColumn="0" w:firstRowLastColumn="0" w:lastRowFirstColumn="0" w:lastRowLastColumn="0"/>
            <w:tcW w:w="1176" w:type="pct"/>
            <w:hideMark/>
          </w:tcPr>
          <w:p w14:paraId="579BAF40" w14:textId="77777777" w:rsidR="00A101B9" w:rsidRPr="00FC0C29" w:rsidRDefault="00A101B9" w:rsidP="00C350DF">
            <w:pPr>
              <w:pStyle w:val="ListParagraph"/>
              <w:numPr>
                <w:ilvl w:val="0"/>
                <w:numId w:val="23"/>
              </w:numPr>
              <w:spacing w:line="240" w:lineRule="auto"/>
            </w:pPr>
            <w:r w:rsidRPr="00315A8D">
              <w:t>NSSAF19</w:t>
            </w:r>
          </w:p>
        </w:tc>
        <w:tc>
          <w:tcPr>
            <w:tcW w:w="416" w:type="pct"/>
            <w:noWrap/>
            <w:hideMark/>
          </w:tcPr>
          <w:p w14:paraId="0A9F1FD1"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0.048</w:t>
            </w:r>
          </w:p>
        </w:tc>
        <w:tc>
          <w:tcPr>
            <w:tcW w:w="474" w:type="pct"/>
            <w:noWrap/>
            <w:hideMark/>
          </w:tcPr>
          <w:p w14:paraId="1594482E"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0.087</w:t>
            </w:r>
          </w:p>
        </w:tc>
        <w:tc>
          <w:tcPr>
            <w:tcW w:w="427" w:type="pct"/>
            <w:noWrap/>
            <w:hideMark/>
          </w:tcPr>
          <w:p w14:paraId="74A1C97A"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.199</w:t>
            </w:r>
            <w:r w:rsidRPr="002F1380">
              <w:rPr>
                <w:vertAlign w:val="superscript"/>
              </w:rPr>
              <w:t>**</w:t>
            </w:r>
          </w:p>
        </w:tc>
        <w:tc>
          <w:tcPr>
            <w:tcW w:w="427" w:type="pct"/>
            <w:noWrap/>
            <w:hideMark/>
          </w:tcPr>
          <w:p w14:paraId="7DBB331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0.092</w:t>
            </w:r>
          </w:p>
        </w:tc>
        <w:tc>
          <w:tcPr>
            <w:tcW w:w="416" w:type="pct"/>
            <w:noWrap/>
            <w:hideMark/>
          </w:tcPr>
          <w:p w14:paraId="11A32D28"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.429</w:t>
            </w:r>
            <w:r w:rsidRPr="002F1380">
              <w:rPr>
                <w:vertAlign w:val="superscript"/>
              </w:rPr>
              <w:t>**</w:t>
            </w:r>
          </w:p>
        </w:tc>
        <w:tc>
          <w:tcPr>
            <w:tcW w:w="416" w:type="pct"/>
            <w:noWrap/>
            <w:hideMark/>
          </w:tcPr>
          <w:p w14:paraId="3C08157F"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.613</w:t>
            </w:r>
            <w:r w:rsidRPr="002F1380">
              <w:rPr>
                <w:vertAlign w:val="superscript"/>
              </w:rPr>
              <w:t>**</w:t>
            </w:r>
          </w:p>
        </w:tc>
        <w:tc>
          <w:tcPr>
            <w:tcW w:w="416" w:type="pct"/>
            <w:noWrap/>
            <w:hideMark/>
          </w:tcPr>
          <w:p w14:paraId="1D2D8B4C"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.738</w:t>
            </w:r>
            <w:r w:rsidRPr="002F1380">
              <w:rPr>
                <w:vertAlign w:val="superscript"/>
              </w:rPr>
              <w:t>**</w:t>
            </w:r>
          </w:p>
        </w:tc>
        <w:tc>
          <w:tcPr>
            <w:tcW w:w="416" w:type="pct"/>
            <w:noWrap/>
            <w:hideMark/>
          </w:tcPr>
          <w:p w14:paraId="77459422"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.787</w:t>
            </w:r>
            <w:r w:rsidRPr="002F1380">
              <w:rPr>
                <w:vertAlign w:val="superscript"/>
              </w:rPr>
              <w:t>**</w:t>
            </w:r>
          </w:p>
        </w:tc>
        <w:tc>
          <w:tcPr>
            <w:tcW w:w="416" w:type="pct"/>
            <w:noWrap/>
            <w:hideMark/>
          </w:tcPr>
          <w:p w14:paraId="4350DF07" w14:textId="77777777" w:rsidR="00A101B9" w:rsidRPr="00982504" w:rsidRDefault="00A101B9" w:rsidP="00C350DF">
            <w:pPr>
              <w:spacing w:line="240" w:lineRule="auto"/>
              <w:cnfStyle w:val="000000000000" w:firstRow="0" w:lastRow="0" w:firstColumn="0" w:lastColumn="0" w:oddVBand="0" w:evenVBand="0" w:oddHBand="0" w:evenHBand="0" w:firstRowFirstColumn="0" w:firstRowLastColumn="0" w:lastRowFirstColumn="0" w:lastRowLastColumn="0"/>
            </w:pPr>
            <w:r w:rsidRPr="002D086E">
              <w:t>.694</w:t>
            </w:r>
            <w:r w:rsidRPr="002F1380">
              <w:rPr>
                <w:vertAlign w:val="superscript"/>
              </w:rPr>
              <w:t>**</w:t>
            </w:r>
          </w:p>
        </w:tc>
      </w:tr>
    </w:tbl>
    <w:p w14:paraId="6E2C34C1" w14:textId="77777777" w:rsidR="00A101B9" w:rsidRDefault="00A101B9" w:rsidP="00C350DF">
      <w:pPr>
        <w:spacing w:line="240" w:lineRule="auto"/>
        <w:rPr>
          <w:rFonts w:asciiTheme="majorHAnsi" w:hAnsiTheme="majorHAnsi"/>
          <w:sz w:val="20"/>
          <w:szCs w:val="20"/>
        </w:rPr>
      </w:pPr>
      <w:r>
        <w:rPr>
          <w:rFonts w:asciiTheme="majorHAnsi" w:hAnsiTheme="majorHAnsi"/>
          <w:sz w:val="20"/>
          <w:szCs w:val="20"/>
        </w:rPr>
        <w:t>** p&lt;0.01; *p&lt;0.05; +p&lt;0.1</w:t>
      </w:r>
    </w:p>
    <w:p w14:paraId="30F0D111" w14:textId="77777777" w:rsidR="00D839E1" w:rsidRDefault="00D839E1">
      <w:pPr>
        <w:spacing w:line="240" w:lineRule="auto"/>
      </w:pPr>
    </w:p>
    <w:p w14:paraId="219143E2" w14:textId="77777777" w:rsidR="00D839E1" w:rsidRDefault="00D839E1">
      <w:pPr>
        <w:spacing w:after="160" w:line="259" w:lineRule="auto"/>
      </w:pPr>
      <w:r>
        <w:br w:type="page"/>
      </w:r>
    </w:p>
    <w:p w14:paraId="5CE5EC3F" w14:textId="7A62A775" w:rsidR="00D839E1" w:rsidRDefault="00D839E1" w:rsidP="00D839E1">
      <w:pPr>
        <w:pStyle w:val="Tabletitle"/>
      </w:pPr>
      <w:bookmarkStart w:id="10" w:name="_Ref32612701"/>
      <w:r>
        <w:lastRenderedPageBreak/>
        <w:t xml:space="preserve">Table </w:t>
      </w:r>
      <w:r w:rsidR="00BC440B">
        <w:rPr>
          <w:noProof/>
        </w:rPr>
        <w:fldChar w:fldCharType="begin"/>
      </w:r>
      <w:r w:rsidR="00BC440B">
        <w:rPr>
          <w:noProof/>
        </w:rPr>
        <w:instrText xml:space="preserve"> SEQ Table \* ARABIC </w:instrText>
      </w:r>
      <w:r w:rsidR="00BC440B">
        <w:rPr>
          <w:noProof/>
        </w:rPr>
        <w:fldChar w:fldCharType="separate"/>
      </w:r>
      <w:r w:rsidR="00137FF1">
        <w:rPr>
          <w:noProof/>
        </w:rPr>
        <w:t>1</w:t>
      </w:r>
      <w:r w:rsidR="00BC440B">
        <w:rPr>
          <w:noProof/>
        </w:rPr>
        <w:fldChar w:fldCharType="end"/>
      </w:r>
      <w:bookmarkEnd w:id="10"/>
      <w:r>
        <w:t xml:space="preserve">: </w:t>
      </w:r>
      <w:r w:rsidRPr="003E1505">
        <w:t>The seven included QAA L&amp;T variables, description and their presence across 38 HEIs (adapted from Hosein and Rao 2015)</w:t>
      </w:r>
    </w:p>
    <w:tbl>
      <w:tblPr>
        <w:tblStyle w:val="TableGrid"/>
        <w:tblW w:w="0" w:type="auto"/>
        <w:tblLook w:val="04A0" w:firstRow="1" w:lastRow="0" w:firstColumn="1" w:lastColumn="0" w:noHBand="0" w:noVBand="1"/>
      </w:tblPr>
      <w:tblGrid>
        <w:gridCol w:w="1603"/>
        <w:gridCol w:w="5517"/>
        <w:gridCol w:w="1176"/>
      </w:tblGrid>
      <w:tr w:rsidR="00A101B9" w14:paraId="79E9B458" w14:textId="77777777" w:rsidTr="00C350DF">
        <w:trPr>
          <w:trHeight w:val="552"/>
        </w:trPr>
        <w:tc>
          <w:tcPr>
            <w:tcW w:w="1603" w:type="dxa"/>
          </w:tcPr>
          <w:bookmarkEnd w:id="8"/>
          <w:p w14:paraId="7BA52119" w14:textId="77777777" w:rsidR="00A101B9" w:rsidRDefault="00A101B9" w:rsidP="00C350DF">
            <w:pPr>
              <w:pStyle w:val="Newparagraph"/>
              <w:spacing w:line="240" w:lineRule="auto"/>
              <w:ind w:firstLine="0"/>
            </w:pPr>
            <w:r>
              <w:t>QAA L&amp;T Variables</w:t>
            </w:r>
          </w:p>
        </w:tc>
        <w:tc>
          <w:tcPr>
            <w:tcW w:w="5517" w:type="dxa"/>
          </w:tcPr>
          <w:p w14:paraId="08F3B1B9" w14:textId="77777777" w:rsidR="00A101B9" w:rsidRDefault="00A101B9" w:rsidP="00C350DF">
            <w:pPr>
              <w:pStyle w:val="Newparagraph"/>
              <w:spacing w:line="240" w:lineRule="auto"/>
              <w:ind w:firstLine="0"/>
            </w:pPr>
            <w:r>
              <w:t>Description</w:t>
            </w:r>
          </w:p>
        </w:tc>
        <w:tc>
          <w:tcPr>
            <w:tcW w:w="1176" w:type="dxa"/>
          </w:tcPr>
          <w:p w14:paraId="07F5C094" w14:textId="77777777" w:rsidR="00A101B9" w:rsidRDefault="00A101B9" w:rsidP="00C350DF">
            <w:pPr>
              <w:pStyle w:val="Newparagraph"/>
              <w:spacing w:line="240" w:lineRule="auto"/>
              <w:ind w:firstLine="0"/>
            </w:pPr>
            <w:r>
              <w:t>Presence</w:t>
            </w:r>
          </w:p>
        </w:tc>
      </w:tr>
      <w:tr w:rsidR="00A101B9" w14:paraId="472DD54D" w14:textId="77777777" w:rsidTr="00C350DF">
        <w:trPr>
          <w:trHeight w:val="552"/>
        </w:trPr>
        <w:tc>
          <w:tcPr>
            <w:tcW w:w="1603" w:type="dxa"/>
          </w:tcPr>
          <w:p w14:paraId="15B89838" w14:textId="77777777" w:rsidR="00A101B9" w:rsidRDefault="00A101B9" w:rsidP="00C350DF">
            <w:pPr>
              <w:pStyle w:val="Newparagraph"/>
              <w:spacing w:line="240" w:lineRule="auto"/>
              <w:ind w:firstLine="0"/>
            </w:pPr>
            <w:r w:rsidRPr="00AF6CB0">
              <w:t>Class Size</w:t>
            </w:r>
            <w:r>
              <w:t xml:space="preserve"> (CLASS)</w:t>
            </w:r>
          </w:p>
        </w:tc>
        <w:tc>
          <w:tcPr>
            <w:tcW w:w="5517" w:type="dxa"/>
          </w:tcPr>
          <w:p w14:paraId="65B466BF" w14:textId="77777777" w:rsidR="00A101B9" w:rsidRDefault="00A101B9" w:rsidP="00C350DF">
            <w:pPr>
              <w:pStyle w:val="Newparagraph"/>
              <w:spacing w:line="240" w:lineRule="auto"/>
              <w:ind w:firstLine="0"/>
            </w:pPr>
            <w:r>
              <w:t>F</w:t>
            </w:r>
            <w:r w:rsidRPr="00AF6CB0">
              <w:t xml:space="preserve">or </w:t>
            </w:r>
            <w:r>
              <w:t xml:space="preserve">various class types e.g. </w:t>
            </w:r>
            <w:r w:rsidRPr="00AF6CB0">
              <w:t>lectures, seminars, labs</w:t>
            </w:r>
          </w:p>
        </w:tc>
        <w:tc>
          <w:tcPr>
            <w:tcW w:w="1176" w:type="dxa"/>
          </w:tcPr>
          <w:p w14:paraId="54D69563" w14:textId="77777777" w:rsidR="00A101B9" w:rsidRDefault="00A101B9" w:rsidP="00C350DF">
            <w:pPr>
              <w:pStyle w:val="Newparagraph"/>
              <w:spacing w:line="240" w:lineRule="auto"/>
              <w:ind w:firstLine="0"/>
            </w:pPr>
            <w:r>
              <w:t>20%</w:t>
            </w:r>
          </w:p>
        </w:tc>
      </w:tr>
      <w:tr w:rsidR="00A101B9" w14:paraId="0A312305" w14:textId="77777777" w:rsidTr="00C350DF">
        <w:trPr>
          <w:trHeight w:val="552"/>
        </w:trPr>
        <w:tc>
          <w:tcPr>
            <w:tcW w:w="1603" w:type="dxa"/>
          </w:tcPr>
          <w:p w14:paraId="445CB8C0" w14:textId="77777777" w:rsidR="00A101B9" w:rsidRDefault="00A101B9" w:rsidP="00C350DF">
            <w:pPr>
              <w:pStyle w:val="Newparagraph"/>
              <w:spacing w:line="240" w:lineRule="auto"/>
              <w:ind w:firstLine="0"/>
            </w:pPr>
            <w:r w:rsidRPr="00AF6CB0">
              <w:t>Responsibility of Student as Partner</w:t>
            </w:r>
            <w:r>
              <w:t xml:space="preserve"> (RESP)</w:t>
            </w:r>
          </w:p>
        </w:tc>
        <w:tc>
          <w:tcPr>
            <w:tcW w:w="5517" w:type="dxa"/>
          </w:tcPr>
          <w:p w14:paraId="3428660F" w14:textId="77777777" w:rsidR="00A101B9" w:rsidRDefault="00A101B9" w:rsidP="00C350DF">
            <w:pPr>
              <w:pStyle w:val="Newparagraph"/>
              <w:spacing w:line="240" w:lineRule="auto"/>
              <w:ind w:firstLine="0"/>
            </w:pPr>
            <w:r w:rsidRPr="00AF6CB0">
              <w:t>Indication of the responsibility of the student in their learning</w:t>
            </w:r>
          </w:p>
        </w:tc>
        <w:tc>
          <w:tcPr>
            <w:tcW w:w="1176" w:type="dxa"/>
          </w:tcPr>
          <w:p w14:paraId="0CE00BCB" w14:textId="77777777" w:rsidR="00A101B9" w:rsidRDefault="00A101B9" w:rsidP="00C350DF">
            <w:pPr>
              <w:pStyle w:val="Newparagraph"/>
              <w:spacing w:line="240" w:lineRule="auto"/>
              <w:ind w:firstLine="0"/>
            </w:pPr>
            <w:r>
              <w:t>22%</w:t>
            </w:r>
          </w:p>
        </w:tc>
      </w:tr>
      <w:tr w:rsidR="00A101B9" w14:paraId="196CC1DA" w14:textId="77777777" w:rsidTr="00C350DF">
        <w:trPr>
          <w:trHeight w:val="552"/>
        </w:trPr>
        <w:tc>
          <w:tcPr>
            <w:tcW w:w="1603" w:type="dxa"/>
          </w:tcPr>
          <w:p w14:paraId="1A193A1B" w14:textId="77777777" w:rsidR="00A101B9" w:rsidRDefault="00A101B9" w:rsidP="00C350DF">
            <w:pPr>
              <w:pStyle w:val="Newparagraph"/>
              <w:spacing w:line="240" w:lineRule="auto"/>
              <w:ind w:firstLine="0"/>
            </w:pPr>
            <w:r w:rsidRPr="00AF6CB0">
              <w:t>Support of Learning</w:t>
            </w:r>
            <w:r>
              <w:t xml:space="preserve"> (SUP)</w:t>
            </w:r>
          </w:p>
        </w:tc>
        <w:tc>
          <w:tcPr>
            <w:tcW w:w="5517" w:type="dxa"/>
          </w:tcPr>
          <w:p w14:paraId="54D6D5A1" w14:textId="77777777" w:rsidR="00A101B9" w:rsidRDefault="00A101B9" w:rsidP="00C350DF">
            <w:pPr>
              <w:pStyle w:val="Newparagraph"/>
              <w:spacing w:line="240" w:lineRule="auto"/>
              <w:ind w:firstLine="0"/>
            </w:pPr>
            <w:r w:rsidRPr="00AF6CB0">
              <w:t xml:space="preserve">How learning is supported by </w:t>
            </w:r>
            <w:r w:rsidR="00A700F4">
              <w:t xml:space="preserve">the </w:t>
            </w:r>
            <w:r w:rsidRPr="00AF6CB0">
              <w:t>availability of resources and/or within different types of class sizes</w:t>
            </w:r>
          </w:p>
        </w:tc>
        <w:tc>
          <w:tcPr>
            <w:tcW w:w="1176" w:type="dxa"/>
          </w:tcPr>
          <w:p w14:paraId="50CE67B1" w14:textId="77777777" w:rsidR="00A101B9" w:rsidRDefault="00A101B9" w:rsidP="00C350DF">
            <w:pPr>
              <w:pStyle w:val="Newparagraph"/>
              <w:spacing w:line="240" w:lineRule="auto"/>
              <w:ind w:firstLine="0"/>
            </w:pPr>
            <w:r>
              <w:t>51%</w:t>
            </w:r>
          </w:p>
        </w:tc>
      </w:tr>
      <w:tr w:rsidR="00A101B9" w14:paraId="487C3147" w14:textId="77777777" w:rsidTr="00C350DF">
        <w:trPr>
          <w:trHeight w:val="552"/>
        </w:trPr>
        <w:tc>
          <w:tcPr>
            <w:tcW w:w="1603" w:type="dxa"/>
          </w:tcPr>
          <w:p w14:paraId="7C5585C8" w14:textId="77777777" w:rsidR="00A101B9" w:rsidRDefault="00A101B9" w:rsidP="00C350DF">
            <w:pPr>
              <w:pStyle w:val="Newparagraph"/>
              <w:spacing w:line="240" w:lineRule="auto"/>
              <w:ind w:firstLine="0"/>
            </w:pPr>
            <w:r>
              <w:t xml:space="preserve">Type and Amount of </w:t>
            </w:r>
            <w:r w:rsidRPr="00AF6CB0">
              <w:t>Academic Support</w:t>
            </w:r>
            <w:r>
              <w:t xml:space="preserve"> (AS)</w:t>
            </w:r>
          </w:p>
        </w:tc>
        <w:tc>
          <w:tcPr>
            <w:tcW w:w="5517" w:type="dxa"/>
          </w:tcPr>
          <w:p w14:paraId="77FA55B2" w14:textId="77777777" w:rsidR="00A101B9" w:rsidRDefault="00A101B9" w:rsidP="00C350DF">
            <w:pPr>
              <w:pStyle w:val="Newparagraph"/>
              <w:spacing w:line="240" w:lineRule="auto"/>
              <w:ind w:firstLine="0"/>
            </w:pPr>
            <w:r w:rsidRPr="00AF6CB0">
              <w:t>Type and amount of support available to students (e.g. reading of drafts, one-to-one tutorials, online support including virtual learning environments)</w:t>
            </w:r>
          </w:p>
        </w:tc>
        <w:tc>
          <w:tcPr>
            <w:tcW w:w="1176" w:type="dxa"/>
          </w:tcPr>
          <w:p w14:paraId="59B67A3C" w14:textId="77777777" w:rsidR="00A101B9" w:rsidRDefault="00A101B9" w:rsidP="00C350DF">
            <w:pPr>
              <w:pStyle w:val="Newparagraph"/>
              <w:spacing w:line="240" w:lineRule="auto"/>
              <w:ind w:firstLine="0"/>
            </w:pPr>
            <w:r>
              <w:t>75%</w:t>
            </w:r>
          </w:p>
        </w:tc>
      </w:tr>
      <w:tr w:rsidR="00A101B9" w14:paraId="3468B169" w14:textId="77777777" w:rsidTr="00C350DF">
        <w:trPr>
          <w:trHeight w:val="552"/>
        </w:trPr>
        <w:tc>
          <w:tcPr>
            <w:tcW w:w="1603" w:type="dxa"/>
          </w:tcPr>
          <w:p w14:paraId="5F7B56B2" w14:textId="77777777" w:rsidR="00A101B9" w:rsidRDefault="00A101B9" w:rsidP="00C350DF">
            <w:pPr>
              <w:pStyle w:val="Newparagraph"/>
              <w:spacing w:line="240" w:lineRule="auto"/>
              <w:ind w:firstLine="0"/>
            </w:pPr>
            <w:r w:rsidRPr="00AF6CB0">
              <w:t xml:space="preserve">Expected </w:t>
            </w:r>
            <w:r>
              <w:t>Contact T</w:t>
            </w:r>
            <w:r w:rsidRPr="00AF6CB0">
              <w:t>ime</w:t>
            </w:r>
            <w:r>
              <w:t xml:space="preserve"> (TIME)</w:t>
            </w:r>
          </w:p>
        </w:tc>
        <w:tc>
          <w:tcPr>
            <w:tcW w:w="5517" w:type="dxa"/>
          </w:tcPr>
          <w:p w14:paraId="19B9C5B4" w14:textId="77777777" w:rsidR="00A101B9" w:rsidRDefault="00A101B9" w:rsidP="00C350DF">
            <w:pPr>
              <w:pStyle w:val="Newparagraph"/>
              <w:spacing w:line="240" w:lineRule="auto"/>
              <w:ind w:firstLine="0"/>
            </w:pPr>
            <w:r w:rsidRPr="00AF6CB0">
              <w:t>Amount of time student can expect to interact with the member of staff (could either be virtual or face-to-face)</w:t>
            </w:r>
          </w:p>
        </w:tc>
        <w:tc>
          <w:tcPr>
            <w:tcW w:w="1176" w:type="dxa"/>
          </w:tcPr>
          <w:p w14:paraId="06E25878" w14:textId="77777777" w:rsidR="00A101B9" w:rsidRDefault="00A101B9" w:rsidP="00C350DF">
            <w:pPr>
              <w:pStyle w:val="Newparagraph"/>
              <w:spacing w:line="240" w:lineRule="auto"/>
              <w:ind w:firstLine="0"/>
            </w:pPr>
            <w:r>
              <w:t>36%</w:t>
            </w:r>
          </w:p>
        </w:tc>
      </w:tr>
      <w:tr w:rsidR="00A101B9" w14:paraId="32F10B51" w14:textId="77777777" w:rsidTr="00C350DF">
        <w:trPr>
          <w:trHeight w:val="552"/>
        </w:trPr>
        <w:tc>
          <w:tcPr>
            <w:tcW w:w="1603" w:type="dxa"/>
          </w:tcPr>
          <w:p w14:paraId="2F6ADD5E" w14:textId="77777777" w:rsidR="00A101B9" w:rsidRPr="00AF6CB0" w:rsidRDefault="00A101B9" w:rsidP="00C350DF">
            <w:pPr>
              <w:pStyle w:val="Newparagraph"/>
              <w:spacing w:line="240" w:lineRule="auto"/>
              <w:ind w:firstLine="0"/>
            </w:pPr>
            <w:r>
              <w:t>Resources and Facilities (FACIL)</w:t>
            </w:r>
          </w:p>
        </w:tc>
        <w:tc>
          <w:tcPr>
            <w:tcW w:w="5517" w:type="dxa"/>
          </w:tcPr>
          <w:p w14:paraId="31BB18EB" w14:textId="77777777" w:rsidR="00A101B9" w:rsidRPr="00AF6CB0" w:rsidRDefault="00A101B9" w:rsidP="00C350DF">
            <w:pPr>
              <w:pStyle w:val="Newparagraph"/>
              <w:spacing w:line="240" w:lineRule="auto"/>
              <w:ind w:firstLine="0"/>
            </w:pPr>
            <w:r w:rsidRPr="00AF6CB0">
              <w:t>Ways in which learning is supported by resources and specialist facilities</w:t>
            </w:r>
          </w:p>
        </w:tc>
        <w:tc>
          <w:tcPr>
            <w:tcW w:w="1176" w:type="dxa"/>
          </w:tcPr>
          <w:p w14:paraId="71B7CAEE" w14:textId="77777777" w:rsidR="00A101B9" w:rsidRDefault="00A101B9" w:rsidP="00C350DF">
            <w:pPr>
              <w:pStyle w:val="Newparagraph"/>
              <w:spacing w:line="240" w:lineRule="auto"/>
              <w:ind w:firstLine="0"/>
            </w:pPr>
            <w:r>
              <w:t>67%</w:t>
            </w:r>
          </w:p>
        </w:tc>
      </w:tr>
      <w:tr w:rsidR="00A101B9" w14:paraId="1975370D" w14:textId="77777777" w:rsidTr="00C350DF">
        <w:trPr>
          <w:trHeight w:val="552"/>
        </w:trPr>
        <w:tc>
          <w:tcPr>
            <w:tcW w:w="1603" w:type="dxa"/>
          </w:tcPr>
          <w:p w14:paraId="644BE9D5" w14:textId="77777777" w:rsidR="00A101B9" w:rsidRDefault="00A101B9" w:rsidP="00C350DF">
            <w:pPr>
              <w:pStyle w:val="Newparagraph"/>
              <w:spacing w:line="240" w:lineRule="auto"/>
              <w:ind w:firstLine="0"/>
            </w:pPr>
            <w:r w:rsidRPr="00AF6CB0">
              <w:t>Staff Qualification</w:t>
            </w:r>
            <w:r>
              <w:t>s</w:t>
            </w:r>
            <w:r w:rsidRPr="00AF6CB0">
              <w:t xml:space="preserve"> </w:t>
            </w:r>
            <w:r>
              <w:t>(QUAL)</w:t>
            </w:r>
          </w:p>
        </w:tc>
        <w:tc>
          <w:tcPr>
            <w:tcW w:w="5517" w:type="dxa"/>
          </w:tcPr>
          <w:p w14:paraId="4F566E30" w14:textId="77777777" w:rsidR="00A101B9" w:rsidRDefault="00A101B9" w:rsidP="00C350DF">
            <w:pPr>
              <w:pStyle w:val="Newparagraph"/>
              <w:spacing w:line="240" w:lineRule="auto"/>
              <w:ind w:firstLine="0"/>
            </w:pPr>
            <w:r w:rsidRPr="00AF6CB0">
              <w:t>If staff qualifications are located on staf</w:t>
            </w:r>
            <w:r>
              <w:t xml:space="preserve">f webpages (providing that the degree </w:t>
            </w:r>
            <w:proofErr w:type="spellStart"/>
            <w:r>
              <w:t>programmes</w:t>
            </w:r>
            <w:proofErr w:type="spellEnd"/>
            <w:r>
              <w:t xml:space="preserve"> </w:t>
            </w:r>
            <w:r w:rsidRPr="00AF6CB0">
              <w:t>have indicated who the staff teaching are)</w:t>
            </w:r>
          </w:p>
        </w:tc>
        <w:tc>
          <w:tcPr>
            <w:tcW w:w="1176" w:type="dxa"/>
          </w:tcPr>
          <w:p w14:paraId="41CE1129" w14:textId="77777777" w:rsidR="00A101B9" w:rsidRDefault="00A101B9" w:rsidP="00C350DF">
            <w:pPr>
              <w:pStyle w:val="Newparagraph"/>
              <w:spacing w:line="240" w:lineRule="auto"/>
              <w:ind w:firstLine="0"/>
            </w:pPr>
            <w:r>
              <w:t>46%</w:t>
            </w:r>
          </w:p>
        </w:tc>
      </w:tr>
    </w:tbl>
    <w:p w14:paraId="40CDA971" w14:textId="77777777" w:rsidR="00A101B9" w:rsidRDefault="00A101B9" w:rsidP="00C350DF">
      <w:pPr>
        <w:pStyle w:val="Newparagraph"/>
        <w:ind w:firstLine="0"/>
      </w:pPr>
    </w:p>
    <w:p w14:paraId="2CEA24FA" w14:textId="77777777" w:rsidR="00D839E1" w:rsidRDefault="00D839E1">
      <w:pPr>
        <w:spacing w:after="160" w:line="259" w:lineRule="auto"/>
        <w:rPr>
          <w:rFonts w:asciiTheme="majorHAnsi" w:hAnsiTheme="majorHAnsi"/>
          <w:sz w:val="20"/>
          <w:szCs w:val="20"/>
        </w:rPr>
      </w:pPr>
      <w:r>
        <w:rPr>
          <w:rFonts w:asciiTheme="majorHAnsi" w:hAnsiTheme="majorHAnsi"/>
          <w:sz w:val="20"/>
          <w:szCs w:val="20"/>
        </w:rPr>
        <w:br w:type="page"/>
      </w:r>
    </w:p>
    <w:p w14:paraId="2D9944E4" w14:textId="5105EDEE" w:rsidR="00D839E1" w:rsidRDefault="00D839E1" w:rsidP="00D839E1">
      <w:pPr>
        <w:pStyle w:val="Tabletitle"/>
      </w:pPr>
      <w:bookmarkStart w:id="11" w:name="_Ref32589431"/>
      <w:r>
        <w:lastRenderedPageBreak/>
        <w:t xml:space="preserve">Table </w:t>
      </w:r>
      <w:fldSimple w:instr=" SEQ Table \* ARABIC ">
        <w:r w:rsidR="00137FF1">
          <w:rPr>
            <w:noProof/>
          </w:rPr>
          <w:t>2</w:t>
        </w:r>
      </w:fldSimple>
      <w:bookmarkEnd w:id="11"/>
      <w:r>
        <w:t>: Standardised Total Effects of the Availability of L&amp;T Information and Student Satisfaction</w:t>
      </w:r>
      <w:r>
        <w:rPr>
          <w:noProof/>
        </w:rPr>
        <w:t xml:space="preserve"> Model across 36 HEIs</w:t>
      </w:r>
    </w:p>
    <w:tbl>
      <w:tblPr>
        <w:tblStyle w:val="PlainTable11"/>
        <w:tblW w:w="5000" w:type="pct"/>
        <w:tblLayout w:type="fixed"/>
        <w:tblLook w:val="06A0" w:firstRow="1" w:lastRow="0" w:firstColumn="1" w:lastColumn="0" w:noHBand="1" w:noVBand="1"/>
      </w:tblPr>
      <w:tblGrid>
        <w:gridCol w:w="1416"/>
        <w:gridCol w:w="983"/>
        <w:gridCol w:w="983"/>
        <w:gridCol w:w="983"/>
        <w:gridCol w:w="983"/>
        <w:gridCol w:w="982"/>
        <w:gridCol w:w="982"/>
        <w:gridCol w:w="984"/>
      </w:tblGrid>
      <w:tr w:rsidR="00D839E1" w:rsidRPr="00DC1EC4" w14:paraId="0FD5E9C7" w14:textId="77777777" w:rsidTr="00BC4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hideMark/>
          </w:tcPr>
          <w:p w14:paraId="6BF4AFE6" w14:textId="77777777" w:rsidR="00D839E1" w:rsidRPr="00DC1EC4" w:rsidRDefault="00D839E1" w:rsidP="00BC440B">
            <w:pPr>
              <w:spacing w:line="240" w:lineRule="auto"/>
            </w:pPr>
          </w:p>
        </w:tc>
        <w:tc>
          <w:tcPr>
            <w:tcW w:w="592" w:type="pct"/>
            <w:hideMark/>
          </w:tcPr>
          <w:p w14:paraId="250CF8ED" w14:textId="77777777" w:rsidR="00D839E1" w:rsidRPr="00DC1EC4" w:rsidRDefault="00D839E1" w:rsidP="00BC440B">
            <w:pPr>
              <w:spacing w:line="240" w:lineRule="auto"/>
              <w:cnfStyle w:val="100000000000" w:firstRow="1" w:lastRow="0" w:firstColumn="0" w:lastColumn="0" w:oddVBand="0" w:evenVBand="0" w:oddHBand="0" w:evenHBand="0" w:firstRowFirstColumn="0" w:firstRowLastColumn="0" w:lastRowFirstColumn="0" w:lastRowLastColumn="0"/>
            </w:pPr>
            <w:r w:rsidRPr="00DC1EC4">
              <w:t>NSSAF15</w:t>
            </w:r>
          </w:p>
        </w:tc>
        <w:tc>
          <w:tcPr>
            <w:tcW w:w="592" w:type="pct"/>
            <w:hideMark/>
          </w:tcPr>
          <w:p w14:paraId="7DB66500" w14:textId="77777777" w:rsidR="00D839E1" w:rsidRPr="00DC1EC4" w:rsidRDefault="00D839E1" w:rsidP="00BC440B">
            <w:pPr>
              <w:spacing w:line="240" w:lineRule="auto"/>
              <w:cnfStyle w:val="100000000000" w:firstRow="1" w:lastRow="0" w:firstColumn="0" w:lastColumn="0" w:oddVBand="0" w:evenVBand="0" w:oddHBand="0" w:evenHBand="0" w:firstRowFirstColumn="0" w:firstRowLastColumn="0" w:lastRowFirstColumn="0" w:lastRowLastColumn="0"/>
            </w:pPr>
            <w:r w:rsidRPr="00DC1EC4">
              <w:t>NSSTC15</w:t>
            </w:r>
          </w:p>
        </w:tc>
        <w:tc>
          <w:tcPr>
            <w:tcW w:w="592" w:type="pct"/>
            <w:hideMark/>
          </w:tcPr>
          <w:p w14:paraId="594DA716" w14:textId="77777777" w:rsidR="00D839E1" w:rsidRPr="00DC1EC4" w:rsidRDefault="00D839E1" w:rsidP="00BC440B">
            <w:pPr>
              <w:spacing w:line="240" w:lineRule="auto"/>
              <w:cnfStyle w:val="100000000000" w:firstRow="1" w:lastRow="0" w:firstColumn="0" w:lastColumn="0" w:oddVBand="0" w:evenVBand="0" w:oddHBand="0" w:evenHBand="0" w:firstRowFirstColumn="0" w:firstRowLastColumn="0" w:lastRowFirstColumn="0" w:lastRowLastColumn="0"/>
            </w:pPr>
            <w:r w:rsidRPr="00DC1EC4">
              <w:t>NSSAS15</w:t>
            </w:r>
          </w:p>
        </w:tc>
        <w:tc>
          <w:tcPr>
            <w:tcW w:w="592" w:type="pct"/>
            <w:hideMark/>
          </w:tcPr>
          <w:p w14:paraId="130FDB06" w14:textId="77777777" w:rsidR="00D839E1" w:rsidRPr="00DC1EC4" w:rsidRDefault="00D839E1" w:rsidP="00BC440B">
            <w:pPr>
              <w:spacing w:line="240" w:lineRule="auto"/>
              <w:cnfStyle w:val="100000000000" w:firstRow="1" w:lastRow="0" w:firstColumn="0" w:lastColumn="0" w:oddVBand="0" w:evenVBand="0" w:oddHBand="0" w:evenHBand="0" w:firstRowFirstColumn="0" w:firstRowLastColumn="0" w:lastRowFirstColumn="0" w:lastRowLastColumn="0"/>
            </w:pPr>
            <w:r w:rsidRPr="00DC1EC4">
              <w:t>NSSOverall15</w:t>
            </w:r>
          </w:p>
        </w:tc>
        <w:tc>
          <w:tcPr>
            <w:tcW w:w="592" w:type="pct"/>
            <w:hideMark/>
          </w:tcPr>
          <w:p w14:paraId="62523B76" w14:textId="77777777" w:rsidR="00D839E1" w:rsidRPr="00DC1EC4" w:rsidRDefault="00D839E1" w:rsidP="00BC440B">
            <w:pPr>
              <w:spacing w:line="240" w:lineRule="auto"/>
              <w:cnfStyle w:val="100000000000" w:firstRow="1" w:lastRow="0" w:firstColumn="0" w:lastColumn="0" w:oddVBand="0" w:evenVBand="0" w:oddHBand="0" w:evenHBand="0" w:firstRowFirstColumn="0" w:firstRowLastColumn="0" w:lastRowFirstColumn="0" w:lastRowLastColumn="0"/>
            </w:pPr>
            <w:r w:rsidRPr="00DC1EC4">
              <w:t>NSSOrg15</w:t>
            </w:r>
          </w:p>
        </w:tc>
        <w:tc>
          <w:tcPr>
            <w:tcW w:w="592" w:type="pct"/>
            <w:hideMark/>
          </w:tcPr>
          <w:p w14:paraId="07C0063F" w14:textId="77777777" w:rsidR="00D839E1" w:rsidRPr="00DC1EC4" w:rsidRDefault="00D839E1" w:rsidP="00BC440B">
            <w:pPr>
              <w:spacing w:line="240" w:lineRule="auto"/>
              <w:cnfStyle w:val="100000000000" w:firstRow="1" w:lastRow="0" w:firstColumn="0" w:lastColumn="0" w:oddVBand="0" w:evenVBand="0" w:oddHBand="0" w:evenHBand="0" w:firstRowFirstColumn="0" w:firstRowLastColumn="0" w:lastRowFirstColumn="0" w:lastRowLastColumn="0"/>
            </w:pPr>
            <w:r w:rsidRPr="00DC1EC4">
              <w:t>AS</w:t>
            </w:r>
          </w:p>
        </w:tc>
        <w:tc>
          <w:tcPr>
            <w:tcW w:w="593" w:type="pct"/>
            <w:hideMark/>
          </w:tcPr>
          <w:p w14:paraId="6CBC5356" w14:textId="77777777" w:rsidR="00D839E1" w:rsidRPr="00DC1EC4" w:rsidRDefault="00D839E1" w:rsidP="00BC440B">
            <w:pPr>
              <w:spacing w:line="240" w:lineRule="auto"/>
              <w:cnfStyle w:val="100000000000" w:firstRow="1" w:lastRow="0" w:firstColumn="0" w:lastColumn="0" w:oddVBand="0" w:evenVBand="0" w:oddHBand="0" w:evenHBand="0" w:firstRowFirstColumn="0" w:firstRowLastColumn="0" w:lastRowFirstColumn="0" w:lastRowLastColumn="0"/>
            </w:pPr>
            <w:r w:rsidRPr="00DC1EC4">
              <w:t>CLASS</w:t>
            </w:r>
          </w:p>
        </w:tc>
      </w:tr>
      <w:tr w:rsidR="00D839E1" w:rsidRPr="00DC1EC4" w14:paraId="66EF5186"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1C76418D" w14:textId="77777777" w:rsidR="00D839E1" w:rsidRPr="00DC1EC4" w:rsidRDefault="00D839E1" w:rsidP="00BC440B">
            <w:pPr>
              <w:spacing w:line="240" w:lineRule="auto"/>
            </w:pPr>
            <w:r w:rsidRPr="00DC1EC4">
              <w:t>AS</w:t>
            </w:r>
          </w:p>
        </w:tc>
        <w:tc>
          <w:tcPr>
            <w:tcW w:w="592" w:type="pct"/>
            <w:noWrap/>
            <w:hideMark/>
          </w:tcPr>
          <w:p w14:paraId="7FBD71EB"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-.328</w:t>
            </w:r>
          </w:p>
        </w:tc>
        <w:tc>
          <w:tcPr>
            <w:tcW w:w="592" w:type="pct"/>
            <w:hideMark/>
          </w:tcPr>
          <w:p w14:paraId="21C85150"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noWrap/>
            <w:hideMark/>
          </w:tcPr>
          <w:p w14:paraId="1CE4372B" w14:textId="77777777" w:rsidR="00D839E1" w:rsidRPr="007441F3"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rPr>
                <w:vertAlign w:val="superscript"/>
              </w:rPr>
            </w:pPr>
            <w:r w:rsidRPr="003E6E89">
              <w:t>-.756</w:t>
            </w:r>
            <w:r>
              <w:rPr>
                <w:vertAlign w:val="superscript"/>
              </w:rPr>
              <w:t>**</w:t>
            </w:r>
          </w:p>
        </w:tc>
        <w:tc>
          <w:tcPr>
            <w:tcW w:w="592" w:type="pct"/>
            <w:hideMark/>
          </w:tcPr>
          <w:p w14:paraId="7A251C9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.733</w:t>
            </w:r>
            <w:r w:rsidRPr="003E6E89">
              <w:rPr>
                <w:vertAlign w:val="superscript"/>
              </w:rPr>
              <w:t>**</w:t>
            </w:r>
          </w:p>
        </w:tc>
        <w:tc>
          <w:tcPr>
            <w:tcW w:w="592" w:type="pct"/>
            <w:hideMark/>
          </w:tcPr>
          <w:p w14:paraId="7CC616D4"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5666C4B7"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3F958A81"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261165CC"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061779A5" w14:textId="77777777" w:rsidR="00D839E1" w:rsidRPr="00DC1EC4" w:rsidRDefault="00D839E1" w:rsidP="00BC440B">
            <w:pPr>
              <w:spacing w:line="240" w:lineRule="auto"/>
            </w:pPr>
            <w:r w:rsidRPr="00DC1EC4">
              <w:t>CLASS</w:t>
            </w:r>
          </w:p>
        </w:tc>
        <w:tc>
          <w:tcPr>
            <w:tcW w:w="592" w:type="pct"/>
            <w:noWrap/>
            <w:hideMark/>
          </w:tcPr>
          <w:p w14:paraId="4DA25B00"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-.762</w:t>
            </w:r>
            <w:r w:rsidRPr="003E6E89">
              <w:rPr>
                <w:vertAlign w:val="superscript"/>
              </w:rPr>
              <w:t>**</w:t>
            </w:r>
          </w:p>
        </w:tc>
        <w:tc>
          <w:tcPr>
            <w:tcW w:w="592" w:type="pct"/>
            <w:hideMark/>
          </w:tcPr>
          <w:p w14:paraId="6889E15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.654</w:t>
            </w:r>
            <w:r w:rsidRPr="003E6E89">
              <w:rPr>
                <w:vertAlign w:val="superscript"/>
              </w:rPr>
              <w:t>**</w:t>
            </w:r>
          </w:p>
        </w:tc>
        <w:tc>
          <w:tcPr>
            <w:tcW w:w="592" w:type="pct"/>
            <w:hideMark/>
          </w:tcPr>
          <w:p w14:paraId="0C96DEB7"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12EABB9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522C6B86"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0D25C654"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7D364566"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3C31C928"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047B13D0" w14:textId="77777777" w:rsidR="00D839E1" w:rsidRPr="00DC1EC4" w:rsidRDefault="00D839E1" w:rsidP="00BC440B">
            <w:pPr>
              <w:spacing w:line="240" w:lineRule="auto"/>
            </w:pPr>
            <w:r w:rsidRPr="00DC1EC4">
              <w:t>NSSOverall19</w:t>
            </w:r>
          </w:p>
        </w:tc>
        <w:tc>
          <w:tcPr>
            <w:tcW w:w="592" w:type="pct"/>
            <w:noWrap/>
            <w:hideMark/>
          </w:tcPr>
          <w:p w14:paraId="00B3B7BB"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-.126</w:t>
            </w:r>
            <w:r w:rsidRPr="003E6E89">
              <w:rPr>
                <w:vertAlign w:val="superscript"/>
              </w:rPr>
              <w:t>*</w:t>
            </w:r>
          </w:p>
        </w:tc>
        <w:tc>
          <w:tcPr>
            <w:tcW w:w="592" w:type="pct"/>
            <w:hideMark/>
          </w:tcPr>
          <w:p w14:paraId="099C380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491D6B9C"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.085</w:t>
            </w:r>
          </w:p>
        </w:tc>
        <w:tc>
          <w:tcPr>
            <w:tcW w:w="592" w:type="pct"/>
            <w:hideMark/>
          </w:tcPr>
          <w:p w14:paraId="08B61E9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.594</w:t>
            </w:r>
            <w:r w:rsidRPr="003E6E89">
              <w:rPr>
                <w:vertAlign w:val="superscript"/>
              </w:rPr>
              <w:t>**</w:t>
            </w:r>
          </w:p>
        </w:tc>
        <w:tc>
          <w:tcPr>
            <w:tcW w:w="592" w:type="pct"/>
            <w:hideMark/>
          </w:tcPr>
          <w:p w14:paraId="4DBF8F9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noWrap/>
            <w:hideMark/>
          </w:tcPr>
          <w:p w14:paraId="48F3A749"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-.113</w:t>
            </w:r>
            <w:r w:rsidRPr="003E6E89">
              <w:rPr>
                <w:vertAlign w:val="superscript"/>
              </w:rPr>
              <w:t>*</w:t>
            </w:r>
          </w:p>
        </w:tc>
        <w:tc>
          <w:tcPr>
            <w:tcW w:w="593" w:type="pct"/>
            <w:hideMark/>
          </w:tcPr>
          <w:p w14:paraId="46656DCA"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0604A3F4"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5CFED726" w14:textId="77777777" w:rsidR="00D839E1" w:rsidRPr="00DC1EC4" w:rsidRDefault="00D839E1" w:rsidP="00BC440B">
            <w:pPr>
              <w:spacing w:line="240" w:lineRule="auto"/>
            </w:pPr>
            <w:r w:rsidRPr="00DC1EC4">
              <w:t>NSSAS19</w:t>
            </w:r>
          </w:p>
        </w:tc>
        <w:tc>
          <w:tcPr>
            <w:tcW w:w="592" w:type="pct"/>
            <w:hideMark/>
          </w:tcPr>
          <w:p w14:paraId="3790C1EB"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.211</w:t>
            </w:r>
          </w:p>
        </w:tc>
        <w:tc>
          <w:tcPr>
            <w:tcW w:w="592" w:type="pct"/>
            <w:noWrap/>
            <w:hideMark/>
          </w:tcPr>
          <w:p w14:paraId="476C2A8A"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-.142</w:t>
            </w:r>
          </w:p>
        </w:tc>
        <w:tc>
          <w:tcPr>
            <w:tcW w:w="592" w:type="pct"/>
            <w:hideMark/>
          </w:tcPr>
          <w:p w14:paraId="1BA8C5A1"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.560</w:t>
            </w:r>
            <w:r w:rsidRPr="003E6E89">
              <w:rPr>
                <w:vertAlign w:val="superscript"/>
              </w:rPr>
              <w:t>**</w:t>
            </w:r>
          </w:p>
        </w:tc>
        <w:tc>
          <w:tcPr>
            <w:tcW w:w="592" w:type="pct"/>
            <w:noWrap/>
            <w:hideMark/>
          </w:tcPr>
          <w:p w14:paraId="34B26EA1"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-.102</w:t>
            </w:r>
          </w:p>
        </w:tc>
        <w:tc>
          <w:tcPr>
            <w:tcW w:w="592" w:type="pct"/>
            <w:hideMark/>
          </w:tcPr>
          <w:p w14:paraId="3C4AF8B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noWrap/>
            <w:hideMark/>
          </w:tcPr>
          <w:p w14:paraId="233489B4"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-.140</w:t>
            </w:r>
            <w:r w:rsidRPr="003E6E89">
              <w:rPr>
                <w:vertAlign w:val="superscript"/>
              </w:rPr>
              <w:t>+</w:t>
            </w:r>
          </w:p>
        </w:tc>
        <w:tc>
          <w:tcPr>
            <w:tcW w:w="593" w:type="pct"/>
            <w:noWrap/>
            <w:hideMark/>
          </w:tcPr>
          <w:p w14:paraId="31939695"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-.217</w:t>
            </w:r>
            <w:r w:rsidRPr="003E6E89">
              <w:rPr>
                <w:vertAlign w:val="superscript"/>
              </w:rPr>
              <w:t>**</w:t>
            </w:r>
          </w:p>
        </w:tc>
      </w:tr>
      <w:tr w:rsidR="00D839E1" w:rsidRPr="00DC1EC4" w14:paraId="73749635"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7B12889A" w14:textId="77777777" w:rsidR="00D839E1" w:rsidRPr="00DC1EC4" w:rsidRDefault="00D839E1" w:rsidP="00BC440B">
            <w:pPr>
              <w:spacing w:line="240" w:lineRule="auto"/>
            </w:pPr>
            <w:r w:rsidRPr="00DC1EC4">
              <w:t>NSSTC19</w:t>
            </w:r>
          </w:p>
        </w:tc>
        <w:tc>
          <w:tcPr>
            <w:tcW w:w="592" w:type="pct"/>
            <w:hideMark/>
          </w:tcPr>
          <w:p w14:paraId="110F684B"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1720D1E7"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.511</w:t>
            </w:r>
            <w:r w:rsidRPr="003E6E89">
              <w:rPr>
                <w:vertAlign w:val="superscript"/>
              </w:rPr>
              <w:t>**</w:t>
            </w:r>
          </w:p>
        </w:tc>
        <w:tc>
          <w:tcPr>
            <w:tcW w:w="592" w:type="pct"/>
            <w:hideMark/>
          </w:tcPr>
          <w:p w14:paraId="6121376C"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52582664"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1AC5A35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2B1838B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5B44A4D6"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5F335014"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5AB361BE" w14:textId="77777777" w:rsidR="00D839E1" w:rsidRPr="00DC1EC4" w:rsidRDefault="00D839E1" w:rsidP="00BC440B">
            <w:pPr>
              <w:spacing w:line="240" w:lineRule="auto"/>
            </w:pPr>
            <w:r w:rsidRPr="00DC1EC4">
              <w:t>NSSAF19</w:t>
            </w:r>
          </w:p>
        </w:tc>
        <w:tc>
          <w:tcPr>
            <w:tcW w:w="592" w:type="pct"/>
            <w:hideMark/>
          </w:tcPr>
          <w:p w14:paraId="2EB9A4D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.731</w:t>
            </w:r>
            <w:r w:rsidRPr="003E6E89">
              <w:rPr>
                <w:vertAlign w:val="superscript"/>
              </w:rPr>
              <w:t>**</w:t>
            </w:r>
          </w:p>
        </w:tc>
        <w:tc>
          <w:tcPr>
            <w:tcW w:w="592" w:type="pct"/>
            <w:hideMark/>
          </w:tcPr>
          <w:p w14:paraId="22F5BEB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48A37BC7"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42D06BB1"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noWrap/>
            <w:hideMark/>
          </w:tcPr>
          <w:p w14:paraId="50C03C71"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-.504</w:t>
            </w:r>
            <w:r w:rsidRPr="003E6E89">
              <w:rPr>
                <w:vertAlign w:val="superscript"/>
              </w:rPr>
              <w:t>**</w:t>
            </w:r>
          </w:p>
        </w:tc>
        <w:tc>
          <w:tcPr>
            <w:tcW w:w="592" w:type="pct"/>
            <w:hideMark/>
          </w:tcPr>
          <w:p w14:paraId="79DB9E67"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7958D013"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5BA1CE05"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4E93EDC0" w14:textId="77777777" w:rsidR="00D839E1" w:rsidRPr="00DC1EC4" w:rsidRDefault="00D839E1" w:rsidP="00BC440B">
            <w:pPr>
              <w:spacing w:line="240" w:lineRule="auto"/>
            </w:pPr>
            <w:r w:rsidRPr="00DC1EC4">
              <w:t>NSSOM19</w:t>
            </w:r>
          </w:p>
        </w:tc>
        <w:tc>
          <w:tcPr>
            <w:tcW w:w="592" w:type="pct"/>
            <w:hideMark/>
          </w:tcPr>
          <w:p w14:paraId="1C14BA77"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6242274B"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noWrap/>
            <w:hideMark/>
          </w:tcPr>
          <w:p w14:paraId="1EEA4DB4"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-.253</w:t>
            </w:r>
            <w:r w:rsidRPr="003E6E89">
              <w:rPr>
                <w:vertAlign w:val="superscript"/>
              </w:rPr>
              <w:t>*</w:t>
            </w:r>
          </w:p>
        </w:tc>
        <w:tc>
          <w:tcPr>
            <w:tcW w:w="592" w:type="pct"/>
            <w:hideMark/>
          </w:tcPr>
          <w:p w14:paraId="1DB3A39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0F98CB34"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.819</w:t>
            </w:r>
            <w:r w:rsidRPr="003E6E89">
              <w:rPr>
                <w:vertAlign w:val="superscript"/>
              </w:rPr>
              <w:t>**</w:t>
            </w:r>
          </w:p>
        </w:tc>
        <w:tc>
          <w:tcPr>
            <w:tcW w:w="592" w:type="pct"/>
            <w:hideMark/>
          </w:tcPr>
          <w:p w14:paraId="73B84575"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7F4D82D9"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1209E928"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69697426" w14:textId="77777777" w:rsidR="00D839E1" w:rsidRPr="00DC1EC4" w:rsidRDefault="00D839E1" w:rsidP="00BC440B">
            <w:pPr>
              <w:spacing w:line="240" w:lineRule="auto"/>
            </w:pPr>
            <w:r w:rsidRPr="00DC1EC4">
              <w:t>RESP</w:t>
            </w:r>
          </w:p>
        </w:tc>
        <w:tc>
          <w:tcPr>
            <w:tcW w:w="592" w:type="pct"/>
            <w:hideMark/>
          </w:tcPr>
          <w:p w14:paraId="0D99C9F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5FE5113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71D2760B"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320788F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661F61F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.320</w:t>
            </w:r>
            <w:r w:rsidRPr="003E6E89">
              <w:rPr>
                <w:vertAlign w:val="superscript"/>
              </w:rPr>
              <w:t>*</w:t>
            </w:r>
          </w:p>
        </w:tc>
        <w:tc>
          <w:tcPr>
            <w:tcW w:w="592" w:type="pct"/>
            <w:hideMark/>
          </w:tcPr>
          <w:p w14:paraId="5CFF58CA"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4AFE1F77"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2FCE2AE4"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21425D9A" w14:textId="77777777" w:rsidR="00D839E1" w:rsidRPr="00DC1EC4" w:rsidRDefault="00D839E1" w:rsidP="00BC440B">
            <w:pPr>
              <w:spacing w:line="240" w:lineRule="auto"/>
            </w:pPr>
            <w:r w:rsidRPr="00DC1EC4">
              <w:t>TIME</w:t>
            </w:r>
          </w:p>
        </w:tc>
        <w:tc>
          <w:tcPr>
            <w:tcW w:w="592" w:type="pct"/>
            <w:hideMark/>
          </w:tcPr>
          <w:p w14:paraId="0A0DAE05"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49D9BDD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noWrap/>
            <w:hideMark/>
          </w:tcPr>
          <w:p w14:paraId="4154107C"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-.554</w:t>
            </w:r>
            <w:r w:rsidRPr="003E6E89">
              <w:rPr>
                <w:vertAlign w:val="superscript"/>
              </w:rPr>
              <w:t>*</w:t>
            </w:r>
          </w:p>
        </w:tc>
        <w:tc>
          <w:tcPr>
            <w:tcW w:w="592" w:type="pct"/>
            <w:hideMark/>
          </w:tcPr>
          <w:p w14:paraId="51092DCD"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.856</w:t>
            </w:r>
            <w:r w:rsidRPr="003E6E89">
              <w:rPr>
                <w:vertAlign w:val="superscript"/>
              </w:rPr>
              <w:t>**</w:t>
            </w:r>
          </w:p>
        </w:tc>
        <w:tc>
          <w:tcPr>
            <w:tcW w:w="592" w:type="pct"/>
            <w:hideMark/>
          </w:tcPr>
          <w:p w14:paraId="682EF99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6D2B350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2D9E5FCE"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701C45A7"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13504A7E" w14:textId="77777777" w:rsidR="00D839E1" w:rsidRPr="00DC1EC4" w:rsidRDefault="00D839E1" w:rsidP="00BC440B">
            <w:pPr>
              <w:spacing w:line="240" w:lineRule="auto"/>
            </w:pPr>
            <w:r w:rsidRPr="00DC1EC4">
              <w:t>QUAL</w:t>
            </w:r>
          </w:p>
        </w:tc>
        <w:tc>
          <w:tcPr>
            <w:tcW w:w="592" w:type="pct"/>
            <w:hideMark/>
          </w:tcPr>
          <w:p w14:paraId="0A467933"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noWrap/>
            <w:hideMark/>
          </w:tcPr>
          <w:p w14:paraId="4CA4608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-.577</w:t>
            </w:r>
            <w:r w:rsidRPr="003E6E89">
              <w:rPr>
                <w:vertAlign w:val="superscript"/>
              </w:rPr>
              <w:t>**</w:t>
            </w:r>
          </w:p>
        </w:tc>
        <w:tc>
          <w:tcPr>
            <w:tcW w:w="592" w:type="pct"/>
            <w:hideMark/>
          </w:tcPr>
          <w:p w14:paraId="59192F48"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3637B51F"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.913</w:t>
            </w:r>
            <w:r w:rsidRPr="003E6E89">
              <w:rPr>
                <w:vertAlign w:val="superscript"/>
              </w:rPr>
              <w:t>**</w:t>
            </w:r>
          </w:p>
        </w:tc>
        <w:tc>
          <w:tcPr>
            <w:tcW w:w="592" w:type="pct"/>
            <w:hideMark/>
          </w:tcPr>
          <w:p w14:paraId="122C498B"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480E26D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61F4318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r w:rsidR="00D839E1" w:rsidRPr="00DC1EC4" w14:paraId="4714F917" w14:textId="77777777" w:rsidTr="00BC440B">
        <w:tc>
          <w:tcPr>
            <w:cnfStyle w:val="001000000000" w:firstRow="0" w:lastRow="0" w:firstColumn="1" w:lastColumn="0" w:oddVBand="0" w:evenVBand="0" w:oddHBand="0" w:evenHBand="0" w:firstRowFirstColumn="0" w:firstRowLastColumn="0" w:lastRowFirstColumn="0" w:lastRowLastColumn="0"/>
            <w:tcW w:w="853" w:type="pct"/>
            <w:hideMark/>
          </w:tcPr>
          <w:p w14:paraId="07A91A6C" w14:textId="77777777" w:rsidR="00D839E1" w:rsidRPr="00DC1EC4" w:rsidRDefault="00D839E1" w:rsidP="00BC440B">
            <w:pPr>
              <w:spacing w:line="240" w:lineRule="auto"/>
            </w:pPr>
            <w:r w:rsidRPr="00DC1EC4">
              <w:t>SUP</w:t>
            </w:r>
          </w:p>
        </w:tc>
        <w:tc>
          <w:tcPr>
            <w:tcW w:w="592" w:type="pct"/>
            <w:hideMark/>
          </w:tcPr>
          <w:p w14:paraId="7D67535C"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.366+</w:t>
            </w:r>
          </w:p>
        </w:tc>
        <w:tc>
          <w:tcPr>
            <w:tcW w:w="592" w:type="pct"/>
            <w:hideMark/>
          </w:tcPr>
          <w:p w14:paraId="7FF5DE1D"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1656FBBE"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22046F95"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1F396C84"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2" w:type="pct"/>
            <w:hideMark/>
          </w:tcPr>
          <w:p w14:paraId="7904BF12"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c>
          <w:tcPr>
            <w:tcW w:w="593" w:type="pct"/>
            <w:hideMark/>
          </w:tcPr>
          <w:p w14:paraId="4622FB71" w14:textId="77777777" w:rsidR="00D839E1" w:rsidRPr="003E6E89" w:rsidRDefault="00D839E1" w:rsidP="00BC440B">
            <w:pPr>
              <w:spacing w:line="240" w:lineRule="auto"/>
              <w:cnfStyle w:val="000000000000" w:firstRow="0" w:lastRow="0" w:firstColumn="0" w:lastColumn="0" w:oddVBand="0" w:evenVBand="0" w:oddHBand="0" w:evenHBand="0" w:firstRowFirstColumn="0" w:firstRowLastColumn="0" w:lastRowFirstColumn="0" w:lastRowLastColumn="0"/>
            </w:pPr>
            <w:r w:rsidRPr="003E6E89">
              <w:t>.000</w:t>
            </w:r>
          </w:p>
        </w:tc>
      </w:tr>
    </w:tbl>
    <w:p w14:paraId="0AA4B56F" w14:textId="77777777" w:rsidR="00D839E1" w:rsidRDefault="00D839E1" w:rsidP="00D839E1">
      <w:r w:rsidRPr="003E6E89">
        <w:t>** p&lt;0.01; *p&lt;0.05; +p&lt;0.1</w:t>
      </w:r>
      <w:r>
        <w:t>: p-values for the direct effects</w:t>
      </w:r>
    </w:p>
    <w:p w14:paraId="6BD12123" w14:textId="77777777" w:rsidR="00D839E1" w:rsidRDefault="00D839E1" w:rsidP="00D839E1">
      <w:pPr>
        <w:spacing w:line="240" w:lineRule="auto"/>
        <w:rPr>
          <w:rFonts w:asciiTheme="majorHAnsi" w:hAnsiTheme="majorHAnsi"/>
          <w:sz w:val="20"/>
          <w:szCs w:val="20"/>
        </w:rPr>
      </w:pPr>
    </w:p>
    <w:p w14:paraId="50F1364C" w14:textId="77777777" w:rsidR="00A101B9" w:rsidRDefault="00A101B9">
      <w:pPr>
        <w:spacing w:line="240" w:lineRule="auto"/>
        <w:rPr>
          <w:rFonts w:asciiTheme="majorHAnsi" w:hAnsiTheme="majorHAnsi"/>
          <w:sz w:val="20"/>
          <w:szCs w:val="20"/>
        </w:rPr>
      </w:pPr>
      <w:r>
        <w:rPr>
          <w:rFonts w:asciiTheme="majorHAnsi" w:hAnsiTheme="majorHAnsi"/>
          <w:sz w:val="20"/>
          <w:szCs w:val="20"/>
        </w:rPr>
        <w:br w:type="page"/>
      </w:r>
    </w:p>
    <w:p w14:paraId="50BCE1BE" w14:textId="77777777" w:rsidR="00A101B9" w:rsidRPr="00D4411D" w:rsidRDefault="00A101B9" w:rsidP="00C350DF">
      <w:pPr>
        <w:rPr>
          <w:sz w:val="20"/>
          <w:szCs w:val="20"/>
        </w:rPr>
      </w:pPr>
    </w:p>
    <w:p w14:paraId="792D1195" w14:textId="77777777" w:rsidR="00A101B9" w:rsidRDefault="00A101B9" w:rsidP="00C350DF">
      <w:pPr>
        <w:keepNext/>
        <w:spacing w:line="240" w:lineRule="auto"/>
      </w:pPr>
      <w:r>
        <w:rPr>
          <w:noProof/>
        </w:rPr>
        <w:drawing>
          <wp:inline distT="0" distB="0" distL="0" distR="0" wp14:anchorId="5859F080" wp14:editId="0D6C43A8">
            <wp:extent cx="6139180" cy="450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9180" cy="4505325"/>
                    </a:xfrm>
                    <a:prstGeom prst="rect">
                      <a:avLst/>
                    </a:prstGeom>
                    <a:noFill/>
                  </pic:spPr>
                </pic:pic>
              </a:graphicData>
            </a:graphic>
          </wp:inline>
        </w:drawing>
      </w:r>
    </w:p>
    <w:p w14:paraId="51087FFB" w14:textId="1084470E" w:rsidR="00A101B9" w:rsidRDefault="00A101B9" w:rsidP="00C350DF">
      <w:pPr>
        <w:pStyle w:val="Figurecaption"/>
      </w:pPr>
      <w:r>
        <w:t xml:space="preserve">Figure </w:t>
      </w:r>
      <w:r w:rsidR="00BC440B">
        <w:rPr>
          <w:noProof/>
        </w:rPr>
        <w:fldChar w:fldCharType="begin"/>
      </w:r>
      <w:r w:rsidR="00BC440B">
        <w:rPr>
          <w:noProof/>
        </w:rPr>
        <w:instrText xml:space="preserve"> SEQ Figure \* ARABIC </w:instrText>
      </w:r>
      <w:r w:rsidR="00BC440B">
        <w:rPr>
          <w:noProof/>
        </w:rPr>
        <w:fldChar w:fldCharType="separate"/>
      </w:r>
      <w:r w:rsidR="00137FF1">
        <w:rPr>
          <w:noProof/>
        </w:rPr>
        <w:t>1</w:t>
      </w:r>
      <w:r w:rsidR="00BC440B">
        <w:rPr>
          <w:noProof/>
        </w:rPr>
        <w:fldChar w:fldCharType="end"/>
      </w:r>
      <w:r>
        <w:t xml:space="preserve">: The influence of students and marketing-related experts in determining L&amp;T website information </w:t>
      </w:r>
      <w:r>
        <w:rPr>
          <w:noProof/>
        </w:rPr>
        <w:t>(based on Hosein and Rao 2015; NUS 2012; QAA 2013a; b; c; Rao and Hosein 2017)</w:t>
      </w:r>
    </w:p>
    <w:p w14:paraId="4E22ADF4" w14:textId="77777777" w:rsidR="00A101B9" w:rsidRDefault="00A101B9">
      <w:pPr>
        <w:spacing w:line="240" w:lineRule="auto"/>
      </w:pPr>
      <w:r>
        <w:br w:type="page"/>
      </w:r>
    </w:p>
    <w:p w14:paraId="23784774" w14:textId="77777777" w:rsidR="000948D4" w:rsidRDefault="00A101B9" w:rsidP="00D839E1">
      <w:pPr>
        <w:spacing w:line="240" w:lineRule="auto"/>
      </w:pPr>
      <w:r>
        <w:rPr>
          <w:noProof/>
        </w:rPr>
        <w:lastRenderedPageBreak/>
        <mc:AlternateContent>
          <mc:Choice Requires="wps">
            <w:drawing>
              <wp:anchor distT="0" distB="0" distL="114300" distR="114300" simplePos="0" relativeHeight="251660288" behindDoc="0" locked="0" layoutInCell="1" allowOverlap="1" wp14:anchorId="0D6C3FC1" wp14:editId="0CD679AD">
                <wp:simplePos x="0" y="0"/>
                <wp:positionH relativeFrom="column">
                  <wp:posOffset>0</wp:posOffset>
                </wp:positionH>
                <wp:positionV relativeFrom="paragraph">
                  <wp:posOffset>2468880</wp:posOffset>
                </wp:positionV>
                <wp:extent cx="4944745" cy="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944745" cy="635"/>
                        </a:xfrm>
                        <a:prstGeom prst="rect">
                          <a:avLst/>
                        </a:prstGeom>
                        <a:solidFill>
                          <a:prstClr val="white"/>
                        </a:solidFill>
                        <a:ln>
                          <a:noFill/>
                        </a:ln>
                      </wps:spPr>
                      <wps:txbx>
                        <w:txbxContent>
                          <w:p w14:paraId="1FB2AA20" w14:textId="6A582A21" w:rsidR="00287D76" w:rsidRPr="00B33C01" w:rsidRDefault="00287D76" w:rsidP="00C350DF">
                            <w:pPr>
                              <w:pStyle w:val="Figurecaption"/>
                              <w:rPr>
                                <w:noProof/>
                              </w:rPr>
                            </w:pPr>
                            <w:bookmarkStart w:id="12" w:name="_Ref27263313"/>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2"/>
                            <w:r>
                              <w:t>: Availability of L&amp;T Information and Student Satisfaction</w:t>
                            </w:r>
                            <w:r>
                              <w:rPr>
                                <w:noProof/>
                              </w:rPr>
                              <w:t xml:space="preserve">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D6C3FC1" id="_x0000_t202" coordsize="21600,21600" o:spt="202" path="m,l,21600r21600,l21600,xe">
                <v:stroke joinstyle="miter"/>
                <v:path gradientshapeok="t" o:connecttype="rect"/>
              </v:shapetype>
              <v:shape id="Text Box 17" o:spid="_x0000_s1026" type="#_x0000_t202" style="position:absolute;margin-left:0;margin-top:194.4pt;width:389.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TGLQIAAF8EAAAOAAAAZHJzL2Uyb0RvYy54bWysVE2P2jAQvVfqf7B8L4Et+1FEWFFWVJXQ&#10;7kpQ7dk4Dolke9yxIaG/vmMnYdttT1UvZjzz/Jw3b8z8vjWanRT6GmzOJ6MxZ8pKKGp7yPm33frD&#10;HWc+CFsIDVbl/Kw8v1+8fzdv3ExdQQW6UMiIxPpZ43JeheBmWeZlpYzwI3DKUrEENCLQFg9ZgaIh&#10;dqOzq/H4JmsAC4cglfeUfeiKfJH4y1LJ8FSWXgWmc07fFtKKad3HNVvMxeyAwlW17D9D/MNXGFFb&#10;uvRC9SCCYEes/6AytUTwUIaRBJNBWdZSJQ2kZjJ+o2ZbCaeSFmqOd5c2+f9HKx9Pz8jqgry75cwK&#10;Qx7tVBvYZ2gZpag/jfMzgm0dAUNLecIOeU/JKLst0cRfEsSoTp0+X7ob2SQlp5+m09vpNWeSajcf&#10;ryNH9nrUoQ9fFBgWg5wjWZc6Kk4bHzroAIk3edB1sa61jptYWGlkJ0E2N1UdVE/+G0rbiLUQT3WE&#10;MZNFfZ2OGIV23/ai91CcSTNCNzXeyXVNF22ED88CaUxIJo1+eKKl1NDkHPqIswrwx9/yEU/uUZWz&#10;hsYu5/77UaDiTH+15Guc0SHAIdgPgT2aFZDECT0qJ1NIBzDoISwRzAu9iGW8hUrCSror52EIV6Eb&#10;fnpRUi2XCUST6ETY2K2TkXpo6K59Eeh6OwK5+AjDQIrZG1c6bPLFLY+BWpwsiw3tutj3maY4md6/&#10;uPhMft0n1Ov/wuInAAAA//8DAFBLAwQUAAYACAAAACEA/02Vzt8AAAAIAQAADwAAAGRycy9kb3du&#10;cmV2LnhtbEyPwU7DMAyG70i8Q2QkLoilsGktpek0TXCAy0TZhVvWeE2hcaom3crbY3aBo/1bv7+v&#10;WE2uE0ccQutJwd0sAYFUe9NSo2D3/nybgQhRk9GdJ1TwjQFW5eVFoXPjT/SGxyo2gkso5FqBjbHP&#10;pQy1RafDzPdInB384HTkcWikGfSJy10n75NkKZ1uiT9Y3ePGYv1VjU7BdvGxtTfj4el1vZgPL7tx&#10;s/xsKqWur6b1I4iIU/w7hl98RoeSmfZ+JBNEp4BFooJ5lrEAx2mapSD2580DyLKQ/wXKHwAAAP//&#10;AwBQSwECLQAUAAYACAAAACEAtoM4kv4AAADhAQAAEwAAAAAAAAAAAAAAAAAAAAAAW0NvbnRlbnRf&#10;VHlwZXNdLnhtbFBLAQItABQABgAIAAAAIQA4/SH/1gAAAJQBAAALAAAAAAAAAAAAAAAAAC8BAABf&#10;cmVscy8ucmVsc1BLAQItABQABgAIAAAAIQCS4VTGLQIAAF8EAAAOAAAAAAAAAAAAAAAAAC4CAABk&#10;cnMvZTJvRG9jLnhtbFBLAQItABQABgAIAAAAIQD/TZXO3wAAAAgBAAAPAAAAAAAAAAAAAAAAAIcE&#10;AABkcnMvZG93bnJldi54bWxQSwUGAAAAAAQABADzAAAAkwUAAAAA&#10;" stroked="f">
                <v:textbox style="mso-fit-shape-to-text:t" inset="0,0,0,0">
                  <w:txbxContent>
                    <w:p w14:paraId="1FB2AA20" w14:textId="6A582A21" w:rsidR="00287D76" w:rsidRPr="00B33C01" w:rsidRDefault="00287D76" w:rsidP="00C350DF">
                      <w:pPr>
                        <w:pStyle w:val="Figurecaption"/>
                        <w:rPr>
                          <w:noProof/>
                        </w:rPr>
                      </w:pPr>
                      <w:bookmarkStart w:id="13" w:name="_Ref27263313"/>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3"/>
                      <w:r>
                        <w:t>: Availability of L&amp;T Information and Student Satisfaction</w:t>
                      </w:r>
                      <w:r>
                        <w:rPr>
                          <w:noProof/>
                        </w:rPr>
                        <w:t xml:space="preserve"> Model</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1B069BEB" wp14:editId="67985771">
                <wp:simplePos x="0" y="0"/>
                <wp:positionH relativeFrom="column">
                  <wp:posOffset>0</wp:posOffset>
                </wp:positionH>
                <wp:positionV relativeFrom="paragraph">
                  <wp:posOffset>-635</wp:posOffset>
                </wp:positionV>
                <wp:extent cx="4944793" cy="2412608"/>
                <wp:effectExtent l="0" t="0" r="27305" b="26035"/>
                <wp:wrapNone/>
                <wp:docPr id="10" name="Group 10"/>
                <wp:cNvGraphicFramePr/>
                <a:graphic xmlns:a="http://schemas.openxmlformats.org/drawingml/2006/main">
                  <a:graphicData uri="http://schemas.microsoft.com/office/word/2010/wordprocessingGroup">
                    <wpg:wgp>
                      <wpg:cNvGrpSpPr/>
                      <wpg:grpSpPr>
                        <a:xfrm>
                          <a:off x="0" y="0"/>
                          <a:ext cx="4944793" cy="2412608"/>
                          <a:chOff x="0" y="0"/>
                          <a:chExt cx="4944793" cy="2412608"/>
                        </a:xfrm>
                      </wpg:grpSpPr>
                      <wps:wsp>
                        <wps:cNvPr id="11" name="Text Box 11"/>
                        <wps:cNvSpPr txBox="1"/>
                        <wps:spPr>
                          <a:xfrm>
                            <a:off x="0" y="91440"/>
                            <a:ext cx="1195753" cy="808892"/>
                          </a:xfrm>
                          <a:prstGeom prst="rect">
                            <a:avLst/>
                          </a:prstGeom>
                          <a:solidFill>
                            <a:schemeClr val="lt1"/>
                          </a:solidFill>
                          <a:ln w="6350">
                            <a:solidFill>
                              <a:prstClr val="black"/>
                            </a:solidFill>
                          </a:ln>
                        </wps:spPr>
                        <wps:txbx>
                          <w:txbxContent>
                            <w:p w14:paraId="2D764CEF" w14:textId="77777777" w:rsidR="00287D76" w:rsidRDefault="00287D76" w:rsidP="00C350DF">
                              <w:r>
                                <w:t>Current Student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976510" y="1603716"/>
                            <a:ext cx="1195753" cy="808892"/>
                          </a:xfrm>
                          <a:prstGeom prst="rect">
                            <a:avLst/>
                          </a:prstGeom>
                          <a:solidFill>
                            <a:schemeClr val="lt1"/>
                          </a:solidFill>
                          <a:ln w="6350">
                            <a:solidFill>
                              <a:prstClr val="black"/>
                            </a:solidFill>
                          </a:ln>
                        </wps:spPr>
                        <wps:txbx>
                          <w:txbxContent>
                            <w:p w14:paraId="6DD4BE8B" w14:textId="77777777" w:rsidR="00287D76" w:rsidRDefault="00287D76" w:rsidP="00C350DF">
                              <w:r>
                                <w:t>L&amp;T Information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749040" y="0"/>
                            <a:ext cx="1195753" cy="808892"/>
                          </a:xfrm>
                          <a:prstGeom prst="rect">
                            <a:avLst/>
                          </a:prstGeom>
                          <a:solidFill>
                            <a:schemeClr val="lt1"/>
                          </a:solidFill>
                          <a:ln w="6350">
                            <a:solidFill>
                              <a:prstClr val="black"/>
                            </a:solidFill>
                          </a:ln>
                        </wps:spPr>
                        <wps:txbx>
                          <w:txbxContent>
                            <w:p w14:paraId="092D82E1" w14:textId="77777777" w:rsidR="00287D76" w:rsidRDefault="00287D76" w:rsidP="00C350DF">
                              <w:r>
                                <w:t>Future Student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1195753" y="444011"/>
                            <a:ext cx="2567402" cy="140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597876" y="900332"/>
                            <a:ext cx="1378634" cy="1168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3186332" y="783687"/>
                            <a:ext cx="1062111" cy="12617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069BEB" id="Group 10" o:spid="_x0000_s1027" style="position:absolute;margin-left:0;margin-top:-.05pt;width:389.35pt;height:189.95pt;z-index:251659264" coordsize="49447,2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5N1OwQAALYTAAAOAAAAZHJzL2Uyb0RvYy54bWzsWF1v2zYUfR+w/0DofbGobwlxCs9tggFB&#10;GyzZ+kzLlC2MIjWSjuT++l2SkmwnDdq0QDGkebFF8vLy8vDcyyOdv+kbhu6pVLXgcw+f+R6ivBTr&#10;mm/m3l93l79lHlKa8DVhgtO5t6fKe3Px6y/nXVvQQGwFW1OJwAlXRdfOva3WbTGbqXJLG6LOREs5&#10;DFZCNkRDU25ma0k68N6wWeD7yawTct1KUVKloPetG/QurP+qoqX+UFWKasTmHsSm7a+0vyvzO7s4&#10;J8VGknZbl0MY5BuiaEjNYdHJ1VuiCdrJ+pGrpi6lUKLSZ6VoZqKq6pLaPcBusP9gN1dS7Fq7l03R&#10;bdoJJoD2AU7f7LZ8f38jUb2GswN4OGngjOyyCNoATtduCrC5ku1teyOHjo1rmf32lWzMP+wE9RbW&#10;/QQr7TUqoTPKoyjNQw+VMBZEOEj8zAFfbuF0Hs0rt+++MHM2Ljwz8U3hdC2QSB1wUt+H0+2WtNTC&#10;rwwGI054xOnObPB30SOMHVTWzOCEdA/9gOnYr6DzSbhyHEUDE0fIMM7jNB4gy/wsywPjato3KVqp&#10;9BUVDTIPc08C0y0Byf210s50NDELK8Hq9WXNmG2Y7KJLJtE9gbxg2sYJzk+sGEfd3EvC2LeOT8aM&#10;62n+ipHynyG8IyvwxzjEbE7F7d886X7VO76N2KzEeg+QSeGSU7XlZQ3ur4nSN0RCNgIxocLoD/BT&#10;MQExieHJQ1shP32u39jD4cOohzrI7rmn/t0RST3E/uBACwc50rYRxWkAa8jjkdXxCN81SwFAwclD&#10;dPbR2Gs2PlZSNB+hEC3MqjBEeAlrzz09Pi61qzlQyEq6WFgjKAAt0df8ti2Na3MwBta7/iOR7XCs&#10;GgjxXoxEJMWD03W2ZiYXi50WVW2P3uDsUB3gh6QwqfwjsiN4nB2WumZ1SKLnZAfO0yQ2ZQnKBk78&#10;MMWJ4QwpfqIsmbB7zZKXlCVQ2d1de7hDwrEePjNLwjTKfbg/TJb8fLfIhNprfryk/IjG/LjVktSb&#10;rUYLKUWHloJzUDpCIhwd5cuSD9p0VBqjPpyE6SSoIEsikFtOsh2ukiBO0siHy8toVBz5iVWoT+st&#10;NcQ1BeQu8Af3sxFo5sIyOogUmtTsHV8jvW9BZWtZE75h1Gzj81JJ6T2jbvqftALRZBWl6bCvRwcB&#10;R8qS8knEMQ7WxqoCuTdNHETcqfI7nTjYm6nUvjo9Z/I0w64suJ4mNzUX0knI09V1P+rOytmPYtHt&#10;+6BiDEKDevlRMib+MgHjZxEwztMsTWyVzn0/DO3FfuAfDtMsCYH2ln84yXBs/b8y0PH+K+j7whgI&#10;XHES4ekSaOXwIKyfKIGoYnX79/h+Mbylhxi4Bgw0kiHNwiRLDZWPyOgnAYYK6cgYJDjNbbV9JeP/&#10;j4z2Cwh8HLKXyPAhy3x9Om7b8nn43HbxHwAAAP//AwBQSwMEFAAGAAgAAAAhAOpMAgreAAAABgEA&#10;AA8AAABkcnMvZG93bnJldi54bWxMj0FLw0AUhO+C/2F5grd2E4smTfNSSlFPRbAVxNs2+5qEZt+G&#10;7DZJ/73ryR6HGWa+ydeTacVAvWssI8TzCARxaXXDFcLX4W2WgnBesVatZUK4koN1cX+Xq0zbkT9p&#10;2PtKhBJ2mUKove8yKV1Zk1Fubjvi4J1sb5QPsq+k7tUYyk0rn6LoRRrVcFioVUfbmsrz/mIQ3kc1&#10;bhbx67A7n7bXn8Pzx/cuJsTHh2mzAuFp8v9h+MMP6FAEpqO9sHaiRQhHPMIsBhHMJEkTEEeERbJM&#10;QRa5vMUvfgEAAP//AwBQSwECLQAUAAYACAAAACEAtoM4kv4AAADhAQAAEwAAAAAAAAAAAAAAAAAA&#10;AAAAW0NvbnRlbnRfVHlwZXNdLnhtbFBLAQItABQABgAIAAAAIQA4/SH/1gAAAJQBAAALAAAAAAAA&#10;AAAAAAAAAC8BAABfcmVscy8ucmVsc1BLAQItABQABgAIAAAAIQA0Y5N1OwQAALYTAAAOAAAAAAAA&#10;AAAAAAAAAC4CAABkcnMvZTJvRG9jLnhtbFBLAQItABQABgAIAAAAIQDqTAIK3gAAAAYBAAAPAAAA&#10;AAAAAAAAAAAAAJUGAABkcnMvZG93bnJldi54bWxQSwUGAAAAAAQABADzAAAAoAcAAAAA&#10;">
                <v:shape id="Text Box 11" o:spid="_x0000_s1028" type="#_x0000_t202" style="position:absolute;top:914;width:11957;height:8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2D764CEF" w14:textId="77777777" w:rsidR="00287D76" w:rsidRDefault="00287D76" w:rsidP="00C350DF">
                        <w:r>
                          <w:t>Current Student Satisfaction</w:t>
                        </w:r>
                      </w:p>
                    </w:txbxContent>
                  </v:textbox>
                </v:shape>
                <v:shape id="Text Box 12" o:spid="_x0000_s1029" type="#_x0000_t202" style="position:absolute;left:19765;top:16037;width:11957;height:8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6DD4BE8B" w14:textId="77777777" w:rsidR="00287D76" w:rsidRDefault="00287D76" w:rsidP="00C350DF">
                        <w:r>
                          <w:t>L&amp;T Information Availability</w:t>
                        </w:r>
                      </w:p>
                    </w:txbxContent>
                  </v:textbox>
                </v:shape>
                <v:shape id="Text Box 13" o:spid="_x0000_s1030" type="#_x0000_t202" style="position:absolute;left:37490;width:11957;height:8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92D82E1" w14:textId="77777777" w:rsidR="00287D76" w:rsidRDefault="00287D76" w:rsidP="00C350DF">
                        <w:r>
                          <w:t>Future Student Satisfaction</w:t>
                        </w:r>
                      </w:p>
                    </w:txbxContent>
                  </v:textbox>
                </v:shape>
                <v:shapetype id="_x0000_t32" coordsize="21600,21600" o:spt="32" o:oned="t" path="m,l21600,21600e" filled="f">
                  <v:path arrowok="t" fillok="f" o:connecttype="none"/>
                  <o:lock v:ext="edit" shapetype="t"/>
                </v:shapetype>
                <v:shape id="Straight Arrow Connector 14" o:spid="_x0000_s1031" type="#_x0000_t32" style="position:absolute;left:11957;top:4440;width:2567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4472c4 [3204]" strokeweight=".5pt">
                  <v:stroke endarrow="block" joinstyle="miter"/>
                </v:shape>
                <v:shape id="Straight Arrow Connector 15" o:spid="_x0000_s1032" type="#_x0000_t32" style="position:absolute;left:5978;top:9003;width:13787;height:11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4472c4 [3204]" strokeweight=".5pt">
                  <v:stroke endarrow="block" joinstyle="miter"/>
                </v:shape>
                <v:shape id="Straight Arrow Connector 16" o:spid="_x0000_s1033" type="#_x0000_t32" style="position:absolute;left:31863;top:7836;width:10621;height:126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strokecolor="#4472c4 [3204]" strokeweight=".5pt">
                  <v:stroke endarrow="block" joinstyle="miter"/>
                </v:shape>
              </v:group>
            </w:pict>
          </mc:Fallback>
        </mc:AlternateContent>
      </w:r>
    </w:p>
    <w:sectPr w:rsidR="000948D4" w:rsidSect="00C350DF">
      <w:pgSz w:w="11900" w:h="16840"/>
      <w:pgMar w:top="1440" w:right="1797" w:bottom="1440" w:left="179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80A0" w14:textId="77777777" w:rsidR="007F4ED6" w:rsidRDefault="007F4ED6" w:rsidP="00A101B9">
      <w:pPr>
        <w:spacing w:line="240" w:lineRule="auto"/>
      </w:pPr>
      <w:r>
        <w:separator/>
      </w:r>
    </w:p>
  </w:endnote>
  <w:endnote w:type="continuationSeparator" w:id="0">
    <w:p w14:paraId="62C6C794" w14:textId="77777777" w:rsidR="007F4ED6" w:rsidRDefault="007F4ED6" w:rsidP="00A10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A859" w14:textId="77777777" w:rsidR="007F4ED6" w:rsidRDefault="007F4ED6" w:rsidP="00A101B9">
      <w:pPr>
        <w:spacing w:line="240" w:lineRule="auto"/>
      </w:pPr>
      <w:r>
        <w:separator/>
      </w:r>
    </w:p>
  </w:footnote>
  <w:footnote w:type="continuationSeparator" w:id="0">
    <w:p w14:paraId="77B2E2C3" w14:textId="77777777" w:rsidR="007F4ED6" w:rsidRDefault="007F4ED6" w:rsidP="00A101B9">
      <w:pPr>
        <w:spacing w:line="240" w:lineRule="auto"/>
      </w:pPr>
      <w:r>
        <w:continuationSeparator/>
      </w:r>
    </w:p>
  </w:footnote>
  <w:footnote w:id="1">
    <w:p w14:paraId="3D69E416" w14:textId="77777777" w:rsidR="00287D76" w:rsidRDefault="00287D76">
      <w:pPr>
        <w:pStyle w:val="FootnoteText"/>
      </w:pPr>
      <w:r>
        <w:rPr>
          <w:rStyle w:val="FootnoteReference"/>
        </w:rPr>
        <w:footnoteRef/>
      </w:r>
      <w:r>
        <w:t xml:space="preserve"> The NSS datasets only provide the percentage of students in each of the Likert scale for example 60% answering 1 = definitely disagree. To calculate a scale value, the following equation is used:</w:t>
      </w:r>
    </w:p>
    <w:p w14:paraId="225FE886" w14:textId="77777777" w:rsidR="00287D76" w:rsidRPr="00782691" w:rsidRDefault="00287D76">
      <w:pPr>
        <w:pStyle w:val="FootnoteText"/>
      </w:pPr>
      <m:oMathPara>
        <m:oMath>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5</m:t>
                      </m:r>
                    </m:sup>
                    <m:e>
                      <m:r>
                        <w:rPr>
                          <w:rFonts w:ascii="Cambria Math" w:hAnsi="Cambria Math"/>
                        </w:rPr>
                        <m:t>i</m:t>
                      </m:r>
                      <m:sSub>
                        <m:sSubPr>
                          <m:ctrlPr>
                            <w:rPr>
                              <w:rFonts w:ascii="Cambria Math" w:hAnsi="Cambria Math"/>
                              <w:i/>
                            </w:rPr>
                          </m:ctrlPr>
                        </m:sSubPr>
                        <m:e>
                          <m:r>
                            <w:rPr>
                              <w:rFonts w:ascii="Cambria Math" w:hAnsi="Cambria Math"/>
                            </w:rPr>
                            <m:t>P</m:t>
                          </m:r>
                        </m:e>
                        <m:sub>
                          <m:r>
                            <w:rPr>
                              <w:rFonts w:ascii="Cambria Math" w:hAnsi="Cambria Math"/>
                            </w:rPr>
                            <m:t>ij</m:t>
                          </m:r>
                        </m:sub>
                      </m:sSub>
                    </m:e>
                  </m:nary>
                </m:e>
              </m:nary>
            </m:num>
            <m:den>
              <m:r>
                <w:rPr>
                  <w:rFonts w:ascii="Cambria Math" w:hAnsi="Cambria Math"/>
                </w:rPr>
                <m:t>n</m:t>
              </m:r>
            </m:den>
          </m:f>
        </m:oMath>
      </m:oMathPara>
    </w:p>
    <w:p w14:paraId="54682FED" w14:textId="77777777" w:rsidR="00287D76" w:rsidRDefault="00287D76">
      <w:pPr>
        <w:pStyle w:val="FootnoteText"/>
      </w:pPr>
      <w:r>
        <w:t xml:space="preserve">Where </w:t>
      </w:r>
    </w:p>
    <w:p w14:paraId="3C03695F" w14:textId="77777777" w:rsidR="00287D76" w:rsidRDefault="00287D76">
      <w:pPr>
        <w:pStyle w:val="FootnoteText"/>
      </w:pPr>
      <w:r w:rsidRPr="00782691">
        <w:rPr>
          <w:i/>
        </w:rPr>
        <w:t>i</w:t>
      </w:r>
      <w:r>
        <w:t xml:space="preserve"> = Likert scale number</w:t>
      </w:r>
    </w:p>
    <w:p w14:paraId="69EE25EB" w14:textId="77777777" w:rsidR="00287D76" w:rsidRDefault="00287D76">
      <w:pPr>
        <w:pStyle w:val="FootnoteText"/>
      </w:pPr>
      <w:r w:rsidRPr="00782691">
        <w:rPr>
          <w:i/>
        </w:rPr>
        <w:t>j</w:t>
      </w:r>
      <w:r>
        <w:t xml:space="preserve"> = Item in NSS scale</w:t>
      </w:r>
    </w:p>
    <w:p w14:paraId="7031A25A" w14:textId="77777777" w:rsidR="00287D76" w:rsidRDefault="00287D76">
      <w:pPr>
        <w:pStyle w:val="FootnoteText"/>
      </w:pPr>
      <w:r>
        <w:rPr>
          <w:i/>
        </w:rPr>
        <w:t xml:space="preserve">n = </w:t>
      </w:r>
      <w:r>
        <w:t>Total number of items in a NSS scale</w:t>
      </w:r>
    </w:p>
    <w:p w14:paraId="3B2E4BCF" w14:textId="77777777" w:rsidR="00287D76" w:rsidRDefault="00287D76">
      <w:pPr>
        <w:pStyle w:val="FootnoteText"/>
      </w:pPr>
      <w:r>
        <w:rPr>
          <w:i/>
        </w:rPr>
        <w:t>P =</w:t>
      </w:r>
      <w:r>
        <w:t xml:space="preserve"> Percentage of students </w:t>
      </w:r>
    </w:p>
    <w:p w14:paraId="7A1F1A70" w14:textId="77777777" w:rsidR="00287D76" w:rsidRPr="002A5B9B" w:rsidRDefault="00287D76" w:rsidP="00C35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AE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F865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E02C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1EE3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924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2A4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D896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28E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DAB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FE4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16DDA"/>
    <w:multiLevelType w:val="hybridMultilevel"/>
    <w:tmpl w:val="1D800F6E"/>
    <w:lvl w:ilvl="0" w:tplc="6BC6110C">
      <w:start w:val="1"/>
      <w:numFmt w:val="decimal"/>
      <w:lvlText w:val="%1)"/>
      <w:lvlJc w:val="left"/>
      <w:pPr>
        <w:ind w:left="1498" w:hanging="360"/>
      </w:pPr>
      <w:rPr>
        <w:rFonts w:hint="default"/>
      </w:rPr>
    </w:lvl>
    <w:lvl w:ilvl="1" w:tplc="08090019" w:tentative="1">
      <w:start w:val="1"/>
      <w:numFmt w:val="lowerLetter"/>
      <w:lvlText w:val="%2."/>
      <w:lvlJc w:val="left"/>
      <w:pPr>
        <w:ind w:left="1798" w:hanging="360"/>
      </w:pPr>
    </w:lvl>
    <w:lvl w:ilvl="2" w:tplc="0809001B" w:tentative="1">
      <w:start w:val="1"/>
      <w:numFmt w:val="lowerRoman"/>
      <w:lvlText w:val="%3."/>
      <w:lvlJc w:val="right"/>
      <w:pPr>
        <w:ind w:left="2518" w:hanging="180"/>
      </w:pPr>
    </w:lvl>
    <w:lvl w:ilvl="3" w:tplc="0809000F" w:tentative="1">
      <w:start w:val="1"/>
      <w:numFmt w:val="decimal"/>
      <w:lvlText w:val="%4."/>
      <w:lvlJc w:val="left"/>
      <w:pPr>
        <w:ind w:left="3238" w:hanging="360"/>
      </w:pPr>
    </w:lvl>
    <w:lvl w:ilvl="4" w:tplc="08090019" w:tentative="1">
      <w:start w:val="1"/>
      <w:numFmt w:val="lowerLetter"/>
      <w:lvlText w:val="%5."/>
      <w:lvlJc w:val="left"/>
      <w:pPr>
        <w:ind w:left="3958" w:hanging="360"/>
      </w:pPr>
    </w:lvl>
    <w:lvl w:ilvl="5" w:tplc="0809001B" w:tentative="1">
      <w:start w:val="1"/>
      <w:numFmt w:val="lowerRoman"/>
      <w:lvlText w:val="%6."/>
      <w:lvlJc w:val="right"/>
      <w:pPr>
        <w:ind w:left="4678" w:hanging="180"/>
      </w:pPr>
    </w:lvl>
    <w:lvl w:ilvl="6" w:tplc="0809000F" w:tentative="1">
      <w:start w:val="1"/>
      <w:numFmt w:val="decimal"/>
      <w:lvlText w:val="%7."/>
      <w:lvlJc w:val="left"/>
      <w:pPr>
        <w:ind w:left="5398" w:hanging="360"/>
      </w:pPr>
    </w:lvl>
    <w:lvl w:ilvl="7" w:tplc="08090019" w:tentative="1">
      <w:start w:val="1"/>
      <w:numFmt w:val="lowerLetter"/>
      <w:lvlText w:val="%8."/>
      <w:lvlJc w:val="left"/>
      <w:pPr>
        <w:ind w:left="6118" w:hanging="360"/>
      </w:pPr>
    </w:lvl>
    <w:lvl w:ilvl="8" w:tplc="0809001B" w:tentative="1">
      <w:start w:val="1"/>
      <w:numFmt w:val="lowerRoman"/>
      <w:lvlText w:val="%9."/>
      <w:lvlJc w:val="right"/>
      <w:pPr>
        <w:ind w:left="6838" w:hanging="180"/>
      </w:pPr>
    </w:lvl>
  </w:abstractNum>
  <w:abstractNum w:abstractNumId="11" w15:restartNumberingAfterBreak="0">
    <w:nsid w:val="270D4D63"/>
    <w:multiLevelType w:val="hybridMultilevel"/>
    <w:tmpl w:val="09C2B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F2E21"/>
    <w:multiLevelType w:val="multilevel"/>
    <w:tmpl w:val="709454F8"/>
    <w:styleLink w:val="111111"/>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851"/>
        </w:tabs>
        <w:ind w:left="0" w:firstLine="0"/>
      </w:pPr>
      <w:rPr>
        <w:rFonts w:hint="default"/>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851"/>
        </w:tabs>
        <w:ind w:left="0" w:firstLine="0"/>
      </w:pPr>
      <w:rPr>
        <w:rFonts w:hint="default"/>
      </w:rPr>
    </w:lvl>
    <w:lvl w:ilvl="6">
      <w:start w:val="1"/>
      <w:numFmt w:val="decimal"/>
      <w:lvlText w:val="%1.%2.%3.%4.%5.%6.%7."/>
      <w:lvlJc w:val="left"/>
      <w:pPr>
        <w:tabs>
          <w:tab w:val="num" w:pos="851"/>
        </w:tabs>
        <w:ind w:left="0" w:firstLine="0"/>
      </w:pPr>
      <w:rPr>
        <w:rFonts w:hint="default"/>
      </w:rPr>
    </w:lvl>
    <w:lvl w:ilvl="7">
      <w:start w:val="1"/>
      <w:numFmt w:val="decimal"/>
      <w:lvlText w:val="%1.%2.%3.%4.%5.%6.%7.%8."/>
      <w:lvlJc w:val="left"/>
      <w:pPr>
        <w:tabs>
          <w:tab w:val="num" w:pos="851"/>
        </w:tabs>
        <w:ind w:left="0" w:firstLine="0"/>
      </w:pPr>
      <w:rPr>
        <w:rFonts w:hint="default"/>
      </w:rPr>
    </w:lvl>
    <w:lvl w:ilvl="8">
      <w:start w:val="1"/>
      <w:numFmt w:val="decimal"/>
      <w:lvlText w:val="%1.%2.%3.%4.%5.%6.%7.%8.%9."/>
      <w:lvlJc w:val="left"/>
      <w:pPr>
        <w:tabs>
          <w:tab w:val="num" w:pos="851"/>
        </w:tabs>
        <w:ind w:left="0" w:firstLine="0"/>
      </w:pPr>
      <w:rPr>
        <w:rFonts w:hint="default"/>
      </w:rPr>
    </w:lvl>
  </w:abstractNum>
  <w:abstractNum w:abstractNumId="1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439D5"/>
    <w:multiLevelType w:val="hybridMultilevel"/>
    <w:tmpl w:val="7C1E1B1C"/>
    <w:lvl w:ilvl="0" w:tplc="55D89116">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30183"/>
    <w:multiLevelType w:val="hybridMultilevel"/>
    <w:tmpl w:val="487AE73E"/>
    <w:lvl w:ilvl="0" w:tplc="55D89116">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132B85"/>
    <w:multiLevelType w:val="hybridMultilevel"/>
    <w:tmpl w:val="069E264A"/>
    <w:lvl w:ilvl="0" w:tplc="4D6A5D4C">
      <w:start w:val="1"/>
      <w:numFmt w:val="bullet"/>
      <w:pStyle w:val="BulletedList0"/>
      <w:lvlText w:val=""/>
      <w:lvlJc w:val="left"/>
      <w:pPr>
        <w:ind w:left="720" w:hanging="360"/>
      </w:pPr>
      <w:rPr>
        <w:rFonts w:ascii="Symbol" w:hAnsi="Symbol" w:hint="default"/>
      </w:rPr>
    </w:lvl>
    <w:lvl w:ilvl="1" w:tplc="CEC287B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A1F95"/>
    <w:multiLevelType w:val="hybridMultilevel"/>
    <w:tmpl w:val="8CF63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105AB4"/>
    <w:multiLevelType w:val="multilevel"/>
    <w:tmpl w:val="28E065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9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20" w15:restartNumberingAfterBreak="0">
    <w:nsid w:val="6B4344C1"/>
    <w:multiLevelType w:val="hybridMultilevel"/>
    <w:tmpl w:val="62F2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B1235"/>
    <w:multiLevelType w:val="hybridMultilevel"/>
    <w:tmpl w:val="61AEB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A6284B"/>
    <w:multiLevelType w:val="hybridMultilevel"/>
    <w:tmpl w:val="1D42C134"/>
    <w:lvl w:ilvl="0" w:tplc="89C0040A">
      <w:start w:val="1"/>
      <w:numFmt w:val="decimal"/>
      <w:lvlText w:val="%1."/>
      <w:lvlJc w:val="left"/>
      <w:pPr>
        <w:tabs>
          <w:tab w:val="num" w:pos="720"/>
        </w:tabs>
        <w:ind w:left="720" w:hanging="360"/>
      </w:pPr>
    </w:lvl>
    <w:lvl w:ilvl="1" w:tplc="5F48BAC2" w:tentative="1">
      <w:start w:val="1"/>
      <w:numFmt w:val="decimal"/>
      <w:lvlText w:val="%2."/>
      <w:lvlJc w:val="left"/>
      <w:pPr>
        <w:tabs>
          <w:tab w:val="num" w:pos="1440"/>
        </w:tabs>
        <w:ind w:left="1440" w:hanging="360"/>
      </w:pPr>
    </w:lvl>
    <w:lvl w:ilvl="2" w:tplc="4566B2FA" w:tentative="1">
      <w:start w:val="1"/>
      <w:numFmt w:val="decimal"/>
      <w:lvlText w:val="%3."/>
      <w:lvlJc w:val="left"/>
      <w:pPr>
        <w:tabs>
          <w:tab w:val="num" w:pos="2160"/>
        </w:tabs>
        <w:ind w:left="2160" w:hanging="360"/>
      </w:pPr>
    </w:lvl>
    <w:lvl w:ilvl="3" w:tplc="D7127454" w:tentative="1">
      <w:start w:val="1"/>
      <w:numFmt w:val="decimal"/>
      <w:lvlText w:val="%4."/>
      <w:lvlJc w:val="left"/>
      <w:pPr>
        <w:tabs>
          <w:tab w:val="num" w:pos="2880"/>
        </w:tabs>
        <w:ind w:left="2880" w:hanging="360"/>
      </w:pPr>
    </w:lvl>
    <w:lvl w:ilvl="4" w:tplc="26725E3C" w:tentative="1">
      <w:start w:val="1"/>
      <w:numFmt w:val="decimal"/>
      <w:lvlText w:val="%5."/>
      <w:lvlJc w:val="left"/>
      <w:pPr>
        <w:tabs>
          <w:tab w:val="num" w:pos="3600"/>
        </w:tabs>
        <w:ind w:left="3600" w:hanging="360"/>
      </w:pPr>
    </w:lvl>
    <w:lvl w:ilvl="5" w:tplc="904E7C2E" w:tentative="1">
      <w:start w:val="1"/>
      <w:numFmt w:val="decimal"/>
      <w:lvlText w:val="%6."/>
      <w:lvlJc w:val="left"/>
      <w:pPr>
        <w:tabs>
          <w:tab w:val="num" w:pos="4320"/>
        </w:tabs>
        <w:ind w:left="4320" w:hanging="360"/>
      </w:pPr>
    </w:lvl>
    <w:lvl w:ilvl="6" w:tplc="5D7A7174" w:tentative="1">
      <w:start w:val="1"/>
      <w:numFmt w:val="decimal"/>
      <w:lvlText w:val="%7."/>
      <w:lvlJc w:val="left"/>
      <w:pPr>
        <w:tabs>
          <w:tab w:val="num" w:pos="5040"/>
        </w:tabs>
        <w:ind w:left="5040" w:hanging="360"/>
      </w:pPr>
    </w:lvl>
    <w:lvl w:ilvl="7" w:tplc="FBC69268" w:tentative="1">
      <w:start w:val="1"/>
      <w:numFmt w:val="decimal"/>
      <w:lvlText w:val="%8."/>
      <w:lvlJc w:val="left"/>
      <w:pPr>
        <w:tabs>
          <w:tab w:val="num" w:pos="5760"/>
        </w:tabs>
        <w:ind w:left="5760" w:hanging="360"/>
      </w:pPr>
    </w:lvl>
    <w:lvl w:ilvl="8" w:tplc="0240C17E" w:tentative="1">
      <w:start w:val="1"/>
      <w:numFmt w:val="decimal"/>
      <w:lvlText w:val="%9."/>
      <w:lvlJc w:val="left"/>
      <w:pPr>
        <w:tabs>
          <w:tab w:val="num" w:pos="6480"/>
        </w:tabs>
        <w:ind w:left="6480" w:hanging="360"/>
      </w:pPr>
    </w:lvl>
  </w:abstractNum>
  <w:num w:numId="1">
    <w:abstractNumId w:val="19"/>
  </w:num>
  <w:num w:numId="2">
    <w:abstractNumId w:val="12"/>
  </w:num>
  <w:num w:numId="3">
    <w:abstractNumId w:val="17"/>
  </w:num>
  <w:num w:numId="4">
    <w:abstractNumId w:val="13"/>
  </w:num>
  <w:num w:numId="5">
    <w:abstractNumId w:val="15"/>
  </w:num>
  <w:num w:numId="6">
    <w:abstractNumId w:val="10"/>
  </w:num>
  <w:num w:numId="7">
    <w:abstractNumId w:val="22"/>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8"/>
  </w:num>
  <w:num w:numId="21">
    <w:abstractNumId w:val="14"/>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0sDQ3tTQ3MTEHYiUdpeDU4uLM/DyQArNaAGLiz+wsAAAA"/>
    <w:docVar w:name="EN.InstantFormat" w:val="&lt;ENInstantFormat&gt;&lt;Enabled&gt;1&lt;/Enabled&gt;&lt;ScanUnformatted&gt;1&lt;/ScanUnformatted&gt;&lt;ScanChanges&gt;1&lt;/ScanChanges&gt;&lt;Suspended&gt;1&lt;/Suspended&gt;&lt;/ENInstantFormat&gt;"/>
  </w:docVars>
  <w:rsids>
    <w:rsidRoot w:val="00A101B9"/>
    <w:rsid w:val="000948D4"/>
    <w:rsid w:val="000D465F"/>
    <w:rsid w:val="00137FF1"/>
    <w:rsid w:val="001B7454"/>
    <w:rsid w:val="00287D76"/>
    <w:rsid w:val="00350648"/>
    <w:rsid w:val="003613C1"/>
    <w:rsid w:val="004B4826"/>
    <w:rsid w:val="005C4C00"/>
    <w:rsid w:val="0063069D"/>
    <w:rsid w:val="00632E34"/>
    <w:rsid w:val="007004DD"/>
    <w:rsid w:val="007673DB"/>
    <w:rsid w:val="007B4DDF"/>
    <w:rsid w:val="007F4ED6"/>
    <w:rsid w:val="008D05D4"/>
    <w:rsid w:val="00972B6D"/>
    <w:rsid w:val="00995763"/>
    <w:rsid w:val="009C55EC"/>
    <w:rsid w:val="00A101B9"/>
    <w:rsid w:val="00A700F4"/>
    <w:rsid w:val="00AC52E3"/>
    <w:rsid w:val="00B5341A"/>
    <w:rsid w:val="00BC440B"/>
    <w:rsid w:val="00C350DF"/>
    <w:rsid w:val="00C51DE5"/>
    <w:rsid w:val="00C63A5D"/>
    <w:rsid w:val="00D839E1"/>
    <w:rsid w:val="00DD2AB8"/>
    <w:rsid w:val="00E82A69"/>
    <w:rsid w:val="00F0253A"/>
    <w:rsid w:val="00FE3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4128"/>
  <w15:chartTrackingRefBased/>
  <w15:docId w15:val="{C3F5A67D-9223-45B1-8899-3B442086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B9"/>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A101B9"/>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A101B9"/>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A101B9"/>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A101B9"/>
    <w:pPr>
      <w:spacing w:before="360"/>
      <w:outlineLvl w:val="3"/>
    </w:pPr>
    <w:rPr>
      <w:bCs/>
      <w:szCs w:val="28"/>
    </w:rPr>
  </w:style>
  <w:style w:type="paragraph" w:styleId="Heading5">
    <w:name w:val="heading 5"/>
    <w:basedOn w:val="Normal"/>
    <w:next w:val="Normal"/>
    <w:link w:val="Heading5Char"/>
    <w:rsid w:val="00A101B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101B9"/>
    <w:pPr>
      <w:keepNext/>
      <w:keepLines/>
      <w:tabs>
        <w:tab w:val="left" w:pos="851"/>
      </w:tabs>
      <w:spacing w:before="200"/>
      <w:outlineLvl w:val="5"/>
    </w:pPr>
    <w:rPr>
      <w:rFonts w:ascii="Arial" w:eastAsiaTheme="majorEastAsia" w:hAnsi="Arial" w:cstheme="majorBidi"/>
      <w:i/>
      <w:iCs/>
      <w:color w:val="1F3763" w:themeColor="accent1" w:themeShade="7F"/>
      <w:sz w:val="22"/>
    </w:rPr>
  </w:style>
  <w:style w:type="paragraph" w:styleId="Heading7">
    <w:name w:val="heading 7"/>
    <w:basedOn w:val="Normal"/>
    <w:next w:val="Normal"/>
    <w:link w:val="Heading7Char"/>
    <w:uiPriority w:val="9"/>
    <w:unhideWhenUsed/>
    <w:qFormat/>
    <w:rsid w:val="00A101B9"/>
    <w:pPr>
      <w:keepNext/>
      <w:keepLines/>
      <w:tabs>
        <w:tab w:val="left" w:pos="851"/>
      </w:tabs>
      <w:spacing w:before="200"/>
      <w:outlineLvl w:val="6"/>
    </w:pPr>
    <w:rPr>
      <w:rFonts w:ascii="Arial" w:eastAsiaTheme="majorEastAsia" w:hAnsi="Arial" w:cstheme="majorBidi"/>
      <w:i/>
      <w:iCs/>
      <w:color w:val="404040" w:themeColor="text1" w:themeTint="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1B9"/>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A101B9"/>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A101B9"/>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A101B9"/>
    <w:rPr>
      <w:rFonts w:ascii="Times New Roman" w:eastAsia="Times New Roman" w:hAnsi="Times New Roman" w:cs="Times New Roman"/>
      <w:bCs/>
      <w:sz w:val="24"/>
      <w:szCs w:val="28"/>
      <w:lang w:eastAsia="en-GB"/>
    </w:rPr>
  </w:style>
  <w:style w:type="character" w:customStyle="1" w:styleId="Heading5Char">
    <w:name w:val="Heading 5 Char"/>
    <w:basedOn w:val="DefaultParagraphFont"/>
    <w:link w:val="Heading5"/>
    <w:rsid w:val="00A101B9"/>
    <w:rPr>
      <w:rFonts w:asciiTheme="majorHAnsi" w:eastAsiaTheme="majorEastAsia" w:hAnsiTheme="majorHAnsi" w:cstheme="majorBidi"/>
      <w:color w:val="2F5496" w:themeColor="accent1" w:themeShade="BF"/>
      <w:sz w:val="24"/>
      <w:szCs w:val="24"/>
      <w:lang w:eastAsia="en-GB"/>
    </w:rPr>
  </w:style>
  <w:style w:type="character" w:customStyle="1" w:styleId="Heading6Char">
    <w:name w:val="Heading 6 Char"/>
    <w:basedOn w:val="DefaultParagraphFont"/>
    <w:link w:val="Heading6"/>
    <w:uiPriority w:val="9"/>
    <w:rsid w:val="00A101B9"/>
    <w:rPr>
      <w:rFonts w:ascii="Arial" w:eastAsiaTheme="majorEastAsia" w:hAnsi="Arial" w:cstheme="majorBidi"/>
      <w:i/>
      <w:iCs/>
      <w:color w:val="1F3763" w:themeColor="accent1" w:themeShade="7F"/>
      <w:szCs w:val="24"/>
      <w:lang w:eastAsia="en-GB"/>
    </w:rPr>
  </w:style>
  <w:style w:type="character" w:customStyle="1" w:styleId="Heading7Char">
    <w:name w:val="Heading 7 Char"/>
    <w:basedOn w:val="DefaultParagraphFont"/>
    <w:link w:val="Heading7"/>
    <w:uiPriority w:val="9"/>
    <w:rsid w:val="00A101B9"/>
    <w:rPr>
      <w:rFonts w:ascii="Arial" w:eastAsiaTheme="majorEastAsia" w:hAnsi="Arial" w:cstheme="majorBidi"/>
      <w:i/>
      <w:iCs/>
      <w:color w:val="404040" w:themeColor="text1" w:themeTint="BF"/>
      <w:szCs w:val="24"/>
      <w:lang w:eastAsia="en-GB"/>
    </w:rPr>
  </w:style>
  <w:style w:type="character" w:styleId="CommentReference">
    <w:name w:val="annotation reference"/>
    <w:basedOn w:val="DefaultParagraphFont"/>
    <w:uiPriority w:val="99"/>
    <w:semiHidden/>
    <w:unhideWhenUsed/>
    <w:rsid w:val="00A101B9"/>
    <w:rPr>
      <w:sz w:val="18"/>
      <w:szCs w:val="18"/>
    </w:rPr>
  </w:style>
  <w:style w:type="paragraph" w:styleId="CommentText">
    <w:name w:val="annotation text"/>
    <w:basedOn w:val="Normal"/>
    <w:link w:val="CommentTextChar"/>
    <w:unhideWhenUsed/>
    <w:rsid w:val="00A101B9"/>
  </w:style>
  <w:style w:type="character" w:customStyle="1" w:styleId="CommentTextChar">
    <w:name w:val="Comment Text Char"/>
    <w:basedOn w:val="DefaultParagraphFont"/>
    <w:link w:val="CommentText"/>
    <w:rsid w:val="00A101B9"/>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A101B9"/>
    <w:rPr>
      <w:b/>
      <w:bCs/>
      <w:sz w:val="20"/>
      <w:szCs w:val="20"/>
    </w:rPr>
  </w:style>
  <w:style w:type="character" w:customStyle="1" w:styleId="CommentSubjectChar">
    <w:name w:val="Comment Subject Char"/>
    <w:basedOn w:val="CommentTextChar"/>
    <w:link w:val="CommentSubject"/>
    <w:uiPriority w:val="99"/>
    <w:semiHidden/>
    <w:rsid w:val="00A101B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101B9"/>
    <w:rPr>
      <w:rFonts w:ascii="Lucida Grande" w:hAnsi="Lucida Grande"/>
      <w:sz w:val="18"/>
      <w:szCs w:val="18"/>
    </w:rPr>
  </w:style>
  <w:style w:type="character" w:customStyle="1" w:styleId="BalloonTextChar">
    <w:name w:val="Balloon Text Char"/>
    <w:basedOn w:val="DefaultParagraphFont"/>
    <w:link w:val="BalloonText"/>
    <w:uiPriority w:val="99"/>
    <w:semiHidden/>
    <w:rsid w:val="00A101B9"/>
    <w:rPr>
      <w:rFonts w:ascii="Lucida Grande" w:eastAsia="Times New Roman" w:hAnsi="Lucida Grande" w:cs="Times New Roman"/>
      <w:sz w:val="18"/>
      <w:szCs w:val="18"/>
      <w:lang w:eastAsia="en-GB"/>
    </w:rPr>
  </w:style>
  <w:style w:type="character" w:styleId="Hyperlink">
    <w:name w:val="Hyperlink"/>
    <w:basedOn w:val="DefaultParagraphFont"/>
    <w:unhideWhenUsed/>
    <w:rsid w:val="00A101B9"/>
    <w:rPr>
      <w:color w:val="0563C1" w:themeColor="hyperlink"/>
      <w:u w:val="single"/>
    </w:rPr>
  </w:style>
  <w:style w:type="paragraph" w:styleId="ListParagraph">
    <w:name w:val="List Paragraph"/>
    <w:basedOn w:val="Normal"/>
    <w:uiPriority w:val="34"/>
    <w:qFormat/>
    <w:rsid w:val="00A101B9"/>
    <w:pPr>
      <w:ind w:left="720"/>
      <w:contextualSpacing/>
    </w:pPr>
  </w:style>
  <w:style w:type="paragraph" w:styleId="Revision">
    <w:name w:val="Revision"/>
    <w:hidden/>
    <w:uiPriority w:val="99"/>
    <w:semiHidden/>
    <w:rsid w:val="00A101B9"/>
    <w:pPr>
      <w:spacing w:after="0" w:line="240" w:lineRule="auto"/>
    </w:pPr>
    <w:rPr>
      <w:sz w:val="24"/>
      <w:szCs w:val="24"/>
      <w:lang w:val="en-US"/>
    </w:rPr>
  </w:style>
  <w:style w:type="character" w:customStyle="1" w:styleId="apple-converted-space">
    <w:name w:val="apple-converted-space"/>
    <w:basedOn w:val="DefaultParagraphFont"/>
    <w:rsid w:val="00A101B9"/>
  </w:style>
  <w:style w:type="paragraph" w:customStyle="1" w:styleId="NoteLevel11">
    <w:name w:val="Note Level 11"/>
    <w:basedOn w:val="Normal"/>
    <w:uiPriority w:val="99"/>
    <w:unhideWhenUsed/>
    <w:rsid w:val="00A101B9"/>
    <w:pPr>
      <w:keepNext/>
      <w:tabs>
        <w:tab w:val="num" w:pos="0"/>
      </w:tabs>
      <w:contextualSpacing/>
      <w:outlineLvl w:val="0"/>
    </w:pPr>
    <w:rPr>
      <w:rFonts w:ascii="Verdana" w:eastAsiaTheme="minorEastAsia" w:hAnsi="Verdana"/>
    </w:rPr>
  </w:style>
  <w:style w:type="paragraph" w:customStyle="1" w:styleId="NoteLevel21">
    <w:name w:val="Note Level 21"/>
    <w:basedOn w:val="Normal"/>
    <w:uiPriority w:val="99"/>
    <w:unhideWhenUsed/>
    <w:rsid w:val="00A101B9"/>
    <w:pPr>
      <w:keepNext/>
      <w:tabs>
        <w:tab w:val="num" w:pos="720"/>
      </w:tabs>
      <w:ind w:left="1080" w:hanging="360"/>
      <w:contextualSpacing/>
      <w:outlineLvl w:val="1"/>
    </w:pPr>
    <w:rPr>
      <w:rFonts w:ascii="Verdana" w:eastAsiaTheme="minorEastAsia" w:hAnsi="Verdana"/>
    </w:rPr>
  </w:style>
  <w:style w:type="paragraph" w:customStyle="1" w:styleId="NoteLevel31">
    <w:name w:val="Note Level 31"/>
    <w:basedOn w:val="Normal"/>
    <w:uiPriority w:val="99"/>
    <w:semiHidden/>
    <w:unhideWhenUsed/>
    <w:rsid w:val="00A101B9"/>
    <w:pPr>
      <w:keepNext/>
      <w:tabs>
        <w:tab w:val="num" w:pos="1440"/>
      </w:tabs>
      <w:ind w:left="1800" w:hanging="360"/>
      <w:contextualSpacing/>
      <w:outlineLvl w:val="2"/>
    </w:pPr>
    <w:rPr>
      <w:rFonts w:ascii="Verdana" w:eastAsiaTheme="minorEastAsia" w:hAnsi="Verdana"/>
    </w:rPr>
  </w:style>
  <w:style w:type="paragraph" w:customStyle="1" w:styleId="NoteLevel41">
    <w:name w:val="Note Level 41"/>
    <w:basedOn w:val="Normal"/>
    <w:uiPriority w:val="99"/>
    <w:semiHidden/>
    <w:unhideWhenUsed/>
    <w:rsid w:val="00A101B9"/>
    <w:pPr>
      <w:keepNext/>
      <w:tabs>
        <w:tab w:val="num" w:pos="2160"/>
      </w:tabs>
      <w:ind w:left="2520" w:hanging="360"/>
      <w:contextualSpacing/>
      <w:outlineLvl w:val="3"/>
    </w:pPr>
    <w:rPr>
      <w:rFonts w:ascii="Verdana" w:eastAsiaTheme="minorEastAsia" w:hAnsi="Verdana"/>
    </w:rPr>
  </w:style>
  <w:style w:type="paragraph" w:customStyle="1" w:styleId="NoteLevel51">
    <w:name w:val="Note Level 51"/>
    <w:basedOn w:val="Normal"/>
    <w:uiPriority w:val="99"/>
    <w:semiHidden/>
    <w:unhideWhenUsed/>
    <w:rsid w:val="00A101B9"/>
    <w:pPr>
      <w:keepNext/>
      <w:tabs>
        <w:tab w:val="num" w:pos="2880"/>
      </w:tabs>
      <w:ind w:left="3240" w:hanging="360"/>
      <w:contextualSpacing/>
      <w:outlineLvl w:val="4"/>
    </w:pPr>
    <w:rPr>
      <w:rFonts w:ascii="Verdana" w:eastAsiaTheme="minorEastAsia" w:hAnsi="Verdana"/>
    </w:rPr>
  </w:style>
  <w:style w:type="paragraph" w:customStyle="1" w:styleId="NoteLevel61">
    <w:name w:val="Note Level 61"/>
    <w:basedOn w:val="Normal"/>
    <w:uiPriority w:val="99"/>
    <w:semiHidden/>
    <w:unhideWhenUsed/>
    <w:rsid w:val="00A101B9"/>
    <w:pPr>
      <w:keepNext/>
      <w:tabs>
        <w:tab w:val="num" w:pos="3600"/>
      </w:tabs>
      <w:ind w:left="3960" w:hanging="360"/>
      <w:contextualSpacing/>
      <w:outlineLvl w:val="5"/>
    </w:pPr>
    <w:rPr>
      <w:rFonts w:ascii="Verdana" w:eastAsiaTheme="minorEastAsia" w:hAnsi="Verdana"/>
    </w:rPr>
  </w:style>
  <w:style w:type="paragraph" w:customStyle="1" w:styleId="NoteLevel71">
    <w:name w:val="Note Level 71"/>
    <w:basedOn w:val="Normal"/>
    <w:uiPriority w:val="99"/>
    <w:semiHidden/>
    <w:unhideWhenUsed/>
    <w:rsid w:val="00A101B9"/>
    <w:pPr>
      <w:keepNext/>
      <w:tabs>
        <w:tab w:val="num" w:pos="4320"/>
      </w:tabs>
      <w:ind w:left="4680" w:hanging="360"/>
      <w:contextualSpacing/>
      <w:outlineLvl w:val="6"/>
    </w:pPr>
    <w:rPr>
      <w:rFonts w:ascii="Verdana" w:eastAsiaTheme="minorEastAsia" w:hAnsi="Verdana"/>
    </w:rPr>
  </w:style>
  <w:style w:type="paragraph" w:customStyle="1" w:styleId="NoteLevel81">
    <w:name w:val="Note Level 81"/>
    <w:basedOn w:val="Normal"/>
    <w:uiPriority w:val="99"/>
    <w:semiHidden/>
    <w:unhideWhenUsed/>
    <w:rsid w:val="00A101B9"/>
    <w:pPr>
      <w:keepNext/>
      <w:tabs>
        <w:tab w:val="num" w:pos="5040"/>
      </w:tabs>
      <w:ind w:left="5400" w:hanging="360"/>
      <w:contextualSpacing/>
      <w:outlineLvl w:val="7"/>
    </w:pPr>
    <w:rPr>
      <w:rFonts w:ascii="Verdana" w:eastAsiaTheme="minorEastAsia" w:hAnsi="Verdana"/>
    </w:rPr>
  </w:style>
  <w:style w:type="paragraph" w:customStyle="1" w:styleId="NoteLevel91">
    <w:name w:val="Note Level 91"/>
    <w:basedOn w:val="Normal"/>
    <w:uiPriority w:val="99"/>
    <w:semiHidden/>
    <w:unhideWhenUsed/>
    <w:rsid w:val="00A101B9"/>
    <w:pPr>
      <w:keepNext/>
      <w:numPr>
        <w:ilvl w:val="8"/>
        <w:numId w:val="1"/>
      </w:numPr>
      <w:contextualSpacing/>
      <w:outlineLvl w:val="8"/>
    </w:pPr>
    <w:rPr>
      <w:rFonts w:ascii="Verdana" w:eastAsiaTheme="minorEastAsia" w:hAnsi="Verdana"/>
    </w:rPr>
  </w:style>
  <w:style w:type="paragraph" w:customStyle="1" w:styleId="Default">
    <w:name w:val="Default"/>
    <w:rsid w:val="00A101B9"/>
    <w:pPr>
      <w:widowControl w:val="0"/>
      <w:autoSpaceDE w:val="0"/>
      <w:autoSpaceDN w:val="0"/>
      <w:adjustRightInd w:val="0"/>
      <w:spacing w:after="0" w:line="240" w:lineRule="auto"/>
    </w:pPr>
    <w:rPr>
      <w:rFonts w:ascii="Verdana" w:hAnsi="Verdana" w:cs="Verdana"/>
      <w:color w:val="000000"/>
      <w:sz w:val="24"/>
      <w:szCs w:val="24"/>
      <w:lang w:val="en-US"/>
    </w:rPr>
  </w:style>
  <w:style w:type="table" w:styleId="TableGrid">
    <w:name w:val="Table Grid"/>
    <w:basedOn w:val="TableNormal"/>
    <w:uiPriority w:val="59"/>
    <w:rsid w:val="00A101B9"/>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unhideWhenUsed/>
    <w:rsid w:val="00A101B9"/>
    <w:rPr>
      <w:color w:val="954F72" w:themeColor="followedHyperlink"/>
      <w:u w:val="single"/>
    </w:rPr>
  </w:style>
  <w:style w:type="character" w:styleId="Strong">
    <w:name w:val="Strong"/>
    <w:basedOn w:val="DefaultParagraphFont"/>
    <w:qFormat/>
    <w:rsid w:val="00A101B9"/>
    <w:rPr>
      <w:rFonts w:ascii="Arial" w:hAnsi="Arial"/>
      <w:b/>
      <w:bCs/>
      <w:sz w:val="22"/>
    </w:rPr>
  </w:style>
  <w:style w:type="paragraph" w:styleId="FootnoteText">
    <w:name w:val="footnote text"/>
    <w:basedOn w:val="Normal"/>
    <w:link w:val="FootnoteTextChar"/>
    <w:autoRedefine/>
    <w:rsid w:val="00A101B9"/>
    <w:pPr>
      <w:ind w:left="284" w:hanging="284"/>
    </w:pPr>
    <w:rPr>
      <w:sz w:val="22"/>
      <w:szCs w:val="20"/>
    </w:rPr>
  </w:style>
  <w:style w:type="character" w:customStyle="1" w:styleId="FootnoteTextChar">
    <w:name w:val="Footnote Text Char"/>
    <w:basedOn w:val="DefaultParagraphFont"/>
    <w:link w:val="FootnoteText"/>
    <w:rsid w:val="00A101B9"/>
    <w:rPr>
      <w:rFonts w:ascii="Times New Roman" w:eastAsia="Times New Roman" w:hAnsi="Times New Roman" w:cs="Times New Roman"/>
      <w:szCs w:val="20"/>
      <w:lang w:eastAsia="en-GB"/>
    </w:rPr>
  </w:style>
  <w:style w:type="numbering" w:styleId="111111">
    <w:name w:val="Outline List 2"/>
    <w:basedOn w:val="NoList"/>
    <w:uiPriority w:val="99"/>
    <w:unhideWhenUsed/>
    <w:rsid w:val="00A101B9"/>
    <w:pPr>
      <w:numPr>
        <w:numId w:val="2"/>
      </w:numPr>
    </w:pPr>
  </w:style>
  <w:style w:type="paragraph" w:styleId="NormalWeb">
    <w:name w:val="Normal (Web)"/>
    <w:basedOn w:val="Normal"/>
    <w:uiPriority w:val="99"/>
    <w:unhideWhenUsed/>
    <w:rsid w:val="00A101B9"/>
    <w:pPr>
      <w:tabs>
        <w:tab w:val="left" w:pos="851"/>
      </w:tabs>
    </w:pPr>
    <w:rPr>
      <w:rFonts w:ascii="Arial" w:hAnsi="Arial"/>
    </w:rPr>
  </w:style>
  <w:style w:type="paragraph" w:styleId="DocumentMap">
    <w:name w:val="Document Map"/>
    <w:basedOn w:val="Normal"/>
    <w:link w:val="DocumentMapChar"/>
    <w:uiPriority w:val="99"/>
    <w:unhideWhenUsed/>
    <w:rsid w:val="00A101B9"/>
    <w:pPr>
      <w:tabs>
        <w:tab w:val="left" w:pos="851"/>
      </w:tabs>
    </w:pPr>
    <w:rPr>
      <w:rFonts w:ascii="Arial" w:hAnsi="Arial" w:cs="Tahoma"/>
      <w:sz w:val="16"/>
      <w:szCs w:val="16"/>
    </w:rPr>
  </w:style>
  <w:style w:type="character" w:customStyle="1" w:styleId="DocumentMapChar">
    <w:name w:val="Document Map Char"/>
    <w:basedOn w:val="DefaultParagraphFont"/>
    <w:link w:val="DocumentMap"/>
    <w:uiPriority w:val="99"/>
    <w:rsid w:val="00A101B9"/>
    <w:rPr>
      <w:rFonts w:ascii="Arial" w:eastAsia="Times New Roman" w:hAnsi="Arial" w:cs="Tahoma"/>
      <w:sz w:val="16"/>
      <w:szCs w:val="16"/>
      <w:lang w:eastAsia="en-GB"/>
    </w:rPr>
  </w:style>
  <w:style w:type="paragraph" w:customStyle="1" w:styleId="BulletedList0">
    <w:name w:val="Bulleted List"/>
    <w:basedOn w:val="Normal"/>
    <w:uiPriority w:val="5"/>
    <w:qFormat/>
    <w:rsid w:val="00A101B9"/>
    <w:pPr>
      <w:numPr>
        <w:numId w:val="3"/>
      </w:numPr>
      <w:tabs>
        <w:tab w:val="left" w:pos="851"/>
      </w:tabs>
      <w:ind w:left="851" w:hanging="851"/>
    </w:pPr>
    <w:rPr>
      <w:rFonts w:ascii="Arial" w:hAnsi="Arial"/>
      <w:sz w:val="22"/>
    </w:rPr>
  </w:style>
  <w:style w:type="paragraph" w:styleId="Header">
    <w:name w:val="header"/>
    <w:basedOn w:val="Normal"/>
    <w:link w:val="HeaderChar"/>
    <w:rsid w:val="00A101B9"/>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A101B9"/>
    <w:rPr>
      <w:rFonts w:ascii="Times New Roman" w:eastAsia="Times New Roman" w:hAnsi="Times New Roman" w:cs="Times New Roman"/>
      <w:sz w:val="24"/>
      <w:szCs w:val="24"/>
      <w:lang w:eastAsia="en-GB"/>
    </w:rPr>
  </w:style>
  <w:style w:type="paragraph" w:styleId="Footer">
    <w:name w:val="footer"/>
    <w:basedOn w:val="Normal"/>
    <w:link w:val="FooterChar"/>
    <w:rsid w:val="00A101B9"/>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101B9"/>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A101B9"/>
    <w:pPr>
      <w:spacing w:after="120" w:line="360" w:lineRule="auto"/>
    </w:pPr>
    <w:rPr>
      <w:b/>
      <w:sz w:val="28"/>
    </w:rPr>
  </w:style>
  <w:style w:type="table" w:styleId="ColorfulGrid-Accent1">
    <w:name w:val="Colorful Grid Accent 1"/>
    <w:basedOn w:val="TableNormal"/>
    <w:rsid w:val="00A101B9"/>
    <w:pPr>
      <w:spacing w:after="0" w:line="240" w:lineRule="auto"/>
    </w:pPr>
    <w:rPr>
      <w:color w:val="000000" w:themeColor="text1"/>
      <w:sz w:val="24"/>
      <w:szCs w:val="24"/>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
    <w:name w:val="Colorful Grid"/>
    <w:basedOn w:val="TableNormal"/>
    <w:rsid w:val="00A101B9"/>
    <w:pPr>
      <w:spacing w:after="0" w:line="240" w:lineRule="auto"/>
    </w:pPr>
    <w:rPr>
      <w:color w:val="000000" w:themeColor="text1"/>
      <w:sz w:val="24"/>
      <w:szCs w:val="24"/>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rsid w:val="00A101B9"/>
    <w:pPr>
      <w:spacing w:after="0" w:line="240" w:lineRule="auto"/>
    </w:pPr>
    <w:rPr>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Table1Light-Accent11">
    <w:name w:val="List Table 1 Light - Accent 11"/>
    <w:basedOn w:val="TableNormal"/>
    <w:uiPriority w:val="46"/>
    <w:rsid w:val="00A101B9"/>
    <w:pPr>
      <w:spacing w:after="0" w:line="240" w:lineRule="auto"/>
    </w:pPr>
    <w:rPr>
      <w:sz w:val="24"/>
      <w:szCs w:val="24"/>
      <w:lang w:val="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rsid w:val="00A101B9"/>
    <w:rPr>
      <w:rFonts w:eastAsiaTheme="minorEastAsia"/>
      <w:b/>
      <w:bCs/>
      <w:color w:val="4472C4" w:themeColor="accent1"/>
      <w:sz w:val="18"/>
      <w:szCs w:val="18"/>
    </w:rPr>
  </w:style>
  <w:style w:type="table" w:customStyle="1" w:styleId="PlainTable21">
    <w:name w:val="Plain Table 21"/>
    <w:basedOn w:val="TableNormal"/>
    <w:uiPriority w:val="42"/>
    <w:rsid w:val="00A101B9"/>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List5">
    <w:name w:val="Table List 5"/>
    <w:basedOn w:val="TableNormal"/>
    <w:rsid w:val="00A101B9"/>
    <w:pPr>
      <w:spacing w:after="0" w:line="240" w:lineRule="auto"/>
    </w:pPr>
    <w:rPr>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paragraph" w:customStyle="1" w:styleId="EndNoteBibliographyTitle">
    <w:name w:val="EndNote Bibliography Title"/>
    <w:basedOn w:val="Normal"/>
    <w:link w:val="EndNoteBibliographyTitleChar"/>
    <w:rsid w:val="00A101B9"/>
    <w:pPr>
      <w:jc w:val="center"/>
    </w:pPr>
    <w:rPr>
      <w:noProof/>
    </w:rPr>
  </w:style>
  <w:style w:type="character" w:customStyle="1" w:styleId="EndNoteBibliographyTitleChar">
    <w:name w:val="EndNote Bibliography Title Char"/>
    <w:basedOn w:val="DefaultParagraphFont"/>
    <w:link w:val="EndNoteBibliographyTitle"/>
    <w:rsid w:val="00A101B9"/>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A101B9"/>
    <w:pPr>
      <w:spacing w:line="240" w:lineRule="auto"/>
      <w:jc w:val="both"/>
    </w:pPr>
    <w:rPr>
      <w:noProof/>
    </w:rPr>
  </w:style>
  <w:style w:type="character" w:customStyle="1" w:styleId="EndNoteBibliographyChar">
    <w:name w:val="EndNote Bibliography Char"/>
    <w:basedOn w:val="DefaultParagraphFont"/>
    <w:link w:val="EndNoteBibliography"/>
    <w:rsid w:val="00A101B9"/>
    <w:rPr>
      <w:rFonts w:ascii="Times New Roman" w:eastAsia="Times New Roman" w:hAnsi="Times New Roman" w:cs="Times New Roman"/>
      <w:noProof/>
      <w:sz w:val="24"/>
      <w:szCs w:val="24"/>
      <w:lang w:eastAsia="en-GB"/>
    </w:rPr>
  </w:style>
  <w:style w:type="paragraph" w:customStyle="1" w:styleId="Authornames">
    <w:name w:val="Author names"/>
    <w:basedOn w:val="Normal"/>
    <w:next w:val="Normal"/>
    <w:qFormat/>
    <w:rsid w:val="00A101B9"/>
    <w:pPr>
      <w:spacing w:before="240" w:line="360" w:lineRule="auto"/>
    </w:pPr>
    <w:rPr>
      <w:sz w:val="28"/>
    </w:rPr>
  </w:style>
  <w:style w:type="paragraph" w:customStyle="1" w:styleId="Affiliation">
    <w:name w:val="Affiliation"/>
    <w:basedOn w:val="Normal"/>
    <w:qFormat/>
    <w:rsid w:val="00A101B9"/>
    <w:pPr>
      <w:spacing w:before="240" w:line="360" w:lineRule="auto"/>
    </w:pPr>
    <w:rPr>
      <w:i/>
    </w:rPr>
  </w:style>
  <w:style w:type="paragraph" w:customStyle="1" w:styleId="Receiveddates">
    <w:name w:val="Received dates"/>
    <w:basedOn w:val="Affiliation"/>
    <w:next w:val="Normal"/>
    <w:qFormat/>
    <w:rsid w:val="00A101B9"/>
  </w:style>
  <w:style w:type="paragraph" w:customStyle="1" w:styleId="Abstract">
    <w:name w:val="Abstract"/>
    <w:basedOn w:val="Normal"/>
    <w:next w:val="Keywords"/>
    <w:qFormat/>
    <w:rsid w:val="00A101B9"/>
    <w:pPr>
      <w:spacing w:before="360" w:after="300" w:line="360" w:lineRule="auto"/>
      <w:ind w:left="720" w:right="567"/>
      <w:contextualSpacing/>
    </w:pPr>
    <w:rPr>
      <w:sz w:val="22"/>
    </w:rPr>
  </w:style>
  <w:style w:type="paragraph" w:customStyle="1" w:styleId="Keywords">
    <w:name w:val="Keywords"/>
    <w:basedOn w:val="Normal"/>
    <w:next w:val="Paragraph"/>
    <w:qFormat/>
    <w:rsid w:val="00A101B9"/>
    <w:pPr>
      <w:spacing w:before="240" w:after="240" w:line="360" w:lineRule="auto"/>
      <w:ind w:left="720" w:right="567"/>
    </w:pPr>
    <w:rPr>
      <w:sz w:val="22"/>
    </w:rPr>
  </w:style>
  <w:style w:type="paragraph" w:customStyle="1" w:styleId="Correspondencedetails">
    <w:name w:val="Correspondence details"/>
    <w:basedOn w:val="Normal"/>
    <w:qFormat/>
    <w:rsid w:val="00A101B9"/>
    <w:pPr>
      <w:spacing w:before="240" w:line="360" w:lineRule="auto"/>
    </w:pPr>
  </w:style>
  <w:style w:type="paragraph" w:customStyle="1" w:styleId="Displayedquotation">
    <w:name w:val="Displayed quotation"/>
    <w:basedOn w:val="Normal"/>
    <w:qFormat/>
    <w:rsid w:val="00A101B9"/>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A101B9"/>
    <w:pPr>
      <w:widowControl/>
      <w:numPr>
        <w:numId w:val="4"/>
      </w:numPr>
      <w:spacing w:after="240"/>
      <w:contextualSpacing/>
    </w:pPr>
  </w:style>
  <w:style w:type="paragraph" w:customStyle="1" w:styleId="Displayedequation">
    <w:name w:val="Displayed equation"/>
    <w:basedOn w:val="Normal"/>
    <w:next w:val="Paragraph"/>
    <w:qFormat/>
    <w:rsid w:val="00A101B9"/>
    <w:pPr>
      <w:tabs>
        <w:tab w:val="center" w:pos="4253"/>
        <w:tab w:val="right" w:pos="8222"/>
      </w:tabs>
      <w:spacing w:before="240" w:after="240"/>
      <w:jc w:val="center"/>
    </w:pPr>
  </w:style>
  <w:style w:type="paragraph" w:customStyle="1" w:styleId="Acknowledgements">
    <w:name w:val="Acknowledgements"/>
    <w:basedOn w:val="Normal"/>
    <w:next w:val="Normal"/>
    <w:qFormat/>
    <w:rsid w:val="00A101B9"/>
    <w:pPr>
      <w:spacing w:before="120" w:line="360" w:lineRule="auto"/>
    </w:pPr>
    <w:rPr>
      <w:sz w:val="22"/>
    </w:rPr>
  </w:style>
  <w:style w:type="paragraph" w:customStyle="1" w:styleId="Tabletitle">
    <w:name w:val="Table title"/>
    <w:basedOn w:val="Normal"/>
    <w:next w:val="Normal"/>
    <w:qFormat/>
    <w:rsid w:val="00A101B9"/>
    <w:pPr>
      <w:spacing w:before="240" w:line="360" w:lineRule="auto"/>
    </w:pPr>
  </w:style>
  <w:style w:type="paragraph" w:customStyle="1" w:styleId="Figurecaption">
    <w:name w:val="Figure caption"/>
    <w:basedOn w:val="Normal"/>
    <w:next w:val="Normal"/>
    <w:qFormat/>
    <w:rsid w:val="00A101B9"/>
    <w:pPr>
      <w:spacing w:before="240" w:line="360" w:lineRule="auto"/>
    </w:pPr>
  </w:style>
  <w:style w:type="paragraph" w:customStyle="1" w:styleId="Footnotes">
    <w:name w:val="Footnotes"/>
    <w:basedOn w:val="Normal"/>
    <w:qFormat/>
    <w:rsid w:val="00A101B9"/>
    <w:pPr>
      <w:spacing w:before="120" w:line="360" w:lineRule="auto"/>
      <w:ind w:left="482" w:hanging="482"/>
      <w:contextualSpacing/>
    </w:pPr>
    <w:rPr>
      <w:sz w:val="22"/>
    </w:rPr>
  </w:style>
  <w:style w:type="paragraph" w:customStyle="1" w:styleId="Notesoncontributors">
    <w:name w:val="Notes on contributors"/>
    <w:basedOn w:val="Normal"/>
    <w:qFormat/>
    <w:rsid w:val="00A101B9"/>
    <w:pPr>
      <w:spacing w:before="240" w:line="360" w:lineRule="auto"/>
    </w:pPr>
    <w:rPr>
      <w:sz w:val="22"/>
    </w:rPr>
  </w:style>
  <w:style w:type="paragraph" w:customStyle="1" w:styleId="Normalparagraphstyle">
    <w:name w:val="Normal paragraph style"/>
    <w:basedOn w:val="Normal"/>
    <w:next w:val="Normal"/>
    <w:rsid w:val="00A101B9"/>
  </w:style>
  <w:style w:type="paragraph" w:customStyle="1" w:styleId="Paragraph">
    <w:name w:val="Paragraph"/>
    <w:basedOn w:val="Normal"/>
    <w:next w:val="Newparagraph"/>
    <w:link w:val="ParagraphChar"/>
    <w:qFormat/>
    <w:rsid w:val="00A101B9"/>
    <w:pPr>
      <w:widowControl w:val="0"/>
      <w:spacing w:before="240"/>
    </w:pPr>
  </w:style>
  <w:style w:type="paragraph" w:customStyle="1" w:styleId="Newparagraph">
    <w:name w:val="New paragraph"/>
    <w:basedOn w:val="Normal"/>
    <w:qFormat/>
    <w:rsid w:val="00A101B9"/>
    <w:pPr>
      <w:ind w:firstLine="720"/>
    </w:pPr>
  </w:style>
  <w:style w:type="paragraph" w:styleId="NormalIndent">
    <w:name w:val="Normal Indent"/>
    <w:basedOn w:val="Normal"/>
    <w:rsid w:val="00A101B9"/>
    <w:pPr>
      <w:ind w:left="720"/>
    </w:pPr>
  </w:style>
  <w:style w:type="paragraph" w:customStyle="1" w:styleId="References">
    <w:name w:val="References"/>
    <w:basedOn w:val="Normal"/>
    <w:qFormat/>
    <w:rsid w:val="00A101B9"/>
    <w:pPr>
      <w:spacing w:before="120" w:line="360" w:lineRule="auto"/>
      <w:ind w:left="720" w:hanging="720"/>
      <w:contextualSpacing/>
    </w:pPr>
  </w:style>
  <w:style w:type="paragraph" w:customStyle="1" w:styleId="Subjectcodes">
    <w:name w:val="Subject codes"/>
    <w:basedOn w:val="Keywords"/>
    <w:next w:val="Paragraph"/>
    <w:qFormat/>
    <w:rsid w:val="00A101B9"/>
  </w:style>
  <w:style w:type="paragraph" w:customStyle="1" w:styleId="Bulletedlist">
    <w:name w:val="Bulleted list"/>
    <w:basedOn w:val="Paragraph"/>
    <w:next w:val="Paragraph"/>
    <w:qFormat/>
    <w:rsid w:val="00A101B9"/>
    <w:pPr>
      <w:widowControl/>
      <w:numPr>
        <w:numId w:val="5"/>
      </w:numPr>
      <w:spacing w:after="240"/>
      <w:contextualSpacing/>
    </w:pPr>
  </w:style>
  <w:style w:type="character" w:styleId="FootnoteReference">
    <w:name w:val="footnote reference"/>
    <w:basedOn w:val="DefaultParagraphFont"/>
    <w:rsid w:val="00A101B9"/>
    <w:rPr>
      <w:vertAlign w:val="superscript"/>
    </w:rPr>
  </w:style>
  <w:style w:type="paragraph" w:styleId="EndnoteText">
    <w:name w:val="endnote text"/>
    <w:basedOn w:val="Normal"/>
    <w:link w:val="EndnoteTextChar"/>
    <w:autoRedefine/>
    <w:rsid w:val="00A101B9"/>
    <w:pPr>
      <w:ind w:left="284" w:hanging="284"/>
    </w:pPr>
    <w:rPr>
      <w:sz w:val="22"/>
      <w:szCs w:val="20"/>
    </w:rPr>
  </w:style>
  <w:style w:type="character" w:customStyle="1" w:styleId="EndnoteTextChar">
    <w:name w:val="Endnote Text Char"/>
    <w:basedOn w:val="DefaultParagraphFont"/>
    <w:link w:val="EndnoteText"/>
    <w:rsid w:val="00A101B9"/>
    <w:rPr>
      <w:rFonts w:ascii="Times New Roman" w:eastAsia="Times New Roman" w:hAnsi="Times New Roman" w:cs="Times New Roman"/>
      <w:szCs w:val="20"/>
      <w:lang w:eastAsia="en-GB"/>
    </w:rPr>
  </w:style>
  <w:style w:type="character" w:styleId="EndnoteReference">
    <w:name w:val="endnote reference"/>
    <w:basedOn w:val="DefaultParagraphFont"/>
    <w:rsid w:val="00A101B9"/>
    <w:rPr>
      <w:vertAlign w:val="superscript"/>
    </w:rPr>
  </w:style>
  <w:style w:type="paragraph" w:customStyle="1" w:styleId="Heading4Paragraph">
    <w:name w:val="Heading 4 + Paragraph"/>
    <w:basedOn w:val="Paragraph"/>
    <w:next w:val="Newparagraph"/>
    <w:qFormat/>
    <w:rsid w:val="00A101B9"/>
    <w:pPr>
      <w:widowControl/>
      <w:spacing w:before="360"/>
    </w:pPr>
  </w:style>
  <w:style w:type="character" w:customStyle="1" w:styleId="ParagraphChar">
    <w:name w:val="Paragraph Char"/>
    <w:basedOn w:val="DefaultParagraphFont"/>
    <w:link w:val="Paragraph"/>
    <w:rsid w:val="00A101B9"/>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A101B9"/>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101B9"/>
    <w:rPr>
      <w:rFonts w:ascii="Calibri" w:hAnsi="Calibri"/>
      <w:szCs w:val="21"/>
    </w:rPr>
  </w:style>
  <w:style w:type="character" w:customStyle="1" w:styleId="UnresolvedMention1">
    <w:name w:val="Unresolved Mention1"/>
    <w:basedOn w:val="DefaultParagraphFont"/>
    <w:uiPriority w:val="99"/>
    <w:semiHidden/>
    <w:unhideWhenUsed/>
    <w:rsid w:val="00A101B9"/>
    <w:rPr>
      <w:color w:val="808080"/>
      <w:shd w:val="clear" w:color="auto" w:fill="E6E6E6"/>
    </w:rPr>
  </w:style>
  <w:style w:type="character" w:customStyle="1" w:styleId="UnresolvedMention2">
    <w:name w:val="Unresolved Mention2"/>
    <w:basedOn w:val="DefaultParagraphFont"/>
    <w:uiPriority w:val="99"/>
    <w:semiHidden/>
    <w:unhideWhenUsed/>
    <w:rsid w:val="00A101B9"/>
    <w:rPr>
      <w:color w:val="808080"/>
      <w:shd w:val="clear" w:color="auto" w:fill="E6E6E6"/>
    </w:rPr>
  </w:style>
  <w:style w:type="paragraph" w:customStyle="1" w:styleId="Normal1">
    <w:name w:val="Normal1"/>
    <w:rsid w:val="00A101B9"/>
    <w:pPr>
      <w:pBdr>
        <w:top w:val="nil"/>
        <w:left w:val="nil"/>
        <w:bottom w:val="nil"/>
        <w:right w:val="nil"/>
        <w:between w:val="nil"/>
      </w:pBdr>
      <w:spacing w:after="0" w:line="276" w:lineRule="auto"/>
    </w:pPr>
    <w:rPr>
      <w:rFonts w:ascii="Arial" w:eastAsia="Arial" w:hAnsi="Arial" w:cs="Arial"/>
      <w:color w:val="000000"/>
      <w:lang w:val="uz-Cyrl-UZ"/>
    </w:rPr>
  </w:style>
  <w:style w:type="table" w:customStyle="1" w:styleId="GridTable6Colorful1">
    <w:name w:val="Grid Table 6 Colorful1"/>
    <w:basedOn w:val="TableNormal"/>
    <w:uiPriority w:val="51"/>
    <w:rsid w:val="00A101B9"/>
    <w:pPr>
      <w:spacing w:after="0" w:line="240" w:lineRule="auto"/>
    </w:pPr>
    <w:rPr>
      <w:color w:val="000000" w:themeColor="text1"/>
      <w:sz w:val="24"/>
      <w:szCs w:val="24"/>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rsid w:val="00A101B9"/>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rsid w:val="00A101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A101B9"/>
    <w:rPr>
      <w:rFonts w:ascii="Times New Roman" w:eastAsia="Times New Roman" w:hAnsi="Times New Roman" w:cs="Times New Roman"/>
      <w:i/>
      <w:iCs/>
      <w:color w:val="404040" w:themeColor="text1" w:themeTint="BF"/>
      <w:sz w:val="24"/>
      <w:szCs w:val="24"/>
      <w:lang w:eastAsia="en-GB"/>
    </w:rPr>
  </w:style>
  <w:style w:type="character" w:customStyle="1" w:styleId="UnresolvedMention3">
    <w:name w:val="Unresolved Mention3"/>
    <w:basedOn w:val="DefaultParagraphFont"/>
    <w:uiPriority w:val="99"/>
    <w:semiHidden/>
    <w:unhideWhenUsed/>
    <w:rsid w:val="00A101B9"/>
    <w:rPr>
      <w:color w:val="808080"/>
      <w:shd w:val="clear" w:color="auto" w:fill="E6E6E6"/>
    </w:rPr>
  </w:style>
  <w:style w:type="character" w:customStyle="1" w:styleId="UnresolvedMention4">
    <w:name w:val="Unresolved Mention4"/>
    <w:basedOn w:val="DefaultParagraphFont"/>
    <w:uiPriority w:val="99"/>
    <w:semiHidden/>
    <w:unhideWhenUsed/>
    <w:rsid w:val="00A101B9"/>
    <w:rPr>
      <w:color w:val="808080"/>
      <w:shd w:val="clear" w:color="auto" w:fill="E6E6E6"/>
    </w:rPr>
  </w:style>
  <w:style w:type="character" w:customStyle="1" w:styleId="UnresolvedMention5">
    <w:name w:val="Unresolved Mention5"/>
    <w:basedOn w:val="DefaultParagraphFont"/>
    <w:uiPriority w:val="99"/>
    <w:semiHidden/>
    <w:unhideWhenUsed/>
    <w:rsid w:val="00A101B9"/>
    <w:rPr>
      <w:color w:val="808080"/>
      <w:shd w:val="clear" w:color="auto" w:fill="E6E6E6"/>
    </w:rPr>
  </w:style>
  <w:style w:type="character" w:customStyle="1" w:styleId="UnresolvedMention6">
    <w:name w:val="Unresolved Mention6"/>
    <w:basedOn w:val="DefaultParagraphFont"/>
    <w:uiPriority w:val="99"/>
    <w:semiHidden/>
    <w:unhideWhenUsed/>
    <w:rsid w:val="00A101B9"/>
    <w:rPr>
      <w:color w:val="605E5C"/>
      <w:shd w:val="clear" w:color="auto" w:fill="E1DFDD"/>
    </w:rPr>
  </w:style>
  <w:style w:type="character" w:styleId="PlaceholderText">
    <w:name w:val="Placeholder Text"/>
    <w:basedOn w:val="DefaultParagraphFont"/>
    <w:semiHidden/>
    <w:rsid w:val="00A101B9"/>
    <w:rPr>
      <w:color w:val="808080"/>
    </w:rPr>
  </w:style>
  <w:style w:type="character" w:styleId="UnresolvedMention">
    <w:name w:val="Unresolved Mention"/>
    <w:basedOn w:val="DefaultParagraphFont"/>
    <w:uiPriority w:val="99"/>
    <w:semiHidden/>
    <w:unhideWhenUsed/>
    <w:rsid w:val="00A101B9"/>
    <w:rPr>
      <w:color w:val="605E5C"/>
      <w:shd w:val="clear" w:color="auto" w:fill="E1DFDD"/>
    </w:rPr>
  </w:style>
  <w:style w:type="paragraph" w:styleId="Subtitle">
    <w:name w:val="Subtitle"/>
    <w:basedOn w:val="Normal"/>
    <w:next w:val="Normal"/>
    <w:link w:val="SubtitleChar"/>
    <w:uiPriority w:val="11"/>
    <w:qFormat/>
    <w:rsid w:val="00C350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50DF"/>
    <w:rPr>
      <w:rFonts w:eastAsiaTheme="minorEastAsia"/>
      <w:color w:val="5A5A5A" w:themeColor="text1" w:themeTint="A5"/>
      <w:spacing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AE6E-22A6-4A65-9010-B2BE3E95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7844</Words>
  <Characters>44166</Characters>
  <Application>Microsoft Office Word</Application>
  <DocSecurity>0</DocSecurity>
  <Lines>1162</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Anesa Hosein</dc:creator>
  <cp:keywords/>
  <dc:description/>
  <cp:lastModifiedBy>Anesa Hosein</cp:lastModifiedBy>
  <cp:revision>3</cp:revision>
  <cp:lastPrinted>2020-04-03T09:54:00Z</cp:lastPrinted>
  <dcterms:created xsi:type="dcterms:W3CDTF">2020-08-25T13:52:00Z</dcterms:created>
  <dcterms:modified xsi:type="dcterms:W3CDTF">2020-12-01T00:11:00Z</dcterms:modified>
</cp:coreProperties>
</file>