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33BCE" w14:textId="60ADEFE7" w:rsidR="005F09CE" w:rsidRPr="00366A0F" w:rsidRDefault="000203E9" w:rsidP="000203E9">
      <w:pPr>
        <w:spacing w:line="360" w:lineRule="auto"/>
        <w:jc w:val="both"/>
      </w:pPr>
      <w:bookmarkStart w:id="0" w:name="_Hlk44503163"/>
      <w:bookmarkEnd w:id="0"/>
      <w:r w:rsidRPr="00366A0F">
        <w:rPr>
          <w:b/>
        </w:rPr>
        <w:t>Title:</w:t>
      </w:r>
      <w:r w:rsidRPr="00366A0F">
        <w:t xml:space="preserve"> </w:t>
      </w:r>
      <w:r w:rsidR="00D31F5C" w:rsidRPr="00366A0F">
        <w:t xml:space="preserve">The effects </w:t>
      </w:r>
      <w:r w:rsidR="00653D08" w:rsidRPr="00366A0F">
        <w:t xml:space="preserve">of </w:t>
      </w:r>
      <w:r w:rsidR="00D31F5C" w:rsidRPr="00366A0F">
        <w:t>medium chain triglyceride (MCT) supplementation</w:t>
      </w:r>
      <w:r w:rsidR="005F09CE" w:rsidRPr="00366A0F">
        <w:t xml:space="preserve"> using a </w:t>
      </w:r>
      <w:r w:rsidR="005F09CE" w:rsidRPr="00366A0F">
        <w:rPr>
          <w:rFonts w:eastAsia="Times New Roman"/>
        </w:rPr>
        <w:t>C</w:t>
      </w:r>
      <w:r w:rsidR="005F09CE" w:rsidRPr="00366A0F">
        <w:rPr>
          <w:rFonts w:eastAsia="Times New Roman"/>
          <w:vertAlign w:val="subscript"/>
        </w:rPr>
        <w:t>8</w:t>
      </w:r>
      <w:r w:rsidR="005F09CE" w:rsidRPr="00366A0F">
        <w:rPr>
          <w:rFonts w:eastAsia="Times New Roman"/>
        </w:rPr>
        <w:t>:C</w:t>
      </w:r>
      <w:r w:rsidR="005F09CE" w:rsidRPr="00366A0F">
        <w:rPr>
          <w:rFonts w:eastAsia="Times New Roman"/>
          <w:vertAlign w:val="subscript"/>
        </w:rPr>
        <w:t>10</w:t>
      </w:r>
      <w:r w:rsidR="005F09CE" w:rsidRPr="00366A0F">
        <w:rPr>
          <w:rFonts w:eastAsia="Times New Roman"/>
        </w:rPr>
        <w:t xml:space="preserve"> ratio of 30:70</w:t>
      </w:r>
      <w:r w:rsidR="00653D08" w:rsidRPr="00366A0F">
        <w:rPr>
          <w:rFonts w:eastAsia="Times New Roman"/>
        </w:rPr>
        <w:t xml:space="preserve"> on cognitive performance in </w:t>
      </w:r>
      <w:r w:rsidR="008C4E6C" w:rsidRPr="00366A0F">
        <w:rPr>
          <w:rFonts w:eastAsia="Times New Roman"/>
        </w:rPr>
        <w:t>healthy</w:t>
      </w:r>
      <w:r w:rsidR="00653D08" w:rsidRPr="00366A0F">
        <w:rPr>
          <w:rFonts w:eastAsia="Times New Roman"/>
        </w:rPr>
        <w:t xml:space="preserve"> young adults</w:t>
      </w:r>
    </w:p>
    <w:p w14:paraId="7C3ED74D" w14:textId="77777777" w:rsidR="000203E9" w:rsidRPr="00366A0F" w:rsidRDefault="000203E9" w:rsidP="000203E9">
      <w:pPr>
        <w:spacing w:line="360" w:lineRule="auto"/>
        <w:jc w:val="both"/>
      </w:pPr>
    </w:p>
    <w:p w14:paraId="11D69166" w14:textId="33282D84" w:rsidR="000203E9" w:rsidRPr="00366A0F" w:rsidRDefault="000203E9" w:rsidP="000203E9">
      <w:pPr>
        <w:spacing w:line="360" w:lineRule="auto"/>
        <w:jc w:val="both"/>
      </w:pPr>
      <w:r w:rsidRPr="00366A0F">
        <w:rPr>
          <w:b/>
        </w:rPr>
        <w:t>Preferred Running Head:</w:t>
      </w:r>
      <w:r w:rsidRPr="00366A0F">
        <w:t xml:space="preserve"> </w:t>
      </w:r>
      <w:r w:rsidR="00D31F5C" w:rsidRPr="00366A0F">
        <w:t>MCT cognitive performance</w:t>
      </w:r>
    </w:p>
    <w:p w14:paraId="6F94A33C" w14:textId="77777777" w:rsidR="000203E9" w:rsidRPr="00366A0F" w:rsidRDefault="000203E9" w:rsidP="000203E9">
      <w:pPr>
        <w:spacing w:line="360" w:lineRule="auto"/>
        <w:jc w:val="both"/>
        <w:rPr>
          <w:b/>
        </w:rPr>
      </w:pPr>
    </w:p>
    <w:p w14:paraId="344722F1" w14:textId="77777777" w:rsidR="000203E9" w:rsidRPr="00366A0F" w:rsidRDefault="000203E9" w:rsidP="000203E9">
      <w:pPr>
        <w:spacing w:line="360" w:lineRule="auto"/>
        <w:jc w:val="both"/>
      </w:pPr>
      <w:r w:rsidRPr="00366A0F">
        <w:rPr>
          <w:b/>
        </w:rPr>
        <w:t xml:space="preserve">Submission Type: </w:t>
      </w:r>
      <w:r w:rsidRPr="00366A0F">
        <w:t>Original Article</w:t>
      </w:r>
    </w:p>
    <w:p w14:paraId="281451FE" w14:textId="77777777" w:rsidR="000203E9" w:rsidRPr="00366A0F" w:rsidRDefault="000203E9" w:rsidP="000203E9">
      <w:pPr>
        <w:spacing w:line="360" w:lineRule="auto"/>
        <w:jc w:val="both"/>
        <w:rPr>
          <w:b/>
        </w:rPr>
      </w:pPr>
    </w:p>
    <w:p w14:paraId="18A78152" w14:textId="6A5A0B0B" w:rsidR="000203E9" w:rsidRPr="00366A0F" w:rsidRDefault="000203E9" w:rsidP="000203E9">
      <w:pPr>
        <w:spacing w:line="360" w:lineRule="auto"/>
        <w:jc w:val="both"/>
      </w:pPr>
      <w:r w:rsidRPr="00366A0F">
        <w:rPr>
          <w:b/>
        </w:rPr>
        <w:t>Authors:</w:t>
      </w:r>
      <w:r w:rsidRPr="00366A0F">
        <w:t xml:space="preserve"> Jake </w:t>
      </w:r>
      <w:r w:rsidR="002315A6" w:rsidRPr="00366A0F">
        <w:t xml:space="preserve">S. </w:t>
      </w:r>
      <w:r w:rsidRPr="00366A0F">
        <w:t>Ashton</w:t>
      </w:r>
      <w:r w:rsidRPr="00366A0F">
        <w:rPr>
          <w:vertAlign w:val="superscript"/>
        </w:rPr>
        <w:t>1</w:t>
      </w:r>
      <w:r w:rsidRPr="00366A0F">
        <w:t>, James W. Roberts</w:t>
      </w:r>
      <w:r w:rsidRPr="00366A0F">
        <w:rPr>
          <w:vertAlign w:val="superscript"/>
        </w:rPr>
        <w:t>2</w:t>
      </w:r>
      <w:r w:rsidRPr="00366A0F">
        <w:t>, Caroline J. Wakefield</w:t>
      </w:r>
      <w:r w:rsidRPr="00366A0F">
        <w:rPr>
          <w:vertAlign w:val="superscript"/>
        </w:rPr>
        <w:t>1</w:t>
      </w:r>
      <w:r w:rsidRPr="00366A0F">
        <w:t xml:space="preserve">, </w:t>
      </w:r>
      <w:r w:rsidR="009B60FA" w:rsidRPr="00366A0F">
        <w:t>Richard M. Page</w:t>
      </w:r>
      <w:r w:rsidR="009B60FA" w:rsidRPr="00366A0F">
        <w:rPr>
          <w:vertAlign w:val="superscript"/>
        </w:rPr>
        <w:t>3</w:t>
      </w:r>
      <w:r w:rsidR="009B60FA" w:rsidRPr="00366A0F">
        <w:t>, Don P. M. MacLaren</w:t>
      </w:r>
      <w:r w:rsidR="009B60FA" w:rsidRPr="00366A0F">
        <w:rPr>
          <w:vertAlign w:val="superscript"/>
        </w:rPr>
        <w:t>2</w:t>
      </w:r>
      <w:r w:rsidR="009B60FA" w:rsidRPr="00366A0F">
        <w:t xml:space="preserve">, </w:t>
      </w:r>
      <w:r w:rsidRPr="00366A0F">
        <w:t>Simon Marwood</w:t>
      </w:r>
      <w:r w:rsidRPr="00366A0F">
        <w:rPr>
          <w:vertAlign w:val="superscript"/>
        </w:rPr>
        <w:t>1</w:t>
      </w:r>
      <w:r w:rsidRPr="00366A0F">
        <w:t>, James J. Malone</w:t>
      </w:r>
      <w:r w:rsidRPr="00366A0F">
        <w:rPr>
          <w:vertAlign w:val="superscript"/>
        </w:rPr>
        <w:t>1</w:t>
      </w:r>
    </w:p>
    <w:p w14:paraId="6DAE9783" w14:textId="77777777" w:rsidR="000203E9" w:rsidRPr="00366A0F" w:rsidRDefault="000203E9" w:rsidP="000203E9">
      <w:pPr>
        <w:spacing w:line="360" w:lineRule="auto"/>
        <w:jc w:val="both"/>
      </w:pPr>
    </w:p>
    <w:p w14:paraId="5DF7742D" w14:textId="77777777" w:rsidR="000203E9" w:rsidRPr="00366A0F" w:rsidRDefault="000203E9" w:rsidP="000203E9">
      <w:pPr>
        <w:spacing w:line="360" w:lineRule="auto"/>
        <w:jc w:val="both"/>
        <w:rPr>
          <w:b/>
        </w:rPr>
      </w:pPr>
      <w:r w:rsidRPr="00366A0F">
        <w:rPr>
          <w:b/>
        </w:rPr>
        <w:t xml:space="preserve">Affiliations: </w:t>
      </w:r>
    </w:p>
    <w:p w14:paraId="7930B84A" w14:textId="77777777" w:rsidR="000203E9" w:rsidRPr="00366A0F" w:rsidRDefault="000203E9" w:rsidP="000203E9">
      <w:pPr>
        <w:spacing w:line="360" w:lineRule="auto"/>
        <w:jc w:val="both"/>
        <w:rPr>
          <w:b/>
        </w:rPr>
      </w:pPr>
      <w:r w:rsidRPr="00366A0F">
        <w:rPr>
          <w:vertAlign w:val="superscript"/>
        </w:rPr>
        <w:t>1</w:t>
      </w:r>
      <w:r w:rsidRPr="00366A0F">
        <w:t xml:space="preserve"> School of Health Sciences, Liverpool Hope University, Liverpool, UK</w:t>
      </w:r>
    </w:p>
    <w:p w14:paraId="5D1AD5D5" w14:textId="611842CB" w:rsidR="000203E9" w:rsidRPr="00366A0F" w:rsidRDefault="000203E9" w:rsidP="000203E9">
      <w:pPr>
        <w:spacing w:line="360" w:lineRule="auto"/>
        <w:jc w:val="both"/>
      </w:pPr>
      <w:r w:rsidRPr="00366A0F">
        <w:rPr>
          <w:vertAlign w:val="superscript"/>
        </w:rPr>
        <w:t>2</w:t>
      </w:r>
      <w:r w:rsidRPr="00366A0F">
        <w:t xml:space="preserve"> School of Sport and Exercise Sciences, Liverpool John Moores University, Liverpool, UK</w:t>
      </w:r>
    </w:p>
    <w:p w14:paraId="7AC755E9" w14:textId="1A2FAA8E" w:rsidR="009B60FA" w:rsidRPr="00366A0F" w:rsidRDefault="009B60FA" w:rsidP="000203E9">
      <w:pPr>
        <w:spacing w:line="360" w:lineRule="auto"/>
        <w:jc w:val="both"/>
      </w:pPr>
      <w:r w:rsidRPr="00366A0F">
        <w:rPr>
          <w:vertAlign w:val="superscript"/>
        </w:rPr>
        <w:t>3</w:t>
      </w:r>
      <w:r w:rsidRPr="00366A0F">
        <w:t xml:space="preserve"> Department of Sport and Physical Activity, Edge Hill University, Ormskirk, UK</w:t>
      </w:r>
    </w:p>
    <w:p w14:paraId="4EB6567A" w14:textId="77777777" w:rsidR="000203E9" w:rsidRPr="00366A0F" w:rsidRDefault="000203E9" w:rsidP="000203E9">
      <w:pPr>
        <w:spacing w:line="360" w:lineRule="auto"/>
        <w:jc w:val="both"/>
      </w:pPr>
    </w:p>
    <w:p w14:paraId="442076CA" w14:textId="77777777" w:rsidR="000203E9" w:rsidRPr="00366A0F" w:rsidRDefault="000203E9" w:rsidP="000203E9">
      <w:pPr>
        <w:spacing w:line="360" w:lineRule="auto"/>
        <w:jc w:val="both"/>
        <w:rPr>
          <w:b/>
        </w:rPr>
      </w:pPr>
      <w:r w:rsidRPr="00366A0F">
        <w:rPr>
          <w:b/>
        </w:rPr>
        <w:t>Corresponding Author:</w:t>
      </w:r>
    </w:p>
    <w:p w14:paraId="2C79EF83" w14:textId="77777777" w:rsidR="000203E9" w:rsidRPr="00366A0F" w:rsidRDefault="000203E9" w:rsidP="000203E9">
      <w:pPr>
        <w:spacing w:line="360" w:lineRule="auto"/>
        <w:jc w:val="both"/>
      </w:pPr>
      <w:r w:rsidRPr="00366A0F">
        <w:t>Dr. James Malone</w:t>
      </w:r>
    </w:p>
    <w:p w14:paraId="5CE63D0B" w14:textId="77777777" w:rsidR="000203E9" w:rsidRPr="00366A0F" w:rsidRDefault="000203E9" w:rsidP="000203E9">
      <w:pPr>
        <w:spacing w:line="360" w:lineRule="auto"/>
        <w:jc w:val="both"/>
      </w:pPr>
      <w:r w:rsidRPr="00366A0F">
        <w:t>School of Health Sciences</w:t>
      </w:r>
    </w:p>
    <w:p w14:paraId="07C0C1A4" w14:textId="77777777" w:rsidR="000203E9" w:rsidRPr="00366A0F" w:rsidRDefault="000203E9" w:rsidP="000203E9">
      <w:pPr>
        <w:spacing w:line="360" w:lineRule="auto"/>
        <w:jc w:val="both"/>
      </w:pPr>
      <w:r w:rsidRPr="00366A0F">
        <w:rPr>
          <w:b/>
        </w:rPr>
        <w:t>Address:</w:t>
      </w:r>
      <w:r w:rsidRPr="00366A0F">
        <w:t xml:space="preserve"> Liverpool Hope University, Hope Park Campus, Liverpool, L16 9JD</w:t>
      </w:r>
    </w:p>
    <w:p w14:paraId="08D1609C" w14:textId="77777777" w:rsidR="000203E9" w:rsidRPr="00366A0F" w:rsidRDefault="000203E9" w:rsidP="000203E9">
      <w:pPr>
        <w:spacing w:line="360" w:lineRule="auto"/>
        <w:jc w:val="both"/>
      </w:pPr>
      <w:r w:rsidRPr="00366A0F">
        <w:rPr>
          <w:b/>
        </w:rPr>
        <w:t>Email:</w:t>
      </w:r>
      <w:r w:rsidRPr="00366A0F">
        <w:t xml:space="preserve"> malonej2@hope.ac.uk</w:t>
      </w:r>
    </w:p>
    <w:p w14:paraId="637404B4" w14:textId="77777777" w:rsidR="000203E9" w:rsidRPr="00366A0F" w:rsidRDefault="000203E9" w:rsidP="000203E9">
      <w:pPr>
        <w:spacing w:line="360" w:lineRule="auto"/>
        <w:jc w:val="both"/>
      </w:pPr>
      <w:r w:rsidRPr="00366A0F">
        <w:rPr>
          <w:b/>
        </w:rPr>
        <w:t>Tel:</w:t>
      </w:r>
      <w:r w:rsidRPr="00366A0F">
        <w:t xml:space="preserve"> +44 (0) 151 291 3264</w:t>
      </w:r>
    </w:p>
    <w:p w14:paraId="74E56AE5" w14:textId="77777777" w:rsidR="000203E9" w:rsidRPr="00366A0F" w:rsidRDefault="000203E9" w:rsidP="000203E9">
      <w:pPr>
        <w:spacing w:line="360" w:lineRule="auto"/>
        <w:jc w:val="both"/>
      </w:pPr>
    </w:p>
    <w:p w14:paraId="2042B68C" w14:textId="6EB38F48" w:rsidR="000203E9" w:rsidRPr="00016E04" w:rsidRDefault="000203E9" w:rsidP="000203E9">
      <w:pPr>
        <w:spacing w:line="360" w:lineRule="auto"/>
        <w:jc w:val="both"/>
        <w:rPr>
          <w:color w:val="000000" w:themeColor="text1"/>
        </w:rPr>
      </w:pPr>
      <w:r w:rsidRPr="00366A0F">
        <w:rPr>
          <w:b/>
        </w:rPr>
        <w:t xml:space="preserve">Abstract </w:t>
      </w:r>
      <w:r w:rsidRPr="00016E04">
        <w:rPr>
          <w:b/>
          <w:color w:val="000000" w:themeColor="text1"/>
        </w:rPr>
        <w:t xml:space="preserve">Word Count: </w:t>
      </w:r>
      <w:r w:rsidR="00436122" w:rsidRPr="00016E04">
        <w:rPr>
          <w:color w:val="000000" w:themeColor="text1"/>
        </w:rPr>
        <w:t>2</w:t>
      </w:r>
      <w:r w:rsidR="009752E6" w:rsidRPr="00016E04">
        <w:rPr>
          <w:color w:val="000000" w:themeColor="text1"/>
        </w:rPr>
        <w:t>4</w:t>
      </w:r>
      <w:r w:rsidR="007B5927" w:rsidRPr="00016E04">
        <w:rPr>
          <w:color w:val="000000" w:themeColor="text1"/>
        </w:rPr>
        <w:t>8</w:t>
      </w:r>
    </w:p>
    <w:p w14:paraId="3A61ED4E" w14:textId="754C7A8D" w:rsidR="000203E9" w:rsidRPr="00016E04" w:rsidRDefault="000203E9" w:rsidP="000203E9">
      <w:pPr>
        <w:spacing w:line="360" w:lineRule="auto"/>
        <w:jc w:val="both"/>
        <w:rPr>
          <w:color w:val="000000" w:themeColor="text1"/>
        </w:rPr>
      </w:pPr>
      <w:r w:rsidRPr="00016E04">
        <w:rPr>
          <w:b/>
          <w:color w:val="000000" w:themeColor="text1"/>
        </w:rPr>
        <w:t>Manuscript Word Count:</w:t>
      </w:r>
      <w:r w:rsidRPr="00016E04">
        <w:rPr>
          <w:color w:val="000000" w:themeColor="text1"/>
        </w:rPr>
        <w:t xml:space="preserve"> </w:t>
      </w:r>
      <w:r w:rsidR="00906D26" w:rsidRPr="00016E04">
        <w:rPr>
          <w:color w:val="000000" w:themeColor="text1"/>
        </w:rPr>
        <w:t>5</w:t>
      </w:r>
      <w:r w:rsidR="00A44B40" w:rsidRPr="00016E04">
        <w:rPr>
          <w:color w:val="000000" w:themeColor="text1"/>
        </w:rPr>
        <w:t>802</w:t>
      </w:r>
    </w:p>
    <w:p w14:paraId="65A79592" w14:textId="7426131E" w:rsidR="00073222" w:rsidRPr="00016E04" w:rsidRDefault="000203E9" w:rsidP="000203E9">
      <w:pPr>
        <w:spacing w:line="360" w:lineRule="auto"/>
        <w:jc w:val="both"/>
        <w:rPr>
          <w:color w:val="000000" w:themeColor="text1"/>
        </w:rPr>
        <w:sectPr w:rsidR="00073222" w:rsidRPr="00016E04" w:rsidSect="00073222">
          <w:pgSz w:w="11909" w:h="16834"/>
          <w:pgMar w:top="1440" w:right="1440" w:bottom="1440" w:left="1440" w:header="720" w:footer="720" w:gutter="0"/>
          <w:lnNumType w:countBy="1" w:restart="continuous"/>
          <w:pgNumType w:start="1"/>
          <w:cols w:space="720"/>
          <w:docGrid w:linePitch="299"/>
        </w:sectPr>
      </w:pPr>
      <w:r w:rsidRPr="00016E04">
        <w:rPr>
          <w:b/>
          <w:color w:val="000000" w:themeColor="text1"/>
        </w:rPr>
        <w:t>Number of Tables/Figures:</w:t>
      </w:r>
      <w:r w:rsidRPr="00016E04">
        <w:rPr>
          <w:color w:val="000000" w:themeColor="text1"/>
        </w:rPr>
        <w:t xml:space="preserve"> Tables = 3, Figures = </w:t>
      </w:r>
      <w:r w:rsidR="0073587C" w:rsidRPr="00016E04">
        <w:rPr>
          <w:color w:val="000000" w:themeColor="text1"/>
        </w:rPr>
        <w:t>3</w:t>
      </w:r>
    </w:p>
    <w:p w14:paraId="1BA08A2F" w14:textId="77777777" w:rsidR="00D31F5C" w:rsidRPr="00366A0F" w:rsidRDefault="00D31F5C" w:rsidP="00D31F5C">
      <w:pPr>
        <w:spacing w:before="240" w:after="240" w:line="360" w:lineRule="auto"/>
        <w:jc w:val="both"/>
        <w:rPr>
          <w:rFonts w:eastAsia="Times New Roman"/>
          <w:b/>
        </w:rPr>
      </w:pPr>
      <w:r w:rsidRPr="00366A0F">
        <w:rPr>
          <w:rFonts w:eastAsia="Times New Roman"/>
          <w:b/>
        </w:rPr>
        <w:lastRenderedPageBreak/>
        <w:t>Abstract</w:t>
      </w:r>
    </w:p>
    <w:p w14:paraId="78E1E99D" w14:textId="3C029E07" w:rsidR="00D31F5C" w:rsidRPr="00366A0F" w:rsidRDefault="00D31F5C" w:rsidP="00D31F5C">
      <w:pPr>
        <w:spacing w:line="360" w:lineRule="auto"/>
        <w:jc w:val="both"/>
        <w:rPr>
          <w:rFonts w:eastAsia="Times New Roman"/>
          <w:bCs/>
        </w:rPr>
      </w:pPr>
      <w:r w:rsidRPr="00366A0F">
        <w:rPr>
          <w:rFonts w:eastAsia="Times New Roman"/>
          <w:b/>
          <w:bCs/>
          <w:i/>
          <w:iCs/>
        </w:rPr>
        <w:t>Purpose:</w:t>
      </w:r>
      <w:r w:rsidRPr="00366A0F">
        <w:rPr>
          <w:rFonts w:eastAsia="Times New Roman"/>
          <w:bCs/>
        </w:rPr>
        <w:t xml:space="preserve"> The brain can utilise </w:t>
      </w:r>
      <w:r w:rsidR="00E522A7" w:rsidRPr="00366A0F">
        <w:rPr>
          <w:rFonts w:eastAsia="Times New Roman"/>
          <w:bCs/>
        </w:rPr>
        <w:t>medium chain triglycerides (</w:t>
      </w:r>
      <w:r w:rsidRPr="00366A0F">
        <w:rPr>
          <w:rFonts w:eastAsia="Times New Roman"/>
          <w:bCs/>
        </w:rPr>
        <w:t>MCTs</w:t>
      </w:r>
      <w:r w:rsidR="00E522A7" w:rsidRPr="00366A0F">
        <w:rPr>
          <w:rFonts w:eastAsia="Times New Roman"/>
          <w:bCs/>
        </w:rPr>
        <w:t>)</w:t>
      </w:r>
      <w:r w:rsidRPr="00366A0F">
        <w:rPr>
          <w:rFonts w:eastAsia="Times New Roman"/>
          <w:bCs/>
        </w:rPr>
        <w:t xml:space="preserve"> as an alternative fuel than glucose</w:t>
      </w:r>
      <w:r w:rsidR="00F8304A" w:rsidRPr="00366A0F">
        <w:rPr>
          <w:rFonts w:eastAsia="Times New Roman"/>
          <w:bCs/>
        </w:rPr>
        <w:t>, and</w:t>
      </w:r>
      <w:r w:rsidRPr="00366A0F">
        <w:rPr>
          <w:rFonts w:eastAsia="Times New Roman"/>
          <w:bCs/>
        </w:rPr>
        <w:t xml:space="preserve"> </w:t>
      </w:r>
      <w:r w:rsidR="00F8304A" w:rsidRPr="00366A0F">
        <w:rPr>
          <w:rFonts w:eastAsia="Times New Roman"/>
          <w:bCs/>
        </w:rPr>
        <w:t>r</w:t>
      </w:r>
      <w:r w:rsidRPr="00366A0F">
        <w:rPr>
          <w:rFonts w:eastAsia="Times New Roman"/>
          <w:bCs/>
        </w:rPr>
        <w:t xml:space="preserve">esearch has </w:t>
      </w:r>
      <w:r w:rsidR="00F8304A" w:rsidRPr="00366A0F">
        <w:rPr>
          <w:rFonts w:eastAsia="Times New Roman"/>
          <w:bCs/>
        </w:rPr>
        <w:t xml:space="preserve">shown </w:t>
      </w:r>
      <w:r w:rsidRPr="00366A0F">
        <w:rPr>
          <w:rFonts w:eastAsia="Times New Roman"/>
          <w:bCs/>
        </w:rPr>
        <w:t xml:space="preserve">that MCT ingestion improves cognitive function in diseased and/or elderly individuals. The aim of this study is to determine if these improvements can also be </w:t>
      </w:r>
      <w:r w:rsidR="00F8304A" w:rsidRPr="00366A0F">
        <w:rPr>
          <w:rFonts w:eastAsia="Times New Roman"/>
          <w:bCs/>
        </w:rPr>
        <w:t xml:space="preserve">observed </w:t>
      </w:r>
      <w:r w:rsidRPr="00366A0F">
        <w:rPr>
          <w:rFonts w:eastAsia="Times New Roman"/>
          <w:bCs/>
        </w:rPr>
        <w:t>in young, healthy adults. Furthermore, we aim to establish the ideal dosage and timeframe necessary</w:t>
      </w:r>
      <w:r w:rsidR="00F8304A" w:rsidRPr="00366A0F">
        <w:rPr>
          <w:rFonts w:eastAsia="Times New Roman"/>
          <w:bCs/>
        </w:rPr>
        <w:t xml:space="preserve"> for an effect</w:t>
      </w:r>
      <w:r w:rsidRPr="00366A0F">
        <w:rPr>
          <w:rFonts w:eastAsia="Times New Roman"/>
          <w:bCs/>
        </w:rPr>
        <w:t>.</w:t>
      </w:r>
    </w:p>
    <w:p w14:paraId="0DCC2340" w14:textId="77777777" w:rsidR="00D31F5C" w:rsidRPr="00366A0F" w:rsidRDefault="00D31F5C" w:rsidP="00D31F5C">
      <w:pPr>
        <w:spacing w:line="360" w:lineRule="auto"/>
        <w:jc w:val="both"/>
        <w:rPr>
          <w:rFonts w:eastAsia="Times New Roman"/>
          <w:bCs/>
        </w:rPr>
      </w:pPr>
    </w:p>
    <w:p w14:paraId="6B71016C" w14:textId="77B4A4D1" w:rsidR="00D31F5C" w:rsidRPr="00366A0F" w:rsidRDefault="00D31F5C" w:rsidP="00D31F5C">
      <w:pPr>
        <w:spacing w:line="360" w:lineRule="auto"/>
        <w:jc w:val="both"/>
        <w:rPr>
          <w:rFonts w:eastAsia="Times New Roman"/>
        </w:rPr>
      </w:pPr>
      <w:r w:rsidRPr="00366A0F">
        <w:rPr>
          <w:rFonts w:eastAsia="Times New Roman"/>
          <w:b/>
          <w:bCs/>
          <w:i/>
          <w:iCs/>
        </w:rPr>
        <w:t>Methods:</w:t>
      </w:r>
      <w:r w:rsidRPr="00366A0F">
        <w:rPr>
          <w:rFonts w:eastAsia="Times New Roman"/>
          <w:bCs/>
          <w:i/>
          <w:iCs/>
        </w:rPr>
        <w:t xml:space="preserve"> </w:t>
      </w:r>
      <w:r w:rsidR="005144CE" w:rsidRPr="00366A0F">
        <w:rPr>
          <w:rFonts w:eastAsia="Times New Roman"/>
          <w:bCs/>
        </w:rPr>
        <w:t>P</w:t>
      </w:r>
      <w:r w:rsidRPr="00366A0F">
        <w:rPr>
          <w:rFonts w:eastAsia="Times New Roman"/>
          <w:bCs/>
        </w:rPr>
        <w:t>articipants</w:t>
      </w:r>
      <w:r w:rsidRPr="00366A0F">
        <w:rPr>
          <w:rFonts w:eastAsia="Times New Roman"/>
        </w:rPr>
        <w:t xml:space="preserve"> were </w:t>
      </w:r>
      <w:r w:rsidR="00F8304A" w:rsidRPr="00366A0F">
        <w:rPr>
          <w:rFonts w:eastAsia="Times New Roman"/>
        </w:rPr>
        <w:t xml:space="preserve">divided </w:t>
      </w:r>
      <w:r w:rsidRPr="00366A0F">
        <w:rPr>
          <w:rFonts w:eastAsia="Times New Roman"/>
        </w:rPr>
        <w:t>equally into three groups</w:t>
      </w:r>
      <w:r w:rsidR="005144CE" w:rsidRPr="00366A0F">
        <w:rPr>
          <w:rFonts w:eastAsia="Times New Roman"/>
        </w:rPr>
        <w:t xml:space="preserve"> of 10</w:t>
      </w:r>
      <w:r w:rsidRPr="00366A0F">
        <w:rPr>
          <w:rFonts w:eastAsia="Times New Roman"/>
        </w:rPr>
        <w:t xml:space="preserve"> (Placebo (0g), 12g and 18g MCT/day) and were supplemented for 4 </w:t>
      </w:r>
      <w:r w:rsidR="000376E3" w:rsidRPr="00366A0F">
        <w:rPr>
          <w:rFonts w:eastAsia="Times New Roman"/>
        </w:rPr>
        <w:t>w</w:t>
      </w:r>
      <w:r w:rsidRPr="00366A0F">
        <w:rPr>
          <w:rFonts w:eastAsia="Times New Roman"/>
        </w:rPr>
        <w:t>eeks. The supplement had a C</w:t>
      </w:r>
      <w:r w:rsidRPr="00366A0F">
        <w:rPr>
          <w:rFonts w:eastAsia="Times New Roman"/>
          <w:vertAlign w:val="subscript"/>
        </w:rPr>
        <w:t>8</w:t>
      </w:r>
      <w:r w:rsidRPr="00366A0F">
        <w:rPr>
          <w:rFonts w:eastAsia="Times New Roman"/>
        </w:rPr>
        <w:t>:C</w:t>
      </w:r>
      <w:r w:rsidRPr="00366A0F">
        <w:rPr>
          <w:rFonts w:eastAsia="Times New Roman"/>
          <w:vertAlign w:val="subscript"/>
        </w:rPr>
        <w:t>10</w:t>
      </w:r>
      <w:r w:rsidRPr="00366A0F">
        <w:rPr>
          <w:rFonts w:eastAsia="Times New Roman"/>
        </w:rPr>
        <w:t xml:space="preserve"> ratio of 30:70. Participants visited the laboratory once a </w:t>
      </w:r>
      <w:r w:rsidR="000376E3" w:rsidRPr="00366A0F">
        <w:rPr>
          <w:rFonts w:eastAsia="Times New Roman"/>
        </w:rPr>
        <w:t>w</w:t>
      </w:r>
      <w:r w:rsidRPr="00366A0F">
        <w:rPr>
          <w:rFonts w:eastAsia="Times New Roman"/>
        </w:rPr>
        <w:t xml:space="preserve">eek for 5 </w:t>
      </w:r>
      <w:r w:rsidR="000376E3" w:rsidRPr="00366A0F">
        <w:rPr>
          <w:rFonts w:eastAsia="Times New Roman"/>
        </w:rPr>
        <w:t>w</w:t>
      </w:r>
      <w:r w:rsidRPr="00366A0F">
        <w:rPr>
          <w:rFonts w:eastAsia="Times New Roman"/>
        </w:rPr>
        <w:t xml:space="preserve">eeks (baseline, test </w:t>
      </w:r>
      <w:r w:rsidR="000376E3" w:rsidRPr="00366A0F">
        <w:rPr>
          <w:rFonts w:eastAsia="Times New Roman"/>
        </w:rPr>
        <w:t>w</w:t>
      </w:r>
      <w:r w:rsidRPr="00366A0F">
        <w:rPr>
          <w:rFonts w:eastAsia="Times New Roman"/>
        </w:rPr>
        <w:t>eeks 1-4) to undergo a battery of cognitive tests; Trail Making, Digit Span, Spatial Span, Covert Shift of Attention</w:t>
      </w:r>
      <w:r w:rsidR="00F8304A" w:rsidRPr="00366A0F">
        <w:rPr>
          <w:rFonts w:eastAsia="Times New Roman"/>
        </w:rPr>
        <w:t>,</w:t>
      </w:r>
      <w:r w:rsidRPr="00366A0F">
        <w:rPr>
          <w:rFonts w:eastAsia="Times New Roman"/>
        </w:rPr>
        <w:t xml:space="preserve"> and Rapid Visual Information Processing.</w:t>
      </w:r>
    </w:p>
    <w:p w14:paraId="69508EC2" w14:textId="77777777" w:rsidR="00D31F5C" w:rsidRPr="00366A0F" w:rsidRDefault="00D31F5C" w:rsidP="00D31F5C">
      <w:pPr>
        <w:spacing w:line="360" w:lineRule="auto"/>
        <w:jc w:val="both"/>
        <w:rPr>
          <w:rFonts w:eastAsia="Times New Roman"/>
          <w:bCs/>
          <w:iCs/>
        </w:rPr>
      </w:pPr>
      <w:r w:rsidRPr="00366A0F">
        <w:t xml:space="preserve">  </w:t>
      </w:r>
    </w:p>
    <w:p w14:paraId="52819280" w14:textId="77341EF6" w:rsidR="00D31F5C" w:rsidRPr="00366A0F" w:rsidRDefault="00D31F5C" w:rsidP="00D31F5C">
      <w:pPr>
        <w:spacing w:line="360" w:lineRule="auto"/>
        <w:jc w:val="both"/>
        <w:rPr>
          <w:rFonts w:eastAsia="Times New Roman"/>
          <w:bCs/>
        </w:rPr>
      </w:pPr>
      <w:r w:rsidRPr="00366A0F">
        <w:rPr>
          <w:rFonts w:eastAsia="Times New Roman"/>
          <w:b/>
          <w:i/>
          <w:iCs/>
        </w:rPr>
        <w:t>Results:</w:t>
      </w:r>
      <w:r w:rsidR="009752E6" w:rsidRPr="00366A0F">
        <w:rPr>
          <w:rFonts w:eastAsia="Times New Roman"/>
          <w:b/>
          <w:i/>
          <w:iCs/>
        </w:rPr>
        <w:t xml:space="preserve"> </w:t>
      </w:r>
      <w:r w:rsidR="009752E6" w:rsidRPr="00366A0F">
        <w:rPr>
          <w:rFonts w:eastAsia="Times New Roman"/>
          <w:bCs/>
        </w:rPr>
        <w:t xml:space="preserve">After 2-3 weeks of supplementation, MCT ingestion enhanced </w:t>
      </w:r>
      <w:r w:rsidRPr="00366A0F">
        <w:rPr>
          <w:rFonts w:eastAsia="Times New Roman"/>
        </w:rPr>
        <w:t>performance in cognitive tasks, including: Trail Making A</w:t>
      </w:r>
      <w:r w:rsidR="00E522A7" w:rsidRPr="00366A0F">
        <w:rPr>
          <w:rFonts w:eastAsia="Times New Roman"/>
        </w:rPr>
        <w:t>/</w:t>
      </w:r>
      <w:r w:rsidRPr="00366A0F">
        <w:rPr>
          <w:rFonts w:eastAsia="Times New Roman"/>
        </w:rPr>
        <w:t>B and Digit Span Forwards</w:t>
      </w:r>
      <w:r w:rsidR="00E522A7" w:rsidRPr="00366A0F">
        <w:rPr>
          <w:rFonts w:eastAsia="Times New Roman"/>
        </w:rPr>
        <w:t>/</w:t>
      </w:r>
      <w:r w:rsidRPr="00366A0F">
        <w:rPr>
          <w:rFonts w:eastAsia="Times New Roman"/>
        </w:rPr>
        <w:t>Backwards (ps&lt;0.001)</w:t>
      </w:r>
      <w:r w:rsidR="009752E6" w:rsidRPr="00366A0F">
        <w:rPr>
          <w:rFonts w:eastAsia="Times New Roman"/>
        </w:rPr>
        <w:t xml:space="preserve"> when compared to a placebo group taking a carbohydrate gel</w:t>
      </w:r>
      <w:r w:rsidRPr="00366A0F">
        <w:rPr>
          <w:rFonts w:eastAsia="Times New Roman"/>
        </w:rPr>
        <w:t>. In Spatial Span Backwards, there was a significant main effect of group (p=0.002).</w:t>
      </w:r>
      <w:r w:rsidR="00E522A7" w:rsidRPr="00366A0F">
        <w:rPr>
          <w:rFonts w:eastAsia="Times New Roman"/>
        </w:rPr>
        <w:t xml:space="preserve"> Where significance was seen, there were main effects of time after 2-3 </w:t>
      </w:r>
      <w:r w:rsidR="000376E3" w:rsidRPr="00366A0F">
        <w:rPr>
          <w:rFonts w:eastAsia="Times New Roman"/>
        </w:rPr>
        <w:t>weeks</w:t>
      </w:r>
      <w:r w:rsidR="00E522A7" w:rsidRPr="00366A0F">
        <w:rPr>
          <w:rFonts w:eastAsia="Times New Roman"/>
        </w:rPr>
        <w:t xml:space="preserve"> (ps&lt;0.05).</w:t>
      </w:r>
      <w:r w:rsidRPr="00366A0F">
        <w:rPr>
          <w:rFonts w:eastAsia="Times New Roman"/>
        </w:rPr>
        <w:t xml:space="preserve"> </w:t>
      </w:r>
      <w:r w:rsidR="00E522A7" w:rsidRPr="00366A0F">
        <w:rPr>
          <w:rFonts w:eastAsia="Times New Roman"/>
        </w:rPr>
        <w:t>There was minimal difference between the two MCT intervention groups in most measures (ps&gt;0.05).</w:t>
      </w:r>
      <w:r w:rsidR="00604AF6" w:rsidRPr="00366A0F">
        <w:rPr>
          <w:rFonts w:eastAsia="Times New Roman"/>
        </w:rPr>
        <w:t xml:space="preserve"> T</w:t>
      </w:r>
      <w:r w:rsidRPr="00366A0F">
        <w:rPr>
          <w:rFonts w:eastAsia="Times New Roman"/>
        </w:rPr>
        <w:t xml:space="preserve">here </w:t>
      </w:r>
      <w:r w:rsidR="009752E6" w:rsidRPr="00366A0F">
        <w:rPr>
          <w:rFonts w:eastAsia="Times New Roman"/>
        </w:rPr>
        <w:t>were</w:t>
      </w:r>
      <w:r w:rsidRPr="00366A0F">
        <w:rPr>
          <w:rFonts w:eastAsia="Times New Roman"/>
        </w:rPr>
        <w:t xml:space="preserve"> also null results in tasks measuring attention and reaction time</w:t>
      </w:r>
      <w:r w:rsidR="00FC68BA" w:rsidRPr="00366A0F">
        <w:rPr>
          <w:rFonts w:eastAsia="Times New Roman"/>
        </w:rPr>
        <w:t xml:space="preserve"> (ps&gt;0.05)</w:t>
      </w:r>
      <w:r w:rsidRPr="00366A0F">
        <w:rPr>
          <w:rFonts w:eastAsia="Times New Roman"/>
        </w:rPr>
        <w:t>.</w:t>
      </w:r>
      <w:r w:rsidR="00E522A7" w:rsidRPr="00366A0F">
        <w:rPr>
          <w:rFonts w:eastAsia="Times New Roman"/>
        </w:rPr>
        <w:t xml:space="preserve"> </w:t>
      </w:r>
    </w:p>
    <w:p w14:paraId="4FDE132A" w14:textId="77777777" w:rsidR="00D31F5C" w:rsidRPr="00366A0F" w:rsidRDefault="00D31F5C" w:rsidP="00D31F5C">
      <w:pPr>
        <w:spacing w:line="360" w:lineRule="auto"/>
        <w:jc w:val="both"/>
        <w:rPr>
          <w:rFonts w:eastAsia="Times New Roman"/>
        </w:rPr>
      </w:pPr>
      <w:r w:rsidRPr="00366A0F">
        <w:rPr>
          <w:rFonts w:eastAsia="Times New Roman"/>
        </w:rPr>
        <w:t xml:space="preserve"> </w:t>
      </w:r>
    </w:p>
    <w:p w14:paraId="159203DC" w14:textId="022AEF1F" w:rsidR="00D31F5C" w:rsidRPr="00366A0F" w:rsidRDefault="00D31F5C" w:rsidP="00D31F5C">
      <w:pPr>
        <w:spacing w:line="360" w:lineRule="auto"/>
        <w:jc w:val="both"/>
        <w:rPr>
          <w:rFonts w:eastAsia="Times New Roman"/>
        </w:rPr>
      </w:pPr>
      <w:r w:rsidRPr="00366A0F">
        <w:rPr>
          <w:rFonts w:eastAsia="Times New Roman"/>
          <w:b/>
          <w:i/>
          <w:iCs/>
        </w:rPr>
        <w:t>Conclusions:</w:t>
      </w:r>
      <w:r w:rsidRPr="00366A0F">
        <w:rPr>
          <w:rFonts w:eastAsia="Times New Roman"/>
        </w:rPr>
        <w:t xml:space="preserve"> </w:t>
      </w:r>
      <w:r w:rsidR="009752E6" w:rsidRPr="00366A0F">
        <w:rPr>
          <w:rFonts w:eastAsia="Times New Roman"/>
        </w:rPr>
        <w:t xml:space="preserve">MCT ingestion </w:t>
      </w:r>
      <w:r w:rsidR="00D0071C" w:rsidRPr="00366A0F">
        <w:rPr>
          <w:rFonts w:eastAsia="Times New Roman"/>
        </w:rPr>
        <w:t>improved</w:t>
      </w:r>
      <w:r w:rsidR="009752E6" w:rsidRPr="00366A0F">
        <w:rPr>
          <w:rFonts w:eastAsia="Times New Roman"/>
        </w:rPr>
        <w:t xml:space="preserve"> cognitive performance after 2-3 weeks, with </w:t>
      </w:r>
      <w:r w:rsidRPr="00366A0F">
        <w:rPr>
          <w:rFonts w:eastAsia="Times New Roman"/>
        </w:rPr>
        <w:t xml:space="preserve">minimal difference between </w:t>
      </w:r>
      <w:r w:rsidR="009752E6" w:rsidRPr="00366A0F">
        <w:rPr>
          <w:rFonts w:eastAsia="Times New Roman"/>
        </w:rPr>
        <w:t>taking</w:t>
      </w:r>
      <w:r w:rsidRPr="00366A0F">
        <w:rPr>
          <w:rFonts w:eastAsia="Times New Roman"/>
        </w:rPr>
        <w:t xml:space="preserve"> 12g and 18g MCT/</w:t>
      </w:r>
      <w:r w:rsidR="00D0071C" w:rsidRPr="00366A0F">
        <w:rPr>
          <w:rFonts w:eastAsia="Times New Roman"/>
        </w:rPr>
        <w:t>day</w:t>
      </w:r>
      <w:r w:rsidRPr="00366A0F">
        <w:rPr>
          <w:rFonts w:eastAsia="Times New Roman"/>
        </w:rPr>
        <w:t xml:space="preserve"> groups, suggesting a possible dose-response threshold at 12g MCT/day when supplementing over a short period.</w:t>
      </w:r>
    </w:p>
    <w:p w14:paraId="154B89C9" w14:textId="77777777" w:rsidR="00D31F5C" w:rsidRPr="00366A0F" w:rsidRDefault="00D31F5C" w:rsidP="00D31F5C">
      <w:pPr>
        <w:spacing w:line="360" w:lineRule="auto"/>
        <w:jc w:val="both"/>
        <w:rPr>
          <w:rFonts w:eastAsia="Times New Roman"/>
        </w:rPr>
      </w:pPr>
    </w:p>
    <w:p w14:paraId="0DF1B386" w14:textId="6154A5D3" w:rsidR="00D31F5C" w:rsidRPr="00366A0F" w:rsidRDefault="00D31F5C" w:rsidP="00D31F5C">
      <w:pPr>
        <w:spacing w:line="360" w:lineRule="auto"/>
        <w:jc w:val="both"/>
        <w:rPr>
          <w:rFonts w:eastAsia="Times New Roman"/>
          <w:b/>
        </w:rPr>
        <w:sectPr w:rsidR="00D31F5C" w:rsidRPr="00366A0F" w:rsidSect="00073222">
          <w:pgSz w:w="11909" w:h="16834"/>
          <w:pgMar w:top="1440" w:right="1440" w:bottom="1440" w:left="1440" w:header="720" w:footer="720" w:gutter="0"/>
          <w:lnNumType w:countBy="1" w:restart="continuous"/>
          <w:pgNumType w:start="1"/>
          <w:cols w:space="720"/>
          <w:docGrid w:linePitch="299"/>
        </w:sectPr>
      </w:pPr>
      <w:r w:rsidRPr="00366A0F">
        <w:rPr>
          <w:rFonts w:eastAsia="Times New Roman"/>
          <w:b/>
        </w:rPr>
        <w:t xml:space="preserve">Keywords: </w:t>
      </w:r>
      <w:r w:rsidRPr="00366A0F">
        <w:rPr>
          <w:rFonts w:eastAsia="Times New Roman"/>
        </w:rPr>
        <w:t>MCTs, Processing Speed, Task Switching, Working Memory, Cognition</w:t>
      </w:r>
    </w:p>
    <w:p w14:paraId="04C304D3" w14:textId="374DEF03" w:rsidR="00073222" w:rsidRPr="00366A0F" w:rsidRDefault="00741761" w:rsidP="00073222">
      <w:pPr>
        <w:spacing w:line="360" w:lineRule="auto"/>
        <w:rPr>
          <w:rFonts w:eastAsia="Times New Roman"/>
          <w:b/>
        </w:rPr>
      </w:pPr>
      <w:r w:rsidRPr="00366A0F">
        <w:rPr>
          <w:rFonts w:eastAsia="Times New Roman"/>
          <w:b/>
        </w:rPr>
        <w:lastRenderedPageBreak/>
        <w:t>Introduction</w:t>
      </w:r>
    </w:p>
    <w:p w14:paraId="51A70052" w14:textId="3581C41B" w:rsidR="002570F4" w:rsidRPr="00016E04" w:rsidRDefault="002570F4" w:rsidP="00073222">
      <w:pPr>
        <w:spacing w:line="360" w:lineRule="auto"/>
        <w:jc w:val="both"/>
        <w:rPr>
          <w:rFonts w:eastAsia="Times New Roman"/>
          <w:color w:val="000000" w:themeColor="text1"/>
        </w:rPr>
      </w:pPr>
      <w:r w:rsidRPr="00366A0F">
        <w:rPr>
          <w:rFonts w:eastAsia="Times New Roman"/>
        </w:rPr>
        <w:t>Medium chain triglycerides (MCTs) are mixed fatty acids with a chain length of between 6 and 12</w:t>
      </w:r>
      <w:r w:rsidR="00103F9C" w:rsidRPr="00366A0F">
        <w:rPr>
          <w:rFonts w:eastAsia="Times New Roman"/>
        </w:rPr>
        <w:t xml:space="preserve"> carbon atoms</w:t>
      </w:r>
      <w:r w:rsidRPr="00366A0F">
        <w:rPr>
          <w:rFonts w:eastAsia="Times New Roman"/>
        </w:rPr>
        <w:t xml:space="preserve">. </w:t>
      </w:r>
      <w:r w:rsidR="002B67E8" w:rsidRPr="00366A0F">
        <w:rPr>
          <w:rFonts w:eastAsia="Times New Roman"/>
        </w:rPr>
        <w:t xml:space="preserve">Naturally occurring </w:t>
      </w:r>
      <w:r w:rsidR="002B67E8" w:rsidRPr="00366A0F">
        <w:rPr>
          <w:rFonts w:eastAsia="Times New Roman"/>
          <w:bCs/>
        </w:rPr>
        <w:t>sources of MCTs include coconut oil, palm kernel oil and breast milk.</w:t>
      </w:r>
      <w:r w:rsidR="002B67E8" w:rsidRPr="00366A0F">
        <w:rPr>
          <w:rFonts w:eastAsia="Times New Roman"/>
        </w:rPr>
        <w:t xml:space="preserve"> </w:t>
      </w:r>
      <w:r w:rsidR="00F9275F" w:rsidRPr="00366A0F">
        <w:rPr>
          <w:rFonts w:eastAsia="Times New Roman"/>
        </w:rPr>
        <w:t xml:space="preserve">For the most part, </w:t>
      </w:r>
      <w:r w:rsidR="002B67E8" w:rsidRPr="00366A0F">
        <w:rPr>
          <w:rFonts w:eastAsia="Times New Roman"/>
        </w:rPr>
        <w:t xml:space="preserve">commercially produced </w:t>
      </w:r>
      <w:r w:rsidRPr="00366A0F">
        <w:rPr>
          <w:rFonts w:eastAsia="Times New Roman"/>
        </w:rPr>
        <w:t>MCTs contain two predominant fatty acids</w:t>
      </w:r>
      <w:r w:rsidR="001C00EC" w:rsidRPr="00366A0F">
        <w:rPr>
          <w:rFonts w:eastAsia="Times New Roman"/>
        </w:rPr>
        <w:t xml:space="preserve"> in varying ratios</w:t>
      </w:r>
      <w:r w:rsidRPr="00366A0F">
        <w:rPr>
          <w:rFonts w:eastAsia="Times New Roman"/>
        </w:rPr>
        <w:t>; Caprylic Acid (C</w:t>
      </w:r>
      <w:r w:rsidRPr="00366A0F">
        <w:rPr>
          <w:rFonts w:eastAsia="Times New Roman"/>
          <w:vertAlign w:val="subscript"/>
        </w:rPr>
        <w:t>8</w:t>
      </w:r>
      <w:r w:rsidRPr="00366A0F">
        <w:rPr>
          <w:rFonts w:eastAsia="Times New Roman"/>
        </w:rPr>
        <w:t>) and Capric Acid (C</w:t>
      </w:r>
      <w:r w:rsidRPr="00366A0F">
        <w:rPr>
          <w:rFonts w:eastAsia="Times New Roman"/>
          <w:vertAlign w:val="subscript"/>
        </w:rPr>
        <w:t>10</w:t>
      </w:r>
      <w:r w:rsidRPr="00366A0F">
        <w:rPr>
          <w:rFonts w:eastAsia="Times New Roman"/>
        </w:rPr>
        <w:t xml:space="preserve">), with </w:t>
      </w:r>
      <w:r w:rsidR="00F9275F" w:rsidRPr="00366A0F">
        <w:rPr>
          <w:rFonts w:eastAsia="Times New Roman"/>
        </w:rPr>
        <w:t xml:space="preserve">only </w:t>
      </w:r>
      <w:r w:rsidRPr="00366A0F">
        <w:rPr>
          <w:rFonts w:eastAsia="Times New Roman"/>
        </w:rPr>
        <w:t>traces of C</w:t>
      </w:r>
      <w:r w:rsidRPr="00366A0F">
        <w:rPr>
          <w:rFonts w:eastAsia="Times New Roman"/>
          <w:vertAlign w:val="subscript"/>
        </w:rPr>
        <w:t>6</w:t>
      </w:r>
      <w:r w:rsidRPr="00366A0F">
        <w:rPr>
          <w:rFonts w:eastAsia="Times New Roman"/>
        </w:rPr>
        <w:t xml:space="preserve"> and C</w:t>
      </w:r>
      <w:r w:rsidRPr="00366A0F">
        <w:rPr>
          <w:rFonts w:eastAsia="Times New Roman"/>
          <w:vertAlign w:val="subscript"/>
        </w:rPr>
        <w:t>12</w:t>
      </w:r>
      <w:r w:rsidRPr="00366A0F">
        <w:rPr>
          <w:rFonts w:eastAsia="Times New Roman"/>
        </w:rPr>
        <w:t xml:space="preserve"> </w:t>
      </w:r>
      <w:r w:rsidR="00CB7AF9" w:rsidRPr="00366A0F">
        <w:rPr>
          <w:rFonts w:eastAsia="Times New Roman"/>
        </w:rPr>
        <w:fldChar w:fldCharType="begin" w:fldLock="1"/>
      </w:r>
      <w:r w:rsidR="005409CB" w:rsidRPr="00366A0F">
        <w:rPr>
          <w:rFonts w:eastAsia="Times New Roman"/>
        </w:rPr>
        <w:instrText>ADDIN CSL_CITATION {"citationItems":[{"id":"ITEM-1","itemData":{"DOI":"10.1016/S0278-6915(99)00106-4","ISSN":"02786915","PMID":"10685018","abstract":"Medium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Toxicology","id":"ITEM-1","issue":"1","issued":{"date-parts":[["2000"]]},"page":"79-98","title":"Review of the toxicologic properties of medium-chain triglycerides","type":"article-journal","volume":"38"},"uris":["http://www.mendeley.com/documents/?uuid=bb7d2f83-a04c-4342-b8c5-f1652b49aa4c","http://www.mendeley.com/documents/?uuid=83ddcae8-8bc1-49c5-8d1a-c96845d180c1"]},{"id":"ITEM-2","itemData":{"author":[{"dropping-particle":"","family":"Rogawski","given":"Michael A.","non-dropping-particle":"","parse-names":false,"suffix":""}],"container-title":"Brain","id":"ITEM-2","issue":"2","issued":{"date-parts":[["2016"]]},"page":"306-309","title":"A fatty acid in the MCT ketogenic diet for epilepsy treatment blocks AMPA receptors","type":"article-journal","volume":"139"},"uris":["http://www.mendeley.com/documents/?uuid=0a8361c0-9a81-3c9c-a490-cbb2c00afd9a"]}],"mendeley":{"formattedCitation":"[1,2]","plainTextFormattedCitation":"[1,2]","previouslyFormattedCitation":"[1,2]"},"properties":{"noteIndex":0},"schema":"https://github.com/citation-style-language/schema/raw/master/csl-citation.json"}</w:instrText>
      </w:r>
      <w:r w:rsidR="00CB7AF9" w:rsidRPr="00366A0F">
        <w:rPr>
          <w:rFonts w:eastAsia="Times New Roman"/>
        </w:rPr>
        <w:fldChar w:fldCharType="separate"/>
      </w:r>
      <w:r w:rsidR="001C00EC" w:rsidRPr="00366A0F">
        <w:rPr>
          <w:rFonts w:eastAsia="Times New Roman"/>
          <w:noProof/>
        </w:rPr>
        <w:t>[1,2]</w:t>
      </w:r>
      <w:r w:rsidR="00CB7AF9" w:rsidRPr="00366A0F">
        <w:rPr>
          <w:rFonts w:eastAsia="Times New Roman"/>
        </w:rPr>
        <w:fldChar w:fldCharType="end"/>
      </w:r>
      <w:r w:rsidRPr="00366A0F">
        <w:rPr>
          <w:rFonts w:eastAsia="Times New Roman"/>
        </w:rPr>
        <w:t xml:space="preserve">. MCTs are </w:t>
      </w:r>
      <w:r w:rsidR="00DD093E" w:rsidRPr="00366A0F">
        <w:rPr>
          <w:rFonts w:eastAsia="Times New Roman"/>
        </w:rPr>
        <w:t>less common</w:t>
      </w:r>
      <w:r w:rsidRPr="00366A0F">
        <w:rPr>
          <w:rFonts w:eastAsia="Times New Roman"/>
        </w:rPr>
        <w:t xml:space="preserve"> in Western diets, </w:t>
      </w:r>
      <w:r w:rsidRPr="00366A0F">
        <w:rPr>
          <w:rFonts w:eastAsia="Times New Roman"/>
          <w:bCs/>
        </w:rPr>
        <w:t>with the majority of the fatty acids consumed being long-chain fatty acids (LCFAs), i.e. contain</w:t>
      </w:r>
      <w:r w:rsidR="00692A01" w:rsidRPr="00366A0F">
        <w:rPr>
          <w:rFonts w:eastAsia="Times New Roman"/>
          <w:bCs/>
        </w:rPr>
        <w:t>ing</w:t>
      </w:r>
      <w:r w:rsidRPr="00366A0F">
        <w:rPr>
          <w:rFonts w:eastAsia="Times New Roman"/>
          <w:bCs/>
        </w:rPr>
        <w:t xml:space="preserve"> more than 12 carbon atoms </w:t>
      </w:r>
      <w:r w:rsidRPr="00366A0F">
        <w:rPr>
          <w:rFonts w:eastAsia="Times New Roman"/>
          <w:bCs/>
        </w:rPr>
        <w:fldChar w:fldCharType="begin" w:fldLock="1"/>
      </w:r>
      <w:r w:rsidR="005409CB" w:rsidRPr="00366A0F">
        <w:rPr>
          <w:rFonts w:eastAsia="Times New Roman"/>
          <w:bCs/>
        </w:rPr>
        <w:instrText>ADDIN CSL_CITATION {"citationItems":[{"id":"ITEM-1","itemData":{"DOI":"10.1016/j.nut.2004.04.018","ISSN":"08999007","abstract":"Pre-exercise fat ingestion (i.e., long chain triacylglycerol ingestion 1 to 4 h before exercise), medium-chain triacylglycerols, fish oil, and conjugated linoleic acid have been suggested to alter metabolism to achieve weight loss, alter lipid profiles, or improve performance. However, studies have demonstrated that ingestion of meals with long-chain triacylglycerols before exercise has little or no effect on metabolism and does not alter subsequent exercise performance. Also, medium-chain triacylglycerol supplementation before or during exercise has not been shown to be ergogenic, although this could be related to the small amounts of medium-chain triacylglycerol that can be ingested before gastrointestinal discomfort occurs. Fish oil may improve red blood cell deformability, but these effects are likely to be small and do not seem to influence maximum oxygen delivery or exercise performance. Conjugated linoleic acid has been implicated in weight loss, but based on the results of human studies it must be concluded that the effects of conjugated linoleic acid on body weight loss are far less clear than those observed in animal studies. Most studies have not found any evidence for a beneficial effect of conjugated linoleic acid. © Elsevier Inc. 2004.","author":[{"dropping-particle":"","family":"Jeukendrup","given":"Asker E.","non-dropping-particle":"","parse-names":false,"suffix":""},{"dropping-particle":"","family":"Aldred","given":"Sarah","non-dropping-particle":"","parse-names":false,"suffix":""}],"container-title":"Nutrition","id":"ITEM-1","issue":"7-8","issued":{"date-parts":[["2004"]]},"page":"678-688","title":"Fat supplementation, health, and endurance performance","type":"article-journal","volume":"20"},"uris":["http://www.mendeley.com/documents/?uuid=9d670ce7-bc73-4702-9701-4caba778903c","http://www.mendeley.com/documents/?uuid=1ed92a66-7d9e-4efb-b2fe-166594589fe8"]}],"mendeley":{"formattedCitation":"[3]","plainTextFormattedCitation":"[3]","previouslyFormattedCitation":"[3]"},"properties":{"noteIndex":0},"schema":"https://github.com/citation-style-language/schema/raw/master/csl-citation.json"}</w:instrText>
      </w:r>
      <w:r w:rsidRPr="00366A0F">
        <w:rPr>
          <w:rFonts w:eastAsia="Times New Roman"/>
          <w:bCs/>
        </w:rPr>
        <w:fldChar w:fldCharType="separate"/>
      </w:r>
      <w:r w:rsidR="001C00EC" w:rsidRPr="00366A0F">
        <w:rPr>
          <w:rFonts w:eastAsia="Times New Roman"/>
          <w:bCs/>
          <w:noProof/>
        </w:rPr>
        <w:t>[3]</w:t>
      </w:r>
      <w:r w:rsidRPr="00366A0F">
        <w:rPr>
          <w:rFonts w:eastAsia="Times New Roman"/>
          <w:bCs/>
        </w:rPr>
        <w:fldChar w:fldCharType="end"/>
      </w:r>
      <w:r w:rsidRPr="00366A0F">
        <w:rPr>
          <w:rFonts w:eastAsia="Times New Roman"/>
          <w:bCs/>
        </w:rPr>
        <w:t>. These LC</w:t>
      </w:r>
      <w:r w:rsidR="00874607">
        <w:rPr>
          <w:rFonts w:eastAsia="Times New Roman"/>
          <w:bCs/>
        </w:rPr>
        <w:t>FA</w:t>
      </w:r>
      <w:r w:rsidRPr="00366A0F">
        <w:rPr>
          <w:rFonts w:eastAsia="Times New Roman"/>
          <w:bCs/>
        </w:rPr>
        <w:t xml:space="preserve">s are </w:t>
      </w:r>
      <w:r w:rsidRPr="00016E04">
        <w:rPr>
          <w:rFonts w:eastAsia="Times New Roman"/>
          <w:bCs/>
          <w:color w:val="000000" w:themeColor="text1"/>
        </w:rPr>
        <w:t>provided by animals</w:t>
      </w:r>
      <w:r w:rsidR="00982DD1" w:rsidRPr="00016E04">
        <w:rPr>
          <w:rFonts w:eastAsia="Times New Roman"/>
          <w:bCs/>
          <w:color w:val="000000" w:themeColor="text1"/>
        </w:rPr>
        <w:t>/</w:t>
      </w:r>
      <w:r w:rsidRPr="00016E04">
        <w:rPr>
          <w:rFonts w:eastAsia="Times New Roman"/>
          <w:bCs/>
          <w:color w:val="000000" w:themeColor="text1"/>
        </w:rPr>
        <w:t xml:space="preserve">vegetable oils </w:t>
      </w:r>
      <w:r w:rsidR="00982DD1" w:rsidRPr="00016E04">
        <w:rPr>
          <w:rFonts w:eastAsia="Times New Roman"/>
          <w:bCs/>
          <w:color w:val="000000" w:themeColor="text1"/>
        </w:rPr>
        <w:t>and</w:t>
      </w:r>
      <w:r w:rsidR="00F9275F" w:rsidRPr="00016E04">
        <w:rPr>
          <w:rFonts w:eastAsia="Times New Roman"/>
          <w:bCs/>
          <w:color w:val="000000" w:themeColor="text1"/>
        </w:rPr>
        <w:t xml:space="preserve"> </w:t>
      </w:r>
      <w:r w:rsidRPr="00016E04">
        <w:rPr>
          <w:rFonts w:eastAsia="Times New Roman"/>
          <w:bCs/>
          <w:color w:val="000000" w:themeColor="text1"/>
        </w:rPr>
        <w:t xml:space="preserve">fat sources </w:t>
      </w:r>
      <w:r w:rsidR="00982DD1" w:rsidRPr="00016E04">
        <w:rPr>
          <w:rFonts w:eastAsia="Times New Roman"/>
          <w:bCs/>
          <w:color w:val="000000" w:themeColor="text1"/>
        </w:rPr>
        <w:t>which</w:t>
      </w:r>
      <w:r w:rsidRPr="00016E04">
        <w:rPr>
          <w:rFonts w:eastAsia="Times New Roman"/>
          <w:bCs/>
          <w:color w:val="000000" w:themeColor="text1"/>
        </w:rPr>
        <w:t xml:space="preserve"> are vital for essential bodily functions</w:t>
      </w:r>
      <w:r w:rsidR="00F9275F" w:rsidRPr="00016E04">
        <w:rPr>
          <w:rFonts w:eastAsia="Times New Roman"/>
          <w:bCs/>
          <w:color w:val="000000" w:themeColor="text1"/>
        </w:rPr>
        <w:t xml:space="preserve"> </w:t>
      </w:r>
      <w:r w:rsidR="00CB7AF9" w:rsidRPr="00016E04">
        <w:rPr>
          <w:rFonts w:eastAsia="Times New Roman"/>
          <w:bCs/>
          <w:color w:val="000000" w:themeColor="text1"/>
        </w:rPr>
        <w:fldChar w:fldCharType="begin" w:fldLock="1"/>
      </w:r>
      <w:r w:rsidR="005409CB" w:rsidRPr="00016E04">
        <w:rPr>
          <w:rFonts w:eastAsia="Times New Roman"/>
          <w:bCs/>
          <w:color w:val="000000" w:themeColor="text1"/>
        </w:rPr>
        <w:instrText>ADDIN CSL_CITATION {"citationItems":[{"id":"ITEM-1","itemData":{"DOI":"10.5772/67407","abstract":"Abstract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Nagy","given":"Katalin","non-dropping-particle":"","parse-names":false,"suffix":""},{"dropping-particle":"","family":"Tiuca","given":"Ioana-Daria","non-dropping-particle":"","parse-names":false,"suffix":""}],"container-title":"Fatty Acids","id":"ITEM-1","issued":{"date-parts":[["2017","6","21"]]},"publisher":"InTech","title":"Importance of Fatty Acids in Physiopathology of Human Body","type":"chapter"},"uris":["http://www.mendeley.com/documents/?uuid=9bd5cbd9-f6c6-332f-b246-70bd7b5fad4f","http://www.mendeley.com/documents/?uuid=5c184a5e-b1b9-4131-a4cc-992ce0072b07"]}],"mendeley":{"formattedCitation":"[4]","plainTextFormattedCitation":"[4]","previouslyFormattedCitation":"[4]"},"properties":{"noteIndex":0},"schema":"https://github.com/citation-style-language/schema/raw/master/csl-citation.json"}</w:instrText>
      </w:r>
      <w:r w:rsidR="00CB7AF9" w:rsidRPr="00016E04">
        <w:rPr>
          <w:rFonts w:eastAsia="Times New Roman"/>
          <w:bCs/>
          <w:color w:val="000000" w:themeColor="text1"/>
        </w:rPr>
        <w:fldChar w:fldCharType="separate"/>
      </w:r>
      <w:r w:rsidR="001C00EC" w:rsidRPr="00016E04">
        <w:rPr>
          <w:rFonts w:eastAsia="Times New Roman"/>
          <w:bCs/>
          <w:noProof/>
          <w:color w:val="000000" w:themeColor="text1"/>
        </w:rPr>
        <w:t>[4]</w:t>
      </w:r>
      <w:r w:rsidR="00CB7AF9" w:rsidRPr="00016E04">
        <w:rPr>
          <w:rFonts w:eastAsia="Times New Roman"/>
          <w:bCs/>
          <w:color w:val="000000" w:themeColor="text1"/>
        </w:rPr>
        <w:fldChar w:fldCharType="end"/>
      </w:r>
      <w:r w:rsidRPr="00016E04">
        <w:rPr>
          <w:rFonts w:eastAsia="Times New Roman"/>
          <w:bCs/>
          <w:color w:val="000000" w:themeColor="text1"/>
        </w:rPr>
        <w:t xml:space="preserve">. </w:t>
      </w:r>
      <w:r w:rsidR="00366A0F" w:rsidRPr="00016E04">
        <w:rPr>
          <w:rFonts w:eastAsia="Times New Roman"/>
          <w:bCs/>
          <w:color w:val="000000" w:themeColor="text1"/>
        </w:rPr>
        <w:t xml:space="preserve">Despite not normally being present in </w:t>
      </w:r>
      <w:r w:rsidR="00222221" w:rsidRPr="00016E04">
        <w:rPr>
          <w:rFonts w:eastAsia="Times New Roman"/>
          <w:bCs/>
          <w:color w:val="000000" w:themeColor="text1"/>
        </w:rPr>
        <w:t>typical western</w:t>
      </w:r>
      <w:r w:rsidR="00366A0F" w:rsidRPr="00016E04">
        <w:rPr>
          <w:rFonts w:eastAsia="Times New Roman"/>
          <w:bCs/>
          <w:color w:val="000000" w:themeColor="text1"/>
        </w:rPr>
        <w:t xml:space="preserve"> diets</w:t>
      </w:r>
      <w:r w:rsidRPr="00016E04">
        <w:rPr>
          <w:rFonts w:eastAsia="Times New Roman"/>
          <w:bCs/>
          <w:color w:val="000000" w:themeColor="text1"/>
        </w:rPr>
        <w:t>, MCTs</w:t>
      </w:r>
      <w:r w:rsidR="00B53821" w:rsidRPr="00016E04">
        <w:rPr>
          <w:rFonts w:eastAsia="Times New Roman"/>
          <w:bCs/>
          <w:color w:val="000000" w:themeColor="text1"/>
        </w:rPr>
        <w:t xml:space="preserve"> are </w:t>
      </w:r>
      <w:r w:rsidR="00366A0F" w:rsidRPr="00016E04">
        <w:rPr>
          <w:rFonts w:eastAsia="Times New Roman"/>
          <w:bCs/>
          <w:color w:val="000000" w:themeColor="text1"/>
        </w:rPr>
        <w:t xml:space="preserve">increasingly </w:t>
      </w:r>
      <w:r w:rsidR="00B53821" w:rsidRPr="00016E04">
        <w:rPr>
          <w:rFonts w:eastAsia="Times New Roman"/>
          <w:bCs/>
          <w:color w:val="000000" w:themeColor="text1"/>
        </w:rPr>
        <w:t xml:space="preserve">being incorporated into a growing number of food and nutrition plans </w:t>
      </w:r>
      <w:r w:rsidR="00366A0F" w:rsidRPr="00016E04">
        <w:rPr>
          <w:rFonts w:eastAsia="Times New Roman"/>
          <w:bCs/>
          <w:color w:val="000000" w:themeColor="text1"/>
        </w:rPr>
        <w:t>due to their</w:t>
      </w:r>
      <w:r w:rsidR="008D5C3A" w:rsidRPr="00016E04">
        <w:rPr>
          <w:rFonts w:eastAsia="Times New Roman"/>
          <w:bCs/>
          <w:color w:val="000000" w:themeColor="text1"/>
        </w:rPr>
        <w:t xml:space="preserve"> potential</w:t>
      </w:r>
      <w:r w:rsidR="00366A0F" w:rsidRPr="00016E04">
        <w:rPr>
          <w:rFonts w:eastAsia="Times New Roman"/>
          <w:bCs/>
          <w:color w:val="000000" w:themeColor="text1"/>
        </w:rPr>
        <w:t xml:space="preserve"> health benefits</w:t>
      </w:r>
      <w:r w:rsidR="00B53821" w:rsidRPr="00016E04">
        <w:rPr>
          <w:rFonts w:eastAsia="Times New Roman"/>
          <w:bCs/>
          <w:color w:val="000000" w:themeColor="text1"/>
        </w:rPr>
        <w:t xml:space="preserve"> </w:t>
      </w:r>
      <w:r w:rsidR="00CB7AF9" w:rsidRPr="00016E04">
        <w:rPr>
          <w:rFonts w:eastAsia="Times New Roman"/>
          <w:bCs/>
          <w:color w:val="000000" w:themeColor="text1"/>
        </w:rPr>
        <w:fldChar w:fldCharType="begin" w:fldLock="1"/>
      </w:r>
      <w:r w:rsidR="00073222" w:rsidRPr="00016E04">
        <w:rPr>
          <w:rFonts w:eastAsia="Times New Roman"/>
          <w:bCs/>
          <w:color w:val="000000" w:themeColor="text1"/>
        </w:rPr>
        <w:instrText>ADDIN CSL_CITATION {"citationItems":[{"id":"ITEM-1","itemData":{"DOI":"10.1016/S0278-6915(99)00106-4","ISSN":"02786915","PMID":"10685018","abstract":"Medium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Toxicology","id":"ITEM-1","issue":"1","issued":{"date-parts":[["2000"]]},"page":"79-98","title":"Review of the toxicologic properties of medium-chain triglycerides","type":"article-journal","volume":"38"},"uris":["http://www.mendeley.com/documents/?uuid=83ddcae8-8bc1-49c5-8d1a-c96845d180c1","http://www.mendeley.com/documents/?uuid=bb7d2f83-a04c-4342-b8c5-f1652b49aa4c"]}],"mendeley":{"formattedCitation":"[1]","plainTextFormattedCitation":"[1]","previouslyFormattedCitation":"[1]"},"properties":{"noteIndex":0},"schema":"https://github.com/citation-style-language/schema/raw/master/csl-citation.json"}</w:instrText>
      </w:r>
      <w:r w:rsidR="00CB7AF9" w:rsidRPr="00016E04">
        <w:rPr>
          <w:rFonts w:eastAsia="Times New Roman"/>
          <w:bCs/>
          <w:color w:val="000000" w:themeColor="text1"/>
        </w:rPr>
        <w:fldChar w:fldCharType="separate"/>
      </w:r>
      <w:r w:rsidR="00073222" w:rsidRPr="00016E04">
        <w:rPr>
          <w:rFonts w:eastAsia="Times New Roman"/>
          <w:bCs/>
          <w:noProof/>
          <w:color w:val="000000" w:themeColor="text1"/>
        </w:rPr>
        <w:t>[1]</w:t>
      </w:r>
      <w:r w:rsidR="00CB7AF9" w:rsidRPr="00016E04">
        <w:rPr>
          <w:rFonts w:eastAsia="Times New Roman"/>
          <w:bCs/>
          <w:color w:val="000000" w:themeColor="text1"/>
        </w:rPr>
        <w:fldChar w:fldCharType="end"/>
      </w:r>
      <w:r w:rsidR="00B53821" w:rsidRPr="00016E04">
        <w:rPr>
          <w:rFonts w:eastAsia="Times New Roman"/>
          <w:bCs/>
          <w:color w:val="000000" w:themeColor="text1"/>
        </w:rPr>
        <w:t>.</w:t>
      </w:r>
    </w:p>
    <w:p w14:paraId="3089FF56" w14:textId="77777777" w:rsidR="00073222" w:rsidRPr="00366A0F" w:rsidRDefault="00073222" w:rsidP="00073222">
      <w:pPr>
        <w:spacing w:line="360" w:lineRule="auto"/>
        <w:jc w:val="both"/>
        <w:rPr>
          <w:rFonts w:eastAsia="Times New Roman"/>
          <w:bCs/>
        </w:rPr>
      </w:pPr>
    </w:p>
    <w:p w14:paraId="5D273086" w14:textId="3C2DDC09" w:rsidR="00417872" w:rsidRDefault="002570F4" w:rsidP="006734E2">
      <w:pPr>
        <w:spacing w:line="360" w:lineRule="auto"/>
        <w:ind w:firstLine="720"/>
        <w:jc w:val="both"/>
        <w:rPr>
          <w:rFonts w:eastAsia="Times New Roman"/>
        </w:rPr>
      </w:pPr>
      <w:r w:rsidRPr="00016E04">
        <w:rPr>
          <w:rFonts w:eastAsia="Times New Roman"/>
          <w:bCs/>
          <w:color w:val="000000" w:themeColor="text1"/>
        </w:rPr>
        <w:t xml:space="preserve">Digestion of MCTs begins in the mouth </w:t>
      </w:r>
      <w:r w:rsidR="00692A01" w:rsidRPr="00016E04">
        <w:rPr>
          <w:rFonts w:eastAsia="Times New Roman"/>
          <w:bCs/>
          <w:color w:val="000000" w:themeColor="text1"/>
        </w:rPr>
        <w:t>by</w:t>
      </w:r>
      <w:r w:rsidRPr="00016E04">
        <w:rPr>
          <w:rFonts w:eastAsia="Times New Roman"/>
          <w:bCs/>
          <w:color w:val="000000" w:themeColor="text1"/>
        </w:rPr>
        <w:t xml:space="preserve"> </w:t>
      </w:r>
      <w:r w:rsidR="00692A01" w:rsidRPr="00016E04">
        <w:rPr>
          <w:rFonts w:eastAsia="Times New Roman"/>
          <w:bCs/>
          <w:color w:val="000000" w:themeColor="text1"/>
        </w:rPr>
        <w:t xml:space="preserve">the enzyme </w:t>
      </w:r>
      <w:r w:rsidRPr="00016E04">
        <w:rPr>
          <w:rFonts w:eastAsia="Times New Roman"/>
          <w:bCs/>
          <w:color w:val="000000" w:themeColor="text1"/>
        </w:rPr>
        <w:t xml:space="preserve">lingual lipase </w:t>
      </w:r>
      <w:r w:rsidR="00692A01" w:rsidRPr="00016E04">
        <w:rPr>
          <w:rFonts w:eastAsia="Times New Roman"/>
          <w:bCs/>
          <w:color w:val="000000" w:themeColor="text1"/>
        </w:rPr>
        <w:t xml:space="preserve">which is present </w:t>
      </w:r>
      <w:r w:rsidRPr="00016E04">
        <w:rPr>
          <w:rFonts w:eastAsia="Times New Roman"/>
          <w:bCs/>
          <w:color w:val="000000" w:themeColor="text1"/>
        </w:rPr>
        <w:t xml:space="preserve">in saliva. </w:t>
      </w:r>
      <w:r w:rsidR="00AB0891" w:rsidRPr="00016E04">
        <w:rPr>
          <w:rFonts w:eastAsia="Times New Roman"/>
          <w:bCs/>
          <w:color w:val="000000" w:themeColor="text1"/>
        </w:rPr>
        <w:t>Figure 1 highlights that t</w:t>
      </w:r>
      <w:r w:rsidRPr="00016E04">
        <w:rPr>
          <w:rFonts w:eastAsia="Times New Roman"/>
          <w:bCs/>
          <w:color w:val="000000" w:themeColor="text1"/>
        </w:rPr>
        <w:t>hey are</w:t>
      </w:r>
      <w:r w:rsidR="00692A01" w:rsidRPr="00016E04">
        <w:rPr>
          <w:rFonts w:eastAsia="Times New Roman"/>
          <w:bCs/>
          <w:color w:val="000000" w:themeColor="text1"/>
        </w:rPr>
        <w:t xml:space="preserve"> then</w:t>
      </w:r>
      <w:r w:rsidRPr="00016E04">
        <w:rPr>
          <w:rFonts w:eastAsia="Times New Roman"/>
          <w:bCs/>
          <w:color w:val="000000" w:themeColor="text1"/>
        </w:rPr>
        <w:t xml:space="preserve"> hydrolysed in the stomach and intestine </w:t>
      </w:r>
      <w:r w:rsidR="00B53821" w:rsidRPr="00016E04">
        <w:rPr>
          <w:rFonts w:eastAsia="Times New Roman"/>
          <w:bCs/>
          <w:color w:val="000000" w:themeColor="text1"/>
        </w:rPr>
        <w:t xml:space="preserve">by pancreatic lipase </w:t>
      </w:r>
      <w:r w:rsidRPr="00016E04">
        <w:rPr>
          <w:rFonts w:eastAsia="Times New Roman"/>
          <w:color w:val="000000" w:themeColor="text1"/>
        </w:rPr>
        <w:t xml:space="preserve">into medium chain fatty acids (MCFAs) and monoglycerides. This </w:t>
      </w:r>
      <w:r w:rsidR="00222221" w:rsidRPr="00016E04">
        <w:rPr>
          <w:rFonts w:eastAsia="Times New Roman"/>
          <w:color w:val="000000" w:themeColor="text1"/>
        </w:rPr>
        <w:t xml:space="preserve">is a faster and more complete process than that </w:t>
      </w:r>
      <w:r w:rsidRPr="00016E04">
        <w:rPr>
          <w:rFonts w:eastAsia="Times New Roman"/>
          <w:color w:val="000000" w:themeColor="text1"/>
        </w:rPr>
        <w:t>of</w:t>
      </w:r>
      <w:r w:rsidR="00874607" w:rsidRPr="00016E04">
        <w:rPr>
          <w:rFonts w:eastAsia="Times New Roman"/>
          <w:color w:val="000000" w:themeColor="text1"/>
        </w:rPr>
        <w:t xml:space="preserve"> long chain triglycerides</w:t>
      </w:r>
      <w:r w:rsidRPr="00016E04">
        <w:rPr>
          <w:rFonts w:eastAsia="Times New Roman"/>
          <w:color w:val="000000" w:themeColor="text1"/>
        </w:rPr>
        <w:t xml:space="preserve"> </w:t>
      </w:r>
      <w:r w:rsidR="00874607" w:rsidRPr="00016E04">
        <w:rPr>
          <w:rFonts w:eastAsia="Times New Roman"/>
          <w:color w:val="000000" w:themeColor="text1"/>
        </w:rPr>
        <w:t>(</w:t>
      </w:r>
      <w:r w:rsidRPr="00016E04">
        <w:rPr>
          <w:rFonts w:eastAsia="Times New Roman"/>
          <w:color w:val="000000" w:themeColor="text1"/>
        </w:rPr>
        <w:t>LCTs</w:t>
      </w:r>
      <w:r w:rsidR="00874607" w:rsidRPr="00016E04">
        <w:rPr>
          <w:rFonts w:eastAsia="Times New Roman"/>
          <w:color w:val="000000" w:themeColor="text1"/>
        </w:rPr>
        <w:t>)</w:t>
      </w:r>
      <w:r w:rsidRPr="00016E04">
        <w:rPr>
          <w:rFonts w:eastAsia="Times New Roman"/>
          <w:color w:val="000000" w:themeColor="text1"/>
        </w:rPr>
        <w:t xml:space="preserve"> </w:t>
      </w:r>
      <w:r w:rsidR="00B3449D" w:rsidRPr="00016E04">
        <w:rPr>
          <w:rFonts w:eastAsia="Times New Roman"/>
          <w:color w:val="000000" w:themeColor="text1"/>
        </w:rPr>
        <w:fldChar w:fldCharType="begin" w:fldLock="1"/>
      </w:r>
      <w:r w:rsidR="005409CB" w:rsidRPr="00016E04">
        <w:rPr>
          <w:rFonts w:eastAsia="Times New Roman"/>
          <w:color w:val="000000" w:themeColor="text1"/>
        </w:rPr>
        <w:instrText>ADDIN CSL_CITATION {"citationItems":[{"id":"ITEM-1","itemData":{"DOI":"10.1016/S0278-6915(99)00106-4","ISSN":"02786915","PMID":"10685018","abstract":"Medium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Toxicology","id":"ITEM-1","issue":"1","issued":{"date-parts":[["2000"]]},"page":"79-98","title":"Review of the toxicologic properties of medium-chain triglycerides","type":"article-journal","volume":"38"},"uris":["http://www.mendeley.com/documents/?uuid=83ddcae8-8bc1-49c5-8d1a-c96845d180c1","http://www.mendeley.com/documents/?uuid=bb7d2f83-a04c-4342-b8c5-f1652b49aa4c"]},{"id":"ITEM-2","itemData":{"DOI":"10.1113/jphysiol.1968.sp008411","ISSN":"14697793","PMID":"5639357","abstract":"1. Test meals of solutions and suspensions of potassium and sodium salts of a series of saturated fatty acids, from C2 to C18, were given to healthy subjects. 2. From the volume of these meals recovered after a fixed interval the relative effectiveness of the salts of the acids in slowing gastric emptying was assessed. 3. On a molar basis the salts of fatty acids from acetic up to decanoic were relatively ineffective in slowing gastric emptying. 4. The salts of fatty acids with 12‐18 carbon atoms were much more effective than those with up to 10 carbon atoms. Myristate was the most effective of the salts. 5. Buffering the test meals with 33 m M sodium citrate increased the effectiveness of the salts in slowing gastric emptying. © 1968 The Physiological Society","author":[{"dropping-particle":"","family":"Hunt","given":"J. N.","non-dropping-particle":"","parse-names":false,"suffix":""},{"dropping-particle":"","family":"Knox","given":"M T","non-dropping-particle":"","parse-names":false,"suffix":""}],"container-title":"The Journal of Physiology","id":"ITEM-2","issue":"2","issued":{"date-parts":[["1968"]]},"page":"327-336","title":"A relation between the chain length of fatty acids and the slowing of gastric emptying","type":"article-journal","volume":"194"},"uris":["http://www.mendeley.com/documents/?uuid=ba318630-5051-4c34-8bb9-c410c7e5385d"]}],"mendeley":{"formattedCitation":"[1,5]","plainTextFormattedCitation":"[1,5]","previouslyFormattedCitation":"[1,5]"},"properties":{"noteIndex":0},"schema":"https://github.com/citation-style-language/schema/raw/master/csl-citation.json"}</w:instrText>
      </w:r>
      <w:r w:rsidR="00B3449D" w:rsidRPr="00016E04">
        <w:rPr>
          <w:rFonts w:eastAsia="Times New Roman"/>
          <w:color w:val="000000" w:themeColor="text1"/>
        </w:rPr>
        <w:fldChar w:fldCharType="separate"/>
      </w:r>
      <w:r w:rsidR="001C00EC" w:rsidRPr="00016E04">
        <w:rPr>
          <w:rFonts w:eastAsia="Times New Roman"/>
          <w:noProof/>
          <w:color w:val="000000" w:themeColor="text1"/>
        </w:rPr>
        <w:t>[1,5]</w:t>
      </w:r>
      <w:r w:rsidR="00B3449D" w:rsidRPr="00016E04">
        <w:rPr>
          <w:rFonts w:eastAsia="Times New Roman"/>
          <w:color w:val="000000" w:themeColor="text1"/>
        </w:rPr>
        <w:fldChar w:fldCharType="end"/>
      </w:r>
      <w:r w:rsidRPr="00016E04">
        <w:rPr>
          <w:rFonts w:eastAsia="Times New Roman"/>
          <w:color w:val="000000" w:themeColor="text1"/>
        </w:rPr>
        <w:t xml:space="preserve">, </w:t>
      </w:r>
      <w:r w:rsidR="008C4D3E" w:rsidRPr="00016E04">
        <w:rPr>
          <w:rFonts w:eastAsia="Times New Roman"/>
          <w:color w:val="000000" w:themeColor="text1"/>
        </w:rPr>
        <w:t xml:space="preserve">with MCFAs being absorbed directly into the portal vein, bound to albumin, just minutes after ingestion </w:t>
      </w:r>
      <w:r w:rsidR="008C4D3E" w:rsidRPr="00016E04">
        <w:rPr>
          <w:rFonts w:eastAsia="Times New Roman"/>
          <w:color w:val="000000" w:themeColor="text1"/>
        </w:rPr>
        <w:fldChar w:fldCharType="begin" w:fldLock="1"/>
      </w:r>
      <w:r w:rsidR="005409CB" w:rsidRPr="00016E04">
        <w:rPr>
          <w:rFonts w:eastAsia="Times New Roman"/>
          <w:color w:val="000000" w:themeColor="text1"/>
        </w:rPr>
        <w:instrText>ADDIN CSL_CITATION {"citationItems":[{"id":"ITEM-1","itemData":{"DOI":"10.1016/j.nut.2004.04.018","ISSN":"08999007","abstract":"Pre-exercise fat ingestion (i.e., long chain triacylglycerol ingestion 1 to 4 h before exercise), medium-chain triacylglycerols, fish oil, and conjugated linoleic acid have been suggested to alter metabolism to achieve weight loss, alter lipid profiles, or improve performance. However, studies have demonstrated that ingestion of meals with long-chain triacylglycerols before exercise has little or no effect on metabolism and does not alter subsequent exercise performance. Also, medium-chain triacylglycerol supplementation before or during exercise has not been shown to be ergogenic, although this could be related to the small amounts of medium-chain triacylglycerol that can be ingested before gastrointestinal discomfort occurs. Fish oil may improve red blood cell deformability, but these effects are likely to be small and do not seem to influence maximum oxygen delivery or exercise performance. Conjugated linoleic acid has been implicated in weight loss, but based on the results of human studies it must be concluded that the effects of conjugated linoleic acid on body weight loss are far less clear than those observed in animal studies. Most studies have not found any evidence for a beneficial effect of conjugated linoleic acid. © Elsevier Inc. 2004.","author":[{"dropping-particle":"","family":"Jeukendrup","given":"Asker E.","non-dropping-particle":"","parse-names":false,"suffix":""},{"dropping-particle":"","family":"Aldred","given":"Sarah","non-dropping-particle":"","parse-names":false,"suffix":""}],"container-title":"Nutrition","id":"ITEM-1","issue":"7-8","issued":{"date-parts":[["2004"]]},"page":"678-688","title":"Fat supplementation, health, and endurance performance","type":"article-journal","volume":"20"},"uris":["http://www.mendeley.com/documents/?uuid=1ed92a66-7d9e-4efb-b2fe-166594589fe8","http://www.mendeley.com/documents/?uuid=9d670ce7-bc73-4702-9701-4caba778903c"]}],"mendeley":{"formattedCitation":"[3]","plainTextFormattedCitation":"[3]","previouslyFormattedCitation":"[3]"},"properties":{"noteIndex":0},"schema":"https://github.com/citation-style-language/schema/raw/master/csl-citation.json"}</w:instrText>
      </w:r>
      <w:r w:rsidR="008C4D3E" w:rsidRPr="00016E04">
        <w:rPr>
          <w:rFonts w:eastAsia="Times New Roman"/>
          <w:color w:val="000000" w:themeColor="text1"/>
        </w:rPr>
        <w:fldChar w:fldCharType="separate"/>
      </w:r>
      <w:r w:rsidR="001C00EC" w:rsidRPr="00016E04">
        <w:rPr>
          <w:rFonts w:eastAsia="Times New Roman"/>
          <w:noProof/>
          <w:color w:val="000000" w:themeColor="text1"/>
        </w:rPr>
        <w:t>[3]</w:t>
      </w:r>
      <w:r w:rsidR="008C4D3E" w:rsidRPr="00016E04">
        <w:rPr>
          <w:rFonts w:eastAsia="Times New Roman"/>
          <w:color w:val="000000" w:themeColor="text1"/>
        </w:rPr>
        <w:fldChar w:fldCharType="end"/>
      </w:r>
      <w:r w:rsidR="008C4D3E" w:rsidRPr="00016E04">
        <w:rPr>
          <w:rFonts w:eastAsia="Times New Roman"/>
          <w:color w:val="000000" w:themeColor="text1"/>
        </w:rPr>
        <w:t xml:space="preserve">. Moreover, </w:t>
      </w:r>
      <w:r w:rsidR="00010FCA" w:rsidRPr="00016E04">
        <w:rPr>
          <w:rFonts w:eastAsia="Times New Roman"/>
          <w:color w:val="000000" w:themeColor="text1"/>
        </w:rPr>
        <w:t>absorption</w:t>
      </w:r>
      <w:r w:rsidR="008C4D3E" w:rsidRPr="00016E04">
        <w:rPr>
          <w:rFonts w:eastAsia="Times New Roman"/>
          <w:color w:val="000000" w:themeColor="text1"/>
        </w:rPr>
        <w:t xml:space="preserve"> of MCTs may not require bile and lipase, </w:t>
      </w:r>
      <w:r w:rsidR="00DF5665" w:rsidRPr="00016E04">
        <w:rPr>
          <w:rFonts w:eastAsia="Times New Roman"/>
          <w:color w:val="000000" w:themeColor="text1"/>
        </w:rPr>
        <w:t>and therefore</w:t>
      </w:r>
      <w:r w:rsidR="00B53821" w:rsidRPr="00016E04">
        <w:rPr>
          <w:rFonts w:eastAsia="Times New Roman"/>
          <w:color w:val="000000" w:themeColor="text1"/>
        </w:rPr>
        <w:t>,</w:t>
      </w:r>
      <w:r w:rsidR="00DF5665" w:rsidRPr="00016E04">
        <w:rPr>
          <w:rFonts w:eastAsia="Times New Roman"/>
          <w:color w:val="000000" w:themeColor="text1"/>
        </w:rPr>
        <w:t xml:space="preserve"> </w:t>
      </w:r>
      <w:r w:rsidR="00B3449D" w:rsidRPr="00016E04">
        <w:rPr>
          <w:rFonts w:eastAsia="Times New Roman"/>
          <w:color w:val="000000" w:themeColor="text1"/>
        </w:rPr>
        <w:t>are</w:t>
      </w:r>
      <w:r w:rsidR="00DF5665" w:rsidRPr="00016E04">
        <w:rPr>
          <w:rFonts w:eastAsia="Times New Roman"/>
          <w:color w:val="000000" w:themeColor="text1"/>
        </w:rPr>
        <w:t xml:space="preserve"> </w:t>
      </w:r>
      <w:r w:rsidR="008C4D3E" w:rsidRPr="00016E04">
        <w:rPr>
          <w:rFonts w:eastAsia="Times New Roman"/>
          <w:color w:val="000000" w:themeColor="text1"/>
        </w:rPr>
        <w:t>directly absorbed by the enterocytes</w:t>
      </w:r>
      <w:r w:rsidR="00B53821" w:rsidRPr="00016E04">
        <w:rPr>
          <w:rFonts w:eastAsia="Times New Roman"/>
          <w:color w:val="000000" w:themeColor="text1"/>
        </w:rPr>
        <w:t xml:space="preserve"> </w:t>
      </w:r>
      <w:r w:rsidR="00B3449D" w:rsidRPr="00016E04">
        <w:rPr>
          <w:rFonts w:eastAsia="Times New Roman"/>
          <w:color w:val="000000" w:themeColor="text1"/>
        </w:rPr>
        <w:fldChar w:fldCharType="begin" w:fldLock="1"/>
      </w:r>
      <w:r w:rsidR="005409CB" w:rsidRPr="00016E04">
        <w:rPr>
          <w:rFonts w:eastAsia="Times New Roman"/>
          <w:color w:val="000000" w:themeColor="text1"/>
        </w:rPr>
        <w:instrText>ADDIN CSL_CITATION {"citationItems":[{"id":"ITEM-1","itemData":{"DOI":"10.1139/y90-074","ISSN":"00084212","abstract":"Medium chain triglycerides are considered to be readily absorbed intact in the absence of pancreatic lipase, unlike long chain triglycerides. Commercial medium chain triglyceride oils comprise various medium chain fatty acids from 6 to 12 carbons in length resulting in triglyceride molecules of different sizes and molecular weights. The effect of molecular weight and hence fatty acid chain length on the efficiency of intact medium chain triglyceride absorption is unknown. Therefore, this study measured, using a single-pass marker perfusion technique, intestinal jejunum absorption of five medium chain and one long chain triglycerides in anesthetized Sprague-Dawley rate. The molecular weights of the five medium chain triglycerides were 470.7, 498.8, 526.8, 554.9, 639.0, and the long chain triglyceride, 885.4. Residual luminal pancreatic lipase was removed prior to lipid perfusion. This study demonstrated that medium chain triglycerides were absorbed in the absence of lipase whereas long chain triglyceride was not. There was no significant variation in the absorption of the five different medium chain triglycerides perfused. The molecular weight of the medium chain triglyceride did not affect its intact absorption by the small intestine.","author":[{"dropping-particle":"","family":"Chow","given":"B. P.C.","non-dropping-particle":"","parse-names":false,"suffix":""},{"dropping-particle":"","family":"Shaffer","given":"E. A.","non-dropping-particle":"","parse-names":false,"suffix":""},{"dropping-particle":"","family":"Parsons","given":"H. G.","non-dropping-particle":"","parse-names":false,"suffix":""}],"container-title":"Canadian Journal of Physiology and Pharmacology","id":"ITEM-1","issue":"4","issued":{"date-parts":[["1990"]]},"page":"519-523","title":"Absorption of triglycerides in the absence of lipase","type":"article-journal","volume":"68"},"uris":["http://www.mendeley.com/documents/?uuid=67e9e9ec-818b-4742-9de4-391bd62dc52d","http://www.mendeley.com/documents/?uuid=b4c64e2a-b2f9-441b-9e02-5e97435efca1"]}],"mendeley":{"formattedCitation":"[6]","plainTextFormattedCitation":"[6]","previouslyFormattedCitation":"[6]"},"properties":{"noteIndex":0},"schema":"https://github.com/citation-style-language/schema/raw/master/csl-citation.json"}</w:instrText>
      </w:r>
      <w:r w:rsidR="00B3449D" w:rsidRPr="00016E04">
        <w:rPr>
          <w:rFonts w:eastAsia="Times New Roman"/>
          <w:color w:val="000000" w:themeColor="text1"/>
        </w:rPr>
        <w:fldChar w:fldCharType="separate"/>
      </w:r>
      <w:r w:rsidR="001C00EC" w:rsidRPr="00016E04">
        <w:rPr>
          <w:rFonts w:eastAsia="Times New Roman"/>
          <w:noProof/>
          <w:color w:val="000000" w:themeColor="text1"/>
        </w:rPr>
        <w:t>[6]</w:t>
      </w:r>
      <w:r w:rsidR="00B3449D" w:rsidRPr="00016E04">
        <w:rPr>
          <w:rFonts w:eastAsia="Times New Roman"/>
          <w:color w:val="000000" w:themeColor="text1"/>
        </w:rPr>
        <w:fldChar w:fldCharType="end"/>
      </w:r>
      <w:r w:rsidR="008C4D3E" w:rsidRPr="00016E04">
        <w:rPr>
          <w:rFonts w:eastAsia="Times New Roman"/>
          <w:color w:val="000000" w:themeColor="text1"/>
        </w:rPr>
        <w:t>.</w:t>
      </w:r>
      <w:r w:rsidRPr="00016E04">
        <w:rPr>
          <w:rFonts w:eastAsia="Times New Roman"/>
          <w:color w:val="000000" w:themeColor="text1"/>
        </w:rPr>
        <w:t xml:space="preserve"> </w:t>
      </w:r>
      <w:r w:rsidR="00010FCA" w:rsidRPr="00016E04">
        <w:rPr>
          <w:rFonts w:eastAsia="Times New Roman"/>
          <w:color w:val="000000" w:themeColor="text1"/>
        </w:rPr>
        <w:t>Thus</w:t>
      </w:r>
      <w:r w:rsidRPr="00016E04">
        <w:rPr>
          <w:rFonts w:eastAsia="Times New Roman"/>
          <w:color w:val="000000" w:themeColor="text1"/>
        </w:rPr>
        <w:t>, they are unlike LCFAs</w:t>
      </w:r>
      <w:r w:rsidR="00692A01" w:rsidRPr="00016E04">
        <w:rPr>
          <w:rFonts w:eastAsia="Times New Roman"/>
          <w:color w:val="000000" w:themeColor="text1"/>
        </w:rPr>
        <w:t>,</w:t>
      </w:r>
      <w:r w:rsidRPr="00016E04">
        <w:rPr>
          <w:rFonts w:eastAsia="Times New Roman"/>
          <w:color w:val="000000" w:themeColor="text1"/>
        </w:rPr>
        <w:t xml:space="preserve"> which are firstly </w:t>
      </w:r>
      <w:r w:rsidR="00512622" w:rsidRPr="00016E04">
        <w:rPr>
          <w:rFonts w:eastAsia="Times New Roman"/>
          <w:color w:val="000000" w:themeColor="text1"/>
        </w:rPr>
        <w:t xml:space="preserve">incorporated into chylomicrons before being transported into </w:t>
      </w:r>
      <w:r w:rsidRPr="00016E04">
        <w:rPr>
          <w:rFonts w:eastAsia="Times New Roman"/>
          <w:color w:val="000000" w:themeColor="text1"/>
        </w:rPr>
        <w:t>the lymphatic system</w:t>
      </w:r>
      <w:r w:rsidR="00AB0891" w:rsidRPr="00016E04">
        <w:rPr>
          <w:rFonts w:eastAsia="Times New Roman"/>
          <w:color w:val="000000" w:themeColor="text1"/>
        </w:rPr>
        <w:t xml:space="preserve"> </w:t>
      </w:r>
      <w:r w:rsidR="00512622" w:rsidRPr="00016E04">
        <w:rPr>
          <w:rFonts w:eastAsia="Times New Roman"/>
          <w:color w:val="000000" w:themeColor="text1"/>
        </w:rPr>
        <w:t>and taken to</w:t>
      </w:r>
      <w:r w:rsidRPr="00016E04">
        <w:rPr>
          <w:rFonts w:eastAsia="Times New Roman"/>
          <w:color w:val="000000" w:themeColor="text1"/>
        </w:rPr>
        <w:t xml:space="preserve"> the liver </w:t>
      </w:r>
      <w:r w:rsidRPr="00016E04">
        <w:rPr>
          <w:rFonts w:eastAsia="Times New Roman"/>
          <w:color w:val="000000" w:themeColor="text1"/>
        </w:rPr>
        <w:fldChar w:fldCharType="begin" w:fldLock="1"/>
      </w:r>
      <w:r w:rsidR="005409CB" w:rsidRPr="00016E04">
        <w:rPr>
          <w:rFonts w:eastAsia="Times New Roman"/>
          <w:color w:val="000000" w:themeColor="text1"/>
        </w:rPr>
        <w:instrText>ADDIN CSL_CITATION {"citationItems":[{"id":"ITEM-1","itemData":{"DOI":"10.3389/fnut.2019.00046","ISSN":"2296861X","abstract":"Background: Medium chain triglycerides (MCT) are ketogenic but the relationship between the change in plasma ketones and the change plasma medium chain fatty acids (MCFA)—octanoate, decanoate, or dodecanoate—after an oral dose of MCT is not well-known. An 8 h metabolic study day is a suitable model to assess the acute effects on plasma ketones and MCFA after a dose of tricaprylin (C8), tricaprin (C10), trilaurin (C12) or mixed MCT (C8C10). Objective: To assess in healthy humans the relationship between the change in plasma ketones, and octanoate, decanoate and dodecanoate in plasma total lipids during an 8 h metabolic study day in which a first 20 ml dose of the homogenized test oil is taken with breakfast and a second 20 ml dose is taken 4 h later without an accompanying meal. Results: The change in plasma acetoacetate, β-hydroxybutyrate and total ketones was highest after C8 (0.5 to 3 h post-dose) and was lower during tests in which octanoate was absent or was diluted by C10 in the test oil. The plasma ketone response was also about 2 fold higher without an accompanying meal (P = 0.012). However, except during the pure C10 test, the response of octanoate, decanoate or dodecanoate in plasma total lipids to the test oils was not affected by consuming an accompanying meal. Except with C12, the 4 h area-under-the-curve of plasma β-hydroxybutyrate/acetoacetate was 2–3 fold higher when no meal was consumed (P &lt; 0.04). Conclusion: C8 was about three times more ketogenic than C10 and about six times more ketogenic than C12 under these acute metabolic test conditions, an effect related to the post-dose increase in octanoate in plasma total lipids.","author":[{"dropping-particle":"","family":"St-Pierre","given":"Valérie","non-dropping-particle":"","parse-names":false,"suffix":""},{"dropping-particle":"","family":"Vandenberghe","given":"Camille","non-dropping-particle":"","parse-names":false,"suffix":""},{"dropping-particle":"","family":"Lowry","given":"Carolyne Mary","non-dropping-particle":"","parse-names":false,"suffix":""},{"dropping-particle":"","family":"Fortier","given":"Mélanie","non-dropping-particle":"","parse-names":false,"suffix":""},{"dropping-particle":"","family":"Castellano","given":"Christian Alexandre","non-dropping-particle":"","parse-names":false,"suffix":""},{"dropping-particle":"","family":"Wagner","given":"Richard","non-dropping-particle":"","parse-names":false,"suffix":""},{"dropping-particle":"","family":"Cunnane","given":"Stephen C.","non-dropping-particle":"","parse-names":false,"suffix":""}],"container-title":"Frontiers in Nutrition","id":"ITEM-1","issue":"1","issued":{"date-parts":[["2019"]]},"page":"1-8","title":"Plasma ketone and medium chain fatty acid response in humans consuming different medium chain triglycerides during a metabolic study day","type":"article-journal","volume":"6"},"uris":["http://www.mendeley.com/documents/?uuid=16abd992-f2cb-43c1-9122-19eae043634f","http://www.mendeley.com/documents/?uuid=ff983996-db4f-4a80-9c5a-e7792dfa0e6d"]},{"id":"ITEM-2","itemData":{"author":[{"dropping-particle":"","family":"Bloom","given":"B","non-dropping-particle":"","parse-names":false,"suffix":""},{"dropping-particle":"","family":"Chaikoff","given":"I","non-dropping-particle":"","parse-names":false,"suffix":""},{"dropping-particle":"","family":"Reinhardt","given":"W","non-dropping-particle":"","parse-names":false,"suffix":""}],"container-title":"The American journal of physiology","id":"ITEM-2","issue":"2","issued":{"date-parts":[["1951"]]},"page":"451-455","title":"Intestinal Lymph as Pathway for Transport of Absorbed Fatty Acids of Different Chain Lengths’","type":"article-journal","volume":"166"},"uris":["http://www.mendeley.com/documents/?uuid=0f4105b8-7c42-4fff-ad59-6b6f42793ae1"]},{"id":"ITEM-3","itemData":{"DOI":"10.1093/ajcn/44.5.630","ISSN":"00029165","PMID":"3532757","abstract":"The thermic effects of 400 kcal meals of medium-chain triglycerides (MCT) and long-chain triglycerides (LCT) were compared in seven healthy men. Metabolic rate was measured before the meals and for 6 h after the meals by indirect calorimetry. Mean postprandial oxygen consumption was 12% higher than basal oxygen consumption after the MCT meal but was only 4% higher than the basal oxygen consumption after the LCT meal. There was a 25-fold increase in plasma beta-hydroxybutyrate concentration and a slight increase in serum insulin concentrations after MCT ingestion but not after LCT ingestion. Plasma triglyceride concentrations increased 68% after the LCT meal and did not change after the MCT meal. These data raise the possibility that long-term substitution of MCT for LCT would produce weight loss if energy intake remained constant.","author":[{"dropping-particle":"","family":"Seaton","given":"T. B.","non-dropping-particle":"","parse-names":false,"suffix":""},{"dropping-particle":"","family":"Welle","given":"S. L.","non-dropping-particle":"","parse-names":false,"suffix":""},{"dropping-particle":"","family":"Warenko","given":"M. K.","non-dropping-particle":"","parse-names":false,"suffix":""},{"dropping-particle":"","family":"Campbell","given":"R. G.","non-dropping-particle":"","parse-names":false,"suffix":""}],"container-title":"American Journal of Clinical Nutrition","id":"ITEM-3","issue":"5","issued":{"date-parts":[["1986"]]},"page":"630-634","title":"Thermic effect of medium-chain and long-chain triglycerides in man","type":"article-journal","volume":"44"},"uris":["http://www.mendeley.com/documents/?uuid=f338a2d0-f34d-4931-8f25-5aa014000f1d"]}],"mendeley":{"formattedCitation":"[7–9]","plainTextFormattedCitation":"[7–9]","previouslyFormattedCitation":"[7–9]"},"properties":{"noteIndex":0},"schema":"https://github.com/citation-style-language/schema/raw/master/csl-citation.json"}</w:instrText>
      </w:r>
      <w:r w:rsidRPr="00016E04">
        <w:rPr>
          <w:rFonts w:eastAsia="Times New Roman"/>
          <w:color w:val="000000" w:themeColor="text1"/>
        </w:rPr>
        <w:fldChar w:fldCharType="separate"/>
      </w:r>
      <w:r w:rsidR="001C00EC" w:rsidRPr="00016E04">
        <w:rPr>
          <w:rFonts w:eastAsia="Times New Roman"/>
          <w:noProof/>
          <w:color w:val="000000" w:themeColor="text1"/>
        </w:rPr>
        <w:t>[7–9]</w:t>
      </w:r>
      <w:r w:rsidRPr="00016E04">
        <w:rPr>
          <w:rFonts w:eastAsia="Times New Roman"/>
          <w:color w:val="000000" w:themeColor="text1"/>
        </w:rPr>
        <w:fldChar w:fldCharType="end"/>
      </w:r>
      <w:r w:rsidRPr="00016E04">
        <w:rPr>
          <w:rFonts w:eastAsia="Times New Roman"/>
          <w:color w:val="000000" w:themeColor="text1"/>
        </w:rPr>
        <w:t xml:space="preserve">. The liver oxidises the majority of the MCFAs via β-oxidation </w:t>
      </w:r>
      <w:r w:rsidR="00B3449D" w:rsidRPr="00016E04">
        <w:rPr>
          <w:rFonts w:eastAsia="Times New Roman"/>
          <w:color w:val="000000" w:themeColor="text1"/>
        </w:rPr>
        <w:fldChar w:fldCharType="begin" w:fldLock="1"/>
      </w:r>
      <w:r w:rsidR="005409CB" w:rsidRPr="00016E04">
        <w:rPr>
          <w:rFonts w:eastAsia="Times New Roman"/>
          <w:color w:val="000000" w:themeColor="text1"/>
        </w:rPr>
        <w:instrText>ADDIN CSL_CITATION {"citationItems":[{"id":"ITEM-1","itemData":{"author":[{"dropping-particle":"","family":"Augustin Bsc","given":"Katrin","non-dropping-particle":"","parse-names":false,"suffix":""},{"dropping-particle":"","family":"Khabbush Phd","given":"Aziza","non-dropping-particle":"","parse-names":false,"suffix":""},{"dropping-particle":"","family":"Phd","given":"Sophie Williams","non-dropping-particle":"","parse-names":false,"suffix":""},{"dropping-particle":"","family":"Eaton Phd","given":"Simon","non-dropping-particle":"","parse-names":false,"suffix":""},{"dropping-particle":"","family":"Orford Phd","given":"Michael","non-dropping-particle":"","parse-names":false,"suffix":""},{"dropping-particle":"","family":"Cross Phd","given":"J Helen","non-dropping-particle":"","parse-names":false,"suffix":""},{"dropping-particle":"","family":"Heales","given":"Simon J R","non-dropping-particle":"","parse-names":false,"suffix":""},{"dropping-particle":"","family":"Walker Phd","given":"Matthew C","non-dropping-particle":"","parse-names":false,"suffix":""},{"dropping-particle":"","family":"Williams","given":"Robin S B","non-dropping-particle":"","parse-names":false,"suffix":""}],"container-title":"Neurology","id":"ITEM-1","issue":"1","issued":{"date-parts":[["2018"]]},"page":"84-93","title":"Medium chain triglyceride ketogenic diet in neurological and metabolic disorders","type":"article-journal","volume":"17"},"uris":["http://www.mendeley.com/documents/?uuid=c2688558-53a4-40f6-aab3-9a148aa681f6","http://www.mendeley.com/documents/?uuid=6b41c6de-bbc0-49b6-9341-82f9281e8140"]}],"mendeley":{"formattedCitation":"[10]","plainTextFormattedCitation":"[10]","previouslyFormattedCitation":"[10]"},"properties":{"noteIndex":0},"schema":"https://github.com/citation-style-language/schema/raw/master/csl-citation.json"}</w:instrText>
      </w:r>
      <w:r w:rsidR="00B3449D" w:rsidRPr="00016E04">
        <w:rPr>
          <w:rFonts w:eastAsia="Times New Roman"/>
          <w:color w:val="000000" w:themeColor="text1"/>
        </w:rPr>
        <w:fldChar w:fldCharType="separate"/>
      </w:r>
      <w:r w:rsidR="001C00EC" w:rsidRPr="00016E04">
        <w:rPr>
          <w:rFonts w:eastAsia="Times New Roman"/>
          <w:noProof/>
          <w:color w:val="000000" w:themeColor="text1"/>
        </w:rPr>
        <w:t>[10]</w:t>
      </w:r>
      <w:r w:rsidR="00B3449D" w:rsidRPr="00016E04">
        <w:rPr>
          <w:rFonts w:eastAsia="Times New Roman"/>
          <w:color w:val="000000" w:themeColor="text1"/>
        </w:rPr>
        <w:fldChar w:fldCharType="end"/>
      </w:r>
      <w:r w:rsidR="00B3449D" w:rsidRPr="00016E04">
        <w:rPr>
          <w:rFonts w:eastAsia="Times New Roman"/>
          <w:color w:val="000000" w:themeColor="text1"/>
        </w:rPr>
        <w:t>,</w:t>
      </w:r>
      <w:r w:rsidRPr="00016E04">
        <w:rPr>
          <w:rFonts w:eastAsia="Times New Roman"/>
          <w:color w:val="000000" w:themeColor="text1"/>
        </w:rPr>
        <w:t xml:space="preserve"> leading to the production of ketones</w:t>
      </w:r>
      <w:r w:rsidR="00D81BD6" w:rsidRPr="00016E04">
        <w:rPr>
          <w:rFonts w:eastAsia="Times New Roman"/>
          <w:color w:val="000000" w:themeColor="text1"/>
        </w:rPr>
        <w:t>,</w:t>
      </w:r>
      <w:r w:rsidRPr="00016E04">
        <w:rPr>
          <w:rFonts w:eastAsia="Times New Roman"/>
          <w:color w:val="000000" w:themeColor="text1"/>
        </w:rPr>
        <w:t xml:space="preserve"> predominantly β-hydroxybutyrate (</w:t>
      </w:r>
      <w:r w:rsidR="00122512" w:rsidRPr="00016E04">
        <w:rPr>
          <w:rFonts w:eastAsia="Times New Roman"/>
          <w:color w:val="000000" w:themeColor="text1"/>
        </w:rPr>
        <w:t>β</w:t>
      </w:r>
      <w:r w:rsidRPr="00016E04">
        <w:rPr>
          <w:rFonts w:eastAsia="Times New Roman"/>
          <w:color w:val="000000" w:themeColor="text1"/>
        </w:rPr>
        <w:t xml:space="preserve">HB) </w:t>
      </w:r>
      <w:r w:rsidR="00B3449D" w:rsidRPr="00016E04">
        <w:rPr>
          <w:rFonts w:eastAsia="Times New Roman"/>
          <w:color w:val="000000" w:themeColor="text1"/>
        </w:rPr>
        <w:fldChar w:fldCharType="begin" w:fldLock="1"/>
      </w:r>
      <w:r w:rsidR="00073222" w:rsidRPr="00016E04">
        <w:rPr>
          <w:rFonts w:eastAsia="Times New Roman"/>
          <w:color w:val="000000" w:themeColor="text1"/>
        </w:rPr>
        <w:instrText>ADDIN CSL_CITATION {"citationItems":[{"id":"ITEM-1","itemData":{"DOI":"10.1016/S0278-6915(99)00106-4","ISSN":"02786915","PMID":"10685018","abstract":"Medium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Toxicology","id":"ITEM-1","issue":"1","issued":{"date-parts":[["2000"]]},"page":"79-98","title":"Review of the toxicologic properties of medium-chain triglycerides","type":"article-journal","volume":"38"},"uris":["http://www.mendeley.com/documents/?uuid=83ddcae8-8bc1-49c5-8d1a-c96845d180c1","http://www.mendeley.com/documents/?uuid=bb7d2f83-a04c-4342-b8c5-f1652b49aa4c"]}],"mendeley":{"formattedCitation":"[1]","plainTextFormattedCitation":"[1]","previouslyFormattedCitation":"[1]"},"properties":{"noteIndex":0},"schema":"https://github.com/citation-style-language/schema/raw/master/csl-citation.json"}</w:instrText>
      </w:r>
      <w:r w:rsidR="00B3449D" w:rsidRPr="00016E04">
        <w:rPr>
          <w:rFonts w:eastAsia="Times New Roman"/>
          <w:color w:val="000000" w:themeColor="text1"/>
        </w:rPr>
        <w:fldChar w:fldCharType="separate"/>
      </w:r>
      <w:r w:rsidR="00073222" w:rsidRPr="00016E04">
        <w:rPr>
          <w:rFonts w:eastAsia="Times New Roman"/>
          <w:noProof/>
          <w:color w:val="000000" w:themeColor="text1"/>
        </w:rPr>
        <w:t>[1]</w:t>
      </w:r>
      <w:r w:rsidR="00B3449D" w:rsidRPr="00016E04">
        <w:rPr>
          <w:rFonts w:eastAsia="Times New Roman"/>
          <w:color w:val="000000" w:themeColor="text1"/>
        </w:rPr>
        <w:fldChar w:fldCharType="end"/>
      </w:r>
      <w:r w:rsidR="00AB0891" w:rsidRPr="00016E04">
        <w:rPr>
          <w:rFonts w:eastAsia="Times New Roman"/>
          <w:color w:val="000000" w:themeColor="text1"/>
        </w:rPr>
        <w:t>, as shown in Figure 1</w:t>
      </w:r>
      <w:r w:rsidR="00D81BD6" w:rsidRPr="00016E04">
        <w:rPr>
          <w:rFonts w:eastAsia="Times New Roman"/>
          <w:color w:val="000000" w:themeColor="text1"/>
        </w:rPr>
        <w:t xml:space="preserve">. The formation of </w:t>
      </w:r>
      <w:r w:rsidR="00122512" w:rsidRPr="00016E04">
        <w:rPr>
          <w:rFonts w:eastAsia="Times New Roman"/>
          <w:color w:val="000000" w:themeColor="text1"/>
        </w:rPr>
        <w:t>β</w:t>
      </w:r>
      <w:r w:rsidR="00D81BD6" w:rsidRPr="00016E04">
        <w:rPr>
          <w:rFonts w:eastAsia="Times New Roman"/>
          <w:color w:val="000000" w:themeColor="text1"/>
        </w:rPr>
        <w:t>HB,</w:t>
      </w:r>
      <w:r w:rsidRPr="00016E04">
        <w:rPr>
          <w:rFonts w:eastAsia="Times New Roman"/>
          <w:color w:val="000000" w:themeColor="text1"/>
        </w:rPr>
        <w:t xml:space="preserve"> as well as acetoacetate and acetone</w:t>
      </w:r>
      <w:r w:rsidR="00D81BD6" w:rsidRPr="00016E04">
        <w:rPr>
          <w:rFonts w:eastAsia="Times New Roman"/>
          <w:color w:val="000000" w:themeColor="text1"/>
        </w:rPr>
        <w:t xml:space="preserve">, is normally the result of a </w:t>
      </w:r>
      <w:r w:rsidR="00F66B69" w:rsidRPr="00016E04">
        <w:rPr>
          <w:rFonts w:eastAsia="Times New Roman"/>
          <w:color w:val="000000" w:themeColor="text1"/>
        </w:rPr>
        <w:t>greater availability and oxidation of fatty acids in the liver due to a</w:t>
      </w:r>
      <w:r w:rsidR="00AB0891" w:rsidRPr="00016E04">
        <w:rPr>
          <w:rFonts w:eastAsia="Times New Roman"/>
          <w:color w:val="000000" w:themeColor="text1"/>
        </w:rPr>
        <w:t xml:space="preserve">n </w:t>
      </w:r>
      <w:r w:rsidR="00F66B69" w:rsidRPr="00016E04">
        <w:rPr>
          <w:rFonts w:eastAsia="Times New Roman"/>
          <w:color w:val="000000" w:themeColor="text1"/>
        </w:rPr>
        <w:t xml:space="preserve">extended </w:t>
      </w:r>
      <w:r w:rsidR="00D81BD6" w:rsidRPr="00016E04">
        <w:rPr>
          <w:rFonts w:eastAsia="Times New Roman"/>
          <w:color w:val="000000" w:themeColor="text1"/>
        </w:rPr>
        <w:t>low carbohydrate intake</w:t>
      </w:r>
      <w:r w:rsidR="00AB0891" w:rsidRPr="00016E04">
        <w:rPr>
          <w:rFonts w:eastAsia="Times New Roman"/>
          <w:color w:val="000000" w:themeColor="text1"/>
        </w:rPr>
        <w:t xml:space="preserve">, </w:t>
      </w:r>
      <w:r w:rsidR="00F66B69" w:rsidRPr="00016E04">
        <w:rPr>
          <w:rFonts w:eastAsia="Times New Roman"/>
          <w:color w:val="000000" w:themeColor="text1"/>
        </w:rPr>
        <w:t xml:space="preserve">or </w:t>
      </w:r>
      <w:r w:rsidR="00D81BD6" w:rsidRPr="00016E04">
        <w:rPr>
          <w:rFonts w:eastAsia="Times New Roman"/>
          <w:color w:val="000000" w:themeColor="text1"/>
        </w:rPr>
        <w:t xml:space="preserve">during </w:t>
      </w:r>
      <w:r w:rsidR="00F66B69" w:rsidRPr="00016E04">
        <w:rPr>
          <w:rFonts w:eastAsia="Times New Roman"/>
          <w:color w:val="000000" w:themeColor="text1"/>
        </w:rPr>
        <w:t xml:space="preserve">prolonged </w:t>
      </w:r>
      <w:r w:rsidR="00D81BD6" w:rsidRPr="00016E04">
        <w:rPr>
          <w:rFonts w:eastAsia="Times New Roman"/>
          <w:color w:val="000000" w:themeColor="text1"/>
        </w:rPr>
        <w:t xml:space="preserve">exercise. </w:t>
      </w:r>
      <w:r w:rsidR="00F40931" w:rsidRPr="00016E04">
        <w:rPr>
          <w:rFonts w:eastAsia="Times New Roman"/>
          <w:color w:val="000000" w:themeColor="text1"/>
        </w:rPr>
        <w:t xml:space="preserve">However, MCTs enable the body to produce these compounds without a change in diet. </w:t>
      </w:r>
      <w:r w:rsidR="00417872" w:rsidRPr="00016E04">
        <w:rPr>
          <w:rFonts w:eastAsia="Times New Roman"/>
          <w:color w:val="000000" w:themeColor="text1"/>
        </w:rPr>
        <w:t>The acetone</w:t>
      </w:r>
      <w:r w:rsidR="00F40931" w:rsidRPr="00016E04">
        <w:rPr>
          <w:rFonts w:eastAsia="Times New Roman"/>
          <w:color w:val="000000" w:themeColor="text1"/>
        </w:rPr>
        <w:t xml:space="preserve"> formed</w:t>
      </w:r>
      <w:r w:rsidR="006734E2" w:rsidRPr="00016E04">
        <w:rPr>
          <w:rFonts w:eastAsia="Times New Roman"/>
          <w:color w:val="000000" w:themeColor="text1"/>
        </w:rPr>
        <w:t xml:space="preserve">, arguably, </w:t>
      </w:r>
      <w:r w:rsidR="00417872" w:rsidRPr="00016E04">
        <w:rPr>
          <w:rFonts w:eastAsia="Times New Roman"/>
          <w:color w:val="000000" w:themeColor="text1"/>
        </w:rPr>
        <w:t>may be used as a gluconeogenic substrate</w:t>
      </w:r>
      <w:r w:rsidR="002D6D6B" w:rsidRPr="00016E04">
        <w:rPr>
          <w:rFonts w:eastAsia="Times New Roman"/>
          <w:color w:val="000000" w:themeColor="text1"/>
        </w:rPr>
        <w:t>, although it is mainly</w:t>
      </w:r>
      <w:r w:rsidR="00417872" w:rsidRPr="00016E04">
        <w:rPr>
          <w:rFonts w:eastAsia="Times New Roman"/>
          <w:color w:val="000000" w:themeColor="text1"/>
        </w:rPr>
        <w:t xml:space="preserve"> excreted through urine or exhaled</w:t>
      </w:r>
      <w:r w:rsidR="00EB5422" w:rsidRPr="00016E04">
        <w:rPr>
          <w:rFonts w:eastAsia="Times New Roman"/>
          <w:color w:val="000000" w:themeColor="text1"/>
        </w:rPr>
        <w:t xml:space="preserve"> as a waste product</w:t>
      </w:r>
      <w:r w:rsidR="00417872" w:rsidRPr="00016E04">
        <w:rPr>
          <w:rFonts w:eastAsia="Times New Roman"/>
          <w:color w:val="000000" w:themeColor="text1"/>
        </w:rPr>
        <w:t>.</w:t>
      </w:r>
      <w:r w:rsidR="00F55E21" w:rsidRPr="00016E04">
        <w:rPr>
          <w:rFonts w:eastAsia="Times New Roman"/>
          <w:color w:val="000000" w:themeColor="text1"/>
        </w:rPr>
        <w:t xml:space="preserve"> </w:t>
      </w:r>
      <w:r w:rsidR="00CB512A" w:rsidRPr="00016E04">
        <w:rPr>
          <w:rFonts w:eastAsia="Times New Roman"/>
          <w:color w:val="000000" w:themeColor="text1"/>
        </w:rPr>
        <w:t>The feasibility of glucose being produced from fatty acids is</w:t>
      </w:r>
      <w:r w:rsidR="00FD5371" w:rsidRPr="00016E04">
        <w:rPr>
          <w:rFonts w:eastAsia="Times New Roman"/>
          <w:color w:val="000000" w:themeColor="text1"/>
        </w:rPr>
        <w:t xml:space="preserve"> a very controversial mechanism</w:t>
      </w:r>
      <w:r w:rsidR="003C49A4" w:rsidRPr="00016E04">
        <w:rPr>
          <w:rFonts w:eastAsia="Times New Roman"/>
          <w:color w:val="000000" w:themeColor="text1"/>
        </w:rPr>
        <w:t xml:space="preserve">. It was initially </w:t>
      </w:r>
      <w:r w:rsidR="006734E2" w:rsidRPr="00016E04">
        <w:rPr>
          <w:rFonts w:eastAsia="Times New Roman"/>
          <w:color w:val="000000" w:themeColor="text1"/>
        </w:rPr>
        <w:t>thought</w:t>
      </w:r>
      <w:r w:rsidR="003C49A4" w:rsidRPr="00016E04">
        <w:rPr>
          <w:rFonts w:eastAsia="Times New Roman"/>
          <w:color w:val="000000" w:themeColor="text1"/>
        </w:rPr>
        <w:t xml:space="preserve"> that acetone can contribute carbon atoms to glucose formed by the Krebs Cycle </w:t>
      </w:r>
      <w:r w:rsidR="003C49A4" w:rsidRPr="00016E04">
        <w:rPr>
          <w:color w:val="000000" w:themeColor="text1"/>
        </w:rPr>
        <w:fldChar w:fldCharType="begin" w:fldLock="1"/>
      </w:r>
      <w:r w:rsidR="00616D7D" w:rsidRPr="00016E04">
        <w:rPr>
          <w:color w:val="000000" w:themeColor="text1"/>
        </w:rPr>
        <w:instrText>ADDIN CSL_CITATION {"citationItems":[{"id":"ITEM-1","itemData":{"DOI":"10.1152/physrev.1957.37.2.252","ISSN":"00319333","PMID":"13441426","author":[{"dropping-particle":"","family":"WEINMAN","given":"E. O.","non-dropping-particle":"","parse-names":false,"suffix":""},{"dropping-particle":"","family":"STRISOWER","given":"E. H.","non-dropping-particle":"","parse-names":false,"suffix":""},{"dropping-particle":"","family":"CHAIKOFF","given":"I. L.","non-dropping-particle":"","parse-names":false,"suffix":""}],"container-title":"Physiological reviews","id":"ITEM-1","issue":"2","issued":{"date-parts":[["1957"]]},"page":"252-272","title":"Conversion of fatty acids to carbohydrate; application of isotopes to this problem and role of the Krebs cycle as a synthetic pathway","type":"article-journal","volume":"37"},"uris":["http://www.mendeley.com/documents/?uuid=b32e1019-bc5e-4498-81ee-027c1af563e3"]}],"mendeley":{"formattedCitation":"[11]","plainTextFormattedCitation":"[11]","previouslyFormattedCitation":"[11]"},"properties":{"noteIndex":0},"schema":"https://github.com/citation-style-language/schema/raw/master/csl-citation.json"}</w:instrText>
      </w:r>
      <w:r w:rsidR="003C49A4" w:rsidRPr="00016E04">
        <w:rPr>
          <w:color w:val="000000" w:themeColor="text1"/>
        </w:rPr>
        <w:fldChar w:fldCharType="separate"/>
      </w:r>
      <w:r w:rsidR="00FD5371" w:rsidRPr="00016E04">
        <w:rPr>
          <w:noProof/>
          <w:color w:val="000000" w:themeColor="text1"/>
        </w:rPr>
        <w:t>[11]</w:t>
      </w:r>
      <w:r w:rsidR="003C49A4" w:rsidRPr="00016E04">
        <w:rPr>
          <w:color w:val="000000" w:themeColor="text1"/>
        </w:rPr>
        <w:fldChar w:fldCharType="end"/>
      </w:r>
      <w:r w:rsidR="003C49A4" w:rsidRPr="00016E04">
        <w:rPr>
          <w:color w:val="000000" w:themeColor="text1"/>
        </w:rPr>
        <w:t>, however, in the 1980’s</w:t>
      </w:r>
      <w:r w:rsidR="006734E2" w:rsidRPr="00016E04">
        <w:rPr>
          <w:color w:val="000000" w:themeColor="text1"/>
        </w:rPr>
        <w:t>,</w:t>
      </w:r>
      <w:r w:rsidR="003C49A4" w:rsidRPr="00016E04">
        <w:rPr>
          <w:color w:val="000000" w:themeColor="text1"/>
        </w:rPr>
        <w:t xml:space="preserve"> new pathways were discovered </w:t>
      </w:r>
      <w:r w:rsidR="006734E2" w:rsidRPr="00016E04">
        <w:rPr>
          <w:color w:val="000000" w:themeColor="text1"/>
        </w:rPr>
        <w:fldChar w:fldCharType="begin" w:fldLock="1"/>
      </w:r>
      <w:r w:rsidR="00616D7D" w:rsidRPr="00016E04">
        <w:rPr>
          <w:color w:val="000000" w:themeColor="text1"/>
        </w:rPr>
        <w:instrText>ADDIN CSL_CITATION {"citationItems":[{"id":"ITEM-1","itemData":{"author":[{"dropping-particle":"","family":"Argilrs","given":"Josep M","non-dropping-particle":"","parse-names":false,"suffix":""}],"container-title":"Trends in Biochemical Sciences","id":"ITEM-1","issue":"2","issued":{"date-parts":[["1986"]]},"page":"61-63","title":"Open Question conversion of fat to carbohydrate","type":"article-journal","volume":"11"},"uris":["http://www.mendeley.com/documents/?uuid=47ba7d36-04ef-4a62-83fc-5d64bcb7acd5"]},{"id":"ITEM-2","itemData":{"author":[{"dropping-particle":"","family":"Landau","given":"Bernard R","non-dropping-particle":"","parse-names":false,"suffix":""},{"dropping-particle":"","family":"Brunengraber","given":"Henri","non-dropping-particle":"","parse-names":false,"suffix":""}],"container-title":"Trends in Biochemical Sciences","id":"ITEM-2","issue":"March","issued":{"date-parts":[["1987"]]},"page":"113-114","title":"Conversion of Fat To Carbohydrate","type":"article-journal","volume":"12"},"uris":["http://www.mendeley.com/documents/?uuid=2be55f43-22a4-47e9-8636-51c487568054"]},{"id":"ITEM-3","itemData":{"DOI":"10.1042/bj2310151","ISSN":"02646021","PMID":"2998338","abstract":"1. To non-anaesthetized rats starved for 3 days, [U- 14C]acetone, NaH14CO3, L-[U-14C]lactate, [2-14C]acetate or D-[U-14C]- plus D-[3-3H]-glucose was injected intravenously. 2. From the change in the plasma concentration of labelled acetone versus time after the injection, the metabolic clearance rate of acetone was calculated as 2.25 ml/min per kg body wt., and its rate of turnover as 0.74 μmol/min per kg. 3. The extent and time course of the labelling of plasma glucose, lactate, urea and acetoacetate were followed and compared with those observed after the injection of labelled lactate, acetate and NaHCO3. 4. The labelling of plasma lactate was rapid and extensive. 5. Some 1.37% of the 14C atoms of circulating glucose originated from plasma acetate, compared with 44% originating from lactate. 6. By deconvolution of the Unit Impulse Response Function of glucose, it was shown that the flux of C atoms from acetone to glucose reached a peak at about 100 min after injection of labelled acetone. In comparable experiments the transfer from lactate reached a peak at 14 min after the injection of labelled lactate. 6. It was concluded that acetone is converted into lactate to a degree sufficient to account for the labelling of plasma glucose and is thus a true, albeit minor, substrate of glucose synthesis in starved rats.","author":[{"dropping-particle":"","family":"Hetenyi","given":"G.","non-dropping-particle":"","parse-names":false,"suffix":""},{"dropping-particle":"","family":"Ferrarotto","given":"C.","non-dropping-particle":"","parse-names":false,"suffix":""}],"container-title":"Biochemical Journal","id":"ITEM-3","issue":"1","issued":{"date-parts":[["1985"]]},"page":"151-155","title":"Gluconeogenesis from acetone in starved rats","type":"article-journal","volume":"231"},"uris":["http://www.mendeley.com/documents/?uuid=2bfa6bab-2c15-4820-85b0-b20d31d07074"]}],"mendeley":{"formattedCitation":"[12–14]","plainTextFormattedCitation":"[12–14]","previouslyFormattedCitation":"[12–14]"},"properties":{"noteIndex":0},"schema":"https://github.com/citation-style-language/schema/raw/master/csl-citation.json"}</w:instrText>
      </w:r>
      <w:r w:rsidR="006734E2" w:rsidRPr="00016E04">
        <w:rPr>
          <w:color w:val="000000" w:themeColor="text1"/>
        </w:rPr>
        <w:fldChar w:fldCharType="separate"/>
      </w:r>
      <w:r w:rsidR="00FD5371" w:rsidRPr="00016E04">
        <w:rPr>
          <w:noProof/>
          <w:color w:val="000000" w:themeColor="text1"/>
        </w:rPr>
        <w:t>[12–14]</w:t>
      </w:r>
      <w:r w:rsidR="006734E2" w:rsidRPr="00016E04">
        <w:rPr>
          <w:color w:val="000000" w:themeColor="text1"/>
        </w:rPr>
        <w:fldChar w:fldCharType="end"/>
      </w:r>
      <w:r w:rsidR="006734E2" w:rsidRPr="00016E04">
        <w:rPr>
          <w:color w:val="000000" w:themeColor="text1"/>
        </w:rPr>
        <w:t xml:space="preserve">. Recently, Kaleta </w:t>
      </w:r>
      <w:r w:rsidR="006734E2" w:rsidRPr="00016E04">
        <w:rPr>
          <w:i/>
          <w:iCs/>
          <w:color w:val="000000" w:themeColor="text1"/>
        </w:rPr>
        <w:t>et al.</w:t>
      </w:r>
      <w:r w:rsidR="006734E2" w:rsidRPr="00016E04">
        <w:rPr>
          <w:color w:val="000000" w:themeColor="text1"/>
        </w:rPr>
        <w:t xml:space="preserve"> </w:t>
      </w:r>
      <w:r w:rsidR="006734E2" w:rsidRPr="00016E04">
        <w:rPr>
          <w:color w:val="000000" w:themeColor="text1"/>
        </w:rPr>
        <w:fldChar w:fldCharType="begin" w:fldLock="1"/>
      </w:r>
      <w:r w:rsidR="00616D7D" w:rsidRPr="00016E04">
        <w:rPr>
          <w:color w:val="000000" w:themeColor="text1"/>
        </w:rPr>
        <w:instrText>ADDIN CSL_CITATION {"citationItems":[{"id":"ITEM-1","itemData":{"DOI":"10.1371/journal.pcbi.1002116","ISSN":"1553734X","PMID":"21814506","abstract":"The question whether fatty acids can be converted into glucose in humans has a long standing tradition in biochemistry, and the expected answer is \"No\". Using recent advances in Systems Biology in the form of large-scale metabolic reconstructions, we reassessed this question by performing a global investigation of a genome-scale human metabolic network, which had been reconstructed on the basis of experimental results. By elementary flux pattern analysis, we found numerous pathways on which gluconeogenesis from fatty acids is feasible in humans. On these pathways, four moles of acetyl-CoA are converted into one mole of glucose and two moles of CO 2. Analyzing the detected pathways in detail we found that their energetic requirements potentially limit their capacity. This study has many other biochemical implications: effect of starvation, sports physiology, practically carbohydrate-free diets of inuit, as well as survival of hibernating animals and embryos of egg-laying animals. Moreover, the energetic loss associated to the usage of gluconeogenesis from fatty acids can help explain the efficiency of carbohydrate reduced and ketogenic diets such as the Atkins diet. © 2011 Kaleta et al.","author":[{"dropping-particle":"","family":"Kaleta","given":"Christoph","non-dropping-particle":"","parse-names":false,"suffix":""},{"dropping-particle":"","family":"Figueiredo","given":"Luís F.","non-dropping-particle":"de","parse-names":false,"suffix":""},{"dropping-particle":"","family":"Werner","given":"Sarah","non-dropping-particle":"","parse-names":false,"suffix":""},{"dropping-particle":"","family":"Guthke","given":"Reinhard","non-dropping-particle":"","parse-names":false,"suffix":""},{"dropping-particle":"","family":"Ristow","given":"Michael","non-dropping-particle":"","parse-names":false,"suffix":""},{"dropping-particle":"","family":"Schuster","given":"Stefan","non-dropping-particle":"","parse-names":false,"suffix":""}],"container-title":"PLoS Computational Biology","id":"ITEM-1","issue":"7","issued":{"date-parts":[["2011"]]},"page":"1-10","title":"In Silico evidence for gluconeogenesis from fatty acids in humans","type":"article-journal","volume":"7"},"uris":["http://www.mendeley.com/documents/?uuid=eb381594-eae7-4e7b-8ff9-cd8cd4be288b"]}],"mendeley":{"formattedCitation":"[15]","plainTextFormattedCitation":"[15]","previouslyFormattedCitation":"[15]"},"properties":{"noteIndex":0},"schema":"https://github.com/citation-style-language/schema/raw/master/csl-citation.json"}</w:instrText>
      </w:r>
      <w:r w:rsidR="006734E2" w:rsidRPr="00016E04">
        <w:rPr>
          <w:color w:val="000000" w:themeColor="text1"/>
        </w:rPr>
        <w:fldChar w:fldCharType="separate"/>
      </w:r>
      <w:r w:rsidR="00FD5371" w:rsidRPr="00016E04">
        <w:rPr>
          <w:noProof/>
          <w:color w:val="000000" w:themeColor="text1"/>
        </w:rPr>
        <w:t>[15]</w:t>
      </w:r>
      <w:r w:rsidR="006734E2" w:rsidRPr="00016E04">
        <w:rPr>
          <w:color w:val="000000" w:themeColor="text1"/>
        </w:rPr>
        <w:fldChar w:fldCharType="end"/>
      </w:r>
      <w:r w:rsidR="006734E2" w:rsidRPr="00016E04">
        <w:rPr>
          <w:color w:val="000000" w:themeColor="text1"/>
        </w:rPr>
        <w:t xml:space="preserve"> identified 58 possible pathways acetone can take to become glucose</w:t>
      </w:r>
      <w:r w:rsidR="003C49A4" w:rsidRPr="00016E04">
        <w:rPr>
          <w:color w:val="000000" w:themeColor="text1"/>
        </w:rPr>
        <w:t xml:space="preserve">. </w:t>
      </w:r>
      <w:r w:rsidR="00F55E21" w:rsidRPr="00016E04">
        <w:rPr>
          <w:rFonts w:eastAsia="Times New Roman"/>
          <w:color w:val="000000" w:themeColor="text1"/>
        </w:rPr>
        <w:t xml:space="preserve">This </w:t>
      </w:r>
      <w:r w:rsidR="00AB0891" w:rsidRPr="00016E04">
        <w:rPr>
          <w:rFonts w:eastAsia="Times New Roman"/>
          <w:color w:val="000000" w:themeColor="text1"/>
        </w:rPr>
        <w:t xml:space="preserve">relatively </w:t>
      </w:r>
      <w:r w:rsidR="00F55E21" w:rsidRPr="00016E04">
        <w:rPr>
          <w:rFonts w:eastAsia="Times New Roman"/>
          <w:color w:val="000000" w:themeColor="text1"/>
        </w:rPr>
        <w:t xml:space="preserve">recent finding </w:t>
      </w:r>
      <w:r w:rsidR="00512622" w:rsidRPr="00016E04">
        <w:rPr>
          <w:rFonts w:eastAsia="Times New Roman"/>
          <w:color w:val="000000" w:themeColor="text1"/>
        </w:rPr>
        <w:t xml:space="preserve">contradicts </w:t>
      </w:r>
      <w:r w:rsidR="00F55E21" w:rsidRPr="00016E04">
        <w:rPr>
          <w:rFonts w:eastAsia="Times New Roman"/>
          <w:color w:val="000000" w:themeColor="text1"/>
        </w:rPr>
        <w:t xml:space="preserve">previous </w:t>
      </w:r>
      <w:r w:rsidR="00AB0891" w:rsidRPr="00016E04">
        <w:rPr>
          <w:rFonts w:eastAsia="Times New Roman"/>
          <w:color w:val="000000" w:themeColor="text1"/>
        </w:rPr>
        <w:t>assumptions</w:t>
      </w:r>
      <w:r w:rsidR="00F55E21" w:rsidRPr="00016E04">
        <w:rPr>
          <w:rFonts w:eastAsia="Times New Roman"/>
          <w:color w:val="000000" w:themeColor="text1"/>
        </w:rPr>
        <w:t xml:space="preserve"> that humans are unable to metabolise acetone</w:t>
      </w:r>
      <w:r w:rsidR="003C49A4" w:rsidRPr="00016E04">
        <w:rPr>
          <w:rFonts w:eastAsia="Times New Roman"/>
          <w:color w:val="000000" w:themeColor="text1"/>
        </w:rPr>
        <w:t>, and therefore fatty acids, into glucose</w:t>
      </w:r>
      <w:r w:rsidR="00F55E21" w:rsidRPr="00016E04">
        <w:rPr>
          <w:rFonts w:eastAsia="Times New Roman"/>
          <w:color w:val="000000" w:themeColor="text1"/>
        </w:rPr>
        <w:t>.</w:t>
      </w:r>
      <w:r w:rsidR="00417872" w:rsidRPr="00016E04">
        <w:rPr>
          <w:rFonts w:eastAsia="Times New Roman"/>
          <w:color w:val="000000" w:themeColor="text1"/>
        </w:rPr>
        <w:t xml:space="preserve"> </w:t>
      </w:r>
      <w:r w:rsidR="00CC7319" w:rsidRPr="00016E04">
        <w:rPr>
          <w:rFonts w:eastAsia="Times New Roman"/>
          <w:color w:val="000000" w:themeColor="text1"/>
        </w:rPr>
        <w:t>I</w:t>
      </w:r>
      <w:r w:rsidR="00DF5665" w:rsidRPr="00016E04">
        <w:rPr>
          <w:rFonts w:eastAsia="Times New Roman"/>
          <w:color w:val="000000" w:themeColor="text1"/>
        </w:rPr>
        <w:t>n contrast to</w:t>
      </w:r>
      <w:r w:rsidRPr="00016E04">
        <w:rPr>
          <w:rFonts w:eastAsia="Times New Roman"/>
          <w:color w:val="000000" w:themeColor="text1"/>
        </w:rPr>
        <w:t xml:space="preserve"> LCFAs, MCFAs can transport </w:t>
      </w:r>
      <w:r w:rsidRPr="00366A0F">
        <w:rPr>
          <w:rFonts w:eastAsia="Times New Roman"/>
        </w:rPr>
        <w:t xml:space="preserve">through the mitochondrial membrane regardless of the presence of carnitine </w:t>
      </w:r>
      <w:r w:rsidRPr="00366A0F">
        <w:rPr>
          <w:rFonts w:eastAsia="Times New Roman"/>
        </w:rPr>
        <w:fldChar w:fldCharType="begin" w:fldLock="1"/>
      </w:r>
      <w:r w:rsidR="00616D7D">
        <w:rPr>
          <w:rFonts w:eastAsia="Times New Roman"/>
        </w:rPr>
        <w:instrText>ADDIN CSL_CITATION {"citationItems":[{"id":"ITEM-1","itemData":{"DOI":"10.5114/pg.2016.61374","ISSN":"18974317","abstract":"Fats constitute the most significant nutritional source of energy. Their proper use by the body conditions a number of complex mechanisms of digestion, absorption, distribution, and metabolism. These mechanisms are facilitated by fats made of medium chain fatty acids; therefore, they are an easy and quick source of energy. Thus, an increased supply of medium chain triglycerides (MCT) is particularly important in patients with disturbances of digestion and absorption such as disturbed bile secretion, classic coeliac disease, short bowel syndrome, inflammatory diseases of the intestines, disturbed outflow of lymph, some metabolic disease, and severe food allergies, as well as in prematurely born neonates. Use of preparations containing an additive of MCT is limited, especially if they are to be used for a longer period of time. With a large quantity of MCT in a diet, there is a risk of deficiency of necessary unsaturated fatty acids and some fat-soluble vitamins. The caloricity of MTC compared to long-chain triglycerides is lower, and formulas with MCT are characterised by higher osmolality. Medium chain triglycerides is not recommended as an additive to standard formulas for healthy children. The use of MCT should be limited to strictly specified medical indications.","author":[{"dropping-particle":"","family":"Łoś-Rycharska","given":"Ewa","non-dropping-particle":"","parse-names":false,"suffix":""},{"dropping-particle":"","family":"Kieraszewicz","given":"Zuzanna","non-dropping-particle":"","parse-names":false,"suffix":""},{"dropping-particle":"","family":"Czerwionka-Szaflarska","given":"Mieczysława","non-dropping-particle":"","parse-names":false,"suffix":""}],"container-title":"Przeglad Gastroenterologiczny","id":"ITEM-1","issue":"4","issued":{"date-parts":[["2016"]]},"page":"226-231","title":"Medium chain triglycerides (MCT) formulas in paediatric and allergological practice","type":"article","volume":"11"},"uris":["http://www.mendeley.com/documents/?uuid=593750e0-3862-43e1-88c5-d6f5bbf336d1","http://www.mendeley.com/documents/?uuid=a97ecf31-524e-4048-9c93-72efdc7a60a9"]},{"id":"ITEM-2","itemData":{"author":[{"dropping-particle":"","family":"Jong-Yeon","given":"K","non-dropping-particle":"","parse-names":false,"suffix":""},{"dropping-particle":"","family":"Hickner","given":"RC","non-dropping-particle":"","parse-names":false,"suffix":""},{"dropping-particle":"","family":"…","given":"GL Dohm - Metabolism-Clinical","non-dropping-particle":"","parse-names":false,"suffix":""},{"dropping-particle":"","family":"2002","given":"Undefined","non-dropping-particle":"","parse-names":false,"suffix":""}],"container-title":"Metabolism-Clinical and Experimental","id":"ITEM-2","issue":"4","issued":{"date-parts":[["2002"]]},"page":"460-464","title":"Long-and medium-chain fatty acid oxidation is increased in exercise-trained human skeletal muscle","type":"article-journal","volume":"51"},"uris":["http://www.mendeley.com/documents/?uuid=539c8ac2-81a0-3d9e-9782-fad4424d578d","http://www.mendeley.com/documents/?uuid=8201c9eb-a19b-4c83-b745-c02bebfc9ae0"]}],"mendeley":{"formattedCitation":"[16,17]","plainTextFormattedCitation":"[16,17]","previouslyFormattedCitation":"[16,17]"},"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[16,17]</w:t>
      </w:r>
      <w:r w:rsidRPr="00366A0F">
        <w:rPr>
          <w:rFonts w:eastAsia="Times New Roman"/>
        </w:rPr>
        <w:fldChar w:fldCharType="end"/>
      </w:r>
      <w:r w:rsidRPr="00366A0F">
        <w:rPr>
          <w:rFonts w:eastAsia="Times New Roman"/>
        </w:rPr>
        <w:t xml:space="preserve">, allowing </w:t>
      </w:r>
      <w:r w:rsidR="00DF5665" w:rsidRPr="00366A0F">
        <w:rPr>
          <w:rFonts w:eastAsia="Times New Roman"/>
        </w:rPr>
        <w:t xml:space="preserve">oxidation </w:t>
      </w:r>
      <w:r w:rsidRPr="00366A0F">
        <w:rPr>
          <w:rFonts w:eastAsia="Times New Roman"/>
        </w:rPr>
        <w:t xml:space="preserve">to </w:t>
      </w:r>
      <w:r w:rsidR="00DF5665" w:rsidRPr="00366A0F">
        <w:rPr>
          <w:rFonts w:eastAsia="Times New Roman"/>
        </w:rPr>
        <w:lastRenderedPageBreak/>
        <w:t>proceed more rapidly than that of L</w:t>
      </w:r>
      <w:r w:rsidR="008016AF" w:rsidRPr="00366A0F">
        <w:rPr>
          <w:rFonts w:eastAsia="Times New Roman"/>
        </w:rPr>
        <w:t>CFA</w:t>
      </w:r>
      <w:r w:rsidR="00B53821" w:rsidRPr="00366A0F">
        <w:rPr>
          <w:rFonts w:eastAsia="Times New Roman"/>
        </w:rPr>
        <w:t>s</w:t>
      </w:r>
      <w:r w:rsidR="00175BC2" w:rsidRPr="00366A0F">
        <w:rPr>
          <w:rFonts w:eastAsia="Times New Roman"/>
        </w:rPr>
        <w:t xml:space="preserve"> </w:t>
      </w:r>
      <w:r w:rsidR="00175BC2" w:rsidRPr="00366A0F">
        <w:rPr>
          <w:rFonts w:eastAsia="Times New Roman"/>
        </w:rPr>
        <w:fldChar w:fldCharType="begin" w:fldLock="1"/>
      </w:r>
      <w:r w:rsidR="005409CB" w:rsidRPr="00366A0F">
        <w:rPr>
          <w:rFonts w:eastAsia="Times New Roman"/>
        </w:rPr>
        <w:instrText>ADDIN CSL_CITATION {"citationItems":[{"id":"ITEM-1","itemData":{"DOI":"10.1093/ajcn/44.5.630","ISSN":"00029165","PMID":"3532757","abstract":"The thermic effects of 400 kcal meals of medium-chain triglycerides (MCT) and long-chain triglycerides (LCT) were compared in seven healthy men. Metabolic rate was measured before the meals and for 6 h after the meals by indirect calorimetry. Mean postprandial oxygen consumption was 12% higher than basal oxygen consumption after the MCT meal but was only 4% higher than the basal oxygen consumption after the LCT meal. There was a 25-fold increase in plasma beta-hydroxybutyrate concentration and a slight increase in serum insulin concentrations after MCT ingestion but not after LCT ingestion. Plasma triglyceride concentrations increased 68% after the LCT meal and did not change after the MCT meal. These data raise the possibility that long-term substitution of MCT for LCT would produce weight loss if energy intake remained constant.","author":[{"dropping-particle":"","family":"Seaton","given":"T. B.","non-dropping-particle":"","parse-names":false,"suffix":""},{"dropping-particle":"","family":"Welle","given":"S. L.","non-dropping-particle":"","parse-names":false,"suffix":""},{"dropping-particle":"","family":"Warenko","given":"M. K.","non-dropping-particle":"","parse-names":false,"suffix":""},{"dropping-particle":"","family":"Campbell","given":"R. G.","non-dropping-particle":"","parse-names":false,"suffix":""}],"container-title":"American Journal of Clinical Nutrition","id":"ITEM-1","issue":"5","issued":{"date-parts":[["1986"]]},"page":"630-634","title":"Thermic effect of medium-chain and long-chain triglycerides in man","type":"article-journal","volume":"44"},"uris":["http://www.mendeley.com/documents/?uuid=f338a2d0-f34d-4931-8f25-5aa014000f1d"]}],"mendeley":{"formattedCitation":"[9]","plainTextFormattedCitation":"[9]","previouslyFormattedCitation":"[9]"},"properties":{"noteIndex":0},"schema":"https://github.com/citation-style-language/schema/raw/master/csl-citation.json"}</w:instrText>
      </w:r>
      <w:r w:rsidR="00175BC2" w:rsidRPr="00366A0F">
        <w:rPr>
          <w:rFonts w:eastAsia="Times New Roman"/>
        </w:rPr>
        <w:fldChar w:fldCharType="separate"/>
      </w:r>
      <w:r w:rsidR="001C00EC" w:rsidRPr="00366A0F">
        <w:rPr>
          <w:rFonts w:eastAsia="Times New Roman"/>
          <w:noProof/>
        </w:rPr>
        <w:t>[9]</w:t>
      </w:r>
      <w:r w:rsidR="00175BC2" w:rsidRPr="00366A0F">
        <w:rPr>
          <w:rFonts w:eastAsia="Times New Roman"/>
        </w:rPr>
        <w:fldChar w:fldCharType="end"/>
      </w:r>
      <w:r w:rsidRPr="00366A0F">
        <w:rPr>
          <w:rFonts w:eastAsia="Times New Roman"/>
        </w:rPr>
        <w:t>.</w:t>
      </w:r>
      <w:r w:rsidR="008016AF" w:rsidRPr="00366A0F">
        <w:rPr>
          <w:rFonts w:eastAsia="Times New Roman"/>
        </w:rPr>
        <w:t xml:space="preserve"> </w:t>
      </w:r>
      <w:r w:rsidR="00CC7319" w:rsidRPr="00366A0F">
        <w:rPr>
          <w:rFonts w:eastAsia="Times New Roman"/>
        </w:rPr>
        <w:t>Taken together, t</w:t>
      </w:r>
      <w:r w:rsidR="00010FCA" w:rsidRPr="00366A0F">
        <w:rPr>
          <w:rFonts w:eastAsia="Times New Roman"/>
        </w:rPr>
        <w:t xml:space="preserve">he </w:t>
      </w:r>
      <w:r w:rsidR="008016AF" w:rsidRPr="00366A0F">
        <w:rPr>
          <w:rFonts w:eastAsia="Times New Roman"/>
        </w:rPr>
        <w:t xml:space="preserve">ingestion of MCTs is more ketogenic </w:t>
      </w:r>
      <w:r w:rsidR="003D2515" w:rsidRPr="00366A0F">
        <w:rPr>
          <w:rFonts w:eastAsia="Times New Roman"/>
        </w:rPr>
        <w:t xml:space="preserve">(i.e. produces ketones more rapidly) </w:t>
      </w:r>
      <w:r w:rsidR="008016AF" w:rsidRPr="00366A0F">
        <w:rPr>
          <w:rFonts w:eastAsia="Times New Roman"/>
        </w:rPr>
        <w:t>in comparison to LCT</w:t>
      </w:r>
      <w:r w:rsidR="00B06C46" w:rsidRPr="00366A0F">
        <w:rPr>
          <w:rFonts w:eastAsia="Times New Roman"/>
        </w:rPr>
        <w:t>s</w:t>
      </w:r>
      <w:r w:rsidR="00010FCA" w:rsidRPr="00366A0F">
        <w:rPr>
          <w:rFonts w:eastAsia="Times New Roman"/>
        </w:rPr>
        <w:t xml:space="preserve">, </w:t>
      </w:r>
      <w:r w:rsidR="008016AF" w:rsidRPr="00366A0F">
        <w:rPr>
          <w:rFonts w:eastAsia="Times New Roman"/>
        </w:rPr>
        <w:fldChar w:fldCharType="begin" w:fldLock="1"/>
      </w:r>
      <w:r w:rsidR="00616D7D">
        <w:rPr>
          <w:rFonts w:eastAsia="Times New Roman"/>
        </w:rPr>
        <w:instrText>ADDIN CSL_CITATION {"citationItems":[{"id":"ITEM-1","itemData":{"DOI":"10.3389/fnut.2019.00046","ISSN":"2296861X","abstract":"Background: Medium chain triglycerides (MCT) are ketogenic but the relationship between the change in plasma ketones and the change plasma medium chain fatty acids (MCFA)—octanoate, decanoate, or dodecanoate—after an oral dose of MCT is not well-known. An 8 h metabolic study day is a suitable model to assess the acute effects on plasma ketones and MCFA after a dose of tricaprylin (C8), tricaprin (C10), trilaurin (C12) or mixed MCT (C8C10). Objective: To assess in healthy humans the relationship between the change in plasma ketones, and octanoate, decanoate and dodecanoate in plasma total lipids during an 8 h metabolic study day in which a first 20 ml dose of the homogenized test oil is taken with breakfast and a second 20 ml dose is taken 4 h later without an accompanying meal. Results: The change in plasma acetoacetate, β-hydroxybutyrate and total ketones was highest after C8 (0.5 to 3 h post-dose) and was lower during tests in which octanoate was absent or was diluted by C10 in the test oil. The plasma ketone response was also about 2 fold higher without an accompanying meal (P = 0.012). However, except during the pure C10 test, the response of octanoate, decanoate or dodecanoate in plasma total lipids to the test oils was not affected by consuming an accompanying meal. Except with C12, the 4 h area-under-the-curve of plasma β-hydroxybutyrate/acetoacetate was 2–3 fold higher when no meal was consumed (P &lt; 0.04). Conclusion: C8 was about three times more ketogenic than C10 and about six times more ketogenic than C12 under these acute metabolic test conditions, an effect related to the post-dose increase in octanoate in plasma total lipids.","author":[{"dropping-particle":"","family":"St-Pierre","given":"Valérie","non-dropping-particle":"","parse-names":false,"suffix":""},{"dropping-particle":"","family":"Vandenberghe","given":"Camille","non-dropping-particle":"","parse-names":false,"suffix":""},{"dropping-particle":"","family":"Lowry","given":"Carolyne Mary","non-dropping-particle":"","parse-names":false,"suffix":""},{"dropping-particle":"","family":"Fortier","given":"Mélanie","non-dropping-particle":"","parse-names":false,"suffix":""},{"dropping-particle":"","family":"Castellano","given":"Christian Alexandre","non-dropping-particle":"","parse-names":false,"suffix":""},{"dropping-particle":"","family":"Wagner","given":"Richard","non-dropping-particle":"","parse-names":false,"suffix":""},{"dropping-particle":"","family":"Cunnane","given":"Stephen C.","non-dropping-particle":"","parse-names":false,"suffix":""}],"container-title":"Frontiers in Nutrition","id":"ITEM-1","issue":"1","issued":{"date-parts":[["2019"]]},"page":"1-8","title":"Plasma ketone and medium chain fatty acid response in humans consuming different medium chain triglycerides during a metabolic study day","type":"article-journal","volume":"6"},"uris":["http://www.mendeley.com/documents/?uuid=ff983996-db4f-4a80-9c5a-e7792dfa0e6d","http://www.mendeley.com/documents/?uuid=16abd992-f2cb-43c1-9122-19eae043634f"]},{"id":"ITEM-2","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Nutrition","id":"ITEM-2","issue":"4","issued":{"date-parts":[["2017"]]},"page":"e000257","title":"Tricaprylin Alone Increases Plasma Ketone Response More Than Coconut Oil or Other Medium-Chain Triglycerides: An Acute Crossover Study in Healthy Adults","type":"article-journal","volume":"1"},"uris":["http://www.mendeley.com/documents/?uuid=f15957e3-e4f1-4931-a2b0-9da2a6e57032"]}],"mendeley":{"formattedCitation":"[7,18]","plainTextFormattedCitation":"[7,18]","previouslyFormattedCitation":"[7,18]"},"properties":{"noteIndex":0},"schema":"https://github.com/citation-style-language/schema/raw/master/csl-citation.json"}</w:instrText>
      </w:r>
      <w:r w:rsidR="008016AF" w:rsidRPr="00366A0F">
        <w:rPr>
          <w:rFonts w:eastAsia="Times New Roman"/>
        </w:rPr>
        <w:fldChar w:fldCharType="separate"/>
      </w:r>
      <w:r w:rsidR="00FD5371" w:rsidRPr="00FD5371">
        <w:rPr>
          <w:rFonts w:eastAsia="Times New Roman"/>
          <w:noProof/>
        </w:rPr>
        <w:t>[7,18]</w:t>
      </w:r>
      <w:r w:rsidR="008016AF" w:rsidRPr="00366A0F">
        <w:rPr>
          <w:rFonts w:eastAsia="Times New Roman"/>
        </w:rPr>
        <w:fldChar w:fldCharType="end"/>
      </w:r>
      <w:r w:rsidR="008608B8" w:rsidRPr="00366A0F">
        <w:rPr>
          <w:rFonts w:eastAsia="Times New Roman"/>
        </w:rPr>
        <w:t xml:space="preserve">. </w:t>
      </w:r>
      <w:r w:rsidR="00010FCA" w:rsidRPr="00366A0F">
        <w:rPr>
          <w:rFonts w:eastAsia="Times New Roman"/>
        </w:rPr>
        <w:t>F</w:t>
      </w:r>
      <w:r w:rsidR="008016AF" w:rsidRPr="00366A0F">
        <w:rPr>
          <w:rFonts w:eastAsia="Times New Roman"/>
        </w:rPr>
        <w:t>or a thorough comparison of MCTs and LCTs, see</w:t>
      </w:r>
      <w:r w:rsidR="00906573" w:rsidRPr="00366A0F">
        <w:rPr>
          <w:rFonts w:eastAsia="Times New Roman"/>
        </w:rPr>
        <w:t xml:space="preserve"> Jeukendrup and Aldred </w:t>
      </w:r>
      <w:r w:rsidR="00906573" w:rsidRPr="00366A0F">
        <w:rPr>
          <w:rFonts w:eastAsia="Times New Roman"/>
        </w:rPr>
        <w:fldChar w:fldCharType="begin" w:fldLock="1"/>
      </w:r>
      <w:r w:rsidR="005409CB" w:rsidRPr="00366A0F">
        <w:rPr>
          <w:rFonts w:eastAsia="Times New Roman"/>
        </w:rPr>
        <w:instrText>ADDIN CSL_CITATION {"citationItems":[{"id":"ITEM-1","itemData":{"DOI":"10.1016/j.nut.2004.04.018","ISSN":"08999007","abstract":"Pre-exercise fat ingestion (i.e., long chain triacylglycerol ingestion 1 to 4 h before exercise), medium-chain triacylglycerols, fish oil, and conjugated linoleic acid have been suggested to alter metabolism to achieve weight loss, alter lipid profiles, or improve performance. However, studies have demonstrated that ingestion of meals with long-chain triacylglycerols before exercise has little or no effect on metabolism and does not alter subsequent exercise performance. Also, medium-chain triacylglycerol supplementation before or during exercise has not been shown to be ergogenic, although this could be related to the small amounts of medium-chain triacylglycerol that can be ingested before gastrointestinal discomfort occurs. Fish oil may improve red blood cell deformability, but these effects are likely to be small and do not seem to influence maximum oxygen delivery or exercise performance. Conjugated linoleic acid has been implicated in weight loss, but based on the results of human studies it must be concluded that the effects of conjugated linoleic acid on body weight loss are far less clear than those observed in animal studies. Most studies have not found any evidence for a beneficial effect of conjugated linoleic acid. © Elsevier Inc. 2004.","author":[{"dropping-particle":"","family":"Jeukendrup","given":"Asker E.","non-dropping-particle":"","parse-names":false,"suffix":""},{"dropping-particle":"","family":"Aldred","given":"Sarah","non-dropping-particle":"","parse-names":false,"suffix":""}],"container-title":"Nutrition","id":"ITEM-1","issue":"7-8","issued":{"date-parts":[["2004"]]},"page":"678-688","title":"Fat supplementation, health, and endurance performance","type":"article-journal","volume":"20"},"uris":["http://www.mendeley.com/documents/?uuid=9d670ce7-bc73-4702-9701-4caba778903c"]}],"mendeley":{"formattedCitation":"[3]","plainTextFormattedCitation":"[3]","previouslyFormattedCitation":"[3]"},"properties":{"noteIndex":0},"schema":"https://github.com/citation-style-language/schema/raw/master/csl-citation.json"}</w:instrText>
      </w:r>
      <w:r w:rsidR="00906573" w:rsidRPr="00366A0F">
        <w:rPr>
          <w:rFonts w:eastAsia="Times New Roman"/>
        </w:rPr>
        <w:fldChar w:fldCharType="separate"/>
      </w:r>
      <w:r w:rsidR="001C00EC" w:rsidRPr="00366A0F">
        <w:rPr>
          <w:rFonts w:eastAsia="Times New Roman"/>
          <w:noProof/>
        </w:rPr>
        <w:t>[3]</w:t>
      </w:r>
      <w:r w:rsidR="00906573" w:rsidRPr="00366A0F">
        <w:rPr>
          <w:rFonts w:eastAsia="Times New Roman"/>
        </w:rPr>
        <w:fldChar w:fldCharType="end"/>
      </w:r>
      <w:r w:rsidR="00D0071C" w:rsidRPr="00366A0F">
        <w:rPr>
          <w:rFonts w:eastAsia="Times New Roman"/>
        </w:rPr>
        <w:t>.</w:t>
      </w:r>
    </w:p>
    <w:p w14:paraId="465F2C12" w14:textId="77777777" w:rsidR="00016E04" w:rsidRPr="006734E2" w:rsidRDefault="00016E04" w:rsidP="006734E2">
      <w:pPr>
        <w:spacing w:line="360" w:lineRule="auto"/>
        <w:ind w:firstLine="720"/>
        <w:jc w:val="both"/>
        <w:rPr>
          <w:rFonts w:eastAsia="Times New Roman"/>
          <w:color w:val="FF0000"/>
        </w:rPr>
      </w:pPr>
    </w:p>
    <w:p w14:paraId="164FA0E3" w14:textId="507DBDFC" w:rsidR="002570F4" w:rsidRDefault="00122512" w:rsidP="002435B5">
      <w:pPr>
        <w:spacing w:line="360" w:lineRule="auto"/>
        <w:ind w:firstLine="720"/>
        <w:jc w:val="both"/>
        <w:rPr>
          <w:rFonts w:eastAsia="Times New Roman"/>
        </w:rPr>
      </w:pPr>
      <w:r w:rsidRPr="00366A0F">
        <w:rPr>
          <w:rFonts w:eastAsia="Times New Roman"/>
        </w:rPr>
        <w:t>β</w:t>
      </w:r>
      <w:r w:rsidR="002570F4" w:rsidRPr="00366A0F">
        <w:rPr>
          <w:rFonts w:eastAsia="Times New Roman"/>
        </w:rPr>
        <w:t xml:space="preserve">HB is exported from the liver into the blood and is converted in the mitochondria in muscle and brain cells into </w:t>
      </w:r>
      <w:r w:rsidR="002570F4" w:rsidRPr="00016E04">
        <w:rPr>
          <w:rFonts w:eastAsia="Times New Roman"/>
          <w:color w:val="000000" w:themeColor="text1"/>
        </w:rPr>
        <w:t xml:space="preserve">acetoacetate </w:t>
      </w:r>
      <w:r w:rsidR="00E32674" w:rsidRPr="00016E04">
        <w:rPr>
          <w:rFonts w:eastAsia="Times New Roman"/>
          <w:color w:val="000000" w:themeColor="text1"/>
        </w:rPr>
        <w:t xml:space="preserve">using the enzyme </w:t>
      </w:r>
      <w:r w:rsidR="009D6D10" w:rsidRPr="00016E04">
        <w:rPr>
          <w:color w:val="000000" w:themeColor="text1"/>
          <w:shd w:val="clear" w:color="auto" w:fill="FFFFFF"/>
        </w:rPr>
        <w:t xml:space="preserve">beta-hydroxybutyrate dehydrogenase. Acetoacetate is then converted to </w:t>
      </w:r>
      <w:bookmarkStart w:id="1" w:name="_Hlk55561025"/>
      <w:r w:rsidR="0046582B" w:rsidRPr="00016E04">
        <w:rPr>
          <w:color w:val="000000" w:themeColor="text1"/>
          <w:shd w:val="clear" w:color="auto" w:fill="FFFFFF"/>
        </w:rPr>
        <w:t xml:space="preserve">acetoacetyl-CoA via the enzyme </w:t>
      </w:r>
      <w:r w:rsidR="0046582B" w:rsidRPr="00016E04">
        <w:rPr>
          <w:rFonts w:eastAsia="Times New Roman"/>
          <w:bCs/>
          <w:color w:val="000000" w:themeColor="text1"/>
        </w:rPr>
        <w:t xml:space="preserve">succinyl-CoA-oxoacid CoA transferase </w:t>
      </w:r>
      <w:bookmarkEnd w:id="1"/>
      <w:r w:rsidR="004476AF" w:rsidRPr="00016E04">
        <w:rPr>
          <w:rFonts w:eastAsia="Times New Roman"/>
          <w:bCs/>
          <w:color w:val="000000" w:themeColor="text1"/>
        </w:rPr>
        <w:t xml:space="preserve">before becoming </w:t>
      </w:r>
      <w:r w:rsidR="009D6D10" w:rsidRPr="00016E04">
        <w:rPr>
          <w:color w:val="000000" w:themeColor="text1"/>
          <w:shd w:val="clear" w:color="auto" w:fill="FFFFFF"/>
        </w:rPr>
        <w:t xml:space="preserve">acetyl-CoA via the enzyme beta-ketoacyl-CoA, which is then </w:t>
      </w:r>
      <w:r w:rsidR="00B55283" w:rsidRPr="00016E04">
        <w:rPr>
          <w:color w:val="000000" w:themeColor="text1"/>
          <w:shd w:val="clear" w:color="auto" w:fill="FFFFFF"/>
        </w:rPr>
        <w:t>oxidised</w:t>
      </w:r>
      <w:r w:rsidR="009D6D10" w:rsidRPr="00016E04">
        <w:rPr>
          <w:color w:val="000000" w:themeColor="text1"/>
          <w:shd w:val="clear" w:color="auto" w:fill="FFFFFF"/>
        </w:rPr>
        <w:t xml:space="preserve"> </w:t>
      </w:r>
      <w:r w:rsidR="002570F4" w:rsidRPr="00016E04">
        <w:rPr>
          <w:rFonts w:eastAsia="Times New Roman"/>
          <w:color w:val="000000" w:themeColor="text1"/>
        </w:rPr>
        <w:t>in the Krebs</w:t>
      </w:r>
      <w:r w:rsidR="00D81BD6" w:rsidRPr="00016E04">
        <w:rPr>
          <w:rFonts w:eastAsia="Times New Roman"/>
          <w:color w:val="000000" w:themeColor="text1"/>
        </w:rPr>
        <w:t xml:space="preserve"> c</w:t>
      </w:r>
      <w:r w:rsidR="002570F4" w:rsidRPr="00016E04">
        <w:rPr>
          <w:rFonts w:eastAsia="Times New Roman"/>
          <w:color w:val="000000" w:themeColor="text1"/>
        </w:rPr>
        <w:t xml:space="preserve">ycle </w:t>
      </w:r>
      <w:r w:rsidR="003D2515" w:rsidRPr="00016E04">
        <w:rPr>
          <w:rFonts w:eastAsia="Times New Roman"/>
          <w:color w:val="000000" w:themeColor="text1"/>
        </w:rPr>
        <w:t>with the subsequent NADH and FADH</w:t>
      </w:r>
      <w:r w:rsidR="003D2515" w:rsidRPr="00016E04">
        <w:rPr>
          <w:rFonts w:eastAsia="Times New Roman"/>
          <w:color w:val="000000" w:themeColor="text1"/>
          <w:vertAlign w:val="subscript"/>
        </w:rPr>
        <w:t>2</w:t>
      </w:r>
      <w:r w:rsidR="003D2515" w:rsidRPr="00016E04">
        <w:rPr>
          <w:rFonts w:eastAsia="Times New Roman"/>
          <w:color w:val="000000" w:themeColor="text1"/>
        </w:rPr>
        <w:t xml:space="preserve"> production utilised</w:t>
      </w:r>
      <w:r w:rsidR="00B55283" w:rsidRPr="00016E04">
        <w:rPr>
          <w:color w:val="000000" w:themeColor="text1"/>
        </w:rPr>
        <w:t xml:space="preserve"> by the mitochondrial electron transport chain </w:t>
      </w:r>
      <w:r w:rsidR="002570F4" w:rsidRPr="00016E04">
        <w:rPr>
          <w:rFonts w:eastAsia="Times New Roman"/>
          <w:color w:val="000000" w:themeColor="text1"/>
        </w:rPr>
        <w:t xml:space="preserve">to harbour energy </w:t>
      </w:r>
      <w:r w:rsidR="00B3449D"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{"citationItems":[{"id":"ITEM-1","itemData":{"DOI":"10.1016/j.nurt.2008.05.004","ISSN":"19337213","abstract":"An early feature of Alzheimer's disease (AD) is region-specific declines in brain glucose metabolism. Unlike other tissues in the body, the brain does not efficiently metabolize fats; hence the adult human brain relies almost exclusively on glucose as an energy substrate. Therefore, inhibition of glucose metabolism can have profound effects on brain function. The hypometabolism seen in AD has recently attracted attention as a possible target for intervention in the disease process. One promising approach is to supplement the normal glucose supply of the brain with ketone bodies (KB), which include acetoacetate, β-hydroxybutyrate, and acetone. KB are normally produced from fat stores when glucose supplies are limited, such as during prolonged fasting. KB have been induced both by direct infusion and by the administration of a high-fat, low-carbohydrate, low-protein, ketogenic diets. Both approaches have demonstrated efficacy in animal models of neurodegenerative disorders and in human clinical trials, including AD trials. Much of the benefit of KB can be attributed to their ability to increase mitochondrial efficiency and supplement the brain's normal reliance on glucose. Research into the therapeutic potential of KB and ketosis represents a promising new area of AD research. © 2008 The American Society for Experimental NeuroTherapeutics, Inc.","author":[{"dropping-particle":"","family":"Henderson","given":"Samuel T.","non-dropping-particle":"","parse-names":false,"suffix":""}],"container-title":"Neurotherapeutics","id":"ITEM-1","issue":"3","issued":{"date-parts":[["2008"]]},"page":"470-480","title":"Ketone Bodies as a Therapeutic for Alzheimer's Disease","type":"article-journal","volume":"5"},"uris":["http://www.mendeley.com/documents/?uuid=859b1f29-2673-47da-9754-e627b90b79bd","http://www.mendeley.com/documents/?uuid=a811a97b-a99c-4a63-9170-c918cb9c0e4e"]},{"id":"ITEM-2","itemData":{"DOI":"10.36648/1791-809x.14.1.690","author":[{"dropping-particle":"","family":"Smith","given":"Michael Paden","non-dropping-particle":"","parse-names":false,"suffix":""}],"container-title":"Health Science Journal","id":"ITEM-2","issue":"1","issued":{"date-parts":[["2020"]]},"publisher":"Insight Medical Publishing","title":"Medical and Therapeutic Applications of Ketosis: An Overview","type":"article-journal","volume":"14"},"uris":["http://www.mendeley.com/documents/?uuid=b96e0286-1d51-30f2-8029-608f73181838"]}],"mendeley":{"formattedCitation":"[19,20]","plainTextFormattedCitation":"[19,20]","previouslyFormattedCitation":"[19,20]"},"properties":{"noteIndex":0},"schema":"https://github.com/citation-style-language/schema/raw/master/csl-citation.json"}</w:instrText>
      </w:r>
      <w:r w:rsidR="00B3449D" w:rsidRPr="00016E04">
        <w:rPr>
          <w:rFonts w:eastAsia="Times New Roman"/>
          <w:color w:val="000000" w:themeColor="text1"/>
        </w:rPr>
        <w:fldChar w:fldCharType="separate"/>
      </w:r>
      <w:r w:rsidR="00FD5371" w:rsidRPr="00016E04">
        <w:rPr>
          <w:rFonts w:eastAsia="Times New Roman"/>
          <w:noProof/>
          <w:color w:val="000000" w:themeColor="text1"/>
        </w:rPr>
        <w:t>[19,20]</w:t>
      </w:r>
      <w:r w:rsidR="00B3449D" w:rsidRPr="00016E04">
        <w:rPr>
          <w:rFonts w:eastAsia="Times New Roman"/>
          <w:color w:val="000000" w:themeColor="text1"/>
        </w:rPr>
        <w:fldChar w:fldCharType="end"/>
      </w:r>
      <w:r w:rsidR="00F46A64" w:rsidRPr="00016E04">
        <w:rPr>
          <w:rFonts w:eastAsia="Times New Roman"/>
          <w:color w:val="000000" w:themeColor="text1"/>
        </w:rPr>
        <w:t>, as illustrated in Figure 1</w:t>
      </w:r>
      <w:r w:rsidR="002570F4" w:rsidRPr="00016E04">
        <w:rPr>
          <w:rFonts w:eastAsia="Times New Roman"/>
          <w:color w:val="000000" w:themeColor="text1"/>
        </w:rPr>
        <w:t xml:space="preserve">. The brain can utilise </w:t>
      </w:r>
      <w:r w:rsidRPr="00016E04">
        <w:rPr>
          <w:rFonts w:eastAsia="Times New Roman"/>
          <w:color w:val="000000" w:themeColor="text1"/>
        </w:rPr>
        <w:t>β</w:t>
      </w:r>
      <w:r w:rsidR="002570F4" w:rsidRPr="00016E04">
        <w:rPr>
          <w:rFonts w:eastAsia="Times New Roman"/>
          <w:color w:val="000000" w:themeColor="text1"/>
        </w:rPr>
        <w:t xml:space="preserve">HB as an alternate energy source </w:t>
      </w:r>
      <w:r w:rsidR="002435B5" w:rsidRPr="00016E04">
        <w:rPr>
          <w:rFonts w:eastAsia="Times New Roman"/>
          <w:color w:val="000000" w:themeColor="text1"/>
        </w:rPr>
        <w:t>to glucose, which is</w:t>
      </w:r>
      <w:r w:rsidR="00A43EF8" w:rsidRPr="00016E04">
        <w:rPr>
          <w:rFonts w:eastAsia="Times New Roman"/>
          <w:color w:val="000000" w:themeColor="text1"/>
        </w:rPr>
        <w:t xml:space="preserve"> otherwise</w:t>
      </w:r>
      <w:r w:rsidR="002435B5" w:rsidRPr="00016E04">
        <w:rPr>
          <w:rFonts w:eastAsia="Times New Roman"/>
          <w:color w:val="000000" w:themeColor="text1"/>
        </w:rPr>
        <w:t xml:space="preserve"> the main fuel source </w:t>
      </w:r>
      <w:r w:rsidR="00906573"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enhancement","type":"article-journal","volume":"233"},"uris":["http://www.mendeley.com/documents/?uuid=4a363d34-c365-4e1e-a324-588cd4934b25"]},{"id":"ITEM-2","itemData":{"author":[{"dropping-particle":"","family":"Augustin Bsc","given":"Katrin","non-dropping-particle":"","parse-names":false,"suffix":""},{"dropping-particle":"","family":"Khabbush Phd","given":"Aziza","non-dropping-particle":"","parse-names":false,"suffix":""},{"dropping-particle":"","family":"Phd","given":"Sophie Williams","non-dropping-particle":"","parse-names":false,"suffix":""},{"dropping-particle":"","family":"Eaton Phd","given":"Simon","non-dropping-particle":"","parse-names":false,"suffix":""},{"dropping-particle":"","family":"Orford Phd","given":"Michael","non-dropping-particle":"","parse-names":false,"suffix":""},{"dropping-particle":"","family":"Cross Phd","given":"J Helen","non-dropping-particle":"","parse-names":false,"suffix":""},{"dropping-particle":"","family":"Heales","given":"Simon J R","non-dropping-particle":"","parse-names":false,"suffix":""},{"dropping-particle":"","family":"Walker Phd","given":"Matthew C","non-dropping-particle":"","parse-names":false,"suffix":""},{"dropping-particle":"","family":"Williams","given":"Robin S B","non-dropping-particle":"","parse-names":false,"suffix":""}],"container-title":"Neurology","id":"ITEM-2","issue":"1","issued":{"date-parts":[["2018"]]},"page":"84-93","title":"Medium chain triglyceride ketogenic diet in neurological and metabolic disorders","type":"article-journal","volume":"17"},"uris":["http://www.mendeley.com/documents/?uuid=c2688558-53a4-40f6-aab3-9a148aa681f6"]}],"mendeley":{"formattedCitation":"[10,21]","plainTextFormattedCitation":"[10,21]","previouslyFormattedCitation":"[10,21]"},"properties":{"noteIndex":0},"schema":"https://github.com/citation-style-language/schema/raw/master/csl-citation.json"}</w:instrText>
      </w:r>
      <w:r w:rsidR="00906573" w:rsidRPr="00016E04">
        <w:rPr>
          <w:rFonts w:eastAsia="Times New Roman"/>
          <w:color w:val="000000" w:themeColor="text1"/>
        </w:rPr>
        <w:fldChar w:fldCharType="separate"/>
      </w:r>
      <w:r w:rsidR="00FD5371" w:rsidRPr="00016E04">
        <w:rPr>
          <w:rFonts w:eastAsia="Times New Roman"/>
          <w:noProof/>
          <w:color w:val="000000" w:themeColor="text1"/>
        </w:rPr>
        <w:t>[10,21]</w:t>
      </w:r>
      <w:r w:rsidR="00906573" w:rsidRPr="00016E04">
        <w:rPr>
          <w:rFonts w:eastAsia="Times New Roman"/>
          <w:color w:val="000000" w:themeColor="text1"/>
        </w:rPr>
        <w:fldChar w:fldCharType="end"/>
      </w:r>
      <w:r w:rsidR="00B3449D" w:rsidRPr="00016E04">
        <w:rPr>
          <w:rFonts w:eastAsia="Times New Roman"/>
          <w:color w:val="000000" w:themeColor="text1"/>
        </w:rPr>
        <w:t>.</w:t>
      </w:r>
      <w:r w:rsidR="002435B5" w:rsidRPr="00016E04">
        <w:rPr>
          <w:rFonts w:eastAsia="Times New Roman"/>
          <w:color w:val="000000" w:themeColor="text1"/>
        </w:rPr>
        <w:t xml:space="preserve"> </w:t>
      </w:r>
      <w:r w:rsidR="002570F4" w:rsidRPr="00016E04">
        <w:rPr>
          <w:rFonts w:eastAsia="Times New Roman"/>
          <w:color w:val="000000" w:themeColor="text1"/>
        </w:rPr>
        <w:t>A</w:t>
      </w:r>
      <w:r w:rsidR="003D2515" w:rsidRPr="00016E04">
        <w:rPr>
          <w:rFonts w:eastAsia="Times New Roman"/>
          <w:color w:val="000000" w:themeColor="text1"/>
        </w:rPr>
        <w:t>dditionally</w:t>
      </w:r>
      <w:r w:rsidR="002570F4" w:rsidRPr="00366A0F">
        <w:rPr>
          <w:rFonts w:eastAsia="Times New Roman"/>
        </w:rPr>
        <w:t xml:space="preserve">, the MCFAs that bypass metabolism in the liver </w:t>
      </w:r>
      <w:r w:rsidR="00A43EF8" w:rsidRPr="00366A0F">
        <w:rPr>
          <w:rFonts w:eastAsia="Times New Roman"/>
        </w:rPr>
        <w:t>can</w:t>
      </w:r>
      <w:r w:rsidR="002570F4" w:rsidRPr="00366A0F">
        <w:rPr>
          <w:rFonts w:eastAsia="Times New Roman"/>
        </w:rPr>
        <w:t xml:space="preserve"> directly cross the blood-brain-barrier due to their </w:t>
      </w:r>
      <w:r w:rsidR="00165214" w:rsidRPr="00366A0F">
        <w:rPr>
          <w:rFonts w:eastAsia="Times New Roman"/>
        </w:rPr>
        <w:t xml:space="preserve">relatively </w:t>
      </w:r>
      <w:r w:rsidR="002570F4" w:rsidRPr="00366A0F">
        <w:rPr>
          <w:rFonts w:eastAsia="Times New Roman"/>
        </w:rPr>
        <w:t>short</w:t>
      </w:r>
      <w:r w:rsidR="00165214" w:rsidRPr="00366A0F">
        <w:rPr>
          <w:rFonts w:eastAsia="Times New Roman"/>
        </w:rPr>
        <w:t>er</w:t>
      </w:r>
      <w:r w:rsidR="002570F4" w:rsidRPr="00366A0F">
        <w:rPr>
          <w:rFonts w:eastAsia="Times New Roman"/>
        </w:rPr>
        <w:t xml:space="preserve"> carbon chain length and are oxidised in astrocytes</w:t>
      </w:r>
      <w:r w:rsidR="00165214" w:rsidRPr="00366A0F">
        <w:rPr>
          <w:rFonts w:eastAsia="Times New Roman"/>
        </w:rPr>
        <w:t>:</w:t>
      </w:r>
      <w:r w:rsidR="00E24223" w:rsidRPr="00366A0F">
        <w:rPr>
          <w:rFonts w:eastAsia="Times New Roman"/>
        </w:rPr>
        <w:t xml:space="preserve"> </w:t>
      </w:r>
      <w:r w:rsidR="00692A01" w:rsidRPr="00366A0F">
        <w:rPr>
          <w:rFonts w:eastAsia="Times New Roman"/>
        </w:rPr>
        <w:t>LCFAs are unable to do</w:t>
      </w:r>
      <w:r w:rsidR="00E24223" w:rsidRPr="00366A0F">
        <w:rPr>
          <w:rFonts w:eastAsia="Times New Roman"/>
        </w:rPr>
        <w:t xml:space="preserve"> so</w:t>
      </w:r>
      <w:r w:rsidR="002570F4" w:rsidRPr="00366A0F">
        <w:rPr>
          <w:rFonts w:eastAsia="Times New Roman"/>
        </w:rPr>
        <w:t xml:space="preserve"> </w:t>
      </w:r>
      <w:r w:rsidR="003A47A9" w:rsidRPr="00366A0F">
        <w:rPr>
          <w:rFonts w:eastAsia="Times New Roman"/>
        </w:rPr>
        <w:fldChar w:fldCharType="begin" w:fldLock="1"/>
      </w:r>
      <w:r w:rsidR="00616D7D">
        <w:rPr>
          <w:rFonts w:eastAsia="Times New Roman"/>
        </w:rPr>
        <w:instrText xml:space="preserve">ADDIN CSL_CITATION {"citationItems":[{"id":"ITEM-1","itemData":{"DOI":"10.1523/JNEUROSCI.23-13-05928.2003","ISSN":"02706474","PMID":"12843297","abstract":"Glucose is the dominant oxidative fuel for brain, but studies have indicated that fatty acids are used by brain as well. We postulated that fatty acid oxidation in brain could contribute significantly to overall energy usage and account for non-glucose-derived energy production. [2,4,6,8-13C4]octanoate oxidation in intact rats was determined by nuclear magnetic resonance spectroscopy. We found that oxidation of 13C-octanoate in brain is avid and contributes </w:instrText>
      </w:r>
      <w:r w:rsidR="00616D7D">
        <w:rPr>
          <w:rFonts w:ascii="Cambria Math" w:eastAsia="Times New Roman" w:hAnsi="Cambria Math" w:cs="Cambria Math"/>
        </w:rPr>
        <w:instrText>∼</w:instrText>
      </w:r>
      <w:r w:rsidR="00616D7D">
        <w:rPr>
          <w:rFonts w:eastAsia="Times New Roman"/>
        </w:rPr>
        <w:instrText>20% to total brain oxidative energy production. Labeling patterns of glutamate and glutamine were distinct, and analysis of these metabolites indicated compartmentalized oxidation of octanoate in brain. Examination of liver and blood spectra revealed that label from 13C-octanoate was incorporated into glucose and ketones, which enabled calculation of its overall energy contribution to brain metabolism: glucose (predominantly unlabeled) and 13C-labeled octanoate can account for the entire oxidative metabolism of brain. Additionally, flux through anaplerotic pathways relative to tricarboxylic acid cycle flux (Y) was calculated to be 0.08 ± 0.039 in brain, indicating that anaplerotic flux is significant and should be considered when assessing brain metabolism. Y was associated with the glutamine synthesis compartment, consistent with the view that anaplerotic flux occurs primarily in astrocytes.","author":[{"dropping-particle":"","family":"Ebert","given":"Douglas","non-dropping-particle":"","parse-names":false,"suffix":""},{"dropping-particle":"","family":"Haller","given":"Ronald G.","non-dropping-particle":"","parse-names":false,"suffix":""},{"dropping-particle":"","family":"Walton","given":"Marlei E.","non-dropping-particle":"","parse-names":false,"suffix":""}],"container-title":"Journal of Neuroscience","id":"ITEM-1","issue":"13","issued":{"date-parts":[["2003"]]},"page":"5928-5935","title":"Energy contribution of octanoate to intact rat brain metabolism measured by 13C nuclear magnetic resonance spectroscopy","type":"article-journal","volume":"23"},"uris":["http://www.mendeley.com/documents/?uuid=22dd176b-e508-4eaa-b329-d9a75a7aa744","http://www.mendeley.com/documents/?uuid=37631bab-7e38-42a0-b425-3fe3adfeca99"]},{"id":"ITEM-2","itemData":{"DOI":"10.1016/j.pnpbp.2014.10.013","ISSN":"18784216","PMID":"25445478","abstract":"Capric acid (CA10) is a 10-carbon medium-chain fatty acid abundant in the medium-chain triglyceride ketogenic diet (MCT KD). The purpose of this study was to characterize acute anticonvulsant effects of CA10 across several seizure tests in mice. Anticonvulsant effects of orally (p.o.) administered CA10 were assessed in the maximal electroshock seizure threshold (MEST), 6-Hz seizure threshold, and intravenous pentylenetetrazole (i.v. PTZ) seizure tests in mice. Acute effects of CA10 on motor coordination were assessed in the grip and chimney tests. Plasma and brain concentrations of CA10 were measured. Co-administration studies with CA10 and another abundant medium-chain fatty acid, caprylic acid (CA8) were performed. CA10 showed significant and dose-dependent anticonvulsant properties by increasing seizure thresholds in the 6-Hz and MEST seizure tests; it was ineffective in the i.v. PTZ seizure test. At higher doses than those effective in the 6-Hz and MEST seizure tests, CA10 impaired motor performance in the grip and chimney tests. An enhanced anticonvulsant response in the 6-Hz seizure test was produced when CA8 and CA10 were co-administered. An acute p.o. administration of CA10 resulted in dose-proportional increases in its plasma and brain concentrations. CA10 exerted acute anticonvulsant effects at doses that produce plasma exposures comparable to those reported in epileptic patients on the MCT KD. An enhanced anticonvulsant effect is observed when CA10 and the other main constituent of the MCT KD, CA8, were co-administered. Thus, acute anticonvulsant properties of CA10 and CA8 may influence the overall clinical efficacy of the MCT KD.","author":[{"dropping-particle":"","family":"Wlaź","given":"Piotr","non-dropping-particle":"","parse-names":false,"suffix":""},{"dropping-particle":"","family":"Socała","given":"Katarzyna","non-dropping-particle":"","parse-names":false,"suffix":""},{"dropping-particle":"","family":"Nieoczym","given":"Dorota","non-dropping-particle":"","parse-names":false,"suffix":""},{"dropping-particle":"","family":"Zarnowski","given":"Tomasz","non-dropping-particle":"","parse-names":false,"suffix":""},{"dropping-particle":"","family":"Zarnowska","given":"Iwona","non-dropping-particle":"","parse-names":false,"suffix":""},{"dropping-particle":"","family":"Czuczwar","given":"Stanisław J.","non-dropping-particle":"","parse-names":false,"suffix":""},{"dropping-particle":"","family":"Gasior","given":"Maciej","non-dropping-particle":"","parse-names":false,"suffix":""}],"container-title":"Progress in Neuro-Psychopharmacology and Biological Psychiatry","id":"ITEM-2","issue":"1","issued":{"date-parts":[["2015"]]},"page":"110-116","title":"Acute anticonvulsant effects of capric acid in seizure tests in mice","type":"article-journal","volume":"57"},"uris":["http://www.mendeley.com/documents/?uuid=d32d3e90-b0aa-473b-89f1-c1f968356938","http://www.mendeley.com/documents/?uuid=c3854510-59da-446f-a03c-810656f59a51"]}],"mendeley":{"formattedCitation":"[22,23]","plainTextFormattedCitation":"[22,23]","previouslyFormattedCitation":"[22,23]"},"properties":{"noteIndex":0},"schema":"https://github.com/citation-style-language/schema/raw/master/csl-citation.json"}</w:instrText>
      </w:r>
      <w:r w:rsidR="003A47A9" w:rsidRPr="00366A0F">
        <w:rPr>
          <w:rFonts w:eastAsia="Times New Roman"/>
        </w:rPr>
        <w:fldChar w:fldCharType="separate"/>
      </w:r>
      <w:r w:rsidR="00FD5371" w:rsidRPr="00FD5371">
        <w:rPr>
          <w:rFonts w:eastAsia="Times New Roman"/>
          <w:noProof/>
        </w:rPr>
        <w:t>[22,23]</w:t>
      </w:r>
      <w:r w:rsidR="003A47A9" w:rsidRPr="00366A0F">
        <w:rPr>
          <w:rFonts w:eastAsia="Times New Roman"/>
        </w:rPr>
        <w:fldChar w:fldCharType="end"/>
      </w:r>
      <w:r w:rsidR="003A47A9" w:rsidRPr="00366A0F">
        <w:rPr>
          <w:rFonts w:eastAsia="Times New Roman"/>
        </w:rPr>
        <w:t>.</w:t>
      </w:r>
      <w:r w:rsidR="002570F4" w:rsidRPr="00366A0F">
        <w:rPr>
          <w:rFonts w:eastAsia="Times New Roman"/>
        </w:rPr>
        <w:t xml:space="preserve"> Therefore, MCTs provide both direct and indirect</w:t>
      </w:r>
      <w:r w:rsidR="008016AF" w:rsidRPr="00366A0F">
        <w:rPr>
          <w:rFonts w:eastAsia="Times New Roman"/>
        </w:rPr>
        <w:t xml:space="preserve"> (via </w:t>
      </w:r>
      <w:r w:rsidRPr="00366A0F">
        <w:rPr>
          <w:rFonts w:eastAsia="Times New Roman"/>
        </w:rPr>
        <w:t>β</w:t>
      </w:r>
      <w:r w:rsidR="008016AF" w:rsidRPr="00366A0F">
        <w:rPr>
          <w:rFonts w:eastAsia="Times New Roman"/>
        </w:rPr>
        <w:t>HB)</w:t>
      </w:r>
      <w:r w:rsidR="002570F4" w:rsidRPr="00366A0F">
        <w:rPr>
          <w:rFonts w:eastAsia="Times New Roman"/>
        </w:rPr>
        <w:t xml:space="preserve"> </w:t>
      </w:r>
      <w:r w:rsidR="003D2515" w:rsidRPr="00366A0F">
        <w:rPr>
          <w:rFonts w:eastAsia="Times New Roman"/>
        </w:rPr>
        <w:t xml:space="preserve">additional </w:t>
      </w:r>
      <w:r w:rsidR="002570F4" w:rsidRPr="00366A0F">
        <w:rPr>
          <w:rFonts w:eastAsia="Times New Roman"/>
        </w:rPr>
        <w:t>fuel source</w:t>
      </w:r>
      <w:r w:rsidR="00165214" w:rsidRPr="00366A0F">
        <w:rPr>
          <w:rFonts w:eastAsia="Times New Roman"/>
        </w:rPr>
        <w:t>s</w:t>
      </w:r>
      <w:r w:rsidR="002570F4" w:rsidRPr="00366A0F">
        <w:rPr>
          <w:rFonts w:eastAsia="Times New Roman"/>
        </w:rPr>
        <w:t xml:space="preserve"> for the brain </w:t>
      </w:r>
      <w:r w:rsidR="003A47A9"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mendeley":{"formattedCitation":"[21]","plainTextFormattedCitation":"[21]","previouslyFormattedCitation":"[21]"},"properties":{"noteIndex":0},"schema":"https://github.com/citation-style-language/schema/raw/master/csl-citation.json"}</w:instrText>
      </w:r>
      <w:r w:rsidR="003A47A9" w:rsidRPr="00366A0F">
        <w:rPr>
          <w:rFonts w:eastAsia="Times New Roman"/>
        </w:rPr>
        <w:fldChar w:fldCharType="separate"/>
      </w:r>
      <w:r w:rsidR="00FD5371" w:rsidRPr="00FD5371">
        <w:rPr>
          <w:rFonts w:eastAsia="Times New Roman"/>
          <w:noProof/>
        </w:rPr>
        <w:t>[21]</w:t>
      </w:r>
      <w:r w:rsidR="003A47A9" w:rsidRPr="00366A0F">
        <w:rPr>
          <w:rFonts w:eastAsia="Times New Roman"/>
        </w:rPr>
        <w:fldChar w:fldCharType="end"/>
      </w:r>
      <w:r w:rsidR="003A47A9" w:rsidRPr="00366A0F">
        <w:rPr>
          <w:rFonts w:eastAsia="Times New Roman"/>
        </w:rPr>
        <w:t>.</w:t>
      </w:r>
    </w:p>
    <w:p w14:paraId="2ADA0985" w14:textId="1C58E146" w:rsidR="00366A0F" w:rsidRDefault="00366A0F" w:rsidP="002435B5">
      <w:pPr>
        <w:spacing w:line="360" w:lineRule="auto"/>
        <w:ind w:firstLine="720"/>
        <w:jc w:val="both"/>
        <w:rPr>
          <w:rFonts w:eastAsia="Times New Roman"/>
        </w:rPr>
      </w:pPr>
    </w:p>
    <w:p w14:paraId="4D7CD05C" w14:textId="66BF5185" w:rsidR="00366A0F" w:rsidRPr="00016E04" w:rsidRDefault="00366A0F" w:rsidP="00366A0F">
      <w:pPr>
        <w:spacing w:line="360" w:lineRule="auto"/>
        <w:ind w:firstLine="709"/>
        <w:jc w:val="center"/>
        <w:rPr>
          <w:rFonts w:eastAsia="Times New Roman"/>
          <w:b/>
          <w:color w:val="000000" w:themeColor="text1"/>
        </w:rPr>
      </w:pPr>
      <w:r w:rsidRPr="00016E04">
        <w:rPr>
          <w:rFonts w:eastAsia="Times New Roman"/>
          <w:b/>
          <w:color w:val="000000" w:themeColor="text1"/>
        </w:rPr>
        <w:t>[Insert Figure 1 Around Here]</w:t>
      </w:r>
    </w:p>
    <w:p w14:paraId="338B1B41" w14:textId="77777777" w:rsidR="00D0071C" w:rsidRPr="00016E04" w:rsidRDefault="00D0071C" w:rsidP="002435B5">
      <w:pPr>
        <w:spacing w:line="360" w:lineRule="auto"/>
        <w:ind w:firstLine="720"/>
        <w:jc w:val="both"/>
        <w:rPr>
          <w:rFonts w:eastAsia="Times New Roman"/>
          <w:color w:val="000000" w:themeColor="text1"/>
        </w:rPr>
      </w:pPr>
    </w:p>
    <w:p w14:paraId="2CBF7586" w14:textId="72A57F2D" w:rsidR="006E619E" w:rsidRPr="00366A0F" w:rsidRDefault="007550AF" w:rsidP="00906573">
      <w:pPr>
        <w:spacing w:line="360" w:lineRule="auto"/>
        <w:ind w:firstLine="720"/>
        <w:jc w:val="both"/>
        <w:rPr>
          <w:rFonts w:eastAsia="Times New Roman"/>
        </w:rPr>
      </w:pPr>
      <w:r w:rsidRPr="00366A0F">
        <w:rPr>
          <w:rFonts w:eastAsia="Times New Roman"/>
        </w:rPr>
        <w:t>Since MCT</w:t>
      </w:r>
      <w:r w:rsidR="00C17F3C" w:rsidRPr="00366A0F">
        <w:rPr>
          <w:rFonts w:eastAsia="Times New Roman"/>
        </w:rPr>
        <w:t>s</w:t>
      </w:r>
      <w:r w:rsidRPr="00366A0F">
        <w:rPr>
          <w:rFonts w:eastAsia="Times New Roman"/>
        </w:rPr>
        <w:t xml:space="preserve"> provide several routes of energy supply for brain metabolism </w:t>
      </w:r>
      <w:r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mendeley":{"formattedCitation":"[21]","plainTextFormattedCitation":"[21]","previouslyFormattedCitation":"[21]"},"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[21]</w:t>
      </w:r>
      <w:r w:rsidRPr="00366A0F">
        <w:rPr>
          <w:rFonts w:eastAsia="Times New Roman"/>
        </w:rPr>
        <w:fldChar w:fldCharType="end"/>
      </w:r>
      <w:r w:rsidRPr="00366A0F">
        <w:rPr>
          <w:rFonts w:eastAsia="Times New Roman"/>
        </w:rPr>
        <w:t xml:space="preserve">, and in light of the potential for cerebral insulin resistance in elderly/diseased individuals </w:t>
      </w:r>
      <w:r w:rsidRPr="00366A0F">
        <w:fldChar w:fldCharType="begin" w:fldLock="1"/>
      </w:r>
      <w:r w:rsidR="00616D7D">
        <w:instrText>ADDIN CSL_CITATION {"citationItems":[{"id":"ITEM-1","itemData":{"DOI":"10.2337/diab.43.11.1311","ISSN":"0012-1797","abstract":"The brain usually depends almost exclusively on glucose for its energy requirements. During hypoglycemia associated with prolonged fasting or strenuous exercise, circulating ketone-body and lactate levels increase severalfold; in both situations, certain signs and symptoms of hypoglycemia are diminished. Therefore, to test the hypothesis that hyperketonemia or hyperlacticacidemia of the magnitude seen during certain clinical situations can substitute for glucose as an energy source for the brain and alter physiological responses to hypoglycemia, we assessed autonomic and neuroglycopenic symptoms, counterregulatory hormone responses, and cognitive function during standardized insulin-induced hypoglycemia in normal volunteers with and without infusion of (β-hydroxybutyrate (BOHB) or lactate designed to reproduce circulating levels of these substrates seen during prolonged fasting and strenuous exercise. Compared with paired control experiments, infusion of BOHB and lactate increased the glycemic threshold (required greater hypoglycemia for initiation) and reduced the magnitude of autonomic and neuroglycopenic symptoms, counterregulatory hormone responses, and cognitive dysfunction (all P &lt; 0.05). The hypoglycemic threshold for autonomic symptoms increased from 3.8 ± 0.1 to 3.1 ± 0.2 mmoM during BOHB infusion and from 3.7 ± 0.1 to 2.8 ± 0 . 1 mmol&lt;1 during lactate infusion, and the threshold for neuroglycopenic symptoms increased from 2.8 ± 0.1 to 2.4 ± 0.1 and 2.3 ± 0.1 mmol/1, respectively. The magnitude for autonomic symptoms decreased from 12 ± 2 and 11 ± 1 to 6 ± 2 and 4 ± 1 during BOHB and lactate infusion, respectively. Neuroglycopenic symptoms decreased from 11 ± 2 to 3 ± 1 during both series of experiments. Infusion of BOHB and lactate-reduced responses for all counterregulatory hormones, the reduction being the greatest for epinephrine (</w:instrText>
      </w:r>
      <w:r w:rsidR="00616D7D">
        <w:rPr>
          <w:rFonts w:ascii="Cambria Math" w:hAnsi="Cambria Math" w:cs="Cambria Math"/>
        </w:rPr>
        <w:instrText>∼</w:instrText>
      </w:r>
      <w:r w:rsidR="00616D7D">
        <w:instrText>57 and 73%, during BOHB and lactate infusion, respectively) and least for cortisol (7sim;28 and 29%, respectively). These results indicate that under certain clinical conditions, BOHB and lactate may substitute for glucose as a fuel for the brain and alter physiological responses to hypoglycemia.","author":[{"dropping-particle":"","family":"Veneman","given":"T.","non-dropping-particle":"","parse-names":false,"suffix":""},{"dropping-particle":"","family":"Mitrakou","given":"A.","non-dropping-particle":"","parse-names":false,"suffix":""},{"dropping-particle":"","family":"Mokan","given":"M.","non-dropping-particle":"","parse-names":false,"suffix":""},{"dropping-particle":"","family":"Cryer","given":"P.","non-dropping-particle":"","parse-names":false,"suffix":""},{"dropping-particle":"","family":"Gerich","given":"J.","non-dropping-particle":"","parse-names":false,"suffix":""}],"container-title":"Diabetes","id":"ITEM-1","issue":"11","issued":{"date-parts":[["1994","11","1"]]},"page":"1311-1317","publisher":"American Diabetes Association","title":"Effect of Hyperketonemia and Hyperlacticacidemia on Symptoms, Cognitive Dysfunction, and Counterregulatory Hormone Responses During Hypoglycemia in Normal Humans","type":"article-journal","volume":"43"},"uris":["http://www.mendeley.com/documents/?uuid=0e4f7433-6fb7-30c9-9267-d86ba33e8fd6"]},{"id":"ITEM-2","itemData":{"DOI":"10.1016/S0197-4580(03)00087-3","ISSN":"01974580","abstract":"Glucose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adults","type":"article-journal","volume":"25"},"uris":["http://www.mendeley.com/documents/?uuid=9b749a2c-d7f4-499a-aacf-5c01f8bcf9b8"]},{"id":"ITEM-3","itemData":{"DOI":"10.1016/j.neulet.2018.10.048","ISSN":"18727972","abstract":"Clinical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Letters","id":"ITEM-3","issue":"October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[24–26]","plainTextFormattedCitation":"[24–26]","previouslyFormattedCitation":"[24–26]"},"properties":{"noteIndex":0},"schema":"https://github.com/citation-style-language/schema/raw/master/csl-citation.json"}</w:instrText>
      </w:r>
      <w:r w:rsidRPr="00366A0F">
        <w:fldChar w:fldCharType="separate"/>
      </w:r>
      <w:r w:rsidR="00FD5371" w:rsidRPr="00FD5371">
        <w:rPr>
          <w:noProof/>
        </w:rPr>
        <w:t>[24–26]</w:t>
      </w:r>
      <w:r w:rsidRPr="00366A0F">
        <w:fldChar w:fldCharType="end"/>
      </w:r>
      <w:r w:rsidRPr="00366A0F">
        <w:rPr>
          <w:rFonts w:eastAsia="Times New Roman"/>
        </w:rPr>
        <w:t>, i</w:t>
      </w:r>
      <w:r w:rsidR="00B53821" w:rsidRPr="00366A0F">
        <w:rPr>
          <w:rFonts w:eastAsia="Times New Roman"/>
        </w:rPr>
        <w:t>t</w:t>
      </w:r>
      <w:r w:rsidR="002570F4" w:rsidRPr="00366A0F">
        <w:rPr>
          <w:rFonts w:eastAsia="Times New Roman"/>
        </w:rPr>
        <w:t xml:space="preserve"> has been suggested that </w:t>
      </w:r>
      <w:r w:rsidR="008016AF" w:rsidRPr="00366A0F">
        <w:rPr>
          <w:rFonts w:eastAsia="Times New Roman"/>
        </w:rPr>
        <w:t>ingestion</w:t>
      </w:r>
      <w:r w:rsidR="002570F4" w:rsidRPr="00366A0F">
        <w:rPr>
          <w:rFonts w:eastAsia="Times New Roman"/>
        </w:rPr>
        <w:t xml:space="preserve"> </w:t>
      </w:r>
      <w:r w:rsidR="00B53821" w:rsidRPr="00366A0F">
        <w:rPr>
          <w:rFonts w:eastAsia="Times New Roman"/>
        </w:rPr>
        <w:t xml:space="preserve">of MCT supplements </w:t>
      </w:r>
      <w:r w:rsidRPr="00366A0F">
        <w:rPr>
          <w:rFonts w:eastAsia="Times New Roman"/>
        </w:rPr>
        <w:t xml:space="preserve">alongside a regular diet </w:t>
      </w:r>
      <w:r w:rsidR="00B53821" w:rsidRPr="00366A0F">
        <w:rPr>
          <w:rFonts w:eastAsia="Times New Roman"/>
        </w:rPr>
        <w:t xml:space="preserve">can </w:t>
      </w:r>
      <w:r w:rsidRPr="00366A0F">
        <w:rPr>
          <w:rFonts w:eastAsia="Times New Roman"/>
        </w:rPr>
        <w:t>offset cognitive decline</w:t>
      </w:r>
      <w:r w:rsidR="002570F4" w:rsidRPr="00366A0F">
        <w:rPr>
          <w:rFonts w:eastAsia="Times New Roman"/>
        </w:rPr>
        <w:t xml:space="preserve"> in </w:t>
      </w:r>
      <w:r w:rsidR="00C17F3C" w:rsidRPr="00366A0F">
        <w:rPr>
          <w:rFonts w:eastAsia="Times New Roman"/>
        </w:rPr>
        <w:t>these</w:t>
      </w:r>
      <w:r w:rsidR="002570F4" w:rsidRPr="00366A0F">
        <w:rPr>
          <w:rFonts w:eastAsia="Times New Roman"/>
        </w:rPr>
        <w:t xml:space="preserve"> populations</w:t>
      </w:r>
      <w:r w:rsidR="003A47A9" w:rsidRPr="00366A0F">
        <w:rPr>
          <w:rFonts w:eastAsia="Times New Roman"/>
        </w:rPr>
        <w:t xml:space="preserve"> </w:t>
      </w:r>
      <w:r w:rsidR="003A47A9" w:rsidRPr="00366A0F">
        <w:rPr>
          <w:rFonts w:eastAsia="Times New Roman"/>
        </w:rPr>
        <w:fldChar w:fldCharType="begin" w:fldLock="1"/>
      </w:r>
      <w:r w:rsidR="00616D7D">
        <w:rPr>
          <w:rFonts w:eastAsia="Times New Roman"/>
        </w:rPr>
        <w:instrText xml:space="preserve">ADDIN CSL_CITATION {"citationItems":[{"id":"ITEM-1","itemData":{"DOI":"10.1186/1743-7075-6-31","ISSN":"17437075","abstract":"Background.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Metabolism","id":"ITEM-1","issue":"1","issued":{"date-parts":[["2009"]]},"page":"1-25","title":"Study of the ketogenic agent AC-1202 in mild to moderate Alzheimer's disease: A randomized, double-blind, placebo-controlled, multicenter trial","type":"article-journal","volume":"6"},"uris":["http://www.mendeley.com/documents/?uuid=01eeaa33-abb1-4092-ab6f-124ba0159f80","http://www.mendeley.com/documents/?uuid=99a03a66-a034-40ce-8013-a6beb6d66287"]},{"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9b749a2c-d7f4-499a-aacf-5c01f8bcf9b8","http://www.mendeley.com/documents/?uuid=b16c4dfb-7e74-41a6-8cdd-8a790661144f"]},{"id":"ITEM-3","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Nutrition","id":"ITEM-3","issue":"xxxx","issued":{"date-parts":[["2019"]]},"publisher":"Elsevier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2907e5b5-01d3-4c7a-8a88-74fb1c577832","http://www.mendeley.com/documents/?uuid=841ad766-b5be-45fe-b2da-3aa6a188d605"]},{"id":"ITEM-4","itemData":{"DOI":"10.2337/db08-1557","ISSN":"00121797","abstract":"OBJECTIVE-We examined whether ingestion of medium- chain triglycerides could improve cognition during hypoglycemia in subjects with intensively treated type 1 diabetes and assessed potential underlying mechanisms by testing the effect of β-hy-droxybutyrate and octanoate on rat hippocampal synaptic transmission during exposure to low glucose. RESEARCH DESIGN AND METHODS-A total of 11 intensively treated type 1 diabetic subjects participated in stepped hyperinsulinemic- (2 mU · kg -1 · min -1) euglycemic- (glucose </w:instrText>
      </w:r>
      <w:r w:rsidR="00616D7D">
        <w:rPr>
          <w:rFonts w:ascii="Cambria Math" w:eastAsia="Times New Roman" w:hAnsi="Cambria Math" w:cs="Cambria Math"/>
        </w:rPr>
        <w:instrText>∼</w:instrText>
      </w:r>
      <w:r w:rsidR="00616D7D">
        <w:rPr>
          <w:rFonts w:eastAsia="Times New Roman"/>
        </w:rPr>
        <w:instrText xml:space="preserve">5.5 mmol/l) hypoglycemic (glucose </w:instrText>
      </w:r>
      <w:r w:rsidR="00616D7D">
        <w:rPr>
          <w:rFonts w:ascii="Cambria Math" w:eastAsia="Times New Roman" w:hAnsi="Cambria Math" w:cs="Cambria Math"/>
        </w:rPr>
        <w:instrText>∼</w:instrText>
      </w:r>
      <w:r w:rsidR="00616D7D">
        <w:rPr>
          <w:rFonts w:eastAsia="Times New Roman"/>
        </w:rPr>
        <w:instrText>2.8 mmol/l) clamp studies. During two separate sessions, they randomly received either medium-chain triglycerides or placebo drinks and performed a battery of cognitive tests. In vitro rat hippocampal slice preparations were used to assess the ability of p-hydroxybutyrate and octanoate to support neuronal activity when glucose levels are reduced.RESULTS-Hypoglycemia impaired cognitive performance in tests of verbal memory, digit symbol coding, digit span backwards, and map searching. Ingestion of medium-chain triglycer- ides reversed these effects. Medium-chain triglycerides also produced higher free fatty acids and β-hydroxybutyrate levels compared with placebo. However, the increase in cat- echolamines and symptoms during hypoglycemia was not altered. In hippocampal slices β-hydroxybutyrate supported synaptic transmission under low-glucose conditions, whereas octanoate could not. Nevertheless, octanoate improved the rate of recovery of synaptic function upon restoration of control glucose concentrations. CONCLUSIONS-Medium-chain triglyceride ingestion improves cognition without adversely affecting adrenergic or symptomatic responses to hypoglycemia in intensively treated type 1 diabetic subjects. Medium-chain triglycerides offer the therapeutic advantage of preserving brain function under hypoglycemic conditions without causing deleterious hyperglycemia. © 2009 by the American Diabetes Association.","author":[{"dropping-particle":"","family":"Page","given":"Kathleen A.","non-dropping-particle":"","parse-names":false,"suffix":""},{"dropping-particle":"","family":"Williamson","given":"Anne","non-dropping-particle":"","parse-names":false,"suffix":""},{"dropping-particle":"","family":"Yu","given":"Namyi","non-dropping-particle":"","parse-names":false,"suffix":""},{"dropping-particle":"","family":"McNay","given":"Ewan C.","non-dropping-particle":"","parse-names":false,"suffix":""},{"dropping-particle":"","family":"Dzuira","given":"James","non-dropping-particle":"","parse-names":false,"suffix":""},{"dropping-particle":"","family":"McCrimmon","given":"Rory J.","non-dropping-particle":"","parse-names":false,"suffix":""},{"dropping-particle":"","family":"Sherwin","given":"Robert S.","non-dropping-particle":"","parse-names":false,"suffix":""}],"container-title":"Diabetes","id":"ITEM-4","issue":"5","issued":{"date-parts":[["2009"]]},"page":"1237-1244","title":"Medium-chain fatty acids improve cognitive function in intensively treated type 1 diabetic patients and support in vitro synaptic transmission during acute hypoglycemia","type":"article-journal","volume":"58"},"uris":["http://www.mendeley.com/documents/?uuid=76e53e78-a881-4224-bb35-b0fd11616c3c","http://www.mendeley.com/documents/?uuid=10d9f03a-9d31-4129-a4f5-9ad7b96f7979"]},{"id":"ITEM-5","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-5","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id":"ITEM-6","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Letters","id":"ITEM-6","issue":"October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29]","plainTextFormattedCitation":"[21,25–29]","previouslyFormattedCitation":"[21,25–29]"},"properties":{"noteIndex":0},"schema":"https://github.com/citation-style-language/schema/raw/master/csl-citation.json"}</w:instrText>
      </w:r>
      <w:r w:rsidR="003A47A9" w:rsidRPr="00366A0F">
        <w:rPr>
          <w:rFonts w:eastAsia="Times New Roman"/>
        </w:rPr>
        <w:fldChar w:fldCharType="separate"/>
      </w:r>
      <w:r w:rsidR="00FD5371" w:rsidRPr="00FD5371">
        <w:rPr>
          <w:rFonts w:eastAsia="Times New Roman"/>
          <w:noProof/>
        </w:rPr>
        <w:t>[21,25–29]</w:t>
      </w:r>
      <w:r w:rsidR="003A47A9" w:rsidRPr="00366A0F">
        <w:rPr>
          <w:rFonts w:eastAsia="Times New Roman"/>
        </w:rPr>
        <w:fldChar w:fldCharType="end"/>
      </w:r>
      <w:r w:rsidRPr="00366A0F">
        <w:rPr>
          <w:rFonts w:eastAsia="Times New Roman"/>
        </w:rPr>
        <w:t xml:space="preserve">. </w:t>
      </w:r>
      <w:r w:rsidR="003D2515" w:rsidRPr="00366A0F">
        <w:rPr>
          <w:rFonts w:eastAsia="Times New Roman"/>
        </w:rPr>
        <w:t xml:space="preserve">For example, </w:t>
      </w:r>
      <w:r w:rsidR="00906573" w:rsidRPr="00366A0F">
        <w:rPr>
          <w:rFonts w:eastAsia="Times New Roman"/>
        </w:rPr>
        <w:t xml:space="preserve">Page </w:t>
      </w:r>
      <w:r w:rsidR="00906573" w:rsidRPr="00903524">
        <w:rPr>
          <w:rFonts w:eastAsia="Times New Roman"/>
          <w:i/>
          <w:iCs/>
        </w:rPr>
        <w:t>et al.</w:t>
      </w:r>
      <w:r w:rsidR="00906573" w:rsidRPr="00366A0F">
        <w:rPr>
          <w:rFonts w:eastAsia="Times New Roman"/>
        </w:rPr>
        <w:t xml:space="preserve"> </w:t>
      </w:r>
      <w:r w:rsidR="00906573" w:rsidRPr="00366A0F">
        <w:rPr>
          <w:rFonts w:eastAsia="Times New Roman"/>
        </w:rPr>
        <w:fldChar w:fldCharType="begin" w:fldLock="1"/>
      </w:r>
      <w:r w:rsidR="00616D7D">
        <w:rPr>
          <w:rFonts w:eastAsia="Times New Roman"/>
        </w:rPr>
        <w:instrText xml:space="preserve">ADDIN CSL_CITATION {"citationItems":[{"id":"ITEM-1","itemData":{"DOI":"10.2337/db08-1557","ISSN":"00121797","abstract":"OBJECTIVE-We examined whether ingestion of medium- chain triglycerides could improve cognition during hypoglycemia in subjects with intensively treated type 1 diabetes and assessed potential underlying mechanisms by testing the effect of β-hy-droxybutyrate and octanoate on rat hippocampal synaptic transmission during exposure to low glucose. RESEARCH DESIGN AND METHODS-A total of 11 intensively treated type 1 diabetic subjects participated in stepped hyperinsulinemic- (2 mU · kg -1 · min -1) euglycemic- (glucose </w:instrText>
      </w:r>
      <w:r w:rsidR="00616D7D">
        <w:rPr>
          <w:rFonts w:ascii="Cambria Math" w:eastAsia="Times New Roman" w:hAnsi="Cambria Math" w:cs="Cambria Math"/>
        </w:rPr>
        <w:instrText>∼</w:instrText>
      </w:r>
      <w:r w:rsidR="00616D7D">
        <w:rPr>
          <w:rFonts w:eastAsia="Times New Roman"/>
        </w:rPr>
        <w:instrText xml:space="preserve">5.5 mmol/l) hypoglycemic (glucose </w:instrText>
      </w:r>
      <w:r w:rsidR="00616D7D">
        <w:rPr>
          <w:rFonts w:ascii="Cambria Math" w:eastAsia="Times New Roman" w:hAnsi="Cambria Math" w:cs="Cambria Math"/>
        </w:rPr>
        <w:instrText>∼</w:instrText>
      </w:r>
      <w:r w:rsidR="00616D7D">
        <w:rPr>
          <w:rFonts w:eastAsia="Times New Roman"/>
        </w:rPr>
        <w:instrText>2.8 mmol/l) clamp studies. During two separate sessions, they randomly received either medium-chain triglycerides or placebo drinks and performed a battery of cognitive tests. In vitro rat hippocampal slice preparations were used to assess the ability of p-hydroxybutyrate and octanoate to support neuronal activity when glucose levels are reduced.RESULTS-Hypoglycemia impaired cognitive performance in tests of verbal memory, digit symbol coding, digit span backwards, and map searching. Ingestion of medium-chain triglycer- ides reversed these effects. Medium-chain triglycerides also produced higher free fatty acids and β-hydroxybutyrate levels compared with placebo. However, the increase in cat- echolamines and symptoms during hypoglycemia was not altered. In hippocampal slices β-hydroxybutyrate supported synaptic transmission under low-glucose conditions, whereas octanoate could not. Nevertheless, octanoate improved the rate of recovery of synaptic function upon restoration of control glucose concentrations. CONCLUSIONS-Medium-chain triglyceride ingestion improves cognition without adversely affecting adrenergic or symptomatic responses to hypoglycemia in intensively treated type 1 diabetic subjects. Medium-chain triglycerides offer the therapeutic advantage of preserving brain function under hypoglycemic conditions without causing deleterious hyperglycemia. © 2009 by the American Diabetes Association.","author":[{"dropping-particle":"","family":"Page","given":"Kathleen A.","non-dropping-particle":"","parse-names":false,"suffix":""},{"dropping-particle":"","family":"Williamson","given":"Anne","non-dropping-particle":"","parse-names":false,"suffix":""},{"dropping-particle":"","family":"Yu","given":"Namyi","non-dropping-particle":"","parse-names":false,"suffix":""},{"dropping-particle":"","family":"McNay","given":"Ewan C.","non-dropping-particle":"","parse-names":false,"suffix":""},{"dropping-particle":"","family":"Dzuira","given":"James","non-dropping-particle":"","parse-names":false,"suffix":""},{"dropping-particle":"","family":"McCrimmon","given":"Rory J.","non-dropping-particle":"","parse-names":false,"suffix":""},{"dropping-particle":"","family":"Sherwin","given":"Robert S.","non-dropping-particle":"","parse-names":false,"suffix":""}],"container-title":"Diabetes","id":"ITEM-1","issue":"5","issued":{"date-parts":[["2009"]]},"page":"1237-1244","title":"Medium-chain fatty acids improve cognitive function in intensively treated type 1 diabetic patients and support in vitro synaptic transmission during acute hypoglycemia","type":"article-journal","volume":"58"},"uris":["http://www.mendeley.com/documents/?uuid=76e53e78-a881-4224-bb35-b0fd11616c3c"]}],"mendeley":{"formattedCitation":"[29]","plainTextFormattedCitation":"[29]","previouslyFormattedCitation":"[29]"},"properties":{"noteIndex":0},"schema":"https://github.com/citation-style-language/schema/raw/master/csl-citation.json"}</w:instrText>
      </w:r>
      <w:r w:rsidR="00906573" w:rsidRPr="00366A0F">
        <w:rPr>
          <w:rFonts w:eastAsia="Times New Roman"/>
        </w:rPr>
        <w:fldChar w:fldCharType="separate"/>
      </w:r>
      <w:r w:rsidR="00FD5371" w:rsidRPr="00FD5371">
        <w:rPr>
          <w:rFonts w:eastAsia="Times New Roman"/>
          <w:noProof/>
        </w:rPr>
        <w:t>[29]</w:t>
      </w:r>
      <w:r w:rsidR="00906573" w:rsidRPr="00366A0F">
        <w:rPr>
          <w:rFonts w:eastAsia="Times New Roman"/>
        </w:rPr>
        <w:fldChar w:fldCharType="end"/>
      </w:r>
      <w:r w:rsidR="00906573" w:rsidRPr="00366A0F">
        <w:rPr>
          <w:rFonts w:eastAsia="Times New Roman"/>
        </w:rPr>
        <w:t xml:space="preserve"> </w:t>
      </w:r>
      <w:r w:rsidR="002570F4" w:rsidRPr="00366A0F">
        <w:rPr>
          <w:rFonts w:eastAsia="Times New Roman"/>
        </w:rPr>
        <w:t>found that</w:t>
      </w:r>
      <w:r w:rsidR="00256AE1" w:rsidRPr="00366A0F">
        <w:rPr>
          <w:rFonts w:eastAsia="Times New Roman"/>
        </w:rPr>
        <w:t>,</w:t>
      </w:r>
      <w:r w:rsidR="002570F4" w:rsidRPr="00366A0F">
        <w:rPr>
          <w:rFonts w:eastAsia="Times New Roman"/>
        </w:rPr>
        <w:t xml:space="preserve"> in diabetic individuals, </w:t>
      </w:r>
      <w:r w:rsidR="005067C8" w:rsidRPr="00366A0F">
        <w:rPr>
          <w:rFonts w:eastAsia="Times New Roman"/>
        </w:rPr>
        <w:t xml:space="preserve">acute </w:t>
      </w:r>
      <w:r w:rsidR="002570F4" w:rsidRPr="00366A0F">
        <w:rPr>
          <w:rFonts w:eastAsia="Times New Roman"/>
        </w:rPr>
        <w:t>MCT</w:t>
      </w:r>
      <w:r w:rsidR="008016AF" w:rsidRPr="00366A0F">
        <w:rPr>
          <w:rFonts w:eastAsia="Times New Roman"/>
        </w:rPr>
        <w:t xml:space="preserve"> ingestion</w:t>
      </w:r>
      <w:r w:rsidR="002570F4" w:rsidRPr="00366A0F">
        <w:rPr>
          <w:rFonts w:eastAsia="Times New Roman"/>
        </w:rPr>
        <w:t xml:space="preserve"> increased performance in digit symbol coding and total map searching</w:t>
      </w:r>
      <w:r w:rsidR="00C17F3C" w:rsidRPr="00366A0F">
        <w:rPr>
          <w:rFonts w:eastAsia="Times New Roman"/>
        </w:rPr>
        <w:t>,</w:t>
      </w:r>
      <w:r w:rsidR="002570F4" w:rsidRPr="00366A0F">
        <w:rPr>
          <w:rFonts w:eastAsia="Times New Roman"/>
        </w:rPr>
        <w:t xml:space="preserve"> while preventing declines in tests requiring verbal working memory and attention when experiencing hypoglycaemia. Memory performance </w:t>
      </w:r>
      <w:r w:rsidR="008016AF" w:rsidRPr="00366A0F">
        <w:rPr>
          <w:rFonts w:eastAsia="Times New Roman"/>
        </w:rPr>
        <w:t xml:space="preserve">was also </w:t>
      </w:r>
      <w:r w:rsidR="002570F4" w:rsidRPr="00366A0F">
        <w:rPr>
          <w:rFonts w:eastAsia="Times New Roman"/>
        </w:rPr>
        <w:t xml:space="preserve">improved in participants with Alzheimer’s disease </w:t>
      </w:r>
      <w:r w:rsidR="003A47A9" w:rsidRPr="00366A0F">
        <w:rPr>
          <w:rFonts w:eastAsia="Times New Roman"/>
        </w:rPr>
        <w:fldChar w:fldCharType="begin" w:fldLock="1"/>
      </w:r>
      <w:r w:rsidR="00616D7D">
        <w:rPr>
          <w:rFonts w:eastAsia="Times New Roman"/>
        </w:rPr>
        <w:instrText>ADDIN CSL_CITATION {"citationItems":[{"id":"ITEM-1","itemData":{"DOI":"10.1186/1743-7075-6-31","ISSN":"17437075","abstract":"Background.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Metabolism","id":"ITEM-1","issue":"1","issued":{"date-parts":[["2009"]]},"page":"1-25","title":"Study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47645951-30b7-4b13-bbe7-0cdbc4b059cb"]},{"id":"ITEM-3","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Nutrition","id":"ITEM-3","issue":"xxxx","issued":{"date-parts":[["2019"]]},"publisher":"Elsevier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http://www.mendeley.com/documents/?uuid=696c5b81-01df-4804-a394-c70843ca0a19"]},{"id":"ITEM-4","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Letters","id":"ITEM-4","issue":"October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[25–28]","plainTextFormattedCitation":"[25–28]","previouslyFormattedCitation":"[25–28]"},"properties":{"noteIndex":0},"schema":"https://github.com/citation-style-language/schema/raw/master/csl-citation.json"}</w:instrText>
      </w:r>
      <w:r w:rsidR="003A47A9" w:rsidRPr="00366A0F">
        <w:rPr>
          <w:rFonts w:eastAsia="Times New Roman"/>
        </w:rPr>
        <w:fldChar w:fldCharType="separate"/>
      </w:r>
      <w:r w:rsidR="00FD5371" w:rsidRPr="00FD5371">
        <w:rPr>
          <w:rFonts w:eastAsia="Times New Roman"/>
          <w:noProof/>
        </w:rPr>
        <w:t>[25–28]</w:t>
      </w:r>
      <w:r w:rsidR="003A47A9" w:rsidRPr="00366A0F">
        <w:rPr>
          <w:rFonts w:eastAsia="Times New Roman"/>
        </w:rPr>
        <w:fldChar w:fldCharType="end"/>
      </w:r>
      <w:r w:rsidR="003A47A9" w:rsidRPr="00366A0F">
        <w:rPr>
          <w:rFonts w:eastAsia="Times New Roman"/>
        </w:rPr>
        <w:t xml:space="preserve"> </w:t>
      </w:r>
      <w:r w:rsidR="002570F4" w:rsidRPr="00366A0F">
        <w:rPr>
          <w:rFonts w:eastAsia="Times New Roman"/>
        </w:rPr>
        <w:t xml:space="preserve">and mild cognitive impairment </w:t>
      </w:r>
      <w:r w:rsidR="003A47A9" w:rsidRPr="00366A0F">
        <w:rPr>
          <w:rFonts w:eastAsia="Times New Roman"/>
        </w:rPr>
        <w:fldChar w:fldCharType="begin" w:fldLock="1"/>
      </w:r>
      <w:r w:rsidR="00616D7D">
        <w:rPr>
          <w:rFonts w:eastAsia="Times New Roman"/>
        </w:rPr>
        <w:instrText>ADDIN CSL_CITATION {"citationItems":[{"id":"ITEM-1","itemData":{"DOI":"10.1016/j.bbacli.2015.01.001","ISSN":"22146474","abstract":"Background: Impaired brain glucose metabolism appears to be a potential pathogenic feature of mild cognitive impairment (MCI). This study examined the potential for increasing circulating ketone bodies through medium chain triglyceride (MCT) supplementation, as a means to beneficially modulate brain homeostasis in subjects with MCI. Methods: Six participants with MCI were enrolled in a randomized placebo-controlled trial. Participants received 56. g/day of either medium chain triglycerides (MCTs) or placebo for 24. weeks. Serum β-hydroxybutyrate concentrations, apolipoprotein-E4 status, and cognitive assessments were carried out. Due to the small number of participants only the raw scores were examined. Results: Intake of MCT oil increased serum ketone bodies and improved memory, while intake of placebo did not show improvement in any of the cognitive measures tested. Conclusions: Consumption of 56. g/day of MCTs for 24. weeks increases serum ketone concentrations and appears to be a candidate for larger randomized control trials in the future that quantify the modulation of cognitive function through supplementation with ketone precursors, in patients with MCI.","author":[{"dropping-particle":"","family":"Rebello","given":"Candida J.","non-dropping-particle":"","parse-names":false,"suffix":""},{"dropping-particle":"","family":"Keller","given":"Jeffrey N.","non-dropping-particle":"","parse-names":false,"suffix":""},{"dropping-particle":"","family":"Liu","given":"Ann G.","non-dropping-particle":"","parse-names":false,"suffix":""},{"dropping-particle":"","family":"Johnson","given":"William D.","non-dropping-particle":"","parse-names":false,"suffix":""},{"dropping-particle":"","family":"Greenway","given":"Frank L.","non-dropping-particle":"","parse-names":false,"suffix":""}],"container-title":"BBA Clinical","id":"ITEM-1","issue":"1","issued":{"date-parts":[["2015"]]},"page":"123-125","publisher":"The Authors","title":"Pilot feasibility and safety study examining the effect of medium chain triglyceride supplementation in subjects with mild cognitive impairment: A randomized controlled trial","type":"article-journal","volume":"3"},"uris":["http://www.mendeley.com/documents/?uuid=ae13fe39-3692-4e28-8c49-5fb1e64b902a","http://www.mendeley.com/documents/?uuid=71fb58ab-15a8-4743-9957-ebc80c0a23d3"]}],"mendeley":{"formattedCitation":"[30]","plainTextFormattedCitation":"[30]","previouslyFormattedCitation":"[30]"},"properties":{"noteIndex":0},"schema":"https://github.com/citation-style-language/schema/raw/master/csl-citation.json"}</w:instrText>
      </w:r>
      <w:r w:rsidR="003A47A9" w:rsidRPr="00366A0F">
        <w:rPr>
          <w:rFonts w:eastAsia="Times New Roman"/>
        </w:rPr>
        <w:fldChar w:fldCharType="separate"/>
      </w:r>
      <w:r w:rsidR="00FD5371" w:rsidRPr="00FD5371">
        <w:rPr>
          <w:rFonts w:eastAsia="Times New Roman"/>
          <w:noProof/>
        </w:rPr>
        <w:t>[30]</w:t>
      </w:r>
      <w:r w:rsidR="003A47A9" w:rsidRPr="00366A0F">
        <w:rPr>
          <w:rFonts w:eastAsia="Times New Roman"/>
        </w:rPr>
        <w:fldChar w:fldCharType="end"/>
      </w:r>
      <w:r w:rsidR="005067C8" w:rsidRPr="00366A0F">
        <w:rPr>
          <w:rFonts w:eastAsia="Times New Roman"/>
        </w:rPr>
        <w:t xml:space="preserve"> following both acute and chronic MCT loading protocols</w:t>
      </w:r>
      <w:r w:rsidR="002570F4" w:rsidRPr="00366A0F">
        <w:rPr>
          <w:rFonts w:eastAsia="Times New Roman"/>
        </w:rPr>
        <w:t xml:space="preserve">. </w:t>
      </w:r>
      <w:r w:rsidR="00A43EF8" w:rsidRPr="00366A0F">
        <w:rPr>
          <w:rFonts w:eastAsia="Times New Roman"/>
        </w:rPr>
        <w:t xml:space="preserve">In healthy elderly participants, </w:t>
      </w:r>
      <w:r w:rsidR="00906573" w:rsidRPr="00366A0F">
        <w:rPr>
          <w:rFonts w:eastAsia="Times New Roman"/>
        </w:rPr>
        <w:t xml:space="preserve">Ota </w:t>
      </w:r>
      <w:r w:rsidR="00906573" w:rsidRPr="00903524">
        <w:rPr>
          <w:rFonts w:eastAsia="Times New Roman"/>
          <w:i/>
          <w:iCs/>
        </w:rPr>
        <w:t>et al</w:t>
      </w:r>
      <w:r w:rsidR="00906573" w:rsidRPr="00366A0F">
        <w:rPr>
          <w:rFonts w:eastAsia="Times New Roman"/>
        </w:rPr>
        <w:t xml:space="preserve">. </w:t>
      </w:r>
      <w:r w:rsidR="00906573"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mendeley":{"formattedCitation":"[21]","plainTextFormattedCitation":"[21]","previouslyFormattedCitation":"[21]"},"properties":{"noteIndex":0},"schema":"https://github.com/citation-style-language/schema/raw/master/csl-citation.json"}</w:instrText>
      </w:r>
      <w:r w:rsidR="00906573" w:rsidRPr="00366A0F">
        <w:rPr>
          <w:rFonts w:eastAsia="Times New Roman"/>
        </w:rPr>
        <w:fldChar w:fldCharType="separate"/>
      </w:r>
      <w:r w:rsidR="00FD5371" w:rsidRPr="00FD5371">
        <w:rPr>
          <w:rFonts w:eastAsia="Times New Roman"/>
          <w:noProof/>
        </w:rPr>
        <w:t>[21]</w:t>
      </w:r>
      <w:r w:rsidR="00906573" w:rsidRPr="00366A0F">
        <w:rPr>
          <w:rFonts w:eastAsia="Times New Roman"/>
        </w:rPr>
        <w:fldChar w:fldCharType="end"/>
      </w:r>
      <w:r w:rsidR="00906573" w:rsidRPr="00366A0F">
        <w:rPr>
          <w:rFonts w:eastAsia="Times New Roman"/>
        </w:rPr>
        <w:t xml:space="preserve"> </w:t>
      </w:r>
      <w:r w:rsidR="006E619E" w:rsidRPr="00366A0F">
        <w:rPr>
          <w:rFonts w:eastAsia="Times New Roman"/>
        </w:rPr>
        <w:t>demonstrated</w:t>
      </w:r>
      <w:r w:rsidR="002570F4" w:rsidRPr="00366A0F">
        <w:rPr>
          <w:rFonts w:eastAsia="Times New Roman"/>
        </w:rPr>
        <w:t xml:space="preserve"> cognitive improvements in digit span and trail making tasks </w:t>
      </w:r>
      <w:r w:rsidR="006E619E" w:rsidRPr="00366A0F">
        <w:rPr>
          <w:rFonts w:eastAsia="Times New Roman"/>
        </w:rPr>
        <w:t xml:space="preserve">following </w:t>
      </w:r>
      <w:r w:rsidR="00B53821" w:rsidRPr="00366A0F">
        <w:rPr>
          <w:rFonts w:eastAsia="Times New Roman"/>
        </w:rPr>
        <w:t>a single 20g serving of MCTs</w:t>
      </w:r>
      <w:r w:rsidR="002570F4" w:rsidRPr="00366A0F">
        <w:rPr>
          <w:rFonts w:eastAsia="Times New Roman"/>
        </w:rPr>
        <w:t xml:space="preserve">, </w:t>
      </w:r>
      <w:r w:rsidR="006E619E" w:rsidRPr="00366A0F">
        <w:rPr>
          <w:rFonts w:eastAsia="Times New Roman"/>
        </w:rPr>
        <w:t xml:space="preserve">although </w:t>
      </w:r>
      <w:r w:rsidR="00B53821" w:rsidRPr="00366A0F">
        <w:rPr>
          <w:rFonts w:eastAsia="Times New Roman"/>
        </w:rPr>
        <w:t xml:space="preserve">no </w:t>
      </w:r>
      <w:r w:rsidR="006E619E" w:rsidRPr="00366A0F">
        <w:rPr>
          <w:rFonts w:eastAsia="Times New Roman"/>
        </w:rPr>
        <w:t>such effects were</w:t>
      </w:r>
      <w:r w:rsidR="00B06C46" w:rsidRPr="00366A0F">
        <w:rPr>
          <w:rFonts w:eastAsia="Times New Roman"/>
        </w:rPr>
        <w:t xml:space="preserve"> </w:t>
      </w:r>
      <w:r w:rsidR="006E619E" w:rsidRPr="00366A0F">
        <w:rPr>
          <w:rFonts w:eastAsia="Times New Roman"/>
        </w:rPr>
        <w:t>indicated by</w:t>
      </w:r>
      <w:r w:rsidR="00906573" w:rsidRPr="00366A0F">
        <w:rPr>
          <w:rFonts w:eastAsia="Times New Roman"/>
        </w:rPr>
        <w:t xml:space="preserve"> O’Neill </w:t>
      </w:r>
      <w:r w:rsidR="00906573" w:rsidRPr="00903524">
        <w:rPr>
          <w:rFonts w:eastAsia="Times New Roman"/>
          <w:i/>
          <w:iCs/>
        </w:rPr>
        <w:t>et al</w:t>
      </w:r>
      <w:r w:rsidR="00906573" w:rsidRPr="00366A0F">
        <w:rPr>
          <w:rFonts w:eastAsia="Times New Roman"/>
        </w:rPr>
        <w:t xml:space="preserve">. </w:t>
      </w:r>
      <w:r w:rsidR="00906573" w:rsidRPr="00366A0F">
        <w:rPr>
          <w:rFonts w:eastAsia="Times New Roman"/>
        </w:rPr>
        <w:fldChar w:fldCharType="begin" w:fldLock="1"/>
      </w:r>
      <w:r w:rsidR="00616D7D">
        <w:rPr>
          <w:rFonts w:eastAsia="Times New Roman"/>
        </w:rPr>
        <w:instrText>ADDIN CSL_CITATION {"citationItems":[{"id":"ITEM-1","itemData":{"DOI":"10.1002/hup.2694","ISSN":"10991077","PMID":"31124194","abstract":"Objective: This double-blind, randomised, placebo-controlled, two-part study assessed the impact of GSK2981710, a medium-chain triglyceride (MCT) that liberates ketone bodies, on cognitive function, safety, and tolerability in healthy older adults. Methods: Part 1 was a four-period dose-selection study (n = 8 complete). Part 2 was a two-period crossover study (n = 80 complete) assessing the acute (Day 1) and prolonged (Day 15) effects of GSK2981710 on cognition and memory-related neuronal activity. Safety and tolerability of MCT supplementation were monitored in both parts of the study. Results: The most common adverse event was diarrhoea (100% and 75% of participants in Parts 1 and 2, respectively). Most adverse events were mild to moderate, and 11% participants were withdrawn due to one or more adverse events. Although GSK2981710 (30 g/day) resulted in increased peak plasma β-hydroxybutyrate (BHB) concentrations, no significant improvements in cognitive function or memory-related neuronal activity were observed. Conclusion: Over a duration of 14 days, increasing plasma BHB levels with daily administration of GSK2981710 had no effects on neuronal activity or cognitive function. This result indicates that modulating plasma ketone levels with GSK2981710 may be ineffective in improving cognitive function in healthy older adults, or the lack of observed effect could be related to several factors including study population, plasma BHB concentrations, MCT composition, or treatment duration.","author":[{"dropping-particle":"V.","family":"O'Neill","given":"Barry","non-dropping-particle":"","parse-names":false,"suffix":""},{"dropping-particle":"","family":"Dodds","given":"Chris M.","non-dropping-particle":"","parse-names":false,"suffix":""},{"dropping-particle":"","family":"Miller","given":"Sam R.","non-dropping-particle":"","parse-names":false,"suffix":""},{"dropping-particle":"","family":"Gupta","given":"Ashutosh","non-dropping-particle":"","parse-names":false,"suffix":""},{"dropping-particle":"","family":"Lawrence","given":"Philip","non-dropping-particle":"","parse-names":false,"suffix":""},{"dropping-particle":"","family":"Bullman","given":"Jonathan","non-dropping-particle":"","parse-names":false,"suffix":""},{"dropping-particle":"","family":"Chen","given":"Chao","non-dropping-particle":"","parse-names":false,"suffix":""},{"dropping-particle":"","family":"Dewit","given":"Odile","non-dropping-particle":"","parse-names":false,"suffix":""},{"dropping-particle":"","family":"Kumar","given":"Subramanya","non-dropping-particle":"","parse-names":false,"suffix":""},{"dropping-particle":"","family":"Dustagheer","given":"Mushi","non-dropping-particle":"","parse-names":false,"suffix":""},{"dropping-particle":"","family":"Price","given":"Jeffrey","non-dropping-particle":"","parse-names":false,"suffix":""},{"dropping-particle":"","family":"Shabbir","given":"Shaila","non-dropping-particle":"","parse-names":false,"suffix":""},{"dropping-particle":"","family":"Nathan","given":"Pradeep J.","non-dropping-particle":"","parse-names":false,"suffix":""}],"container-title":"Human Psychopharmacology","id":"ITEM-1","issue":"3","issued":{"date-parts":[["2019"]]},"page":"2694","title":"The effects of GSK2981710, a medium-chain triglyceride, on cognitive function in healthy older participants: A randomised, placebo-controlled study","type":"article-journal","volume":"34"},"uris":["http://www.mendeley.com/documents/?uuid=ed3d7d05-df21-49ec-a4a6-71b0e5b6466c"]}],"mendeley":{"formattedCitation":"[31]","plainTextFormattedCitation":"[31]","previouslyFormattedCitation":"[31]"},"properties":{"noteIndex":0},"schema":"https://github.com/citation-style-language/schema/raw/master/csl-citation.json"}</w:instrText>
      </w:r>
      <w:r w:rsidR="00906573" w:rsidRPr="00366A0F">
        <w:rPr>
          <w:rFonts w:eastAsia="Times New Roman"/>
        </w:rPr>
        <w:fldChar w:fldCharType="separate"/>
      </w:r>
      <w:r w:rsidR="00FD5371" w:rsidRPr="00FD5371">
        <w:rPr>
          <w:rFonts w:eastAsia="Times New Roman"/>
          <w:noProof/>
        </w:rPr>
        <w:t>[31]</w:t>
      </w:r>
      <w:r w:rsidR="00906573" w:rsidRPr="00366A0F">
        <w:rPr>
          <w:rFonts w:eastAsia="Times New Roman"/>
        </w:rPr>
        <w:fldChar w:fldCharType="end"/>
      </w:r>
      <w:r w:rsidR="00906573" w:rsidRPr="00366A0F">
        <w:rPr>
          <w:rFonts w:eastAsia="Times New Roman"/>
        </w:rPr>
        <w:t xml:space="preserve"> </w:t>
      </w:r>
      <w:r w:rsidR="00B53821" w:rsidRPr="00366A0F">
        <w:rPr>
          <w:rFonts w:eastAsia="Times New Roman"/>
        </w:rPr>
        <w:t xml:space="preserve">after 14 successive days of </w:t>
      </w:r>
      <w:r w:rsidR="00A43EF8" w:rsidRPr="00366A0F">
        <w:rPr>
          <w:rFonts w:eastAsia="Times New Roman"/>
        </w:rPr>
        <w:t>MCT ingestion</w:t>
      </w:r>
      <w:r w:rsidR="006A501E" w:rsidRPr="00366A0F">
        <w:rPr>
          <w:rFonts w:eastAsia="Times New Roman"/>
        </w:rPr>
        <w:t>, possibly due to the very high rates of diarrhoea experienced by participants impacting on treatment efficacy</w:t>
      </w:r>
      <w:r w:rsidR="00D0071C" w:rsidRPr="00366A0F">
        <w:rPr>
          <w:rFonts w:eastAsia="Times New Roman"/>
        </w:rPr>
        <w:t>.</w:t>
      </w:r>
      <w:r w:rsidR="006E43B6" w:rsidRPr="00366A0F">
        <w:rPr>
          <w:rFonts w:eastAsia="Times New Roman"/>
        </w:rPr>
        <w:t xml:space="preserve"> </w:t>
      </w:r>
    </w:p>
    <w:p w14:paraId="253B7361" w14:textId="77777777" w:rsidR="00906573" w:rsidRPr="00366A0F" w:rsidRDefault="00906573" w:rsidP="00B66021">
      <w:pPr>
        <w:spacing w:line="360" w:lineRule="auto"/>
        <w:jc w:val="both"/>
        <w:rPr>
          <w:rFonts w:eastAsia="Times New Roman"/>
        </w:rPr>
      </w:pPr>
    </w:p>
    <w:p w14:paraId="746E6921" w14:textId="118039E6" w:rsidR="00E45488" w:rsidRPr="00366A0F" w:rsidRDefault="003D2515" w:rsidP="003D2515">
      <w:pPr>
        <w:spacing w:line="360" w:lineRule="auto"/>
        <w:ind w:firstLine="720"/>
        <w:jc w:val="both"/>
        <w:rPr>
          <w:rFonts w:eastAsia="Times New Roman"/>
        </w:rPr>
      </w:pPr>
      <w:r w:rsidRPr="00366A0F">
        <w:rPr>
          <w:rFonts w:eastAsia="Times New Roman"/>
        </w:rPr>
        <w:t>D</w:t>
      </w:r>
      <w:r w:rsidR="002570F4" w:rsidRPr="00366A0F">
        <w:rPr>
          <w:rFonts w:eastAsia="Times New Roman"/>
        </w:rPr>
        <w:t>iseased</w:t>
      </w:r>
      <w:r w:rsidR="006E619E" w:rsidRPr="00366A0F">
        <w:rPr>
          <w:rFonts w:eastAsia="Times New Roman"/>
        </w:rPr>
        <w:t xml:space="preserve"> and</w:t>
      </w:r>
      <w:r w:rsidR="002570F4" w:rsidRPr="00366A0F">
        <w:rPr>
          <w:rFonts w:eastAsia="Times New Roman"/>
        </w:rPr>
        <w:t>/</w:t>
      </w:r>
      <w:r w:rsidR="006E619E" w:rsidRPr="00366A0F">
        <w:rPr>
          <w:rFonts w:eastAsia="Times New Roman"/>
        </w:rPr>
        <w:t xml:space="preserve">or </w:t>
      </w:r>
      <w:r w:rsidR="002570F4" w:rsidRPr="00366A0F">
        <w:rPr>
          <w:rFonts w:eastAsia="Times New Roman"/>
        </w:rPr>
        <w:t xml:space="preserve">elderly individuals </w:t>
      </w:r>
      <w:r w:rsidR="006E619E" w:rsidRPr="00366A0F">
        <w:rPr>
          <w:rFonts w:eastAsia="Times New Roman"/>
        </w:rPr>
        <w:t xml:space="preserve">are more likely to </w:t>
      </w:r>
      <w:r w:rsidR="002570F4" w:rsidRPr="00366A0F">
        <w:rPr>
          <w:rFonts w:eastAsia="Times New Roman"/>
        </w:rPr>
        <w:t xml:space="preserve">have a reduced </w:t>
      </w:r>
      <w:r w:rsidR="006E619E" w:rsidRPr="00366A0F">
        <w:rPr>
          <w:rFonts w:eastAsia="Times New Roman"/>
        </w:rPr>
        <w:t xml:space="preserve">baseline </w:t>
      </w:r>
      <w:r w:rsidR="002570F4" w:rsidRPr="00366A0F">
        <w:rPr>
          <w:rFonts w:eastAsia="Times New Roman"/>
        </w:rPr>
        <w:t>cognitive function</w:t>
      </w:r>
      <w:r w:rsidRPr="00366A0F">
        <w:rPr>
          <w:rFonts w:eastAsia="Times New Roman"/>
        </w:rPr>
        <w:t>, possibly</w:t>
      </w:r>
      <w:r w:rsidR="002570F4" w:rsidRPr="00366A0F">
        <w:rPr>
          <w:rFonts w:eastAsia="Times New Roman"/>
        </w:rPr>
        <w:t xml:space="preserve"> </w:t>
      </w:r>
      <w:r w:rsidR="00F0643A" w:rsidRPr="00366A0F">
        <w:t>due to cereb</w:t>
      </w:r>
      <w:r w:rsidR="00E24223" w:rsidRPr="00366A0F">
        <w:t>r</w:t>
      </w:r>
      <w:r w:rsidR="00F0643A" w:rsidRPr="00366A0F">
        <w:t>al insulin resist</w:t>
      </w:r>
      <w:r w:rsidR="00E24223" w:rsidRPr="00366A0F">
        <w:t>a</w:t>
      </w:r>
      <w:r w:rsidR="00F0643A" w:rsidRPr="00366A0F">
        <w:t>nce</w:t>
      </w:r>
      <w:r w:rsidRPr="00366A0F">
        <w:t>, such that</w:t>
      </w:r>
      <w:r w:rsidR="00F0643A" w:rsidRPr="00366A0F">
        <w:t xml:space="preserve"> it has been proven that ketogenic </w:t>
      </w:r>
      <w:r w:rsidR="00F0643A" w:rsidRPr="00366A0F">
        <w:lastRenderedPageBreak/>
        <w:t xml:space="preserve">interventions lead to </w:t>
      </w:r>
      <w:r w:rsidR="00122512" w:rsidRPr="00366A0F">
        <w:rPr>
          <w:rFonts w:eastAsia="Times New Roman"/>
        </w:rPr>
        <w:t>β</w:t>
      </w:r>
      <w:r w:rsidR="00F0643A" w:rsidRPr="00366A0F">
        <w:t xml:space="preserve">HB becoming a primary energy </w:t>
      </w:r>
      <w:r w:rsidR="00F0643A" w:rsidRPr="00016E04">
        <w:rPr>
          <w:color w:val="000000" w:themeColor="text1"/>
        </w:rPr>
        <w:t xml:space="preserve">source for the brain, </w:t>
      </w:r>
      <w:r w:rsidR="00366A0F" w:rsidRPr="00016E04">
        <w:rPr>
          <w:color w:val="000000" w:themeColor="text1"/>
        </w:rPr>
        <w:t>alleviating</w:t>
      </w:r>
      <w:r w:rsidR="00F0643A" w:rsidRPr="00016E04">
        <w:rPr>
          <w:color w:val="000000" w:themeColor="text1"/>
        </w:rPr>
        <w:t xml:space="preserve"> cognitive dysfunction </w:t>
      </w:r>
      <w:r w:rsidR="00F0643A" w:rsidRPr="00016E04">
        <w:rPr>
          <w:color w:val="000000" w:themeColor="text1"/>
        </w:rPr>
        <w:fldChar w:fldCharType="begin" w:fldLock="1"/>
      </w:r>
      <w:r w:rsidR="00616D7D" w:rsidRPr="00016E04">
        <w:rPr>
          <w:color w:val="000000" w:themeColor="text1"/>
        </w:rPr>
        <w:instrText>ADDIN CSL_CITATION {"citationItems":[{"id":"ITEM-1","itemData":{"DOI":"10.2337/diab.43.11.1311","ISSN":"0012-1797","abstract":"The brain usually depends almost exclusively on glucose for its energy requirements. During hypoglycemia associated with prolonged fasting or strenuous exercise, circulating ketone-body and lactate levels increase severalfold; in both situations, certain signs and symptoms of hypoglycemia are diminished. Therefore, to test the hypothesis that hyperketonemia or hyperlacticacidemia of the magnitude seen during certain clinical situations can substitute for glucose as an energy source for the brain and alter physiological responses to hypoglycemia, we assessed autonomic and neuroglycopenic symptoms, counterregulatory hormone responses, and cognitive function during standardized insulin-induced hypoglycemia in normal volunteers with and without infusion of (β-hydroxybutyrate (BOHB) or lactate designed to reproduce circulating levels of these substrates seen during prolonged fasting and strenuous exercise. Compared with paired control experiments, infusion of BOHB and lactate increased the glycemic threshold (required greater hypoglycemia for initiation) and reduced the magnitude of autonomic and neuroglycopenic symptoms, counterregulatory hormone responses, and cognitive dysfunction (all P &lt; 0.05). The hypoglycemic threshold for autonomic symptoms increased from 3.8 ± 0.1 to 3.1 ± 0.2 mmoM during BOHB infusion and from 3.7 ± 0.1 to 2.8 ± 0 . 1 mmol&lt;1 during lactate infusion, and the threshold for neuroglycopenic symptoms increased from 2.8 ± 0.1 to 2.4 ± 0.1 and 2.3 ± 0.1 mmol/1, respectively. The magnitude for autonomic symptoms decreased from 12 ± 2 and 11 ± 1 to 6 ± 2 and 4 ± 1 during BOHB and lactate infusion, respectively. Neuroglycopenic symptoms decreased from 11 ± 2 to 3 ± 1 during both series of experiments. Infusion of BOHB and lactate-reduced responses for all counterregulatory hormones, the reduction being the greatest for epinephrine (</w:instrText>
      </w:r>
      <w:r w:rsidR="00616D7D" w:rsidRPr="00016E04">
        <w:rPr>
          <w:rFonts w:ascii="Cambria Math" w:hAnsi="Cambria Math" w:cs="Cambria Math"/>
          <w:color w:val="000000" w:themeColor="text1"/>
        </w:rPr>
        <w:instrText>∼</w:instrText>
      </w:r>
      <w:r w:rsidR="00616D7D" w:rsidRPr="00016E04">
        <w:rPr>
          <w:color w:val="000000" w:themeColor="text1"/>
        </w:rPr>
        <w:instrText>57 and 73%, during BOHB and lactate infusion, respectively) and least for cortisol (7sim;28 and 29%, respectively). These results indicate that under certain clinical conditions, BOHB and lactate may substitute for glucose as a fuel for the brain and alter physiological responses to hypoglycemia.","author":[{"dropping-particle":"","family":"Veneman","given":"T.","non-dropping-particle":"","parse-names":false,"suffix":""},{"dropping-particle":"","family":"Mitrakou","given":"A.","non-dropping-particle":"","parse-names":false,"suffix":""},{"dropping-particle":"","family":"Mokan","given":"M.","non-dropping-particle":"","parse-names":false,"suffix":""},{"dropping-particle":"","family":"Cryer","given":"P.","non-dropping-particle":"","parse-names":false,"suffix":""},{"dropping-particle":"","family":"Gerich","given":"J.","non-dropping-particle":"","parse-names":false,"suffix":""}],"container-title":"Diabetes","id":"ITEM-1","issue":"11","issued":{"date-parts":[["1994","11","1"]]},"page":"1311-1317","publisher":"American Diabetes Association","title":"Effect of Hyperketonemia and Hyperlacticacidemia on Symptoms, Cognitive Dysfunction, and Counterregulatory Hormone Responses During Hypoglycemia in Normal Humans","type":"article-journal","volume":"43"},"uris":["http://www.mendeley.com/documents/?uuid=0e4f7433-6fb7-30c9-9267-d86ba33e8fd6"]},{"id":"ITEM-2","itemData":{"DOI":"10.1016/S0197-4580(03)00087-3","ISSN":"01974580","abstract":"Glucose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adults","type":"article-journal","volume":"25"},"uris":["http://www.mendeley.com/documents/?uuid=9b749a2c-d7f4-499a-aacf-5c01f8bcf9b8"]},{"id":"ITEM-3","itemData":{"DOI":"10.1016/j.neulet.2018.10.048","ISSN":"18727972","abstract":"Clinical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Letters","id":"ITEM-3","issue":"October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[24–26]","plainTextFormattedCitation":"[24–26]","previouslyFormattedCitation":"[24–26]"},"properties":{"noteIndex":0},"schema":"https://github.com/citation-style-language/schema/raw/master/csl-citation.json"}</w:instrText>
      </w:r>
      <w:r w:rsidR="00F0643A" w:rsidRPr="00016E04">
        <w:rPr>
          <w:color w:val="000000" w:themeColor="text1"/>
        </w:rPr>
        <w:fldChar w:fldCharType="separate"/>
      </w:r>
      <w:r w:rsidR="00FD5371" w:rsidRPr="00016E04">
        <w:rPr>
          <w:noProof/>
          <w:color w:val="000000" w:themeColor="text1"/>
        </w:rPr>
        <w:t>[24–26]</w:t>
      </w:r>
      <w:r w:rsidR="00F0643A" w:rsidRPr="00016E04">
        <w:rPr>
          <w:color w:val="000000" w:themeColor="text1"/>
        </w:rPr>
        <w:fldChar w:fldCharType="end"/>
      </w:r>
      <w:r w:rsidR="00F0643A" w:rsidRPr="00016E04">
        <w:rPr>
          <w:color w:val="000000" w:themeColor="text1"/>
        </w:rPr>
        <w:t>.</w:t>
      </w:r>
      <w:r w:rsidR="00F0643A" w:rsidRPr="00016E04">
        <w:rPr>
          <w:rFonts w:eastAsia="Times New Roman"/>
          <w:color w:val="000000" w:themeColor="text1"/>
        </w:rPr>
        <w:t xml:space="preserve"> However,</w:t>
      </w:r>
      <w:r w:rsidR="006A501E" w:rsidRPr="00016E04">
        <w:rPr>
          <w:rFonts w:eastAsia="Times New Roman"/>
          <w:color w:val="000000" w:themeColor="text1"/>
        </w:rPr>
        <w:t xml:space="preserve"> even in young healthy individuals</w:t>
      </w:r>
      <w:r w:rsidR="00E45488" w:rsidRPr="00016E04">
        <w:rPr>
          <w:rFonts w:eastAsia="Times New Roman"/>
          <w:color w:val="000000" w:themeColor="text1"/>
        </w:rPr>
        <w:t>,</w:t>
      </w:r>
      <w:r w:rsidR="00F0643A" w:rsidRPr="00016E04">
        <w:rPr>
          <w:rFonts w:eastAsia="Times New Roman"/>
          <w:color w:val="000000" w:themeColor="text1"/>
        </w:rPr>
        <w:t xml:space="preserve"> </w:t>
      </w:r>
      <w:r w:rsidRPr="00016E04">
        <w:rPr>
          <w:rFonts w:eastAsia="Times New Roman"/>
          <w:color w:val="000000" w:themeColor="text1"/>
        </w:rPr>
        <w:t>the range of substrates available to the brain for energy metabolism remains restricted as compared to skeletal muscle</w:t>
      </w:r>
      <w:r w:rsidR="006038FD" w:rsidRPr="00016E04">
        <w:rPr>
          <w:rFonts w:eastAsia="Times New Roman"/>
          <w:color w:val="000000" w:themeColor="text1"/>
        </w:rPr>
        <w:t>, for example</w:t>
      </w:r>
      <w:r w:rsidRPr="00016E04">
        <w:rPr>
          <w:rFonts w:eastAsia="Times New Roman"/>
          <w:color w:val="000000" w:themeColor="text1"/>
        </w:rPr>
        <w:t xml:space="preserve">. </w:t>
      </w:r>
      <w:r w:rsidR="00366A0F" w:rsidRPr="00016E04">
        <w:rPr>
          <w:rFonts w:eastAsia="Times New Roman"/>
          <w:color w:val="000000" w:themeColor="text1"/>
        </w:rPr>
        <w:t>Specifically, the brain relies on glucose, ketones and MCTs for energy</w:t>
      </w:r>
      <w:r w:rsidR="004C7516" w:rsidRPr="00016E04">
        <w:rPr>
          <w:rFonts w:eastAsia="Times New Roman"/>
          <w:color w:val="000000" w:themeColor="text1"/>
        </w:rPr>
        <w:t>,</w:t>
      </w:r>
      <w:r w:rsidR="00C31487" w:rsidRPr="00016E04">
        <w:rPr>
          <w:rFonts w:eastAsia="Times New Roman"/>
          <w:color w:val="000000" w:themeColor="text1"/>
        </w:rPr>
        <w:t xml:space="preserve"> whilst being unable </w:t>
      </w:r>
      <w:r w:rsidR="00366A0F" w:rsidRPr="00016E04">
        <w:rPr>
          <w:rFonts w:eastAsia="Times New Roman"/>
          <w:color w:val="000000" w:themeColor="text1"/>
        </w:rPr>
        <w:t xml:space="preserve">to utilise LCTs. </w:t>
      </w:r>
      <w:r w:rsidRPr="00016E04">
        <w:rPr>
          <w:rFonts w:eastAsia="Times New Roman"/>
          <w:color w:val="000000" w:themeColor="text1"/>
        </w:rPr>
        <w:t xml:space="preserve">Moreover, </w:t>
      </w:r>
      <w:r w:rsidR="002570F4" w:rsidRPr="00016E04">
        <w:rPr>
          <w:rFonts w:eastAsia="Times New Roman"/>
          <w:color w:val="000000" w:themeColor="text1"/>
        </w:rPr>
        <w:t xml:space="preserve">there are no significant differences in brain ketone metabolism between older adults, individuals with cognitive impairment/Alzheimer’s </w:t>
      </w:r>
      <w:r w:rsidR="002570F4" w:rsidRPr="00366A0F">
        <w:rPr>
          <w:rFonts w:eastAsia="Times New Roman"/>
        </w:rPr>
        <w:t xml:space="preserve">Disease and healthy young adults </w:t>
      </w:r>
      <w:r w:rsidR="005E1F85" w:rsidRPr="00366A0F">
        <w:rPr>
          <w:rFonts w:eastAsia="Times New Roman"/>
        </w:rPr>
        <w:fldChar w:fldCharType="begin" w:fldLock="1"/>
      </w:r>
      <w:r w:rsidR="00616D7D">
        <w:rPr>
          <w:rFonts w:eastAsia="Times New Roman"/>
        </w:rPr>
        <w:instrText>ADDIN CSL_CITATION {"citationItems":[{"id":"ITEM-1","itemData":{"DOI":"10.3233/JAD-141074","ISSN":"18758908","abstract":"Background: The cerebral metabolic rate of glucose (CMRg) is lower in specific brain regions in Alzheimer's disease (AD). The ketones, acetoacetate and β-hydroxybutyrate, are the brain's main alternative energy substrates to glucose. Objective: To gain insight into brain fuel metabolism in mild AD dementia by determining whether the regional CMR and the rate constant of acetoacetate (CMRa and Ka, respectively) reflect the same metabolic deficit reported for cerebral glucose uptake (CMRg and Kg). Methods: Mild AD dementia (Mild AD; n = 10, age 76 y) patients were compared with gender- and age-matched cognitively normal older adults (Controls; n = 29, age 75 y) using a PET/MRI protocol and analyzed with both ROI- and voxel-based methods. Results: ROI-based analysis showed 13% lower global CMRg in the gray matter of mild AD dementia versus Controls (34.2 ± 5.0 versus 38.3 ± 4.7 μmol/100 g/min, respectively; p = 0.015), with CMRg and Kg in the parietal cortex, posterior cingulate, and thalamus being the most affected (p ≤ 0.022). Neither global nor regional CMRa or Ka differed between the two groups (all p ≥ 0.188). Voxel-based analysis showed a similar metabolic pattern to ROI-based analysis with seven clusters of significantly lower CMRg in the mild AD dementia group (uncorrected p ≤ 0.005) but with no difference in CMRa. Conclusion: Regional brain energy substrate hypometabolism in mild AD dementia may be specific to impaired glucose uptake and/or utilization. This suggests a potential avenue for compensating brain energy deficit in AD dementia with ketones.","author":[{"dropping-particle":"","family":"Castellano","given":"Christian Alexandre","non-dropping-particle":"","parse-names":false,"suffix":""},{"dropping-particle":"","family":"Nugent","given":"Scott","non-dropping-particle":"","parse-names":false,"suffix":""},{"dropping-particle":"","family":"Paquet","given":"Nancy","non-dropping-particle":"","parse-names":false,"suffix":""},{"dropping-particle":"","family":"Tremblay","given":"Sébastien","non-dropping-particle":"","parse-names":false,"suffix":""},{"dropping-particle":"","family":"Bocti","given":"Christian","non-dropping-particle":"","parse-names":false,"suffix":""},{"dropping-particle":"","family":"Lacombe","given":"Guy","non-dropping-particle":"","parse-names":false,"suffix":""},{"dropping-particle":"","family":"Imbeault","given":"Hélène","non-dropping-particle":"","parse-names":false,"suffix":""},{"dropping-particle":"","family":"Turcotte","given":"Éric","non-dropping-particle":"","parse-names":false,"suffix":""},{"dropping-particle":"","family":"Fulop","given":"Tamas","non-dropping-particle":"","parse-names":false,"suffix":""},{"dropping-particle":"","family":"Cunnane","given":"Stephen C.","non-dropping-particle":"","parse-names":false,"suffix":""}],"container-title":"Journal of Alzheimer's Disease","id":"ITEM-1","issue":"4","issued":{"date-parts":[["2015"]]},"page":"1343-1353","title":"Lower brain 18F-fluorodeoxyglucose uptake but normal 11C-acetoacetate metabolism in mild Alzheimer's disease dementia","type":"article-journal","volume":"43"},"uris":["http://www.mendeley.com/documents/?uuid=d0b674a2-f373-424a-b0ea-4af5e74e06ce","http://www.mendeley.com/documents/?uuid=9376a8ae-92e3-4a3a-8e01-4c7a823f5fe8"]},{"id":"ITEM-2","itemData":{"DOI":"10.1016/j.exger.2017.07.004","ISSN":"18736815","abstract":"Introduction: Deteriorating brain glucose metabolism precedes the clinical onset of Alzheimer's disease (AD) and appears to contribute to its etiology. Ketone bodies, mainly β-hydroxybutyrate and acetoacetate, are the primary alternative brain fuel to glucose. Some reports suggest that brain ketone metabolism is unchanged in AD but, to our knowledge, no such data are available for MCI. Objective: To compare brain energy metabolism (glucose and acetoacetate) and some brain morphological characteristics in cognitively healthy older adult controls (CTL), mild cognitive impairment (MCI) and early AD. Methods: 24 CTL, 20 MCI and 19 AD of similar age and metabolic phenotype underwent a dual-tracer PET and MRI protocol. The uptake rate constants and cerebral metabolic rate of glucose (K Glu , CMR Glu ) and acetoacetate (K AcAc , CMR AcAc ) were evaluated with PET using [ 18 F]-fluorodeoxyglucose ([ 18 F]-FDG), a glucose analogue, and [ 11 C]-acetoacetate ([ 11 C]-AcAc), a ketone PET tracer. Regional brain volume and cortical thickness were evaluated by T1-weighted MRI. Results: In AD compared to CTL, CMR Glu was ~ 11% lower in the frontal, parietal, temporal lobes and in the cingulate gyrus (p &lt; 0.05). K Glu was ~ 15% lower in these same regions and also in subcortical regions. In MCI compared to CTL, ~ 7% glucose hypometabolism was present in the cingulate gyrus. Neither regional nor whole brain CMR AcAc or K AcAc were significantly different between CTL and MCI or AD. Reduced gray matter volume and cortical thinning were widespread in AD compared to CTL, whereas, in MCI compared to CTL, volumes were reduced only in the temporal cortex and cortical thinning was most apparent in temporal and cingulate regions. Discussion: This quantitative kinetic PET and MRI imaging protocol for brain glucose and acetoacetate metabolism confirms that the brain undergoes structural atrophy and lower brain energy metabolism in MCI and AD and demonstrates that the deterioration in brain energy metabolism is specific to glucose. These results suggest that a ketogenic intervention to increase energy availability for the brain is warranted in an attempt to delay further cognitive decline by compensating for the brain glucose deficit in MCI and AD.","author":[{"dropping-particle":"","family":"Croteau","given":"E.","non-dropping-particle":"","parse-names":false,"suffix":""},{"dropping-particle":"","family":"Castellano","given":"C. A.","non-dropping-particle":"","parse-names":false,"suffix":""},{"dropping-particle":"","family":"Fortier","given":"M.","non-dropping-particle":"","parse-names":false,"suffix":""},{"dropping-particle":"","family":"Bocti","given":"C.","non-dropping-particle":"","parse-names":false,"suffix":""},{"dropping-particle":"","family":"Fulop","given":"T.","non-dropping-particle":"","parse-names":false,"suffix":""},{"dropping-particle":"","family":"Paquet","given":"N.","non-dropping-particle":"","parse-names":false,"suffix":""},{"dropping-particle":"","family":"Cunnane","given":"S. C.","non-dropping-particle":"","parse-names":false,"suffix":""}],"container-title":"Experimental Gerontology","id":"ITEM-2","issue":"1","issued":{"date-parts":[["2018"]]},"page":"18-26","publisher":"Elsevier Inc.","title":"A cross-sectional comparison of brain glucose and ketone metabolism in cognitively healthy older adults, mild cognitive impairment and early Alzheimer's disease","type":"article-journal","volume":"107"},"uris":["http://www.mendeley.com/documents/?uuid=78ff8964-978b-4743-9130-3b5e4c061ab8","http://www.mendeley.com/documents/?uuid=dfe05dad-7183-4472-8411-de4e84a8f4ce"]},{"id":"ITEM-3","itemData":{"DOI":"10.1016/j.neurobiolaging.2013.11.027","ISSN":"01974580","abstract":"The extent to which the age-related decline in regional brain glucose uptake also applies to other important brain fuels is presently unknown. Ketones are the brain's major alternative fuel to glucose, so we developed a dual tracer positron emission tomography protocol to quantify and compare regional cerebral metabolic rates for glucose and the ketone, acetoacetate. Twenty healthy young adults (mean age, 26years) and 24 healthy older adults (mean age, 74years) were studied. In comparison with younger adults, older adults had 8 ± 6% (mean ± SD) lower cerebral metabolic rates for glucose in gray matter as a whole (p= 0.035), specifically in several frontal, temporal, and subcortical regions, as well as in the cingulate and insula (p ≤ 0.01, false discovery rate correction). The effect of age on cerebral metabolic rates for acetoacetate in gray matter did not reach significance (p= 0.11). Rate constants (min-1) of glucose (Kg) and acetoacetate (Ka) were significantly lower (-11 ± 6%; [p= 0.005], and-19 ± 5%; [p= 0.006], respectively) in older adults compared with younger adults. There were differential effects of age on Kg and Ka as seen by significant interaction effects in the caudate (p= 0.030) and post-central gyrus (p= 0.023). The acetoacetate index, which expresses the scaled residuals of the voxel-wise linear regression of glucose on ketone uptake, identifies regions taking up higher or lower amounts of acetoacetate relative to glucose. The acetoacetate index was higher in the caudate of young adults when compared with older adults (p ≤ 0.05 false discovery rate correction). This study provides new information about glucose and ketone metabolism in the human brain and a comparison of the extent to which their regional use changes during normal aging. © 2014 Elsevier Inc.","author":[{"dropping-particle":"","family":"Nugent","given":"Scott","non-dropping-particle":"","parse-names":false,"suffix":""},{"dropping-particle":"","family":"Tremblay","given":"Sebastien","non-dropping-particle":"","parse-names":false,"suffix":""},{"dropping-particle":"","family":"Chen","given":"Kewei W.","non-dropping-particle":"","parse-names":false,"suffix":""},{"dropping-particle":"","family":"Ayutyanont","given":"Napatkamon","non-dropping-particle":"","parse-names":false,"suffix":""},{"dropping-particle":"","family":"Roontiva","given":"Auttawut","non-dropping-particle":"","parse-names":false,"suffix":""},{"dropping-particle":"","family":"Castellano","given":"Christian Alexandre","non-dropping-particle":"","parse-names":false,"suffix":""},{"dropping-particle":"","family":"Fortier","given":"Melanie","non-dropping-particle":"","parse-names":false,"suffix":""},{"dropping-particle":"","family":"Roy","given":"Maggie","non-dropping-particle":"","parse-names":false,"suffix":""},{"dropping-particle":"","family":"Courchesne-Loyer","given":"Alexandre","non-dropping-particle":"","parse-names":false,"suffix":""},{"dropping-particle":"","family":"Bocti","given":"Christian","non-dropping-particle":"","parse-names":false,"suffix":""},{"dropping-particle":"","family":"Lepage","given":"Martin","non-dropping-particle":"","parse-names":false,"suffix":""},{"dropping-particle":"","family":"Turcotte","given":"Eric","non-dropping-particle":"","parse-names":false,"suffix":""},{"dropping-particle":"","family":"Fulop","given":"Tamas","non-dropping-particle":"","parse-names":false,"suffix":""},{"dropping-particle":"","family":"Reiman","given":"Eric M.","non-dropping-particle":"","parse-names":false,"suffix":""},{"dropping-particle":"","family":"Cunnane","given":"Stephen C.","non-dropping-particle":"","parse-names":false,"suffix":""}],"container-title":"Neurobiology of Aging","id":"ITEM-3","issue":"6","issued":{"date-parts":[["2014"]]},"page":"1386-1395","title":"Brain glucose and acetoacetate metabolism: A comparison of young and older adults","type":"article-journal","volume":"35"},"uris":["http://www.mendeley.com/documents/?uuid=1a0c2736-8f2f-4407-ae77-96c9303f2358","http://www.mendeley.com/documents/?uuid=1b583ee6-79c4-42cc-918a-805e3abbbb47"]}],"mendeley":{"formattedCitation":"[32–34]","plainTextFormattedCitation":"[32–34]","previouslyFormattedCitation":"[32–34]"},"properties":{"noteIndex":0},"schema":"https://github.com/citation-style-language/schema/raw/master/csl-citation.json"}</w:instrText>
      </w:r>
      <w:r w:rsidR="005E1F85" w:rsidRPr="00366A0F">
        <w:rPr>
          <w:rFonts w:eastAsia="Times New Roman"/>
        </w:rPr>
        <w:fldChar w:fldCharType="separate"/>
      </w:r>
      <w:r w:rsidR="00FD5371" w:rsidRPr="00FD5371">
        <w:rPr>
          <w:rFonts w:eastAsia="Times New Roman"/>
          <w:noProof/>
        </w:rPr>
        <w:t>[32–34]</w:t>
      </w:r>
      <w:r w:rsidR="005E1F85" w:rsidRPr="00366A0F">
        <w:rPr>
          <w:rFonts w:eastAsia="Times New Roman"/>
        </w:rPr>
        <w:fldChar w:fldCharType="end"/>
      </w:r>
      <w:r w:rsidR="005E1F85" w:rsidRPr="00366A0F">
        <w:rPr>
          <w:rFonts w:eastAsia="Times New Roman"/>
        </w:rPr>
        <w:t>.</w:t>
      </w:r>
      <w:r w:rsidR="00F0643A" w:rsidRPr="00366A0F">
        <w:t xml:space="preserve"> </w:t>
      </w:r>
      <w:r w:rsidR="002570F4" w:rsidRPr="00366A0F">
        <w:rPr>
          <w:rFonts w:eastAsia="Times New Roman"/>
        </w:rPr>
        <w:t xml:space="preserve">Therefore, it </w:t>
      </w:r>
      <w:r w:rsidR="006E619E" w:rsidRPr="00366A0F">
        <w:rPr>
          <w:rFonts w:eastAsia="Times New Roman"/>
        </w:rPr>
        <w:t xml:space="preserve">remains </w:t>
      </w:r>
      <w:r w:rsidR="00120F4D" w:rsidRPr="00366A0F">
        <w:rPr>
          <w:rFonts w:eastAsia="Times New Roman"/>
        </w:rPr>
        <w:t>plausible that</w:t>
      </w:r>
      <w:r w:rsidR="002570F4" w:rsidRPr="00366A0F">
        <w:rPr>
          <w:rFonts w:eastAsia="Times New Roman"/>
        </w:rPr>
        <w:t xml:space="preserve"> the improvements </w:t>
      </w:r>
      <w:r w:rsidRPr="00366A0F">
        <w:rPr>
          <w:rFonts w:eastAsia="Times New Roman"/>
        </w:rPr>
        <w:t xml:space="preserve">in cognitive function following MCT supplementation </w:t>
      </w:r>
      <w:r w:rsidR="002570F4" w:rsidRPr="00366A0F">
        <w:rPr>
          <w:rFonts w:eastAsia="Times New Roman"/>
        </w:rPr>
        <w:t xml:space="preserve">demonstrated in diseased/elderly populations </w:t>
      </w:r>
      <w:r w:rsidR="00E24223" w:rsidRPr="00366A0F">
        <w:rPr>
          <w:rFonts w:eastAsia="Times New Roman"/>
        </w:rPr>
        <w:t xml:space="preserve">may </w:t>
      </w:r>
      <w:r w:rsidR="002570F4" w:rsidRPr="00366A0F">
        <w:rPr>
          <w:rFonts w:eastAsia="Times New Roman"/>
        </w:rPr>
        <w:t>also be seen in healthy subjects.</w:t>
      </w:r>
    </w:p>
    <w:p w14:paraId="6DD4BEE8" w14:textId="77777777" w:rsidR="002D5E5B" w:rsidRPr="00366A0F" w:rsidRDefault="002D5E5B" w:rsidP="003D2515">
      <w:pPr>
        <w:spacing w:line="360" w:lineRule="auto"/>
        <w:ind w:firstLine="720"/>
        <w:jc w:val="both"/>
        <w:rPr>
          <w:rFonts w:eastAsia="Times New Roman"/>
        </w:rPr>
      </w:pPr>
    </w:p>
    <w:p w14:paraId="63664F48" w14:textId="526EFAA8" w:rsidR="002D5E5B" w:rsidRPr="00016E04" w:rsidRDefault="002D5E5B" w:rsidP="00D36960">
      <w:pPr>
        <w:spacing w:line="360" w:lineRule="auto"/>
        <w:ind w:firstLine="720"/>
        <w:jc w:val="both"/>
        <w:rPr>
          <w:rFonts w:eastAsia="Times New Roman"/>
          <w:color w:val="000000" w:themeColor="text1"/>
        </w:rPr>
      </w:pPr>
      <w:r w:rsidRPr="00366A0F">
        <w:rPr>
          <w:rFonts w:eastAsia="Times New Roman"/>
        </w:rPr>
        <w:t>Typically, commercially available MCT products contain varying ratios of C</w:t>
      </w:r>
      <w:r w:rsidRPr="00366A0F">
        <w:rPr>
          <w:rFonts w:eastAsia="Times New Roman"/>
          <w:vertAlign w:val="subscript"/>
        </w:rPr>
        <w:t>8</w:t>
      </w:r>
      <w:r w:rsidRPr="00366A0F">
        <w:rPr>
          <w:rFonts w:eastAsia="Times New Roman"/>
        </w:rPr>
        <w:t xml:space="preserve"> and C</w:t>
      </w:r>
      <w:r w:rsidRPr="00366A0F">
        <w:rPr>
          <w:rFonts w:eastAsia="Times New Roman"/>
          <w:vertAlign w:val="subscript"/>
        </w:rPr>
        <w:t>10</w:t>
      </w:r>
      <w:r w:rsidRPr="00366A0F">
        <w:rPr>
          <w:rFonts w:eastAsia="Times New Roman"/>
        </w:rPr>
        <w:t xml:space="preserve"> </w:t>
      </w:r>
      <w:r w:rsidRPr="00366A0F">
        <w:rPr>
          <w:rFonts w:eastAsia="Times New Roman"/>
        </w:rPr>
        <w:fldChar w:fldCharType="begin" w:fldLock="1"/>
      </w:r>
      <w:r w:rsidRPr="00366A0F">
        <w:rPr>
          <w:rFonts w:eastAsia="Times New Roman"/>
        </w:rPr>
        <w:instrText>ADDIN CSL_CITATION {"citationItems":[{"id":"ITEM-1","itemData":{"author":[{"dropping-particle":"","family":"Rogawski","given":"Michael A.","non-dropping-particle":"","parse-names":false,"suffix":""}],"container-title":"Brain","id":"ITEM-1","issue":"2","issued":{"date-parts":[["2016"]]},"page":"306-309","title":"A fatty acid in the MCT ketogenic diet for epilepsy treatment blocks AMPA receptors","type":"article-journal","volume":"139"},"uris":["http://www.mendeley.com/documents/?uuid=0a8361c0-9a81-3c9c-a490-cbb2c00afd9a","http://www.mendeley.com/documents/?uuid=4b550505-207e-41d9-bdba-83b406e26a45"]}],"mendeley":{"formattedCitation":"[2]","plainTextFormattedCitation":"[2]","previouslyFormattedCitation":"[2]"},"properties":{"noteIndex":0},"schema":"https://github.com/citation-style-language/schema/raw/master/csl-citation.json"}</w:instrText>
      </w:r>
      <w:r w:rsidRPr="00366A0F">
        <w:rPr>
          <w:rFonts w:eastAsia="Times New Roman"/>
        </w:rPr>
        <w:fldChar w:fldCharType="separate"/>
      </w:r>
      <w:r w:rsidRPr="00366A0F">
        <w:rPr>
          <w:rFonts w:eastAsia="Times New Roman"/>
          <w:noProof/>
        </w:rPr>
        <w:t>[2]</w:t>
      </w:r>
      <w:r w:rsidRPr="00366A0F">
        <w:rPr>
          <w:rFonts w:eastAsia="Times New Roman"/>
        </w:rPr>
        <w:fldChar w:fldCharType="end"/>
      </w:r>
      <w:r w:rsidRPr="00366A0F">
        <w:rPr>
          <w:rFonts w:eastAsia="Times New Roman"/>
        </w:rPr>
        <w:t>. C</w:t>
      </w:r>
      <w:r w:rsidRPr="00366A0F">
        <w:rPr>
          <w:rFonts w:eastAsia="Times New Roman"/>
          <w:vertAlign w:val="subscript"/>
        </w:rPr>
        <w:t>8</w:t>
      </w:r>
      <w:r w:rsidRPr="00366A0F">
        <w:rPr>
          <w:rFonts w:eastAsia="Times New Roman"/>
        </w:rPr>
        <w:t xml:space="preserve"> has been shown to be more ketogenic than C</w:t>
      </w:r>
      <w:r w:rsidRPr="00366A0F">
        <w:rPr>
          <w:rFonts w:eastAsia="Times New Roman"/>
          <w:vertAlign w:val="subscript"/>
        </w:rPr>
        <w:t>10</w:t>
      </w:r>
      <w:r w:rsidRPr="00366A0F">
        <w:rPr>
          <w:rFonts w:eastAsia="Times New Roman"/>
        </w:rPr>
        <w:t xml:space="preserve"> </w:t>
      </w:r>
      <w:r w:rsidRPr="00366A0F">
        <w:rPr>
          <w:rFonts w:eastAsia="Times New Roman"/>
        </w:rPr>
        <w:fldChar w:fldCharType="begin" w:fldLock="1"/>
      </w:r>
      <w:r w:rsidR="00616D7D">
        <w:rPr>
          <w:rFonts w:eastAsia="Times New Roman"/>
        </w:rPr>
        <w:instrText>ADDIN CSL_CITATION {"citationItems":[{"id":"ITEM-1","itemData":{"DOI":"10.3945/cdn.116.000257","abstract":"Background: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Nutrition","id":"ITEM-1","issue":"4","issued":{"date-parts":[["2017"]]},"page":"e000257","title":"Tricaprylin Alone Increases Plasma Ketone Response More Than Coconut Oil or Other Medium-Chain Triglycerides: An Acute Crossover Study in Healthy Adults","type":"article-journal","volume":"1"},"uris":["http://www.mendeley.com/documents/?uuid=f15957e3-e4f1-4931-a2b0-9da2a6e57032"]},{"id":"ITEM-2","itemData":{"DOI":"10.3389/fnut.2019.00046","ISSN":"2296861X","abstract":"Background: Medium chain triglycerides (MCT) are ketogenic but the relationship between the change in plasma ketones and the change plasma medium chain fatty acids (MCFA)—octanoate, decanoate, or dodecanoate—after an oral dose of MCT is not well-known. An 8 h metabolic study day is a suitable model to assess the acute effects on plasma ketones and MCFA after a dose of tricaprylin (C8), tricaprin (C10), trilaurin (C12) or mixed MCT (C8C10). Objective: To assess in healthy humans the relationship between the change in plasma ketones, and octanoate, decanoate and dodecanoate in plasma total lipids during an 8 h metabolic study day in which a first 20 ml dose of the homogenized test oil is taken with breakfast and a second 20 ml dose is taken 4 h later without an accompanying meal. Results: The change in plasma acetoacetate, β-hydroxybutyrate and total ketones was highest after C8 (0.5 to 3 h post-dose) and was lower during tests in which octanoate was absent or was diluted by C10 in the test oil. The plasma ketone response was also about 2 fold higher without an accompanying meal (P = 0.012). However, except during the pure C10 test, the response of octanoate, decanoate or dodecanoate in plasma total lipids to the test oils was not affected by consuming an accompanying meal. Except with C12, the 4 h area-under-the-curve of plasma β-hydroxybutyrate/acetoacetate was 2–3 fold higher when no meal was consumed (P &lt; 0.04). Conclusion: C8 was about three times more ketogenic than C10 and about six times more ketogenic than C12 under these acute metabolic test conditions, an effect related to the post-dose increase in octanoate in plasma total lipids.","author":[{"dropping-particle":"","family":"St-Pierre","given":"Valérie","non-dropping-particle":"","parse-names":false,"suffix":""},{"dropping-particle":"","family":"Vandenberghe","given":"Camille","non-dropping-particle":"","parse-names":false,"suffix":""},{"dropping-particle":"","family":"Lowry","given":"Carolyne Mary","non-dropping-particle":"","parse-names":false,"suffix":""},{"dropping-particle":"","family":"Fortier","given":"Mélanie","non-dropping-particle":"","parse-names":false,"suffix":""},{"dropping-particle":"","family":"Castellano","given":"Christian Alexandre","non-dropping-particle":"","parse-names":false,"suffix":""},{"dropping-particle":"","family":"Wagner","given":"Richard","non-dropping-particle":"","parse-names":false,"suffix":""},{"dropping-particle":"","family":"Cunnane","given":"Stephen C.","non-dropping-particle":"","parse-names":false,"suffix":""}],"container-title":"Frontiers in Nutrition","id":"ITEM-2","issue":"1","issued":{"date-parts":[["2019"]]},"page":"1-8","title":"Plasma ketone and medium chain fatty acid response in humans consuming different medium chain triglycerides during a metabolic study day","type":"article-journal","volume":"6"},"uris":["http://www.mendeley.com/documents/?uuid=16abd992-f2cb-43c1-9122-19eae043634f"]}],"mendeley":{"formattedCitation":"[7,18]","plainTextFormattedCitation":"[7,18]","previouslyFormattedCitation":"[7,18]"},"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[7,18]</w:t>
      </w:r>
      <w:r w:rsidRPr="00366A0F">
        <w:rPr>
          <w:rFonts w:eastAsia="Times New Roman"/>
        </w:rPr>
        <w:fldChar w:fldCharType="end"/>
      </w:r>
      <w:r w:rsidRPr="00366A0F">
        <w:rPr>
          <w:rFonts w:eastAsia="Times New Roman"/>
        </w:rPr>
        <w:t>, and preferentially metabolised by neuronal cells, whereas C</w:t>
      </w:r>
      <w:r w:rsidRPr="00366A0F">
        <w:rPr>
          <w:rFonts w:eastAsia="Times New Roman"/>
          <w:vertAlign w:val="subscript"/>
        </w:rPr>
        <w:t xml:space="preserve">10 </w:t>
      </w:r>
      <w:r w:rsidRPr="00366A0F">
        <w:rPr>
          <w:rFonts w:eastAsia="Times New Roman"/>
        </w:rPr>
        <w:t xml:space="preserve">is metabolised at a slower rate, leading it to accumulate </w:t>
      </w:r>
      <w:r w:rsidRPr="00366A0F">
        <w:rPr>
          <w:rFonts w:eastAsia="Times New Roman"/>
        </w:rPr>
        <w:fldChar w:fldCharType="begin" w:fldLock="1"/>
      </w:r>
      <w:r w:rsidR="00616D7D">
        <w:rPr>
          <w:rFonts w:eastAsia="Times New Roman"/>
        </w:rPr>
        <w:instrText>ADDIN CSL_CITATION {"citationItems":[{"id":"ITEM-1","itemData":{"DOI":"10.1111/epi.13833","ISSN":"15281167","abstract":"Objective: The medium-chain triglyceride (MCT) ketogenic diet contains both octanoic (C8) and decanoic (C10) acids. The diet is an effective treatment for pharmacoresistant epilepsy. Although the exact mechanism for its efficacy is not known, it is emerging that C10, but not C8, interacts with targets that can explain antiseizure effects, for example, peroxisome proliferator-activated receptor-γ (eliciting mitochondrial biogenesis and increased antioxidant status) and the α-amino-3-hydroxy-5-methyl-4-isoxazolepropionic acid receptor. For such effects to occur, significant concentrations of C10 are likely to be required in the brain. Methods: To investigate how this might occur, we measured the β-oxidation rate of 13C-labeled C8 and C10 in neuronal SH-SY5Y cells using isotope-ratio mass spectrometry. The effects of carnitine palmitoyltransferase I (CPT1) inhibition, with the CPT1 inhibitor etomoxir, on C8 and C10 β-oxidation were also investigated. Results: Both fatty acids were catabolized, as judged by 13CO2 release. However, C10 was β-oxidized at a significantly lower rate, 20% that of C8. This difference was explained by a clear dependence of C10 on CPT1 activity, which is low in neurons, whereas 66% of C8 β-oxidation was independent of CPT1. In addition, C10 β-oxidation was decreased further in the presence of C8. Significance: It is concluded that, because CPT1 is poorly expressed in the brain, C10 is relatively spared from β-oxidation and can accumulate. This is further facilitated by the presence of C8 in the MCT ketogenic diet, which has a sparing effect upon C10 β-oxidation.","author":[{"dropping-particle":"","family":"Khabbush","given":"Aziza","non-dropping-particle":"","parse-names":false,"suffix":""},{"dropping-particle":"","family":"Orford","given":"Michael","non-dropping-particle":"","parse-names":false,"suffix":""},{"dropping-particle":"","family":"Tsai","given":"Yi Chen","non-dropping-particle":"","parse-names":false,"suffix":""},{"dropping-particle":"","family":"Rutherford","given":"Tricia","non-dropping-particle":"","parse-names":false,"suffix":""},{"dropping-particle":"","family":"O'Donnell","given":"Maura","non-dropping-particle":"","parse-names":false,"suffix":""},{"dropping-particle":"","family":"Eaton","given":"Simon","non-dropping-particle":"","parse-names":false,"suffix":""},{"dropping-particle":"","family":"Heales","given":"Simon J.R.","non-dropping-particle":"","parse-names":false,"suffix":""}],"container-title":"Epilepsia","id":"ITEM-1","issue":"8","issued":{"date-parts":[["2017"]]},"page":"1423-1429","title":"Neuronal decanoic acid oxidation is markedly lower than that of octanoic acid: A mechanistic insight into the medium-chain triglyceride ketogenic diet","type":"article-journal","volume":"58"},"uris":["http://www.mendeley.com/documents/?uuid=a015d9ac-1691-441b-9f75-3908293d262d","http://www.mendeley.com/documents/?uuid=410b0d4f-41d0-477c-b201-f75ddfc960cd"]}],"mendeley":{"formattedCitation":"[35]","plainTextFormattedCitation":"[35]","previouslyFormattedCitation":"[35]"},"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[35]</w:t>
      </w:r>
      <w:r w:rsidRPr="00366A0F">
        <w:rPr>
          <w:rFonts w:eastAsia="Times New Roman"/>
        </w:rPr>
        <w:fldChar w:fldCharType="end"/>
      </w:r>
      <w:r w:rsidRPr="00366A0F">
        <w:rPr>
          <w:rFonts w:eastAsia="Times New Roman"/>
        </w:rPr>
        <w:t>. However, C</w:t>
      </w:r>
      <w:r w:rsidRPr="00366A0F">
        <w:rPr>
          <w:rFonts w:eastAsia="Times New Roman"/>
          <w:vertAlign w:val="subscript"/>
        </w:rPr>
        <w:t>10</w:t>
      </w:r>
      <w:r w:rsidRPr="00366A0F">
        <w:rPr>
          <w:rFonts w:eastAsia="Times New Roman"/>
        </w:rPr>
        <w:t xml:space="preserve"> is easier to digest than C</w:t>
      </w:r>
      <w:r w:rsidRPr="00366A0F">
        <w:rPr>
          <w:rFonts w:eastAsia="Times New Roman"/>
          <w:vertAlign w:val="subscript"/>
        </w:rPr>
        <w:t>8</w:t>
      </w:r>
      <w:r w:rsidRPr="00366A0F">
        <w:rPr>
          <w:rFonts w:eastAsia="Times New Roman"/>
        </w:rPr>
        <w:t xml:space="preserve"> due to its longer carbon chain length, reducing the risk of gastronomical distress </w:t>
      </w:r>
      <w:r w:rsidRPr="00366A0F">
        <w:rPr>
          <w:rFonts w:eastAsia="Times New Roman"/>
        </w:rPr>
        <w:fldChar w:fldCharType="begin" w:fldLock="1"/>
      </w:r>
      <w:r w:rsidR="00616D7D">
        <w:rPr>
          <w:rFonts w:eastAsia="Times New Roman"/>
        </w:rPr>
        <w:instrText>ADDIN CSL_CITATION {"citationItems":[{"id":"ITEM-1","itemData":{"DOI":"10.1039/c6fo01207h","ISSN":"2042650X","abstract":"Hypercholesterolemia is one of the important risk factors of atherosclerosis (AS). The aim of this study is to explore the effect of medium-chain fatty acids (MCFAs) on serum cholesterol levels and their mechanism of action. Hyperlipemia, as a model of abnormal lipid hypermetabolism, was established by using a high fat diet in C57BL/6J mice. Forty eight mice with dyslipidemia were randomly divided into 4 groups, 12 mice per group, including the control group, the 2% caprylic acid (C8:0)-treated group, 2% capric acid (C10:0)-treated group, and 2% oleic acid (C18:1)-treated group. All mice were fed with a high fat diet. After 16 weeks, the mice were anesthetized with chloral hydrate. The mouse portal vein blood, the liver and the start site of the ileum (1 cm) were collected. The body weight of the mice and blood lipid profiles were measured. Gene transcription and the expression level associated with bile acid metabolism in the liver and small intestine were determined by real-time PCR and the western blotting method. The concentrations of bile acid metabolites in bile and feces were analysed. After 16 weeks of treatment, the concentrations of TC and LDL-C in the caprylic acid group were significantly lower than those in the control group (P &lt; 0.05); the transcription and expression level of LXR, CYP7A1, CYP27A1 and ABCG8 in the caprylic acid and capric acid groups were significantly higher than those in the control group in the liver (P &lt; 0.05), however the transcription and expression level of the small heterodimer partner (SHP) were significantly lower than those in the control group (P &lt; 0.05); the transcription and expression level of LXR, ABCG5 and ABCG8 in the caprylic acid, capric acid and oleic acid groups were significantly higher than those in the control group in the small intestine (P &lt; 0.05). The concentrations of total bile acid, mainly cholic acid and cholesterol in bile and feces were significantly higher in the caprylic and capric acid groups than those of in the control group (P &lt; 0.05). Thus, MCFA increased the expression of LXR and ABCG8, enhanced CYP7A1 and CYP27A1 expression, decreased and SHP expression in the liver, thereby promoted liver bile acid synthesis and excretion. In addition MCFA increased the expression of ABCG5, ABCG8 and LXR in the small intestine, thereby inhibiting small intestinal bile acid absorption, increasing the concentrations of cholesterol and bile acid in bile and feces and reducing the level of serum chol…","author":[{"dropping-particle":"","family":"Liu","given":"Yinghua","non-dropping-particle":"","parse-names":false,"suffix":""},{"dropping-particle":"","family":"Zhang","given":"Yong","non-dropping-particle":"","parse-names":false,"suffix":""},{"dropping-particle":"","family":"Zhang","given":"Xinsheng","non-dropping-particle":"","parse-names":false,"suffix":""},{"dropping-particle":"","family":"Xu","given":"Qing","non-dropping-particle":"","parse-names":false,"suffix":""},{"dropping-particle":"","family":"Yang","given":"Xueyan","non-dropping-particle":"","parse-names":false,"suffix":""},{"dropping-particle":"","family":"Xue","given":"Changyong","non-dropping-particle":"","parse-names":false,"suffix":""}],"container-title":"Food and Function","id":"ITEM-1","issue":"1","issued":{"date-parts":[["2017","1","1"]]},"page":"291-298","publisher":"Royal Society of Chemistry","title":"Medium-chain fatty acids reduce serum cholesterol by regulating the metabolism of bile acid in C57BL/6J mice","type":"article-journal","volume":"8"},"uris":["http://www.mendeley.com/documents/?uuid=b144dc4c-d074-45ec-8b7b-c7c118465b45","http://www.mendeley.com/documents/?uuid=805fb48c-1f26-3366-b2a2-02677d593676"]},{"id":"ITEM-2","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Toxicology","id":"ITEM-2","issue":"1","issued":{"date-parts":[["2000"]]},"page":"79-98","title":"Review of the toxicologic properties of medium-chain triglycerides","type":"article-journal","volume":"38"},"uris":["http://www.mendeley.com/documents/?uuid=83ddcae8-8bc1-49c5-8d1a-c96845d180c1","http://www.mendeley.com/documents/?uuid=bb7d2f83-a04c-4342-b8c5-f1652b49aa4c","http://www.mendeley.com/documents/?uuid=7fda6436-02ba-4243-8642-830c59ff900b"]}],"mendeley":{"formattedCitation":"[1,36]","plainTextFormattedCitation":"[1,36]","previouslyFormattedCitation":"[1,36]"},"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[1,36]</w:t>
      </w:r>
      <w:r w:rsidRPr="00366A0F">
        <w:rPr>
          <w:rFonts w:eastAsia="Times New Roman"/>
        </w:rPr>
        <w:fldChar w:fldCharType="end"/>
      </w:r>
      <w:r w:rsidRPr="00366A0F">
        <w:rPr>
          <w:rFonts w:eastAsia="Times New Roman"/>
        </w:rPr>
        <w:t>. Hence, adherence to MCT supplementation may be impacted by the C</w:t>
      </w:r>
      <w:r w:rsidRPr="00366A0F">
        <w:rPr>
          <w:rFonts w:eastAsia="Times New Roman"/>
          <w:vertAlign w:val="subscript"/>
        </w:rPr>
        <w:t>8</w:t>
      </w:r>
      <w:r w:rsidRPr="00366A0F">
        <w:rPr>
          <w:rFonts w:eastAsia="Times New Roman"/>
        </w:rPr>
        <w:t>-C</w:t>
      </w:r>
      <w:r w:rsidRPr="00366A0F">
        <w:rPr>
          <w:rFonts w:eastAsia="Times New Roman"/>
          <w:vertAlign w:val="subscript"/>
        </w:rPr>
        <w:t>10</w:t>
      </w:r>
      <w:r w:rsidRPr="00366A0F">
        <w:rPr>
          <w:rFonts w:eastAsia="Times New Roman"/>
        </w:rPr>
        <w:t xml:space="preserve"> ratio. Vandenberghe </w:t>
      </w:r>
      <w:r w:rsidRPr="00903524">
        <w:rPr>
          <w:rFonts w:eastAsia="Times New Roman"/>
          <w:i/>
          <w:iCs/>
        </w:rPr>
        <w:t>et al</w:t>
      </w:r>
      <w:r w:rsidRPr="00366A0F">
        <w:rPr>
          <w:rFonts w:eastAsia="Times New Roman"/>
        </w:rPr>
        <w:t xml:space="preserve">. </w:t>
      </w:r>
      <w:r w:rsidRPr="00366A0F">
        <w:rPr>
          <w:rFonts w:eastAsia="Times New Roman"/>
        </w:rPr>
        <w:fldChar w:fldCharType="begin" w:fldLock="1"/>
      </w:r>
      <w:r w:rsidR="00616D7D">
        <w:rPr>
          <w:rFonts w:eastAsia="Times New Roman"/>
        </w:rPr>
        <w:instrText>ADDIN CSL_CITATION {"citationItems":[{"id":"ITEM-1","itemData":{"DOI":"10.3945/cdn.116.000257","abstract":"Background: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Nutrition","id":"ITEM-1","issue":"4","issued":{"date-parts":[["2017"]]},"page":"e000257","title":"Tricaprylin Alone Increases Plasma Ketone Response More Than Coconut Oil or Other Medium-Chain Triglycerides: An Acute Crossover Study in Healthy Adults","type":"article-journal","volume":"1"},"uris":["http://www.mendeley.com/documents/?uuid=f15957e3-e4f1-4931-a2b0-9da2a6e57032"]}],"mendeley":{"formattedCitation":"[18]","plainTextFormattedCitation":"[18]","previouslyFormattedCitation":"[18]"},"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[18]</w:t>
      </w:r>
      <w:r w:rsidRPr="00366A0F">
        <w:rPr>
          <w:rFonts w:eastAsia="Times New Roman"/>
        </w:rPr>
        <w:fldChar w:fldCharType="end"/>
      </w:r>
      <w:r w:rsidRPr="00366A0F">
        <w:rPr>
          <w:rFonts w:eastAsia="Times New Roman"/>
        </w:rPr>
        <w:t xml:space="preserve"> demonstrated that only a modest amount of C</w:t>
      </w:r>
      <w:r w:rsidRPr="00366A0F">
        <w:rPr>
          <w:rFonts w:eastAsia="Times New Roman"/>
          <w:vertAlign w:val="subscript"/>
        </w:rPr>
        <w:t>8</w:t>
      </w:r>
      <w:r w:rsidRPr="00366A0F">
        <w:rPr>
          <w:rFonts w:eastAsia="Times New Roman"/>
        </w:rPr>
        <w:t xml:space="preserve"> is required (within a C</w:t>
      </w:r>
      <w:r w:rsidRPr="00366A0F">
        <w:rPr>
          <w:rFonts w:eastAsia="Times New Roman"/>
          <w:vertAlign w:val="subscript"/>
        </w:rPr>
        <w:t>8</w:t>
      </w:r>
      <w:r w:rsidRPr="00366A0F">
        <w:rPr>
          <w:rFonts w:eastAsia="Times New Roman"/>
        </w:rPr>
        <w:t>-C</w:t>
      </w:r>
      <w:r w:rsidRPr="00366A0F">
        <w:rPr>
          <w:rFonts w:eastAsia="Times New Roman"/>
          <w:vertAlign w:val="subscript"/>
        </w:rPr>
        <w:t>10</w:t>
      </w:r>
      <w:r w:rsidRPr="00366A0F">
        <w:rPr>
          <w:rFonts w:eastAsia="Times New Roman"/>
        </w:rPr>
        <w:t xml:space="preserve"> mixture) to retain a peak plasma ketone response no different to that of C</w:t>
      </w:r>
      <w:r w:rsidRPr="00366A0F">
        <w:rPr>
          <w:rFonts w:eastAsia="Times New Roman"/>
          <w:vertAlign w:val="subscript"/>
        </w:rPr>
        <w:t>8</w:t>
      </w:r>
      <w:r w:rsidRPr="00366A0F">
        <w:rPr>
          <w:rFonts w:eastAsia="Times New Roman"/>
        </w:rPr>
        <w:t xml:space="preserve"> alone. Moreover, C</w:t>
      </w:r>
      <w:r w:rsidRPr="00366A0F">
        <w:rPr>
          <w:rFonts w:eastAsia="Times New Roman"/>
          <w:vertAlign w:val="subscript"/>
        </w:rPr>
        <w:t>10</w:t>
      </w:r>
      <w:r w:rsidRPr="00366A0F">
        <w:rPr>
          <w:rFonts w:eastAsia="Times New Roman"/>
        </w:rPr>
        <w:t>, rather than C</w:t>
      </w:r>
      <w:r w:rsidRPr="00366A0F">
        <w:rPr>
          <w:rFonts w:eastAsia="Times New Roman"/>
          <w:vertAlign w:val="subscript"/>
        </w:rPr>
        <w:t>8</w:t>
      </w:r>
      <w:r w:rsidRPr="00366A0F">
        <w:rPr>
          <w:rFonts w:eastAsia="Times New Roman"/>
        </w:rPr>
        <w:t xml:space="preserve">, has the potential to increase the number of mitochondria over time in </w:t>
      </w:r>
      <w:r w:rsidRPr="00016E04">
        <w:rPr>
          <w:rFonts w:eastAsia="Times New Roman"/>
          <w:color w:val="000000" w:themeColor="text1"/>
        </w:rPr>
        <w:t>neuronal cells</w:t>
      </w:r>
      <w:r w:rsidR="00D36960" w:rsidRPr="00016E04">
        <w:rPr>
          <w:rFonts w:eastAsia="Times New Roman"/>
          <w:color w:val="000000" w:themeColor="text1"/>
        </w:rPr>
        <w:t>, although of a smaller size than untreated cells</w:t>
      </w:r>
      <w:r w:rsidRPr="00016E04">
        <w:rPr>
          <w:rFonts w:eastAsia="Times New Roman"/>
          <w:color w:val="000000" w:themeColor="text1"/>
        </w:rPr>
        <w:t xml:space="preserve"> </w:t>
      </w:r>
      <w:r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Neurochemistry","id":"ITEM-1","issue":"3","issued":{"date-parts":[["2014"]]},"page":"426-433","title":"The ketogenic diet component decanoic acid increases mitochondrial citrate synthase and complex I activity in neuronal cells","type":"article-journal","volume":"129"},"uris":["http://www.mendeley.com/documents/?uuid=d2dfaa22-13c8-4ea8-928d-81c8228371e5","http://www.mendeley.com/documents/?uuid=b95b6a43-6c7c-4658-8a9f-0f2f77f24383"]}],"mendeley":{"formattedCitation":"[37]","plainTextFormattedCitation":"[37]","previouslyFormattedCitation":"[37]"},"properties":{"noteIndex":0},"schema":"https://github.com/citation-style-language/schema/raw/master/csl-citation.json"}</w:instrText>
      </w:r>
      <w:r w:rsidRPr="00016E04">
        <w:rPr>
          <w:rFonts w:eastAsia="Times New Roman"/>
          <w:color w:val="000000" w:themeColor="text1"/>
        </w:rPr>
        <w:fldChar w:fldCharType="separate"/>
      </w:r>
      <w:r w:rsidR="00FD5371" w:rsidRPr="00016E04">
        <w:rPr>
          <w:rFonts w:eastAsia="Times New Roman"/>
          <w:noProof/>
          <w:color w:val="000000" w:themeColor="text1"/>
        </w:rPr>
        <w:t>[37]</w:t>
      </w:r>
      <w:r w:rsidRPr="00016E04">
        <w:rPr>
          <w:rFonts w:eastAsia="Times New Roman"/>
          <w:color w:val="000000" w:themeColor="text1"/>
        </w:rPr>
        <w:fldChar w:fldCharType="end"/>
      </w:r>
      <w:r w:rsidRPr="00016E04">
        <w:rPr>
          <w:rFonts w:eastAsia="Times New Roman"/>
          <w:color w:val="000000" w:themeColor="text1"/>
        </w:rPr>
        <w:t xml:space="preserve">. </w:t>
      </w:r>
    </w:p>
    <w:p w14:paraId="5165674D" w14:textId="352AB85E" w:rsidR="00581935" w:rsidRPr="00016E04" w:rsidRDefault="00581935" w:rsidP="004B5304">
      <w:pPr>
        <w:spacing w:line="360" w:lineRule="auto"/>
        <w:jc w:val="both"/>
        <w:rPr>
          <w:rFonts w:eastAsia="Times New Roman"/>
          <w:color w:val="000000" w:themeColor="text1"/>
        </w:rPr>
      </w:pPr>
      <w:r w:rsidRPr="00016E04">
        <w:rPr>
          <w:rFonts w:eastAsia="Times New Roman"/>
          <w:color w:val="000000" w:themeColor="text1"/>
        </w:rPr>
        <w:t xml:space="preserve">Hughes </w:t>
      </w:r>
      <w:r w:rsidRPr="00016E04">
        <w:rPr>
          <w:rFonts w:eastAsia="Times New Roman"/>
          <w:i/>
          <w:iCs/>
          <w:color w:val="000000" w:themeColor="text1"/>
        </w:rPr>
        <w:t>et al.</w:t>
      </w:r>
      <w:r w:rsidRPr="00016E04">
        <w:rPr>
          <w:rFonts w:eastAsia="Times New Roman"/>
          <w:color w:val="000000" w:themeColor="text1"/>
        </w:rPr>
        <w:t xml:space="preserve"> </w:t>
      </w:r>
      <w:r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Neurochemistry","id":"ITEM-1","issue":"3","issued":{"date-parts":[["2014"]]},"page":"426-433","title":"The ketogenic diet component decanoic acid increases mitochondrial citrate synthase and complex I activity in neuronal cells","type":"article-journal","volume":"129"},"uris":["http://www.mendeley.com/documents/?uuid=d2dfaa22-13c8-4ea8-928d-81c8228371e5"]}],"mendeley":{"formattedCitation":"[37]","plainTextFormattedCitation":"[37]","previouslyFormattedCitation":"[37]"},"properties":{"noteIndex":0},"schema":"https://github.com/citation-style-language/schema/raw/master/csl-citation.json"}</w:instrText>
      </w:r>
      <w:r w:rsidRPr="00016E04">
        <w:rPr>
          <w:rFonts w:eastAsia="Times New Roman"/>
          <w:color w:val="000000" w:themeColor="text1"/>
        </w:rPr>
        <w:fldChar w:fldCharType="separate"/>
      </w:r>
      <w:r w:rsidR="00FD5371" w:rsidRPr="00016E04">
        <w:rPr>
          <w:rFonts w:eastAsia="Times New Roman"/>
          <w:noProof/>
          <w:color w:val="000000" w:themeColor="text1"/>
        </w:rPr>
        <w:t>[37]</w:t>
      </w:r>
      <w:r w:rsidRPr="00016E04">
        <w:rPr>
          <w:rFonts w:eastAsia="Times New Roman"/>
          <w:color w:val="000000" w:themeColor="text1"/>
        </w:rPr>
        <w:fldChar w:fldCharType="end"/>
      </w:r>
      <w:r w:rsidRPr="00016E04">
        <w:rPr>
          <w:rFonts w:eastAsia="Times New Roman"/>
          <w:color w:val="000000" w:themeColor="text1"/>
        </w:rPr>
        <w:t xml:space="preserve"> observed that C</w:t>
      </w:r>
      <w:r w:rsidRPr="00016E04">
        <w:rPr>
          <w:rFonts w:eastAsia="Times New Roman"/>
          <w:color w:val="000000" w:themeColor="text1"/>
          <w:vertAlign w:val="subscript"/>
        </w:rPr>
        <w:t>10</w:t>
      </w:r>
      <w:r w:rsidRPr="00016E04">
        <w:rPr>
          <w:rFonts w:eastAsia="Times New Roman"/>
          <w:color w:val="000000" w:themeColor="text1"/>
        </w:rPr>
        <w:t>, but not C</w:t>
      </w:r>
      <w:r w:rsidRPr="00016E04">
        <w:rPr>
          <w:rFonts w:eastAsia="Times New Roman"/>
          <w:color w:val="000000" w:themeColor="text1"/>
          <w:vertAlign w:val="subscript"/>
        </w:rPr>
        <w:t>8</w:t>
      </w:r>
      <w:r w:rsidRPr="00016E04">
        <w:rPr>
          <w:rFonts w:eastAsia="Times New Roman"/>
          <w:color w:val="000000" w:themeColor="text1"/>
        </w:rPr>
        <w:t xml:space="preserve">, increased citrate synthase activity after 6 days of MCT supplementation, indicative of enhanced mitochondrial biogenesis. This effect may be due, at least in part, to the peroxisome proliferator activator receptor γ (PPARγ), a promotor of mitochondrial biogenesis </w:t>
      </w:r>
      <w:r w:rsidR="00CB512A"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{"citationItems":[{"id":"ITEM-1","itemData":{"DOI":"10.1016/j.neuint.2009.05.001","ISSN":"01970186","PMID":"19442697","abstract":"Peroxisome proliferator-activated receptor (PPAR)γ stimulation provides protection in several models of neurological disorders, but the mechanisms underlying these effects remain to be fully elucidated. Here we have studied whether two PPARγ agonists, pioglitazone and rosiglitazone, prevent loss of differentiated SH-SY5Y cells transiently exposed to glucose deprivation (GD). Nanomolar drug concentrations prevented GD-induced cell loss in a concentration- and time-dependent manner. These effects were abolished by malonate, a reversible mitochondrial Complex II inhibitor, while significantly potentiated by pyruvate, thus suggesting that they are related to mitochondrial function. During cell pretreatment, PPARγ agonists promoted biogenesis of functional mitochondria, as indicated by the up-regulation of PPARγ coactivator (PGC)-1α, NRF1, TFAM, cytochrome c oxidase subunit (CO) I and CO IV, and the increased level of mtDNA, while did not significantly change mitochondrial membrane potential. In addition, the analysis of the concentration-response and time-course curves for the protective effects and the up-regulation of mitochondrial biogenesis markers suggests that mitochondrial biogenesis and cell loss prevention are related effects. In conclusion our data indicate that a prolonged PPARγ stimulation, by repeated administration of nanomolar pioglitazone or rosiglitazone concentrations, decreases GD-induced loss of differentiated SH-SY5Y cells. In addition, they suggest that mitochondrial biogenesis may contribute to these effects. © 2009 Elsevier Ltd. All rights reserved.","author":[{"dropping-particle":"","family":"Miglio","given":"Gianluca","non-dropping-particle":"","parse-names":false,"suffix":""},{"dropping-particle":"","family":"Rosa","given":"Arianna C.","non-dropping-particle":"","parse-names":false,"suffix":""},{"dropping-particle":"","family":"Rattazzi","given":"Lorenza","non-dropping-particle":"","parse-names":false,"suffix":""},{"dropping-particle":"","family":"Collino","given":"Massimo","non-dropping-particle":"","parse-names":false,"suffix":""},{"dropping-particle":"","family":"Lombardi","given":"Grazia","non-dropping-particle":"","parse-names":false,"suffix":""},{"dropping-particle":"","family":"Fantozzi","given":"Roberto","non-dropping-particle":"","parse-names":false,"suffix":""}],"container-title":"Neurochemistry International","id":"ITEM-1","issue":"7","issued":{"date-parts":[["2009"]]},"page":"496-504","title":"PPARγ stimulation promotes mitochondrial biogenesis and prevents glucose deprivation-induced neuronal cell loss","type":"article-journal","volume":"55"},"uris":["http://www.mendeley.com/documents/?uuid=f49a4df8-6c3f-44a1-890b-6ced849928e1"]}],"mendeley":{"formattedCitation":"[38]","plainTextFormattedCitation":"[38]","previouslyFormattedCitation":"[38]"},"properties":{"noteIndex":0},"schema":"https://github.com/citation-style-language/schema/raw/master/csl-citation.json"}</w:instrText>
      </w:r>
      <w:r w:rsidR="00CB512A" w:rsidRPr="00016E04">
        <w:rPr>
          <w:rFonts w:eastAsia="Times New Roman"/>
          <w:color w:val="000000" w:themeColor="text1"/>
        </w:rPr>
        <w:fldChar w:fldCharType="separate"/>
      </w:r>
      <w:r w:rsidR="00FD5371" w:rsidRPr="00016E04">
        <w:rPr>
          <w:rFonts w:eastAsia="Times New Roman"/>
          <w:noProof/>
          <w:color w:val="000000" w:themeColor="text1"/>
        </w:rPr>
        <w:t>[38]</w:t>
      </w:r>
      <w:r w:rsidR="00CB512A" w:rsidRPr="00016E04">
        <w:rPr>
          <w:rFonts w:eastAsia="Times New Roman"/>
          <w:color w:val="000000" w:themeColor="text1"/>
        </w:rPr>
        <w:fldChar w:fldCharType="end"/>
      </w:r>
      <w:r w:rsidRPr="00016E04">
        <w:rPr>
          <w:rFonts w:eastAsia="Times New Roman"/>
          <w:color w:val="000000" w:themeColor="text1"/>
        </w:rPr>
        <w:t>, which is activated by C</w:t>
      </w:r>
      <w:r w:rsidRPr="00016E04">
        <w:rPr>
          <w:rFonts w:eastAsia="Times New Roman"/>
          <w:color w:val="000000" w:themeColor="text1"/>
          <w:vertAlign w:val="subscript"/>
        </w:rPr>
        <w:t>10</w:t>
      </w:r>
      <w:r w:rsidRPr="00016E04">
        <w:rPr>
          <w:rFonts w:eastAsia="Times New Roman"/>
          <w:color w:val="000000" w:themeColor="text1"/>
        </w:rPr>
        <w:t>, but not C</w:t>
      </w:r>
      <w:r w:rsidRPr="00016E04">
        <w:rPr>
          <w:rFonts w:eastAsia="Times New Roman"/>
          <w:color w:val="000000" w:themeColor="text1"/>
          <w:vertAlign w:val="subscript"/>
        </w:rPr>
        <w:t>8</w:t>
      </w:r>
      <w:r w:rsidRPr="00016E04">
        <w:rPr>
          <w:rFonts w:eastAsia="Times New Roman"/>
          <w:color w:val="000000" w:themeColor="text1"/>
        </w:rPr>
        <w:t xml:space="preserve">. </w:t>
      </w:r>
      <w:r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{"citationItems":[{"id":"ITEM-1","itemData":{"DOI":"10.1074/jbc.M111.294785","ISSN":"00219258","PMID":"22039047","abstract":"Peroxisome proliferator-activated receptors (PPARα, -β/δ, and -γ) are a subfamily of nuclear receptors that plays key roles in glucose and lipid metabolism. PPARγ is the molecular target of the thiazolidinedione class of antidiabetic drugs that has many side effects. PPARγ is also activated by long chain unsaturated or oxidized/nitrated fatty acids, but its relationship with the medium chain fatty acids remains unclear even though the medium chain triglyceride oils have been used to control weight gain and glycemic index. Here, we show that decanoic acid (DA), a 10-carbon fatty acid and a major component of medium chain triglyceride oils, is a direct ligand of PPARγ. DA binds and partially activates PPARγ without leading to adipogenesis. Crystal structure reveals that DA occupies a novel binding site and only partially stabilizes the AF-2 helix. DA also binds weakly to PPARα and PPARβ/δ. Treatments with DA and its triglyceride form improve glucose sensitivity and lipid profiles without weight gain in diabetic mice. Together, these results suggest that DA is a modulating ligand for PPARs, and the structure can aid in designing better and safer PPARγ-based drugs. © 2012 by The American Society for Biochemistry and Molecular Biology, Inc.","author":[{"dropping-particle":"","family":"Malapaka","given":"Raghu R.V.","non-dropping-particle":"","parse-names":false,"suffix":""},{"dropping-particle":"","family":"Khoo","given":"Sok Kean","non-dropping-particle":"","parse-names":false,"suffix":""},{"dropping-particle":"","family":"Zhang","given":"Jifeng","non-dropping-particle":"","parse-names":false,"suffix":""},{"dropping-particle":"","family":"Choi","given":"Jang H.","non-dropping-particle":"","parse-names":false,"suffix":""},{"dropping-particle":"","family":"Zhou","given":"X. Edward","non-dropping-particle":"","parse-names":false,"suffix":""},{"dropping-particle":"","family":"Xu","given":"Yong","non-dropping-particle":"","parse-names":false,"suffix":""},{"dropping-particle":"","family":"Gong","given":"Yinhan","non-dropping-particle":"","parse-names":false,"suffix":""},{"dropping-particle":"","family":"Li","given":"Jun","non-dropping-particle":"","parse-names":false,"suffix":""},{"dropping-particle":"","family":"Yong","given":"Eu Leong","non-dropping-particle":"","parse-names":false,"suffix":""},{"dropping-particle":"","family":"Chalmers","given":"Michael J.","non-dropping-particle":"","parse-names":false,"suffix":""},{"dropping-particle":"","family":"Chang","given":"Lin","non-dropping-particle":"","parse-names":false,"suffix":""},{"dropping-particle":"","family":"Resau","given":"James H.","non-dropping-particle":"","parse-names":false,"suffix":""},{"dropping-particle":"","family":"Griffin","given":"Patrick R.","non-dropping-particle":"","parse-names":false,"suffix":""},{"dropping-particle":"","family":"Chen","given":"Y. Eugene","non-dropping-particle":"","parse-names":false,"suffix":""},{"dropping-particle":"","family":"Xu","given":"H. Eric","non-dropping-particle":"","parse-names":false,"suffix":""}],"container-title":"Journal of Biological Chemistry","id":"ITEM-1","issue":"1","issued":{"date-parts":[["2012"]]},"page":"183-195","title":"Identification and mechanism of 10-carbon fatty acid as modulating ligand of peroxisome proliferator-activated receptors","type":"article-journal","volume":"287"},"uris":["http://www.mendeley.com/documents/?uuid=ef4280d0-08a7-48e2-8ce2-0f70f570243c"]}],"mendeley":{"formattedCitation":"[39]","plainTextFormattedCitation":"[39]","previouslyFormattedCitation":"[39]"},"properties":{"noteIndex":0},"schema":"https://github.com/citation-style-language/schema/raw/master/csl-citation.json"}</w:instrText>
      </w:r>
      <w:r w:rsidRPr="00016E04">
        <w:rPr>
          <w:rFonts w:eastAsia="Times New Roman"/>
          <w:color w:val="000000" w:themeColor="text1"/>
        </w:rPr>
        <w:fldChar w:fldCharType="separate"/>
      </w:r>
      <w:r w:rsidR="00FD5371" w:rsidRPr="00016E04">
        <w:rPr>
          <w:rFonts w:eastAsia="Times New Roman"/>
          <w:noProof/>
          <w:color w:val="000000" w:themeColor="text1"/>
        </w:rPr>
        <w:t>[39]</w:t>
      </w:r>
      <w:r w:rsidRPr="00016E04">
        <w:rPr>
          <w:rFonts w:eastAsia="Times New Roman"/>
          <w:color w:val="000000" w:themeColor="text1"/>
        </w:rPr>
        <w:fldChar w:fldCharType="end"/>
      </w:r>
      <w:r w:rsidRPr="00016E04">
        <w:rPr>
          <w:rFonts w:eastAsia="Times New Roman"/>
          <w:color w:val="000000" w:themeColor="text1"/>
        </w:rPr>
        <w:t xml:space="preserve">. </w:t>
      </w:r>
      <w:r w:rsidRPr="00016E04">
        <w:rPr>
          <w:color w:val="000000" w:themeColor="text1"/>
        </w:rPr>
        <w:t xml:space="preserve">Hughes </w:t>
      </w:r>
      <w:r w:rsidRPr="00016E04">
        <w:rPr>
          <w:i/>
          <w:iCs/>
          <w:color w:val="000000" w:themeColor="text1"/>
        </w:rPr>
        <w:t>et al.</w:t>
      </w:r>
      <w:r w:rsidRPr="00016E04">
        <w:rPr>
          <w:color w:val="000000" w:themeColor="text1"/>
        </w:rPr>
        <w:t xml:space="preserve"> found that in the presence of a </w:t>
      </w:r>
      <w:r w:rsidRPr="00016E04">
        <w:rPr>
          <w:rFonts w:eastAsia="Times New Roman"/>
          <w:color w:val="000000" w:themeColor="text1"/>
        </w:rPr>
        <w:t>PPARγ antagonist, the increase in citrate synthase activity due to C</w:t>
      </w:r>
      <w:r w:rsidRPr="00016E04">
        <w:rPr>
          <w:rFonts w:eastAsia="Times New Roman"/>
          <w:color w:val="000000" w:themeColor="text1"/>
          <w:vertAlign w:val="subscript"/>
        </w:rPr>
        <w:t>10</w:t>
      </w:r>
      <w:r w:rsidRPr="00016E04">
        <w:rPr>
          <w:rFonts w:eastAsia="Times New Roman"/>
          <w:color w:val="000000" w:themeColor="text1"/>
        </w:rPr>
        <w:t xml:space="preserve"> was prevented. Taken together, these data are supportive of the notion of mitochondrial biogenesis being induced in neuronal cells following C</w:t>
      </w:r>
      <w:r w:rsidRPr="00016E04">
        <w:rPr>
          <w:rFonts w:eastAsia="Times New Roman"/>
          <w:color w:val="000000" w:themeColor="text1"/>
          <w:vertAlign w:val="subscript"/>
        </w:rPr>
        <w:t>10</w:t>
      </w:r>
      <w:r w:rsidRPr="00016E04">
        <w:rPr>
          <w:rFonts w:eastAsia="Times New Roman"/>
          <w:color w:val="000000" w:themeColor="text1"/>
        </w:rPr>
        <w:t xml:space="preserve"> MCT supplementation.</w:t>
      </w:r>
    </w:p>
    <w:p w14:paraId="5D3AEF69" w14:textId="77777777" w:rsidR="00E45488" w:rsidRPr="00016E04" w:rsidRDefault="00E45488" w:rsidP="00E45488">
      <w:pPr>
        <w:spacing w:line="360" w:lineRule="auto"/>
        <w:jc w:val="both"/>
        <w:rPr>
          <w:rFonts w:eastAsia="Times New Roman"/>
          <w:color w:val="000000" w:themeColor="text1"/>
        </w:rPr>
      </w:pPr>
    </w:p>
    <w:p w14:paraId="5FF0EAA6" w14:textId="09364F2C" w:rsidR="0092488E" w:rsidRPr="00366A0F" w:rsidRDefault="00E45488" w:rsidP="0092488E">
      <w:pPr>
        <w:spacing w:line="360" w:lineRule="auto"/>
        <w:ind w:firstLine="720"/>
        <w:jc w:val="both"/>
        <w:rPr>
          <w:rFonts w:eastAsia="Times New Roman"/>
        </w:rPr>
      </w:pPr>
      <w:r w:rsidRPr="00016E04">
        <w:rPr>
          <w:rFonts w:eastAsia="Times New Roman"/>
          <w:color w:val="000000" w:themeColor="text1"/>
        </w:rPr>
        <w:t>The present study utilised a</w:t>
      </w:r>
      <w:r w:rsidR="00366A0F" w:rsidRPr="00016E04">
        <w:rPr>
          <w:rFonts w:eastAsia="Times New Roman"/>
          <w:color w:val="000000" w:themeColor="text1"/>
        </w:rPr>
        <w:t xml:space="preserve"> C</w:t>
      </w:r>
      <w:r w:rsidR="00366A0F" w:rsidRPr="00016E04">
        <w:rPr>
          <w:rFonts w:eastAsia="Times New Roman"/>
          <w:color w:val="000000" w:themeColor="text1"/>
          <w:vertAlign w:val="subscript"/>
        </w:rPr>
        <w:t>8</w:t>
      </w:r>
      <w:r w:rsidR="00366A0F" w:rsidRPr="00016E04">
        <w:rPr>
          <w:rFonts w:eastAsia="Times New Roman"/>
          <w:color w:val="000000" w:themeColor="text1"/>
        </w:rPr>
        <w:t>-C</w:t>
      </w:r>
      <w:r w:rsidR="00366A0F" w:rsidRPr="00016E04">
        <w:rPr>
          <w:rFonts w:eastAsia="Times New Roman"/>
          <w:color w:val="000000" w:themeColor="text1"/>
          <w:vertAlign w:val="subscript"/>
        </w:rPr>
        <w:t>10</w:t>
      </w:r>
      <w:r w:rsidRPr="00016E04">
        <w:rPr>
          <w:rFonts w:eastAsia="Times New Roman"/>
          <w:color w:val="000000" w:themeColor="text1"/>
        </w:rPr>
        <w:t xml:space="preserve"> </w:t>
      </w:r>
      <w:r w:rsidR="00366A0F" w:rsidRPr="00016E04">
        <w:rPr>
          <w:rFonts w:eastAsia="Times New Roman"/>
          <w:color w:val="000000" w:themeColor="text1"/>
        </w:rPr>
        <w:t xml:space="preserve">ratio </w:t>
      </w:r>
      <w:r w:rsidRPr="00016E04">
        <w:rPr>
          <w:rFonts w:eastAsia="Times New Roman"/>
          <w:color w:val="000000" w:themeColor="text1"/>
        </w:rPr>
        <w:t>of 30:70</w:t>
      </w:r>
      <w:r w:rsidR="00366A0F" w:rsidRPr="00016E04">
        <w:rPr>
          <w:rFonts w:eastAsia="Times New Roman"/>
          <w:color w:val="000000" w:themeColor="text1"/>
        </w:rPr>
        <w:t xml:space="preserve"> in the MCT supplement. This</w:t>
      </w:r>
      <w:r w:rsidRPr="00016E04">
        <w:rPr>
          <w:rFonts w:eastAsia="Times New Roman"/>
          <w:color w:val="000000" w:themeColor="text1"/>
        </w:rPr>
        <w:t xml:space="preserve"> </w:t>
      </w:r>
      <w:r w:rsidR="0000001E" w:rsidRPr="00016E04">
        <w:rPr>
          <w:rFonts w:eastAsia="Times New Roman"/>
          <w:color w:val="000000" w:themeColor="text1"/>
        </w:rPr>
        <w:t>incorporat</w:t>
      </w:r>
      <w:r w:rsidR="00366A0F" w:rsidRPr="00016E04">
        <w:rPr>
          <w:rFonts w:eastAsia="Times New Roman"/>
          <w:color w:val="000000" w:themeColor="text1"/>
        </w:rPr>
        <w:t>es</w:t>
      </w:r>
      <w:r w:rsidRPr="00016E04">
        <w:rPr>
          <w:rFonts w:eastAsia="Times New Roman"/>
          <w:color w:val="000000" w:themeColor="text1"/>
        </w:rPr>
        <w:t xml:space="preserve"> the benefits of both C</w:t>
      </w:r>
      <w:r w:rsidRPr="00016E04">
        <w:rPr>
          <w:rFonts w:eastAsia="Times New Roman"/>
          <w:color w:val="000000" w:themeColor="text1"/>
          <w:vertAlign w:val="subscript"/>
        </w:rPr>
        <w:t xml:space="preserve">8 </w:t>
      </w:r>
      <w:r w:rsidRPr="00016E04">
        <w:rPr>
          <w:rFonts w:eastAsia="Times New Roman"/>
          <w:color w:val="000000" w:themeColor="text1"/>
        </w:rPr>
        <w:t>and C</w:t>
      </w:r>
      <w:r w:rsidRPr="00016E04">
        <w:rPr>
          <w:rFonts w:eastAsia="Times New Roman"/>
          <w:color w:val="000000" w:themeColor="text1"/>
          <w:vertAlign w:val="subscript"/>
        </w:rPr>
        <w:t>10</w:t>
      </w:r>
      <w:r w:rsidR="0092488E" w:rsidRPr="00016E04">
        <w:rPr>
          <w:rFonts w:eastAsia="Times New Roman"/>
          <w:color w:val="000000" w:themeColor="text1"/>
          <w:vertAlign w:val="subscript"/>
        </w:rPr>
        <w:t>,</w:t>
      </w:r>
      <w:r w:rsidRPr="00016E04">
        <w:rPr>
          <w:rFonts w:eastAsia="Times New Roman"/>
          <w:color w:val="000000" w:themeColor="text1"/>
        </w:rPr>
        <w:t xml:space="preserve"> while also limiting the risk of gastronomical distress </w:t>
      </w:r>
      <w:r w:rsidR="00366A0F" w:rsidRPr="00016E04">
        <w:rPr>
          <w:rFonts w:eastAsia="Times New Roman"/>
          <w:color w:val="000000" w:themeColor="text1"/>
        </w:rPr>
        <w:t xml:space="preserve">previously </w:t>
      </w:r>
      <w:r w:rsidR="0092488E" w:rsidRPr="00016E04">
        <w:rPr>
          <w:rFonts w:eastAsia="Times New Roman"/>
          <w:color w:val="000000" w:themeColor="text1"/>
        </w:rPr>
        <w:t xml:space="preserve">seen when using a </w:t>
      </w:r>
      <w:r w:rsidR="00366A0F" w:rsidRPr="00016E04">
        <w:rPr>
          <w:rFonts w:eastAsia="Times New Roman"/>
          <w:color w:val="000000" w:themeColor="text1"/>
        </w:rPr>
        <w:t>supplement with a higher ratio of</w:t>
      </w:r>
      <w:r w:rsidR="0092488E" w:rsidRPr="00016E04">
        <w:rPr>
          <w:rFonts w:eastAsia="Times New Roman"/>
          <w:color w:val="000000" w:themeColor="text1"/>
        </w:rPr>
        <w:t xml:space="preserve"> C</w:t>
      </w:r>
      <w:r w:rsidR="0092488E" w:rsidRPr="00016E04">
        <w:rPr>
          <w:rFonts w:eastAsia="Times New Roman"/>
          <w:color w:val="000000" w:themeColor="text1"/>
          <w:vertAlign w:val="subscript"/>
        </w:rPr>
        <w:t>8</w:t>
      </w:r>
      <w:r w:rsidR="0092488E" w:rsidRPr="00016E04">
        <w:rPr>
          <w:rFonts w:eastAsia="Times New Roman"/>
          <w:color w:val="000000" w:themeColor="text1"/>
        </w:rPr>
        <w:t xml:space="preserve"> </w:t>
      </w:r>
      <w:r w:rsidR="0092488E"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{"citationItems":[{"id":"ITEM-1","itemData":{"DOI":"10.1111/j.1528-1167.2008.01830.x","ISSN":"00139580","abstract":"The medium-chain triglyceride diet (MCTD) is a variant of the classic 4:1 ketogenic diet (KD) introduced in 1971 by Huttenlocher as an attempt to improve the palatability of the KD by allowing more carbohydrates yet preserving ketosis. Although initially found to be equally effective as the classic KD, use of the MCTD declined because of frequent gastrointestinal side effects such as cramps, diarrhea, and vomiting. Recently, we have used the MCTD in more than 50 patients. We have found excellent seizure control, similar to the classic KD, and with careful monitoring, we have encountered minimal side effects. The MCTD should remain a viable dietary option for children with refractory epilepsy who have large appetites, can tolerate more calories, or cannot accept the restrictions of the classic KD. © 2008 International League Against Epilepsy.","author":[{"dropping-particle":"","family":"Liu","given":"Yeou Mei Christiana","non-dropping-particle":"","parse-names":false,"suffix":""}],"container-title":"Epilepsia","id":"ITEM-1","issue":"SUPPL. 8","issued":{"date-parts":[["2008"]]},"page":"33-36","title":"Medium-chain triglyceride (MCT) ketogenic therapy","type":"article-journal","volume":"49"},"uris":["http://www.mendeley.com/documents/?uuid=a6840c54-fece-4999-bc57-e5f4be6d3600"]},{"id":"ITEM-2","itemData":{"DOI":"10.1186/1743-7075-6-31","ISSN":"17437075","abstract":"Background.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Metabolism","id":"ITEM-2","issue":"1","issued":{"date-parts":[["2009"]]},"page":"1-25","title":"Study of the ketogenic agent AC-1202 in mild to moderate Alzheimer's disease: A randomized, double-blind, placebo-controlled, multicenter trial","type":"article-journal","volume":"6"},"uris":["http://www.mendeley.com/documents/?uuid=01eeaa33-abb1-4092-ab6f-124ba0159f80"]}],"mendeley":{"formattedCitation":"[27,40]","plainTextFormattedCitation":"[27,40]","previouslyFormattedCitation":"[27,40]"},"properties":{"noteIndex":0},"schema":"https://github.com/citation-style-language/schema/raw/master/csl-citation.json"}</w:instrText>
      </w:r>
      <w:r w:rsidR="0092488E" w:rsidRPr="00016E04">
        <w:rPr>
          <w:rFonts w:eastAsia="Times New Roman"/>
          <w:color w:val="000000" w:themeColor="text1"/>
        </w:rPr>
        <w:fldChar w:fldCharType="separate"/>
      </w:r>
      <w:r w:rsidR="00FD5371" w:rsidRPr="00016E04">
        <w:rPr>
          <w:rFonts w:eastAsia="Times New Roman"/>
          <w:noProof/>
          <w:color w:val="000000" w:themeColor="text1"/>
        </w:rPr>
        <w:t>[27,40]</w:t>
      </w:r>
      <w:r w:rsidR="0092488E" w:rsidRPr="00016E04">
        <w:rPr>
          <w:rFonts w:eastAsia="Times New Roman"/>
          <w:color w:val="000000" w:themeColor="text1"/>
        </w:rPr>
        <w:fldChar w:fldCharType="end"/>
      </w:r>
      <w:r w:rsidR="0092488E" w:rsidRPr="00016E04">
        <w:rPr>
          <w:rFonts w:eastAsia="Times New Roman"/>
          <w:color w:val="000000" w:themeColor="text1"/>
        </w:rPr>
        <w:t xml:space="preserve">. </w:t>
      </w:r>
      <w:r w:rsidR="003D2515" w:rsidRPr="00016E04">
        <w:rPr>
          <w:rFonts w:eastAsia="Times New Roman"/>
          <w:color w:val="000000" w:themeColor="text1"/>
        </w:rPr>
        <w:t xml:space="preserve">The </w:t>
      </w:r>
      <w:r w:rsidR="006A501E" w:rsidRPr="00016E04">
        <w:rPr>
          <w:rFonts w:eastAsia="Times New Roman"/>
          <w:color w:val="000000" w:themeColor="text1"/>
        </w:rPr>
        <w:t xml:space="preserve">primary </w:t>
      </w:r>
      <w:r w:rsidR="003D2515" w:rsidRPr="00016E04">
        <w:rPr>
          <w:rFonts w:eastAsia="Times New Roman"/>
          <w:color w:val="000000" w:themeColor="text1"/>
        </w:rPr>
        <w:t>aim was</w:t>
      </w:r>
      <w:r w:rsidR="0092488E" w:rsidRPr="00016E04">
        <w:rPr>
          <w:rFonts w:eastAsia="Times New Roman"/>
          <w:color w:val="000000" w:themeColor="text1"/>
        </w:rPr>
        <w:t xml:space="preserve"> of this study is </w:t>
      </w:r>
      <w:r w:rsidR="003D2515" w:rsidRPr="00016E04">
        <w:rPr>
          <w:rFonts w:eastAsia="Times New Roman"/>
          <w:color w:val="000000" w:themeColor="text1"/>
        </w:rPr>
        <w:t xml:space="preserve">to determine whether the improvements in cognitive function due to </w:t>
      </w:r>
      <w:r w:rsidR="003D2515" w:rsidRPr="00366A0F">
        <w:rPr>
          <w:rFonts w:eastAsia="Times New Roman"/>
        </w:rPr>
        <w:t>MCT ingestion seen in diseased/elderly individuals will also be demonstrated in a young and healthy population. We hypothesise</w:t>
      </w:r>
      <w:r w:rsidR="00521E8F" w:rsidRPr="00366A0F">
        <w:rPr>
          <w:rFonts w:eastAsia="Times New Roman"/>
        </w:rPr>
        <w:t>d</w:t>
      </w:r>
      <w:r w:rsidR="003D2515" w:rsidRPr="00366A0F">
        <w:rPr>
          <w:rFonts w:eastAsia="Times New Roman"/>
        </w:rPr>
        <w:t xml:space="preserve"> that chronic MCT ingestion would improve </w:t>
      </w:r>
      <w:r w:rsidR="0092488E" w:rsidRPr="00366A0F">
        <w:rPr>
          <w:rFonts w:eastAsia="Times New Roman"/>
        </w:rPr>
        <w:t xml:space="preserve">some aspects of </w:t>
      </w:r>
      <w:r w:rsidR="003D2515" w:rsidRPr="00366A0F">
        <w:rPr>
          <w:rFonts w:eastAsia="Times New Roman"/>
        </w:rPr>
        <w:t xml:space="preserve">cognitive function, as measured by a </w:t>
      </w:r>
      <w:r w:rsidR="00F34CD1" w:rsidRPr="00366A0F">
        <w:rPr>
          <w:rFonts w:eastAsia="Times New Roman"/>
        </w:rPr>
        <w:t>standardised battery</w:t>
      </w:r>
      <w:r w:rsidR="003D2515" w:rsidRPr="00366A0F">
        <w:rPr>
          <w:rFonts w:eastAsia="Times New Roman"/>
        </w:rPr>
        <w:t xml:space="preserve"> of laboratory-based cognitive tests</w:t>
      </w:r>
      <w:r w:rsidR="00887A8C" w:rsidRPr="00366A0F">
        <w:rPr>
          <w:rFonts w:eastAsia="Times New Roman"/>
        </w:rPr>
        <w:t xml:space="preserve"> </w:t>
      </w:r>
      <w:r w:rsidR="00887A8C" w:rsidRPr="00366A0F">
        <w:rPr>
          <w:rFonts w:eastAsia="Times New Roman"/>
        </w:rPr>
        <w:lastRenderedPageBreak/>
        <w:t xml:space="preserve">including </w:t>
      </w:r>
      <w:r w:rsidR="00F34CD1" w:rsidRPr="00366A0F">
        <w:rPr>
          <w:rFonts w:eastAsia="Times New Roman"/>
        </w:rPr>
        <w:t xml:space="preserve">trial making, </w:t>
      </w:r>
      <w:r w:rsidR="00ED2280" w:rsidRPr="00366A0F">
        <w:rPr>
          <w:rFonts w:eastAsia="Times New Roman"/>
        </w:rPr>
        <w:t xml:space="preserve">digit and working </w:t>
      </w:r>
      <w:r w:rsidR="00F34CD1" w:rsidRPr="00366A0F">
        <w:rPr>
          <w:rFonts w:eastAsia="Times New Roman"/>
        </w:rPr>
        <w:t>memory span, covert shift of attention,</w:t>
      </w:r>
      <w:r w:rsidR="00887A8C" w:rsidRPr="00366A0F">
        <w:rPr>
          <w:rFonts w:eastAsia="Times New Roman"/>
        </w:rPr>
        <w:t xml:space="preserve"> and</w:t>
      </w:r>
      <w:r w:rsidR="00F34CD1" w:rsidRPr="00366A0F">
        <w:rPr>
          <w:rFonts w:eastAsia="Times New Roman"/>
        </w:rPr>
        <w:t xml:space="preserve"> </w:t>
      </w:r>
      <w:r w:rsidR="00887A8C" w:rsidRPr="00366A0F">
        <w:rPr>
          <w:rFonts w:eastAsia="Times New Roman"/>
        </w:rPr>
        <w:t>rapid visual information processing (</w:t>
      </w:r>
      <w:r w:rsidR="00F34CD1" w:rsidRPr="00366A0F">
        <w:rPr>
          <w:rFonts w:eastAsia="Times New Roman"/>
        </w:rPr>
        <w:t>sustained attention</w:t>
      </w:r>
      <w:r w:rsidR="00887A8C" w:rsidRPr="00366A0F">
        <w:rPr>
          <w:rFonts w:eastAsia="Times New Roman"/>
        </w:rPr>
        <w:t>)</w:t>
      </w:r>
      <w:r w:rsidR="003D2515" w:rsidRPr="00366A0F">
        <w:rPr>
          <w:rFonts w:eastAsia="Times New Roman"/>
        </w:rPr>
        <w:t xml:space="preserve">. </w:t>
      </w:r>
      <w:r w:rsidR="00887A8C" w:rsidRPr="00366A0F">
        <w:rPr>
          <w:rFonts w:eastAsia="Times New Roman"/>
        </w:rPr>
        <w:t xml:space="preserve">Following previous findings </w:t>
      </w:r>
      <w:r w:rsidR="00B728CD" w:rsidRPr="00366A0F">
        <w:rPr>
          <w:rFonts w:eastAsia="Times New Roman"/>
        </w:rPr>
        <w:t xml:space="preserve">that used </w:t>
      </w:r>
      <w:r w:rsidR="00887A8C" w:rsidRPr="00366A0F">
        <w:rPr>
          <w:rFonts w:eastAsia="Times New Roman"/>
        </w:rPr>
        <w:t xml:space="preserve">similar measures </w:t>
      </w:r>
      <w:r w:rsidR="00417872" w:rsidRPr="00366A0F">
        <w:rPr>
          <w:rFonts w:eastAsia="Times New Roman"/>
        </w:rPr>
        <w:fldChar w:fldCharType="begin" w:fldLock="1"/>
      </w:r>
      <w:r w:rsidR="00616D7D">
        <w:rPr>
          <w:rFonts w:eastAsia="Times New Roman"/>
        </w:rPr>
        <w:instrText xml:space="preserve">ADDIN CSL_CITATION {"citationItems":[{"id":"ITEM-1","itemData":{"DOI":"10.2337/db08-1557","ISSN":"00121797","abstract":"OBJECTIVE-We examined whether ingestion of medium- chain triglycerides could improve cognition during hypoglycemia in subjects with intensively treated type 1 diabetes and assessed potential underlying mechanisms by testing the effect of β-hy-droxybutyrate and octanoate on rat hippocampal synaptic transmission during exposure to low glucose. RESEARCH DESIGN AND METHODS-A total of 11 intensively treated type 1 diabetic subjects participated in stepped hyperinsulinemic- (2 mU · kg -1 · min -1) euglycemic- (glucose </w:instrText>
      </w:r>
      <w:r w:rsidR="00616D7D">
        <w:rPr>
          <w:rFonts w:ascii="Cambria Math" w:eastAsia="Times New Roman" w:hAnsi="Cambria Math" w:cs="Cambria Math"/>
        </w:rPr>
        <w:instrText>∼</w:instrText>
      </w:r>
      <w:r w:rsidR="00616D7D">
        <w:rPr>
          <w:rFonts w:eastAsia="Times New Roman"/>
        </w:rPr>
        <w:instrText xml:space="preserve">5.5 mmol/l) hypoglycemic (glucose </w:instrText>
      </w:r>
      <w:r w:rsidR="00616D7D">
        <w:rPr>
          <w:rFonts w:ascii="Cambria Math" w:eastAsia="Times New Roman" w:hAnsi="Cambria Math" w:cs="Cambria Math"/>
        </w:rPr>
        <w:instrText>∼</w:instrText>
      </w:r>
      <w:r w:rsidR="00616D7D">
        <w:rPr>
          <w:rFonts w:eastAsia="Times New Roman"/>
        </w:rPr>
        <w:instrText>2.8 mmol/l) clamp studies. During two separate sessions, they randomly received either medium-chain triglycerides or placebo drinks and performed a battery of cognitive tests. In vitro rat hippocampal slice preparations were used to assess the ability of p-hydroxybutyrate and octanoate to support neuronal activity when glucose levels are reduced.RESULTS-Hypoglycemia impaired cognitive performance in tests of verbal memory, digit symbol coding, digit span backwards, and map searching. Ingestion of medium-chain triglycer- ides reversed these effects. Medium-chain triglycerides also produced higher free fatty acids and β-hydroxybutyrate levels compared with placebo. However, the increase in cat- echolamines and symptoms during hypoglycemia was not altered. In hippocampal slices β-hydroxybutyrate supported synaptic transmission under low-glucose conditions, whereas octanoate could not. Nevertheless, octanoate improved the rate of recovery of synaptic function upon restoration of control glucose concentrations. CONCLUSIONS-Medium-chain triglyceride ingestion improves cognition without adversely affecting adrenergic or symptomatic responses to hypoglycemia in intensively treated type 1 diabetic subjects. Medium-chain triglycerides offer the therapeutic advantage of preserving brain function under hypoglycemic conditions without causing deleterious hyperglycemia. © 2009 by the American Diabetes Association.","author":[{"dropping-particle":"","family":"Page","given":"Kathleen A.","non-dropping-particle":"","parse-names":false,"suffix":""},{"dropping-particle":"","family":"Williamson","given":"Anne","non-dropping-particle":"","parse-names":false,"suffix":""},{"dropping-particle":"","family":"Yu","given":"Namyi","non-dropping-particle":"","parse-names":false,"suffix":""},{"dropping-particle":"","family":"McNay","given":"Ewan C.","non-dropping-particle":"","parse-names":false,"suffix":""},{"dropping-particle":"","family":"Dzuira","given":"James","non-dropping-particle":"","parse-names":false,"suffix":""},{"dropping-particle":"","family":"McCrimmon","given":"Rory J.","non-dropping-particle":"","parse-names":false,"suffix":""},{"dropping-particle":"","family":"Sherwin","given":"Robert S.","non-dropping-particle":"","parse-names":false,"suffix":""}],"container-title":"Diabetes","id":"ITEM-1","issue":"5","issued":{"date-parts":[["2009"]]},"page":"1237-1244","title":"Medium-chain fatty acids improve cognitive function in intensively treated type 1 diabetic patients and support in vitro synaptic transmission during acute hypoglycemia","type":"article-journal","volume":"58"},"uris":["http://www.mendeley.com/documents/?uuid=76e53e78-a881-4224-bb35-b0fd11616c3c"]},{"id":"ITEM-2","itemData":{"DOI":"10.1186/1743-7075-6-31","ISSN":"17437075","abstract":"Background.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Metabolism","id":"ITEM-2","issue":"1","issued":{"date-parts":[["2009"]]},"page":"1-25","title":"Study of the ketogenic agent AC-1202 in mild to moderate Alzheimer's disease: A randomized, double-blind, placebo-controlled, multicenter trial","type":"article-journal","volume":"6"},"uris":["http://www.mendeley.com/documents/?uuid=01eeaa33-abb1-4092-ab6f-124ba0159f80"]},{"id":"ITEM-3","itemData":{"DOI":"10.1016/S0197-4580(03)00087-3","ISSN":"01974580","abstract":"Glucose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Aging","id":"ITEM-3","issue":"3","issued":{"date-parts":[["2004"]]},"page":"311-314","title":"Effects of β-hydroxybutyrate on cognition in memory-impaired adults","type":"article-journal","volume":"25"},"uris":["http://www.mendeley.com/documents/?uuid=9b749a2c-d7f4-499a-aacf-5c01f8bcf9b8"]},{"id":"ITEM-4","itemData":{"DOI":"10.1016/j.clnu.2019.10.017","ISSN":"15321983","abstract":"Background: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Nutrition","id":"ITEM-4","issue":"xxxx","issued":{"date-parts":[["2019"]]},"publisher":"Elsevier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trial","type":"article-journal"},"uris":["http://www.mendeley.com/documents/?uuid=2907e5b5-01d3-4c7a-8a88-74fb1c577832"]},{"id":"ITEM-5","itemData":{"DOI":"10.1016/j.bbacli.2015.01.001","ISSN":"22146474","abstract":"Background: Impaired brain glucose metabolism appears to be a potential pathogenic feature of mild cognitive impairment (MCI). This study examined the potential for increasing circulating ketone bodies through medium chain triglyceride (MCT) supplementation, as a means to beneficially modulate brain homeostasis in subjects with MCI. Methods: Six participants with MCI were enrolled in a randomized placebo-controlled trial. Participants received 56. g/day of either medium chain triglycerides (MCTs) or placebo for 24. weeks. Serum β-hydroxybutyrate concentrations, apolipoprotein-E4 status, and cognitive assessments were carried out. Due to the small number of participants only the raw scores were examined. Results: Intake of MCT oil increased serum ketone bodies and improved memory, while intake of placebo did not show improvement in any of the cognitive measures tested. Conclusions: Consumption of 56. g/day of MCTs for 24. weeks increases serum ketone concentrations and appears to be a candidate for larger randomized control trials in the future that quantify the modulation of cognitive function through supplementation with ketone precursors, in patients with MCI.","author":[{"dropping-particle":"","family":"Rebello","given":"Candida J.","non-dropping-particle":"","parse-names":false,"suffix":""},{"dropping-particle":"","family":"Keller","given":"Jeffrey N.","non-dropping-particle":"","parse-names":false,"suffix":""},{"dropping-particle":"","family":"Liu","given":"Ann G.","non-dropping-particle":"","parse-names":false,"suffix":""},{"dropping-particle":"","family":"Johnson","given":"William D.","non-dropping-particle":"","parse-names":false,"suffix":""},{"dropping-particle":"","family":"Greenway","given":"Frank L.","non-dropping-particle":"","parse-names":false,"suffix":""}],"container-title":"BBA Clinical","id":"ITEM-5","issue":"1","issued":{"date-parts":[["2015"]]},"page":"123-125","publisher":"The Authors","title":"Pilot feasibility and safety study examining the effect of medium chain triglyceride supplementation in subjects with mild cognitive impairment: A randomized controlled trial","type":"article-journal","volume":"3"},"uris":["http://www.mendeley.com/documents/?uuid=ae13fe39-3692-4e28-8c49-5fb1e64b902a"]},{"id":"ITEM-6","itemData":{"DOI":"10.1007/s00213-016-4414-7","ISSN":"14322072","abstract":"Rationale: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-6","issue":"21-22","issued":{"date-parts":[["2016"]]},"page":"3797-3802","title":"Effect of a ketogenic meal on cognitive function in elderly adults: potential for cognitive enhancement","type":"article-journal","volume":"233"},"uris":["http://www.mendeley.com/documents/?uuid=4a363d34-c365-4e1e-a324-588cd4934b25"]},{"id":"ITEM-7","itemData":{"DOI":"10.1016/j.neulet.2018.10.048","ISSN":"18727972","abstract":"Clinical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Letters","id":"ITEM-7","issue":"October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30]","plainTextFormattedCitation":"[21,25–30]","previouslyFormattedCitation":"[21,25–30]"},"properties":{"noteIndex":0},"schema":"https://github.com/citation-style-language/schema/raw/master/csl-citation.json"}</w:instrText>
      </w:r>
      <w:r w:rsidR="00417872" w:rsidRPr="00366A0F">
        <w:rPr>
          <w:rFonts w:eastAsia="Times New Roman"/>
        </w:rPr>
        <w:fldChar w:fldCharType="separate"/>
      </w:r>
      <w:r w:rsidR="00FD5371" w:rsidRPr="00FD5371">
        <w:rPr>
          <w:rFonts w:eastAsia="Times New Roman"/>
          <w:noProof/>
        </w:rPr>
        <w:t>[21,25–30]</w:t>
      </w:r>
      <w:r w:rsidR="00417872" w:rsidRPr="00366A0F">
        <w:rPr>
          <w:rFonts w:eastAsia="Times New Roman"/>
        </w:rPr>
        <w:fldChar w:fldCharType="end"/>
      </w:r>
      <w:r w:rsidR="00417872" w:rsidRPr="00366A0F">
        <w:rPr>
          <w:rFonts w:eastAsia="Times New Roman"/>
        </w:rPr>
        <w:t>,</w:t>
      </w:r>
      <w:r w:rsidR="00887A8C" w:rsidRPr="00366A0F">
        <w:rPr>
          <w:rFonts w:eastAsia="Times New Roman"/>
        </w:rPr>
        <w:t xml:space="preserve"> we predicted there to be improvements </w:t>
      </w:r>
      <w:r w:rsidR="00B728CD" w:rsidRPr="00366A0F">
        <w:rPr>
          <w:rFonts w:eastAsia="Times New Roman"/>
        </w:rPr>
        <w:t>with</w:t>
      </w:r>
      <w:r w:rsidR="00887A8C" w:rsidRPr="00366A0F">
        <w:rPr>
          <w:rFonts w:eastAsia="Times New Roman"/>
        </w:rPr>
        <w:t xml:space="preserve">in at least </w:t>
      </w:r>
      <w:r w:rsidR="00417872" w:rsidRPr="00366A0F">
        <w:rPr>
          <w:rFonts w:eastAsia="Times New Roman"/>
        </w:rPr>
        <w:t xml:space="preserve">some of the </w:t>
      </w:r>
      <w:r w:rsidR="00ED2280" w:rsidRPr="00366A0F">
        <w:rPr>
          <w:rFonts w:eastAsia="Times New Roman"/>
        </w:rPr>
        <w:t>tasks, most likely in the trail making and memory span tasks</w:t>
      </w:r>
      <w:r w:rsidRPr="00366A0F">
        <w:rPr>
          <w:rFonts w:eastAsia="Times New Roman"/>
        </w:rPr>
        <w:t xml:space="preserve">, as demonstrated by Ota </w:t>
      </w:r>
      <w:r w:rsidRPr="00903524">
        <w:rPr>
          <w:rFonts w:eastAsia="Times New Roman"/>
          <w:i/>
          <w:iCs/>
        </w:rPr>
        <w:t xml:space="preserve">et al. </w:t>
      </w:r>
      <w:r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enhancement","type":"article-journal","volume":"233"},"uris":["http://www.mendeley.com/documents/?uuid=4a363d34-c365-4e1e-a324-588cd4934b25"]},{"id":"ITEM-2","itemData":{"DOI":"10.1016/j.neulet.2018.10.048","ISSN":"18727972","abstract":"Clinical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Letters","id":"ITEM-2","issue":"October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[21,26]","plainTextFormattedCitation":"[21,26]","previouslyFormattedCitation":"[21,26]"},"properties":{"noteIndex":0},"schema":"https://github.com/citation-style-language/schema/raw/master/csl-citation.json"}</w:instrText>
      </w:r>
      <w:r w:rsidRPr="00366A0F">
        <w:rPr>
          <w:rFonts w:eastAsia="Times New Roman"/>
        </w:rPr>
        <w:fldChar w:fldCharType="separate"/>
      </w:r>
      <w:r w:rsidR="00FD5371" w:rsidRPr="00FD5371">
        <w:rPr>
          <w:rFonts w:eastAsia="Times New Roman"/>
          <w:noProof/>
        </w:rPr>
        <w:t>[21,26]</w:t>
      </w:r>
      <w:r w:rsidRPr="00366A0F">
        <w:rPr>
          <w:rFonts w:eastAsia="Times New Roman"/>
        </w:rPr>
        <w:fldChar w:fldCharType="end"/>
      </w:r>
      <w:r w:rsidRPr="00366A0F">
        <w:rPr>
          <w:rFonts w:eastAsia="Times New Roman"/>
        </w:rPr>
        <w:t>.</w:t>
      </w:r>
      <w:r w:rsidR="0092488E" w:rsidRPr="00366A0F">
        <w:rPr>
          <w:rFonts w:eastAsia="Times New Roman"/>
        </w:rPr>
        <w:t xml:space="preserve"> This study has the secondary aim of establishing the minimum effective dose of this unique MCT composition during a 4-week period of supplementation.</w:t>
      </w:r>
    </w:p>
    <w:p w14:paraId="45A56F50" w14:textId="3CC85FDD" w:rsidR="009B681C" w:rsidRPr="00366A0F" w:rsidRDefault="0092488E" w:rsidP="00D0071C">
      <w:pPr>
        <w:spacing w:line="360" w:lineRule="auto"/>
        <w:jc w:val="both"/>
        <w:rPr>
          <w:rFonts w:eastAsia="Times New Roman"/>
        </w:rPr>
      </w:pPr>
      <w:r w:rsidRPr="00366A0F" w:rsidDel="00417872">
        <w:rPr>
          <w:rFonts w:eastAsia="Times New Roman"/>
        </w:rPr>
        <w:t xml:space="preserve"> </w:t>
      </w:r>
    </w:p>
    <w:p w14:paraId="52A1315E" w14:textId="00FEAFA8" w:rsidR="00D14A08" w:rsidRPr="00366A0F" w:rsidRDefault="00741761" w:rsidP="00073222">
      <w:pPr>
        <w:spacing w:line="360" w:lineRule="auto"/>
        <w:jc w:val="both"/>
        <w:rPr>
          <w:rFonts w:eastAsia="Times New Roman"/>
          <w:b/>
        </w:rPr>
      </w:pPr>
      <w:r w:rsidRPr="00366A0F">
        <w:rPr>
          <w:rFonts w:eastAsia="Times New Roman"/>
          <w:b/>
        </w:rPr>
        <w:t>Methods</w:t>
      </w:r>
    </w:p>
    <w:p w14:paraId="73C383FB" w14:textId="77777777" w:rsidR="00073222" w:rsidRPr="00366A0F" w:rsidRDefault="00073222" w:rsidP="00073222">
      <w:pPr>
        <w:spacing w:line="360" w:lineRule="auto"/>
        <w:jc w:val="both"/>
        <w:rPr>
          <w:rFonts w:eastAsia="Times New Roman"/>
          <w:b/>
        </w:rPr>
      </w:pPr>
    </w:p>
    <w:p w14:paraId="0CEFC588" w14:textId="3FA33B73" w:rsidR="00D14A08" w:rsidRPr="00366A0F" w:rsidRDefault="009B6B56" w:rsidP="00073222">
      <w:pPr>
        <w:spacing w:line="360" w:lineRule="auto"/>
        <w:jc w:val="both"/>
        <w:rPr>
          <w:rFonts w:eastAsia="Times New Roman"/>
          <w:i/>
        </w:rPr>
      </w:pPr>
      <w:r w:rsidRPr="00366A0F">
        <w:rPr>
          <w:rFonts w:eastAsia="Times New Roman"/>
          <w:i/>
        </w:rPr>
        <w:t>Participants</w:t>
      </w:r>
    </w:p>
    <w:p w14:paraId="6579B8D6" w14:textId="731998C7" w:rsidR="00D14A08" w:rsidRPr="00366A0F" w:rsidRDefault="00741761" w:rsidP="00073222">
      <w:pPr>
        <w:spacing w:line="360" w:lineRule="auto"/>
        <w:jc w:val="both"/>
        <w:rPr>
          <w:rFonts w:eastAsia="Times New Roman"/>
        </w:rPr>
      </w:pPr>
      <w:r w:rsidRPr="00366A0F">
        <w:rPr>
          <w:rFonts w:eastAsia="Times New Roman"/>
        </w:rPr>
        <w:t xml:space="preserve">30 </w:t>
      </w:r>
      <w:r w:rsidR="00F326F9" w:rsidRPr="00366A0F">
        <w:rPr>
          <w:rFonts w:eastAsia="Times New Roman"/>
        </w:rPr>
        <w:t>university</w:t>
      </w:r>
      <w:r w:rsidR="003B67BA" w:rsidRPr="00366A0F">
        <w:rPr>
          <w:rFonts w:eastAsia="Times New Roman"/>
        </w:rPr>
        <w:t xml:space="preserve"> students </w:t>
      </w:r>
      <w:r w:rsidRPr="00366A0F">
        <w:rPr>
          <w:rFonts w:eastAsia="Times New Roman"/>
        </w:rPr>
        <w:t>(</w:t>
      </w:r>
      <w:bookmarkStart w:id="2" w:name="_Hlk46844105"/>
      <w:r w:rsidRPr="00366A0F">
        <w:rPr>
          <w:rFonts w:eastAsia="Times New Roman"/>
        </w:rPr>
        <w:t>19.7 ± 1.5 years</w:t>
      </w:r>
      <w:r w:rsidR="00B83E65" w:rsidRPr="00366A0F">
        <w:rPr>
          <w:rFonts w:eastAsia="Times New Roman"/>
        </w:rPr>
        <w:t xml:space="preserve">, </w:t>
      </w:r>
      <w:r w:rsidR="0097178D" w:rsidRPr="00366A0F">
        <w:rPr>
          <w:rFonts w:eastAsia="Times New Roman"/>
        </w:rPr>
        <w:t>16 males and 14 females</w:t>
      </w:r>
      <w:r w:rsidRPr="00366A0F">
        <w:rPr>
          <w:rFonts w:eastAsia="Times New Roman"/>
        </w:rPr>
        <w:t xml:space="preserve">) </w:t>
      </w:r>
      <w:bookmarkEnd w:id="2"/>
      <w:r w:rsidRPr="00366A0F">
        <w:rPr>
          <w:rFonts w:eastAsia="Times New Roman"/>
        </w:rPr>
        <w:t xml:space="preserve">volunteered for the present study. Participants were all clear of any neurological </w:t>
      </w:r>
      <w:r w:rsidR="0000001E" w:rsidRPr="00366A0F">
        <w:rPr>
          <w:rFonts w:eastAsia="Times New Roman"/>
        </w:rPr>
        <w:t>and health impairments and</w:t>
      </w:r>
      <w:r w:rsidRPr="00366A0F">
        <w:rPr>
          <w:rFonts w:eastAsia="Times New Roman"/>
        </w:rPr>
        <w:t xml:space="preserve"> had not partaken in any cognitively</w:t>
      </w:r>
      <w:r w:rsidR="00B53B5A" w:rsidRPr="00366A0F">
        <w:rPr>
          <w:rFonts w:eastAsia="Times New Roman"/>
        </w:rPr>
        <w:t xml:space="preserve"> demanding</w:t>
      </w:r>
      <w:r w:rsidRPr="00366A0F">
        <w:rPr>
          <w:rFonts w:eastAsia="Times New Roman"/>
        </w:rPr>
        <w:t xml:space="preserve"> tasks </w:t>
      </w:r>
      <w:r w:rsidR="0000001E" w:rsidRPr="00366A0F">
        <w:rPr>
          <w:rFonts w:eastAsia="Times New Roman"/>
        </w:rPr>
        <w:t xml:space="preserve">for </w:t>
      </w:r>
      <w:r w:rsidR="00B53B5A" w:rsidRPr="00366A0F">
        <w:rPr>
          <w:rFonts w:eastAsia="Times New Roman"/>
        </w:rPr>
        <w:t xml:space="preserve">at least </w:t>
      </w:r>
      <w:r w:rsidRPr="00366A0F">
        <w:rPr>
          <w:rFonts w:eastAsia="Times New Roman"/>
        </w:rPr>
        <w:t>12 hours prior to</w:t>
      </w:r>
      <w:r w:rsidR="0000001E" w:rsidRPr="00366A0F">
        <w:rPr>
          <w:rFonts w:eastAsia="Times New Roman"/>
        </w:rPr>
        <w:t xml:space="preserve"> each</w:t>
      </w:r>
      <w:r w:rsidRPr="00366A0F">
        <w:rPr>
          <w:rFonts w:eastAsia="Times New Roman"/>
        </w:rPr>
        <w:t xml:space="preserve"> testing </w:t>
      </w:r>
      <w:r w:rsidR="00B53B5A" w:rsidRPr="00366A0F">
        <w:rPr>
          <w:rFonts w:eastAsia="Times New Roman"/>
        </w:rPr>
        <w:t>session</w:t>
      </w:r>
      <w:r w:rsidRPr="00366A0F">
        <w:rPr>
          <w:rFonts w:eastAsia="Times New Roman"/>
        </w:rPr>
        <w:t xml:space="preserve">. The study was approved by the local </w:t>
      </w:r>
      <w:r w:rsidR="00F326F9" w:rsidRPr="00366A0F">
        <w:rPr>
          <w:rFonts w:eastAsia="Times New Roman"/>
        </w:rPr>
        <w:t>r</w:t>
      </w:r>
      <w:r w:rsidRPr="00366A0F">
        <w:rPr>
          <w:rFonts w:eastAsia="Times New Roman"/>
        </w:rPr>
        <w:t xml:space="preserve">esearch </w:t>
      </w:r>
      <w:r w:rsidR="00F326F9" w:rsidRPr="00366A0F">
        <w:rPr>
          <w:rFonts w:eastAsia="Times New Roman"/>
        </w:rPr>
        <w:t>e</w:t>
      </w:r>
      <w:r w:rsidRPr="00366A0F">
        <w:rPr>
          <w:rFonts w:eastAsia="Times New Roman"/>
        </w:rPr>
        <w:t xml:space="preserve">thics </w:t>
      </w:r>
      <w:r w:rsidR="00F326F9" w:rsidRPr="00366A0F">
        <w:rPr>
          <w:rFonts w:eastAsia="Times New Roman"/>
        </w:rPr>
        <w:t>c</w:t>
      </w:r>
      <w:r w:rsidRPr="00366A0F">
        <w:rPr>
          <w:rFonts w:eastAsia="Times New Roman"/>
        </w:rPr>
        <w:t>ommittee</w:t>
      </w:r>
      <w:r w:rsidR="009D69E1" w:rsidRPr="00366A0F">
        <w:rPr>
          <w:rFonts w:eastAsia="Times New Roman"/>
        </w:rPr>
        <w:t xml:space="preserve"> (approval number: </w:t>
      </w:r>
      <w:r w:rsidR="009D69E1" w:rsidRPr="00366A0F">
        <w:t>S 22-11-19 PA 053)</w:t>
      </w:r>
      <w:r w:rsidR="00F01D33" w:rsidRPr="00366A0F">
        <w:rPr>
          <w:rFonts w:eastAsia="Times New Roman"/>
        </w:rPr>
        <w:t xml:space="preserve"> </w:t>
      </w:r>
      <w:r w:rsidRPr="00366A0F">
        <w:rPr>
          <w:rFonts w:eastAsia="Times New Roman"/>
        </w:rPr>
        <w:t>and designed and conducted in accordance with the Declaration of Helsinki (2013).</w:t>
      </w:r>
    </w:p>
    <w:p w14:paraId="7F140A7B" w14:textId="4C7ED055" w:rsidR="00073222" w:rsidRPr="00366A0F" w:rsidRDefault="00073222" w:rsidP="00073222">
      <w:pPr>
        <w:spacing w:line="360" w:lineRule="auto"/>
        <w:jc w:val="both"/>
        <w:rPr>
          <w:rFonts w:eastAsia="Times New Roman"/>
        </w:rPr>
      </w:pPr>
    </w:p>
    <w:p w14:paraId="380B3A80" w14:textId="77777777" w:rsidR="00F326F9" w:rsidRPr="00366A0F" w:rsidRDefault="00F326F9" w:rsidP="00073222">
      <w:pPr>
        <w:spacing w:line="360" w:lineRule="auto"/>
        <w:jc w:val="both"/>
        <w:rPr>
          <w:rFonts w:eastAsia="Times New Roman"/>
        </w:rPr>
      </w:pPr>
    </w:p>
    <w:p w14:paraId="09B4E00F" w14:textId="77777777" w:rsidR="00D14A08" w:rsidRPr="00366A0F" w:rsidRDefault="00741761" w:rsidP="00073222">
      <w:pPr>
        <w:spacing w:line="360" w:lineRule="auto"/>
        <w:jc w:val="both"/>
        <w:rPr>
          <w:rFonts w:eastAsia="Times New Roman"/>
          <w:i/>
        </w:rPr>
      </w:pPr>
      <w:r w:rsidRPr="00366A0F">
        <w:rPr>
          <w:rFonts w:eastAsia="Times New Roman"/>
          <w:i/>
        </w:rPr>
        <w:t>Experimental Procedure</w:t>
      </w:r>
    </w:p>
    <w:p w14:paraId="7B044BA7" w14:textId="6A3E7DA2" w:rsidR="00D14A08" w:rsidRPr="00366A0F" w:rsidRDefault="00741761" w:rsidP="00073222">
      <w:pPr>
        <w:spacing w:line="360" w:lineRule="auto"/>
        <w:jc w:val="both"/>
        <w:rPr>
          <w:rFonts w:eastAsia="Times New Roman"/>
        </w:rPr>
      </w:pPr>
      <w:r w:rsidRPr="00366A0F">
        <w:rPr>
          <w:rFonts w:eastAsia="Times New Roman"/>
        </w:rPr>
        <w:t>The study followed a repeated</w:t>
      </w:r>
      <w:r w:rsidR="00046546" w:rsidRPr="00366A0F">
        <w:rPr>
          <w:rFonts w:eastAsia="Times New Roman"/>
        </w:rPr>
        <w:t>-</w:t>
      </w:r>
      <w:r w:rsidRPr="00366A0F">
        <w:rPr>
          <w:rFonts w:eastAsia="Times New Roman"/>
        </w:rPr>
        <w:t>measures, single</w:t>
      </w:r>
      <w:r w:rsidR="00B53B5A" w:rsidRPr="00366A0F">
        <w:rPr>
          <w:rFonts w:eastAsia="Times New Roman"/>
        </w:rPr>
        <w:t>-</w:t>
      </w:r>
      <w:r w:rsidRPr="00366A0F">
        <w:rPr>
          <w:rFonts w:eastAsia="Times New Roman"/>
        </w:rPr>
        <w:t xml:space="preserve">blind design involving </w:t>
      </w:r>
      <w:r w:rsidR="00150B98" w:rsidRPr="00366A0F">
        <w:rPr>
          <w:rFonts w:eastAsia="Times New Roman"/>
        </w:rPr>
        <w:t xml:space="preserve">a single </w:t>
      </w:r>
      <w:r w:rsidR="000376E3" w:rsidRPr="00366A0F">
        <w:rPr>
          <w:rFonts w:eastAsia="Times New Roman"/>
        </w:rPr>
        <w:t>w</w:t>
      </w:r>
      <w:r w:rsidR="00150B98" w:rsidRPr="00366A0F">
        <w:rPr>
          <w:rFonts w:eastAsia="Times New Roman"/>
        </w:rPr>
        <w:t>eekly</w:t>
      </w:r>
      <w:r w:rsidRPr="00366A0F">
        <w:rPr>
          <w:rFonts w:eastAsia="Times New Roman"/>
        </w:rPr>
        <w:t xml:space="preserve"> visit to the laboratory at the exact same time for 5 consecutive </w:t>
      </w:r>
      <w:r w:rsidR="000376E3" w:rsidRPr="00366A0F">
        <w:rPr>
          <w:rFonts w:eastAsia="Times New Roman"/>
        </w:rPr>
        <w:t>w</w:t>
      </w:r>
      <w:r w:rsidRPr="00366A0F">
        <w:rPr>
          <w:rFonts w:eastAsia="Times New Roman"/>
        </w:rPr>
        <w:t xml:space="preserve">eeks. </w:t>
      </w:r>
      <w:r w:rsidR="00150B98" w:rsidRPr="00366A0F">
        <w:rPr>
          <w:rFonts w:eastAsia="Times New Roman"/>
        </w:rPr>
        <w:t>After a 12h overnight fast, p</w:t>
      </w:r>
      <w:r w:rsidRPr="00366A0F">
        <w:rPr>
          <w:rFonts w:eastAsia="Times New Roman"/>
        </w:rPr>
        <w:t xml:space="preserve">articipants undertook </w:t>
      </w:r>
      <w:r w:rsidR="00150B98" w:rsidRPr="00016E04">
        <w:rPr>
          <w:rFonts w:eastAsia="Times New Roman"/>
          <w:color w:val="000000" w:themeColor="text1"/>
        </w:rPr>
        <w:t xml:space="preserve">a single </w:t>
      </w:r>
      <w:r w:rsidRPr="00016E04">
        <w:rPr>
          <w:rFonts w:eastAsia="Times New Roman"/>
          <w:color w:val="000000" w:themeColor="text1"/>
        </w:rPr>
        <w:t xml:space="preserve">battery of cognitive tests at each visit, </w:t>
      </w:r>
      <w:r w:rsidR="00B53B5A" w:rsidRPr="00016E04">
        <w:rPr>
          <w:rFonts w:eastAsia="Times New Roman"/>
          <w:color w:val="000000" w:themeColor="text1"/>
        </w:rPr>
        <w:t xml:space="preserve">which lasted </w:t>
      </w:r>
      <w:r w:rsidRPr="00016E04">
        <w:rPr>
          <w:rFonts w:eastAsia="Times New Roman"/>
          <w:color w:val="000000" w:themeColor="text1"/>
        </w:rPr>
        <w:t xml:space="preserve">&lt; 30 </w:t>
      </w:r>
      <w:r w:rsidR="00B53B5A" w:rsidRPr="00016E04">
        <w:rPr>
          <w:rFonts w:eastAsia="Times New Roman"/>
          <w:color w:val="000000" w:themeColor="text1"/>
        </w:rPr>
        <w:t>mins</w:t>
      </w:r>
      <w:r w:rsidR="00B83E65" w:rsidRPr="00016E04">
        <w:rPr>
          <w:rFonts w:eastAsia="Times New Roman"/>
          <w:color w:val="000000" w:themeColor="text1"/>
        </w:rPr>
        <w:t>.</w:t>
      </w:r>
      <w:r w:rsidRPr="00016E04">
        <w:rPr>
          <w:rFonts w:eastAsia="Times New Roman"/>
          <w:color w:val="000000" w:themeColor="text1"/>
        </w:rPr>
        <w:t xml:space="preserve"> Baseline measurements were taken </w:t>
      </w:r>
      <w:r w:rsidR="00AD0B55" w:rsidRPr="00016E04">
        <w:rPr>
          <w:rFonts w:eastAsia="Times New Roman"/>
          <w:color w:val="000000" w:themeColor="text1"/>
        </w:rPr>
        <w:t xml:space="preserve">before the participants had </w:t>
      </w:r>
      <w:r w:rsidR="004476AF" w:rsidRPr="00016E04">
        <w:rPr>
          <w:rFonts w:eastAsia="Times New Roman"/>
          <w:color w:val="000000" w:themeColor="text1"/>
        </w:rPr>
        <w:t>started their supplementation period</w:t>
      </w:r>
      <w:r w:rsidR="00AD0B55" w:rsidRPr="00016E04">
        <w:rPr>
          <w:rFonts w:eastAsia="Times New Roman"/>
          <w:color w:val="000000" w:themeColor="text1"/>
        </w:rPr>
        <w:t xml:space="preserve"> </w:t>
      </w:r>
      <w:r w:rsidRPr="00016E04">
        <w:rPr>
          <w:rFonts w:eastAsia="Times New Roman"/>
          <w:color w:val="000000" w:themeColor="text1"/>
        </w:rPr>
        <w:t>due to the fact that it takes a number of days before C</w:t>
      </w:r>
      <w:r w:rsidRPr="00016E04">
        <w:rPr>
          <w:rFonts w:eastAsia="Times New Roman"/>
          <w:color w:val="000000" w:themeColor="text1"/>
          <w:vertAlign w:val="subscript"/>
        </w:rPr>
        <w:t>10</w:t>
      </w:r>
      <w:r w:rsidRPr="00016E04">
        <w:rPr>
          <w:rFonts w:eastAsia="Times New Roman"/>
          <w:color w:val="000000" w:themeColor="text1"/>
        </w:rPr>
        <w:t xml:space="preserve"> has a significant effect upon mitochondrial function </w:t>
      </w:r>
      <w:r w:rsidR="005E1F85"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Neurochemistry","id":"ITEM-1","issue":"3","issued":{"date-parts":[["2014"]]},"page":"426-433","title":"The ketogenic diet component decanoic acid increases mitochondrial citrate synthase and complex I activity in neuronal cells","type":"article-journal","volume":"129"},"uris":["http://www.mendeley.com/documents/?uuid=b95b6a43-6c7c-4658-8a9f-0f2f77f24383","http://www.mendeley.com/documents/?uuid=d2dfaa22-13c8-4ea8-928d-81c8228371e5"]}],"mendeley":{"formattedCitation":"[37]","plainTextFormattedCitation":"[37]","previouslyFormattedCitation":"[37]"},"properties":{"noteIndex":0},"schema":"https://github.com/citation-style-language/schema/raw/master/csl-citation.json"}</w:instrText>
      </w:r>
      <w:r w:rsidR="005E1F85" w:rsidRPr="00016E04">
        <w:rPr>
          <w:rFonts w:eastAsia="Times New Roman"/>
          <w:color w:val="000000" w:themeColor="text1"/>
        </w:rPr>
        <w:fldChar w:fldCharType="separate"/>
      </w:r>
      <w:r w:rsidR="00FD5371" w:rsidRPr="00016E04">
        <w:rPr>
          <w:rFonts w:eastAsia="Times New Roman"/>
          <w:noProof/>
          <w:color w:val="000000" w:themeColor="text1"/>
        </w:rPr>
        <w:t>[37]</w:t>
      </w:r>
      <w:r w:rsidR="005E1F85" w:rsidRPr="00016E04">
        <w:rPr>
          <w:rFonts w:eastAsia="Times New Roman"/>
          <w:color w:val="000000" w:themeColor="text1"/>
        </w:rPr>
        <w:fldChar w:fldCharType="end"/>
      </w:r>
      <w:r w:rsidR="00541DEE" w:rsidRPr="00016E04">
        <w:rPr>
          <w:rFonts w:eastAsia="Times New Roman"/>
          <w:color w:val="000000" w:themeColor="text1"/>
        </w:rPr>
        <w:t>,</w:t>
      </w:r>
      <w:r w:rsidR="005E1F85" w:rsidRPr="00016E04">
        <w:rPr>
          <w:rFonts w:eastAsia="Times New Roman"/>
          <w:color w:val="000000" w:themeColor="text1"/>
        </w:rPr>
        <w:t xml:space="preserve"> </w:t>
      </w:r>
      <w:r w:rsidR="00B83E65" w:rsidRPr="00016E04">
        <w:rPr>
          <w:rFonts w:eastAsia="Times New Roman"/>
          <w:color w:val="000000" w:themeColor="text1"/>
        </w:rPr>
        <w:t xml:space="preserve">and up to 72h for ketones to be metabolised in the brain of nondiabetic individuals </w:t>
      </w:r>
      <w:r w:rsidR="005E1F85"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{"citationItems":[{"id":"ITEM-1","itemData":{"DOI":"10.1097/00004647-200010000-00012","ISSN":"0271678X","PMID":"11043913","abstract":"Ketones are known to constitute an important fraction of fuel for consumption by the brain, with brain ketone content generally thought to be low. However, the recent observation of 1-mmol/L levels of brain β-hydroxybutyrate (BHB) in children on the ketogenic diet suggests otherwise. The authors report the measurement of brain BHB and lactate in the occipital lobe of healthy adults using high field (4-T) magnetic resonance spectroscopy, measured in the nonfasted state and after 2- and 3-day fasting-induced ketosis. A 9-mL voxel located in the calcarine fissure was studied, detecting the BHB and lactate upfield resonances using a 1H homonuclear editing sequence. Plasma BHB levels also were measured. The mean brain BHB concentration increased from a nonfasted level of 0.05 ± 0.05 to 0.60 ± 0.26 mmol/L (after second day of fasting), increasing further to 0.98 ± 0.16 mmol/L (after the third day of fasting). The mean nonfasted brain lactate was 0.69 ± 0.17 mmol/L, increasing to 1.47 ± 0.22 mmol/L after the third day. The plasma and brain BHB levels correlated well (r = 0.86) with a brain-plasma slope of 0.26. These data show that brain BHB rises significantly with 2- and 3-day fasting-induced ketosis. The lactate increase likely results from ketones displacing lactate oxidation without altering glucose phosphorylation and glycolysis.","author":[{"dropping-particle":"","family":"Pan","given":"Jullie W.","non-dropping-particle":"","parse-names":false,"suffix":""},{"dropping-particle":"","family":"Rothman","given":"Douglas L.","non-dropping-particle":"","parse-names":false,"suffix":""},{"dropping-particle":"","family":"Behar","given":"Kevin L.","non-dropping-particle":"","parse-names":false,"suffix":""},{"dropping-particle":"","family":"Stein","given":"Daniel T.","non-dropping-particle":"","parse-names":false,"suffix":""},{"dropping-particle":"","family":"Hetherington","given":"Hoby P.","non-dropping-particle":"","parse-names":false,"suffix":""}],"container-title":"Journal of Cerebral Blood Flow and Metabolism","id":"ITEM-1","issue":"10","issued":{"date-parts":[["2000"]]},"page":"1502-1507","title":"Human brain β-hydroxybutyrate and lactate increase in fasting-induced ketosis","type":"article-journal","volume":"20"},"uris":["http://www.mendeley.com/documents/?uuid=6cdb2554-c235-4d09-9d77-f8270640021b","http://www.mendeley.com/documents/?uuid=e8fef78e-9979-482f-848c-f132a6f259b0"]}],"mendeley":{"formattedCitation":"[41]","plainTextFormattedCitation":"[41]","previouslyFormattedCitation":"[41]"},"properties":{"noteIndex":0},"schema":"https://github.com/citation-style-language/schema/raw/master/csl-citation.json"}</w:instrText>
      </w:r>
      <w:r w:rsidR="005E1F85" w:rsidRPr="00016E04">
        <w:rPr>
          <w:rFonts w:eastAsia="Times New Roman"/>
          <w:color w:val="000000" w:themeColor="text1"/>
        </w:rPr>
        <w:fldChar w:fldCharType="separate"/>
      </w:r>
      <w:r w:rsidR="00FD5371" w:rsidRPr="00016E04">
        <w:rPr>
          <w:rFonts w:eastAsia="Times New Roman"/>
          <w:noProof/>
          <w:color w:val="000000" w:themeColor="text1"/>
        </w:rPr>
        <w:t>[41]</w:t>
      </w:r>
      <w:r w:rsidR="005E1F85" w:rsidRPr="00016E04">
        <w:rPr>
          <w:rFonts w:eastAsia="Times New Roman"/>
          <w:color w:val="000000" w:themeColor="text1"/>
        </w:rPr>
        <w:fldChar w:fldCharType="end"/>
      </w:r>
      <w:r w:rsidR="009D3AAE" w:rsidRPr="00016E04">
        <w:rPr>
          <w:rFonts w:eastAsia="Times New Roman"/>
          <w:color w:val="000000" w:themeColor="text1"/>
        </w:rPr>
        <w:t xml:space="preserve">. </w:t>
      </w:r>
      <w:r w:rsidR="00AD0B55" w:rsidRPr="00016E04">
        <w:rPr>
          <w:rFonts w:eastAsia="Times New Roman"/>
          <w:color w:val="000000" w:themeColor="text1"/>
        </w:rPr>
        <w:t>E</w:t>
      </w:r>
      <w:r w:rsidR="00541DEE" w:rsidRPr="00016E04">
        <w:rPr>
          <w:rFonts w:eastAsia="Times New Roman"/>
          <w:color w:val="000000" w:themeColor="text1"/>
        </w:rPr>
        <w:t xml:space="preserve">ach </w:t>
      </w:r>
      <w:r w:rsidR="00AD0B55" w:rsidRPr="00016E04">
        <w:rPr>
          <w:rFonts w:eastAsia="Times New Roman"/>
          <w:color w:val="000000" w:themeColor="text1"/>
        </w:rPr>
        <w:t xml:space="preserve">successive </w:t>
      </w:r>
      <w:r w:rsidRPr="00016E04">
        <w:rPr>
          <w:rFonts w:eastAsia="Times New Roman"/>
          <w:color w:val="000000" w:themeColor="text1"/>
        </w:rPr>
        <w:t>round of testing t</w:t>
      </w:r>
      <w:r w:rsidR="00AD0B55" w:rsidRPr="00016E04">
        <w:rPr>
          <w:rFonts w:eastAsia="Times New Roman"/>
          <w:color w:val="000000" w:themeColor="text1"/>
        </w:rPr>
        <w:t>ook</w:t>
      </w:r>
      <w:r w:rsidRPr="00016E04">
        <w:rPr>
          <w:rFonts w:eastAsia="Times New Roman"/>
          <w:color w:val="000000" w:themeColor="text1"/>
        </w:rPr>
        <w:t xml:space="preserve"> place after 7 successive days of supplementation</w:t>
      </w:r>
      <w:r w:rsidR="00AD0B55" w:rsidRPr="00016E04">
        <w:rPr>
          <w:rFonts w:eastAsia="Times New Roman"/>
          <w:color w:val="000000" w:themeColor="text1"/>
        </w:rPr>
        <w:t>, with the participants taking an MCT</w:t>
      </w:r>
      <w:r w:rsidR="004476AF" w:rsidRPr="00016E04">
        <w:rPr>
          <w:rFonts w:eastAsia="Times New Roman"/>
          <w:color w:val="000000" w:themeColor="text1"/>
        </w:rPr>
        <w:t>/placebo</w:t>
      </w:r>
      <w:r w:rsidR="00AD0B55" w:rsidRPr="00016E04">
        <w:rPr>
          <w:rFonts w:eastAsia="Times New Roman"/>
          <w:color w:val="000000" w:themeColor="text1"/>
        </w:rPr>
        <w:t xml:space="preserve"> gel </w:t>
      </w:r>
      <w:r w:rsidR="004476AF" w:rsidRPr="00016E04">
        <w:rPr>
          <w:rFonts w:eastAsia="Times New Roman"/>
          <w:color w:val="000000" w:themeColor="text1"/>
        </w:rPr>
        <w:t xml:space="preserve">immediately </w:t>
      </w:r>
      <w:r w:rsidR="00AD0B55" w:rsidRPr="00016E04">
        <w:rPr>
          <w:rFonts w:eastAsia="Times New Roman"/>
          <w:color w:val="000000" w:themeColor="text1"/>
        </w:rPr>
        <w:t>prior to their laboratory visit</w:t>
      </w:r>
      <w:r w:rsidR="004476AF" w:rsidRPr="00016E04">
        <w:rPr>
          <w:rFonts w:eastAsia="Times New Roman"/>
          <w:color w:val="000000" w:themeColor="text1"/>
        </w:rPr>
        <w:t>s</w:t>
      </w:r>
      <w:r w:rsidRPr="00016E04">
        <w:rPr>
          <w:rFonts w:eastAsia="Times New Roman"/>
          <w:color w:val="000000" w:themeColor="text1"/>
        </w:rPr>
        <w:t xml:space="preserve">. Participants took the gels every day for a total of 4 </w:t>
      </w:r>
      <w:r w:rsidR="000376E3" w:rsidRPr="00016E04">
        <w:rPr>
          <w:rFonts w:eastAsia="Times New Roman"/>
          <w:color w:val="000000" w:themeColor="text1"/>
        </w:rPr>
        <w:t>w</w:t>
      </w:r>
      <w:r w:rsidRPr="00016E04">
        <w:rPr>
          <w:rFonts w:eastAsia="Times New Roman"/>
          <w:color w:val="000000" w:themeColor="text1"/>
        </w:rPr>
        <w:t>eeks</w:t>
      </w:r>
      <w:r w:rsidR="002E7E72" w:rsidRPr="00016E04">
        <w:rPr>
          <w:rFonts w:eastAsia="Times New Roman"/>
          <w:color w:val="000000" w:themeColor="text1"/>
        </w:rPr>
        <w:t xml:space="preserve"> to ensure sufficient time for an increase in</w:t>
      </w:r>
      <w:r w:rsidRPr="00016E04">
        <w:rPr>
          <w:rFonts w:eastAsia="Times New Roman"/>
          <w:color w:val="000000" w:themeColor="text1"/>
        </w:rPr>
        <w:t xml:space="preserve"> blood </w:t>
      </w:r>
      <w:r w:rsidRPr="00366A0F">
        <w:rPr>
          <w:rFonts w:eastAsia="Times New Roman"/>
        </w:rPr>
        <w:t xml:space="preserve">plasma ketone bodies (acetoacetate and β-hydroxybutyrate) </w:t>
      </w:r>
      <w:r w:rsidR="005E1F85" w:rsidRPr="00366A0F">
        <w:rPr>
          <w:rFonts w:eastAsia="Times New Roman"/>
        </w:rPr>
        <w:fldChar w:fldCharType="begin" w:fldLock="1"/>
      </w:r>
      <w:r w:rsidR="00616D7D">
        <w:rPr>
          <w:rFonts w:eastAsia="Times New Roman"/>
        </w:rPr>
        <w:instrText>ADDIN CSL_CITATION {"citationItems":[{"id":"ITEM-1","itemData":{"DOI":"10.1016/j.clnu.2019.10.017","ISSN":"15321983","abstract":"Background: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Nutrition","id":"ITEM-1","issue":"xxxx","issued":{"date-parts":[["2019"]]},"publisher":"Elsevier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mendeley":{"formattedCitation":"[28]","plainTextFormattedCitation":"[28]","previouslyFormattedCitation":"[28]"},"properties":{"noteIndex":0},"schema":"https://github.com/citation-style-language/schema/raw/master/csl-citation.json"}</w:instrText>
      </w:r>
      <w:r w:rsidR="005E1F85" w:rsidRPr="00366A0F">
        <w:rPr>
          <w:rFonts w:eastAsia="Times New Roman"/>
        </w:rPr>
        <w:fldChar w:fldCharType="separate"/>
      </w:r>
      <w:r w:rsidR="00FD5371" w:rsidRPr="00FD5371">
        <w:rPr>
          <w:rFonts w:eastAsia="Times New Roman"/>
          <w:noProof/>
        </w:rPr>
        <w:t>[28]</w:t>
      </w:r>
      <w:r w:rsidR="005E1F85" w:rsidRPr="00366A0F">
        <w:rPr>
          <w:rFonts w:eastAsia="Times New Roman"/>
        </w:rPr>
        <w:fldChar w:fldCharType="end"/>
      </w:r>
      <w:r w:rsidR="005E1F85" w:rsidRPr="00366A0F">
        <w:rPr>
          <w:rFonts w:eastAsia="Times New Roman"/>
        </w:rPr>
        <w:t>.</w:t>
      </w:r>
    </w:p>
    <w:p w14:paraId="2282C744" w14:textId="77777777" w:rsidR="00073222" w:rsidRPr="00366A0F" w:rsidRDefault="00073222" w:rsidP="00073222">
      <w:pPr>
        <w:spacing w:line="360" w:lineRule="auto"/>
        <w:jc w:val="both"/>
        <w:rPr>
          <w:rFonts w:eastAsia="Times New Roman"/>
        </w:rPr>
      </w:pPr>
    </w:p>
    <w:p w14:paraId="6ED74C50" w14:textId="3AE2A2B6" w:rsidR="00D14A08" w:rsidRPr="00016E04" w:rsidRDefault="00741761" w:rsidP="00E97AD0">
      <w:pPr>
        <w:spacing w:line="360" w:lineRule="auto"/>
        <w:ind w:firstLine="709"/>
        <w:jc w:val="both"/>
        <w:rPr>
          <w:rFonts w:eastAsia="Times New Roman"/>
          <w:color w:val="000000" w:themeColor="text1"/>
        </w:rPr>
      </w:pPr>
      <w:r w:rsidRPr="00366A0F">
        <w:rPr>
          <w:rFonts w:eastAsia="Times New Roman"/>
        </w:rPr>
        <w:t>Participants were randomly allocated into one of 3 groups</w:t>
      </w:r>
      <w:r w:rsidR="009D69E1" w:rsidRPr="00366A0F">
        <w:rPr>
          <w:rFonts w:eastAsia="Times New Roman"/>
        </w:rPr>
        <w:t xml:space="preserve"> using a </w:t>
      </w:r>
      <w:r w:rsidR="00541DEE" w:rsidRPr="00366A0F">
        <w:rPr>
          <w:rFonts w:eastAsia="Times New Roman"/>
        </w:rPr>
        <w:t xml:space="preserve">random number generator </w:t>
      </w:r>
      <w:r w:rsidR="004B5F25" w:rsidRPr="00366A0F">
        <w:rPr>
          <w:rFonts w:eastAsia="Times New Roman"/>
        </w:rPr>
        <w:t xml:space="preserve">using computer </w:t>
      </w:r>
      <w:r w:rsidR="004B5F25" w:rsidRPr="00016E04">
        <w:rPr>
          <w:rFonts w:eastAsia="Times New Roman"/>
          <w:color w:val="000000" w:themeColor="text1"/>
        </w:rPr>
        <w:t>software</w:t>
      </w:r>
      <w:r w:rsidR="00B83E65" w:rsidRPr="00016E04">
        <w:rPr>
          <w:rFonts w:eastAsia="Times New Roman"/>
          <w:color w:val="000000" w:themeColor="text1"/>
        </w:rPr>
        <w:t xml:space="preserve">, </w:t>
      </w:r>
      <w:r w:rsidR="003D5B2B" w:rsidRPr="00016E04">
        <w:rPr>
          <w:rFonts w:eastAsia="Times New Roman"/>
          <w:color w:val="000000" w:themeColor="text1"/>
        </w:rPr>
        <w:t xml:space="preserve">and </w:t>
      </w:r>
      <w:r w:rsidR="005C2865" w:rsidRPr="00016E04">
        <w:rPr>
          <w:rFonts w:eastAsia="Times New Roman"/>
          <w:color w:val="000000" w:themeColor="text1"/>
        </w:rPr>
        <w:t xml:space="preserve">the groups were </w:t>
      </w:r>
      <w:r w:rsidR="00B83E65" w:rsidRPr="00016E04">
        <w:rPr>
          <w:rFonts w:eastAsia="Times New Roman"/>
          <w:color w:val="000000" w:themeColor="text1"/>
        </w:rPr>
        <w:t>matched for age and gender</w:t>
      </w:r>
      <w:r w:rsidRPr="00016E04">
        <w:rPr>
          <w:rFonts w:eastAsia="Times New Roman"/>
          <w:color w:val="000000" w:themeColor="text1"/>
        </w:rPr>
        <w:t xml:space="preserve">: </w:t>
      </w:r>
      <w:bookmarkStart w:id="3" w:name="_Hlk46844274"/>
      <w:r w:rsidR="00A81439" w:rsidRPr="00016E04">
        <w:rPr>
          <w:rFonts w:eastAsia="Times New Roman"/>
          <w:color w:val="000000" w:themeColor="text1"/>
        </w:rPr>
        <w:t>Placebo</w:t>
      </w:r>
      <w:r w:rsidR="007F1A91" w:rsidRPr="00016E04">
        <w:rPr>
          <w:rFonts w:eastAsia="Times New Roman"/>
          <w:color w:val="000000" w:themeColor="text1"/>
        </w:rPr>
        <w:t xml:space="preserve"> (0g MCT/day)</w:t>
      </w:r>
      <w:r w:rsidR="00A81439" w:rsidRPr="00016E04">
        <w:rPr>
          <w:rFonts w:eastAsia="Times New Roman"/>
          <w:color w:val="000000" w:themeColor="text1"/>
        </w:rPr>
        <w:t>, 12g MCT/day and 18g MCT/day</w:t>
      </w:r>
      <w:bookmarkEnd w:id="3"/>
      <w:r w:rsidR="00A81439" w:rsidRPr="00016E04">
        <w:rPr>
          <w:rFonts w:eastAsia="Times New Roman"/>
          <w:color w:val="000000" w:themeColor="text1"/>
        </w:rPr>
        <w:t>.</w:t>
      </w:r>
      <w:r w:rsidR="007F1A91" w:rsidRPr="00016E04">
        <w:rPr>
          <w:rFonts w:eastAsia="Times New Roman"/>
          <w:color w:val="000000" w:themeColor="text1"/>
        </w:rPr>
        <w:t xml:space="preserve"> The MCT</w:t>
      </w:r>
      <w:r w:rsidR="007F1A91" w:rsidRPr="00366A0F">
        <w:rPr>
          <w:rFonts w:eastAsia="Times New Roman"/>
        </w:rPr>
        <w:t xml:space="preserve"> was provided to participants using a commercially</w:t>
      </w:r>
      <w:r w:rsidR="009B60FA" w:rsidRPr="00366A0F">
        <w:rPr>
          <w:rFonts w:eastAsia="Times New Roman"/>
        </w:rPr>
        <w:t xml:space="preserve"> available </w:t>
      </w:r>
      <w:r w:rsidR="00C00B3A" w:rsidRPr="00366A0F">
        <w:rPr>
          <w:rFonts w:eastAsia="Times New Roman"/>
        </w:rPr>
        <w:t xml:space="preserve">MCT </w:t>
      </w:r>
      <w:r w:rsidR="009B60FA" w:rsidRPr="00366A0F">
        <w:rPr>
          <w:rFonts w:eastAsia="Times New Roman"/>
        </w:rPr>
        <w:t xml:space="preserve">gel (Nuroco, London, UK) that contains </w:t>
      </w:r>
      <w:r w:rsidR="001C00EC" w:rsidRPr="00366A0F">
        <w:rPr>
          <w:rFonts w:eastAsia="Times New Roman"/>
        </w:rPr>
        <w:t xml:space="preserve">59 kcal and </w:t>
      </w:r>
      <w:r w:rsidR="009B60FA" w:rsidRPr="00366A0F">
        <w:rPr>
          <w:rFonts w:eastAsia="Times New Roman"/>
        </w:rPr>
        <w:t>6g of MCT</w:t>
      </w:r>
      <w:r w:rsidR="007F1A91" w:rsidRPr="00366A0F">
        <w:rPr>
          <w:rFonts w:eastAsia="Times New Roman"/>
        </w:rPr>
        <w:t xml:space="preserve"> </w:t>
      </w:r>
      <w:r w:rsidR="009B60FA" w:rsidRPr="00366A0F">
        <w:rPr>
          <w:rFonts w:eastAsia="Times New Roman"/>
        </w:rPr>
        <w:lastRenderedPageBreak/>
        <w:t>with a 30:70 ratio of C</w:t>
      </w:r>
      <w:r w:rsidR="009B60FA" w:rsidRPr="00366A0F">
        <w:rPr>
          <w:rFonts w:eastAsia="Times New Roman"/>
          <w:vertAlign w:val="subscript"/>
        </w:rPr>
        <w:t>8</w:t>
      </w:r>
      <w:r w:rsidR="009B60FA" w:rsidRPr="00366A0F">
        <w:rPr>
          <w:rFonts w:eastAsia="Times New Roman"/>
        </w:rPr>
        <w:t>:C</w:t>
      </w:r>
      <w:r w:rsidR="009B60FA" w:rsidRPr="00366A0F">
        <w:rPr>
          <w:rFonts w:eastAsia="Times New Roman"/>
          <w:vertAlign w:val="subscript"/>
        </w:rPr>
        <w:t>10</w:t>
      </w:r>
      <w:r w:rsidR="009B60FA" w:rsidRPr="00366A0F">
        <w:rPr>
          <w:rFonts w:eastAsia="Times New Roman"/>
        </w:rPr>
        <w:t>.</w:t>
      </w:r>
      <w:r w:rsidR="0092488E" w:rsidRPr="00366A0F">
        <w:rPr>
          <w:rFonts w:eastAsia="Times New Roman"/>
        </w:rPr>
        <w:t xml:space="preserve"> </w:t>
      </w:r>
      <w:r w:rsidR="00A81439" w:rsidRPr="00366A0F">
        <w:rPr>
          <w:rFonts w:eastAsia="Times New Roman"/>
        </w:rPr>
        <w:t xml:space="preserve">In </w:t>
      </w:r>
      <w:r w:rsidRPr="00016E04">
        <w:rPr>
          <w:rFonts w:eastAsia="Times New Roman"/>
          <w:color w:val="000000" w:themeColor="text1"/>
        </w:rPr>
        <w:t xml:space="preserve">order to offset possible </w:t>
      </w:r>
      <w:r w:rsidR="00B83E65" w:rsidRPr="00016E04">
        <w:rPr>
          <w:rFonts w:eastAsia="Times New Roman"/>
          <w:color w:val="000000" w:themeColor="text1"/>
        </w:rPr>
        <w:t xml:space="preserve">unpleasant gastronomical </w:t>
      </w:r>
      <w:r w:rsidRPr="00016E04">
        <w:rPr>
          <w:rFonts w:eastAsia="Times New Roman"/>
          <w:color w:val="000000" w:themeColor="text1"/>
        </w:rPr>
        <w:t xml:space="preserve">issues </w:t>
      </w:r>
      <w:r w:rsidR="006B5A56" w:rsidRPr="00016E04">
        <w:rPr>
          <w:rFonts w:eastAsia="Times New Roman"/>
          <w:color w:val="000000" w:themeColor="text1"/>
        </w:rPr>
        <w:t xml:space="preserve">that </w:t>
      </w:r>
      <w:r w:rsidRPr="00016E04">
        <w:rPr>
          <w:rFonts w:eastAsia="Times New Roman"/>
          <w:color w:val="000000" w:themeColor="text1"/>
        </w:rPr>
        <w:t>aris</w:t>
      </w:r>
      <w:r w:rsidR="006B5A56" w:rsidRPr="00016E04">
        <w:rPr>
          <w:rFonts w:eastAsia="Times New Roman"/>
          <w:color w:val="000000" w:themeColor="text1"/>
        </w:rPr>
        <w:t>e</w:t>
      </w:r>
      <w:r w:rsidRPr="00016E04">
        <w:rPr>
          <w:rFonts w:eastAsia="Times New Roman"/>
          <w:color w:val="000000" w:themeColor="text1"/>
        </w:rPr>
        <w:t xml:space="preserve"> from taking MCTs</w:t>
      </w:r>
      <w:r w:rsidR="006B5A56" w:rsidRPr="00016E04">
        <w:rPr>
          <w:rFonts w:eastAsia="Times New Roman"/>
          <w:color w:val="000000" w:themeColor="text1"/>
        </w:rPr>
        <w:t xml:space="preserve"> </w:t>
      </w:r>
      <w:r w:rsidR="005E1F85"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{"citationItems":[{"id":"ITEM-1","itemData":{"DOI":"10.1111/j.1528-1167.2008.01830.x","ISSN":"00139580","abstract":"The medium-chain triglyceride diet (MCTD) is a variant of the classic 4:1 ketogenic diet (KD) introduced in 1971 by Huttenlocher as an attempt to improve the palatability of the KD by allowing more carbohydrates yet preserving ketosis. Although initially found to be equally effective as the classic KD, use of the MCTD declined because of frequent gastrointestinal side effects such as cramps, diarrhea, and vomiting. Recently, we have used the MCTD in more than 50 patients. We have found excellent seizure control, similar to the classic KD, and with careful monitoring, we have encountered minimal side effects. The MCTD should remain a viable dietary option for children with refractory epilepsy who have large appetites, can tolerate more calories, or cannot accept the restrictions of the classic KD. © 2008 International League Against Epilepsy.","author":[{"dropping-particle":"","family":"Liu","given":"Yeou Mei Christiana","non-dropping-particle":"","parse-names":false,"suffix":""}],"container-title":"Epilepsia","id":"ITEM-1","issue":"SUPPL. 8","issued":{"date-parts":[["2008"]]},"page":"33-36","title":"Medium-chain triglyceride (MCT) ketogenic therapy","type":"article-journal","volume":"49"},"uris":["http://www.mendeley.com/documents/?uuid=a6840c54-fece-4999-bc57-e5f4be6d3600","http://www.mendeley.com/documents/?uuid=3320fee2-fe30-4840-ac37-d1cd2a97737a"]}],"mendeley":{"formattedCitation":"[40]","plainTextFormattedCitation":"[40]","previouslyFormattedCitation":"[40]"},"properties":{"noteIndex":0},"schema":"https://github.com/citation-style-language/schema/raw/master/csl-citation.json"}</w:instrText>
      </w:r>
      <w:r w:rsidR="005E1F85" w:rsidRPr="00016E04">
        <w:rPr>
          <w:rFonts w:eastAsia="Times New Roman"/>
          <w:color w:val="000000" w:themeColor="text1"/>
        </w:rPr>
        <w:fldChar w:fldCharType="separate"/>
      </w:r>
      <w:r w:rsidR="00FD5371" w:rsidRPr="00016E04">
        <w:rPr>
          <w:rFonts w:eastAsia="Times New Roman"/>
          <w:noProof/>
          <w:color w:val="000000" w:themeColor="text1"/>
        </w:rPr>
        <w:t>[40]</w:t>
      </w:r>
      <w:r w:rsidR="005E1F85" w:rsidRPr="00016E04">
        <w:rPr>
          <w:rFonts w:eastAsia="Times New Roman"/>
          <w:color w:val="000000" w:themeColor="text1"/>
        </w:rPr>
        <w:fldChar w:fldCharType="end"/>
      </w:r>
      <w:r w:rsidRPr="00016E04">
        <w:rPr>
          <w:rFonts w:eastAsia="Times New Roman"/>
          <w:color w:val="000000" w:themeColor="text1"/>
        </w:rPr>
        <w:t xml:space="preserve">, the </w:t>
      </w:r>
      <w:r w:rsidR="006B5A56" w:rsidRPr="00016E04">
        <w:rPr>
          <w:rFonts w:eastAsia="Times New Roman"/>
          <w:color w:val="000000" w:themeColor="text1"/>
        </w:rPr>
        <w:t xml:space="preserve">number of </w:t>
      </w:r>
      <w:r w:rsidRPr="00016E04">
        <w:rPr>
          <w:rFonts w:eastAsia="Times New Roman"/>
          <w:color w:val="000000" w:themeColor="text1"/>
        </w:rPr>
        <w:t xml:space="preserve">MCT gels </w:t>
      </w:r>
      <w:r w:rsidR="006B5A56" w:rsidRPr="00016E04">
        <w:rPr>
          <w:rFonts w:eastAsia="Times New Roman"/>
          <w:color w:val="000000" w:themeColor="text1"/>
        </w:rPr>
        <w:t xml:space="preserve">(6g) </w:t>
      </w:r>
      <w:r w:rsidR="00312CC3" w:rsidRPr="00016E04">
        <w:rPr>
          <w:rFonts w:eastAsia="Times New Roman"/>
          <w:color w:val="000000" w:themeColor="text1"/>
        </w:rPr>
        <w:t xml:space="preserve">given to the 12g and 18g groups </w:t>
      </w:r>
      <w:r w:rsidRPr="00016E04">
        <w:rPr>
          <w:rFonts w:eastAsia="Times New Roman"/>
          <w:color w:val="000000" w:themeColor="text1"/>
        </w:rPr>
        <w:t xml:space="preserve">were </w:t>
      </w:r>
      <w:r w:rsidR="00193253" w:rsidRPr="00016E04">
        <w:rPr>
          <w:rFonts w:eastAsia="Times New Roman"/>
          <w:color w:val="000000" w:themeColor="text1"/>
        </w:rPr>
        <w:t>increased incrementally</w:t>
      </w:r>
      <w:r w:rsidR="006B5A56" w:rsidRPr="00016E04">
        <w:rPr>
          <w:rFonts w:eastAsia="Times New Roman"/>
          <w:color w:val="000000" w:themeColor="text1"/>
        </w:rPr>
        <w:t xml:space="preserve"> over the course of the 4-</w:t>
      </w:r>
      <w:r w:rsidR="000376E3" w:rsidRPr="00016E04">
        <w:rPr>
          <w:rFonts w:eastAsia="Times New Roman"/>
          <w:color w:val="000000" w:themeColor="text1"/>
        </w:rPr>
        <w:t>w</w:t>
      </w:r>
      <w:r w:rsidR="006B5A56" w:rsidRPr="00016E04">
        <w:rPr>
          <w:rFonts w:eastAsia="Times New Roman"/>
          <w:color w:val="000000" w:themeColor="text1"/>
        </w:rPr>
        <w:t>eek</w:t>
      </w:r>
      <w:r w:rsidR="00312CC3" w:rsidRPr="00016E04">
        <w:rPr>
          <w:rFonts w:eastAsia="Times New Roman"/>
          <w:color w:val="000000" w:themeColor="text1"/>
        </w:rPr>
        <w:t xml:space="preserve"> period</w:t>
      </w:r>
      <w:r w:rsidR="007F1A91" w:rsidRPr="00016E04">
        <w:rPr>
          <w:rFonts w:eastAsia="Times New Roman"/>
          <w:color w:val="000000" w:themeColor="text1"/>
        </w:rPr>
        <w:t xml:space="preserve"> (Figure </w:t>
      </w:r>
      <w:r w:rsidR="00F66B69" w:rsidRPr="00016E04">
        <w:rPr>
          <w:rFonts w:eastAsia="Times New Roman"/>
          <w:color w:val="000000" w:themeColor="text1"/>
        </w:rPr>
        <w:t>2</w:t>
      </w:r>
      <w:r w:rsidR="007F1A91" w:rsidRPr="00016E04">
        <w:rPr>
          <w:rFonts w:eastAsia="Times New Roman"/>
          <w:color w:val="000000" w:themeColor="text1"/>
        </w:rPr>
        <w:t xml:space="preserve">). </w:t>
      </w:r>
      <w:r w:rsidR="009B60FA" w:rsidRPr="00016E04">
        <w:rPr>
          <w:rFonts w:eastAsia="Times New Roman"/>
          <w:color w:val="000000" w:themeColor="text1"/>
        </w:rPr>
        <w:t xml:space="preserve">To match the number of overall gels taken by all participants, a carbohydrate gel (Energel+, Nutrition X, </w:t>
      </w:r>
      <w:r w:rsidR="00E97AD0" w:rsidRPr="00016E04">
        <w:rPr>
          <w:rFonts w:eastAsia="Times New Roman"/>
          <w:color w:val="000000" w:themeColor="text1"/>
        </w:rPr>
        <w:t xml:space="preserve">Gloucester, UK) was provided with similar </w:t>
      </w:r>
      <w:r w:rsidR="005144CE" w:rsidRPr="00016E04">
        <w:rPr>
          <w:rFonts w:eastAsia="Times New Roman"/>
          <w:color w:val="000000" w:themeColor="text1"/>
        </w:rPr>
        <w:t>calori</w:t>
      </w:r>
      <w:r w:rsidR="00F326F9" w:rsidRPr="00016E04">
        <w:rPr>
          <w:rFonts w:eastAsia="Times New Roman"/>
          <w:color w:val="000000" w:themeColor="text1"/>
        </w:rPr>
        <w:t>fic intake</w:t>
      </w:r>
      <w:r w:rsidR="001C00EC" w:rsidRPr="00016E04">
        <w:rPr>
          <w:rFonts w:eastAsia="Times New Roman"/>
          <w:color w:val="000000" w:themeColor="text1"/>
        </w:rPr>
        <w:t xml:space="preserve"> (</w:t>
      </w:r>
      <w:r w:rsidR="00991B16" w:rsidRPr="00016E04">
        <w:rPr>
          <w:rFonts w:eastAsia="Times New Roman"/>
          <w:color w:val="000000" w:themeColor="text1"/>
        </w:rPr>
        <w:t>94</w:t>
      </w:r>
      <w:r w:rsidR="003D5B2B" w:rsidRPr="00016E04">
        <w:rPr>
          <w:rFonts w:eastAsia="Times New Roman"/>
          <w:color w:val="000000" w:themeColor="text1"/>
        </w:rPr>
        <w:t xml:space="preserve"> kcal</w:t>
      </w:r>
      <w:r w:rsidR="00991B16" w:rsidRPr="00016E04">
        <w:rPr>
          <w:rFonts w:eastAsia="Times New Roman"/>
          <w:color w:val="000000" w:themeColor="text1"/>
        </w:rPr>
        <w:t>, difference 35 kcal vs. MCT gel</w:t>
      </w:r>
      <w:r w:rsidR="001C00EC" w:rsidRPr="00016E04">
        <w:rPr>
          <w:rFonts w:eastAsia="Times New Roman"/>
          <w:color w:val="000000" w:themeColor="text1"/>
        </w:rPr>
        <w:t>)</w:t>
      </w:r>
      <w:r w:rsidR="005144CE" w:rsidRPr="00016E04">
        <w:rPr>
          <w:rFonts w:eastAsia="Times New Roman"/>
          <w:color w:val="000000" w:themeColor="text1"/>
        </w:rPr>
        <w:t xml:space="preserve"> and </w:t>
      </w:r>
      <w:r w:rsidR="00E97AD0" w:rsidRPr="00016E04">
        <w:rPr>
          <w:rFonts w:eastAsia="Times New Roman"/>
          <w:color w:val="000000" w:themeColor="text1"/>
        </w:rPr>
        <w:t>flavouring to that of the MCT gel.</w:t>
      </w:r>
      <w:r w:rsidR="005144CE" w:rsidRPr="00016E04">
        <w:rPr>
          <w:rFonts w:eastAsia="Times New Roman"/>
          <w:color w:val="000000" w:themeColor="text1"/>
        </w:rPr>
        <w:t xml:space="preserve"> </w:t>
      </w:r>
      <w:r w:rsidR="00E97AD0" w:rsidRPr="00016E04">
        <w:rPr>
          <w:rFonts w:eastAsia="Times New Roman"/>
          <w:color w:val="000000" w:themeColor="text1"/>
        </w:rPr>
        <w:t xml:space="preserve">All gels were wrapped in black tape to blind </w:t>
      </w:r>
      <w:r w:rsidR="003D5B2B" w:rsidRPr="00016E04">
        <w:rPr>
          <w:rFonts w:eastAsia="Times New Roman"/>
          <w:color w:val="000000" w:themeColor="text1"/>
        </w:rPr>
        <w:t xml:space="preserve">them </w:t>
      </w:r>
      <w:r w:rsidR="00E97AD0" w:rsidRPr="00016E04">
        <w:rPr>
          <w:rFonts w:eastAsia="Times New Roman"/>
          <w:color w:val="000000" w:themeColor="text1"/>
        </w:rPr>
        <w:t xml:space="preserve">from the participants. </w:t>
      </w:r>
      <w:r w:rsidR="00176103" w:rsidRPr="00016E04">
        <w:rPr>
          <w:rFonts w:eastAsia="Times New Roman"/>
          <w:color w:val="000000" w:themeColor="text1"/>
        </w:rPr>
        <w:t xml:space="preserve">Participants were instructed to take their first, second and third gels 30 mins </w:t>
      </w:r>
      <w:r w:rsidR="00A81439" w:rsidRPr="00016E04">
        <w:rPr>
          <w:rFonts w:eastAsia="Times New Roman"/>
          <w:color w:val="000000" w:themeColor="text1"/>
        </w:rPr>
        <w:t>prior to</w:t>
      </w:r>
      <w:r w:rsidR="00176103" w:rsidRPr="00016E04">
        <w:rPr>
          <w:rFonts w:eastAsia="Times New Roman"/>
          <w:color w:val="000000" w:themeColor="text1"/>
        </w:rPr>
        <w:t xml:space="preserve"> breakfast, lunch and dinner, respectively.</w:t>
      </w:r>
      <w:r w:rsidR="00732FBA" w:rsidRPr="00016E04">
        <w:rPr>
          <w:rFonts w:eastAsia="Times New Roman"/>
          <w:color w:val="000000" w:themeColor="text1"/>
        </w:rPr>
        <w:t xml:space="preserve"> When visiting the lab, participants were instructed to take </w:t>
      </w:r>
      <w:r w:rsidR="00F40931" w:rsidRPr="00016E04">
        <w:rPr>
          <w:rFonts w:eastAsia="Times New Roman"/>
          <w:color w:val="000000" w:themeColor="text1"/>
        </w:rPr>
        <w:t>their</w:t>
      </w:r>
      <w:r w:rsidR="00732FBA" w:rsidRPr="00016E04">
        <w:rPr>
          <w:rFonts w:eastAsia="Times New Roman"/>
          <w:color w:val="000000" w:themeColor="text1"/>
        </w:rPr>
        <w:t xml:space="preserve"> </w:t>
      </w:r>
      <w:r w:rsidR="00AD0B55" w:rsidRPr="00016E04">
        <w:rPr>
          <w:rFonts w:eastAsia="Times New Roman"/>
          <w:color w:val="000000" w:themeColor="text1"/>
        </w:rPr>
        <w:t>gel</w:t>
      </w:r>
      <w:r w:rsidR="00732FBA" w:rsidRPr="00016E04">
        <w:rPr>
          <w:rFonts w:eastAsia="Times New Roman"/>
          <w:color w:val="000000" w:themeColor="text1"/>
        </w:rPr>
        <w:t xml:space="preserve"> </w:t>
      </w:r>
      <w:r w:rsidR="00F40931" w:rsidRPr="00016E04">
        <w:rPr>
          <w:rFonts w:eastAsia="Times New Roman"/>
          <w:color w:val="000000" w:themeColor="text1"/>
        </w:rPr>
        <w:t xml:space="preserve">immediately </w:t>
      </w:r>
      <w:r w:rsidR="00732FBA" w:rsidRPr="00016E04">
        <w:rPr>
          <w:rFonts w:eastAsia="Times New Roman"/>
          <w:color w:val="000000" w:themeColor="text1"/>
        </w:rPr>
        <w:t>prior</w:t>
      </w:r>
      <w:r w:rsidR="00F40931" w:rsidRPr="00016E04">
        <w:rPr>
          <w:rFonts w:eastAsia="Times New Roman"/>
          <w:color w:val="000000" w:themeColor="text1"/>
        </w:rPr>
        <w:t xml:space="preserve"> to entering the laboratory to </w:t>
      </w:r>
      <w:r w:rsidR="00732FBA" w:rsidRPr="00016E04">
        <w:rPr>
          <w:rFonts w:eastAsia="Times New Roman"/>
          <w:color w:val="000000" w:themeColor="text1"/>
        </w:rPr>
        <w:t xml:space="preserve">and have breakfast </w:t>
      </w:r>
      <w:r w:rsidR="00F40931" w:rsidRPr="00016E04">
        <w:rPr>
          <w:rFonts w:eastAsia="Times New Roman"/>
          <w:color w:val="000000" w:themeColor="text1"/>
        </w:rPr>
        <w:t xml:space="preserve">as </w:t>
      </w:r>
      <w:r w:rsidR="00732FBA" w:rsidRPr="00016E04">
        <w:rPr>
          <w:rFonts w:eastAsia="Times New Roman"/>
          <w:color w:val="000000" w:themeColor="text1"/>
        </w:rPr>
        <w:t>soon</w:t>
      </w:r>
      <w:r w:rsidR="00F40931" w:rsidRPr="00016E04">
        <w:rPr>
          <w:rFonts w:eastAsia="Times New Roman"/>
          <w:color w:val="000000" w:themeColor="text1"/>
        </w:rPr>
        <w:t xml:space="preserve"> as possible </w:t>
      </w:r>
      <w:r w:rsidR="00732FBA" w:rsidRPr="00016E04">
        <w:rPr>
          <w:rFonts w:eastAsia="Times New Roman"/>
          <w:color w:val="000000" w:themeColor="text1"/>
        </w:rPr>
        <w:t xml:space="preserve">after completion of the tests </w:t>
      </w:r>
      <w:r w:rsidR="003D5B2B" w:rsidRPr="00016E04">
        <w:rPr>
          <w:rFonts w:eastAsia="Times New Roman"/>
          <w:color w:val="000000" w:themeColor="text1"/>
        </w:rPr>
        <w:t xml:space="preserve">in order to </w:t>
      </w:r>
      <w:r w:rsidR="00732FBA" w:rsidRPr="00016E04">
        <w:rPr>
          <w:rFonts w:eastAsia="Times New Roman"/>
          <w:color w:val="000000" w:themeColor="text1"/>
        </w:rPr>
        <w:t xml:space="preserve">abide by the </w:t>
      </w:r>
      <w:r w:rsidR="003D5B2B" w:rsidRPr="00016E04">
        <w:rPr>
          <w:rFonts w:eastAsia="Times New Roman"/>
          <w:color w:val="000000" w:themeColor="text1"/>
        </w:rPr>
        <w:t xml:space="preserve">instructed </w:t>
      </w:r>
      <w:r w:rsidR="00732FBA" w:rsidRPr="00016E04">
        <w:rPr>
          <w:rFonts w:eastAsia="Times New Roman"/>
          <w:color w:val="000000" w:themeColor="text1"/>
        </w:rPr>
        <w:t>30</w:t>
      </w:r>
      <w:r w:rsidR="003D5B2B" w:rsidRPr="00016E04">
        <w:rPr>
          <w:rFonts w:eastAsia="Times New Roman"/>
          <w:color w:val="000000" w:themeColor="text1"/>
        </w:rPr>
        <w:t>-</w:t>
      </w:r>
      <w:r w:rsidR="00732FBA" w:rsidRPr="00016E04">
        <w:rPr>
          <w:rFonts w:eastAsia="Times New Roman"/>
          <w:color w:val="000000" w:themeColor="text1"/>
        </w:rPr>
        <w:t xml:space="preserve">minute </w:t>
      </w:r>
      <w:r w:rsidR="003D5B2B" w:rsidRPr="00016E04">
        <w:rPr>
          <w:rFonts w:eastAsia="Times New Roman"/>
          <w:color w:val="000000" w:themeColor="text1"/>
        </w:rPr>
        <w:t>interval between gels and meals</w:t>
      </w:r>
      <w:r w:rsidR="00F40931" w:rsidRPr="00016E04">
        <w:rPr>
          <w:rFonts w:eastAsia="Times New Roman"/>
          <w:color w:val="000000" w:themeColor="text1"/>
        </w:rPr>
        <w:t xml:space="preserve"> as closely as possible</w:t>
      </w:r>
      <w:r w:rsidR="00732FBA" w:rsidRPr="00016E04">
        <w:rPr>
          <w:rFonts w:eastAsia="Times New Roman"/>
          <w:color w:val="000000" w:themeColor="text1"/>
        </w:rPr>
        <w:t>.</w:t>
      </w:r>
    </w:p>
    <w:p w14:paraId="090FE43D" w14:textId="77777777" w:rsidR="00073222" w:rsidRPr="00016E04" w:rsidRDefault="00073222" w:rsidP="00073222">
      <w:pPr>
        <w:spacing w:line="360" w:lineRule="auto"/>
        <w:ind w:firstLine="709"/>
        <w:jc w:val="both"/>
        <w:rPr>
          <w:rFonts w:eastAsia="Times New Roman"/>
          <w:color w:val="000000" w:themeColor="text1"/>
        </w:rPr>
      </w:pPr>
    </w:p>
    <w:p w14:paraId="7348D0E9" w14:textId="0FDC9F82" w:rsidR="00073222" w:rsidRPr="00016E04" w:rsidRDefault="00073222" w:rsidP="00073222">
      <w:pPr>
        <w:spacing w:line="360" w:lineRule="auto"/>
        <w:ind w:firstLine="709"/>
        <w:jc w:val="center"/>
        <w:rPr>
          <w:rFonts w:eastAsia="Times New Roman"/>
          <w:b/>
          <w:color w:val="000000" w:themeColor="text1"/>
        </w:rPr>
      </w:pPr>
      <w:r w:rsidRPr="00016E04">
        <w:rPr>
          <w:rFonts w:eastAsia="Times New Roman"/>
          <w:b/>
          <w:color w:val="000000" w:themeColor="text1"/>
        </w:rPr>
        <w:t>[I</w:t>
      </w:r>
      <w:r w:rsidR="00741761" w:rsidRPr="00016E04">
        <w:rPr>
          <w:rFonts w:eastAsia="Times New Roman"/>
          <w:b/>
          <w:color w:val="000000" w:themeColor="text1"/>
        </w:rPr>
        <w:t xml:space="preserve">nsert Figure </w:t>
      </w:r>
      <w:r w:rsidR="00366A0F" w:rsidRPr="00016E04">
        <w:rPr>
          <w:rFonts w:eastAsia="Times New Roman"/>
          <w:b/>
          <w:color w:val="000000" w:themeColor="text1"/>
        </w:rPr>
        <w:t>2</w:t>
      </w:r>
      <w:r w:rsidR="00741761" w:rsidRPr="00016E04">
        <w:rPr>
          <w:rFonts w:eastAsia="Times New Roman"/>
          <w:b/>
          <w:color w:val="000000" w:themeColor="text1"/>
        </w:rPr>
        <w:t xml:space="preserve"> Around Here</w:t>
      </w:r>
      <w:r w:rsidRPr="00016E04">
        <w:rPr>
          <w:rFonts w:eastAsia="Times New Roman"/>
          <w:b/>
          <w:color w:val="000000" w:themeColor="text1"/>
        </w:rPr>
        <w:t>]</w:t>
      </w:r>
      <w:r w:rsidR="00F66B69" w:rsidRPr="00016E04">
        <w:rPr>
          <w:rFonts w:eastAsia="Times New Roman"/>
          <w:b/>
          <w:color w:val="000000" w:themeColor="text1"/>
        </w:rPr>
        <w:t xml:space="preserve"> </w:t>
      </w:r>
    </w:p>
    <w:p w14:paraId="1DDFFBF8" w14:textId="77777777" w:rsidR="00F66B69" w:rsidRPr="00366A0F" w:rsidRDefault="00F66B69" w:rsidP="00073222">
      <w:pPr>
        <w:spacing w:line="360" w:lineRule="auto"/>
        <w:ind w:firstLine="709"/>
        <w:jc w:val="center"/>
        <w:rPr>
          <w:sz w:val="16"/>
          <w:szCs w:val="16"/>
        </w:rPr>
      </w:pPr>
    </w:p>
    <w:p w14:paraId="537B7E81" w14:textId="45E7A8BD" w:rsidR="00D14A08" w:rsidRPr="00366A0F" w:rsidRDefault="00741761" w:rsidP="00073222">
      <w:pPr>
        <w:spacing w:line="360" w:lineRule="auto"/>
        <w:jc w:val="both"/>
        <w:rPr>
          <w:rFonts w:eastAsia="Times New Roman"/>
          <w:i/>
        </w:rPr>
      </w:pPr>
      <w:r w:rsidRPr="00366A0F">
        <w:rPr>
          <w:rFonts w:eastAsia="Times New Roman"/>
          <w:i/>
        </w:rPr>
        <w:t>Cognitive Assessments</w:t>
      </w:r>
    </w:p>
    <w:p w14:paraId="63413E9D" w14:textId="77777777" w:rsidR="00073222" w:rsidRPr="00366A0F" w:rsidRDefault="00073222" w:rsidP="00073222">
      <w:pPr>
        <w:spacing w:line="360" w:lineRule="auto"/>
        <w:jc w:val="both"/>
        <w:rPr>
          <w:rFonts w:eastAsia="Times New Roman"/>
          <w:i/>
        </w:rPr>
      </w:pPr>
    </w:p>
    <w:p w14:paraId="43B10C28" w14:textId="77777777" w:rsidR="00D14A08" w:rsidRPr="00366A0F" w:rsidRDefault="00741761" w:rsidP="00073222">
      <w:pPr>
        <w:spacing w:line="360" w:lineRule="auto"/>
        <w:jc w:val="both"/>
        <w:rPr>
          <w:rFonts w:eastAsia="Times New Roman"/>
          <w:i/>
        </w:rPr>
      </w:pPr>
      <w:r w:rsidRPr="00366A0F">
        <w:rPr>
          <w:rFonts w:eastAsia="Times New Roman"/>
          <w:i/>
        </w:rPr>
        <w:t>Trail Making</w:t>
      </w:r>
    </w:p>
    <w:p w14:paraId="79029317" w14:textId="6F61C181" w:rsidR="005120F2" w:rsidRPr="00366A0F" w:rsidRDefault="00D4255F" w:rsidP="00073222">
      <w:pPr>
        <w:spacing w:line="360" w:lineRule="auto"/>
        <w:jc w:val="both"/>
        <w:rPr>
          <w:rFonts w:eastAsia="Times New Roman"/>
        </w:rPr>
      </w:pPr>
      <w:r w:rsidRPr="00366A0F">
        <w:rPr>
          <w:rFonts w:eastAsia="Times New Roman"/>
        </w:rPr>
        <w:t xml:space="preserve">Trail Making (TM) broadly assesses processing speed, sequencing and visual-motor skills </w:t>
      </w:r>
      <w:r w:rsidR="005E1F85" w:rsidRPr="00366A0F">
        <w:rPr>
          <w:rFonts w:eastAsia="Times New Roman"/>
        </w:rPr>
        <w:fldChar w:fldCharType="begin" w:fldLock="1"/>
      </w:r>
      <w:r w:rsidR="00616D7D">
        <w:rPr>
          <w:rFonts w:eastAsia="Times New Roman"/>
        </w:rPr>
        <w:instrText>ADDIN CSL_CITATION {"citationItems":[{"id":"ITEM-1","itemData":{"DOI":"10.1038/nprot.2006.390","ISSN":"17542189","abstract":"Measurement of cognitive functions is an increasingly important goal for clinicians and researchers. Many neuropsychological test batteries are comprehensive and require specialized training to administer and interpret. The Trail Making Test is an accessible neuropsychological instrument that provides the examiner with information on a wide range of cognitive skills and can be completed in 5-10 min. Its background, psychometric properties, administration procedures and interpretive guidelines are provided in this protocol.","author":[{"dropping-particle":"","family":"Bowie","given":"Christopher R.","non-dropping-particle":"","parse-names":false,"suffix":""},{"dropping-particle":"","family":"Harvey","given":"Philip D.","non-dropping-particle":"","parse-names":false,"suffix":""}],"container-title":"Nature Protocols","id":"ITEM-1","issue":"5","issued":{"date-parts":[["2006"]]},"page":"2277-2281","title":"Administration and interpretation of the Trail Making Test","type":"article-journal","volume":"1"},"uris":["http://www.mendeley.com/documents/?uuid=8538201d-8e7b-43ec-aa0c-bdc968f41f62","http://www.mendeley.com/documents/?uuid=0eaadce7-7959-4ef1-826a-6b6c5c9b478e"]}],"mendeley":{"formattedCitation":"[42]","plainTextFormattedCitation":"[42]","previouslyFormattedCitation":"[42]"},"properties":{"noteIndex":0},"schema":"https://github.com/citation-style-language/schema/raw/master/csl-citation.json"}</w:instrText>
      </w:r>
      <w:r w:rsidR="005E1F85" w:rsidRPr="00366A0F">
        <w:rPr>
          <w:rFonts w:eastAsia="Times New Roman"/>
        </w:rPr>
        <w:fldChar w:fldCharType="separate"/>
      </w:r>
      <w:r w:rsidR="00FD5371" w:rsidRPr="00FD5371">
        <w:rPr>
          <w:rFonts w:eastAsia="Times New Roman"/>
          <w:noProof/>
        </w:rPr>
        <w:t>[42]</w:t>
      </w:r>
      <w:r w:rsidR="005E1F85" w:rsidRPr="00366A0F">
        <w:rPr>
          <w:rFonts w:eastAsia="Times New Roman"/>
        </w:rPr>
        <w:fldChar w:fldCharType="end"/>
      </w:r>
      <w:r w:rsidRPr="00366A0F">
        <w:rPr>
          <w:rFonts w:eastAsia="Times New Roman"/>
        </w:rPr>
        <w:t xml:space="preserve">. There are two parts; A and B. In part A, participants are required to draw lines as quickly as possible between the numbers 1 and 25 in ascending order. In part B, participants are </w:t>
      </w:r>
      <w:r w:rsidR="00256AE1" w:rsidRPr="00366A0F">
        <w:rPr>
          <w:rFonts w:eastAsia="Times New Roman"/>
        </w:rPr>
        <w:t>re</w:t>
      </w:r>
      <w:r w:rsidRPr="00366A0F">
        <w:rPr>
          <w:rFonts w:eastAsia="Times New Roman"/>
        </w:rPr>
        <w:t>quired to draw lines as quickly as possible between the ascending orders of both numbers (1-13) and letters (A-L). Due to the need to switch attention between letters and numbers in part B (1-A, 2-B</w:t>
      </w:r>
      <w:r w:rsidR="003D5B2B" w:rsidRPr="00366A0F">
        <w:rPr>
          <w:rFonts w:eastAsia="Times New Roman"/>
        </w:rPr>
        <w:t>,</w:t>
      </w:r>
      <w:r w:rsidRPr="00366A0F">
        <w:rPr>
          <w:rFonts w:eastAsia="Times New Roman"/>
        </w:rPr>
        <w:t xml:space="preserve"> etc.), it is comparably much more difficult than part A. If any errors were made, </w:t>
      </w:r>
      <w:r w:rsidR="00DF5CF3" w:rsidRPr="00366A0F">
        <w:rPr>
          <w:rFonts w:eastAsia="Times New Roman"/>
        </w:rPr>
        <w:t xml:space="preserve">it was </w:t>
      </w:r>
      <w:r w:rsidR="003D5B2B" w:rsidRPr="00366A0F">
        <w:rPr>
          <w:rFonts w:eastAsia="Times New Roman"/>
        </w:rPr>
        <w:t xml:space="preserve">immediately </w:t>
      </w:r>
      <w:r w:rsidR="00DF5CF3" w:rsidRPr="00366A0F">
        <w:rPr>
          <w:rFonts w:eastAsia="Times New Roman"/>
        </w:rPr>
        <w:t xml:space="preserve">pointed out by the experimenter and the participant </w:t>
      </w:r>
      <w:r w:rsidR="003D5B2B" w:rsidRPr="00366A0F">
        <w:rPr>
          <w:rFonts w:eastAsia="Times New Roman"/>
        </w:rPr>
        <w:t xml:space="preserve">had to </w:t>
      </w:r>
      <w:r w:rsidR="00DF5CF3" w:rsidRPr="00366A0F">
        <w:rPr>
          <w:rFonts w:eastAsia="Times New Roman"/>
        </w:rPr>
        <w:t xml:space="preserve">correct </w:t>
      </w:r>
      <w:r w:rsidR="003D5B2B" w:rsidRPr="00366A0F">
        <w:rPr>
          <w:rFonts w:eastAsia="Times New Roman"/>
        </w:rPr>
        <w:t xml:space="preserve">for </w:t>
      </w:r>
      <w:r w:rsidR="00DF5CF3" w:rsidRPr="00366A0F">
        <w:rPr>
          <w:rFonts w:eastAsia="Times New Roman"/>
        </w:rPr>
        <w:t xml:space="preserve">it. </w:t>
      </w:r>
      <w:r w:rsidR="003D5B2B" w:rsidRPr="00366A0F">
        <w:rPr>
          <w:rFonts w:eastAsia="Times New Roman"/>
        </w:rPr>
        <w:t xml:space="preserve">Participants initially practiced for each part, which comprised of only </w:t>
      </w:r>
      <w:r w:rsidR="00DF5CF3" w:rsidRPr="00366A0F">
        <w:rPr>
          <w:rFonts w:eastAsia="Times New Roman"/>
        </w:rPr>
        <w:t>8 circles.</w:t>
      </w:r>
    </w:p>
    <w:p w14:paraId="30F51346" w14:textId="77777777" w:rsidR="00073222" w:rsidRPr="00366A0F" w:rsidRDefault="00073222" w:rsidP="00073222">
      <w:pPr>
        <w:spacing w:line="360" w:lineRule="auto"/>
        <w:jc w:val="both"/>
        <w:rPr>
          <w:rFonts w:eastAsia="Times New Roman"/>
        </w:rPr>
      </w:pPr>
    </w:p>
    <w:p w14:paraId="0AD109FC" w14:textId="7714690C" w:rsidR="00D14A08" w:rsidRPr="00366A0F" w:rsidRDefault="005C4275" w:rsidP="00073222">
      <w:pPr>
        <w:spacing w:line="360" w:lineRule="auto"/>
        <w:jc w:val="both"/>
        <w:rPr>
          <w:rFonts w:eastAsia="Times New Roman"/>
          <w:i/>
        </w:rPr>
      </w:pPr>
      <w:r w:rsidRPr="00366A0F">
        <w:rPr>
          <w:rFonts w:eastAsia="Times New Roman"/>
          <w:i/>
        </w:rPr>
        <w:t>Memory Span</w:t>
      </w:r>
    </w:p>
    <w:p w14:paraId="56E17DA2" w14:textId="3DC15374" w:rsidR="00604BD3" w:rsidRPr="00366A0F" w:rsidRDefault="00741761" w:rsidP="00073222">
      <w:pPr>
        <w:spacing w:line="360" w:lineRule="auto"/>
        <w:jc w:val="both"/>
        <w:rPr>
          <w:rFonts w:eastAsia="Times New Roman"/>
        </w:rPr>
      </w:pPr>
      <w:r w:rsidRPr="00366A0F">
        <w:rPr>
          <w:rFonts w:eastAsia="Times New Roman"/>
        </w:rPr>
        <w:t xml:space="preserve">Two aspects of working memory were assessed: verbal and </w:t>
      </w:r>
      <w:r w:rsidR="005A47EC" w:rsidRPr="00366A0F">
        <w:rPr>
          <w:rFonts w:eastAsia="Times New Roman"/>
        </w:rPr>
        <w:t>visuo-</w:t>
      </w:r>
      <w:r w:rsidRPr="00366A0F">
        <w:rPr>
          <w:rFonts w:eastAsia="Times New Roman"/>
        </w:rPr>
        <w:t xml:space="preserve">spatial. Verbal working memory was </w:t>
      </w:r>
      <w:r w:rsidR="00604BD3" w:rsidRPr="00366A0F">
        <w:rPr>
          <w:rFonts w:eastAsia="Times New Roman"/>
        </w:rPr>
        <w:t xml:space="preserve">assessed </w:t>
      </w:r>
      <w:r w:rsidRPr="00366A0F">
        <w:rPr>
          <w:rFonts w:eastAsia="Times New Roman"/>
        </w:rPr>
        <w:t xml:space="preserve">using the digit span test (DS) and </w:t>
      </w:r>
      <w:r w:rsidR="005A47EC" w:rsidRPr="00366A0F">
        <w:rPr>
          <w:rFonts w:eastAsia="Times New Roman"/>
        </w:rPr>
        <w:t>visuo-</w:t>
      </w:r>
      <w:r w:rsidRPr="00366A0F">
        <w:rPr>
          <w:rFonts w:eastAsia="Times New Roman"/>
        </w:rPr>
        <w:t xml:space="preserve">spatial working memory was </w:t>
      </w:r>
      <w:r w:rsidR="00604BD3" w:rsidRPr="00366A0F">
        <w:rPr>
          <w:rFonts w:eastAsia="Times New Roman"/>
        </w:rPr>
        <w:t>assessed</w:t>
      </w:r>
      <w:r w:rsidRPr="00366A0F">
        <w:rPr>
          <w:rFonts w:eastAsia="Times New Roman"/>
        </w:rPr>
        <w:t xml:space="preserve"> using the spatial span test (SS).</w:t>
      </w:r>
      <w:r w:rsidR="00DF5CF3" w:rsidRPr="00366A0F">
        <w:rPr>
          <w:rFonts w:eastAsia="Times New Roman"/>
        </w:rPr>
        <w:t xml:space="preserve"> The experimenter either read out a series of numbers (DS) or tapped blocks in a certain predetermined order (SS). The participants had to either repeat the numbers back (DS) or tap the blocks (SS) in the corresponding order (forwards test phase) or in reverse order (backwards test phase). The backwards test phase is comparably more difficult than the forwards test phase due to the requirement of </w:t>
      </w:r>
      <w:r w:rsidR="003D5B2B" w:rsidRPr="00366A0F">
        <w:rPr>
          <w:rFonts w:eastAsia="Times New Roman"/>
        </w:rPr>
        <w:t xml:space="preserve">the </w:t>
      </w:r>
      <w:r w:rsidR="00DF5CF3" w:rsidRPr="00366A0F">
        <w:rPr>
          <w:rFonts w:eastAsia="Times New Roman"/>
        </w:rPr>
        <w:t xml:space="preserve">executive function to </w:t>
      </w:r>
      <w:r w:rsidR="00DF5CF3" w:rsidRPr="00366A0F">
        <w:rPr>
          <w:rFonts w:eastAsia="Times New Roman"/>
        </w:rPr>
        <w:lastRenderedPageBreak/>
        <w:t xml:space="preserve">re-order items </w:t>
      </w:r>
      <w:r w:rsidR="003D5B2B" w:rsidRPr="00366A0F">
        <w:rPr>
          <w:rFonts w:eastAsia="Times New Roman"/>
        </w:rPr>
        <w:t xml:space="preserve">before responding </w:t>
      </w:r>
      <w:r w:rsidR="005E1F85" w:rsidRPr="00366A0F">
        <w:rPr>
          <w:rFonts w:eastAsia="Times New Roman"/>
        </w:rPr>
        <w:fldChar w:fldCharType="begin" w:fldLock="1"/>
      </w:r>
      <w:r w:rsidR="00616D7D">
        <w:rPr>
          <w:rFonts w:eastAsia="Times New Roman"/>
        </w:rPr>
        <w:instrText>ADDIN CSL_CITATION {"citationItems":[{"id":"ITEM-1","itemData":{"DOI":"10.1016/S0079-7421(08)60452-1","ISSN":"00797421","abstract":"This chapter presents a body of new experimental evidence, which provides a firm basis for the working memory hypothesis. The chapter presents a series of experiments on the role of memory in reasoning, language comprehension, and learning. An attempt is made to apply the comparable techniques in all three cases to allow a common pattern to emerge, if the same working memory system is operative in all three instances. The chapter makes a case for postulating the working memory-LTS system as a modification of the current STS-LTS view. Working memory represents a control system with limits on both its storage and processing capabilities, and has access to phonemically coded information (possibly by controlling a rehearsal buffer), that it is responsible for the limited memory span, but does not underlie the recency effect in free recall. The experiments presented in the chapter suggest that the phonemic rehearsal buffer plays a limited role in this process, but is by no means essential. These experiments also suggest that working memory plays a part in verbal reasoning and in prose comprehension. Understanding the detailed role of working memory in these tasks, however, must proceed hand-in-hand with an understanding of the tasks themselves. © 1974 Academic Press Inc.","author":[{"dropping-particle":"","family":"Baddeley","given":"Alan D.","non-dropping-particle":"","parse-names":false,"suffix":""},{"dropping-particle":"","family":"Hitch","given":"Graham","non-dropping-particle":"","parse-names":false,"suffix":""}],"container-title":"Psychology of Learning and Motivation - Advances in Research and Theory","id":"ITEM-1","issue":"1","issued":{"date-parts":[["1974","1","1"]]},"page":"47-89","publisher":"Academic Press","title":"Working memory","type":"article-journal","volume":"8"},"uris":["http://www.mendeley.com/documents/?uuid=6cbbe97a-fb3b-32d6-b038-75f2fdfe9582","http://www.mendeley.com/documents/?uuid=5d034345-1e6f-43fc-b3fc-d46a068d349f"]}],"mendeley":{"formattedCitation":"[43]","plainTextFormattedCitation":"[43]","previouslyFormattedCitation":"[43]"},"properties":{"noteIndex":0},"schema":"https://github.com/citation-style-language/schema/raw/master/csl-citation.json"}</w:instrText>
      </w:r>
      <w:r w:rsidR="005E1F85" w:rsidRPr="00366A0F">
        <w:rPr>
          <w:rFonts w:eastAsia="Times New Roman"/>
        </w:rPr>
        <w:fldChar w:fldCharType="separate"/>
      </w:r>
      <w:r w:rsidR="00FD5371" w:rsidRPr="00FD5371">
        <w:rPr>
          <w:rFonts w:eastAsia="Times New Roman"/>
          <w:noProof/>
        </w:rPr>
        <w:t>[43]</w:t>
      </w:r>
      <w:r w:rsidR="005E1F85" w:rsidRPr="00366A0F">
        <w:rPr>
          <w:rFonts w:eastAsia="Times New Roman"/>
        </w:rPr>
        <w:fldChar w:fldCharType="end"/>
      </w:r>
      <w:r w:rsidR="00DF5CF3" w:rsidRPr="00366A0F">
        <w:rPr>
          <w:rFonts w:eastAsia="Times New Roman"/>
        </w:rPr>
        <w:t xml:space="preserve">. There </w:t>
      </w:r>
      <w:r w:rsidR="00604BD3" w:rsidRPr="00366A0F">
        <w:rPr>
          <w:rFonts w:eastAsia="Times New Roman"/>
        </w:rPr>
        <w:t>were</w:t>
      </w:r>
      <w:r w:rsidR="00DF5CF3" w:rsidRPr="00366A0F">
        <w:rPr>
          <w:rFonts w:eastAsia="Times New Roman"/>
        </w:rPr>
        <w:t xml:space="preserve"> two trials in each item, with </w:t>
      </w:r>
      <w:r w:rsidR="00604BD3" w:rsidRPr="00366A0F">
        <w:rPr>
          <w:rFonts w:eastAsia="Times New Roman"/>
        </w:rPr>
        <w:t xml:space="preserve">the </w:t>
      </w:r>
      <w:r w:rsidR="005E1F85" w:rsidRPr="00366A0F">
        <w:rPr>
          <w:rFonts w:eastAsia="Times New Roman"/>
        </w:rPr>
        <w:t>number</w:t>
      </w:r>
      <w:r w:rsidR="00604BD3" w:rsidRPr="00366A0F">
        <w:rPr>
          <w:rFonts w:eastAsia="Times New Roman"/>
        </w:rPr>
        <w:t xml:space="preserve"> of </w:t>
      </w:r>
      <w:r w:rsidR="00DF5CF3" w:rsidRPr="00366A0F">
        <w:rPr>
          <w:rFonts w:eastAsia="Times New Roman"/>
        </w:rPr>
        <w:t xml:space="preserve">numbers/blocks </w:t>
      </w:r>
      <w:r w:rsidR="00604BD3" w:rsidRPr="00366A0F">
        <w:rPr>
          <w:rFonts w:eastAsia="Times New Roman"/>
        </w:rPr>
        <w:t xml:space="preserve">increasing by one </w:t>
      </w:r>
      <w:r w:rsidR="00303284" w:rsidRPr="00366A0F">
        <w:rPr>
          <w:rFonts w:eastAsia="Times New Roman"/>
        </w:rPr>
        <w:t xml:space="preserve">item </w:t>
      </w:r>
      <w:r w:rsidR="00604BD3" w:rsidRPr="00366A0F">
        <w:rPr>
          <w:rFonts w:eastAsia="Times New Roman"/>
        </w:rPr>
        <w:t>every trial. The test was terminated when participants incorrectly recalled a sequence on both trials of any one item or recalled all items correctly. Each test phase had a maximum score of 16, with the exception being DS backwards</w:t>
      </w:r>
      <w:r w:rsidR="00303284" w:rsidRPr="00366A0F">
        <w:rPr>
          <w:rFonts w:eastAsia="Times New Roman"/>
        </w:rPr>
        <w:t>,</w:t>
      </w:r>
      <w:r w:rsidR="00604BD3" w:rsidRPr="00366A0F">
        <w:rPr>
          <w:rFonts w:eastAsia="Times New Roman"/>
        </w:rPr>
        <w:t xml:space="preserve"> which had a maximum score of 14. There was no practise necessary due to the first tr</w:t>
      </w:r>
      <w:r w:rsidR="00303284" w:rsidRPr="00366A0F">
        <w:rPr>
          <w:rFonts w:eastAsia="Times New Roman"/>
        </w:rPr>
        <w:t>ia</w:t>
      </w:r>
      <w:r w:rsidR="00604BD3" w:rsidRPr="00366A0F">
        <w:rPr>
          <w:rFonts w:eastAsia="Times New Roman"/>
        </w:rPr>
        <w:t>ls only being 2 numbers/blocks long,</w:t>
      </w:r>
      <w:r w:rsidR="00303284" w:rsidRPr="00366A0F">
        <w:rPr>
          <w:rFonts w:eastAsia="Times New Roman"/>
        </w:rPr>
        <w:t xml:space="preserve"> which was sufficiently easy to gain a full understanding of the task.</w:t>
      </w:r>
    </w:p>
    <w:p w14:paraId="0E999EA5" w14:textId="77777777" w:rsidR="00451548" w:rsidRDefault="00451548" w:rsidP="00073222">
      <w:pPr>
        <w:tabs>
          <w:tab w:val="left" w:pos="7740"/>
        </w:tabs>
        <w:spacing w:line="360" w:lineRule="auto"/>
        <w:jc w:val="both"/>
        <w:rPr>
          <w:rFonts w:eastAsia="Times New Roman"/>
          <w:i/>
        </w:rPr>
      </w:pPr>
    </w:p>
    <w:p w14:paraId="63CF5124" w14:textId="3348E583" w:rsidR="00C62FA7" w:rsidRPr="00366A0F" w:rsidRDefault="00E93F81" w:rsidP="00073222">
      <w:pPr>
        <w:tabs>
          <w:tab w:val="left" w:pos="7740"/>
        </w:tabs>
        <w:spacing w:line="360" w:lineRule="auto"/>
        <w:jc w:val="both"/>
        <w:rPr>
          <w:rFonts w:eastAsia="Times New Roman"/>
          <w:i/>
        </w:rPr>
      </w:pPr>
      <w:r w:rsidRPr="00366A0F">
        <w:rPr>
          <w:rFonts w:eastAsia="Times New Roman"/>
          <w:i/>
        </w:rPr>
        <w:t>Covert Shift of Attention (CSoA)</w:t>
      </w:r>
    </w:p>
    <w:p w14:paraId="2368BE94" w14:textId="62737CB0" w:rsidR="00C62FA7" w:rsidRPr="00366A0F" w:rsidRDefault="00C62FA7" w:rsidP="00073222">
      <w:pPr>
        <w:spacing w:line="360" w:lineRule="auto"/>
        <w:jc w:val="both"/>
        <w:rPr>
          <w:rFonts w:eastAsia="Times New Roman"/>
        </w:rPr>
      </w:pPr>
      <w:r w:rsidRPr="00366A0F">
        <w:rPr>
          <w:rFonts w:eastAsia="Times New Roman"/>
        </w:rPr>
        <w:t xml:space="preserve">Exogenous (involuntary) and endogenous (voluntary) attention were assessed via </w:t>
      </w:r>
      <w:r w:rsidR="00F456C0" w:rsidRPr="00366A0F">
        <w:rPr>
          <w:rFonts w:eastAsia="Times New Roman"/>
        </w:rPr>
        <w:t>a</w:t>
      </w:r>
      <w:r w:rsidRPr="00366A0F">
        <w:rPr>
          <w:rFonts w:eastAsia="Times New Roman"/>
        </w:rPr>
        <w:t xml:space="preserve"> </w:t>
      </w:r>
      <w:r w:rsidR="00E93F81" w:rsidRPr="00366A0F">
        <w:rPr>
          <w:rFonts w:eastAsia="Times New Roman"/>
        </w:rPr>
        <w:t>covert attention</w:t>
      </w:r>
      <w:r w:rsidRPr="00366A0F">
        <w:rPr>
          <w:rFonts w:eastAsia="Times New Roman"/>
        </w:rPr>
        <w:t xml:space="preserve"> paradigm</w:t>
      </w:r>
      <w:r w:rsidR="00EA3CC1" w:rsidRPr="00366A0F">
        <w:rPr>
          <w:rFonts w:eastAsia="Times New Roman"/>
        </w:rPr>
        <w:t xml:space="preserve"> </w:t>
      </w:r>
      <w:r w:rsidR="00EA3CC1" w:rsidRPr="00366A0F">
        <w:rPr>
          <w:rFonts w:eastAsia="Times New Roman"/>
        </w:rPr>
        <w:fldChar w:fldCharType="begin" w:fldLock="1"/>
      </w:r>
      <w:r w:rsidR="00616D7D">
        <w:rPr>
          <w:rFonts w:eastAsia="Times New Roman"/>
        </w:rPr>
        <w:instrText>ADDIN CSL_CITATION {"citationItems":[{"id":"ITEM-1","itemData":{"ISSN":"02706474","abstract":"A peripheral visual cue produces an orienting of attention that facilitates detection of targets in the cued area. Following a shift of attention away from the cued area, targets at that location are handled less efficiently than at other places. We deomonstrate this inhibitory effect, show that it arises from the sensory information present in the cue, and discuss its relationship to shifts in eye position and its functional significance in the process of orienting of attention. We indicate how the inhibitory effect accounts for the difficulty in demonstating attentional orienting in situations where attended information arises from a single spatial position. We believe that the components of visual orienting provide a model experimental system where important components of cognitive tasks can be linked to neural systems.","author":[{"dropping-particle":"","family":"Posner","given":"M","non-dropping-particle":"","parse-names":false,"suffix":""},{"dropping-particle":"","family":"Cohen","given":"Yoav","non-dropping-particle":"","parse-names":false,"suffix":""}],"container-title":"Attention and performance X: Control of language processes","id":"ITEM-1","issue":"May","issued":{"date-parts":[["1984"]]},"page":"531-556","title":"Components of visual orienting of attention","type":"article-journal","volume":"X"},"uris":["http://www.mendeley.com/documents/?uuid=ca326bba-6ab0-4a9e-bf1b-0098e9ef8ec2"]}],"mendeley":{"formattedCitation":"[44]","plainTextFormattedCitation":"[44]","previouslyFormattedCitation":"[44]"},"properties":{"noteIndex":0},"schema":"https://github.com/citation-style-language/schema/raw/master/csl-citation.json"}</w:instrText>
      </w:r>
      <w:r w:rsidR="00EA3CC1" w:rsidRPr="00366A0F">
        <w:rPr>
          <w:rFonts w:eastAsia="Times New Roman"/>
        </w:rPr>
        <w:fldChar w:fldCharType="separate"/>
      </w:r>
      <w:r w:rsidR="00FD5371" w:rsidRPr="00FD5371">
        <w:rPr>
          <w:rFonts w:eastAsia="Times New Roman"/>
          <w:noProof/>
        </w:rPr>
        <w:t>[44]</w:t>
      </w:r>
      <w:r w:rsidR="00EA3CC1" w:rsidRPr="00366A0F">
        <w:rPr>
          <w:rFonts w:eastAsia="Times New Roman"/>
        </w:rPr>
        <w:fldChar w:fldCharType="end"/>
      </w:r>
      <w:r w:rsidR="00EA3CC1" w:rsidRPr="00366A0F">
        <w:rPr>
          <w:rFonts w:eastAsia="Times New Roman"/>
        </w:rPr>
        <w:t>.</w:t>
      </w:r>
      <w:r w:rsidRPr="00366A0F">
        <w:rPr>
          <w:rFonts w:eastAsia="Times New Roman"/>
        </w:rPr>
        <w:t xml:space="preserve"> Each test involved rapidly responding to a cue that was presented on an LCD monitor </w:t>
      </w:r>
      <w:r w:rsidR="00EA3CC1" w:rsidRPr="00366A0F">
        <w:rPr>
          <w:rFonts w:eastAsia="Times New Roman"/>
        </w:rPr>
        <w:t xml:space="preserve">using </w:t>
      </w:r>
      <w:r w:rsidR="00303284" w:rsidRPr="00366A0F">
        <w:rPr>
          <w:rFonts w:eastAsia="Times New Roman"/>
        </w:rPr>
        <w:t>Matlab (</w:t>
      </w:r>
      <w:r w:rsidR="00EA3CC1" w:rsidRPr="00366A0F">
        <w:rPr>
          <w:rFonts w:eastAsia="Times New Roman"/>
        </w:rPr>
        <w:t xml:space="preserve">MathWorks, Natick, MA, USA) </w:t>
      </w:r>
      <w:r w:rsidRPr="00366A0F">
        <w:rPr>
          <w:rFonts w:eastAsia="Times New Roman"/>
        </w:rPr>
        <w:t xml:space="preserve">running </w:t>
      </w:r>
      <w:r w:rsidR="007A7508" w:rsidRPr="00366A0F">
        <w:rPr>
          <w:rFonts w:eastAsia="Times New Roman"/>
        </w:rPr>
        <w:t>Psychtoolbox (version 3.0.11</w:t>
      </w:r>
      <w:r w:rsidR="00080F2A" w:rsidRPr="00366A0F">
        <w:rPr>
          <w:rFonts w:eastAsia="Times New Roman"/>
        </w:rPr>
        <w:t>)</w:t>
      </w:r>
      <w:r w:rsidRPr="00366A0F">
        <w:rPr>
          <w:rFonts w:eastAsia="Times New Roman"/>
        </w:rPr>
        <w:t xml:space="preserve">. </w:t>
      </w:r>
      <w:r w:rsidR="005812B8" w:rsidRPr="00366A0F">
        <w:rPr>
          <w:rFonts w:eastAsia="Times New Roman"/>
        </w:rPr>
        <w:t xml:space="preserve">Stimuli </w:t>
      </w:r>
      <w:r w:rsidRPr="00366A0F">
        <w:rPr>
          <w:rFonts w:eastAsia="Times New Roman"/>
        </w:rPr>
        <w:t xml:space="preserve">featured a background with a white </w:t>
      </w:r>
      <w:r w:rsidR="005C2865" w:rsidRPr="00366A0F">
        <w:rPr>
          <w:rFonts w:eastAsia="Times New Roman"/>
        </w:rPr>
        <w:t>crosshair</w:t>
      </w:r>
      <w:r w:rsidRPr="00366A0F">
        <w:rPr>
          <w:rFonts w:eastAsia="Times New Roman"/>
        </w:rPr>
        <w:t xml:space="preserve"> at </w:t>
      </w:r>
      <w:r w:rsidR="005812B8" w:rsidRPr="00366A0F">
        <w:rPr>
          <w:rFonts w:eastAsia="Times New Roman"/>
        </w:rPr>
        <w:t>screen-</w:t>
      </w:r>
      <w:r w:rsidRPr="00366A0F">
        <w:rPr>
          <w:rFonts w:eastAsia="Times New Roman"/>
        </w:rPr>
        <w:t xml:space="preserve">centre, and two unfilled white squares at a 5-degree horizontal eccentricity. Participants were instructed to fixate on the crosshair while </w:t>
      </w:r>
      <w:r w:rsidR="00303284" w:rsidRPr="00366A0F">
        <w:rPr>
          <w:rFonts w:eastAsia="Times New Roman"/>
        </w:rPr>
        <w:t>they used</w:t>
      </w:r>
      <w:r w:rsidRPr="00366A0F">
        <w:rPr>
          <w:rFonts w:eastAsia="Times New Roman"/>
        </w:rPr>
        <w:t xml:space="preserve"> their left or right index fingers to press the ‘f’ or ‘j’ keys on a keyboard </w:t>
      </w:r>
      <w:r w:rsidR="00303284" w:rsidRPr="00366A0F">
        <w:rPr>
          <w:rFonts w:eastAsia="Times New Roman"/>
        </w:rPr>
        <w:t xml:space="preserve">in response to the </w:t>
      </w:r>
      <w:r w:rsidRPr="00366A0F">
        <w:rPr>
          <w:rFonts w:eastAsia="Times New Roman"/>
        </w:rPr>
        <w:t xml:space="preserve">left or right white squares </w:t>
      </w:r>
      <w:r w:rsidR="00303284" w:rsidRPr="00366A0F">
        <w:rPr>
          <w:rFonts w:eastAsia="Times New Roman"/>
        </w:rPr>
        <w:t xml:space="preserve">becoming </w:t>
      </w:r>
      <w:r w:rsidRPr="00366A0F">
        <w:rPr>
          <w:rFonts w:eastAsia="Times New Roman"/>
        </w:rPr>
        <w:t>filled, respectively.</w:t>
      </w:r>
    </w:p>
    <w:p w14:paraId="6F09C409" w14:textId="77777777" w:rsidR="00073222" w:rsidRPr="00366A0F" w:rsidRDefault="00073222" w:rsidP="00073222">
      <w:pPr>
        <w:spacing w:line="360" w:lineRule="auto"/>
        <w:jc w:val="both"/>
        <w:rPr>
          <w:rFonts w:eastAsia="Times New Roman"/>
        </w:rPr>
      </w:pPr>
    </w:p>
    <w:p w14:paraId="0463F34F" w14:textId="6AD36756" w:rsidR="00C62FA7" w:rsidRPr="00366A0F" w:rsidRDefault="00C62FA7" w:rsidP="00073222">
      <w:pPr>
        <w:spacing w:line="360" w:lineRule="auto"/>
        <w:ind w:firstLine="720"/>
        <w:jc w:val="both"/>
        <w:rPr>
          <w:rFonts w:eastAsia="Times New Roman"/>
        </w:rPr>
      </w:pPr>
      <w:r w:rsidRPr="00366A0F">
        <w:rPr>
          <w:rFonts w:eastAsia="Times New Roman"/>
        </w:rPr>
        <w:t xml:space="preserve">The exogenous and endogenous </w:t>
      </w:r>
      <w:r w:rsidR="005812B8" w:rsidRPr="00366A0F">
        <w:rPr>
          <w:rFonts w:eastAsia="Times New Roman"/>
        </w:rPr>
        <w:t>test</w:t>
      </w:r>
      <w:r w:rsidR="00CA617F" w:rsidRPr="00366A0F">
        <w:rPr>
          <w:rFonts w:eastAsia="Times New Roman"/>
        </w:rPr>
        <w:t>s</w:t>
      </w:r>
      <w:r w:rsidR="005812B8" w:rsidRPr="00366A0F">
        <w:rPr>
          <w:rFonts w:eastAsia="Times New Roman"/>
        </w:rPr>
        <w:t xml:space="preserve"> </w:t>
      </w:r>
      <w:r w:rsidR="00303284" w:rsidRPr="00366A0F">
        <w:rPr>
          <w:rFonts w:eastAsia="Times New Roman"/>
        </w:rPr>
        <w:t>were</w:t>
      </w:r>
      <w:r w:rsidRPr="00366A0F">
        <w:rPr>
          <w:rFonts w:eastAsia="Times New Roman"/>
        </w:rPr>
        <w:t xml:space="preserve"> differentiated by the unique characteristics of a pre-cue. For exogenous cuing, the pre-cue initially involved a white unfilled square surrounding one of the other two squares for 50ms. Therein, one of the </w:t>
      </w:r>
      <w:r w:rsidR="005812B8" w:rsidRPr="00366A0F">
        <w:rPr>
          <w:rFonts w:eastAsia="Times New Roman"/>
        </w:rPr>
        <w:t xml:space="preserve">two </w:t>
      </w:r>
      <w:r w:rsidRPr="00366A0F">
        <w:rPr>
          <w:rFonts w:eastAsia="Times New Roman"/>
        </w:rPr>
        <w:t xml:space="preserve">squares became filled for 1500ms or until the participants responded. Trials could be discriminated by the relation between the side of space of the initial pre-cue and the location of the response cue. That is, a compatible relation between the </w:t>
      </w:r>
      <w:r w:rsidR="005812B8" w:rsidRPr="00366A0F">
        <w:rPr>
          <w:rFonts w:eastAsia="Times New Roman"/>
        </w:rPr>
        <w:t xml:space="preserve">side of space of the </w:t>
      </w:r>
      <w:r w:rsidRPr="00366A0F">
        <w:rPr>
          <w:rFonts w:eastAsia="Times New Roman"/>
        </w:rPr>
        <w:t xml:space="preserve">pre-cue and </w:t>
      </w:r>
      <w:r w:rsidR="005812B8" w:rsidRPr="00366A0F">
        <w:rPr>
          <w:rFonts w:eastAsia="Times New Roman"/>
        </w:rPr>
        <w:t xml:space="preserve">location of the </w:t>
      </w:r>
      <w:r w:rsidR="00F456C0" w:rsidRPr="00366A0F">
        <w:rPr>
          <w:rFonts w:eastAsia="Times New Roman"/>
        </w:rPr>
        <w:t>response cue was</w:t>
      </w:r>
      <w:r w:rsidRPr="00366A0F">
        <w:rPr>
          <w:rFonts w:eastAsia="Times New Roman"/>
        </w:rPr>
        <w:t xml:space="preserve"> regarded as a cued trial, w</w:t>
      </w:r>
      <w:r w:rsidR="00F456C0" w:rsidRPr="00366A0F">
        <w:rPr>
          <w:rFonts w:eastAsia="Times New Roman"/>
        </w:rPr>
        <w:t>hile an incompatible relation was</w:t>
      </w:r>
      <w:r w:rsidRPr="00366A0F">
        <w:rPr>
          <w:rFonts w:eastAsia="Times New Roman"/>
        </w:rPr>
        <w:t xml:space="preserve"> regarded as an uncued trial. The time difference between the pre-cue and response cue was set to 100ms and 800ms in order to exercise processes of cue facilitation and inhibition, respectively</w:t>
      </w:r>
      <w:r w:rsidR="00CA617F" w:rsidRPr="00366A0F">
        <w:rPr>
          <w:rFonts w:eastAsia="Times New Roman"/>
        </w:rPr>
        <w:t xml:space="preserve">. </w:t>
      </w:r>
      <w:r w:rsidRPr="00366A0F">
        <w:rPr>
          <w:rFonts w:eastAsia="Times New Roman"/>
        </w:rPr>
        <w:t>That is, a 100ms asynchrony typically generates a quicker response for cued compared to uncued trials (facilitation), while a 800ms asynchrony typically generates the inverse effect (inhibition)</w:t>
      </w:r>
      <w:r w:rsidR="00CA617F" w:rsidRPr="00366A0F">
        <w:rPr>
          <w:rFonts w:eastAsia="Times New Roman"/>
        </w:rPr>
        <w:t xml:space="preserve"> </w:t>
      </w:r>
      <w:r w:rsidR="00BC68D6" w:rsidRPr="00366A0F">
        <w:rPr>
          <w:rFonts w:eastAsia="Times New Roman"/>
        </w:rPr>
        <w:fldChar w:fldCharType="begin" w:fldLock="1"/>
      </w:r>
      <w:r w:rsidR="00616D7D">
        <w:rPr>
          <w:rFonts w:eastAsia="Times New Roman"/>
        </w:rPr>
        <w:instrText>ADDIN CSL_CITATION {"citationItems":[{"id":"ITEM-1","itemData":{"DOI":"10.1037/a0023524","ISSN":"15283542","abstract":"One can exert significant volitional control over the attentional filter so that stimuli that are consistent with one's explicit goals are more likely to receive attention and become part of one's conscious experience. Here we pair a mood induction procedure with an inattentional blindness task to show that one's current mood has a similar influence on attention. A positive, negative, or neutral mood manipulation was followed by an attentionally demanding multiple-object tracking task. During the tracking task, participants were more likely to notice an unexpected face when its emotional expression was congruent with participants' mood. This was particularly true for the frowning face, which was detected almost exclusively by participants in the sad mood induction condition. This attentional bias toward mood-congruent stimuli provides evidence that one's temporary mood can influence the attentional filter, thereby affecting the information that one extracts from, and how one experiences the world. © 2011 American Psychological Association.","author":[{"dropping-particle":"","family":"Becker","given":"Mark W.","non-dropping-particle":"","parse-names":false,"suffix":""},{"dropping-particle":"","family":"Leinenger","given":"Mallorie","non-dropping-particle":"","parse-names":false,"suffix":""}],"container-title":"Emotion","id":"ITEM-1","issue":"5","issued":{"date-parts":[["2011"]]},"page":"1248-1254","title":"Attentional selection is biased toward mood-congruent stimuli","type":"article-journal","volume":"11"},"uris":["http://www.mendeley.com/documents/?uuid=d9a0ccb4-fe6c-4da3-97bc-585917acf75e","http://www.mendeley.com/documents/?uuid=c8ffaed7-456d-4d57-a5e2-91806824ee4f"]},{"id":"ITEM-2","itemData":{"DOI":"10.1371/journal.pone.0165318","ISSN":"19326203","PMID":"27768747","abstract":"Fatigue resulting from strenuous exercise can impair cognition and oculomotor control. These impairments can be prevented by administering psychostimulants such as caffeine. This study used two experiments to explore the influence of caffeine administered at rest and during fatiguing physical exercise on spatial attention-a cognitive function that is crucial for task-based visually guided behavior. In independent placebo-controlled studies, cohorts of 12 healthy participants consumed caffeine and rested or completed 180 min of stationary cycling. Covert attentional orienting was measured in both experiments using a spatial cueing paradigm. We observed no alterations in attentional facilitation toward spatial cues suggesting that covert attentional orienting is not influenced by exercise fatigue or caffeine supplementation. Response times were increased (impaired) after exercise and this deterioration was prevented by caffeine supplementation. In the resting experiment, response times across all conditions and cues were decreased (improved) with caffeine. Covert spatial attention was not influenced by caffeine. Together, the results of these experiments suggest that covert attentional orienting is robust to the effects of fatiguing exercise and not influenced by caffeine. However, exercise fatigue impairs response times, which can be prevented by caffeine, suggesting that pre-motor planning and execution of the motor responses required for performance of the cueing task are sensitive to central nervous system fatigue. Caffeine improves response time in both fatigued and fresh conditions, most likely through action on networks controlling motor function.","author":[{"dropping-particle":"","family":"Connell","given":"Charlotte J.W.","non-dropping-particle":"","parse-names":false,"suffix":""},{"dropping-particle":"","family":"Thompson","given":"Benjamin","non-dropping-particle":"","parse-names":false,"suffix":""},{"dropping-particle":"","family":"Kuhn","given":"Gustav","non-dropping-particle":"","parse-names":false,"suffix":""},{"dropping-particle":"","family":"Gant","given":"Nicholas","non-dropping-particle":"","parse-names":false,"suffix":""}],"container-title":"PLoS ONE","id":"ITEM-2","issue":"10","issued":{"date-parts":[["2016"]]},"page":"1-19","title":"Exercise-induced fatigue and caffeine supplementation affect psychomotor performance but not covert visuo-spatial attention","type":"article-journal","volume":"11"},"uris":["http://www.mendeley.com/documents/?uuid=dfd67501-451e-4f74-adf6-d9d842007394","http://www.mendeley.com/documents/?uuid=c16dcefd-6e80-4a62-b2eb-072f2cd49187"]}],"mendeley":{"formattedCitation":"[45,46]","plainTextFormattedCitation":"[45,46]","previouslyFormattedCitation":"[45,46]"},"properties":{"noteIndex":0},"schema":"https://github.com/citation-style-language/schema/raw/master/csl-citation.json"}</w:instrText>
      </w:r>
      <w:r w:rsidR="00BC68D6" w:rsidRPr="00366A0F">
        <w:rPr>
          <w:rFonts w:eastAsia="Times New Roman"/>
        </w:rPr>
        <w:fldChar w:fldCharType="separate"/>
      </w:r>
      <w:r w:rsidR="00FD5371" w:rsidRPr="00FD5371">
        <w:rPr>
          <w:rFonts w:eastAsia="Times New Roman"/>
          <w:noProof/>
        </w:rPr>
        <w:t>[45,46]</w:t>
      </w:r>
      <w:r w:rsidR="00BC68D6" w:rsidRPr="00366A0F">
        <w:rPr>
          <w:rFonts w:eastAsia="Times New Roman"/>
        </w:rPr>
        <w:fldChar w:fldCharType="end"/>
      </w:r>
      <w:r w:rsidR="00CA617F" w:rsidRPr="00366A0F">
        <w:t>.</w:t>
      </w:r>
      <w:r w:rsidR="00CA617F" w:rsidRPr="00366A0F">
        <w:rPr>
          <w:rFonts w:eastAsia="Times New Roman"/>
        </w:rPr>
        <w:t xml:space="preserve"> </w:t>
      </w:r>
      <w:r w:rsidRPr="00366A0F">
        <w:rPr>
          <w:rFonts w:eastAsia="Times New Roman"/>
        </w:rPr>
        <w:t>There was an equal distribution of 20 trials for each type of trial (cued, uncued), side of space (left, right) and stimulus-onset asynchrony (100ms, 800ms). In addition, there were 16 catch trials where a response cue would not appear following the initial pre-cue, and thus required no response. Thus, there were total of 96 trials</w:t>
      </w:r>
      <w:r w:rsidR="008C46E8" w:rsidRPr="00366A0F">
        <w:rPr>
          <w:rFonts w:eastAsia="Times New Roman"/>
        </w:rPr>
        <w:t xml:space="preserve"> for the experiment</w:t>
      </w:r>
      <w:r w:rsidR="00F456C0" w:rsidRPr="00366A0F">
        <w:rPr>
          <w:rFonts w:eastAsia="Times New Roman"/>
        </w:rPr>
        <w:t xml:space="preserve"> and</w:t>
      </w:r>
      <w:r w:rsidRPr="00366A0F">
        <w:rPr>
          <w:rFonts w:eastAsia="Times New Roman"/>
        </w:rPr>
        <w:t xml:space="preserve"> 20 trials</w:t>
      </w:r>
      <w:r w:rsidR="008C46E8" w:rsidRPr="00366A0F">
        <w:rPr>
          <w:rFonts w:eastAsia="Times New Roman"/>
        </w:rPr>
        <w:t xml:space="preserve"> for initial practice</w:t>
      </w:r>
      <w:r w:rsidRPr="00366A0F">
        <w:rPr>
          <w:rFonts w:eastAsia="Times New Roman"/>
        </w:rPr>
        <w:t>.</w:t>
      </w:r>
    </w:p>
    <w:p w14:paraId="6B639FFD" w14:textId="77777777" w:rsidR="00073222" w:rsidRPr="00366A0F" w:rsidRDefault="00073222" w:rsidP="00073222">
      <w:pPr>
        <w:spacing w:line="360" w:lineRule="auto"/>
        <w:ind w:firstLine="720"/>
        <w:jc w:val="both"/>
        <w:rPr>
          <w:rFonts w:eastAsia="Times New Roman"/>
        </w:rPr>
      </w:pPr>
    </w:p>
    <w:p w14:paraId="0979D261" w14:textId="4D3529FE" w:rsidR="00C62FA7" w:rsidRPr="00366A0F" w:rsidRDefault="00C62FA7" w:rsidP="00073222">
      <w:pPr>
        <w:spacing w:line="360" w:lineRule="auto"/>
        <w:ind w:firstLine="720"/>
        <w:jc w:val="both"/>
        <w:rPr>
          <w:rFonts w:eastAsia="Times New Roman"/>
        </w:rPr>
      </w:pPr>
      <w:r w:rsidRPr="00366A0F">
        <w:rPr>
          <w:rFonts w:eastAsia="Times New Roman"/>
        </w:rPr>
        <w:lastRenderedPageBreak/>
        <w:t xml:space="preserve">For endogenous cuing, the pre-cue initially involved a set of white </w:t>
      </w:r>
      <w:r w:rsidR="00CA617F" w:rsidRPr="00366A0F">
        <w:rPr>
          <w:rFonts w:eastAsia="Times New Roman"/>
        </w:rPr>
        <w:t>arrowheads</w:t>
      </w:r>
      <w:r w:rsidRPr="00366A0F">
        <w:rPr>
          <w:rFonts w:eastAsia="Times New Roman"/>
        </w:rPr>
        <w:t xml:space="preserve"> (&lt;&lt; / &gt;&gt;) appearing at </w:t>
      </w:r>
      <w:r w:rsidR="005812B8" w:rsidRPr="00366A0F">
        <w:rPr>
          <w:rFonts w:eastAsia="Times New Roman"/>
        </w:rPr>
        <w:t>screen-</w:t>
      </w:r>
      <w:r w:rsidRPr="00366A0F">
        <w:rPr>
          <w:rFonts w:eastAsia="Times New Roman"/>
        </w:rPr>
        <w:t xml:space="preserve">centre for 50ms. Following a </w:t>
      </w:r>
      <w:r w:rsidR="00F456C0" w:rsidRPr="00366A0F">
        <w:rPr>
          <w:rFonts w:eastAsia="Times New Roman"/>
        </w:rPr>
        <w:t xml:space="preserve">further </w:t>
      </w:r>
      <w:r w:rsidRPr="00366A0F">
        <w:rPr>
          <w:rFonts w:eastAsia="Times New Roman"/>
        </w:rPr>
        <w:t>delay of 45</w:t>
      </w:r>
      <w:r w:rsidR="005812B8" w:rsidRPr="00366A0F">
        <w:rPr>
          <w:rFonts w:eastAsia="Times New Roman"/>
        </w:rPr>
        <w:t>0</w:t>
      </w:r>
      <w:r w:rsidRPr="00366A0F">
        <w:rPr>
          <w:rFonts w:eastAsia="Times New Roman"/>
        </w:rPr>
        <w:t xml:space="preserve">ms, one of the </w:t>
      </w:r>
      <w:r w:rsidR="005812B8" w:rsidRPr="00366A0F">
        <w:rPr>
          <w:rFonts w:eastAsia="Times New Roman"/>
        </w:rPr>
        <w:t xml:space="preserve">two </w:t>
      </w:r>
      <w:r w:rsidRPr="00366A0F">
        <w:rPr>
          <w:rFonts w:eastAsia="Times New Roman"/>
        </w:rPr>
        <w:t>squares was filled in white for 1500ms or until the participants responded. In a similar vein</w:t>
      </w:r>
      <w:r w:rsidR="00F456C0" w:rsidRPr="00366A0F">
        <w:rPr>
          <w:rFonts w:eastAsia="Times New Roman"/>
        </w:rPr>
        <w:t xml:space="preserve"> to</w:t>
      </w:r>
      <w:r w:rsidR="005812B8" w:rsidRPr="00366A0F">
        <w:rPr>
          <w:rFonts w:eastAsia="Times New Roman"/>
        </w:rPr>
        <w:t xml:space="preserve"> exogenous cuing</w:t>
      </w:r>
      <w:r w:rsidRPr="00366A0F">
        <w:rPr>
          <w:rFonts w:eastAsia="Times New Roman"/>
        </w:rPr>
        <w:t xml:space="preserve">, trials could be discriminated by the nature of the initial pre-cue and the location of the response cue. That is, a compatible relation between the </w:t>
      </w:r>
      <w:r w:rsidR="005812B8" w:rsidRPr="00366A0F">
        <w:rPr>
          <w:rFonts w:eastAsia="Times New Roman"/>
        </w:rPr>
        <w:t xml:space="preserve">direction of </w:t>
      </w:r>
      <w:r w:rsidRPr="00366A0F">
        <w:rPr>
          <w:rFonts w:eastAsia="Times New Roman"/>
        </w:rPr>
        <w:t xml:space="preserve">pre-cue and </w:t>
      </w:r>
      <w:r w:rsidR="005812B8" w:rsidRPr="00366A0F">
        <w:rPr>
          <w:rFonts w:eastAsia="Times New Roman"/>
        </w:rPr>
        <w:t xml:space="preserve">location of the </w:t>
      </w:r>
      <w:r w:rsidR="00F456C0" w:rsidRPr="00366A0F">
        <w:rPr>
          <w:rFonts w:eastAsia="Times New Roman"/>
        </w:rPr>
        <w:t>response cue was</w:t>
      </w:r>
      <w:r w:rsidRPr="00366A0F">
        <w:rPr>
          <w:rFonts w:eastAsia="Times New Roman"/>
        </w:rPr>
        <w:t xml:space="preserve"> regarded as a valid trial, while an incompatible </w:t>
      </w:r>
      <w:r w:rsidR="00F456C0" w:rsidRPr="00366A0F">
        <w:rPr>
          <w:rFonts w:eastAsia="Times New Roman"/>
        </w:rPr>
        <w:t>relation was</w:t>
      </w:r>
      <w:r w:rsidRPr="00366A0F">
        <w:rPr>
          <w:rFonts w:eastAsia="Times New Roman"/>
        </w:rPr>
        <w:t xml:space="preserve"> regarded as an invalid trial. Importantly, the frequency of valid trials was noticeably greater than invalid trials, which typically cues attention toward the same direction as the pre-cue. Consequently, the </w:t>
      </w:r>
      <w:r w:rsidR="00F456C0" w:rsidRPr="00366A0F">
        <w:rPr>
          <w:rFonts w:eastAsia="Times New Roman"/>
        </w:rPr>
        <w:t xml:space="preserve">ability to inhibit and reorient attention can be found when reducing the extent of the </w:t>
      </w:r>
      <w:r w:rsidRPr="00366A0F">
        <w:rPr>
          <w:rFonts w:eastAsia="Times New Roman"/>
        </w:rPr>
        <w:t>typically quicker response</w:t>
      </w:r>
      <w:r w:rsidR="00F456C0" w:rsidRPr="00366A0F">
        <w:rPr>
          <w:rFonts w:eastAsia="Times New Roman"/>
        </w:rPr>
        <w:t>s</w:t>
      </w:r>
      <w:r w:rsidRPr="00366A0F">
        <w:rPr>
          <w:rFonts w:eastAsia="Times New Roman"/>
        </w:rPr>
        <w:t xml:space="preserve"> for valid compared invalid trials</w:t>
      </w:r>
      <w:r w:rsidR="00B23A20" w:rsidRPr="00366A0F">
        <w:rPr>
          <w:rFonts w:eastAsia="Times New Roman"/>
        </w:rPr>
        <w:t xml:space="preserve"> </w:t>
      </w:r>
      <w:r w:rsidR="00BC68D6" w:rsidRPr="00366A0F">
        <w:rPr>
          <w:rFonts w:eastAsia="Times New Roman"/>
        </w:rPr>
        <w:fldChar w:fldCharType="begin" w:fldLock="1"/>
      </w:r>
      <w:r w:rsidR="00616D7D">
        <w:rPr>
          <w:rFonts w:eastAsia="Times New Roman"/>
        </w:rPr>
        <w:instrText>ADDIN CSL_CITATION {"citationItems":[{"id":"ITEM-1","itemData":{"DOI":"10.1371/journal.pone.0165318","ISSN":"19326203","PMID":"27768747","abstract":"Fatigue resulting from strenuous exercise can impair cognition and oculomotor control. These impairments can be prevented by administering psychostimulants such as caffeine. This study used two experiments to explore the influence of caffeine administered at rest and during fatiguing physical exercise on spatial attention-a cognitive function that is crucial for task-based visually guided behavior. In independent placebo-controlled studies, cohorts of 12 healthy participants consumed caffeine and rested or completed 180 min of stationary cycling. Covert attentional orienting was measured in both experiments using a spatial cueing paradigm. We observed no alterations in attentional facilitation toward spatial cues suggesting that covert attentional orienting is not influenced by exercise fatigue or caffeine supplementation. Response times were increased (impaired) after exercise and this deterioration was prevented by caffeine supplementation. In the resting experiment, response times across all conditions and cues were decreased (improved) with caffeine. Covert spatial attention was not influenced by caffeine. Together, the results of these experiments suggest that covert attentional orienting is robust to the effects of fatiguing exercise and not influenced by caffeine. However, exercise fatigue impairs response times, which can be prevented by caffeine, suggesting that pre-motor planning and execution of the motor responses required for performance of the cueing task are sensitive to central nervous system fatigue. Caffeine improves response time in both fatigued and fresh conditions, most likely through action on networks controlling motor function.","author":[{"dropping-particle":"","family":"Connell","given":"Charlotte J.W.","non-dropping-particle":"","parse-names":false,"suffix":""},{"dropping-particle":"","family":"Thompson","given":"Benjamin","non-dropping-particle":"","parse-names":false,"suffix":""},{"dropping-particle":"","family":"Kuhn","given":"Gustav","non-dropping-particle":"","parse-names":false,"suffix":""},{"dropping-particle":"","family":"Gant","given":"Nicholas","non-dropping-particle":"","parse-names":false,"suffix":""}],"container-title":"PLoS ONE","id":"ITEM-1","issue":"10","issued":{"date-parts":[["2016"]]},"page":"1-19","title":"Exercise-induced fatigue and caffeine supplementation affect psychomotor performance but not covert visuo-spatial attention","type":"article-journal","volume":"11"},"uris":["http://www.mendeley.com/documents/?uuid=c16dcefd-6e80-4a62-b2eb-072f2cd49187","http://www.mendeley.com/documents/?uuid=dfd67501-451e-4f74-adf6-d9d842007394"]},{"id":"ITEM-2","itemData":{"DOI":"10.1037/a0023524","ISSN":"15283542","abstract":"One can exert significant volitional control over the attentional filter so that stimuli that are consistent with one's explicit goals are more likely to receive attention and become part of one's conscious experience. Here we pair a mood induction procedure with an inattentional blindness task to show that one's current mood has a similar influence on attention. A positive, negative, or neutral mood manipulation was followed by an attentionally demanding multiple-object tracking task. During the tracking task, participants were more likely to notice an unexpected face when its emotional expression was congruent with participants' mood. This was particularly true for the frowning face, which was detected almost exclusively by participants in the sad mood induction condition. This attentional bias toward mood-congruent stimuli provides evidence that one's temporary mood can influence the attentional filter, thereby affecting the information that one extracts from, and how one experiences the world. © 2011 American Psychological Association.","author":[{"dropping-particle":"","family":"Becker","given":"Mark W.","non-dropping-particle":"","parse-names":false,"suffix":""},{"dropping-particle":"","family":"Leinenger","given":"Mallorie","non-dropping-particle":"","parse-names":false,"suffix":""}],"container-title":"Emotion","id":"ITEM-2","issue":"5","issued":{"date-parts":[["2011"]]},"page":"1248-1254","title":"Attentional selection is biased toward mood-congruent stimuli","type":"article-journal","volume":"11"},"uris":["http://www.mendeley.com/documents/?uuid=c8ffaed7-456d-4d57-a5e2-91806824ee4f","http://www.mendeley.com/documents/?uuid=d9a0ccb4-fe6c-4da3-97bc-585917acf75e","http://www.mendeley.com/documents/?uuid=0ae07c81-ea9c-4f60-ba28-921884e432c8"]}],"mendeley":{"formattedCitation":"[45,46]","plainTextFormattedCitation":"[45,46]","previouslyFormattedCitation":"[45,46]"},"properties":{"noteIndex":0},"schema":"https://github.com/citation-style-language/schema/raw/master/csl-citation.json"}</w:instrText>
      </w:r>
      <w:r w:rsidR="00BC68D6" w:rsidRPr="00366A0F">
        <w:rPr>
          <w:rFonts w:eastAsia="Times New Roman"/>
        </w:rPr>
        <w:fldChar w:fldCharType="separate"/>
      </w:r>
      <w:r w:rsidR="00FD5371" w:rsidRPr="00FD5371">
        <w:rPr>
          <w:rFonts w:eastAsia="Times New Roman"/>
          <w:noProof/>
        </w:rPr>
        <w:t>[45,46]</w:t>
      </w:r>
      <w:r w:rsidR="00BC68D6" w:rsidRPr="00366A0F">
        <w:rPr>
          <w:rFonts w:eastAsia="Times New Roman"/>
        </w:rPr>
        <w:fldChar w:fldCharType="end"/>
      </w:r>
      <w:r w:rsidR="00B23A20" w:rsidRPr="00366A0F">
        <w:rPr>
          <w:rFonts w:eastAsia="Times New Roman"/>
        </w:rPr>
        <w:t>.</w:t>
      </w:r>
      <w:r w:rsidR="00CA617F" w:rsidRPr="00366A0F">
        <w:rPr>
          <w:rFonts w:eastAsia="Times New Roman"/>
        </w:rPr>
        <w:t xml:space="preserve"> </w:t>
      </w:r>
      <w:r w:rsidRPr="00366A0F">
        <w:rPr>
          <w:rFonts w:eastAsia="Times New Roman"/>
        </w:rPr>
        <w:t>There were 32 valid</w:t>
      </w:r>
      <w:r w:rsidR="00F456C0" w:rsidRPr="00366A0F">
        <w:rPr>
          <w:rFonts w:eastAsia="Times New Roman"/>
        </w:rPr>
        <w:t>, 8 invalid and 8 catch trials–comprising a total of 48 trials–</w:t>
      </w:r>
      <w:r w:rsidR="008C46E8" w:rsidRPr="00366A0F">
        <w:rPr>
          <w:rFonts w:eastAsia="Times New Roman"/>
        </w:rPr>
        <w:t xml:space="preserve">for the experiment </w:t>
      </w:r>
      <w:r w:rsidR="003C7D3A" w:rsidRPr="00366A0F">
        <w:rPr>
          <w:rFonts w:eastAsia="Times New Roman"/>
        </w:rPr>
        <w:t xml:space="preserve">and </w:t>
      </w:r>
      <w:r w:rsidRPr="00366A0F">
        <w:rPr>
          <w:rFonts w:eastAsia="Times New Roman"/>
        </w:rPr>
        <w:t>10 trials</w:t>
      </w:r>
      <w:r w:rsidR="008C46E8" w:rsidRPr="00366A0F">
        <w:rPr>
          <w:rFonts w:eastAsia="Times New Roman"/>
        </w:rPr>
        <w:t xml:space="preserve"> for initial practice</w:t>
      </w:r>
      <w:r w:rsidRPr="00366A0F">
        <w:rPr>
          <w:rFonts w:eastAsia="Times New Roman"/>
        </w:rPr>
        <w:t>.</w:t>
      </w:r>
    </w:p>
    <w:p w14:paraId="41CAC75B" w14:textId="77777777" w:rsidR="00073222" w:rsidRPr="00366A0F" w:rsidRDefault="00073222" w:rsidP="00073222">
      <w:pPr>
        <w:spacing w:line="360" w:lineRule="auto"/>
        <w:ind w:firstLine="720"/>
        <w:jc w:val="both"/>
        <w:rPr>
          <w:rFonts w:eastAsia="Times New Roman"/>
        </w:rPr>
      </w:pPr>
    </w:p>
    <w:p w14:paraId="7264FFEF" w14:textId="1C10CCA1" w:rsidR="00073222" w:rsidRPr="00366A0F" w:rsidRDefault="00B3474D" w:rsidP="00073222">
      <w:pPr>
        <w:spacing w:line="360" w:lineRule="auto"/>
        <w:ind w:firstLine="720"/>
        <w:jc w:val="both"/>
        <w:rPr>
          <w:rFonts w:eastAsia="Times New Roman"/>
        </w:rPr>
      </w:pPr>
      <w:r w:rsidRPr="00366A0F">
        <w:rPr>
          <w:rFonts w:eastAsia="Times New Roman"/>
        </w:rPr>
        <w:t>R</w:t>
      </w:r>
      <w:r w:rsidR="008C4C4E" w:rsidRPr="00366A0F">
        <w:rPr>
          <w:rFonts w:eastAsia="Times New Roman"/>
        </w:rPr>
        <w:t>eaction times were</w:t>
      </w:r>
      <w:r w:rsidRPr="00366A0F">
        <w:rPr>
          <w:rFonts w:eastAsia="Times New Roman"/>
        </w:rPr>
        <w:t xml:space="preserve"> recorded as the time difference between stimulus and response onset. </w:t>
      </w:r>
      <w:r w:rsidR="008C4C4E" w:rsidRPr="00366A0F">
        <w:rPr>
          <w:rFonts w:eastAsia="Times New Roman"/>
        </w:rPr>
        <w:t>Trials w</w:t>
      </w:r>
      <w:r w:rsidR="00256AE1" w:rsidRPr="00366A0F">
        <w:rPr>
          <w:rFonts w:eastAsia="Times New Roman"/>
        </w:rPr>
        <w:t>h</w:t>
      </w:r>
      <w:r w:rsidR="008C4C4E" w:rsidRPr="00366A0F">
        <w:rPr>
          <w:rFonts w:eastAsia="Times New Roman"/>
        </w:rPr>
        <w:t xml:space="preserve">ere there was a false (&lt;100ms) or delayed (&gt;1000ms) reaction, or responses were made to the incorrect side of space were removed from any subsequent calculations. </w:t>
      </w:r>
      <w:r w:rsidRPr="00366A0F">
        <w:rPr>
          <w:rFonts w:eastAsia="Times New Roman"/>
        </w:rPr>
        <w:t xml:space="preserve">The </w:t>
      </w:r>
      <w:r w:rsidR="008C4C4E" w:rsidRPr="00366A0F">
        <w:rPr>
          <w:rFonts w:eastAsia="Times New Roman"/>
        </w:rPr>
        <w:t xml:space="preserve">dependent </w:t>
      </w:r>
      <w:r w:rsidRPr="00366A0F">
        <w:rPr>
          <w:rFonts w:eastAsia="Times New Roman"/>
        </w:rPr>
        <w:t xml:space="preserve">measure </w:t>
      </w:r>
      <w:r w:rsidR="008C4C4E" w:rsidRPr="00366A0F">
        <w:rPr>
          <w:rFonts w:eastAsia="Times New Roman"/>
        </w:rPr>
        <w:t xml:space="preserve">involved </w:t>
      </w:r>
      <w:r w:rsidRPr="00366A0F">
        <w:rPr>
          <w:rFonts w:eastAsia="Times New Roman"/>
        </w:rPr>
        <w:t xml:space="preserve">the </w:t>
      </w:r>
      <w:r w:rsidR="008C4C4E" w:rsidRPr="00366A0F">
        <w:rPr>
          <w:rFonts w:eastAsia="Times New Roman"/>
        </w:rPr>
        <w:t>cu</w:t>
      </w:r>
      <w:r w:rsidRPr="00366A0F">
        <w:rPr>
          <w:rFonts w:eastAsia="Times New Roman"/>
        </w:rPr>
        <w:t xml:space="preserve">ing effect, which was calculated as the mean participant reaction time to the cued/valid trials minus the </w:t>
      </w:r>
      <w:r w:rsidR="00694616" w:rsidRPr="00366A0F">
        <w:rPr>
          <w:rFonts w:eastAsia="Times New Roman"/>
        </w:rPr>
        <w:t>un</w:t>
      </w:r>
      <w:r w:rsidRPr="00366A0F">
        <w:rPr>
          <w:rFonts w:eastAsia="Times New Roman"/>
        </w:rPr>
        <w:t>cued/</w:t>
      </w:r>
      <w:r w:rsidR="00694616" w:rsidRPr="00366A0F">
        <w:rPr>
          <w:rFonts w:eastAsia="Times New Roman"/>
        </w:rPr>
        <w:t>in</w:t>
      </w:r>
      <w:r w:rsidRPr="00366A0F">
        <w:rPr>
          <w:rFonts w:eastAsia="Times New Roman"/>
        </w:rPr>
        <w:t xml:space="preserve">valid trials. Thus, </w:t>
      </w:r>
      <w:r w:rsidR="008C4C4E" w:rsidRPr="00366A0F">
        <w:rPr>
          <w:rFonts w:eastAsia="Times New Roman"/>
        </w:rPr>
        <w:t xml:space="preserve">a </w:t>
      </w:r>
      <w:r w:rsidRPr="00366A0F">
        <w:rPr>
          <w:rFonts w:eastAsia="Times New Roman"/>
        </w:rPr>
        <w:t xml:space="preserve">more </w:t>
      </w:r>
      <w:r w:rsidR="00694616" w:rsidRPr="00366A0F">
        <w:rPr>
          <w:rFonts w:eastAsia="Times New Roman"/>
        </w:rPr>
        <w:t xml:space="preserve">negative </w:t>
      </w:r>
      <w:r w:rsidRPr="00366A0F">
        <w:rPr>
          <w:rFonts w:eastAsia="Times New Roman"/>
        </w:rPr>
        <w:t>score indicated a</w:t>
      </w:r>
      <w:r w:rsidR="008C4C4E" w:rsidRPr="00366A0F">
        <w:rPr>
          <w:rFonts w:eastAsia="Times New Roman"/>
        </w:rPr>
        <w:t xml:space="preserve"> quicker response to the cued/</w:t>
      </w:r>
      <w:r w:rsidRPr="00366A0F">
        <w:rPr>
          <w:rFonts w:eastAsia="Times New Roman"/>
        </w:rPr>
        <w:t>valid trials than the uncued/invalid trials</w:t>
      </w:r>
      <w:r w:rsidR="008C4C4E" w:rsidRPr="00366A0F">
        <w:rPr>
          <w:rFonts w:eastAsia="Times New Roman"/>
        </w:rPr>
        <w:t>.</w:t>
      </w:r>
    </w:p>
    <w:p w14:paraId="21887AF4" w14:textId="7C109864" w:rsidR="00B3474D" w:rsidRPr="00366A0F" w:rsidRDefault="00B3474D" w:rsidP="00073222">
      <w:pPr>
        <w:spacing w:line="360" w:lineRule="auto"/>
        <w:ind w:firstLine="720"/>
        <w:jc w:val="both"/>
        <w:rPr>
          <w:rFonts w:eastAsia="Times New Roman"/>
        </w:rPr>
      </w:pPr>
    </w:p>
    <w:p w14:paraId="69D57CB9" w14:textId="77777777" w:rsidR="00D14A08" w:rsidRPr="00366A0F" w:rsidRDefault="00741761" w:rsidP="00073222">
      <w:pPr>
        <w:spacing w:line="360" w:lineRule="auto"/>
        <w:jc w:val="both"/>
        <w:rPr>
          <w:rFonts w:eastAsia="Times New Roman"/>
          <w:i/>
        </w:rPr>
      </w:pPr>
      <w:r w:rsidRPr="00366A0F">
        <w:rPr>
          <w:rFonts w:eastAsia="Times New Roman"/>
          <w:i/>
        </w:rPr>
        <w:t>Rapid Visual Information Processing (RVIP)</w:t>
      </w:r>
    </w:p>
    <w:p w14:paraId="3E1EA557" w14:textId="6AA847B9" w:rsidR="008C4C4E" w:rsidRPr="00366A0F" w:rsidRDefault="005317EB" w:rsidP="00073222">
      <w:pPr>
        <w:spacing w:line="360" w:lineRule="auto"/>
        <w:jc w:val="both"/>
        <w:rPr>
          <w:rFonts w:eastAsia="Times New Roman"/>
        </w:rPr>
      </w:pPr>
      <w:r w:rsidRPr="00366A0F">
        <w:rPr>
          <w:rFonts w:eastAsia="Times New Roman"/>
        </w:rPr>
        <w:t xml:space="preserve">RVIP assesses the ability to </w:t>
      </w:r>
      <w:r w:rsidR="00741761" w:rsidRPr="00366A0F">
        <w:rPr>
          <w:rFonts w:eastAsia="Times New Roman"/>
        </w:rPr>
        <w:t xml:space="preserve">sustain attention </w:t>
      </w:r>
      <w:r w:rsidRPr="00366A0F">
        <w:rPr>
          <w:rFonts w:eastAsia="Times New Roman"/>
        </w:rPr>
        <w:t xml:space="preserve">to visual stimuli </w:t>
      </w:r>
      <w:r w:rsidR="00A94094" w:rsidRPr="00366A0F">
        <w:rPr>
          <w:rFonts w:eastAsia="Times New Roman"/>
        </w:rPr>
        <w:fldChar w:fldCharType="begin" w:fldLock="1"/>
      </w:r>
      <w:r w:rsidR="00616D7D">
        <w:rPr>
          <w:rFonts w:eastAsia="Times New Roman"/>
        </w:rPr>
        <w:instrText>ADDIN CSL_CITATION {"citationItems":[{"id":"ITEM-1","itemData":{"DOI":"10.1159/000117969","ISSN":"0302-282X","abstract":"In this paper two experiments are reported which were designed to investigate the effects of smoking on the performance of a rapid information processing task. The task involves the detection of sequences of three consecutive digits of the same parity from a series of digits presented visually at the rate of 100/min. In the first experiment smoking improved both the speed and accuracy of performance above rested baseline levels, the greatest improvement occurring with the highest nicotine and tar delivery cigarette. In the second experiment smoking again improved the speed and accuracy of performance above baseline levels, while performance deteriorated over time after not smoking as well as after smoking nicotine-free cigarettes. These findings demonstrate that smoking produces absolute improvements in performance and are explained in terms of the action of nicotine on central cholinergic pathways.","author":[{"dropping-particle":"","family":"Wesnes","given":"K.","non-dropping-particle":"","parse-names":false,"suffix":""},{"dropping-particle":"","family":"Warburton","given":"D.M.","non-dropping-particle":"","parse-names":false,"suffix":""}],"container-title":"Neuropsychobiology","id":"ITEM-1","issue":"4","issued":{"date-parts":[["1983"]]},"page":"223-229","publisher":"Karger Publishers","title":"Effects of Smoking on Rapid Information Processing Performance","type":"article-journal","volume":"9"},"uris":["http://www.mendeley.com/documents/?uuid=60af8cfa-5910-3554-8cf6-55abb12431b1","http://www.mendeley.com/documents/?uuid=8a8559d3-45f6-4d27-9150-14aa13eec101"]},{"id":"ITEM-2","itemData":{"DOI":"10.1016/0028-3932(96)00029-2","ISSN":"00283932","PMID":"8904746","abstract":"The rapid visual information processing (RVIP) task, a test of sustained attention which also requires working memory for its successful execution, has been used in a number of human psychopharmacological studies. Single digits are presented in quick succession (100 or 200 digits/min) on a computer screen, and target sequences of numbers must be detected with a button press. Although previous neuroimaging studies have implicated the frontal and parietal cortices in performance of simple sustained attention tasks, the neuroanatomical substrates of RVIP performance are not yet known. This information would prove invaluable in the interpretation of drug effects on this task, possibly delineating a neuronal network for neurotransmitter action. Therefore, this study investigated the functional anatomy of the RVIP task using positron emission tomography (PET) derived measures of regional cerebral blood flow (rCBF) in eight healthy volunteers. Subjects were required to perform variants of the RVIP task which manipulated both the level of working memory load and the speed of stimulus presentation. Compared with a rest condition (eyes closed), the RVIP task increased rCBF bilaterally in the inferior frontal gyri, parietal cortex and fusiform gyrus, and also in the right frontal superior gyrus rostrally. In comparison with a simple sustained attention control condition, the aforementioned right frontal activations were no longer apparent. We suggest that these data are consistent with the existence of a right fronto-parietal network for sustained, and possibly selective, attention, and a left fronto-parietal network for the phonological loop component of working memory.","author":[{"dropping-particle":"","family":"Coull","given":"J. T.","non-dropping-particle":"","parse-names":false,"suffix":""},{"dropping-particle":"","family":"Frith","given":"C. D.","non-dropping-particle":"","parse-names":false,"suffix":""},{"dropping-particle":"","family":"Frackowiak","given":"R. S.J.","non-dropping-particle":"","parse-names":false,"suffix":""},{"dropping-particle":"","family":"Grasby","given":"P. M.","non-dropping-particle":"","parse-names":false,"suffix":""}],"container-title":"Neuropsychologia","id":"ITEM-2","issue":"11","issued":{"date-parts":[["1996"]]},"page":"1085-1095","title":"A fronto-parietal network for rapid visual information processing: A PET study of sustained attention and working memory","type":"article-journal","volume":"34"},"uris":["http://www.mendeley.com/documents/?uuid=1d33c9fb-9fbb-4a29-bdcf-73826443aebd","http://www.mendeley.com/documents/?uuid=9987d77f-bb4b-46d5-a9d5-6915e4ebda1d"]},{"id":"ITEM-3","itemData":{"DOI":"10.1139/H09-057","ISSN":"17155312","abstract":"A round of golf lasts approximately 4 h, during which time homeostasis could be challenged through either hypoglycemia or hypohydration. This might result in impaired motor skill or cognitive performance. Given the high cognitive demand of putting and the potential fatiguing effects from prolonged walking, the combination of a caffeine and carbohydrate drink could be beneficial in offsetting hypoglycemia and hypohydration. This study used a laboratory-simulated round of golf to examine the effect of an isotonic carbohydrate and caffeine sports drink on putting performance during a round of golf. After institutional ethics approval, 20 male golfers (mean ± standard deviation: age 23 ± 4 years, stature 176.4 ± 5.6 cm, mass 72.8 ± 17.4 kg, handicap 15 ± 4, daily caffeine consumption 157.3 ± 47.2 mg) consumed either an isotonic sports drink containing caffeine (6.4 g carbohydrate and 16 mg caffeine per 100 mL) or a no-energy, flavour-matched placebo drink in a double-blind, randomized, counter-balanced crossover design. Drinks were consumed preround (5 mL·kg-1 body mass (BM)) and at holes 6 and 12 (2.5 mL·kg-1 BM). Participants therefore consumed 1.6 mg·kg-1 BM of caffeine and 0.64 g·kg-1 BM of carbohydrate throughout the trial. Five and 2 m putting performance were assessed at each hole. Self-rated mood assessments were carried out every third hole. Putting performance over 5 m and 2 m and self-rated scores for alertness and relaxation showed a main effect for drink (p &lt; 0.05). Ratings of mental fatigue and tiredness significantly increased during the round (p &lt; 0.001). In experienced golfers, the consumption of an isotonic carbohydrate sports drink containing caffeine prior to and during a round of golf improved putting performance and increased feelings of alertness.","author":[{"dropping-particle":"","family":"Stevenson","given":"Emma J.","non-dropping-particle":"","parse-names":false,"suffix":""},{"dropping-particle":"","family":"Hayes","given":"Philip R.","non-dropping-particle":"","parse-names":false,"suffix":""},{"dropping-particle":"","family":"Allison","given":"Sarah J.","non-dropping-particle":"","parse-names":false,"suffix":""}],"container-title":"Applied Physiology, Nutrition and Metabolism","id":"ITEM-3","issue":"4","issued":{"date-parts":[["2009"]]},"page":"681-688","title":"The effect of a carbohydrate-caffeine sports drink on simulated golf performance","type":"article-journal","volume":"34"},"uris":["http://www.mendeley.com/documents/?uuid=bd8d5c58-155d-4085-8ae8-5856d1d869a7","http://www.mendeley.com/documents/?uuid=88f55f61-6922-4af5-85ea-924f69df376f"]}],"mendeley":{"formattedCitation":"[47–49]","plainTextFormattedCitation":"[47–49]","previouslyFormattedCitation":"[47–49]"},"properties":{"noteIndex":0},"schema":"https://github.com/citation-style-language/schema/raw/master/csl-citation.json"}</w:instrText>
      </w:r>
      <w:r w:rsidR="00A94094" w:rsidRPr="00366A0F">
        <w:rPr>
          <w:rFonts w:eastAsia="Times New Roman"/>
        </w:rPr>
        <w:fldChar w:fldCharType="separate"/>
      </w:r>
      <w:r w:rsidR="00FD5371" w:rsidRPr="00FD5371">
        <w:rPr>
          <w:rFonts w:eastAsia="Times New Roman"/>
          <w:noProof/>
        </w:rPr>
        <w:t>[47–49]</w:t>
      </w:r>
      <w:r w:rsidR="00A94094" w:rsidRPr="00366A0F">
        <w:rPr>
          <w:rFonts w:eastAsia="Times New Roman"/>
        </w:rPr>
        <w:fldChar w:fldCharType="end"/>
      </w:r>
      <w:r w:rsidR="00A94094" w:rsidRPr="00366A0F">
        <w:rPr>
          <w:rFonts w:eastAsia="Times New Roman"/>
        </w:rPr>
        <w:t xml:space="preserve">. </w:t>
      </w:r>
      <w:r w:rsidRPr="00366A0F">
        <w:rPr>
          <w:rFonts w:eastAsia="Times New Roman"/>
        </w:rPr>
        <w:t xml:space="preserve">Stimuli featured </w:t>
      </w:r>
      <w:r w:rsidR="00741761" w:rsidRPr="00366A0F">
        <w:rPr>
          <w:rFonts w:eastAsia="Times New Roman"/>
        </w:rPr>
        <w:t>single digits (1-</w:t>
      </w:r>
      <w:r w:rsidRPr="00366A0F">
        <w:rPr>
          <w:rFonts w:eastAsia="Times New Roman"/>
        </w:rPr>
        <w:t>10</w:t>
      </w:r>
      <w:r w:rsidR="00741761" w:rsidRPr="00366A0F">
        <w:rPr>
          <w:rFonts w:eastAsia="Times New Roman"/>
        </w:rPr>
        <w:t xml:space="preserve">) </w:t>
      </w:r>
      <w:r w:rsidRPr="00366A0F">
        <w:rPr>
          <w:rFonts w:eastAsia="Times New Roman"/>
        </w:rPr>
        <w:t xml:space="preserve">being sequentially presented </w:t>
      </w:r>
      <w:r w:rsidR="00080F2A" w:rsidRPr="00366A0F">
        <w:rPr>
          <w:rFonts w:eastAsia="Times New Roman"/>
        </w:rPr>
        <w:t>at the centre of</w:t>
      </w:r>
      <w:r w:rsidRPr="00366A0F">
        <w:rPr>
          <w:rFonts w:eastAsia="Times New Roman"/>
        </w:rPr>
        <w:t xml:space="preserve"> an LCD monitor</w:t>
      </w:r>
      <w:r w:rsidR="00EA3CC1" w:rsidRPr="00366A0F">
        <w:rPr>
          <w:rFonts w:eastAsia="Times New Roman"/>
        </w:rPr>
        <w:t xml:space="preserve">. </w:t>
      </w:r>
      <w:r w:rsidR="00741761" w:rsidRPr="00366A0F">
        <w:rPr>
          <w:rFonts w:eastAsia="Times New Roman"/>
        </w:rPr>
        <w:t xml:space="preserve">Participants were </w:t>
      </w:r>
      <w:r w:rsidR="0067772E" w:rsidRPr="00366A0F">
        <w:rPr>
          <w:rFonts w:eastAsia="Times New Roman"/>
        </w:rPr>
        <w:t>instructed to</w:t>
      </w:r>
      <w:r w:rsidR="00080F2A" w:rsidRPr="00366A0F">
        <w:rPr>
          <w:rFonts w:eastAsia="Times New Roman"/>
        </w:rPr>
        <w:t xml:space="preserve"> </w:t>
      </w:r>
      <w:r w:rsidR="007A7508" w:rsidRPr="00366A0F">
        <w:rPr>
          <w:rFonts w:eastAsia="Times New Roman"/>
        </w:rPr>
        <w:t xml:space="preserve">press the spacebar key of a keyboard as soon as </w:t>
      </w:r>
      <w:r w:rsidR="00080F2A" w:rsidRPr="00366A0F">
        <w:rPr>
          <w:rFonts w:eastAsia="Times New Roman"/>
        </w:rPr>
        <w:t xml:space="preserve">a digit </w:t>
      </w:r>
      <w:r w:rsidR="007A7508" w:rsidRPr="00366A0F">
        <w:rPr>
          <w:rFonts w:eastAsia="Times New Roman"/>
        </w:rPr>
        <w:t xml:space="preserve">was presented </w:t>
      </w:r>
      <w:r w:rsidR="00080F2A" w:rsidRPr="00366A0F">
        <w:rPr>
          <w:rFonts w:eastAsia="Times New Roman"/>
        </w:rPr>
        <w:t>that completed a unique three-digit sequence</w:t>
      </w:r>
      <w:r w:rsidR="007A7508" w:rsidRPr="00366A0F">
        <w:rPr>
          <w:rFonts w:eastAsia="Times New Roman"/>
        </w:rPr>
        <w:t>:</w:t>
      </w:r>
      <w:r w:rsidR="00741761" w:rsidRPr="00366A0F">
        <w:rPr>
          <w:rFonts w:eastAsia="Times New Roman"/>
        </w:rPr>
        <w:t xml:space="preserve"> 2-4-6, 4-6-8</w:t>
      </w:r>
      <w:r w:rsidR="007A7508" w:rsidRPr="00366A0F">
        <w:rPr>
          <w:rFonts w:eastAsia="Times New Roman"/>
        </w:rPr>
        <w:t>,</w:t>
      </w:r>
      <w:r w:rsidR="00741761" w:rsidRPr="00366A0F">
        <w:rPr>
          <w:rFonts w:eastAsia="Times New Roman"/>
        </w:rPr>
        <w:t xml:space="preserve"> 3-5-7. </w:t>
      </w:r>
      <w:r w:rsidR="00627D6C" w:rsidRPr="00366A0F">
        <w:rPr>
          <w:rFonts w:eastAsia="Times New Roman"/>
        </w:rPr>
        <w:t xml:space="preserve">Each digit was presented for 600ms </w:t>
      </w:r>
      <w:r w:rsidR="00FA2F26" w:rsidRPr="00366A0F">
        <w:rPr>
          <w:rFonts w:eastAsia="Times New Roman"/>
        </w:rPr>
        <w:t xml:space="preserve">with no inter-stimulus interval. However, </w:t>
      </w:r>
      <w:r w:rsidR="001A344E" w:rsidRPr="00366A0F">
        <w:rPr>
          <w:rFonts w:eastAsia="Times New Roman"/>
        </w:rPr>
        <w:t xml:space="preserve">the </w:t>
      </w:r>
      <w:r w:rsidR="00FA2F26" w:rsidRPr="00366A0F">
        <w:rPr>
          <w:rFonts w:eastAsia="Times New Roman"/>
        </w:rPr>
        <w:t xml:space="preserve">digits were alternatively presented for 1500ms </w:t>
      </w:r>
      <w:r w:rsidR="001A344E" w:rsidRPr="00366A0F">
        <w:rPr>
          <w:rFonts w:eastAsia="Times New Roman"/>
        </w:rPr>
        <w:t>whenever</w:t>
      </w:r>
      <w:r w:rsidR="00FA2F26" w:rsidRPr="00366A0F">
        <w:rPr>
          <w:rFonts w:eastAsia="Times New Roman"/>
        </w:rPr>
        <w:t xml:space="preserve"> they </w:t>
      </w:r>
      <w:r w:rsidR="00627D6C" w:rsidRPr="00366A0F">
        <w:rPr>
          <w:rFonts w:eastAsia="Times New Roman"/>
        </w:rPr>
        <w:t>completed a target sequence</w:t>
      </w:r>
      <w:r w:rsidR="00FA2F26" w:rsidRPr="00366A0F">
        <w:rPr>
          <w:rFonts w:eastAsia="Times New Roman"/>
        </w:rPr>
        <w:t xml:space="preserve">. </w:t>
      </w:r>
      <w:r w:rsidR="001A344E" w:rsidRPr="00366A0F">
        <w:rPr>
          <w:rFonts w:eastAsia="Times New Roman"/>
        </w:rPr>
        <w:t xml:space="preserve">There were 8 target sequences per min, and the test lasted continuously for 5mins (100 digits per min). Prior practice on the test was completed over 1min. </w:t>
      </w:r>
      <w:r w:rsidR="008C4C4E" w:rsidRPr="00366A0F">
        <w:rPr>
          <w:rFonts w:eastAsia="Times New Roman"/>
        </w:rPr>
        <w:t>The d</w:t>
      </w:r>
      <w:r w:rsidR="00B3474D" w:rsidRPr="00366A0F">
        <w:rPr>
          <w:rFonts w:eastAsia="Times New Roman"/>
        </w:rPr>
        <w:t xml:space="preserve">ependent measures </w:t>
      </w:r>
      <w:r w:rsidR="008C4C4E" w:rsidRPr="00366A0F">
        <w:rPr>
          <w:rFonts w:eastAsia="Times New Roman"/>
        </w:rPr>
        <w:t>involved</w:t>
      </w:r>
      <w:r w:rsidR="00B3474D" w:rsidRPr="00366A0F">
        <w:rPr>
          <w:rFonts w:eastAsia="Times New Roman"/>
        </w:rPr>
        <w:t xml:space="preserve"> reaction times to target sequences, proportion of false (&lt;100ms) or delayed (&gt;1000ms) reactions, an</w:t>
      </w:r>
      <w:r w:rsidR="008C4C4E" w:rsidRPr="00366A0F">
        <w:rPr>
          <w:rFonts w:eastAsia="Times New Roman"/>
        </w:rPr>
        <w:t>d proportion of missed targets.</w:t>
      </w:r>
    </w:p>
    <w:p w14:paraId="2ACE7AC7" w14:textId="77777777" w:rsidR="00451548" w:rsidRPr="00366A0F" w:rsidRDefault="00451548" w:rsidP="00073222">
      <w:pPr>
        <w:spacing w:line="360" w:lineRule="auto"/>
        <w:jc w:val="both"/>
        <w:rPr>
          <w:rFonts w:eastAsia="Times New Roman"/>
        </w:rPr>
      </w:pPr>
    </w:p>
    <w:p w14:paraId="38B9D62B" w14:textId="77777777" w:rsidR="00D14A08" w:rsidRPr="00366A0F" w:rsidRDefault="00741761" w:rsidP="00073222">
      <w:pPr>
        <w:spacing w:line="360" w:lineRule="auto"/>
        <w:jc w:val="both"/>
        <w:rPr>
          <w:rFonts w:eastAsia="Times New Roman"/>
          <w:i/>
        </w:rPr>
      </w:pPr>
      <w:r w:rsidRPr="00366A0F">
        <w:rPr>
          <w:rFonts w:eastAsia="Times New Roman"/>
          <w:i/>
        </w:rPr>
        <w:t>Statistical Analysis</w:t>
      </w:r>
    </w:p>
    <w:p w14:paraId="0F706E3D" w14:textId="678CBD3A" w:rsidR="00073222" w:rsidRPr="00366A0F" w:rsidRDefault="00741761" w:rsidP="00073222">
      <w:pPr>
        <w:spacing w:line="360" w:lineRule="auto"/>
        <w:jc w:val="both"/>
        <w:rPr>
          <w:rFonts w:eastAsia="Times New Roman"/>
        </w:rPr>
      </w:pPr>
      <w:r w:rsidRPr="00366A0F">
        <w:rPr>
          <w:rFonts w:eastAsia="Times New Roman"/>
        </w:rPr>
        <w:t>The data w</w:t>
      </w:r>
      <w:r w:rsidR="00410D46" w:rsidRPr="00366A0F">
        <w:rPr>
          <w:rFonts w:eastAsia="Times New Roman"/>
        </w:rPr>
        <w:t>ere</w:t>
      </w:r>
      <w:r w:rsidRPr="00366A0F">
        <w:rPr>
          <w:rFonts w:eastAsia="Times New Roman"/>
        </w:rPr>
        <w:t xml:space="preserve"> analysed </w:t>
      </w:r>
      <w:r w:rsidR="00B51E12" w:rsidRPr="00366A0F">
        <w:rPr>
          <w:rFonts w:eastAsia="Times New Roman"/>
        </w:rPr>
        <w:t>through</w:t>
      </w:r>
      <w:r w:rsidRPr="00366A0F">
        <w:rPr>
          <w:rFonts w:eastAsia="Times New Roman"/>
        </w:rPr>
        <w:t xml:space="preserve"> linear mixed modelling (LMM) </w:t>
      </w:r>
      <w:r w:rsidR="00B51E12" w:rsidRPr="00366A0F">
        <w:rPr>
          <w:rFonts w:eastAsia="Times New Roman"/>
        </w:rPr>
        <w:t>using the statistical package IBM SPSS Statistics (</w:t>
      </w:r>
      <w:r w:rsidRPr="00366A0F">
        <w:rPr>
          <w:rFonts w:eastAsia="Times New Roman"/>
        </w:rPr>
        <w:t>Version 25, Chicago, IL, USA). A</w:t>
      </w:r>
      <w:r w:rsidR="008F7DDF" w:rsidRPr="00366A0F">
        <w:rPr>
          <w:rFonts w:eastAsia="Times New Roman"/>
        </w:rPr>
        <w:t>n</w:t>
      </w:r>
      <w:r w:rsidRPr="00366A0F">
        <w:rPr>
          <w:rFonts w:eastAsia="Times New Roman"/>
        </w:rPr>
        <w:t xml:space="preserve"> LMM was utilised due to its ability </w:t>
      </w:r>
      <w:r w:rsidRPr="00366A0F">
        <w:rPr>
          <w:rFonts w:eastAsia="Times New Roman"/>
        </w:rPr>
        <w:lastRenderedPageBreak/>
        <w:t xml:space="preserve">to provide unbiased data in the presence of missing data </w:t>
      </w:r>
      <w:r w:rsidR="0049624A" w:rsidRPr="00366A0F">
        <w:rPr>
          <w:rFonts w:eastAsia="Times New Roman"/>
        </w:rPr>
        <w:t xml:space="preserve">(there was 57 missing data points from </w:t>
      </w:r>
      <w:r w:rsidR="000A2745" w:rsidRPr="00366A0F">
        <w:rPr>
          <w:rFonts w:eastAsia="Times New Roman"/>
        </w:rPr>
        <w:t xml:space="preserve">a total of </w:t>
      </w:r>
      <w:r w:rsidR="0049624A" w:rsidRPr="00366A0F">
        <w:rPr>
          <w:rFonts w:eastAsia="Times New Roman"/>
        </w:rPr>
        <w:t>1800</w:t>
      </w:r>
      <w:r w:rsidR="00AC6317" w:rsidRPr="00366A0F">
        <w:rPr>
          <w:rFonts w:eastAsia="Times New Roman"/>
        </w:rPr>
        <w:t>)</w:t>
      </w:r>
      <w:r w:rsidR="0049624A" w:rsidRPr="00366A0F">
        <w:rPr>
          <w:rFonts w:eastAsia="Times New Roman"/>
        </w:rPr>
        <w:t xml:space="preserve"> </w:t>
      </w:r>
      <w:r w:rsidR="007865BB" w:rsidRPr="00366A0F">
        <w:rPr>
          <w:rFonts w:eastAsia="Times New Roman"/>
        </w:rPr>
        <w:fldChar w:fldCharType="begin" w:fldLock="1"/>
      </w:r>
      <w:r w:rsidR="00616D7D">
        <w:rPr>
          <w:rFonts w:eastAsia="Times New Roman"/>
        </w:rPr>
        <w:instrText>ADDIN CSL_CITATION {"citationItems":[{"id":"ITEM-1","itemData":{"DOI":"10.1177/1099800404267682","ISBN":"1099800404","ISSN":"10998004","abstract":"Longitudinal methods are the methods of choice for researchers who view their phenomena of interest as dynamic. Although statistical methods have remained largely fixed in a linear view of biology and behavior, more recent methods, such as the general linear mixed model (mixed model), can be used to analyze dynamic phenomena that are often of interest to nurses. Two strengths of the mixed model are (1) the ability to accommodate missing data points often encountered in longitudinal datasets and (2) the ability to model nonlinear, individual characteristics. The purpose of this article is to demonstrate the advantages of using the mixed model for analyzing nonlinear, longitudinal datasets with multiple missing data points by comparing the mixed model to the widely used repeated measures ANOVA using an experimental set of data. The decision-making steps in analyzing the data using both the mixed model and the repeated measures ANOVA are described. Copyright © 2004 Sage Publications.","author":[{"dropping-particle":"","family":"Krueger","given":"Charlene","non-dropping-particle":"","parse-names":false,"suffix":""},{"dropping-particle":"","family":"Tian","given":"Lili","non-dropping-particle":"","parse-names":false,"suffix":""}],"container-title":"Biological Research for Nursing","id":"ITEM-1","issue":"2","issued":{"date-parts":[["2004"]]},"page":"151-157","title":"A comparison of the general linear mixed model and repeated measures ANOVA using a dataset with multiple missing data points","type":"article-journal","volume":"6"},"uris":["http://www.mendeley.com/documents/?uuid=0fc555bf-54ea-48ae-96ed-6e6a844becc7","http://www.mendeley.com/documents/?uuid=6bf0d058-71fe-4f38-804f-eac534c44bfd"]}],"mendeley":{"formattedCitation":"[50]","plainTextFormattedCitation":"[50]","previouslyFormattedCitation":"[50]"},"properties":{"noteIndex":0},"schema":"https://github.com/citation-style-language/schema/raw/master/csl-citation.json"}</w:instrText>
      </w:r>
      <w:r w:rsidR="007865BB" w:rsidRPr="00366A0F">
        <w:rPr>
          <w:rFonts w:eastAsia="Times New Roman"/>
        </w:rPr>
        <w:fldChar w:fldCharType="separate"/>
      </w:r>
      <w:r w:rsidR="00FD5371" w:rsidRPr="00FD5371">
        <w:rPr>
          <w:rFonts w:eastAsia="Times New Roman"/>
          <w:noProof/>
        </w:rPr>
        <w:t>[50]</w:t>
      </w:r>
      <w:r w:rsidR="007865BB" w:rsidRPr="00366A0F">
        <w:rPr>
          <w:rFonts w:eastAsia="Times New Roman"/>
        </w:rPr>
        <w:fldChar w:fldCharType="end"/>
      </w:r>
      <w:r w:rsidRPr="00366A0F">
        <w:rPr>
          <w:rFonts w:eastAsia="Times New Roman"/>
        </w:rPr>
        <w:t xml:space="preserve">. Baseline measurements were </w:t>
      </w:r>
      <w:r w:rsidR="00D719D9" w:rsidRPr="00366A0F">
        <w:rPr>
          <w:rFonts w:eastAsia="Times New Roman"/>
        </w:rPr>
        <w:t xml:space="preserve">entered </w:t>
      </w:r>
      <w:r w:rsidRPr="00366A0F">
        <w:rPr>
          <w:rFonts w:eastAsia="Times New Roman"/>
        </w:rPr>
        <w:t>as a covariat</w:t>
      </w:r>
      <w:r w:rsidR="00D719D9" w:rsidRPr="00366A0F">
        <w:rPr>
          <w:rFonts w:eastAsia="Times New Roman"/>
        </w:rPr>
        <w:t>e</w:t>
      </w:r>
      <w:r w:rsidRPr="00366A0F">
        <w:rPr>
          <w:rFonts w:eastAsia="Times New Roman"/>
        </w:rPr>
        <w:t xml:space="preserve"> and the treatment effect from baseline </w:t>
      </w:r>
      <w:r w:rsidR="008F7DDF" w:rsidRPr="00366A0F">
        <w:rPr>
          <w:rFonts w:eastAsia="Times New Roman"/>
        </w:rPr>
        <w:t xml:space="preserve">(i.e. difference from baseline) </w:t>
      </w:r>
      <w:r w:rsidRPr="00366A0F">
        <w:rPr>
          <w:rFonts w:eastAsia="Times New Roman"/>
        </w:rPr>
        <w:t>were analysed in each measure.</w:t>
      </w:r>
      <w:r w:rsidR="00CC16B3" w:rsidRPr="00366A0F">
        <w:rPr>
          <w:rFonts w:eastAsia="Times New Roman"/>
        </w:rPr>
        <w:t xml:space="preserve"> </w:t>
      </w:r>
      <w:r w:rsidRPr="00366A0F">
        <w:rPr>
          <w:rFonts w:eastAsia="Times New Roman"/>
        </w:rPr>
        <w:t>All models began as a null and were progressed to more complex parsimonious hierarchical models. The 4 time points (</w:t>
      </w:r>
      <w:r w:rsidR="000376E3" w:rsidRPr="00366A0F">
        <w:rPr>
          <w:rFonts w:eastAsia="Times New Roman"/>
        </w:rPr>
        <w:t>w</w:t>
      </w:r>
      <w:r w:rsidRPr="00366A0F">
        <w:rPr>
          <w:rFonts w:eastAsia="Times New Roman"/>
        </w:rPr>
        <w:t>eeks 1, 2, 3 and 4) and the three experimental groups (Placebo, 12g and 18g) were treated as categorical fixed effects. Random effects were associated with the individual participants.</w:t>
      </w:r>
      <w:r w:rsidR="006D2DE5" w:rsidRPr="00366A0F">
        <w:rPr>
          <w:rFonts w:eastAsia="Times New Roman"/>
        </w:rPr>
        <w:t xml:space="preserve"> Significant effects were decomposed using the Fisher LSD post hoc procedure.</w:t>
      </w:r>
    </w:p>
    <w:p w14:paraId="55D87660" w14:textId="77777777" w:rsidR="00B51E12" w:rsidRPr="00366A0F" w:rsidRDefault="00B51E12" w:rsidP="00073222">
      <w:pPr>
        <w:spacing w:line="360" w:lineRule="auto"/>
        <w:jc w:val="both"/>
        <w:rPr>
          <w:rFonts w:eastAsia="Times New Roman"/>
        </w:rPr>
      </w:pPr>
    </w:p>
    <w:p w14:paraId="4C5A081C" w14:textId="114E2D60" w:rsidR="00D14A08" w:rsidRPr="00366A0F" w:rsidRDefault="00741761" w:rsidP="00073222">
      <w:pPr>
        <w:spacing w:line="360" w:lineRule="auto"/>
        <w:ind w:firstLine="720"/>
        <w:jc w:val="both"/>
        <w:rPr>
          <w:rFonts w:eastAsia="Times New Roman"/>
        </w:rPr>
      </w:pPr>
      <w:r w:rsidRPr="00366A0F">
        <w:rPr>
          <w:rFonts w:eastAsia="Times New Roman"/>
        </w:rPr>
        <w:t xml:space="preserve">A basic variance components model was executed to calculate the intraclass correlation (ICC) of the random factors for participant number to determine if any contributed significance variance to the dependent variable, as seen in Table 1. Model fit was assessed using Akaike’s information criterion (AIC). For the dependent variable (treatment effect), AIC revealed the models that best fit the data utilised either the AR-1 or AR-1: Heterogenous repeated covariance structure for the repeated measures. Significance was set at P&lt;.05. Where appropriate, post hoc analyses </w:t>
      </w:r>
      <w:r w:rsidR="00046546" w:rsidRPr="00366A0F">
        <w:rPr>
          <w:rFonts w:eastAsia="Times New Roman"/>
        </w:rPr>
        <w:t xml:space="preserve">(LSD) </w:t>
      </w:r>
      <w:r w:rsidRPr="00366A0F">
        <w:rPr>
          <w:rFonts w:eastAsia="Times New Roman"/>
        </w:rPr>
        <w:t>and the inclusion of 95% confidence intervals (CI) of the differences is reported. All data is represented as mean difference from baseline ± standard error.</w:t>
      </w:r>
    </w:p>
    <w:p w14:paraId="561F5461" w14:textId="0C7F351D" w:rsidR="00B51E12" w:rsidRPr="00366A0F" w:rsidRDefault="00B51E12" w:rsidP="00B51E12">
      <w:pPr>
        <w:spacing w:line="360" w:lineRule="auto"/>
        <w:jc w:val="both"/>
        <w:rPr>
          <w:rFonts w:eastAsia="Times New Roman"/>
        </w:rPr>
      </w:pPr>
    </w:p>
    <w:p w14:paraId="07255422" w14:textId="77777777" w:rsidR="00B51E12" w:rsidRPr="00366A0F" w:rsidRDefault="00B51E12" w:rsidP="00B51E12">
      <w:pPr>
        <w:spacing w:line="360" w:lineRule="auto"/>
        <w:jc w:val="both"/>
        <w:rPr>
          <w:rFonts w:eastAsia="Times New Roman"/>
        </w:rPr>
      </w:pPr>
    </w:p>
    <w:p w14:paraId="64ADDC94" w14:textId="14280CB0" w:rsidR="00906D26" w:rsidRPr="00366A0F" w:rsidRDefault="00741761" w:rsidP="008C4C4E">
      <w:pPr>
        <w:spacing w:before="240" w:after="240" w:line="360" w:lineRule="auto"/>
        <w:jc w:val="both"/>
        <w:rPr>
          <w:rFonts w:eastAsia="Times New Roman"/>
          <w:b/>
        </w:rPr>
      </w:pPr>
      <w:r w:rsidRPr="00366A0F">
        <w:rPr>
          <w:rFonts w:eastAsia="Times New Roman"/>
          <w:b/>
        </w:rPr>
        <w:t>Results</w:t>
      </w:r>
    </w:p>
    <w:p w14:paraId="5D98A67D" w14:textId="77777777" w:rsidR="00D14A08" w:rsidRPr="00366A0F" w:rsidRDefault="00741761" w:rsidP="008C4C4E">
      <w:pPr>
        <w:spacing w:before="240" w:after="240" w:line="360" w:lineRule="auto"/>
        <w:jc w:val="both"/>
        <w:rPr>
          <w:rFonts w:eastAsia="Times New Roman"/>
          <w:i/>
        </w:rPr>
      </w:pPr>
      <w:r w:rsidRPr="00366A0F">
        <w:rPr>
          <w:rFonts w:eastAsia="Times New Roman"/>
          <w:i/>
        </w:rPr>
        <w:t>Variance Calculations</w:t>
      </w:r>
    </w:p>
    <w:p w14:paraId="4437F741" w14:textId="77777777" w:rsidR="00D14A08" w:rsidRPr="00366A0F" w:rsidRDefault="00741761" w:rsidP="0067772E">
      <w:pPr>
        <w:spacing w:before="240" w:after="240" w:line="360" w:lineRule="auto"/>
        <w:jc w:val="both"/>
        <w:rPr>
          <w:rFonts w:eastAsia="Times New Roman"/>
        </w:rPr>
      </w:pPr>
      <w:r w:rsidRPr="00366A0F">
        <w:rPr>
          <w:rFonts w:eastAsia="Times New Roman"/>
        </w:rPr>
        <w:t>Table 1 shows the ICC’s (%) of the random factors accounted for in the linear model. The individuals contributed significant variance to the dependent variable in all measures. Hence, they were included in all of the larger hierarchical models.</w:t>
      </w:r>
    </w:p>
    <w:p w14:paraId="32155D65" w14:textId="77777777" w:rsidR="00D14A08" w:rsidRPr="00366A0F" w:rsidRDefault="00741761" w:rsidP="008C4C4E">
      <w:pPr>
        <w:spacing w:before="240" w:after="240" w:line="360" w:lineRule="auto"/>
        <w:ind w:firstLine="709"/>
        <w:jc w:val="center"/>
        <w:rPr>
          <w:rFonts w:eastAsia="Times New Roman"/>
          <w:b/>
        </w:rPr>
      </w:pPr>
      <w:r w:rsidRPr="00366A0F">
        <w:rPr>
          <w:rFonts w:eastAsia="Times New Roman"/>
          <w:b/>
        </w:rPr>
        <w:t>[Insert Table 1 Around Here]</w:t>
      </w:r>
    </w:p>
    <w:p w14:paraId="4024358B" w14:textId="77777777" w:rsidR="00D14A08" w:rsidRPr="00366A0F" w:rsidRDefault="00741761" w:rsidP="008C4C4E">
      <w:pPr>
        <w:spacing w:before="240" w:after="240" w:line="360" w:lineRule="auto"/>
        <w:jc w:val="both"/>
        <w:rPr>
          <w:rFonts w:eastAsia="Times New Roman"/>
          <w:i/>
        </w:rPr>
      </w:pPr>
      <w:r w:rsidRPr="00366A0F">
        <w:rPr>
          <w:rFonts w:eastAsia="Times New Roman"/>
          <w:i/>
        </w:rPr>
        <w:t>Trail Making</w:t>
      </w:r>
    </w:p>
    <w:p w14:paraId="14346E77" w14:textId="1159D3E0" w:rsidR="00672B01" w:rsidRPr="00366A0F" w:rsidRDefault="00741761" w:rsidP="0067772E">
      <w:pPr>
        <w:spacing w:before="240" w:after="240" w:line="360" w:lineRule="auto"/>
        <w:jc w:val="both"/>
        <w:rPr>
          <w:rFonts w:eastAsia="Times New Roman"/>
        </w:rPr>
      </w:pPr>
      <w:r w:rsidRPr="00366A0F">
        <w:rPr>
          <w:rFonts w:eastAsia="Times New Roman"/>
        </w:rPr>
        <w:t xml:space="preserve">For TM A, </w:t>
      </w:r>
      <w:r w:rsidR="00CC16B3" w:rsidRPr="00366A0F">
        <w:rPr>
          <w:rFonts w:eastAsia="Times New Roman"/>
        </w:rPr>
        <w:t>there was no significant main effect of group (p=0.149), although there was a significant main effect of time (p</w:t>
      </w:r>
      <w:r w:rsidR="00CC16B3" w:rsidRPr="00016E04">
        <w:rPr>
          <w:rFonts w:eastAsia="Times New Roman"/>
          <w:color w:val="000000" w:themeColor="text1"/>
        </w:rPr>
        <w:t xml:space="preserve">&lt;0.001). This effect was superseded by </w:t>
      </w:r>
      <w:r w:rsidR="00672B01" w:rsidRPr="00016E04">
        <w:rPr>
          <w:rFonts w:eastAsia="Times New Roman"/>
          <w:color w:val="000000" w:themeColor="text1"/>
        </w:rPr>
        <w:t xml:space="preserve">a significant group x time interaction </w:t>
      </w:r>
      <w:r w:rsidR="002555A5" w:rsidRPr="00016E04">
        <w:rPr>
          <w:rFonts w:eastAsia="Times New Roman"/>
          <w:color w:val="000000" w:themeColor="text1"/>
        </w:rPr>
        <w:t xml:space="preserve">(p&lt;0.001) </w:t>
      </w:r>
      <w:r w:rsidR="00672B01" w:rsidRPr="00016E04">
        <w:rPr>
          <w:rFonts w:eastAsia="Times New Roman"/>
          <w:color w:val="000000" w:themeColor="text1"/>
        </w:rPr>
        <w:t xml:space="preserve">(Figure </w:t>
      </w:r>
      <w:r w:rsidR="00F66B69" w:rsidRPr="00016E04">
        <w:rPr>
          <w:rFonts w:eastAsia="Times New Roman"/>
          <w:b/>
          <w:bCs/>
          <w:color w:val="000000" w:themeColor="text1"/>
        </w:rPr>
        <w:t>3</w:t>
      </w:r>
      <w:r w:rsidR="00672B01" w:rsidRPr="00016E04">
        <w:rPr>
          <w:rFonts w:eastAsia="Times New Roman"/>
          <w:color w:val="000000" w:themeColor="text1"/>
        </w:rPr>
        <w:t xml:space="preserve">A). </w:t>
      </w:r>
      <w:r w:rsidR="00672B01" w:rsidRPr="00366A0F">
        <w:rPr>
          <w:rFonts w:eastAsia="Times New Roman"/>
        </w:rPr>
        <w:t xml:space="preserve">Post hoc analysis revealed that the 12g group performed significantly better than the Placebo group in </w:t>
      </w:r>
      <w:r w:rsidR="000376E3" w:rsidRPr="00366A0F">
        <w:rPr>
          <w:rFonts w:eastAsia="Times New Roman"/>
        </w:rPr>
        <w:t>w</w:t>
      </w:r>
      <w:r w:rsidR="00672B01" w:rsidRPr="00366A0F">
        <w:rPr>
          <w:rFonts w:eastAsia="Times New Roman"/>
        </w:rPr>
        <w:t xml:space="preserve">eek 4 (p=0.045). The 18g group </w:t>
      </w:r>
      <w:r w:rsidR="00672B01" w:rsidRPr="00366A0F">
        <w:rPr>
          <w:rFonts w:eastAsia="Times New Roman"/>
        </w:rPr>
        <w:lastRenderedPageBreak/>
        <w:t xml:space="preserve">performed significantly better than the Placebo group in </w:t>
      </w:r>
      <w:r w:rsidR="000376E3" w:rsidRPr="00366A0F">
        <w:rPr>
          <w:rFonts w:eastAsia="Times New Roman"/>
        </w:rPr>
        <w:t>w</w:t>
      </w:r>
      <w:r w:rsidR="00672B01" w:rsidRPr="00366A0F">
        <w:rPr>
          <w:rFonts w:eastAsia="Times New Roman"/>
        </w:rPr>
        <w:t>eeks 3 (p=0.001) and 4 (p&lt;0.001)</w:t>
      </w:r>
      <w:r w:rsidR="002473D7" w:rsidRPr="00366A0F">
        <w:rPr>
          <w:rFonts w:eastAsia="Times New Roman"/>
        </w:rPr>
        <w:t>,</w:t>
      </w:r>
      <w:r w:rsidR="00672B01" w:rsidRPr="00366A0F">
        <w:rPr>
          <w:rFonts w:eastAsia="Times New Roman"/>
        </w:rPr>
        <w:t xml:space="preserve"> </w:t>
      </w:r>
      <w:r w:rsidR="002555A5" w:rsidRPr="00366A0F">
        <w:rPr>
          <w:rFonts w:eastAsia="Times New Roman"/>
        </w:rPr>
        <w:t>and</w:t>
      </w:r>
      <w:r w:rsidR="00672B01" w:rsidRPr="00366A0F">
        <w:rPr>
          <w:rFonts w:eastAsia="Times New Roman"/>
        </w:rPr>
        <w:t xml:space="preserve"> the 12g group in </w:t>
      </w:r>
      <w:r w:rsidR="000376E3" w:rsidRPr="00366A0F">
        <w:rPr>
          <w:rFonts w:eastAsia="Times New Roman"/>
        </w:rPr>
        <w:t>w</w:t>
      </w:r>
      <w:r w:rsidR="00672B01" w:rsidRPr="00366A0F">
        <w:rPr>
          <w:rFonts w:eastAsia="Times New Roman"/>
        </w:rPr>
        <w:t xml:space="preserve">eeks 3 (p=0.014) and 4 (p=0.001). </w:t>
      </w:r>
      <w:r w:rsidR="002555A5" w:rsidRPr="00366A0F">
        <w:rPr>
          <w:rFonts w:eastAsia="Times New Roman"/>
        </w:rPr>
        <w:t xml:space="preserve">There were no further significant differences in any of the </w:t>
      </w:r>
      <w:r w:rsidR="000376E3" w:rsidRPr="00366A0F">
        <w:rPr>
          <w:rFonts w:eastAsia="Times New Roman"/>
        </w:rPr>
        <w:t>w</w:t>
      </w:r>
      <w:r w:rsidR="002555A5" w:rsidRPr="00366A0F">
        <w:rPr>
          <w:rFonts w:eastAsia="Times New Roman"/>
        </w:rPr>
        <w:t>eeks (</w:t>
      </w:r>
      <w:r w:rsidR="002555A5" w:rsidRPr="00366A0F">
        <w:rPr>
          <w:rFonts w:eastAsia="Times New Roman"/>
          <w:i/>
        </w:rPr>
        <w:t>ps</w:t>
      </w:r>
      <w:r w:rsidR="002555A5" w:rsidRPr="00366A0F">
        <w:rPr>
          <w:rFonts w:eastAsia="Times New Roman"/>
        </w:rPr>
        <w:t xml:space="preserve"> &gt; .05).</w:t>
      </w:r>
    </w:p>
    <w:p w14:paraId="178CA1D1" w14:textId="754F4D2D" w:rsidR="002555A5" w:rsidRPr="00366A0F" w:rsidRDefault="002555A5" w:rsidP="00073222">
      <w:pPr>
        <w:spacing w:before="240" w:after="240" w:line="360" w:lineRule="auto"/>
        <w:ind w:firstLine="720"/>
        <w:jc w:val="both"/>
        <w:rPr>
          <w:rFonts w:eastAsia="Times New Roman"/>
        </w:rPr>
      </w:pPr>
      <w:r w:rsidRPr="00366A0F">
        <w:rPr>
          <w:rFonts w:eastAsia="Times New Roman"/>
        </w:rPr>
        <w:t xml:space="preserve">For TM B, </w:t>
      </w:r>
      <w:r w:rsidR="00CC16B3" w:rsidRPr="00366A0F">
        <w:rPr>
          <w:rFonts w:eastAsia="Times New Roman"/>
        </w:rPr>
        <w:t xml:space="preserve">there was no significant main effect of group (p=0.065), although there was a significant main effect of time (p&lt;0.001). This effect was superseded by </w:t>
      </w:r>
      <w:r w:rsidRPr="00366A0F">
        <w:rPr>
          <w:rFonts w:eastAsia="Times New Roman"/>
        </w:rPr>
        <w:t>a significant group x time interaction (p&lt;0.001) (</w:t>
      </w:r>
      <w:r w:rsidRPr="00016E04">
        <w:rPr>
          <w:rFonts w:eastAsia="Times New Roman"/>
          <w:color w:val="000000" w:themeColor="text1"/>
        </w:rPr>
        <w:t xml:space="preserve">Figure </w:t>
      </w:r>
      <w:r w:rsidR="00F66B69" w:rsidRPr="00016E04">
        <w:rPr>
          <w:rFonts w:eastAsia="Times New Roman"/>
          <w:b/>
          <w:bCs/>
          <w:color w:val="000000" w:themeColor="text1"/>
        </w:rPr>
        <w:t>3</w:t>
      </w:r>
      <w:r w:rsidRPr="00016E04">
        <w:rPr>
          <w:rFonts w:eastAsia="Times New Roman"/>
          <w:color w:val="000000" w:themeColor="text1"/>
        </w:rPr>
        <w:t>B). Post hoc analysis revealed that the 12g and 18g groups performed significantly better than the Place</w:t>
      </w:r>
      <w:r w:rsidRPr="00366A0F">
        <w:rPr>
          <w:rFonts w:eastAsia="Times New Roman"/>
        </w:rPr>
        <w:t xml:space="preserve">bo group in </w:t>
      </w:r>
      <w:r w:rsidR="000376E3" w:rsidRPr="00366A0F">
        <w:rPr>
          <w:rFonts w:eastAsia="Times New Roman"/>
        </w:rPr>
        <w:t>w</w:t>
      </w:r>
      <w:r w:rsidRPr="00366A0F">
        <w:rPr>
          <w:rFonts w:eastAsia="Times New Roman"/>
        </w:rPr>
        <w:t xml:space="preserve">eeks 2 (p=0.018; p=0.023), 3 (p=0.018; p=0.001) and 4 (p=0.016; p=0.001), respectively. There was no significant difference between the 12g and 18g groups in any of the </w:t>
      </w:r>
      <w:r w:rsidR="000376E3" w:rsidRPr="00366A0F">
        <w:rPr>
          <w:rFonts w:eastAsia="Times New Roman"/>
        </w:rPr>
        <w:t>w</w:t>
      </w:r>
      <w:r w:rsidRPr="00366A0F">
        <w:rPr>
          <w:rFonts w:eastAsia="Times New Roman"/>
        </w:rPr>
        <w:t xml:space="preserve">eeks (ps &gt; .05). </w:t>
      </w:r>
    </w:p>
    <w:p w14:paraId="5E4C3C53" w14:textId="1894657C" w:rsidR="00D14A08" w:rsidRPr="00366A0F" w:rsidRDefault="00EF3648" w:rsidP="008C4C4E">
      <w:pPr>
        <w:spacing w:before="240" w:after="240" w:line="360" w:lineRule="auto"/>
        <w:jc w:val="both"/>
        <w:rPr>
          <w:rFonts w:eastAsia="Times New Roman"/>
          <w:i/>
        </w:rPr>
      </w:pPr>
      <w:r w:rsidRPr="00366A0F">
        <w:rPr>
          <w:rFonts w:eastAsia="Times New Roman"/>
          <w:i/>
        </w:rPr>
        <w:t xml:space="preserve">Memory </w:t>
      </w:r>
      <w:r w:rsidR="00741761" w:rsidRPr="00366A0F">
        <w:rPr>
          <w:rFonts w:eastAsia="Times New Roman"/>
          <w:i/>
        </w:rPr>
        <w:t>Span</w:t>
      </w:r>
    </w:p>
    <w:p w14:paraId="673060D2" w14:textId="01718801" w:rsidR="006768EB" w:rsidRPr="00366A0F" w:rsidRDefault="00542D87" w:rsidP="0067772E">
      <w:pPr>
        <w:spacing w:before="240" w:after="240" w:line="360" w:lineRule="auto"/>
        <w:jc w:val="both"/>
        <w:rPr>
          <w:rFonts w:eastAsia="Times New Roman"/>
        </w:rPr>
      </w:pPr>
      <w:r w:rsidRPr="00366A0F">
        <w:rPr>
          <w:rFonts w:eastAsia="Times New Roman"/>
        </w:rPr>
        <w:t>For</w:t>
      </w:r>
      <w:r w:rsidR="00741761" w:rsidRPr="00366A0F">
        <w:rPr>
          <w:rFonts w:eastAsia="Times New Roman"/>
        </w:rPr>
        <w:t xml:space="preserve"> DS Forwards,</w:t>
      </w:r>
      <w:r w:rsidR="006768EB" w:rsidRPr="00366A0F">
        <w:rPr>
          <w:rFonts w:eastAsia="Times New Roman"/>
        </w:rPr>
        <w:t xml:space="preserve"> </w:t>
      </w:r>
      <w:r w:rsidR="00CC16B3" w:rsidRPr="00366A0F">
        <w:rPr>
          <w:rFonts w:eastAsia="Times New Roman"/>
        </w:rPr>
        <w:t>there w</w:t>
      </w:r>
      <w:r w:rsidR="002473D7" w:rsidRPr="00366A0F">
        <w:rPr>
          <w:rFonts w:eastAsia="Times New Roman"/>
        </w:rPr>
        <w:t>ere</w:t>
      </w:r>
      <w:r w:rsidR="00CC16B3" w:rsidRPr="00366A0F">
        <w:rPr>
          <w:rFonts w:eastAsia="Times New Roman"/>
        </w:rPr>
        <w:t xml:space="preserve"> significant main effect</w:t>
      </w:r>
      <w:r w:rsidR="002473D7" w:rsidRPr="00366A0F">
        <w:rPr>
          <w:rFonts w:eastAsia="Times New Roman"/>
        </w:rPr>
        <w:t>s</w:t>
      </w:r>
      <w:r w:rsidR="00CC16B3" w:rsidRPr="00366A0F">
        <w:rPr>
          <w:rFonts w:eastAsia="Times New Roman"/>
        </w:rPr>
        <w:t xml:space="preserve"> of both group and time (ps&lt;0.001). These effects were superseded by </w:t>
      </w:r>
      <w:r w:rsidR="006768EB" w:rsidRPr="00366A0F">
        <w:rPr>
          <w:rFonts w:eastAsia="Times New Roman"/>
        </w:rPr>
        <w:t xml:space="preserve">a significant group x time interaction (p&lt;0.001) (Figure </w:t>
      </w:r>
      <w:r w:rsidR="00F66B69" w:rsidRPr="00AB0891">
        <w:rPr>
          <w:rFonts w:eastAsia="Times New Roman"/>
          <w:b/>
          <w:bCs/>
          <w:color w:val="FF0000"/>
        </w:rPr>
        <w:t>3</w:t>
      </w:r>
      <w:r w:rsidR="006768EB" w:rsidRPr="00366A0F">
        <w:rPr>
          <w:rFonts w:eastAsia="Times New Roman"/>
        </w:rPr>
        <w:t xml:space="preserve">C). Post hoc analysis revealed that the 12g and 18g groups significantly outperformed the Placebo group in </w:t>
      </w:r>
      <w:r w:rsidR="000376E3" w:rsidRPr="00366A0F">
        <w:rPr>
          <w:rFonts w:eastAsia="Times New Roman"/>
        </w:rPr>
        <w:t>w</w:t>
      </w:r>
      <w:r w:rsidR="006768EB" w:rsidRPr="00366A0F">
        <w:rPr>
          <w:rFonts w:eastAsia="Times New Roman"/>
        </w:rPr>
        <w:t xml:space="preserve">eeks 2 (p&lt;0.001; p=0.007), 3 (ps&lt;0.001) and 4 (ps&lt;0.001), respectively. There was no significant difference between the 12g and 18g groups in any of the </w:t>
      </w:r>
      <w:r w:rsidR="000376E3" w:rsidRPr="00366A0F">
        <w:rPr>
          <w:rFonts w:eastAsia="Times New Roman"/>
        </w:rPr>
        <w:t>w</w:t>
      </w:r>
      <w:r w:rsidR="006768EB" w:rsidRPr="00366A0F">
        <w:rPr>
          <w:rFonts w:eastAsia="Times New Roman"/>
        </w:rPr>
        <w:t>eeks (ps &gt; .05).</w:t>
      </w:r>
    </w:p>
    <w:p w14:paraId="4EBAD0C4" w14:textId="2B34A45C" w:rsidR="00D14A08" w:rsidRPr="00366A0F" w:rsidRDefault="006768EB" w:rsidP="00073222">
      <w:pPr>
        <w:spacing w:before="240" w:after="240" w:line="360" w:lineRule="auto"/>
        <w:ind w:firstLine="720"/>
        <w:jc w:val="both"/>
        <w:rPr>
          <w:rFonts w:eastAsia="Times New Roman"/>
        </w:rPr>
      </w:pPr>
      <w:r w:rsidRPr="00366A0F">
        <w:rPr>
          <w:rFonts w:eastAsia="Times New Roman"/>
        </w:rPr>
        <w:t xml:space="preserve">For DS Backwards, </w:t>
      </w:r>
      <w:r w:rsidR="00CC16B3" w:rsidRPr="00366A0F">
        <w:rPr>
          <w:rFonts w:eastAsia="Times New Roman"/>
        </w:rPr>
        <w:t>there w</w:t>
      </w:r>
      <w:r w:rsidR="002473D7" w:rsidRPr="00366A0F">
        <w:rPr>
          <w:rFonts w:eastAsia="Times New Roman"/>
        </w:rPr>
        <w:t xml:space="preserve">ere </w:t>
      </w:r>
      <w:r w:rsidR="00CC16B3" w:rsidRPr="00366A0F">
        <w:rPr>
          <w:rFonts w:eastAsia="Times New Roman"/>
        </w:rPr>
        <w:t>significant main effect</w:t>
      </w:r>
      <w:r w:rsidR="002473D7" w:rsidRPr="00366A0F">
        <w:rPr>
          <w:rFonts w:eastAsia="Times New Roman"/>
        </w:rPr>
        <w:t>s</w:t>
      </w:r>
      <w:r w:rsidR="00CC16B3" w:rsidRPr="00366A0F">
        <w:rPr>
          <w:rFonts w:eastAsia="Times New Roman"/>
        </w:rPr>
        <w:t xml:space="preserve"> of both group (p=0.001) and time (p&lt;0.001)</w:t>
      </w:r>
      <w:r w:rsidR="0017414A" w:rsidRPr="00366A0F">
        <w:rPr>
          <w:rFonts w:eastAsia="Times New Roman"/>
        </w:rPr>
        <w:t xml:space="preserve">. These effects were superseded by </w:t>
      </w:r>
      <w:r w:rsidRPr="00366A0F">
        <w:rPr>
          <w:rFonts w:eastAsia="Times New Roman"/>
        </w:rPr>
        <w:t xml:space="preserve">a significant group x time interaction (p&lt;0.001) (Figure </w:t>
      </w:r>
      <w:r w:rsidR="00F66B69" w:rsidRPr="00AB0891">
        <w:rPr>
          <w:rFonts w:eastAsia="Times New Roman"/>
          <w:b/>
          <w:bCs/>
          <w:color w:val="FF0000"/>
        </w:rPr>
        <w:t>3</w:t>
      </w:r>
      <w:r w:rsidRPr="00366A0F">
        <w:rPr>
          <w:rFonts w:eastAsia="Times New Roman"/>
        </w:rPr>
        <w:t xml:space="preserve">D). Post hoc analysis revealed that the 12g and 18g groups significantly outperformed the Placebo group in Weeks 2 (p=0.009; p&lt;0.001), 3 (ps=0.002; p&lt;0.001) and 4 (ps&lt;0.001), respectively. There was no significant difference between the 12g and 18g groups in any of the </w:t>
      </w:r>
      <w:r w:rsidR="000376E3" w:rsidRPr="00366A0F">
        <w:rPr>
          <w:rFonts w:eastAsia="Times New Roman"/>
        </w:rPr>
        <w:t>w</w:t>
      </w:r>
      <w:r w:rsidRPr="00366A0F">
        <w:rPr>
          <w:rFonts w:eastAsia="Times New Roman"/>
        </w:rPr>
        <w:t>eeks (ps &gt; .05).</w:t>
      </w:r>
    </w:p>
    <w:p w14:paraId="7A1430AF" w14:textId="56EB04B0" w:rsidR="007F4175" w:rsidRPr="00366A0F" w:rsidRDefault="00741761" w:rsidP="00EA3CC1">
      <w:pPr>
        <w:spacing w:before="240" w:after="240" w:line="360" w:lineRule="auto"/>
        <w:ind w:firstLine="720"/>
        <w:jc w:val="both"/>
        <w:rPr>
          <w:rFonts w:eastAsia="Times New Roman"/>
        </w:rPr>
      </w:pPr>
      <w:r w:rsidRPr="00366A0F">
        <w:rPr>
          <w:rFonts w:eastAsia="Times New Roman"/>
        </w:rPr>
        <w:t xml:space="preserve">In SS Forwards, </w:t>
      </w:r>
      <w:r w:rsidR="002473D7" w:rsidRPr="00366A0F">
        <w:rPr>
          <w:rFonts w:eastAsia="Times New Roman"/>
        </w:rPr>
        <w:t xml:space="preserve">there were no significant main effects </w:t>
      </w:r>
      <w:r w:rsidR="002473D7" w:rsidRPr="00016E04">
        <w:rPr>
          <w:rFonts w:eastAsia="Times New Roman"/>
          <w:color w:val="000000" w:themeColor="text1"/>
        </w:rPr>
        <w:t xml:space="preserve">of group (p=0.591) and time (p=0.883), nor a </w:t>
      </w:r>
      <w:r w:rsidR="00E63C43" w:rsidRPr="00016E04">
        <w:rPr>
          <w:rFonts w:eastAsia="Times New Roman"/>
          <w:color w:val="000000" w:themeColor="text1"/>
        </w:rPr>
        <w:t xml:space="preserve">significant </w:t>
      </w:r>
      <w:r w:rsidR="006768EB" w:rsidRPr="00016E04">
        <w:rPr>
          <w:rFonts w:eastAsia="Times New Roman"/>
          <w:color w:val="000000" w:themeColor="text1"/>
        </w:rPr>
        <w:t xml:space="preserve">group x time interaction (p=0.435) (Figure </w:t>
      </w:r>
      <w:r w:rsidR="00F66B69" w:rsidRPr="00016E04">
        <w:rPr>
          <w:rFonts w:eastAsia="Times New Roman"/>
          <w:b/>
          <w:bCs/>
          <w:color w:val="000000" w:themeColor="text1"/>
        </w:rPr>
        <w:t>3</w:t>
      </w:r>
      <w:r w:rsidR="006768EB" w:rsidRPr="00016E04">
        <w:rPr>
          <w:rFonts w:eastAsia="Times New Roman"/>
          <w:color w:val="000000" w:themeColor="text1"/>
        </w:rPr>
        <w:t xml:space="preserve">E). </w:t>
      </w:r>
      <w:r w:rsidR="00EA3CC1" w:rsidRPr="00016E04">
        <w:rPr>
          <w:rFonts w:eastAsia="Times New Roman"/>
          <w:color w:val="000000" w:themeColor="text1"/>
        </w:rPr>
        <w:t xml:space="preserve"> </w:t>
      </w:r>
      <w:r w:rsidR="00E63C43" w:rsidRPr="00016E04">
        <w:rPr>
          <w:rFonts w:eastAsia="Times New Roman"/>
          <w:color w:val="000000" w:themeColor="text1"/>
        </w:rPr>
        <w:t>I</w:t>
      </w:r>
      <w:r w:rsidRPr="00016E04">
        <w:rPr>
          <w:rFonts w:eastAsia="Times New Roman"/>
          <w:color w:val="000000" w:themeColor="text1"/>
        </w:rPr>
        <w:t xml:space="preserve">n </w:t>
      </w:r>
      <w:r w:rsidR="00E63C43" w:rsidRPr="00016E04">
        <w:rPr>
          <w:rFonts w:eastAsia="Times New Roman"/>
          <w:color w:val="000000" w:themeColor="text1"/>
        </w:rPr>
        <w:t xml:space="preserve">SS </w:t>
      </w:r>
      <w:r w:rsidRPr="00016E04">
        <w:rPr>
          <w:rFonts w:eastAsia="Times New Roman"/>
          <w:color w:val="000000" w:themeColor="text1"/>
        </w:rPr>
        <w:t>Backwards,</w:t>
      </w:r>
      <w:r w:rsidR="006768EB" w:rsidRPr="00016E04">
        <w:rPr>
          <w:rFonts w:eastAsia="Times New Roman"/>
          <w:color w:val="000000" w:themeColor="text1"/>
        </w:rPr>
        <w:t xml:space="preserve"> </w:t>
      </w:r>
      <w:r w:rsidRPr="00016E04">
        <w:rPr>
          <w:rFonts w:eastAsia="Times New Roman"/>
          <w:color w:val="000000" w:themeColor="text1"/>
        </w:rPr>
        <w:t xml:space="preserve">there was a </w:t>
      </w:r>
      <w:r w:rsidR="00E63C43" w:rsidRPr="00016E04">
        <w:rPr>
          <w:rFonts w:eastAsia="Times New Roman"/>
          <w:color w:val="000000" w:themeColor="text1"/>
        </w:rPr>
        <w:t xml:space="preserve">significant main effect of </w:t>
      </w:r>
      <w:r w:rsidRPr="00016E04">
        <w:rPr>
          <w:rFonts w:eastAsia="Times New Roman"/>
          <w:color w:val="000000" w:themeColor="text1"/>
        </w:rPr>
        <w:t>group</w:t>
      </w:r>
      <w:r w:rsidR="00B44694" w:rsidRPr="00016E04">
        <w:rPr>
          <w:rFonts w:eastAsia="Times New Roman"/>
          <w:color w:val="000000" w:themeColor="text1"/>
        </w:rPr>
        <w:t xml:space="preserve"> (p</w:t>
      </w:r>
      <w:r w:rsidR="006768EB" w:rsidRPr="00016E04">
        <w:rPr>
          <w:rFonts w:eastAsia="Times New Roman"/>
          <w:color w:val="000000" w:themeColor="text1"/>
        </w:rPr>
        <w:t>=0.002</w:t>
      </w:r>
      <w:r w:rsidR="00B44694" w:rsidRPr="00016E04">
        <w:rPr>
          <w:rFonts w:eastAsia="Times New Roman"/>
          <w:color w:val="000000" w:themeColor="text1"/>
        </w:rPr>
        <w:t>), which indicated that th</w:t>
      </w:r>
      <w:r w:rsidR="00B44694" w:rsidRPr="00366A0F">
        <w:rPr>
          <w:rFonts w:eastAsia="Times New Roman"/>
        </w:rPr>
        <w:t xml:space="preserve">e </w:t>
      </w:r>
      <w:r w:rsidR="00B66E3A" w:rsidRPr="00366A0F">
        <w:rPr>
          <w:rFonts w:eastAsia="Times New Roman"/>
        </w:rPr>
        <w:t xml:space="preserve">Placebo group was outperformed overall by the </w:t>
      </w:r>
      <w:r w:rsidR="00B44694" w:rsidRPr="00366A0F">
        <w:rPr>
          <w:rFonts w:eastAsia="Times New Roman"/>
        </w:rPr>
        <w:t xml:space="preserve">12g </w:t>
      </w:r>
      <w:r w:rsidR="00B66E3A" w:rsidRPr="00366A0F">
        <w:rPr>
          <w:rFonts w:eastAsia="Times New Roman"/>
        </w:rPr>
        <w:t>(</w:t>
      </w:r>
      <w:r w:rsidR="006768EB" w:rsidRPr="00366A0F">
        <w:rPr>
          <w:rFonts w:eastAsia="Times New Roman"/>
        </w:rPr>
        <w:t>mean=</w:t>
      </w:r>
      <w:r w:rsidR="00B66E3A" w:rsidRPr="00366A0F">
        <w:rPr>
          <w:rFonts w:eastAsia="Times New Roman"/>
        </w:rPr>
        <w:t>1.3 ± .38; 95% CI</w:t>
      </w:r>
      <w:r w:rsidR="00046546" w:rsidRPr="00366A0F">
        <w:rPr>
          <w:rFonts w:eastAsia="Times New Roman"/>
        </w:rPr>
        <w:t>=</w:t>
      </w:r>
      <w:r w:rsidR="00B66E3A" w:rsidRPr="00366A0F">
        <w:rPr>
          <w:rFonts w:eastAsia="Times New Roman"/>
        </w:rPr>
        <w:t xml:space="preserve">52 to 2.1) </w:t>
      </w:r>
      <w:r w:rsidR="00B44694" w:rsidRPr="00366A0F">
        <w:rPr>
          <w:rFonts w:eastAsia="Times New Roman"/>
        </w:rPr>
        <w:t xml:space="preserve">and 18g </w:t>
      </w:r>
      <w:r w:rsidR="00B66E3A" w:rsidRPr="00366A0F">
        <w:rPr>
          <w:rFonts w:eastAsia="Times New Roman"/>
        </w:rPr>
        <w:t>(</w:t>
      </w:r>
      <w:r w:rsidR="006768EB" w:rsidRPr="00366A0F">
        <w:rPr>
          <w:rFonts w:eastAsia="Times New Roman"/>
        </w:rPr>
        <w:t>mean=</w:t>
      </w:r>
      <w:r w:rsidR="00B66E3A" w:rsidRPr="00366A0F">
        <w:rPr>
          <w:rFonts w:eastAsia="Times New Roman"/>
        </w:rPr>
        <w:t xml:space="preserve">1.3 ± .38; 95% CI=.50 to 2.1) </w:t>
      </w:r>
      <w:r w:rsidR="00B44694" w:rsidRPr="00366A0F">
        <w:rPr>
          <w:rFonts w:eastAsia="Times New Roman"/>
        </w:rPr>
        <w:t>groups</w:t>
      </w:r>
      <w:r w:rsidR="002473D7" w:rsidRPr="00366A0F">
        <w:rPr>
          <w:rFonts w:eastAsia="Times New Roman"/>
        </w:rPr>
        <w:t>,</w:t>
      </w:r>
      <w:r w:rsidR="00B44694" w:rsidRPr="00366A0F">
        <w:rPr>
          <w:rFonts w:eastAsia="Times New Roman"/>
        </w:rPr>
        <w:t xml:space="preserve"> </w:t>
      </w:r>
      <w:r w:rsidR="002473D7" w:rsidRPr="00366A0F">
        <w:rPr>
          <w:rFonts w:eastAsia="Times New Roman"/>
        </w:rPr>
        <w:t>a</w:t>
      </w:r>
      <w:r w:rsidR="00B44694" w:rsidRPr="00366A0F">
        <w:rPr>
          <w:rFonts w:eastAsia="Times New Roman"/>
        </w:rPr>
        <w:t>lthough</w:t>
      </w:r>
      <w:r w:rsidR="00B66E3A" w:rsidRPr="00366A0F">
        <w:rPr>
          <w:rFonts w:eastAsia="Times New Roman"/>
        </w:rPr>
        <w:t>,</w:t>
      </w:r>
      <w:r w:rsidR="00B44694" w:rsidRPr="00366A0F">
        <w:rPr>
          <w:rFonts w:eastAsia="Times New Roman"/>
        </w:rPr>
        <w:t xml:space="preserve"> there was no </w:t>
      </w:r>
      <w:r w:rsidR="006768EB" w:rsidRPr="00366A0F">
        <w:rPr>
          <w:rFonts w:eastAsia="Times New Roman"/>
        </w:rPr>
        <w:t xml:space="preserve">significant </w:t>
      </w:r>
      <w:r w:rsidR="00B44694" w:rsidRPr="00366A0F">
        <w:rPr>
          <w:rFonts w:eastAsia="Times New Roman"/>
        </w:rPr>
        <w:t>difference between the 12g and 18g groups.</w:t>
      </w:r>
      <w:r w:rsidRPr="00366A0F">
        <w:rPr>
          <w:rFonts w:eastAsia="Times New Roman"/>
        </w:rPr>
        <w:t xml:space="preserve"> </w:t>
      </w:r>
      <w:r w:rsidR="00B44694" w:rsidRPr="00366A0F">
        <w:rPr>
          <w:rFonts w:eastAsia="Times New Roman"/>
        </w:rPr>
        <w:t xml:space="preserve">There was </w:t>
      </w:r>
      <w:r w:rsidR="006768EB" w:rsidRPr="00366A0F">
        <w:rPr>
          <w:rFonts w:eastAsia="Times New Roman"/>
        </w:rPr>
        <w:t xml:space="preserve">also </w:t>
      </w:r>
      <w:r w:rsidR="00B44694" w:rsidRPr="00366A0F">
        <w:rPr>
          <w:rFonts w:eastAsia="Times New Roman"/>
        </w:rPr>
        <w:t xml:space="preserve">a significant main effect of </w:t>
      </w:r>
      <w:r w:rsidRPr="00366A0F">
        <w:rPr>
          <w:rFonts w:eastAsia="Times New Roman"/>
        </w:rPr>
        <w:t>time (p</w:t>
      </w:r>
      <w:r w:rsidR="006768EB" w:rsidRPr="00366A0F">
        <w:rPr>
          <w:rFonts w:eastAsia="Times New Roman"/>
        </w:rPr>
        <w:t>=0.001</w:t>
      </w:r>
      <w:r w:rsidRPr="00366A0F">
        <w:rPr>
          <w:rFonts w:eastAsia="Times New Roman"/>
        </w:rPr>
        <w:t xml:space="preserve">), </w:t>
      </w:r>
      <w:r w:rsidR="00B44694" w:rsidRPr="00366A0F">
        <w:rPr>
          <w:rFonts w:eastAsia="Times New Roman"/>
        </w:rPr>
        <w:t xml:space="preserve">which indicated that </w:t>
      </w:r>
      <w:r w:rsidR="006768EB" w:rsidRPr="00366A0F">
        <w:rPr>
          <w:rFonts w:eastAsia="Times New Roman"/>
        </w:rPr>
        <w:t xml:space="preserve">when compared to </w:t>
      </w:r>
      <w:r w:rsidR="000376E3" w:rsidRPr="00366A0F">
        <w:rPr>
          <w:rFonts w:eastAsia="Times New Roman"/>
        </w:rPr>
        <w:t>w</w:t>
      </w:r>
      <w:r w:rsidR="006768EB" w:rsidRPr="00366A0F">
        <w:rPr>
          <w:rFonts w:eastAsia="Times New Roman"/>
        </w:rPr>
        <w:t xml:space="preserve">eek 1, </w:t>
      </w:r>
      <w:r w:rsidR="00B44694" w:rsidRPr="00366A0F">
        <w:rPr>
          <w:rFonts w:eastAsia="Times New Roman"/>
        </w:rPr>
        <w:t xml:space="preserve">performance was significantly better in </w:t>
      </w:r>
      <w:r w:rsidR="000376E3" w:rsidRPr="00366A0F">
        <w:rPr>
          <w:rFonts w:eastAsia="Times New Roman"/>
        </w:rPr>
        <w:t>w</w:t>
      </w:r>
      <w:r w:rsidR="00B44694" w:rsidRPr="00366A0F">
        <w:rPr>
          <w:rFonts w:eastAsia="Times New Roman"/>
        </w:rPr>
        <w:t>eeks 2</w:t>
      </w:r>
      <w:r w:rsidR="007F4175" w:rsidRPr="00366A0F">
        <w:rPr>
          <w:rFonts w:eastAsia="Times New Roman"/>
        </w:rPr>
        <w:t xml:space="preserve"> </w:t>
      </w:r>
      <w:r w:rsidR="007F4175" w:rsidRPr="00366A0F">
        <w:rPr>
          <w:rFonts w:asciiTheme="majorBidi" w:hAnsiTheme="majorBidi" w:cstheme="majorBidi"/>
        </w:rPr>
        <w:t>(mean=0.77 ± .19; 95% CI=.40 to 1.1)</w:t>
      </w:r>
      <w:r w:rsidR="00B44694" w:rsidRPr="00366A0F">
        <w:rPr>
          <w:rFonts w:eastAsia="Times New Roman"/>
        </w:rPr>
        <w:t>, 3</w:t>
      </w:r>
      <w:r w:rsidR="007F4175" w:rsidRPr="00366A0F">
        <w:rPr>
          <w:rFonts w:eastAsia="Times New Roman"/>
        </w:rPr>
        <w:t xml:space="preserve"> (mean=0.</w:t>
      </w:r>
      <w:r w:rsidR="007F4175" w:rsidRPr="00366A0F">
        <w:rPr>
          <w:rFonts w:asciiTheme="majorBidi" w:hAnsiTheme="majorBidi" w:cstheme="majorBidi"/>
        </w:rPr>
        <w:t>77 ± .23; 95% CI=.31 to 1.2)</w:t>
      </w:r>
      <w:r w:rsidR="00B44694" w:rsidRPr="00366A0F">
        <w:rPr>
          <w:rFonts w:eastAsia="Times New Roman"/>
        </w:rPr>
        <w:t xml:space="preserve">, and 4 </w:t>
      </w:r>
      <w:r w:rsidR="007F4175" w:rsidRPr="00366A0F">
        <w:rPr>
          <w:rFonts w:eastAsia="Times New Roman"/>
        </w:rPr>
        <w:t>(mean=0</w:t>
      </w:r>
      <w:r w:rsidR="007F4175" w:rsidRPr="00366A0F">
        <w:rPr>
          <w:rFonts w:asciiTheme="majorBidi" w:hAnsiTheme="majorBidi" w:cstheme="majorBidi"/>
        </w:rPr>
        <w:t xml:space="preserve">.77 ± .25; 95% CI=.25 to 1.3) </w:t>
      </w:r>
      <w:r w:rsidR="00B44694" w:rsidRPr="00366A0F">
        <w:rPr>
          <w:rFonts w:eastAsia="Times New Roman"/>
        </w:rPr>
        <w:t xml:space="preserve">(Figure </w:t>
      </w:r>
      <w:r w:rsidR="00F66B69" w:rsidRPr="00AB0891">
        <w:rPr>
          <w:rFonts w:eastAsia="Times New Roman"/>
          <w:b/>
          <w:bCs/>
          <w:color w:val="FF0000"/>
        </w:rPr>
        <w:t>3</w:t>
      </w:r>
      <w:r w:rsidR="00B44694" w:rsidRPr="00366A0F">
        <w:rPr>
          <w:rFonts w:eastAsia="Times New Roman"/>
        </w:rPr>
        <w:t>F)</w:t>
      </w:r>
      <w:r w:rsidRPr="00366A0F">
        <w:rPr>
          <w:rFonts w:eastAsia="Times New Roman"/>
        </w:rPr>
        <w:t>.</w:t>
      </w:r>
      <w:r w:rsidR="0017414A" w:rsidRPr="00366A0F">
        <w:rPr>
          <w:rFonts w:eastAsia="Times New Roman"/>
        </w:rPr>
        <w:t xml:space="preserve"> However, there was no significant group x time interaction (p=0.801).</w:t>
      </w:r>
    </w:p>
    <w:p w14:paraId="5BEF40DA" w14:textId="041EC1B3" w:rsidR="00D14A08" w:rsidRPr="00366A0F" w:rsidRDefault="00741761" w:rsidP="008C4C4E">
      <w:pPr>
        <w:spacing w:before="240" w:after="240" w:line="360" w:lineRule="auto"/>
        <w:ind w:firstLine="709"/>
        <w:jc w:val="center"/>
        <w:rPr>
          <w:sz w:val="16"/>
          <w:szCs w:val="16"/>
        </w:rPr>
      </w:pPr>
      <w:r w:rsidRPr="00366A0F">
        <w:rPr>
          <w:rFonts w:eastAsia="Times New Roman"/>
          <w:b/>
        </w:rPr>
        <w:lastRenderedPageBreak/>
        <w:t xml:space="preserve">[Insert </w:t>
      </w:r>
      <w:r w:rsidRPr="00016E04">
        <w:rPr>
          <w:rFonts w:eastAsia="Times New Roman"/>
          <w:b/>
          <w:color w:val="000000" w:themeColor="text1"/>
        </w:rPr>
        <w:t xml:space="preserve">Figure </w:t>
      </w:r>
      <w:r w:rsidR="00366A0F" w:rsidRPr="00016E04">
        <w:rPr>
          <w:rFonts w:eastAsia="Times New Roman"/>
          <w:b/>
          <w:color w:val="000000" w:themeColor="text1"/>
        </w:rPr>
        <w:t>3</w:t>
      </w:r>
      <w:r w:rsidRPr="00016E04">
        <w:rPr>
          <w:rFonts w:eastAsia="Times New Roman"/>
          <w:b/>
          <w:color w:val="000000" w:themeColor="text1"/>
        </w:rPr>
        <w:t xml:space="preserve"> A</w:t>
      </w:r>
      <w:r w:rsidRPr="00366A0F">
        <w:rPr>
          <w:rFonts w:eastAsia="Times New Roman"/>
          <w:b/>
        </w:rPr>
        <w:t>round Here]</w:t>
      </w:r>
    </w:p>
    <w:p w14:paraId="393EDA84" w14:textId="0407E141" w:rsidR="00073222" w:rsidRPr="00366A0F" w:rsidRDefault="00E93F81" w:rsidP="0067772E">
      <w:pPr>
        <w:spacing w:before="240" w:after="240" w:line="360" w:lineRule="auto"/>
        <w:jc w:val="both"/>
        <w:rPr>
          <w:rFonts w:eastAsia="Times New Roman"/>
          <w:i/>
        </w:rPr>
      </w:pPr>
      <w:r w:rsidRPr="00366A0F">
        <w:rPr>
          <w:rFonts w:eastAsia="Times New Roman"/>
          <w:i/>
        </w:rPr>
        <w:t>Covert Shift of Attention (CSoA)</w:t>
      </w:r>
    </w:p>
    <w:p w14:paraId="41DE97A7" w14:textId="4BAB6B56" w:rsidR="00A82628" w:rsidRPr="00366A0F" w:rsidRDefault="00A82628" w:rsidP="0067772E">
      <w:pPr>
        <w:spacing w:before="240" w:after="240" w:line="360" w:lineRule="auto"/>
        <w:jc w:val="both"/>
        <w:rPr>
          <w:rFonts w:eastAsia="Times New Roman"/>
          <w:i/>
        </w:rPr>
      </w:pPr>
      <w:r w:rsidRPr="00366A0F">
        <w:rPr>
          <w:rFonts w:eastAsia="Times New Roman"/>
        </w:rPr>
        <w:t>F</w:t>
      </w:r>
      <w:r w:rsidR="003C7DA8" w:rsidRPr="00366A0F">
        <w:rPr>
          <w:rFonts w:eastAsia="Times New Roman"/>
        </w:rPr>
        <w:t>or the exogenous test</w:t>
      </w:r>
      <w:r w:rsidR="002473D7" w:rsidRPr="00366A0F">
        <w:rPr>
          <w:rFonts w:eastAsia="Times New Roman"/>
        </w:rPr>
        <w:t>,</w:t>
      </w:r>
      <w:r w:rsidR="002F7360" w:rsidRPr="00366A0F">
        <w:rPr>
          <w:rFonts w:eastAsia="Times New Roman"/>
        </w:rPr>
        <w:t xml:space="preserve"> there </w:t>
      </w:r>
      <w:r w:rsidR="00894AFC" w:rsidRPr="00366A0F">
        <w:rPr>
          <w:rFonts w:eastAsia="Times New Roman"/>
        </w:rPr>
        <w:t xml:space="preserve">were </w:t>
      </w:r>
      <w:r w:rsidR="002F7360" w:rsidRPr="00366A0F">
        <w:rPr>
          <w:rFonts w:eastAsia="Times New Roman"/>
        </w:rPr>
        <w:t xml:space="preserve">1122 </w:t>
      </w:r>
      <w:r w:rsidR="002473D7" w:rsidRPr="00366A0F">
        <w:rPr>
          <w:rFonts w:eastAsia="Times New Roman"/>
        </w:rPr>
        <w:t>out of</w:t>
      </w:r>
      <w:r w:rsidR="002F7360" w:rsidRPr="00366A0F">
        <w:rPr>
          <w:rFonts w:eastAsia="Times New Roman"/>
        </w:rPr>
        <w:t xml:space="preserve"> 14400 trials</w:t>
      </w:r>
      <w:r w:rsidR="002473D7" w:rsidRPr="00366A0F">
        <w:rPr>
          <w:rFonts w:eastAsia="Times New Roman"/>
        </w:rPr>
        <w:t xml:space="preserve"> </w:t>
      </w:r>
      <w:r w:rsidR="00894AFC" w:rsidRPr="00366A0F">
        <w:rPr>
          <w:rFonts w:eastAsia="Times New Roman"/>
        </w:rPr>
        <w:t xml:space="preserve">(7.79%) </w:t>
      </w:r>
      <w:r w:rsidR="002473D7" w:rsidRPr="00366A0F">
        <w:rPr>
          <w:rFonts w:eastAsia="Times New Roman"/>
        </w:rPr>
        <w:t>that were in error, and thus removed prior to analysis</w:t>
      </w:r>
      <w:r w:rsidR="002F7360" w:rsidRPr="00366A0F">
        <w:rPr>
          <w:rFonts w:eastAsia="Times New Roman"/>
        </w:rPr>
        <w:t xml:space="preserve">. </w:t>
      </w:r>
      <w:r w:rsidRPr="00366A0F">
        <w:rPr>
          <w:rFonts w:eastAsia="Times New Roman"/>
        </w:rPr>
        <w:t>In the endogenous test</w:t>
      </w:r>
      <w:r w:rsidR="00894AFC" w:rsidRPr="00366A0F">
        <w:rPr>
          <w:rFonts w:eastAsia="Times New Roman"/>
        </w:rPr>
        <w:t>,</w:t>
      </w:r>
      <w:r w:rsidRPr="00366A0F">
        <w:rPr>
          <w:rFonts w:eastAsia="Times New Roman"/>
        </w:rPr>
        <w:t xml:space="preserve"> 469 </w:t>
      </w:r>
      <w:r w:rsidR="00894AFC" w:rsidRPr="00366A0F">
        <w:rPr>
          <w:rFonts w:eastAsia="Times New Roman"/>
        </w:rPr>
        <w:t>out of</w:t>
      </w:r>
      <w:r w:rsidRPr="00366A0F">
        <w:rPr>
          <w:rFonts w:eastAsia="Times New Roman"/>
        </w:rPr>
        <w:t xml:space="preserve"> 7200 trials</w:t>
      </w:r>
      <w:r w:rsidR="00894AFC" w:rsidRPr="00366A0F">
        <w:rPr>
          <w:rFonts w:eastAsia="Times New Roman"/>
        </w:rPr>
        <w:t xml:space="preserve"> (6.51%)</w:t>
      </w:r>
      <w:r w:rsidR="00292380" w:rsidRPr="00366A0F">
        <w:rPr>
          <w:rFonts w:eastAsia="Times New Roman"/>
        </w:rPr>
        <w:t xml:space="preserve"> </w:t>
      </w:r>
      <w:r w:rsidR="00894AFC" w:rsidRPr="00366A0F">
        <w:rPr>
          <w:rFonts w:eastAsia="Times New Roman"/>
        </w:rPr>
        <w:t>were removed prior to analysis</w:t>
      </w:r>
      <w:r w:rsidR="00292380" w:rsidRPr="00366A0F">
        <w:rPr>
          <w:rFonts w:eastAsia="Times New Roman"/>
        </w:rPr>
        <w:t xml:space="preserve"> due to being in error.</w:t>
      </w:r>
    </w:p>
    <w:p w14:paraId="1A5432BA" w14:textId="0BCD4D32" w:rsidR="003C7DA8" w:rsidRPr="00366A0F" w:rsidRDefault="00A82628" w:rsidP="00073222">
      <w:pPr>
        <w:spacing w:before="240" w:after="240" w:line="360" w:lineRule="auto"/>
        <w:ind w:firstLine="720"/>
        <w:jc w:val="both"/>
        <w:rPr>
          <w:rFonts w:eastAsia="Times New Roman"/>
        </w:rPr>
      </w:pPr>
      <w:r w:rsidRPr="00366A0F">
        <w:rPr>
          <w:rFonts w:eastAsia="Times New Roman"/>
        </w:rPr>
        <w:t>In the exogenous test, th</w:t>
      </w:r>
      <w:r w:rsidR="003C7DA8" w:rsidRPr="00366A0F">
        <w:rPr>
          <w:rFonts w:eastAsia="Times New Roman"/>
        </w:rPr>
        <w:t>ere appeared to be general cue facilitation and inhibition effect</w:t>
      </w:r>
      <w:r w:rsidR="00E6401E" w:rsidRPr="00366A0F">
        <w:rPr>
          <w:rFonts w:eastAsia="Times New Roman"/>
        </w:rPr>
        <w:t>s</w:t>
      </w:r>
      <w:r w:rsidR="003C7DA8" w:rsidRPr="00366A0F">
        <w:rPr>
          <w:rFonts w:eastAsia="Times New Roman"/>
        </w:rPr>
        <w:t xml:space="preserve"> courtesy of the negative (cued &lt; uncued) and positive (cued &gt; uncued) scores for the 100ms and 800ms asynchronies, respectively</w:t>
      </w:r>
      <w:r w:rsidR="007F4175" w:rsidRPr="00366A0F">
        <w:rPr>
          <w:rFonts w:eastAsia="Times New Roman"/>
        </w:rPr>
        <w:t xml:space="preserve"> </w:t>
      </w:r>
      <w:r w:rsidR="00D03F08" w:rsidRPr="00366A0F">
        <w:rPr>
          <w:rFonts w:eastAsia="Times New Roman"/>
        </w:rPr>
        <w:t>(Table 2)</w:t>
      </w:r>
      <w:r w:rsidR="007F4175" w:rsidRPr="00366A0F">
        <w:rPr>
          <w:rFonts w:eastAsia="Times New Roman"/>
        </w:rPr>
        <w:t>.</w:t>
      </w:r>
      <w:r w:rsidR="003C7DA8" w:rsidRPr="00366A0F">
        <w:rPr>
          <w:rFonts w:eastAsia="Times New Roman"/>
        </w:rPr>
        <w:t xml:space="preserve"> </w:t>
      </w:r>
      <w:r w:rsidR="00B44694" w:rsidRPr="00366A0F">
        <w:rPr>
          <w:rFonts w:eastAsia="Times New Roman"/>
        </w:rPr>
        <w:t xml:space="preserve">For </w:t>
      </w:r>
      <w:r w:rsidR="003C7DA8" w:rsidRPr="00366A0F">
        <w:rPr>
          <w:rFonts w:eastAsia="Times New Roman"/>
        </w:rPr>
        <w:t>the 100ms asynchrony</w:t>
      </w:r>
      <w:r w:rsidR="00B44694" w:rsidRPr="00366A0F">
        <w:rPr>
          <w:rFonts w:eastAsia="Times New Roman"/>
        </w:rPr>
        <w:t xml:space="preserve">, </w:t>
      </w:r>
      <w:r w:rsidR="00741761" w:rsidRPr="00366A0F">
        <w:rPr>
          <w:rFonts w:eastAsia="Times New Roman"/>
        </w:rPr>
        <w:t>there w</w:t>
      </w:r>
      <w:r w:rsidR="0017414A" w:rsidRPr="00366A0F">
        <w:rPr>
          <w:rFonts w:eastAsia="Times New Roman"/>
        </w:rPr>
        <w:t>ere</w:t>
      </w:r>
      <w:r w:rsidR="00741761" w:rsidRPr="00366A0F">
        <w:rPr>
          <w:rFonts w:eastAsia="Times New Roman"/>
        </w:rPr>
        <w:t xml:space="preserve"> no </w:t>
      </w:r>
      <w:r w:rsidR="00B44694" w:rsidRPr="00366A0F">
        <w:rPr>
          <w:rFonts w:eastAsia="Times New Roman"/>
        </w:rPr>
        <w:t xml:space="preserve">significant </w:t>
      </w:r>
      <w:r w:rsidR="0017414A" w:rsidRPr="00366A0F">
        <w:rPr>
          <w:rFonts w:eastAsia="Times New Roman"/>
        </w:rPr>
        <w:t xml:space="preserve">main effects of group (p=0.672) and time (p=0.461), nor a significant </w:t>
      </w:r>
      <w:r w:rsidR="007F4175" w:rsidRPr="00366A0F">
        <w:rPr>
          <w:rFonts w:eastAsia="Times New Roman"/>
        </w:rPr>
        <w:t xml:space="preserve">group x time interaction (p=0.665). </w:t>
      </w:r>
      <w:r w:rsidR="003C7DA8" w:rsidRPr="00366A0F">
        <w:rPr>
          <w:rFonts w:eastAsia="Times New Roman"/>
        </w:rPr>
        <w:t xml:space="preserve">Likewise, for the 800-ms asynchrony, </w:t>
      </w:r>
      <w:r w:rsidR="007F4175" w:rsidRPr="00366A0F">
        <w:rPr>
          <w:rFonts w:eastAsia="Times New Roman"/>
        </w:rPr>
        <w:t>there w</w:t>
      </w:r>
      <w:r w:rsidR="0017414A" w:rsidRPr="00366A0F">
        <w:rPr>
          <w:rFonts w:eastAsia="Times New Roman"/>
        </w:rPr>
        <w:t>ere</w:t>
      </w:r>
      <w:r w:rsidR="007F4175" w:rsidRPr="00366A0F">
        <w:rPr>
          <w:rFonts w:eastAsia="Times New Roman"/>
        </w:rPr>
        <w:t xml:space="preserve"> no </w:t>
      </w:r>
      <w:r w:rsidR="0017414A" w:rsidRPr="00366A0F">
        <w:rPr>
          <w:rFonts w:eastAsia="Times New Roman"/>
        </w:rPr>
        <w:t xml:space="preserve">significant main effects of group (p=0.201) and time (p=0.111), nor a </w:t>
      </w:r>
      <w:r w:rsidR="007F4175" w:rsidRPr="00366A0F">
        <w:rPr>
          <w:rFonts w:eastAsia="Times New Roman"/>
        </w:rPr>
        <w:t>significant group x time interaction (p=0.873).</w:t>
      </w:r>
    </w:p>
    <w:p w14:paraId="69E6A5E5" w14:textId="3885D8F4" w:rsidR="002E128B" w:rsidRPr="00366A0F" w:rsidRDefault="003C7DA8" w:rsidP="00073222">
      <w:pPr>
        <w:spacing w:before="240" w:after="240" w:line="360" w:lineRule="auto"/>
        <w:ind w:firstLine="709"/>
        <w:jc w:val="both"/>
        <w:rPr>
          <w:rFonts w:eastAsia="Times New Roman"/>
        </w:rPr>
      </w:pPr>
      <w:r w:rsidRPr="00366A0F">
        <w:rPr>
          <w:rFonts w:eastAsia="Times New Roman"/>
        </w:rPr>
        <w:t>For the endogenous test, there appeared a general cuing effect courtesy of the negative scores (valid &lt; invalid)</w:t>
      </w:r>
      <w:r w:rsidR="007F4175" w:rsidRPr="00366A0F">
        <w:rPr>
          <w:rFonts w:eastAsia="Times New Roman"/>
        </w:rPr>
        <w:t xml:space="preserve"> (Table 2)</w:t>
      </w:r>
      <w:r w:rsidRPr="00366A0F">
        <w:rPr>
          <w:rFonts w:eastAsia="Times New Roman"/>
        </w:rPr>
        <w:t xml:space="preserve">. However, </w:t>
      </w:r>
      <w:r w:rsidR="007F4175" w:rsidRPr="00366A0F">
        <w:rPr>
          <w:rFonts w:eastAsia="Times New Roman"/>
        </w:rPr>
        <w:t>there w</w:t>
      </w:r>
      <w:r w:rsidR="0017414A" w:rsidRPr="00366A0F">
        <w:rPr>
          <w:rFonts w:eastAsia="Times New Roman"/>
        </w:rPr>
        <w:t>ere</w:t>
      </w:r>
      <w:r w:rsidR="007F4175" w:rsidRPr="00366A0F">
        <w:rPr>
          <w:rFonts w:eastAsia="Times New Roman"/>
        </w:rPr>
        <w:t xml:space="preserve"> no </w:t>
      </w:r>
      <w:r w:rsidR="0017414A" w:rsidRPr="00366A0F">
        <w:rPr>
          <w:rFonts w:eastAsia="Times New Roman"/>
        </w:rPr>
        <w:t xml:space="preserve">significant main effects of group (p=0.91) and time (p=0.619), nor a </w:t>
      </w:r>
      <w:r w:rsidR="007F4175" w:rsidRPr="00366A0F">
        <w:rPr>
          <w:rFonts w:eastAsia="Times New Roman"/>
        </w:rPr>
        <w:t>significant group x time interaction (p=0.222)</w:t>
      </w:r>
      <w:r w:rsidR="00E0681D" w:rsidRPr="00366A0F">
        <w:rPr>
          <w:rFonts w:eastAsia="Times New Roman"/>
        </w:rPr>
        <w:t>.</w:t>
      </w:r>
    </w:p>
    <w:p w14:paraId="657EEE82" w14:textId="37A97AEF" w:rsidR="002E128B" w:rsidRPr="00366A0F" w:rsidRDefault="002E128B" w:rsidP="002E128B">
      <w:pPr>
        <w:spacing w:before="240" w:after="240" w:line="360" w:lineRule="auto"/>
        <w:ind w:firstLine="709"/>
        <w:jc w:val="center"/>
        <w:rPr>
          <w:rFonts w:eastAsia="Times New Roman"/>
          <w:b/>
        </w:rPr>
      </w:pPr>
      <w:r w:rsidRPr="00366A0F">
        <w:rPr>
          <w:rFonts w:eastAsia="Times New Roman"/>
          <w:b/>
        </w:rPr>
        <w:t>[Insert Table 2 Around Here]</w:t>
      </w:r>
    </w:p>
    <w:p w14:paraId="239A5067" w14:textId="5FF568C7" w:rsidR="00D14A08" w:rsidRPr="00366A0F" w:rsidRDefault="00AC6317" w:rsidP="008C4C4E">
      <w:pPr>
        <w:spacing w:before="240" w:after="240" w:line="360" w:lineRule="auto"/>
        <w:jc w:val="both"/>
        <w:rPr>
          <w:rFonts w:eastAsia="Times New Roman"/>
          <w:i/>
        </w:rPr>
      </w:pPr>
      <w:r w:rsidRPr="00366A0F">
        <w:rPr>
          <w:rFonts w:eastAsia="Times New Roman"/>
          <w:i/>
        </w:rPr>
        <w:t>Rapid Visual Information Processing (RVIP)</w:t>
      </w:r>
    </w:p>
    <w:p w14:paraId="64C18B6F" w14:textId="15C28E29" w:rsidR="007F4175" w:rsidRPr="00366A0F" w:rsidRDefault="007F4175" w:rsidP="008C4C4E">
      <w:pPr>
        <w:spacing w:before="240" w:after="240" w:line="360" w:lineRule="auto"/>
        <w:jc w:val="both"/>
        <w:rPr>
          <w:rFonts w:eastAsia="Times New Roman"/>
          <w:iCs/>
        </w:rPr>
      </w:pPr>
      <w:r w:rsidRPr="00366A0F">
        <w:rPr>
          <w:rFonts w:eastAsia="Times New Roman"/>
          <w:iCs/>
        </w:rPr>
        <w:t xml:space="preserve">For RT, </w:t>
      </w:r>
      <w:r w:rsidRPr="00366A0F">
        <w:rPr>
          <w:rFonts w:eastAsia="Times New Roman"/>
        </w:rPr>
        <w:t>there w</w:t>
      </w:r>
      <w:r w:rsidR="0017414A" w:rsidRPr="00366A0F">
        <w:rPr>
          <w:rFonts w:eastAsia="Times New Roman"/>
        </w:rPr>
        <w:t>ere</w:t>
      </w:r>
      <w:r w:rsidRPr="00366A0F">
        <w:rPr>
          <w:rFonts w:eastAsia="Times New Roman"/>
        </w:rPr>
        <w:t xml:space="preserve"> no </w:t>
      </w:r>
      <w:r w:rsidR="0017414A" w:rsidRPr="00366A0F">
        <w:rPr>
          <w:rFonts w:eastAsia="Times New Roman"/>
        </w:rPr>
        <w:t xml:space="preserve">significant main effects of group (p=0.407) and time (p=0.858), nor a </w:t>
      </w:r>
      <w:r w:rsidRPr="00366A0F">
        <w:rPr>
          <w:rFonts w:eastAsia="Times New Roman"/>
        </w:rPr>
        <w:t>significant group x time interaction (p=0.132)</w:t>
      </w:r>
      <w:r w:rsidR="0017414A" w:rsidRPr="00366A0F">
        <w:rPr>
          <w:rFonts w:eastAsia="Times New Roman"/>
        </w:rPr>
        <w:t xml:space="preserve"> (Table 3)</w:t>
      </w:r>
      <w:r w:rsidRPr="00366A0F">
        <w:rPr>
          <w:rFonts w:eastAsia="Times New Roman"/>
        </w:rPr>
        <w:t xml:space="preserve">. </w:t>
      </w:r>
      <w:r w:rsidR="00EA3CC1" w:rsidRPr="00366A0F">
        <w:rPr>
          <w:rFonts w:eastAsia="Times New Roman"/>
        </w:rPr>
        <w:t>Likewise,</w:t>
      </w:r>
      <w:r w:rsidRPr="00366A0F">
        <w:rPr>
          <w:rFonts w:eastAsia="Times New Roman"/>
        </w:rPr>
        <w:t xml:space="preserve"> for errors due to responding to a non-target, there w</w:t>
      </w:r>
      <w:r w:rsidR="0017414A" w:rsidRPr="00366A0F">
        <w:rPr>
          <w:rFonts w:eastAsia="Times New Roman"/>
        </w:rPr>
        <w:t>ere</w:t>
      </w:r>
      <w:r w:rsidRPr="00366A0F">
        <w:rPr>
          <w:rFonts w:eastAsia="Times New Roman"/>
        </w:rPr>
        <w:t xml:space="preserve"> no </w:t>
      </w:r>
      <w:r w:rsidR="0017414A" w:rsidRPr="00366A0F">
        <w:rPr>
          <w:rFonts w:eastAsia="Times New Roman"/>
        </w:rPr>
        <w:t xml:space="preserve">significant main effects of group (p=0.529) and time (p=0.251), nor a </w:t>
      </w:r>
      <w:r w:rsidRPr="00366A0F">
        <w:rPr>
          <w:rFonts w:eastAsia="Times New Roman"/>
        </w:rPr>
        <w:t>significant group x time interaction (p=0.134).</w:t>
      </w:r>
    </w:p>
    <w:p w14:paraId="33C32052" w14:textId="7F95D4AD" w:rsidR="00D14A08" w:rsidRPr="00366A0F" w:rsidRDefault="00741761" w:rsidP="00073222">
      <w:pPr>
        <w:spacing w:before="240" w:after="240" w:line="360" w:lineRule="auto"/>
        <w:ind w:firstLine="709"/>
        <w:jc w:val="both"/>
        <w:rPr>
          <w:rFonts w:eastAsia="Times New Roman"/>
        </w:rPr>
      </w:pPr>
      <w:r w:rsidRPr="00366A0F">
        <w:rPr>
          <w:rFonts w:eastAsia="Times New Roman"/>
        </w:rPr>
        <w:t>For errors due to missing targets</w:t>
      </w:r>
      <w:r w:rsidR="007F4175" w:rsidRPr="00366A0F">
        <w:rPr>
          <w:rFonts w:eastAsia="Times New Roman"/>
        </w:rPr>
        <w:t xml:space="preserve">, there was no </w:t>
      </w:r>
      <w:r w:rsidR="0017414A" w:rsidRPr="00366A0F">
        <w:rPr>
          <w:rFonts w:eastAsia="Times New Roman"/>
        </w:rPr>
        <w:t>significant main effect of group (p=0.753), although there was a significant main effect of time (p&lt;0.001)</w:t>
      </w:r>
      <w:r w:rsidR="00FD3EBB" w:rsidRPr="00366A0F">
        <w:rPr>
          <w:rFonts w:eastAsia="Times New Roman"/>
        </w:rPr>
        <w:t xml:space="preserve"> (Table 3)</w:t>
      </w:r>
      <w:r w:rsidR="0017414A" w:rsidRPr="00366A0F">
        <w:rPr>
          <w:rFonts w:eastAsia="Times New Roman"/>
        </w:rPr>
        <w:t xml:space="preserve">. Post hoc analysis revealed that compared to </w:t>
      </w:r>
      <w:r w:rsidR="000376E3" w:rsidRPr="00366A0F">
        <w:rPr>
          <w:rFonts w:eastAsia="Times New Roman"/>
        </w:rPr>
        <w:t>w</w:t>
      </w:r>
      <w:r w:rsidR="0017414A" w:rsidRPr="00366A0F">
        <w:rPr>
          <w:rFonts w:eastAsia="Times New Roman"/>
        </w:rPr>
        <w:t xml:space="preserve">eek 1, there were less errors in </w:t>
      </w:r>
      <w:r w:rsidR="000376E3" w:rsidRPr="00366A0F">
        <w:rPr>
          <w:rFonts w:eastAsia="Times New Roman"/>
        </w:rPr>
        <w:t>w</w:t>
      </w:r>
      <w:r w:rsidR="0017414A" w:rsidRPr="00366A0F">
        <w:rPr>
          <w:rFonts w:eastAsia="Times New Roman"/>
        </w:rPr>
        <w:t xml:space="preserve">eeks 3 (mean=-9.9 ± 2.1; 95% CI = -14.1 to -5.8) and 4 (mean=-9.1 ± 2.1; 95% CI = -13.4 to -4.8). Furthermore, when compared to </w:t>
      </w:r>
      <w:r w:rsidR="000376E3" w:rsidRPr="00366A0F">
        <w:rPr>
          <w:rFonts w:eastAsia="Times New Roman"/>
        </w:rPr>
        <w:t>w</w:t>
      </w:r>
      <w:r w:rsidR="0017414A" w:rsidRPr="00366A0F">
        <w:rPr>
          <w:rFonts w:eastAsia="Times New Roman"/>
        </w:rPr>
        <w:t xml:space="preserve">eek 2, less errors in </w:t>
      </w:r>
      <w:r w:rsidR="000376E3" w:rsidRPr="00366A0F">
        <w:rPr>
          <w:rFonts w:eastAsia="Times New Roman"/>
        </w:rPr>
        <w:t>w</w:t>
      </w:r>
      <w:r w:rsidR="0017414A" w:rsidRPr="00366A0F">
        <w:rPr>
          <w:rFonts w:eastAsia="Times New Roman"/>
        </w:rPr>
        <w:t xml:space="preserve">eeks 3 (mean=-6.6 ± 1.9; 95% CI = -10.4 to -2.9) and 4 (mean=-5.8 ± 2.1; 95% CI = -10.0 to -1.6). There was no significant difference between </w:t>
      </w:r>
      <w:r w:rsidR="000376E3" w:rsidRPr="00366A0F">
        <w:rPr>
          <w:rFonts w:eastAsia="Times New Roman"/>
        </w:rPr>
        <w:t>w</w:t>
      </w:r>
      <w:r w:rsidR="0017414A" w:rsidRPr="00366A0F">
        <w:rPr>
          <w:rFonts w:eastAsia="Times New Roman"/>
        </w:rPr>
        <w:t xml:space="preserve">eeks 1 and 2 (p=0.073), nor between Weeks 3 and 4 (p=0.671). </w:t>
      </w:r>
      <w:r w:rsidR="00894AFC" w:rsidRPr="00366A0F">
        <w:rPr>
          <w:rFonts w:eastAsia="Times New Roman"/>
        </w:rPr>
        <w:t>Meanwhile</w:t>
      </w:r>
      <w:r w:rsidR="00FD3EBB" w:rsidRPr="00366A0F">
        <w:rPr>
          <w:rFonts w:eastAsia="Times New Roman"/>
        </w:rPr>
        <w:t xml:space="preserve">, there was no </w:t>
      </w:r>
      <w:r w:rsidR="007F4175" w:rsidRPr="00366A0F">
        <w:rPr>
          <w:rFonts w:eastAsia="Times New Roman"/>
        </w:rPr>
        <w:t>significant group x time interaction (p=0.197)</w:t>
      </w:r>
      <w:r w:rsidRPr="00366A0F">
        <w:rPr>
          <w:rFonts w:eastAsia="Times New Roman"/>
        </w:rPr>
        <w:t>.</w:t>
      </w:r>
    </w:p>
    <w:p w14:paraId="5FBBB324" w14:textId="1A9A7483" w:rsidR="00D14A08" w:rsidRPr="00366A0F" w:rsidRDefault="00741761" w:rsidP="008C4C4E">
      <w:pPr>
        <w:spacing w:before="240" w:after="240" w:line="360" w:lineRule="auto"/>
        <w:ind w:firstLine="709"/>
        <w:jc w:val="center"/>
        <w:rPr>
          <w:rFonts w:eastAsia="Times New Roman"/>
          <w:b/>
        </w:rPr>
      </w:pPr>
      <w:r w:rsidRPr="00366A0F">
        <w:rPr>
          <w:rFonts w:eastAsia="Times New Roman"/>
          <w:b/>
        </w:rPr>
        <w:lastRenderedPageBreak/>
        <w:t xml:space="preserve">[Insert Table </w:t>
      </w:r>
      <w:r w:rsidR="002E128B" w:rsidRPr="00366A0F">
        <w:rPr>
          <w:rFonts w:eastAsia="Times New Roman"/>
          <w:b/>
        </w:rPr>
        <w:t>3</w:t>
      </w:r>
      <w:r w:rsidRPr="00366A0F">
        <w:rPr>
          <w:rFonts w:eastAsia="Times New Roman"/>
          <w:b/>
        </w:rPr>
        <w:t xml:space="preserve"> Around Here]</w:t>
      </w:r>
    </w:p>
    <w:p w14:paraId="3ED4659D" w14:textId="3964EF25" w:rsidR="00D14A08" w:rsidRPr="00366A0F" w:rsidRDefault="00A37297" w:rsidP="00F01D33">
      <w:pPr>
        <w:tabs>
          <w:tab w:val="left" w:pos="1980"/>
        </w:tabs>
        <w:spacing w:before="240" w:after="240" w:line="360" w:lineRule="auto"/>
        <w:rPr>
          <w:rFonts w:eastAsia="Times New Roman"/>
          <w:i/>
        </w:rPr>
      </w:pPr>
      <w:r w:rsidRPr="00366A0F">
        <w:rPr>
          <w:rFonts w:eastAsia="Times New Roman"/>
          <w:i/>
        </w:rPr>
        <w:t xml:space="preserve">Participant </w:t>
      </w:r>
      <w:r w:rsidR="00741761" w:rsidRPr="00366A0F">
        <w:rPr>
          <w:rFonts w:eastAsia="Times New Roman"/>
          <w:i/>
        </w:rPr>
        <w:t>Feedback</w:t>
      </w:r>
      <w:r w:rsidR="00F01D33" w:rsidRPr="00366A0F">
        <w:rPr>
          <w:rFonts w:eastAsia="Times New Roman"/>
          <w:i/>
        </w:rPr>
        <w:tab/>
      </w:r>
    </w:p>
    <w:p w14:paraId="26F4E9CE" w14:textId="3C435F94" w:rsidR="00906D26" w:rsidRPr="00366A0F" w:rsidRDefault="00F01D33" w:rsidP="0067772E">
      <w:pPr>
        <w:spacing w:before="240" w:after="240" w:line="360" w:lineRule="auto"/>
        <w:jc w:val="both"/>
        <w:rPr>
          <w:rFonts w:eastAsia="Times New Roman"/>
        </w:rPr>
      </w:pPr>
      <w:r w:rsidRPr="00366A0F">
        <w:rPr>
          <w:rFonts w:eastAsia="Times New Roman"/>
        </w:rPr>
        <w:t xml:space="preserve">After </w:t>
      </w:r>
      <w:r w:rsidR="000376E3" w:rsidRPr="00366A0F">
        <w:rPr>
          <w:rFonts w:eastAsia="Times New Roman"/>
        </w:rPr>
        <w:t>w</w:t>
      </w:r>
      <w:r w:rsidR="00894AFC" w:rsidRPr="00366A0F">
        <w:rPr>
          <w:rFonts w:eastAsia="Times New Roman"/>
        </w:rPr>
        <w:t>eek 4</w:t>
      </w:r>
      <w:r w:rsidRPr="00366A0F">
        <w:rPr>
          <w:rFonts w:eastAsia="Times New Roman"/>
        </w:rPr>
        <w:t xml:space="preserve"> of supplementation, the participants filled out a feedback form. The most pressing issues were those of side effects. </w:t>
      </w:r>
      <w:r w:rsidR="00A37297" w:rsidRPr="00366A0F">
        <w:rPr>
          <w:rFonts w:eastAsia="Times New Roman"/>
        </w:rPr>
        <w:t xml:space="preserve">If introduced too quickly, </w:t>
      </w:r>
      <w:r w:rsidRPr="00366A0F">
        <w:rPr>
          <w:rFonts w:eastAsia="Times New Roman"/>
        </w:rPr>
        <w:t xml:space="preserve">MCTs are known to </w:t>
      </w:r>
      <w:r w:rsidR="00A37297" w:rsidRPr="00366A0F">
        <w:rPr>
          <w:rFonts w:eastAsia="Times New Roman"/>
        </w:rPr>
        <w:t xml:space="preserve">potentially </w:t>
      </w:r>
      <w:r w:rsidRPr="00366A0F">
        <w:rPr>
          <w:rFonts w:eastAsia="Times New Roman"/>
        </w:rPr>
        <w:t xml:space="preserve">cause gastrointestinal issues </w:t>
      </w:r>
      <w:r w:rsidR="00CB7AF9" w:rsidRPr="00366A0F">
        <w:rPr>
          <w:rFonts w:eastAsia="Times New Roman"/>
        </w:rPr>
        <w:fldChar w:fldCharType="begin" w:fldLock="1"/>
      </w:r>
      <w:r w:rsidR="00616D7D">
        <w:rPr>
          <w:rFonts w:eastAsia="Times New Roman"/>
        </w:rPr>
        <w:instrText>ADDIN CSL_CITATION {"citationItems":[{"id":"ITEM-1","itemData":{"DOI":"10.1039/c6fo01207h","ISSN":"2042650X","abstract":"Hypercholesterolemia is one of the important risk factors of atherosclerosis (AS). The aim of this study is to explore the effect of medium-chain fatty acids (MCFAs) on serum cholesterol levels and their mechanism of action. Hyperlipemia, as a model of abnormal lipid hypermetabolism, was established by using a high fat diet in C57BL/6J mice. Forty eight mice with dyslipidemia were randomly divided into 4 groups, 12 mice per group, including the control group, the 2% caprylic acid (C8:0)-treated group, 2% capric acid (C10:0)-treated group, and 2% oleic acid (C18:1)-treated group. All mice were fed with a high fat diet. After 16 weeks, the mice were anesthetized with chloral hydrate. The mouse portal vein blood, the liver and the start site of the ileum (1 cm) were collected. The body weight of the mice and blood lipid profiles were measured. Gene transcription and the expression level associated with bile acid metabolism in the liver and small intestine were determined by real-time PCR and the western blotting method. The concentrations of bile acid metabolites in bile and feces were analysed. After 16 weeks of treatment, the concentrations of TC and LDL-C in the caprylic acid group were significantly lower than those in the control group (P &lt; 0.05); the transcription and expression level of LXR, CYP7A1, CYP27A1 and ABCG8 in the caprylic acid and capric acid groups were significantly higher than those in the control group in the liver (P &lt; 0.05), however the transcription and expression level of the small heterodimer partner (SHP) were significantly lower than those in the control group (P &lt; 0.05); the transcription and expression level of LXR, ABCG5 and ABCG8 in the caprylic acid, capric acid and oleic acid groups were significantly higher than those in the control group in the small intestine (P &lt; 0.05). The concentrations of total bile acid, mainly cholic acid and cholesterol in bile and feces were significantly higher in the caprylic and capric acid groups than those of in the control group (P &lt; 0.05). Thus, MCFA increased the expression of LXR and ABCG8, enhanced CYP7A1 and CYP27A1 expression, decreased and SHP expression in the liver, thereby promoted liver bile acid synthesis and excretion. In addition MCFA increased the expression of ABCG5, ABCG8 and LXR in the small intestine, thereby inhibiting small intestinal bile acid absorption, increasing the concentrations of cholesterol and bile acid in bile and feces and reducing the level of serum chol…","author":[{"dropping-particle":"","family":"Liu","given":"Yinghua","non-dropping-particle":"","parse-names":false,"suffix":""},{"dropping-particle":"","family":"Zhang","given":"Yong","non-dropping-particle":"","parse-names":false,"suffix":""},{"dropping-particle":"","family":"Zhang","given":"Xinsheng","non-dropping-particle":"","parse-names":false,"suffix":""},{"dropping-particle":"","family":"Xu","given":"Qing","non-dropping-particle":"","parse-names":false,"suffix":""},{"dropping-particle":"","family":"Yang","given":"Xueyan","non-dropping-particle":"","parse-names":false,"suffix":""},{"dropping-particle":"","family":"Xue","given":"Changyong","non-dropping-particle":"","parse-names":false,"suffix":""}],"container-title":"Food and Function","id":"ITEM-1","issue":"1","issued":{"date-parts":[["2017","1","1"]]},"page":"291-298","publisher":"Royal Society of Chemistry","title":"Medium-chain fatty acids reduce serum cholesterol by regulating the metabolism of bile acid in C57BL/6J mice","type":"article-journal","volume":"8"},"uris":["http://www.mendeley.com/documents/?uuid=b144dc4c-d074-45ec-8b7b-c7c118465b45","http://www.mendeley.com/documents/?uuid=805fb48c-1f26-3366-b2a2-02677d593676"]},{"id":"ITEM-2","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Toxicology","id":"ITEM-2","issue":"1","issued":{"date-parts":[["2000"]]},"page":"79-98","title":"Review of the toxicologic properties of medium-chain triglycerides","type":"article-journal","volume":"38"},"uris":["http://www.mendeley.com/documents/?uuid=83ddcae8-8bc1-49c5-8d1a-c96845d180c1","http://www.mendeley.com/documents/?uuid=bb7d2f83-a04c-4342-b8c5-f1652b49aa4c","http://www.mendeley.com/documents/?uuid=7fda6436-02ba-4243-8642-830c59ff900b"]}],"mendeley":{"formattedCitation":"[1,36]","plainTextFormattedCitation":"[1,36]","previouslyFormattedCitation":"[1,36]"},"properties":{"noteIndex":0},"schema":"https://github.com/citation-style-language/schema/raw/master/csl-citation.json"}</w:instrText>
      </w:r>
      <w:r w:rsidR="00CB7AF9" w:rsidRPr="00366A0F">
        <w:rPr>
          <w:rFonts w:eastAsia="Times New Roman"/>
        </w:rPr>
        <w:fldChar w:fldCharType="separate"/>
      </w:r>
      <w:r w:rsidR="00FD5371" w:rsidRPr="00FD5371">
        <w:rPr>
          <w:rFonts w:eastAsia="Times New Roman"/>
          <w:noProof/>
        </w:rPr>
        <w:t>[1,36]</w:t>
      </w:r>
      <w:r w:rsidR="00CB7AF9" w:rsidRPr="00366A0F">
        <w:rPr>
          <w:rFonts w:eastAsia="Times New Roman"/>
        </w:rPr>
        <w:fldChar w:fldCharType="end"/>
      </w:r>
      <w:r w:rsidRPr="00366A0F">
        <w:rPr>
          <w:rFonts w:eastAsia="Times New Roman"/>
        </w:rPr>
        <w:t xml:space="preserve"> due to their relatively short carbon chain. In order to reduce this risk, the MCTs dosage</w:t>
      </w:r>
      <w:r w:rsidR="000D23EA" w:rsidRPr="00366A0F">
        <w:rPr>
          <w:rFonts w:eastAsia="Times New Roman"/>
        </w:rPr>
        <w:t xml:space="preserve">s used </w:t>
      </w:r>
      <w:r w:rsidRPr="00366A0F">
        <w:rPr>
          <w:rFonts w:eastAsia="Times New Roman"/>
        </w:rPr>
        <w:t>w</w:t>
      </w:r>
      <w:r w:rsidR="000D23EA" w:rsidRPr="00366A0F">
        <w:rPr>
          <w:rFonts w:eastAsia="Times New Roman"/>
        </w:rPr>
        <w:t>ere</w:t>
      </w:r>
      <w:r w:rsidRPr="00366A0F">
        <w:rPr>
          <w:rFonts w:eastAsia="Times New Roman"/>
        </w:rPr>
        <w:t xml:space="preserve"> relatively low</w:t>
      </w:r>
      <w:r w:rsidR="000D23EA" w:rsidRPr="00366A0F">
        <w:rPr>
          <w:rFonts w:eastAsia="Times New Roman"/>
        </w:rPr>
        <w:t>.</w:t>
      </w:r>
      <w:r w:rsidRPr="00366A0F">
        <w:rPr>
          <w:rFonts w:eastAsia="Times New Roman"/>
        </w:rPr>
        <w:t xml:space="preserve"> </w:t>
      </w:r>
      <w:r w:rsidR="000D23EA" w:rsidRPr="00366A0F">
        <w:rPr>
          <w:rFonts w:eastAsia="Times New Roman"/>
        </w:rPr>
        <w:t>Our study used a maximum total dose of 18g of MCT/day. This amount was also used by</w:t>
      </w:r>
      <w:r w:rsidR="007865BB" w:rsidRPr="00366A0F">
        <w:rPr>
          <w:rFonts w:eastAsia="Times New Roman"/>
        </w:rPr>
        <w:t xml:space="preserve"> </w:t>
      </w:r>
      <w:r w:rsidR="00A37297" w:rsidRPr="00366A0F">
        <w:rPr>
          <w:rFonts w:eastAsia="Times New Roman"/>
        </w:rPr>
        <w:t xml:space="preserve">Xu </w:t>
      </w:r>
      <w:r w:rsidR="00A37297" w:rsidRPr="00903524">
        <w:rPr>
          <w:rFonts w:eastAsia="Times New Roman"/>
          <w:i/>
          <w:iCs/>
        </w:rPr>
        <w:t>et al.</w:t>
      </w:r>
      <w:r w:rsidR="00A37297" w:rsidRPr="00366A0F">
        <w:rPr>
          <w:rFonts w:eastAsia="Times New Roman"/>
        </w:rPr>
        <w:t xml:space="preserve"> </w:t>
      </w:r>
      <w:r w:rsidR="00A37297" w:rsidRPr="00366A0F">
        <w:rPr>
          <w:rFonts w:eastAsia="Times New Roman"/>
        </w:rPr>
        <w:fldChar w:fldCharType="begin" w:fldLock="1"/>
      </w:r>
      <w:r w:rsidR="00616D7D">
        <w:rPr>
          <w:rFonts w:eastAsia="Times New Roman"/>
        </w:rPr>
        <w:instrText>ADDIN CSL_CITATION {"citationItems":[{"id":"ITEM-1","itemData":{"DOI":"10.1016/j.clnu.2019.10.017","ISSN":"15321983","abstract":"Background: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Nutrition","id":"ITEM-1","issue":"xxxx","issued":{"date-parts":[["2019"]]},"publisher":"Elsevier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2907e5b5-01d3-4c7a-8a88-74fb1c577832"]}],"mendeley":{"formattedCitation":"[28]","plainTextFormattedCitation":"[28]","previouslyFormattedCitation":"[28]"},"properties":{"noteIndex":0},"schema":"https://github.com/citation-style-language/schema/raw/master/csl-citation.json"}</w:instrText>
      </w:r>
      <w:r w:rsidR="00A37297" w:rsidRPr="00366A0F">
        <w:rPr>
          <w:rFonts w:eastAsia="Times New Roman"/>
        </w:rPr>
        <w:fldChar w:fldCharType="separate"/>
      </w:r>
      <w:r w:rsidR="00FD5371" w:rsidRPr="00FD5371">
        <w:rPr>
          <w:rFonts w:eastAsia="Times New Roman"/>
          <w:noProof/>
        </w:rPr>
        <w:t>[28]</w:t>
      </w:r>
      <w:r w:rsidR="00A37297" w:rsidRPr="00366A0F">
        <w:rPr>
          <w:rFonts w:eastAsia="Times New Roman"/>
        </w:rPr>
        <w:fldChar w:fldCharType="end"/>
      </w:r>
      <w:r w:rsidR="000D23EA" w:rsidRPr="00366A0F">
        <w:rPr>
          <w:rFonts w:eastAsia="Times New Roman"/>
        </w:rPr>
        <w:t>, and their participants experienced little to no side effects. Furthermore, the dosage was</w:t>
      </w:r>
      <w:r w:rsidRPr="00366A0F">
        <w:rPr>
          <w:rFonts w:eastAsia="Times New Roman"/>
        </w:rPr>
        <w:t xml:space="preserve"> gradually increased </w:t>
      </w:r>
      <w:r w:rsidR="000376E3" w:rsidRPr="00366A0F">
        <w:rPr>
          <w:rFonts w:eastAsia="Times New Roman"/>
        </w:rPr>
        <w:t>w</w:t>
      </w:r>
      <w:r w:rsidRPr="00366A0F">
        <w:rPr>
          <w:rFonts w:eastAsia="Times New Roman"/>
        </w:rPr>
        <w:t xml:space="preserve">eek by </w:t>
      </w:r>
      <w:r w:rsidR="000376E3" w:rsidRPr="00366A0F">
        <w:rPr>
          <w:rFonts w:eastAsia="Times New Roman"/>
        </w:rPr>
        <w:t>w</w:t>
      </w:r>
      <w:r w:rsidRPr="00366A0F">
        <w:rPr>
          <w:rFonts w:eastAsia="Times New Roman"/>
        </w:rPr>
        <w:t>eek</w:t>
      </w:r>
      <w:r w:rsidR="000D23EA" w:rsidRPr="00366A0F">
        <w:rPr>
          <w:rFonts w:eastAsia="Times New Roman"/>
        </w:rPr>
        <w:t xml:space="preserve"> and </w:t>
      </w:r>
      <w:r w:rsidRPr="00366A0F">
        <w:rPr>
          <w:rFonts w:eastAsia="Times New Roman"/>
        </w:rPr>
        <w:t xml:space="preserve">the supplement </w:t>
      </w:r>
      <w:r w:rsidR="000D23EA" w:rsidRPr="00366A0F">
        <w:rPr>
          <w:rFonts w:eastAsia="Times New Roman"/>
        </w:rPr>
        <w:t>contained a high</w:t>
      </w:r>
      <w:r w:rsidR="00A37297" w:rsidRPr="00366A0F">
        <w:rPr>
          <w:rFonts w:eastAsia="Times New Roman"/>
        </w:rPr>
        <w:t xml:space="preserve">er ratio </w:t>
      </w:r>
      <w:r w:rsidR="000D23EA" w:rsidRPr="00366A0F">
        <w:rPr>
          <w:rFonts w:eastAsia="Times New Roman"/>
        </w:rPr>
        <w:t>of</w:t>
      </w:r>
      <w:r w:rsidRPr="00366A0F">
        <w:rPr>
          <w:rFonts w:eastAsia="Times New Roman"/>
        </w:rPr>
        <w:t xml:space="preserve"> C</w:t>
      </w:r>
      <w:r w:rsidRPr="00366A0F">
        <w:rPr>
          <w:rFonts w:eastAsia="Times New Roman"/>
          <w:vertAlign w:val="subscript"/>
        </w:rPr>
        <w:t>10</w:t>
      </w:r>
      <w:r w:rsidR="000D23EA" w:rsidRPr="00366A0F">
        <w:rPr>
          <w:rFonts w:eastAsia="Times New Roman"/>
        </w:rPr>
        <w:t xml:space="preserve">, </w:t>
      </w:r>
      <w:r w:rsidRPr="00366A0F">
        <w:rPr>
          <w:rFonts w:eastAsia="Times New Roman"/>
        </w:rPr>
        <w:t>which causes fewer stomach issues than C</w:t>
      </w:r>
      <w:r w:rsidRPr="00366A0F">
        <w:rPr>
          <w:rFonts w:eastAsia="Times New Roman"/>
          <w:vertAlign w:val="subscript"/>
        </w:rPr>
        <w:t>8</w:t>
      </w:r>
      <w:r w:rsidRPr="00366A0F">
        <w:rPr>
          <w:rFonts w:eastAsia="Times New Roman"/>
        </w:rPr>
        <w:t xml:space="preserve">. Despite this, some </w:t>
      </w:r>
      <w:r w:rsidR="00A37297" w:rsidRPr="00366A0F">
        <w:rPr>
          <w:rFonts w:eastAsia="Times New Roman"/>
        </w:rPr>
        <w:t xml:space="preserve">minor </w:t>
      </w:r>
      <w:r w:rsidRPr="00366A0F">
        <w:rPr>
          <w:rFonts w:eastAsia="Times New Roman"/>
        </w:rPr>
        <w:t>side effects were experienced by 50% of the 18g group and by 40% of the 12g group.</w:t>
      </w:r>
    </w:p>
    <w:p w14:paraId="59CBE923" w14:textId="77777777" w:rsidR="00D14A08" w:rsidRPr="00366A0F" w:rsidRDefault="00741761" w:rsidP="008C4C4E">
      <w:pPr>
        <w:spacing w:before="240" w:after="240" w:line="360" w:lineRule="auto"/>
        <w:jc w:val="both"/>
        <w:rPr>
          <w:rFonts w:eastAsia="Times New Roman"/>
          <w:b/>
        </w:rPr>
      </w:pPr>
      <w:r w:rsidRPr="00366A0F">
        <w:rPr>
          <w:rFonts w:eastAsia="Times New Roman"/>
          <w:b/>
        </w:rPr>
        <w:t>Discussion</w:t>
      </w:r>
    </w:p>
    <w:p w14:paraId="7EBBB6F5" w14:textId="1A03BA99" w:rsidR="00D14A08" w:rsidRPr="00366A0F" w:rsidRDefault="00741761" w:rsidP="0067772E">
      <w:pPr>
        <w:spacing w:before="240" w:after="240" w:line="360" w:lineRule="auto"/>
        <w:jc w:val="both"/>
        <w:rPr>
          <w:rFonts w:eastAsia="Times New Roman"/>
        </w:rPr>
      </w:pPr>
      <w:r w:rsidRPr="00366A0F">
        <w:rPr>
          <w:rFonts w:eastAsia="Times New Roman"/>
        </w:rPr>
        <w:t xml:space="preserve">The present study aimed to determine if </w:t>
      </w:r>
      <w:r w:rsidR="00AE3373" w:rsidRPr="00366A0F">
        <w:rPr>
          <w:rFonts w:eastAsia="Times New Roman"/>
        </w:rPr>
        <w:t xml:space="preserve">chronic </w:t>
      </w:r>
      <w:r w:rsidRPr="00366A0F">
        <w:rPr>
          <w:rFonts w:eastAsia="Times New Roman"/>
        </w:rPr>
        <w:t>MCT</w:t>
      </w:r>
      <w:r w:rsidR="00AE3373" w:rsidRPr="00366A0F">
        <w:rPr>
          <w:rFonts w:eastAsia="Times New Roman"/>
        </w:rPr>
        <w:t xml:space="preserve"> ingestion</w:t>
      </w:r>
      <w:r w:rsidRPr="00366A0F">
        <w:rPr>
          <w:rFonts w:eastAsia="Times New Roman"/>
        </w:rPr>
        <w:t xml:space="preserve"> improved </w:t>
      </w:r>
      <w:r w:rsidR="000D23EA" w:rsidRPr="00366A0F">
        <w:rPr>
          <w:rFonts w:eastAsia="Times New Roman"/>
        </w:rPr>
        <w:t xml:space="preserve">performance in </w:t>
      </w:r>
      <w:r w:rsidRPr="00366A0F">
        <w:rPr>
          <w:rFonts w:eastAsia="Times New Roman"/>
        </w:rPr>
        <w:t>cogniti</w:t>
      </w:r>
      <w:r w:rsidR="007F43BC" w:rsidRPr="00366A0F">
        <w:rPr>
          <w:rFonts w:eastAsia="Times New Roman"/>
        </w:rPr>
        <w:t>ve</w:t>
      </w:r>
      <w:r w:rsidR="000D23EA" w:rsidRPr="00366A0F">
        <w:rPr>
          <w:rFonts w:eastAsia="Times New Roman"/>
        </w:rPr>
        <w:t xml:space="preserve"> tasks</w:t>
      </w:r>
      <w:r w:rsidRPr="00366A0F">
        <w:rPr>
          <w:rFonts w:eastAsia="Times New Roman"/>
        </w:rPr>
        <w:t xml:space="preserve"> </w:t>
      </w:r>
      <w:r w:rsidR="007F43BC" w:rsidRPr="00366A0F">
        <w:rPr>
          <w:rFonts w:eastAsia="Times New Roman"/>
        </w:rPr>
        <w:t xml:space="preserve">for </w:t>
      </w:r>
      <w:r w:rsidRPr="00366A0F">
        <w:rPr>
          <w:rFonts w:eastAsia="Times New Roman"/>
        </w:rPr>
        <w:t>healthy individuals, and if so, quantify the ideal dose and time frame to elicit these improvements.</w:t>
      </w:r>
      <w:r w:rsidR="00A727F8" w:rsidRPr="00366A0F">
        <w:rPr>
          <w:rFonts w:eastAsia="Times New Roman"/>
        </w:rPr>
        <w:t xml:space="preserve"> </w:t>
      </w:r>
      <w:r w:rsidRPr="00366A0F">
        <w:rPr>
          <w:rFonts w:eastAsia="Times New Roman"/>
        </w:rPr>
        <w:t>Our data suggests that MCT</w:t>
      </w:r>
      <w:r w:rsidR="00AE3373" w:rsidRPr="00366A0F">
        <w:rPr>
          <w:rFonts w:eastAsia="Times New Roman"/>
        </w:rPr>
        <w:t xml:space="preserve"> </w:t>
      </w:r>
      <w:r w:rsidR="009159F9" w:rsidRPr="00366A0F">
        <w:rPr>
          <w:rFonts w:eastAsia="Times New Roman"/>
        </w:rPr>
        <w:t>supplementation</w:t>
      </w:r>
      <w:r w:rsidRPr="00366A0F">
        <w:rPr>
          <w:rFonts w:eastAsia="Times New Roman"/>
        </w:rPr>
        <w:t xml:space="preserve"> improve</w:t>
      </w:r>
      <w:r w:rsidR="00AE3373" w:rsidRPr="00366A0F">
        <w:rPr>
          <w:rFonts w:eastAsia="Times New Roman"/>
        </w:rPr>
        <w:t>s</w:t>
      </w:r>
      <w:r w:rsidRPr="00366A0F">
        <w:rPr>
          <w:rFonts w:eastAsia="Times New Roman"/>
        </w:rPr>
        <w:t xml:space="preserve"> cognitive performance in healthy individuals after a minimum of 2-3 </w:t>
      </w:r>
      <w:r w:rsidR="000376E3" w:rsidRPr="00366A0F">
        <w:rPr>
          <w:rFonts w:eastAsia="Times New Roman"/>
        </w:rPr>
        <w:t>w</w:t>
      </w:r>
      <w:r w:rsidRPr="00366A0F">
        <w:rPr>
          <w:rFonts w:eastAsia="Times New Roman"/>
        </w:rPr>
        <w:t xml:space="preserve">eeks, </w:t>
      </w:r>
      <w:r w:rsidR="00AE3373" w:rsidRPr="00366A0F">
        <w:rPr>
          <w:rFonts w:eastAsia="Times New Roman"/>
        </w:rPr>
        <w:t>following</w:t>
      </w:r>
      <w:r w:rsidRPr="00366A0F">
        <w:rPr>
          <w:rFonts w:eastAsia="Times New Roman"/>
        </w:rPr>
        <w:t xml:space="preserve"> </w:t>
      </w:r>
      <w:r w:rsidR="00073222" w:rsidRPr="00366A0F">
        <w:rPr>
          <w:rFonts w:eastAsia="Times New Roman"/>
        </w:rPr>
        <w:t>ingestion of</w:t>
      </w:r>
      <w:r w:rsidR="00AE3373" w:rsidRPr="00366A0F">
        <w:rPr>
          <w:rFonts w:eastAsia="Times New Roman"/>
        </w:rPr>
        <w:t xml:space="preserve"> </w:t>
      </w:r>
      <w:r w:rsidRPr="00366A0F">
        <w:rPr>
          <w:rFonts w:eastAsia="Times New Roman"/>
        </w:rPr>
        <w:t>12</w:t>
      </w:r>
      <w:r w:rsidR="00AE3373" w:rsidRPr="00366A0F">
        <w:rPr>
          <w:rFonts w:eastAsia="Times New Roman"/>
        </w:rPr>
        <w:t xml:space="preserve"> -</w:t>
      </w:r>
      <w:r w:rsidRPr="00366A0F">
        <w:rPr>
          <w:rFonts w:eastAsia="Times New Roman"/>
        </w:rPr>
        <w:t xml:space="preserve">18g of MCTs per day. </w:t>
      </w:r>
      <w:r w:rsidR="00A727F8" w:rsidRPr="00366A0F">
        <w:rPr>
          <w:rFonts w:eastAsia="Times New Roman"/>
        </w:rPr>
        <w:t>This dose was similar to the</w:t>
      </w:r>
      <w:r w:rsidR="00292380" w:rsidRPr="00366A0F">
        <w:rPr>
          <w:rFonts w:eastAsia="Times New Roman"/>
        </w:rPr>
        <w:t xml:space="preserve"> </w:t>
      </w:r>
      <w:r w:rsidR="00A727F8" w:rsidRPr="00366A0F">
        <w:rPr>
          <w:rFonts w:eastAsia="Times New Roman"/>
        </w:rPr>
        <w:t xml:space="preserve">17.3g MCT/day used by Xu </w:t>
      </w:r>
      <w:r w:rsidR="00A727F8" w:rsidRPr="00903524">
        <w:rPr>
          <w:rFonts w:eastAsia="Times New Roman"/>
          <w:i/>
          <w:iCs/>
        </w:rPr>
        <w:t>et al</w:t>
      </w:r>
      <w:r w:rsidR="00A727F8" w:rsidRPr="00366A0F">
        <w:rPr>
          <w:rFonts w:eastAsia="Times New Roman"/>
        </w:rPr>
        <w:t xml:space="preserve">. </w:t>
      </w:r>
      <w:r w:rsidR="00A727F8" w:rsidRPr="00366A0F">
        <w:rPr>
          <w:rFonts w:eastAsia="Times New Roman"/>
        </w:rPr>
        <w:fldChar w:fldCharType="begin" w:fldLock="1"/>
      </w:r>
      <w:r w:rsidR="00616D7D">
        <w:rPr>
          <w:rFonts w:eastAsia="Times New Roman"/>
        </w:rPr>
        <w:instrText>ADDIN CSL_CITATION {"citationItems":[{"id":"ITEM-1","itemData":{"DOI":"10.1016/j.clnu.2019.10.017","ISSN":"15321983","abstract":"Background: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Nutrition","id":"ITEM-1","issue":"xxxx","issued":{"date-parts":[["2019"]]},"publisher":"Elsevier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2907e5b5-01d3-4c7a-8a88-74fb1c577832"]}],"mendeley":{"formattedCitation":"[28]","plainTextFormattedCitation":"[28]","previouslyFormattedCitation":"[28]"},"properties":{"noteIndex":0},"schema":"https://github.com/citation-style-language/schema/raw/master/csl-citation.json"}</w:instrText>
      </w:r>
      <w:r w:rsidR="00A727F8" w:rsidRPr="00366A0F">
        <w:rPr>
          <w:rFonts w:eastAsia="Times New Roman"/>
        </w:rPr>
        <w:fldChar w:fldCharType="separate"/>
      </w:r>
      <w:r w:rsidR="00FD5371" w:rsidRPr="00FD5371">
        <w:rPr>
          <w:rFonts w:eastAsia="Times New Roman"/>
          <w:noProof/>
        </w:rPr>
        <w:t>[28]</w:t>
      </w:r>
      <w:r w:rsidR="00A727F8" w:rsidRPr="00366A0F">
        <w:rPr>
          <w:rFonts w:eastAsia="Times New Roman"/>
        </w:rPr>
        <w:fldChar w:fldCharType="end"/>
      </w:r>
      <w:r w:rsidR="00A727F8" w:rsidRPr="00366A0F">
        <w:rPr>
          <w:rFonts w:eastAsia="Times New Roman"/>
        </w:rPr>
        <w:t xml:space="preserve">, who </w:t>
      </w:r>
      <w:r w:rsidR="005F4020" w:rsidRPr="00366A0F">
        <w:rPr>
          <w:rFonts w:eastAsia="Times New Roman"/>
        </w:rPr>
        <w:t>demonstrated</w:t>
      </w:r>
      <w:r w:rsidR="00A727F8" w:rsidRPr="00366A0F">
        <w:rPr>
          <w:rFonts w:eastAsia="Times New Roman"/>
        </w:rPr>
        <w:t xml:space="preserve"> improvements </w:t>
      </w:r>
      <w:r w:rsidR="005F4020" w:rsidRPr="00366A0F">
        <w:rPr>
          <w:rFonts w:eastAsia="Times New Roman"/>
        </w:rPr>
        <w:t xml:space="preserve">in </w:t>
      </w:r>
      <w:r w:rsidR="00A727F8" w:rsidRPr="00366A0F">
        <w:rPr>
          <w:rFonts w:eastAsia="Times New Roman"/>
        </w:rPr>
        <w:t>cognition after 30 days</w:t>
      </w:r>
      <w:r w:rsidR="005F4020" w:rsidRPr="00366A0F">
        <w:rPr>
          <w:rFonts w:eastAsia="Times New Roman"/>
        </w:rPr>
        <w:t xml:space="preserve"> of supplementation</w:t>
      </w:r>
      <w:r w:rsidR="00A727F8" w:rsidRPr="00366A0F">
        <w:rPr>
          <w:rFonts w:eastAsia="Times New Roman"/>
        </w:rPr>
        <w:t xml:space="preserve">. </w:t>
      </w:r>
      <w:r w:rsidR="009159F9" w:rsidRPr="00366A0F">
        <w:rPr>
          <w:rFonts w:eastAsia="Times New Roman"/>
        </w:rPr>
        <w:t>As the participants in the present study supplemented MCTs alongside their habitual diet, the findings suggest that MCT ingestion improves cognition independent of overall macronutrient composition</w:t>
      </w:r>
      <w:r w:rsidR="00E73404" w:rsidRPr="00366A0F">
        <w:rPr>
          <w:rFonts w:eastAsia="Times New Roman"/>
        </w:rPr>
        <w:t xml:space="preserve"> </w:t>
      </w:r>
      <w:r w:rsidR="00E73404" w:rsidRPr="00366A0F">
        <w:rPr>
          <w:rFonts w:eastAsia="Times New Roman"/>
        </w:rPr>
        <w:fldChar w:fldCharType="begin" w:fldLock="1"/>
      </w:r>
      <w:r w:rsidR="00616D7D">
        <w:rPr>
          <w:rFonts w:eastAsia="Times New Roman"/>
        </w:rPr>
        <w:instrText>ADDIN CSL_CITATION {"citationItems":[{"id":"ITEM-1","itemData":{"DOI":"10.1016/j.nurt.2008.05.004","ISSN":"19337213","abstract":"An early feature of Alzheimer's disease (AD) is region-specific declines in brain glucose metabolism. Unlike other tissues in the body, the brain does not efficiently metabolize fats; hence the adult human brain relies almost exclusively on glucose as an energy substrate. Therefore, inhibition of glucose metabolism can have profound effects on brain function. The hypometabolism seen in AD has recently attracted attention as a possible target for intervention in the disease process. One promising approach is to supplement the normal glucose supply of the brain with ketone bodies (KB), which include acetoacetate, β-hydroxybutyrate, and acetone. KB are normally produced from fat stores when glucose supplies are limited, such as during prolonged fasting. KB have been induced both by direct infusion and by the administration of a high-fat, low-carbohydrate, low-protein, ketogenic diets. Both approaches have demonstrated efficacy in animal models of neurodegenerative disorders and in human clinical trials, including AD trials. Much of the benefit of KB can be attributed to their ability to increase mitochondrial efficiency and supplement the brain's normal reliance on glucose. Research into the therapeutic potential of KB and ketosis represents a promising new area of AD research. © 2008 The American Society for Experimental NeuroTherapeutics, Inc.","author":[{"dropping-particle":"","family":"Henderson","given":"Samuel T.","non-dropping-particle":"","parse-names":false,"suffix":""}],"container-title":"Neurotherapeutics","id":"ITEM-1","issue":"3","issued":{"date-parts":[["2008"]]},"page":"470-480","title":"Ketone Bodies as a Therapeutic for Alzheimer's Disease","type":"article-journal","volume":"5"},"uris":["http://www.mendeley.com/documents/?uuid=859b1f29-2673-47da-9754-e627b90b79bd"]},{"id":"ITEM-2","itemData":{"DOI":"10.1111/nyas.12999","ISSN":"17496632","PMID":"26766547","abstract":"Brain glucose uptake is impaired in Alzheimer's disease (AD). A key question is whether cognitive decline can be delayed if this brain energy defect is at least partly corrected or bypassed early in the disease. The principal ketones (also called ketone bodies), β-hydroxybutyrate and acetoacetate, are the brain's main physiological alternative fuel to glucose. Three studies in mild-to-moderate AD have shown that, unlike with glucose, brain ketone uptake is not different from that in healthy age-matched controls. Published clinical trials demonstrate that increasing ketone availability to the brain via moderate nutritional ketosis has a modest beneficial effect on cognitive outcomes in mild-to-moderate AD and in mild cognitive impairment. Nutritional ketosis can be safely achieved by a high-fat ketogenic diet, by supplements providing 20-70 g/day of medium-chain triglycerides containing the eight- and ten-carbon fatty acids octanoate and decanoate, or by ketone esters. Given the acute dependence of the brain on its energy supply, it seems reasonable that the development of therapeutic strategies aimed at AD mandates consideration of how the underlying problem of deteriorating brain fuel supply can be corrected or delayed.","author":[{"dropping-particle":"","family":"Cunnane","given":"Stephen C.","non-dropping-particle":"","parse-names":false,"suffix":""},{"dropping-particle":"","family":"Courchesne-Loyer","given":"Alexandre","non-dropping-particle":"","parse-names":false,"suffix":""},{"dropping-particle":"","family":"St-Pierre","given":"Valérie","non-dropping-particle":"","parse-names":false,"suffix":""},{"dropping-particle":"","family":"Vandenberghe","given":"Camille","non-dropping-particle":"","parse-names":false,"suffix":""},{"dropping-particle":"","family":"Pierotti","given":"Tyler","non-dropping-particle":"","parse-names":false,"suffix":""},{"dropping-particle":"","family":"Fortier","given":"Mélanie","non-dropping-particle":"","parse-names":false,"suffix":""},{"dropping-particle":"","family":"Croteau","given":"Etienne","non-dropping-particle":"","parse-names":false,"suffix":""},{"dropping-particle":"","family":"Castellano","given":"Christian Alexandre","non-dropping-particle":"","parse-names":false,"suffix":""}],"container-title":"Annals of the New York Academy of Sciences","id":"ITEM-2","issue":"1","issued":{"date-parts":[["2016"]]},"page":"12-20","title":"Can ketones compensate for deteriorating brain glucose uptake during aging? Implications for the risk and treatment of Alzheimer's disease","type":"article-journal","volume":"1367"},"uris":["http://www.mendeley.com/documents/?uuid=7b7cef31-70b4-42dc-9b6d-8240b91c035b"]}],"mendeley":{"formattedCitation":"[19,51]","plainTextFormattedCitation":"[19,51]","previouslyFormattedCitation":"[19,51]"},"properties":{"noteIndex":0},"schema":"https://github.com/citation-style-language/schema/raw/master/csl-citation.json"}</w:instrText>
      </w:r>
      <w:r w:rsidR="00E73404" w:rsidRPr="00366A0F">
        <w:rPr>
          <w:rFonts w:eastAsia="Times New Roman"/>
        </w:rPr>
        <w:fldChar w:fldCharType="separate"/>
      </w:r>
      <w:r w:rsidR="00FD5371" w:rsidRPr="00FD5371">
        <w:rPr>
          <w:rFonts w:eastAsia="Times New Roman"/>
          <w:noProof/>
        </w:rPr>
        <w:t>[19,51]</w:t>
      </w:r>
      <w:r w:rsidR="00E73404" w:rsidRPr="00366A0F">
        <w:rPr>
          <w:rFonts w:eastAsia="Times New Roman"/>
        </w:rPr>
        <w:fldChar w:fldCharType="end"/>
      </w:r>
      <w:r w:rsidR="009159F9" w:rsidRPr="00366A0F">
        <w:rPr>
          <w:rFonts w:eastAsia="Times New Roman"/>
        </w:rPr>
        <w:t xml:space="preserve">. </w:t>
      </w:r>
      <w:r w:rsidR="00073222" w:rsidRPr="00366A0F">
        <w:rPr>
          <w:rFonts w:eastAsia="Times New Roman"/>
        </w:rPr>
        <w:t>Hence</w:t>
      </w:r>
      <w:r w:rsidR="009159F9" w:rsidRPr="00366A0F">
        <w:rPr>
          <w:rFonts w:eastAsia="Times New Roman"/>
        </w:rPr>
        <w:t>,</w:t>
      </w:r>
      <w:r w:rsidR="00073222" w:rsidRPr="00366A0F">
        <w:rPr>
          <w:rFonts w:eastAsia="Times New Roman"/>
        </w:rPr>
        <w:t xml:space="preserve"> MCT</w:t>
      </w:r>
      <w:r w:rsidR="00AE3373" w:rsidRPr="00366A0F">
        <w:rPr>
          <w:rFonts w:eastAsia="Times New Roman"/>
        </w:rPr>
        <w:t xml:space="preserve"> supplementation can</w:t>
      </w:r>
      <w:r w:rsidRPr="00366A0F">
        <w:rPr>
          <w:rFonts w:eastAsia="Times New Roman"/>
        </w:rPr>
        <w:t xml:space="preserve"> be incorporated much more easily into people’s diets rather than needing to have a fully ketogenic diet.</w:t>
      </w:r>
    </w:p>
    <w:p w14:paraId="189DB66F" w14:textId="60EDAB1C" w:rsidR="00DC70E4" w:rsidRPr="00366A0F" w:rsidRDefault="00AE3373" w:rsidP="00EA43B6">
      <w:pPr>
        <w:spacing w:before="240" w:after="240" w:line="360" w:lineRule="auto"/>
        <w:ind w:firstLine="720"/>
        <w:jc w:val="both"/>
        <w:rPr>
          <w:rFonts w:eastAsia="Times New Roman"/>
        </w:rPr>
      </w:pPr>
      <w:r w:rsidRPr="00366A0F">
        <w:rPr>
          <w:rFonts w:eastAsia="Times New Roman"/>
        </w:rPr>
        <w:t>T</w:t>
      </w:r>
      <w:r w:rsidR="00741761" w:rsidRPr="00366A0F">
        <w:rPr>
          <w:rFonts w:eastAsia="Times New Roman"/>
        </w:rPr>
        <w:t xml:space="preserve">he increased </w:t>
      </w:r>
      <w:r w:rsidR="00EA43B6" w:rsidRPr="00366A0F">
        <w:rPr>
          <w:rFonts w:eastAsia="Times New Roman"/>
        </w:rPr>
        <w:t xml:space="preserve">cognitive </w:t>
      </w:r>
      <w:r w:rsidR="00741761" w:rsidRPr="00366A0F">
        <w:rPr>
          <w:rFonts w:eastAsia="Times New Roman"/>
        </w:rPr>
        <w:t xml:space="preserve">performance by the 12g and 18g groups in both test phases of TM compared to the placebo group </w:t>
      </w:r>
      <w:r w:rsidR="00437071" w:rsidRPr="00366A0F">
        <w:rPr>
          <w:rFonts w:eastAsia="Times New Roman"/>
        </w:rPr>
        <w:t>provides a firm basis for accepting the hypothesis that</w:t>
      </w:r>
      <w:r w:rsidR="00741761" w:rsidRPr="00366A0F">
        <w:rPr>
          <w:rFonts w:eastAsia="Times New Roman"/>
        </w:rPr>
        <w:t xml:space="preserve"> MCTs </w:t>
      </w:r>
      <w:r w:rsidR="00437071" w:rsidRPr="00366A0F">
        <w:rPr>
          <w:rFonts w:eastAsia="Times New Roman"/>
        </w:rPr>
        <w:t>would</w:t>
      </w:r>
      <w:r w:rsidR="00741761" w:rsidRPr="00366A0F">
        <w:rPr>
          <w:rFonts w:eastAsia="Times New Roman"/>
        </w:rPr>
        <w:t xml:space="preserve"> increase cognitive performance in this regard</w:t>
      </w:r>
      <w:r w:rsidR="007F43BC" w:rsidRPr="00366A0F">
        <w:rPr>
          <w:rFonts w:eastAsia="Times New Roman"/>
        </w:rPr>
        <w:t>;</w:t>
      </w:r>
      <w:r w:rsidR="00741761" w:rsidRPr="00366A0F">
        <w:rPr>
          <w:rFonts w:eastAsia="Times New Roman"/>
        </w:rPr>
        <w:t xml:space="preserve"> specifically </w:t>
      </w:r>
      <w:r w:rsidR="007F43BC" w:rsidRPr="00366A0F">
        <w:rPr>
          <w:rFonts w:eastAsia="Times New Roman"/>
        </w:rPr>
        <w:t>processing speed, sequencing and/or visual-motor skills</w:t>
      </w:r>
      <w:r w:rsidR="00741761" w:rsidRPr="00366A0F">
        <w:rPr>
          <w:rFonts w:eastAsia="Times New Roman"/>
        </w:rPr>
        <w:t xml:space="preserve">. In the A test phase, the 18g group’s performance increased after three </w:t>
      </w:r>
      <w:r w:rsidR="000376E3" w:rsidRPr="00366A0F">
        <w:rPr>
          <w:rFonts w:eastAsia="Times New Roman"/>
        </w:rPr>
        <w:t>w</w:t>
      </w:r>
      <w:r w:rsidR="00741761" w:rsidRPr="00366A0F">
        <w:rPr>
          <w:rFonts w:eastAsia="Times New Roman"/>
        </w:rPr>
        <w:t xml:space="preserve">eeks whereas it took four </w:t>
      </w:r>
      <w:r w:rsidR="000376E3" w:rsidRPr="00366A0F">
        <w:rPr>
          <w:rFonts w:eastAsia="Times New Roman"/>
        </w:rPr>
        <w:t>w</w:t>
      </w:r>
      <w:r w:rsidR="00741761" w:rsidRPr="00366A0F">
        <w:rPr>
          <w:rFonts w:eastAsia="Times New Roman"/>
        </w:rPr>
        <w:t xml:space="preserve">eeks for the 12g group to outperform the placebo group. However, the 18g group still outperformed the 12g group in </w:t>
      </w:r>
      <w:r w:rsidR="000376E3" w:rsidRPr="00366A0F">
        <w:rPr>
          <w:rFonts w:eastAsia="Times New Roman"/>
        </w:rPr>
        <w:t>w</w:t>
      </w:r>
      <w:r w:rsidR="00741761" w:rsidRPr="00366A0F">
        <w:rPr>
          <w:rFonts w:eastAsia="Times New Roman"/>
        </w:rPr>
        <w:t xml:space="preserve">eek 4. </w:t>
      </w:r>
      <w:r w:rsidR="000D23EA" w:rsidRPr="00366A0F">
        <w:rPr>
          <w:rFonts w:eastAsia="Times New Roman"/>
        </w:rPr>
        <w:t>In</w:t>
      </w:r>
      <w:r w:rsidR="00741761" w:rsidRPr="00366A0F">
        <w:rPr>
          <w:rFonts w:eastAsia="Times New Roman"/>
        </w:rPr>
        <w:t xml:space="preserve"> the B test phase of the TM task, both the experimental groups performed significantly better than the placebo group in </w:t>
      </w:r>
      <w:r w:rsidR="000376E3" w:rsidRPr="00366A0F">
        <w:rPr>
          <w:rFonts w:eastAsia="Times New Roman"/>
        </w:rPr>
        <w:t>w</w:t>
      </w:r>
      <w:r w:rsidR="00741761" w:rsidRPr="00366A0F">
        <w:rPr>
          <w:rFonts w:eastAsia="Times New Roman"/>
        </w:rPr>
        <w:t xml:space="preserve">eeks 2, 3 and 4. This suggests that the higher MCT dose accelerated and increased the improvement in performance in A, whereas dosage did not matter in B. The fact </w:t>
      </w:r>
      <w:r w:rsidR="00741761" w:rsidRPr="00366A0F">
        <w:rPr>
          <w:rFonts w:eastAsia="Times New Roman"/>
        </w:rPr>
        <w:lastRenderedPageBreak/>
        <w:t>that the MCTs improve</w:t>
      </w:r>
      <w:r w:rsidR="00437071" w:rsidRPr="00366A0F">
        <w:rPr>
          <w:rFonts w:eastAsia="Times New Roman"/>
        </w:rPr>
        <w:t>d</w:t>
      </w:r>
      <w:r w:rsidR="00741761" w:rsidRPr="00366A0F">
        <w:rPr>
          <w:rFonts w:eastAsia="Times New Roman"/>
        </w:rPr>
        <w:t xml:space="preserve"> performance in this task follows on from</w:t>
      </w:r>
      <w:r w:rsidR="00EA43B6" w:rsidRPr="00366A0F">
        <w:rPr>
          <w:rFonts w:eastAsia="Times New Roman"/>
        </w:rPr>
        <w:t xml:space="preserve"> Ota </w:t>
      </w:r>
      <w:r w:rsidR="00EA43B6" w:rsidRPr="00903524">
        <w:rPr>
          <w:rFonts w:eastAsia="Times New Roman"/>
          <w:i/>
          <w:iCs/>
        </w:rPr>
        <w:t>et al.</w:t>
      </w:r>
      <w:r w:rsidR="00EA43B6" w:rsidRPr="00366A0F">
        <w:rPr>
          <w:rFonts w:eastAsia="Times New Roman"/>
        </w:rPr>
        <w:t xml:space="preserve"> </w:t>
      </w:r>
      <w:r w:rsidR="00EA43B6"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mendeley":{"formattedCitation":"[21]","plainTextFormattedCitation":"[21]","previouslyFormattedCitation":"[21]"},"properties":{"noteIndex":0},"schema":"https://github.com/citation-style-language/schema/raw/master/csl-citation.json"}</w:instrText>
      </w:r>
      <w:r w:rsidR="00EA43B6" w:rsidRPr="00366A0F">
        <w:rPr>
          <w:rFonts w:eastAsia="Times New Roman"/>
        </w:rPr>
        <w:fldChar w:fldCharType="separate"/>
      </w:r>
      <w:r w:rsidR="00FD5371" w:rsidRPr="00FD5371">
        <w:rPr>
          <w:rFonts w:eastAsia="Times New Roman"/>
          <w:noProof/>
        </w:rPr>
        <w:t>[21]</w:t>
      </w:r>
      <w:r w:rsidR="00EA43B6" w:rsidRPr="00366A0F">
        <w:rPr>
          <w:rFonts w:eastAsia="Times New Roman"/>
        </w:rPr>
        <w:fldChar w:fldCharType="end"/>
      </w:r>
      <w:r w:rsidR="007F43BC" w:rsidRPr="00366A0F">
        <w:rPr>
          <w:rFonts w:eastAsia="Times New Roman"/>
        </w:rPr>
        <w:t>,</w:t>
      </w:r>
      <w:r w:rsidR="00EA43B6" w:rsidRPr="00366A0F">
        <w:rPr>
          <w:rFonts w:eastAsia="Times New Roman"/>
        </w:rPr>
        <w:t xml:space="preserve"> </w:t>
      </w:r>
      <w:r w:rsidR="00741761" w:rsidRPr="00366A0F">
        <w:rPr>
          <w:rFonts w:eastAsia="Times New Roman"/>
        </w:rPr>
        <w:t xml:space="preserve">where they saw a similar improvement in </w:t>
      </w:r>
      <w:r w:rsidR="007F43BC" w:rsidRPr="00366A0F">
        <w:rPr>
          <w:rFonts w:eastAsia="Times New Roman"/>
        </w:rPr>
        <w:t xml:space="preserve">TM following </w:t>
      </w:r>
      <w:r w:rsidR="00741761" w:rsidRPr="00366A0F">
        <w:rPr>
          <w:rFonts w:eastAsia="Times New Roman"/>
        </w:rPr>
        <w:t xml:space="preserve">their </w:t>
      </w:r>
      <w:r w:rsidR="007F43BC" w:rsidRPr="00366A0F">
        <w:rPr>
          <w:rFonts w:eastAsia="Times New Roman"/>
        </w:rPr>
        <w:t xml:space="preserve">administration of </w:t>
      </w:r>
      <w:r w:rsidR="00741761" w:rsidRPr="00366A0F">
        <w:rPr>
          <w:rFonts w:eastAsia="Times New Roman"/>
        </w:rPr>
        <w:t>MCT with</w:t>
      </w:r>
      <w:r w:rsidR="007F43BC" w:rsidRPr="00366A0F">
        <w:rPr>
          <w:rFonts w:eastAsia="Times New Roman"/>
        </w:rPr>
        <w:t>in</w:t>
      </w:r>
      <w:r w:rsidR="00741761" w:rsidRPr="00366A0F">
        <w:rPr>
          <w:rFonts w:eastAsia="Times New Roman"/>
        </w:rPr>
        <w:t xml:space="preserve"> healthy elderly patients. </w:t>
      </w:r>
      <w:r w:rsidR="007F43BC" w:rsidRPr="00366A0F">
        <w:rPr>
          <w:rFonts w:eastAsia="Times New Roman"/>
        </w:rPr>
        <w:t>However, t</w:t>
      </w:r>
      <w:r w:rsidR="00EA43B6" w:rsidRPr="00366A0F">
        <w:rPr>
          <w:rFonts w:eastAsia="Times New Roman"/>
        </w:rPr>
        <w:t xml:space="preserve">he </w:t>
      </w:r>
      <w:r w:rsidR="009B1687" w:rsidRPr="00366A0F">
        <w:rPr>
          <w:rFonts w:eastAsia="Times New Roman"/>
        </w:rPr>
        <w:t xml:space="preserve">present </w:t>
      </w:r>
      <w:r w:rsidR="007F43BC" w:rsidRPr="00366A0F">
        <w:rPr>
          <w:rFonts w:eastAsia="Times New Roman"/>
        </w:rPr>
        <w:t>study featured healthy</w:t>
      </w:r>
      <w:r w:rsidR="001C0D4C" w:rsidRPr="00366A0F">
        <w:rPr>
          <w:rFonts w:eastAsia="Times New Roman"/>
        </w:rPr>
        <w:t>,</w:t>
      </w:r>
      <w:r w:rsidR="007F43BC" w:rsidRPr="00366A0F">
        <w:rPr>
          <w:rFonts w:eastAsia="Times New Roman"/>
        </w:rPr>
        <w:t xml:space="preserve"> young </w:t>
      </w:r>
      <w:r w:rsidR="00741761" w:rsidRPr="00366A0F">
        <w:rPr>
          <w:rFonts w:eastAsia="Times New Roman"/>
        </w:rPr>
        <w:t xml:space="preserve">participants </w:t>
      </w:r>
      <w:r w:rsidR="001C0D4C" w:rsidRPr="00366A0F">
        <w:rPr>
          <w:rFonts w:eastAsia="Times New Roman"/>
        </w:rPr>
        <w:t xml:space="preserve">with naturally </w:t>
      </w:r>
      <w:r w:rsidR="007F43BC" w:rsidRPr="00366A0F">
        <w:rPr>
          <w:rFonts w:eastAsia="Times New Roman"/>
        </w:rPr>
        <w:t xml:space="preserve">comparatively </w:t>
      </w:r>
      <w:r w:rsidR="00741761" w:rsidRPr="00366A0F">
        <w:rPr>
          <w:rFonts w:eastAsia="Times New Roman"/>
        </w:rPr>
        <w:t>high</w:t>
      </w:r>
      <w:r w:rsidR="001C0D4C" w:rsidRPr="00366A0F">
        <w:rPr>
          <w:rFonts w:eastAsia="Times New Roman"/>
        </w:rPr>
        <w:t>er</w:t>
      </w:r>
      <w:r w:rsidR="00741761" w:rsidRPr="00366A0F">
        <w:rPr>
          <w:rFonts w:eastAsia="Times New Roman"/>
        </w:rPr>
        <w:t xml:space="preserve"> cognitive function at baseline, meaning the</w:t>
      </w:r>
      <w:r w:rsidR="007F43BC" w:rsidRPr="00366A0F">
        <w:rPr>
          <w:rFonts w:eastAsia="Times New Roman"/>
        </w:rPr>
        <w:t>se</w:t>
      </w:r>
      <w:r w:rsidR="00741761" w:rsidRPr="00366A0F">
        <w:rPr>
          <w:rFonts w:eastAsia="Times New Roman"/>
        </w:rPr>
        <w:t xml:space="preserve"> results are </w:t>
      </w:r>
      <w:r w:rsidR="007F43BC" w:rsidRPr="00366A0F">
        <w:rPr>
          <w:rFonts w:eastAsia="Times New Roman"/>
        </w:rPr>
        <w:t xml:space="preserve">perhaps </w:t>
      </w:r>
      <w:r w:rsidR="00741761" w:rsidRPr="00366A0F">
        <w:rPr>
          <w:rFonts w:eastAsia="Times New Roman"/>
        </w:rPr>
        <w:t>eas</w:t>
      </w:r>
      <w:r w:rsidR="007F43BC" w:rsidRPr="00366A0F">
        <w:rPr>
          <w:rFonts w:eastAsia="Times New Roman"/>
        </w:rPr>
        <w:t>ier</w:t>
      </w:r>
      <w:r w:rsidR="00741761" w:rsidRPr="00366A0F">
        <w:rPr>
          <w:rFonts w:eastAsia="Times New Roman"/>
        </w:rPr>
        <w:t xml:space="preserve"> to generalise to the wider population.</w:t>
      </w:r>
      <w:r w:rsidR="00046546" w:rsidRPr="00366A0F">
        <w:rPr>
          <w:rFonts w:eastAsia="Times New Roman"/>
        </w:rPr>
        <w:t xml:space="preserve"> </w:t>
      </w:r>
      <w:r w:rsidR="00885E42" w:rsidRPr="00366A0F">
        <w:rPr>
          <w:rFonts w:eastAsia="Times New Roman"/>
        </w:rPr>
        <w:t>It is of interest for future investigations to perhaps decompose this influence of MCT on TM, including the separate contributions of cognitive and visual-motor components.</w:t>
      </w:r>
    </w:p>
    <w:p w14:paraId="3CEBD123" w14:textId="568B0D9B" w:rsidR="00D14A08" w:rsidRPr="00366A0F" w:rsidRDefault="00741761" w:rsidP="003E4BD7">
      <w:pPr>
        <w:spacing w:before="240" w:after="240" w:line="360" w:lineRule="auto"/>
        <w:ind w:firstLine="720"/>
        <w:jc w:val="both"/>
        <w:rPr>
          <w:rFonts w:eastAsia="Times New Roman"/>
        </w:rPr>
      </w:pPr>
      <w:r w:rsidRPr="00366A0F">
        <w:rPr>
          <w:rFonts w:eastAsia="Times New Roman"/>
        </w:rPr>
        <w:t xml:space="preserve">There were </w:t>
      </w:r>
      <w:r w:rsidR="006E103D" w:rsidRPr="00366A0F">
        <w:rPr>
          <w:rFonts w:eastAsia="Times New Roman"/>
        </w:rPr>
        <w:t>positive</w:t>
      </w:r>
      <w:r w:rsidRPr="00366A0F">
        <w:rPr>
          <w:rFonts w:eastAsia="Times New Roman"/>
        </w:rPr>
        <w:t xml:space="preserve"> findings regarding the working memory tests</w:t>
      </w:r>
      <w:r w:rsidR="00736C39" w:rsidRPr="00366A0F">
        <w:rPr>
          <w:rFonts w:eastAsia="Times New Roman"/>
        </w:rPr>
        <w:t>,</w:t>
      </w:r>
      <w:r w:rsidR="006E103D" w:rsidRPr="00366A0F">
        <w:rPr>
          <w:rFonts w:eastAsia="Times New Roman"/>
        </w:rPr>
        <w:t xml:space="preserve"> </w:t>
      </w:r>
      <w:r w:rsidR="00736C39" w:rsidRPr="00366A0F">
        <w:rPr>
          <w:rFonts w:eastAsia="Times New Roman"/>
        </w:rPr>
        <w:t>s</w:t>
      </w:r>
      <w:r w:rsidRPr="00366A0F">
        <w:rPr>
          <w:rFonts w:eastAsia="Times New Roman"/>
        </w:rPr>
        <w:t xml:space="preserve">upporting previous findings that MCTs can improve </w:t>
      </w:r>
      <w:r w:rsidR="007865BB" w:rsidRPr="00366A0F">
        <w:rPr>
          <w:rFonts w:eastAsia="Times New Roman"/>
        </w:rPr>
        <w:t xml:space="preserve">performance in </w:t>
      </w:r>
      <w:r w:rsidRPr="00366A0F">
        <w:rPr>
          <w:rFonts w:eastAsia="Times New Roman"/>
        </w:rPr>
        <w:t>memory</w:t>
      </w:r>
      <w:r w:rsidR="007865BB" w:rsidRPr="00366A0F">
        <w:rPr>
          <w:rFonts w:eastAsia="Times New Roman"/>
        </w:rPr>
        <w:t xml:space="preserve"> tests</w:t>
      </w:r>
      <w:r w:rsidRPr="00366A0F">
        <w:rPr>
          <w:rFonts w:eastAsia="Times New Roman"/>
        </w:rPr>
        <w:t xml:space="preserve"> </w:t>
      </w:r>
      <w:r w:rsidR="007865BB" w:rsidRPr="00366A0F">
        <w:rPr>
          <w:rFonts w:eastAsia="Times New Roman"/>
        </w:rPr>
        <w:fldChar w:fldCharType="begin" w:fldLock="1"/>
      </w:r>
      <w:r w:rsidR="00616D7D">
        <w:rPr>
          <w:rFonts w:eastAsia="Times New Roman"/>
        </w:rPr>
        <w:instrText>ADDIN CSL_CITATION {"citationItems":[{"id":"ITEM-1","itemData":{"DOI":"10.1186/1743-7075-6-31","ISSN":"17437075","abstract":"Background.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Metabolism","id":"ITEM-1","issue":"1","issued":{"date-parts":[["2009"]]},"page":"1-25","title":"Study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6cb03845-ca5a-438a-b695-a3cd23db844f"]},{"id":"ITEM-3","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Nutrition","id":"ITEM-3","issue":"xxxx","issued":{"date-parts":[["2019"]]},"publisher":"Elsevier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http://www.mendeley.com/documents/?uuid=eb432d8d-723c-4b5a-a8d3-3e11377073ed"]},{"id":"ITEM-4","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-4","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http://www.mendeley.com/documents/?uuid=5b8e531d-d827-41c0-84e1-76e75422ee36"]},{"id":"ITEM-5","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Letters","id":"ITEM-5","issue":"October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28]","plainTextFormattedCitation":"[21,25–28]","previouslyFormattedCitation":"[21,25–28]"},"properties":{"noteIndex":0},"schema":"https://github.com/citation-style-language/schema/raw/master/csl-citation.json"}</w:instrText>
      </w:r>
      <w:r w:rsidR="007865BB" w:rsidRPr="00366A0F">
        <w:rPr>
          <w:rFonts w:eastAsia="Times New Roman"/>
        </w:rPr>
        <w:fldChar w:fldCharType="separate"/>
      </w:r>
      <w:r w:rsidR="00FD5371" w:rsidRPr="00FD5371">
        <w:rPr>
          <w:rFonts w:eastAsia="Times New Roman"/>
          <w:noProof/>
        </w:rPr>
        <w:t>[21,25–28]</w:t>
      </w:r>
      <w:r w:rsidR="007865BB" w:rsidRPr="00366A0F">
        <w:rPr>
          <w:rFonts w:eastAsia="Times New Roman"/>
        </w:rPr>
        <w:fldChar w:fldCharType="end"/>
      </w:r>
      <w:r w:rsidR="00736C39" w:rsidRPr="00366A0F">
        <w:rPr>
          <w:rFonts w:eastAsia="Times New Roman"/>
        </w:rPr>
        <w:t>.</w:t>
      </w:r>
      <w:r w:rsidRPr="00366A0F">
        <w:rPr>
          <w:rFonts w:eastAsia="Times New Roman"/>
        </w:rPr>
        <w:t xml:space="preserve"> </w:t>
      </w:r>
      <w:r w:rsidR="00736C39" w:rsidRPr="00366A0F">
        <w:rPr>
          <w:rFonts w:eastAsia="Times New Roman"/>
        </w:rPr>
        <w:t>I</w:t>
      </w:r>
      <w:r w:rsidRPr="00366A0F">
        <w:rPr>
          <w:rFonts w:eastAsia="Times New Roman"/>
        </w:rPr>
        <w:t xml:space="preserve">n </w:t>
      </w:r>
      <w:r w:rsidR="000376E3" w:rsidRPr="00366A0F">
        <w:rPr>
          <w:rFonts w:eastAsia="Times New Roman"/>
        </w:rPr>
        <w:t>w</w:t>
      </w:r>
      <w:r w:rsidRPr="00366A0F">
        <w:rPr>
          <w:rFonts w:eastAsia="Times New Roman"/>
        </w:rPr>
        <w:t>eeks 2</w:t>
      </w:r>
      <w:r w:rsidR="00885E42" w:rsidRPr="00366A0F">
        <w:rPr>
          <w:rFonts w:eastAsia="Times New Roman"/>
        </w:rPr>
        <w:t>-</w:t>
      </w:r>
      <w:r w:rsidRPr="00366A0F">
        <w:rPr>
          <w:rFonts w:eastAsia="Times New Roman"/>
        </w:rPr>
        <w:t>4, the experimental groups performed significantly better than the placebo</w:t>
      </w:r>
      <w:r w:rsidR="007865BB" w:rsidRPr="00366A0F">
        <w:rPr>
          <w:rFonts w:eastAsia="Times New Roman"/>
        </w:rPr>
        <w:t xml:space="preserve"> </w:t>
      </w:r>
      <w:r w:rsidR="00885E42" w:rsidRPr="00366A0F">
        <w:rPr>
          <w:rFonts w:eastAsia="Times New Roman"/>
        </w:rPr>
        <w:t xml:space="preserve">group </w:t>
      </w:r>
      <w:r w:rsidR="007865BB" w:rsidRPr="00366A0F">
        <w:rPr>
          <w:rFonts w:eastAsia="Times New Roman"/>
        </w:rPr>
        <w:t>in digit working memory tasks</w:t>
      </w:r>
      <w:r w:rsidRPr="00366A0F">
        <w:rPr>
          <w:rFonts w:eastAsia="Times New Roman"/>
        </w:rPr>
        <w:t xml:space="preserve"> with no difference between the two groups.</w:t>
      </w:r>
      <w:r w:rsidR="007865BB" w:rsidRPr="00366A0F">
        <w:rPr>
          <w:rFonts w:eastAsia="Times New Roman"/>
        </w:rPr>
        <w:t xml:space="preserve"> </w:t>
      </w:r>
      <w:r w:rsidRPr="00366A0F">
        <w:rPr>
          <w:rFonts w:eastAsia="Times New Roman"/>
        </w:rPr>
        <w:t xml:space="preserve">However, in the SS task, the forwards test phase showed no significant difference between the groups at any time point, </w:t>
      </w:r>
      <w:r w:rsidR="003153E6" w:rsidRPr="00366A0F">
        <w:rPr>
          <w:rFonts w:eastAsia="Times New Roman"/>
        </w:rPr>
        <w:t xml:space="preserve">whereas </w:t>
      </w:r>
      <w:r w:rsidRPr="00366A0F">
        <w:rPr>
          <w:rFonts w:eastAsia="Times New Roman"/>
        </w:rPr>
        <w:t>the 12g and 18g group outperformed the placebo group overall in the backwards test phase.</w:t>
      </w:r>
      <w:r w:rsidR="00B65A8D" w:rsidRPr="00366A0F">
        <w:rPr>
          <w:rFonts w:eastAsia="Times New Roman"/>
        </w:rPr>
        <w:t xml:space="preserve"> This is possibly because the backwards test phase is more demanding than the forwards phase, meaning there is greater scope for improvement. These results support </w:t>
      </w:r>
      <w:r w:rsidR="00736C39" w:rsidRPr="00366A0F">
        <w:rPr>
          <w:rFonts w:eastAsia="Times New Roman"/>
        </w:rPr>
        <w:t xml:space="preserve">Ota </w:t>
      </w:r>
      <w:r w:rsidR="00736C39" w:rsidRPr="00903524">
        <w:rPr>
          <w:rFonts w:eastAsia="Times New Roman"/>
          <w:i/>
          <w:iCs/>
        </w:rPr>
        <w:t>et al.</w:t>
      </w:r>
      <w:r w:rsidR="00736C39" w:rsidRPr="00366A0F">
        <w:rPr>
          <w:rFonts w:eastAsia="Times New Roman"/>
        </w:rPr>
        <w:t xml:space="preserve"> </w:t>
      </w:r>
      <w:r w:rsidR="00736C39"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mendeley":{"formattedCitation":"[21]","plainTextFormattedCitation":"[21]","previouslyFormattedCitation":"[21]"},"properties":{"noteIndex":0},"schema":"https://github.com/citation-style-language/schema/raw/master/csl-citation.json"}</w:instrText>
      </w:r>
      <w:r w:rsidR="00736C39" w:rsidRPr="00366A0F">
        <w:rPr>
          <w:rFonts w:eastAsia="Times New Roman"/>
        </w:rPr>
        <w:fldChar w:fldCharType="separate"/>
      </w:r>
      <w:r w:rsidR="00FD5371" w:rsidRPr="00FD5371">
        <w:rPr>
          <w:rFonts w:eastAsia="Times New Roman"/>
          <w:noProof/>
        </w:rPr>
        <w:t>[21]</w:t>
      </w:r>
      <w:r w:rsidR="00736C39" w:rsidRPr="00366A0F">
        <w:rPr>
          <w:rFonts w:eastAsia="Times New Roman"/>
        </w:rPr>
        <w:fldChar w:fldCharType="end"/>
      </w:r>
      <w:r w:rsidR="00B65A8D" w:rsidRPr="00366A0F">
        <w:rPr>
          <w:rFonts w:eastAsia="Times New Roman"/>
        </w:rPr>
        <w:t>, showing</w:t>
      </w:r>
      <w:r w:rsidR="00736C39" w:rsidRPr="00366A0F">
        <w:rPr>
          <w:rFonts w:eastAsia="Times New Roman"/>
        </w:rPr>
        <w:t xml:space="preserve"> </w:t>
      </w:r>
      <w:r w:rsidR="00B65A8D" w:rsidRPr="00366A0F">
        <w:rPr>
          <w:rFonts w:eastAsia="Times New Roman"/>
        </w:rPr>
        <w:t xml:space="preserve">that the effects of the MCTs were more abundant in DS performance than for SS. </w:t>
      </w:r>
      <w:r w:rsidR="000D23EA" w:rsidRPr="00366A0F">
        <w:rPr>
          <w:rFonts w:eastAsia="Times New Roman"/>
        </w:rPr>
        <w:t>T</w:t>
      </w:r>
      <w:r w:rsidRPr="00366A0F">
        <w:rPr>
          <w:rFonts w:eastAsia="Times New Roman"/>
        </w:rPr>
        <w:t>he present study</w:t>
      </w:r>
      <w:r w:rsidR="000D23EA" w:rsidRPr="00366A0F">
        <w:rPr>
          <w:rFonts w:eastAsia="Times New Roman"/>
        </w:rPr>
        <w:t xml:space="preserve"> therefore </w:t>
      </w:r>
      <w:r w:rsidR="00B65A8D" w:rsidRPr="00366A0F">
        <w:rPr>
          <w:rFonts w:eastAsia="Times New Roman"/>
        </w:rPr>
        <w:t>builds on</w:t>
      </w:r>
      <w:r w:rsidR="000D23EA" w:rsidRPr="00366A0F">
        <w:rPr>
          <w:rFonts w:eastAsia="Times New Roman"/>
        </w:rPr>
        <w:t xml:space="preserve"> previous </w:t>
      </w:r>
      <w:r w:rsidR="00B65A8D" w:rsidRPr="00366A0F">
        <w:rPr>
          <w:rFonts w:eastAsia="Times New Roman"/>
        </w:rPr>
        <w:t xml:space="preserve">data that MCTs </w:t>
      </w:r>
      <w:r w:rsidR="005C2865" w:rsidRPr="00366A0F">
        <w:rPr>
          <w:rFonts w:eastAsia="Times New Roman"/>
        </w:rPr>
        <w:t>can</w:t>
      </w:r>
      <w:r w:rsidR="00B65A8D" w:rsidRPr="00366A0F">
        <w:rPr>
          <w:rFonts w:eastAsia="Times New Roman"/>
        </w:rPr>
        <w:t xml:space="preserve"> improve different aspects of memory span</w:t>
      </w:r>
      <w:r w:rsidR="003E4BD7" w:rsidRPr="00366A0F">
        <w:rPr>
          <w:rFonts w:eastAsia="Times New Roman"/>
        </w:rPr>
        <w:t>,</w:t>
      </w:r>
      <w:r w:rsidR="00B65A8D" w:rsidRPr="00366A0F">
        <w:rPr>
          <w:rFonts w:eastAsia="Times New Roman"/>
        </w:rPr>
        <w:t xml:space="preserve"> both in cognitively impaired and healthy populations.</w:t>
      </w:r>
    </w:p>
    <w:p w14:paraId="3DC30D46" w14:textId="0B44113A" w:rsidR="00D14A08" w:rsidRPr="00366A0F" w:rsidRDefault="00736C39" w:rsidP="00073222">
      <w:pPr>
        <w:spacing w:before="240" w:after="240" w:line="360" w:lineRule="auto"/>
        <w:ind w:firstLine="720"/>
        <w:jc w:val="both"/>
        <w:rPr>
          <w:rFonts w:eastAsia="Times New Roman"/>
        </w:rPr>
      </w:pPr>
      <w:r w:rsidRPr="00366A0F">
        <w:rPr>
          <w:rFonts w:eastAsia="Times New Roman"/>
        </w:rPr>
        <w:t>T</w:t>
      </w:r>
      <w:r w:rsidR="00741761" w:rsidRPr="00366A0F">
        <w:rPr>
          <w:rFonts w:eastAsia="Times New Roman"/>
        </w:rPr>
        <w:t xml:space="preserve">he CSoA </w:t>
      </w:r>
      <w:r w:rsidR="008C6874" w:rsidRPr="00366A0F">
        <w:rPr>
          <w:rFonts w:eastAsia="Times New Roman"/>
        </w:rPr>
        <w:t>measure</w:t>
      </w:r>
      <w:r w:rsidR="00741761" w:rsidRPr="00366A0F">
        <w:rPr>
          <w:rFonts w:eastAsia="Times New Roman"/>
        </w:rPr>
        <w:t xml:space="preserve"> indicated </w:t>
      </w:r>
      <w:r w:rsidR="00087A7B" w:rsidRPr="00366A0F">
        <w:rPr>
          <w:rFonts w:eastAsia="Times New Roman"/>
        </w:rPr>
        <w:t xml:space="preserve">that </w:t>
      </w:r>
      <w:r w:rsidR="00741761" w:rsidRPr="00366A0F">
        <w:rPr>
          <w:rFonts w:eastAsia="Times New Roman"/>
        </w:rPr>
        <w:t xml:space="preserve">there </w:t>
      </w:r>
      <w:r w:rsidR="00087A7B" w:rsidRPr="00366A0F">
        <w:rPr>
          <w:rFonts w:eastAsia="Times New Roman"/>
        </w:rPr>
        <w:t xml:space="preserve">were no differences between </w:t>
      </w:r>
      <w:r w:rsidR="008C6874" w:rsidRPr="00366A0F">
        <w:rPr>
          <w:rFonts w:eastAsia="Times New Roman"/>
        </w:rPr>
        <w:t xml:space="preserve">the MCT and Placebo groups throughout the </w:t>
      </w:r>
      <w:r w:rsidR="00E1402E" w:rsidRPr="00366A0F">
        <w:rPr>
          <w:rFonts w:eastAsia="Times New Roman"/>
        </w:rPr>
        <w:t xml:space="preserve">study </w:t>
      </w:r>
      <w:r w:rsidR="000376E3" w:rsidRPr="00366A0F">
        <w:rPr>
          <w:rFonts w:eastAsia="Times New Roman"/>
        </w:rPr>
        <w:t>w</w:t>
      </w:r>
      <w:r w:rsidR="008C6874" w:rsidRPr="00366A0F">
        <w:rPr>
          <w:rFonts w:eastAsia="Times New Roman"/>
        </w:rPr>
        <w:t>eek</w:t>
      </w:r>
      <w:r w:rsidR="00E1402E" w:rsidRPr="00366A0F">
        <w:rPr>
          <w:rFonts w:eastAsia="Times New Roman"/>
        </w:rPr>
        <w:t>s</w:t>
      </w:r>
      <w:r w:rsidR="008C6874" w:rsidRPr="00366A0F">
        <w:rPr>
          <w:rFonts w:eastAsia="Times New Roman"/>
        </w:rPr>
        <w:t xml:space="preserve">. </w:t>
      </w:r>
      <w:r w:rsidR="000F1A86" w:rsidRPr="00366A0F">
        <w:rPr>
          <w:rFonts w:eastAsia="Times New Roman"/>
        </w:rPr>
        <w:t xml:space="preserve">Specifically, there was no </w:t>
      </w:r>
      <w:r w:rsidR="008C6874" w:rsidRPr="00366A0F">
        <w:rPr>
          <w:rFonts w:eastAsia="Times New Roman"/>
        </w:rPr>
        <w:t>change</w:t>
      </w:r>
      <w:r w:rsidR="000F1A86" w:rsidRPr="00366A0F">
        <w:rPr>
          <w:rFonts w:eastAsia="Times New Roman"/>
        </w:rPr>
        <w:t xml:space="preserve"> wi</w:t>
      </w:r>
      <w:r w:rsidR="00F74851" w:rsidRPr="00366A0F">
        <w:rPr>
          <w:rFonts w:eastAsia="Times New Roman"/>
        </w:rPr>
        <w:t>thin the</w:t>
      </w:r>
      <w:r w:rsidR="000F1A86" w:rsidRPr="00366A0F">
        <w:rPr>
          <w:rFonts w:eastAsia="Times New Roman"/>
        </w:rPr>
        <w:t xml:space="preserve"> exogenous cuing</w:t>
      </w:r>
      <w:r w:rsidR="00F74851" w:rsidRPr="00366A0F">
        <w:rPr>
          <w:rFonts w:eastAsia="Times New Roman"/>
        </w:rPr>
        <w:t xml:space="preserve"> task</w:t>
      </w:r>
      <w:r w:rsidR="000F1A86" w:rsidRPr="00366A0F">
        <w:rPr>
          <w:rFonts w:eastAsia="Times New Roman"/>
        </w:rPr>
        <w:t xml:space="preserve">, where responses are </w:t>
      </w:r>
      <w:r w:rsidR="00F74851" w:rsidRPr="00366A0F">
        <w:rPr>
          <w:rFonts w:eastAsia="Times New Roman"/>
        </w:rPr>
        <w:t>usually</w:t>
      </w:r>
      <w:r w:rsidR="000F1A86" w:rsidRPr="00366A0F">
        <w:rPr>
          <w:rFonts w:eastAsia="Times New Roman"/>
        </w:rPr>
        <w:t xml:space="preserve"> quicker</w:t>
      </w:r>
      <w:r w:rsidR="00F74851" w:rsidRPr="00366A0F">
        <w:rPr>
          <w:rFonts w:eastAsia="Times New Roman"/>
        </w:rPr>
        <w:t xml:space="preserve"> at a short asynchrony (100ms)</w:t>
      </w:r>
      <w:r w:rsidR="00523016" w:rsidRPr="00366A0F">
        <w:rPr>
          <w:rFonts w:eastAsia="Times New Roman"/>
        </w:rPr>
        <w:t xml:space="preserve"> (facilitation)</w:t>
      </w:r>
      <w:r w:rsidR="00F74851" w:rsidRPr="00366A0F">
        <w:rPr>
          <w:rFonts w:eastAsia="Times New Roman"/>
        </w:rPr>
        <w:t>, but inversely slower at a long asynchrony (800ms)</w:t>
      </w:r>
      <w:r w:rsidR="00523016" w:rsidRPr="00366A0F">
        <w:rPr>
          <w:rFonts w:eastAsia="Times New Roman"/>
        </w:rPr>
        <w:t xml:space="preserve"> (inhibition)</w:t>
      </w:r>
      <w:r w:rsidR="00F74851" w:rsidRPr="00366A0F">
        <w:rPr>
          <w:rFonts w:eastAsia="Times New Roman"/>
        </w:rPr>
        <w:t xml:space="preserve">, following the presentation of cued compared uncued stimuli </w:t>
      </w:r>
      <w:r w:rsidR="003E4BD7" w:rsidRPr="00366A0F">
        <w:rPr>
          <w:rFonts w:eastAsia="Times New Roman"/>
        </w:rPr>
        <w:fldChar w:fldCharType="begin" w:fldLock="1"/>
      </w:r>
      <w:r w:rsidR="00616D7D">
        <w:rPr>
          <w:rFonts w:eastAsia="Times New Roman"/>
        </w:rPr>
        <w:instrText>ADDIN CSL_CITATION {"citationItems":[{"id":"ITEM-1","itemData":{"ISSN":"02706474","abstract":"A peripheral visual cue produces an orienting of attention that facilitates detection of targets in the cued area. Following a shift of attention away from the cued area, targets at that location are handled less efficiently than at other places. We deomonstrate this inhibitory effect, show that it arises from the sensory information present in the cue, and discuss its relationship to shifts in eye position and its functional significance in the process of orienting of attention. We indicate how the inhibitory effect accounts for the difficulty in demonstating attentional orienting in situations where attended information arises from a single spatial position. We believe that the components of visual orienting provide a model experimental system where important components of cognitive tasks can be linked to neural systems.","author":[{"dropping-particle":"","family":"Posner","given":"M","non-dropping-particle":"","parse-names":false,"suffix":""},{"dropping-particle":"","family":"Cohen","given":"Yoav","non-dropping-particle":"","parse-names":false,"suffix":""}],"container-title":"Attention and performance X: Control of language processes","id":"ITEM-1","issue":"May","issued":{"date-parts":[["1984"]]},"page":"531-556","title":"Components of visual orienting of attention","type":"article-journal","volume":"X"},"uris":["http://www.mendeley.com/documents/?uuid=ca326bba-6ab0-4a9e-bf1b-0098e9ef8ec2"]}],"mendeley":{"formattedCitation":"[44]","plainTextFormattedCitation":"[44]","previouslyFormattedCitation":"[44]"},"properties":{"noteIndex":0},"schema":"https://github.com/citation-style-language/schema/raw/master/csl-citation.json"}</w:instrText>
      </w:r>
      <w:r w:rsidR="003E4BD7" w:rsidRPr="00366A0F">
        <w:rPr>
          <w:rFonts w:eastAsia="Times New Roman"/>
        </w:rPr>
        <w:fldChar w:fldCharType="separate"/>
      </w:r>
      <w:r w:rsidR="00FD5371" w:rsidRPr="00FD5371">
        <w:rPr>
          <w:rFonts w:eastAsia="Times New Roman"/>
          <w:noProof/>
        </w:rPr>
        <w:t>[44]</w:t>
      </w:r>
      <w:r w:rsidR="003E4BD7" w:rsidRPr="00366A0F">
        <w:rPr>
          <w:rFonts w:eastAsia="Times New Roman"/>
        </w:rPr>
        <w:fldChar w:fldCharType="end"/>
      </w:r>
      <w:r w:rsidR="003E4BD7" w:rsidRPr="00366A0F">
        <w:rPr>
          <w:rFonts w:eastAsia="Times New Roman"/>
        </w:rPr>
        <w:t xml:space="preserve">. </w:t>
      </w:r>
      <w:r w:rsidR="00087A7B" w:rsidRPr="00366A0F">
        <w:rPr>
          <w:rFonts w:eastAsia="Times New Roman"/>
        </w:rPr>
        <w:t xml:space="preserve">Likewise, there was no </w:t>
      </w:r>
      <w:r w:rsidR="008C6874" w:rsidRPr="00366A0F">
        <w:rPr>
          <w:rFonts w:eastAsia="Times New Roman"/>
        </w:rPr>
        <w:t>change</w:t>
      </w:r>
      <w:r w:rsidR="00087A7B" w:rsidRPr="00366A0F">
        <w:rPr>
          <w:rFonts w:eastAsia="Times New Roman"/>
        </w:rPr>
        <w:t xml:space="preserve"> within the endogenous cuing task, where responses are usually biased toward the same side of space as </w:t>
      </w:r>
      <w:r w:rsidR="00227FF7" w:rsidRPr="00366A0F">
        <w:rPr>
          <w:rFonts w:eastAsia="Times New Roman"/>
        </w:rPr>
        <w:t>a</w:t>
      </w:r>
      <w:r w:rsidR="00087A7B" w:rsidRPr="00366A0F">
        <w:rPr>
          <w:rFonts w:eastAsia="Times New Roman"/>
        </w:rPr>
        <w:t xml:space="preserve"> disproportionately presented pre-cue. </w:t>
      </w:r>
      <w:r w:rsidR="008C6874" w:rsidRPr="00366A0F">
        <w:rPr>
          <w:rFonts w:eastAsia="Times New Roman"/>
        </w:rPr>
        <w:t>T</w:t>
      </w:r>
      <w:r w:rsidR="00087A7B" w:rsidRPr="00366A0F">
        <w:rPr>
          <w:rFonts w:eastAsia="Times New Roman"/>
        </w:rPr>
        <w:t xml:space="preserve">hese </w:t>
      </w:r>
      <w:r w:rsidR="008C6874" w:rsidRPr="00366A0F">
        <w:rPr>
          <w:rFonts w:eastAsia="Times New Roman"/>
        </w:rPr>
        <w:t>cuing tasks</w:t>
      </w:r>
      <w:r w:rsidR="00087A7B" w:rsidRPr="00366A0F">
        <w:rPr>
          <w:rFonts w:eastAsia="Times New Roman"/>
        </w:rPr>
        <w:t xml:space="preserve"> have been known to be heavily influenced by related factors </w:t>
      </w:r>
      <w:r w:rsidR="00227FF7" w:rsidRPr="00366A0F">
        <w:rPr>
          <w:rFonts w:eastAsia="Times New Roman"/>
        </w:rPr>
        <w:t xml:space="preserve">such </w:t>
      </w:r>
      <w:r w:rsidR="00087A7B" w:rsidRPr="00366A0F">
        <w:rPr>
          <w:rFonts w:eastAsia="Times New Roman"/>
        </w:rPr>
        <w:t>as vestibular inputs</w:t>
      </w:r>
      <w:r w:rsidR="00914F33" w:rsidRPr="00366A0F">
        <w:rPr>
          <w:rFonts w:eastAsia="Times New Roman"/>
        </w:rPr>
        <w:t xml:space="preserve"> </w:t>
      </w:r>
      <w:r w:rsidR="00914F33" w:rsidRPr="00366A0F">
        <w:rPr>
          <w:rFonts w:eastAsia="Times New Roman"/>
        </w:rPr>
        <w:fldChar w:fldCharType="begin" w:fldLock="1"/>
      </w:r>
      <w:r w:rsidR="00616D7D">
        <w:rPr>
          <w:rFonts w:eastAsia="Times New Roman"/>
        </w:rPr>
        <w:instrText>ADDIN CSL_CITATION {"citationItems":[{"id":"ITEM-1","itemData":{"DOI":"10.3758/s13414-013-0553-7","ISSN":"19433921","PMID":"24092358","abstract":"The influence of vestibular inputs on exogenous (Exp. 1) and endogenous (Exp. 2) orienting of visual attention was examined. The vestibular system was manipulated through a change in static body position. Participants engaged in an exogenous or endogenous response task while in a seated position, while lying in a prone position, and while in a prone position with their head down and neck flexed (HDNF). An attenuation of inhibition and facilitation effects during the exogenous task was observed in the HDNF position. However, responses to the cues remained similar in the endogenous task, irrespective of body position. The results reveal a potential dissociation between reflexive and volitional orienting of visual attention that is dependent on vestibular inputs. © 2013 Psychonomic Society, Inc.","author":[{"dropping-particle":"","family":"McAuliffe","given":"Jim","non-dropping-particle":"","parse-names":false,"suffix":""},{"dropping-particle":"","family":"Johnson","given":"Michel J.","non-dropping-particle":"","parse-names":false,"suffix":""},{"dropping-particle":"","family":"Weaver","given":"Bruce","non-dropping-particle":"","parse-names":false,"suffix":""},{"dropping-particle":"","family":"Deller-Quinn","given":"Miranda","non-dropping-particle":"","parse-names":false,"suffix":""},{"dropping-particle":"","family":"Hansen","given":"Steve","non-dropping-particle":"","parse-names":false,"suffix":""}],"container-title":"Attention, Perception, and Psychophysics","id":"ITEM-1","issue":"7","issued":{"date-parts":[["2013"]]},"page":"1342-1346","title":"Body position differentially influences responses to exogenous and endogenous cues","type":"article-journal","volume":"75"},"uris":["http://www.mendeley.com/documents/?uuid=cb7478bf-2b3e-4949-af43-dd63861e1a7a"]}],"mendeley":{"formattedCitation":"[52]","plainTextFormattedCitation":"[52]","previouslyFormattedCitation":"[52]"},"properties":{"noteIndex":0},"schema":"https://github.com/citation-style-language/schema/raw/master/csl-citation.json"}</w:instrText>
      </w:r>
      <w:r w:rsidR="00914F33" w:rsidRPr="00366A0F">
        <w:rPr>
          <w:rFonts w:eastAsia="Times New Roman"/>
        </w:rPr>
        <w:fldChar w:fldCharType="separate"/>
      </w:r>
      <w:r w:rsidR="00FD5371" w:rsidRPr="00FD5371">
        <w:rPr>
          <w:rFonts w:eastAsia="Times New Roman"/>
          <w:noProof/>
        </w:rPr>
        <w:t>[52]</w:t>
      </w:r>
      <w:r w:rsidR="00914F33" w:rsidRPr="00366A0F">
        <w:rPr>
          <w:rFonts w:eastAsia="Times New Roman"/>
        </w:rPr>
        <w:fldChar w:fldCharType="end"/>
      </w:r>
      <w:r w:rsidR="00914F33" w:rsidRPr="00366A0F">
        <w:rPr>
          <w:rFonts w:eastAsia="Times New Roman"/>
        </w:rPr>
        <w:t xml:space="preserve">, </w:t>
      </w:r>
      <w:r w:rsidR="00087A7B" w:rsidRPr="00366A0F">
        <w:rPr>
          <w:rFonts w:eastAsia="Times New Roman"/>
        </w:rPr>
        <w:t xml:space="preserve">testosterone levels </w:t>
      </w:r>
      <w:r w:rsidR="00914F33" w:rsidRPr="00366A0F">
        <w:rPr>
          <w:rFonts w:eastAsia="Times New Roman"/>
        </w:rPr>
        <w:fldChar w:fldCharType="begin" w:fldLock="1"/>
      </w:r>
      <w:r w:rsidR="00616D7D">
        <w:rPr>
          <w:rFonts w:eastAsia="Times New Roman"/>
        </w:rPr>
        <w:instrText>ADDIN CSL_CITATION {"citationItems":[{"id":"ITEM-1","itemData":{"DOI":"10.1016/j.physbeh.2017.03.032","ISSN":"1873507X","PMID":"28343938","abstract":"The impact of testosterone (T) on the exogenous (Experiment 1) and endogenous (Experiment 2) orienting of visual attention in males was examined. Sixteen male participants completed both an exogenous and an endogenous cuing task on two separate days. About 2–3h prior to testing, either a placebo or a dose of T was administered. The inhibition of return (IOR) phenomenon was observed during the exogenous cuing task, but IOR was not influenced by T. During the endogenous task, participants demonstrated the expected cuing effects on both days. However, longer reaction time to invalid target locations was observed following T-administration. The manipulation of T-levels in males provides converging evidence of dissociation between reflexive and volitional orienting of attention.","author":[{"dropping-particle":"","family":"Hansen","given":"Steve","non-dropping-particle":"","parse-names":false,"suffix":""},{"dropping-particle":"","family":"McAuliffe","given":"Jim","non-dropping-particle":"","parse-names":false,"suffix":""},{"dropping-particle":"","family":"Goldfarb","given":"Bernard","non-dropping-particle":"","parse-names":false,"suffix":""},{"dropping-particle":"","family":"Carré","given":"Justin M.","non-dropping-particle":"","parse-names":false,"suffix":""}],"container-title":"Physiology and Behavior","id":"ITEM-1","issued":{"date-parts":[["2017"]]},"page":"82-87","publisher":"Elsevier Inc","title":"Testosterone influences volitional, but not reflexive orienting of attention in human males","type":"article-journal","volume":"175"},"uris":["http://www.mendeley.com/documents/?uuid=7f83d15b-73d7-44ef-b19e-552619baad15"]}],"mendeley":{"formattedCitation":"[53]","plainTextFormattedCitation":"[53]","previouslyFormattedCitation":"[53]"},"properties":{"noteIndex":0},"schema":"https://github.com/citation-style-language/schema/raw/master/csl-citation.json"}</w:instrText>
      </w:r>
      <w:r w:rsidR="00914F33" w:rsidRPr="00366A0F">
        <w:rPr>
          <w:rFonts w:eastAsia="Times New Roman"/>
        </w:rPr>
        <w:fldChar w:fldCharType="separate"/>
      </w:r>
      <w:r w:rsidR="00FD5371" w:rsidRPr="00FD5371">
        <w:rPr>
          <w:rFonts w:eastAsia="Times New Roman"/>
          <w:noProof/>
        </w:rPr>
        <w:t>[53]</w:t>
      </w:r>
      <w:r w:rsidR="00914F33" w:rsidRPr="00366A0F">
        <w:rPr>
          <w:rFonts w:eastAsia="Times New Roman"/>
        </w:rPr>
        <w:fldChar w:fldCharType="end"/>
      </w:r>
      <w:r w:rsidR="00914F33" w:rsidRPr="00366A0F">
        <w:rPr>
          <w:rFonts w:eastAsia="Times New Roman"/>
        </w:rPr>
        <w:t>,</w:t>
      </w:r>
      <w:r w:rsidR="00087A7B" w:rsidRPr="00366A0F">
        <w:rPr>
          <w:rFonts w:eastAsia="Times New Roman"/>
        </w:rPr>
        <w:t xml:space="preserve"> and age</w:t>
      </w:r>
      <w:r w:rsidR="00914F33" w:rsidRPr="00366A0F">
        <w:rPr>
          <w:rFonts w:eastAsia="Times New Roman"/>
        </w:rPr>
        <w:t xml:space="preserve"> </w:t>
      </w:r>
      <w:r w:rsidR="00914F33" w:rsidRPr="00366A0F">
        <w:rPr>
          <w:rFonts w:eastAsia="Times New Roman"/>
        </w:rPr>
        <w:fldChar w:fldCharType="begin" w:fldLock="1"/>
      </w:r>
      <w:r w:rsidR="00616D7D">
        <w:rPr>
          <w:rFonts w:eastAsia="Times New Roman"/>
        </w:rPr>
        <w:instrText>ADDIN CSL_CITATION {"citationItems":[{"id":"ITEM-1","itemData":{"DOI":"10.3758/s13414-011-0108-8","ISBN":"1341401101088","ISSN":"19433921","PMID":"21394555","abstract":"This study examined adult age differences in reflexive orienting to two types of uninformative spatial cues: central arrows and peripheral onsets. In two experiments using a Posner cuing task, young adults (ages 18-28 years), young-old adults (60-74 years), and old-old adults (75-92 years) responded to targets that were preceded 100-1,000 ms earlier by a central arrow or a peripheral abrupt onset. In Experiment 1, the cue remained present upon target onset. Facilitation effects at short cue-target stimulus onset asynchronies (SOAs) were prolonged in duration for the two older groups relative to the young adults. At longer cue-target SOAs, inhibition of return (IOR) that was initiated by peripheral onset cues was observed in the performance of young adults but not in that of the two older groups. In Experiment 2, the cue was presented briefly and removed prior to target onset. The change in cue duration minimized age differences (particularly for young-old adults) in facilitation effects and led to IOR for all three age groups. The findings are consistent with the idea that attentional control settings change with age, with higher settings for older adults leading to delayed disengagement from spatial cues. © 2011 Psychonomic Society, Inc.","author":[{"dropping-particle":"","family":"Langley","given":"Linda K.","non-dropping-particle":"","parse-names":false,"suffix":""},{"dropping-particle":"","family":"Friesen","given":"Chris Kelland","non-dropping-particle":"","parse-names":false,"suffix":""},{"dropping-particle":"","family":"Saville","given":"Alyson L.","non-dropping-particle":"","parse-names":false,"suffix":""},{"dropping-particle":"","family":"Ciernia","given":"Annie T.","non-dropping-particle":"","parse-names":false,"suffix":""}],"container-title":"Attention, Perception, and Psychophysics","id":"ITEM-1","issue":"5","issued":{"date-parts":[["2011"]]},"page":"1546-1561","title":"Timing of reflexive visuospatial orienting in young, young-old, and old-old adults","type":"article-journal","volume":"73"},"uris":["http://www.mendeley.com/documents/?uuid=79819b02-3c21-4ebe-9483-116334e2a314"]}],"mendeley":{"formattedCitation":"[54]","plainTextFormattedCitation":"[54]","previouslyFormattedCitation":"[54]"},"properties":{"noteIndex":0},"schema":"https://github.com/citation-style-language/schema/raw/master/csl-citation.json"}</w:instrText>
      </w:r>
      <w:r w:rsidR="00914F33" w:rsidRPr="00366A0F">
        <w:rPr>
          <w:rFonts w:eastAsia="Times New Roman"/>
        </w:rPr>
        <w:fldChar w:fldCharType="separate"/>
      </w:r>
      <w:r w:rsidR="00FD5371" w:rsidRPr="00FD5371">
        <w:rPr>
          <w:rFonts w:eastAsia="Times New Roman"/>
          <w:noProof/>
        </w:rPr>
        <w:t>[54]</w:t>
      </w:r>
      <w:r w:rsidR="00914F33" w:rsidRPr="00366A0F">
        <w:rPr>
          <w:rFonts w:eastAsia="Times New Roman"/>
        </w:rPr>
        <w:fldChar w:fldCharType="end"/>
      </w:r>
      <w:r w:rsidR="00914F33" w:rsidRPr="00366A0F">
        <w:rPr>
          <w:rFonts w:eastAsia="Times New Roman"/>
        </w:rPr>
        <w:t>.</w:t>
      </w:r>
      <w:r w:rsidR="008C6874" w:rsidRPr="00366A0F">
        <w:rPr>
          <w:rFonts w:eastAsia="Times New Roman"/>
        </w:rPr>
        <w:t xml:space="preserve"> Moreover, the visual selective attention processes that are associated with these cuing tasks can be attributed to a broad neural network that comprises the parietal, frontal and premotor cortices</w:t>
      </w:r>
      <w:r w:rsidR="00914F33" w:rsidRPr="00366A0F">
        <w:rPr>
          <w:rFonts w:eastAsia="Times New Roman"/>
        </w:rPr>
        <w:t xml:space="preserve"> </w:t>
      </w:r>
      <w:r w:rsidR="00914F33" w:rsidRPr="00366A0F">
        <w:rPr>
          <w:rFonts w:eastAsia="Times New Roman"/>
        </w:rPr>
        <w:fldChar w:fldCharType="begin" w:fldLock="1"/>
      </w:r>
      <w:r w:rsidR="00616D7D">
        <w:rPr>
          <w:rFonts w:eastAsia="Times New Roman"/>
        </w:rPr>
        <w:instrText>ADDIN CSL_CITATION {"citationItems":[{"id":"ITEM-1","itemData":{"DOI":"10.1016/j.neuroimage.2004.01.044","ISSN":"10538119","PMID":"15193611","abstract":"Event-related fMRI was used to examine the neural basis of endogenous (top-down) and exogenous (bottom-up) spatial orienting. Shifts of attention were induced by central (endogenous) or peripheral (exogenous) cues. Reaction times on subsequently presented targets showed the expected pattern of facilitation and inhibition in both conditions. No difference in brain activity was observed when the two orienting conditions were contrasted with a liberal threshold, showing that both forms of orienting were mediated by the same neural network. Compared to within-block control trials, both endogenous and exogenous orienting activated a fronto-parietal network consisting of premotor cortex, posterior parietal cortex, medial frontal cortex and right inferior frontal cortex. Within these regions, equally strong activation was observed for both orienting conditions. It is concluded that endogenous and exogenous orienting are mediated by the same large-scale network of frontal and parietal brain areas. © 2004 Published by Elsevier Inc.","author":[{"dropping-particle":"V.","family":"Peelen","given":"Marius","non-dropping-particle":"","parse-names":false,"suffix":""},{"dropping-particle":"","family":"Heslenfeld","given":"Dirk J.","non-dropping-particle":"","parse-names":false,"suffix":""},{"dropping-particle":"","family":"Theeuwes","given":"Jan","non-dropping-particle":"","parse-names":false,"suffix":""}],"container-title":"NeuroImage","id":"ITEM-1","issue":"2","issued":{"date-parts":[["2004"]]},"page":"822-830","title":"Endogenous and exogenous attention shifts are mediated by the same large-scale neural network","type":"article-journal","volume":"22"},"uris":["http://www.mendeley.com/documents/?uuid=aaa5890d-9462-4213-ac66-5b3effef700b"]}],"mendeley":{"formattedCitation":"[55]","plainTextFormattedCitation":"[55]","previouslyFormattedCitation":"[55]"},"properties":{"noteIndex":0},"schema":"https://github.com/citation-style-language/schema/raw/master/csl-citation.json"}</w:instrText>
      </w:r>
      <w:r w:rsidR="00914F33" w:rsidRPr="00366A0F">
        <w:rPr>
          <w:rFonts w:eastAsia="Times New Roman"/>
        </w:rPr>
        <w:fldChar w:fldCharType="separate"/>
      </w:r>
      <w:r w:rsidR="00FD5371" w:rsidRPr="00FD5371">
        <w:rPr>
          <w:rFonts w:eastAsia="Times New Roman"/>
          <w:noProof/>
        </w:rPr>
        <w:t>[55]</w:t>
      </w:r>
      <w:r w:rsidR="00914F33" w:rsidRPr="00366A0F">
        <w:rPr>
          <w:rFonts w:eastAsia="Times New Roman"/>
        </w:rPr>
        <w:fldChar w:fldCharType="end"/>
      </w:r>
      <w:r w:rsidR="00914F33" w:rsidRPr="00366A0F">
        <w:rPr>
          <w:rFonts w:eastAsia="Times New Roman"/>
        </w:rPr>
        <w:t xml:space="preserve">. </w:t>
      </w:r>
      <w:r w:rsidR="008C6874" w:rsidRPr="00366A0F">
        <w:rPr>
          <w:rFonts w:eastAsia="Times New Roman"/>
        </w:rPr>
        <w:t xml:space="preserve">While it is premature at best to suggest that these </w:t>
      </w:r>
      <w:r w:rsidR="00227FF7" w:rsidRPr="00366A0F">
        <w:rPr>
          <w:rFonts w:eastAsia="Times New Roman"/>
        </w:rPr>
        <w:t>neural regions</w:t>
      </w:r>
      <w:r w:rsidR="008C6874" w:rsidRPr="00366A0F">
        <w:rPr>
          <w:rFonts w:eastAsia="Times New Roman"/>
        </w:rPr>
        <w:t xml:space="preserve"> remain unaffected by MCTs</w:t>
      </w:r>
      <w:r w:rsidR="001A21A0" w:rsidRPr="00366A0F">
        <w:rPr>
          <w:rFonts w:eastAsia="Times New Roman"/>
        </w:rPr>
        <w:t>-</w:t>
      </w:r>
      <w:r w:rsidR="008C6874" w:rsidRPr="00366A0F">
        <w:rPr>
          <w:rFonts w:eastAsia="Times New Roman"/>
        </w:rPr>
        <w:t xml:space="preserve">especially </w:t>
      </w:r>
      <w:r w:rsidR="00E1402E" w:rsidRPr="00366A0F">
        <w:rPr>
          <w:rFonts w:eastAsia="Times New Roman"/>
        </w:rPr>
        <w:t>considering</w:t>
      </w:r>
      <w:r w:rsidR="008C6874" w:rsidRPr="00366A0F">
        <w:rPr>
          <w:rFonts w:eastAsia="Times New Roman"/>
        </w:rPr>
        <w:t xml:space="preserve"> the previously stated influences on TM and memory span</w:t>
      </w:r>
      <w:r w:rsidR="001A21A0" w:rsidRPr="00366A0F">
        <w:rPr>
          <w:rFonts w:eastAsia="Times New Roman"/>
        </w:rPr>
        <w:t xml:space="preserve"> both in the present study and in previous work </w:t>
      </w:r>
      <w:r w:rsidR="001A21A0" w:rsidRPr="00366A0F">
        <w:rPr>
          <w:rFonts w:eastAsia="Times New Roman"/>
        </w:rPr>
        <w:fldChar w:fldCharType="begin" w:fldLock="1"/>
      </w:r>
      <w:r w:rsidR="00616D7D">
        <w:rPr>
          <w:rFonts w:eastAsia="Times New Roman"/>
        </w:rPr>
        <w:instrText>ADDIN CSL_CITATION {"citationItems":[{"id":"ITEM-1","itemData":{"DOI":"10.1186/1743-7075-6-31","ISSN":"17437075","abstract":"Background.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Metabolism","id":"ITEM-1","issue":"1","issued":{"date-parts":[["2009"]]},"page":"1-25","title":"Study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6cb03845-ca5a-438a-b695-a3cd23db844f"]},{"id":"ITEM-3","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Nutrition","id":"ITEM-3","issue":"xxxx","issued":{"date-parts":[["2019"]]},"publisher":"Elsevier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http://www.mendeley.com/documents/?uuid=eb432d8d-723c-4b5a-a8d3-3e11377073ed"]},{"id":"ITEM-4","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-4","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http://www.mendeley.com/documents/?uuid=5b8e531d-d827-41c0-84e1-76e75422ee36"]},{"id":"ITEM-5","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Letters","id":"ITEM-5","issue":"October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28]","plainTextFormattedCitation":"[21,25–28]","previouslyFormattedCitation":"[21,25–28]"},"properties":{"noteIndex":0},"schema":"https://github.com/citation-style-language/schema/raw/master/csl-citation.json"}</w:instrText>
      </w:r>
      <w:r w:rsidR="001A21A0" w:rsidRPr="00366A0F">
        <w:rPr>
          <w:rFonts w:eastAsia="Times New Roman"/>
        </w:rPr>
        <w:fldChar w:fldCharType="separate"/>
      </w:r>
      <w:r w:rsidR="00FD5371" w:rsidRPr="00FD5371">
        <w:rPr>
          <w:rFonts w:eastAsia="Times New Roman"/>
          <w:noProof/>
        </w:rPr>
        <w:t>[21,25–28]</w:t>
      </w:r>
      <w:r w:rsidR="001A21A0" w:rsidRPr="00366A0F">
        <w:rPr>
          <w:rFonts w:eastAsia="Times New Roman"/>
        </w:rPr>
        <w:fldChar w:fldCharType="end"/>
      </w:r>
      <w:r w:rsidR="00E1402E" w:rsidRPr="00366A0F">
        <w:rPr>
          <w:rFonts w:eastAsia="Times New Roman"/>
        </w:rPr>
        <w:t>–</w:t>
      </w:r>
      <w:r w:rsidR="008C6874" w:rsidRPr="00366A0F">
        <w:rPr>
          <w:rFonts w:eastAsia="Times New Roman"/>
        </w:rPr>
        <w:t xml:space="preserve">it is possible that any </w:t>
      </w:r>
      <w:r w:rsidR="008C6874" w:rsidRPr="00366A0F">
        <w:rPr>
          <w:rFonts w:eastAsia="Times New Roman"/>
        </w:rPr>
        <w:lastRenderedPageBreak/>
        <w:t>influence of MCT</w:t>
      </w:r>
      <w:r w:rsidR="00914F33" w:rsidRPr="00366A0F">
        <w:rPr>
          <w:rFonts w:eastAsia="Times New Roman"/>
        </w:rPr>
        <w:t>s</w:t>
      </w:r>
      <w:r w:rsidR="008C6874" w:rsidRPr="00366A0F">
        <w:rPr>
          <w:rFonts w:eastAsia="Times New Roman"/>
        </w:rPr>
        <w:t xml:space="preserve"> </w:t>
      </w:r>
      <w:r w:rsidR="00E1402E" w:rsidRPr="00366A0F">
        <w:rPr>
          <w:rFonts w:eastAsia="Times New Roman"/>
        </w:rPr>
        <w:t xml:space="preserve">within cognitive performance </w:t>
      </w:r>
      <w:r w:rsidR="008C6874" w:rsidRPr="00366A0F">
        <w:rPr>
          <w:rFonts w:eastAsia="Times New Roman"/>
        </w:rPr>
        <w:t xml:space="preserve">does not extend </w:t>
      </w:r>
      <w:r w:rsidR="00E1402E" w:rsidRPr="00366A0F">
        <w:rPr>
          <w:rFonts w:eastAsia="Times New Roman"/>
        </w:rPr>
        <w:t xml:space="preserve">specifically </w:t>
      </w:r>
      <w:r w:rsidR="00227FF7" w:rsidRPr="00366A0F">
        <w:rPr>
          <w:rFonts w:eastAsia="Times New Roman"/>
        </w:rPr>
        <w:t xml:space="preserve">to </w:t>
      </w:r>
      <w:r w:rsidR="008C6874" w:rsidRPr="00366A0F">
        <w:rPr>
          <w:rFonts w:eastAsia="Times New Roman"/>
        </w:rPr>
        <w:t>visual selective attention.</w:t>
      </w:r>
    </w:p>
    <w:p w14:paraId="7EE113F0" w14:textId="359BC258" w:rsidR="00D14A08" w:rsidRPr="00366A0F" w:rsidRDefault="00736C39" w:rsidP="00D32D17">
      <w:pPr>
        <w:spacing w:before="240" w:after="240" w:line="360" w:lineRule="auto"/>
        <w:ind w:firstLine="720"/>
        <w:jc w:val="both"/>
        <w:rPr>
          <w:rFonts w:eastAsia="Times New Roman"/>
        </w:rPr>
      </w:pPr>
      <w:r w:rsidRPr="00366A0F">
        <w:rPr>
          <w:rFonts w:eastAsia="Times New Roman"/>
        </w:rPr>
        <w:t>I</w:t>
      </w:r>
      <w:r w:rsidR="00741761" w:rsidRPr="00366A0F">
        <w:rPr>
          <w:rFonts w:eastAsia="Times New Roman"/>
        </w:rPr>
        <w:t xml:space="preserve">n the RVIP task, MCTs did not influence RT </w:t>
      </w:r>
      <w:r w:rsidR="000F4311" w:rsidRPr="00366A0F">
        <w:rPr>
          <w:rFonts w:eastAsia="Times New Roman"/>
        </w:rPr>
        <w:t>and the</w:t>
      </w:r>
      <w:r w:rsidR="00741761" w:rsidRPr="00366A0F">
        <w:rPr>
          <w:rFonts w:eastAsia="Times New Roman"/>
        </w:rPr>
        <w:t xml:space="preserve"> amount of responses to non-targets, </w:t>
      </w:r>
      <w:r w:rsidR="000F4311" w:rsidRPr="00366A0F">
        <w:rPr>
          <w:rFonts w:eastAsia="Times New Roman"/>
        </w:rPr>
        <w:t xml:space="preserve">in spite of previous evidence </w:t>
      </w:r>
      <w:r w:rsidR="00F6773E" w:rsidRPr="00366A0F">
        <w:rPr>
          <w:rFonts w:eastAsia="Times New Roman"/>
        </w:rPr>
        <w:t xml:space="preserve">indicating </w:t>
      </w:r>
      <w:r w:rsidR="00741761" w:rsidRPr="00366A0F">
        <w:rPr>
          <w:rFonts w:eastAsia="Times New Roman"/>
        </w:rPr>
        <w:t xml:space="preserve">that different types of fatty acids </w:t>
      </w:r>
      <w:r w:rsidR="00F6773E" w:rsidRPr="00366A0F">
        <w:rPr>
          <w:rFonts w:eastAsia="Times New Roman"/>
        </w:rPr>
        <w:t>(e.g., Omega-3 polyunsaturated</w:t>
      </w:r>
      <w:r w:rsidR="00A44B40">
        <w:rPr>
          <w:rFonts w:eastAsia="Times New Roman"/>
        </w:rPr>
        <w:t xml:space="preserve"> </w:t>
      </w:r>
      <w:r w:rsidR="00A44B40">
        <w:rPr>
          <w:rFonts w:eastAsia="Times New Roman"/>
        </w:rPr>
        <w:fldChar w:fldCharType="begin" w:fldLock="1"/>
      </w:r>
      <w:r w:rsidR="00A44B40">
        <w:rPr>
          <w:rFonts w:eastAsia="Times New Roman"/>
        </w:rPr>
        <w:instrText>ADDIN CSL_CITATION {"citationItems":[{"id":"ITEM-1","itemData":{"abstract":"Background: It has been reported that Omega-3 fatty acids may play a role in nervous system activity and that they improve cognitive development and reference memory-related learning, increase neuroplasticity of nerve membranes, contribute to synaptogenesis and are involved in synaptic transmission. The aim of this study was to examine the effects of Omega-3 supplementation on some cognitive and physiological parameters in healthy subjects. Materials and methods: Subjects were tested at the beginning of the experiment and after 35 days. In this period they were supplemented with Omega-3 polyunsaturated fatty acids. A group was supplemented with olive oil (placebo). Tests involving different types of attention were used, i.e. Alert, Go/No-Go, Choice and Sustained Attention. For each test, the reaction time, the event-related potentials by electroencephalogram (EEG) and the electromyography (EMG) of the forefinger flexor muscle were recorded. The Profile of Mood States test (POMS) was also administered. Results: Blood analyses showed that after Omega-3 supplementation the arachidonic acid/eicosapentaenoic acid ratio (AA/EPA) was strongly reduced. The mood profile was improved after Omega-3 with increased vigour and reduced anger, anxiety and depression states. This was associated with an effect on reactivity with a reduction of reaction time in the Go/No-Go and Sustained Attention tests. The latency of EMG activation was concomitantly reduced in the same tests plus Choice. An EEG frequency shift towards the theta and alpha band were recorded in all the tests after Omega-3. Conclusion: Omega-3 supplementation is associated with an improvement of attentional and physiological functions, particularly those involving complex cortical processing. These findings are discussed in terms of the influence of Omega-3 on the central nervous system. © 2005 Blackwell Publishing Ltd.","author":[{"dropping-particle":"","family":"Fontani","given":"G","non-dropping-particle":"","parse-names":false,"suffix":""},{"dropping-particle":"","family":"Corradeschi","given":"F","non-dropping-particle":"","parse-names":false,"suffix":""},{"dropping-particle":"","family":"Felici","given":"A","non-dropping-particle":"","parse-names":false,"suffix":""},{"dropping-particle":"","family":"Alfatti","given":"F","non-dropping-particle":"","parse-names":false,"suffix":""},{"dropping-particle":"","family":"Migliorini","given":"S","non-dropping-particle":"","parse-names":false,"suffix":""},{"dropping-particle":"","family":"Lodi","given":"L","non-dropping-particle":"","parse-names":false,"suffix":""}],"container-title":"European Journal of Clinical Investigation","id":"ITEM-1","issue":"11","issued":{"date-parts":[["2005"]]},"page":"691-699","title":"Cognitive and physiological effects of Omega-3 polyunsaturated fatty acid supplementation in healthy subjects","type":"article-journal","volume":"35"},"uris":["http://www.mendeley.com/documents/?uuid=b8331617-004f-4bc5-8c62-0db0acdc44b1"]}],"mendeley":{"formattedCitation":"[56]","plainTextFormattedCitation":"[56]","previouslyFormattedCitation":"[56]"},"properties":{"noteIndex":0},"schema":"https://github.com/citation-style-language/schema/raw/master/csl-citation.json"}</w:instrText>
      </w:r>
      <w:r w:rsidR="00A44B40">
        <w:rPr>
          <w:rFonts w:eastAsia="Times New Roman"/>
        </w:rPr>
        <w:fldChar w:fldCharType="separate"/>
      </w:r>
      <w:r w:rsidR="00A44B40" w:rsidRPr="00A44B40">
        <w:rPr>
          <w:rFonts w:eastAsia="Times New Roman"/>
          <w:noProof/>
        </w:rPr>
        <w:t>[56]</w:t>
      </w:r>
      <w:r w:rsidR="00A44B40">
        <w:rPr>
          <w:rFonts w:eastAsia="Times New Roman"/>
        </w:rPr>
        <w:fldChar w:fldCharType="end"/>
      </w:r>
      <w:r w:rsidR="00F6773E" w:rsidRPr="00366A0F">
        <w:rPr>
          <w:rFonts w:eastAsia="Times New Roman"/>
        </w:rPr>
        <w:t xml:space="preserve">) </w:t>
      </w:r>
      <w:r w:rsidR="00741761" w:rsidRPr="00366A0F">
        <w:rPr>
          <w:rFonts w:eastAsia="Times New Roman"/>
        </w:rPr>
        <w:t>can improve sustained attention. There was, however, a</w:t>
      </w:r>
      <w:r w:rsidR="00936F51" w:rsidRPr="00366A0F">
        <w:rPr>
          <w:rFonts w:eastAsia="Times New Roman"/>
        </w:rPr>
        <w:t>n overall</w:t>
      </w:r>
      <w:r w:rsidR="00741761" w:rsidRPr="00366A0F">
        <w:rPr>
          <w:rFonts w:eastAsia="Times New Roman"/>
        </w:rPr>
        <w:t xml:space="preserve"> </w:t>
      </w:r>
      <w:r w:rsidR="009B1687" w:rsidRPr="00366A0F">
        <w:rPr>
          <w:rFonts w:eastAsia="Times New Roman"/>
        </w:rPr>
        <w:t xml:space="preserve">continual </w:t>
      </w:r>
      <w:r w:rsidR="00741761" w:rsidRPr="00366A0F">
        <w:rPr>
          <w:rFonts w:eastAsia="Times New Roman"/>
        </w:rPr>
        <w:t xml:space="preserve">decrease in the amount of errors from not responding to the targets </w:t>
      </w:r>
      <w:r w:rsidR="000F4311" w:rsidRPr="00366A0F">
        <w:rPr>
          <w:rFonts w:eastAsia="Times New Roman"/>
        </w:rPr>
        <w:t>that was independent of any the groups</w:t>
      </w:r>
      <w:r w:rsidR="00741761" w:rsidRPr="00366A0F">
        <w:rPr>
          <w:rFonts w:eastAsia="Times New Roman"/>
        </w:rPr>
        <w:t>. Th</w:t>
      </w:r>
      <w:r w:rsidR="001C0D4C" w:rsidRPr="00366A0F">
        <w:rPr>
          <w:rFonts w:eastAsia="Times New Roman"/>
        </w:rPr>
        <w:t xml:space="preserve">e fact that </w:t>
      </w:r>
      <w:r w:rsidR="00741761" w:rsidRPr="00366A0F">
        <w:rPr>
          <w:rFonts w:eastAsia="Times New Roman"/>
        </w:rPr>
        <w:t xml:space="preserve">there was no difference between the groups in this regard suggests that this improvement was due to a </w:t>
      </w:r>
      <w:r w:rsidR="000F4311" w:rsidRPr="00366A0F">
        <w:rPr>
          <w:rFonts w:eastAsia="Times New Roman"/>
        </w:rPr>
        <w:t xml:space="preserve">mere </w:t>
      </w:r>
      <w:r w:rsidR="00741761" w:rsidRPr="00366A0F">
        <w:rPr>
          <w:rFonts w:eastAsia="Times New Roman"/>
        </w:rPr>
        <w:t>learning effect. It may be that the RVIP task for sustained attention is not sensitive enough to detect small changes between trials</w:t>
      </w:r>
      <w:r w:rsidR="008E6404" w:rsidRPr="00366A0F">
        <w:rPr>
          <w:rFonts w:eastAsia="Times New Roman"/>
        </w:rPr>
        <w:t xml:space="preserve"> due to the relatively small doses of MCTs used in this study</w:t>
      </w:r>
      <w:r w:rsidR="00AB51DD" w:rsidRPr="00366A0F">
        <w:rPr>
          <w:rFonts w:eastAsia="Times New Roman"/>
        </w:rPr>
        <w:t xml:space="preserve"> </w:t>
      </w:r>
      <w:r w:rsidR="00AB51DD" w:rsidRPr="00366A0F">
        <w:rPr>
          <w:rFonts w:eastAsia="Times New Roman"/>
        </w:rPr>
        <w:fldChar w:fldCharType="begin" w:fldLock="1"/>
      </w:r>
      <w:r w:rsidR="00616D7D">
        <w:rPr>
          <w:rFonts w:eastAsia="Times New Roman"/>
        </w:rPr>
        <w:instrText>ADDIN CSL_CITATION {"citationItems":[{"id":"ITEM-1","itemData":{"DOI":"10.1139/H09-057","ISSN":"17155312","abstract":"A round of golf lasts approximately 4 h, during which time homeostasis could be challenged through either hypoglycemia or hypohydration. This might result in impaired motor skill or cognitive performance. Given the high cognitive demand of putting and the potential fatiguing effects from prolonged walking, the combination of a caffeine and carbohydrate drink could be beneficial in offsetting hypoglycemia and hypohydration. This study used a laboratory-simulated round of golf to examine the effect of an isotonic carbohydrate and caffeine sports drink on putting performance during a round of golf. After institutional ethics approval, 20 male golfers (mean ± standard deviation: age 23 ± 4 years, stature 176.4 ± 5.6 cm, mass 72.8 ± 17.4 kg, handicap 15 ± 4, daily caffeine consumption 157.3 ± 47.2 mg) consumed either an isotonic sports drink containing caffeine (6.4 g carbohydrate and 16 mg caffeine per 100 mL) or a no-energy, flavour-matched placebo drink in a double-blind, randomized, counter-balanced crossover design. Drinks were consumed preround (5 mL·kg-1 body mass (BM)) and at holes 6 and 12 (2.5 mL·kg-1 BM). Participants therefore consumed 1.6 mg·kg-1 BM of caffeine and 0.64 g·kg-1 BM of carbohydrate throughout the trial. Five and 2 m putting performance were assessed at each hole. Self-rated mood assessments were carried out every third hole. Putting performance over 5 m and 2 m and self-rated scores for alertness and relaxation showed a main effect for drink (p &lt; 0.05). Ratings of mental fatigue and tiredness significantly increased during the round (p &lt; 0.001). In experienced golfers, the consumption of an isotonic carbohydrate sports drink containing caffeine prior to and during a round of golf improved putting performance and increased feelings of alertness.","author":[{"dropping-particle":"","family":"Stevenson","given":"Emma J.","non-dropping-particle":"","parse-names":false,"suffix":""},{"dropping-particle":"","family":"Hayes","given":"Philip R.","non-dropping-particle":"","parse-names":false,"suffix":""},{"dropping-particle":"","family":"Allison","given":"Sarah J.","non-dropping-particle":"","parse-names":false,"suffix":""}],"container-title":"Applied Physiology, Nutrition and Metabolism","id":"ITEM-1","issue":"4","issued":{"date-parts":[["2009"]]},"page":"681-688","title":"The effect of a carbohydrate-caffeine sports drink on simulated golf performance","type":"article-journal","volume":"34"},"uris":["http://www.mendeley.com/documents/?uuid=88f55f61-6922-4af5-85ea-924f69df376f","http://www.mendeley.com/documents/?uuid=bd8d5c58-155d-4085-8ae8-5856d1d869a7"]}],"mendeley":{"formattedCitation":"[49]","plainTextFormattedCitation":"[49]","previouslyFormattedCitation":"[49]"},"properties":{"noteIndex":0},"schema":"https://github.com/citation-style-language/schema/raw/master/csl-citation.json"}</w:instrText>
      </w:r>
      <w:r w:rsidR="00AB51DD" w:rsidRPr="00366A0F">
        <w:rPr>
          <w:rFonts w:eastAsia="Times New Roman"/>
        </w:rPr>
        <w:fldChar w:fldCharType="separate"/>
      </w:r>
      <w:r w:rsidR="00FD5371" w:rsidRPr="00FD5371">
        <w:rPr>
          <w:rFonts w:eastAsia="Times New Roman"/>
          <w:noProof/>
        </w:rPr>
        <w:t>[49]</w:t>
      </w:r>
      <w:r w:rsidR="00AB51DD" w:rsidRPr="00366A0F">
        <w:rPr>
          <w:rFonts w:eastAsia="Times New Roman"/>
        </w:rPr>
        <w:fldChar w:fldCharType="end"/>
      </w:r>
      <w:r w:rsidR="00D32D17" w:rsidRPr="00366A0F">
        <w:rPr>
          <w:rFonts w:eastAsia="Times New Roman"/>
        </w:rPr>
        <w:t>. F</w:t>
      </w:r>
      <w:r w:rsidR="00741761" w:rsidRPr="00366A0F">
        <w:rPr>
          <w:rFonts w:eastAsia="Times New Roman"/>
        </w:rPr>
        <w:t>uture investigations should adapt the task to overcome this. One suggestion is to increase the task time</w:t>
      </w:r>
      <w:r w:rsidR="001C0D4C" w:rsidRPr="00366A0F">
        <w:rPr>
          <w:rFonts w:eastAsia="Times New Roman"/>
          <w:strike/>
        </w:rPr>
        <w:t xml:space="preserve"> </w:t>
      </w:r>
      <w:r w:rsidR="00D32D17" w:rsidRPr="00366A0F">
        <w:rPr>
          <w:rFonts w:eastAsia="Times New Roman"/>
        </w:rPr>
        <w:fldChar w:fldCharType="begin" w:fldLock="1"/>
      </w:r>
      <w:r w:rsidR="00616D7D">
        <w:rPr>
          <w:rFonts w:eastAsia="Times New Roman"/>
        </w:rPr>
        <w:instrText>ADDIN CSL_CITATION {"citationItems":[{"id":"ITEM-1","itemData":{"DOI":"10.1016/j.psychres.2009.12.012","ISSN":"01651781","abstract":"The aim of the present study was to investigate whether healthy first-degree relatives of schizophrenia patients show reduced sensitivity performance, higher intra-individual variability (IIV) in reaction time (RT), and a steeper decline in sensitivity over time in a sustained attention task. Healthy first-degree relatives of schizophrenia patients (n=23) and healthy control subjects (n=46) without a family history of schizophrenia performed a demanding version of the Rapid Visual Information Processing task (RVIP). RTs, hits, false alarms, and the sensitivity index A' were assessed. The relatives were significantly less sensitive, tended to have higher IIV in RT, but sustained the impaired level of sensitivity over time. Impaired performance on the RVIP is a possible endophenotype for schizophrenia. Higher IIV in RT, apparently caused by impaired context representations, might result in fluctuations in control and lead to more frequent attentional lapses. © 2010 Elsevier Ireland Ltd.","author":[{"dropping-particle":"","family":"Hilti","given":"Caroline Claudia","non-dropping-particle":"","parse-names":false,"suffix":""},{"dropping-particle":"","family":"Hilti","given":"Leonie Maria","non-dropping-particle":"","parse-names":false,"suffix":""},{"dropping-particle":"","family":"Heinemann","given":"Doerthe","non-dropping-particle":"","parse-names":false,"suffix":""},{"dropping-particle":"","family":"Robbins","given":"Trevor","non-dropping-particle":"","parse-names":false,"suffix":""},{"dropping-particle":"","family":"Seifritz","given":"Erich","non-dropping-particle":"","parse-names":false,"suffix":""},{"dropping-particle":"","family":"Cattapan-Ludewig","given":"Katja","non-dropping-particle":"","parse-names":false,"suffix":""}],"container-title":"Psychiatry Research","id":"ITEM-1","issue":"1-2","issued":{"date-parts":[["2010"]]},"page":"60-64","publisher":"Elsevier Ireland Ltd","title":"Impaired performance on the Rapid Visual Information Processing task (RVIP) could be an endophenotype of schizophrenia","type":"article-journal","volume":"177"},"uris":["http://www.mendeley.com/documents/?uuid=907c5451-7eab-4d53-adaa-223bcce3920f"]}],"mendeley":{"formattedCitation":"[57]","plainTextFormattedCitation":"[57]","previouslyFormattedCitation":"[57]"},"properties":{"noteIndex":0},"schema":"https://github.com/citation-style-language/schema/raw/master/csl-citation.json"}</w:instrText>
      </w:r>
      <w:r w:rsidR="00D32D17" w:rsidRPr="00366A0F">
        <w:rPr>
          <w:rFonts w:eastAsia="Times New Roman"/>
        </w:rPr>
        <w:fldChar w:fldCharType="separate"/>
      </w:r>
      <w:r w:rsidR="00FD5371" w:rsidRPr="00FD5371">
        <w:rPr>
          <w:rFonts w:eastAsia="Times New Roman"/>
          <w:noProof/>
        </w:rPr>
        <w:t>[57]</w:t>
      </w:r>
      <w:r w:rsidR="00D32D17" w:rsidRPr="00366A0F">
        <w:rPr>
          <w:rFonts w:eastAsia="Times New Roman"/>
        </w:rPr>
        <w:fldChar w:fldCharType="end"/>
      </w:r>
      <w:r w:rsidR="00D32D17" w:rsidRPr="00366A0F">
        <w:rPr>
          <w:rFonts w:eastAsia="Times New Roman"/>
        </w:rPr>
        <w:t xml:space="preserve"> </w:t>
      </w:r>
      <w:r w:rsidR="00741761" w:rsidRPr="00366A0F">
        <w:rPr>
          <w:rFonts w:eastAsia="Times New Roman"/>
        </w:rPr>
        <w:t>and/or increase the number of stimuli</w:t>
      </w:r>
      <w:r w:rsidR="00936F51" w:rsidRPr="00366A0F">
        <w:rPr>
          <w:rFonts w:eastAsia="Times New Roman"/>
        </w:rPr>
        <w:t xml:space="preserve"> in order to increase mental fatigue. </w:t>
      </w:r>
      <w:r w:rsidR="00F6773E" w:rsidRPr="00366A0F">
        <w:rPr>
          <w:rFonts w:eastAsia="Times New Roman"/>
        </w:rPr>
        <w:t xml:space="preserve"> However, from the evidence that is currently available, it would suggest that the influence of MCTs on cognitive performance also does not comprise of the ability to sustain attention.</w:t>
      </w:r>
    </w:p>
    <w:p w14:paraId="61EF56D2" w14:textId="030800BC" w:rsidR="00F12773" w:rsidRPr="00366A0F" w:rsidRDefault="00741761" w:rsidP="00903524">
      <w:pPr>
        <w:spacing w:before="240" w:after="240" w:line="360" w:lineRule="auto"/>
        <w:ind w:firstLine="720"/>
        <w:jc w:val="both"/>
        <w:rPr>
          <w:rFonts w:eastAsia="Times New Roman"/>
        </w:rPr>
      </w:pPr>
      <w:r w:rsidRPr="00366A0F">
        <w:rPr>
          <w:rFonts w:eastAsia="Times New Roman"/>
        </w:rPr>
        <w:t xml:space="preserve">MCTs have </w:t>
      </w:r>
      <w:r w:rsidR="003153E6" w:rsidRPr="00366A0F">
        <w:rPr>
          <w:rFonts w:eastAsia="Times New Roman"/>
        </w:rPr>
        <w:t xml:space="preserve">repeatedly been shown to </w:t>
      </w:r>
      <w:r w:rsidRPr="00366A0F">
        <w:rPr>
          <w:rFonts w:eastAsia="Times New Roman"/>
        </w:rPr>
        <w:t xml:space="preserve">benefit </w:t>
      </w:r>
      <w:r w:rsidR="003153E6" w:rsidRPr="00366A0F">
        <w:rPr>
          <w:rFonts w:eastAsia="Times New Roman"/>
        </w:rPr>
        <w:t>cognitive performance</w:t>
      </w:r>
      <w:r w:rsidR="00936F51" w:rsidRPr="00366A0F">
        <w:rPr>
          <w:rFonts w:eastAsia="Times New Roman"/>
        </w:rPr>
        <w:t xml:space="preserve"> </w:t>
      </w:r>
      <w:r w:rsidRPr="00366A0F">
        <w:rPr>
          <w:rFonts w:eastAsia="Times New Roman"/>
        </w:rPr>
        <w:t xml:space="preserve">in diseased and healthy populations </w:t>
      </w:r>
      <w:r w:rsidR="00AB51DD" w:rsidRPr="00366A0F">
        <w:rPr>
          <w:rFonts w:eastAsia="Times New Roman"/>
        </w:rPr>
        <w:fldChar w:fldCharType="begin" w:fldLock="1"/>
      </w:r>
      <w:r w:rsidR="00616D7D">
        <w:rPr>
          <w:rFonts w:eastAsia="Times New Roman"/>
        </w:rPr>
        <w:instrText xml:space="preserve">ADDIN CSL_CITATION {"citationItems":[{"id":"ITEM-1","itemData":{"DOI":"10.2337/db08-1557","ISSN":"00121797","abstract":"OBJECTIVE-We examined whether ingestion of medium- chain triglycerides could improve cognition during hypoglycemia in subjects with intensively treated type 1 diabetes and assessed potential underlying mechanisms by testing the effect of β-hy-droxybutyrate and octanoate on rat hippocampal synaptic transmission during exposure to low glucose. RESEARCH DESIGN AND METHODS-A total of 11 intensively treated type 1 diabetic subjects participated in stepped hyperinsulinemic- (2 mU · kg -1 · min -1) euglycemic- (glucose </w:instrText>
      </w:r>
      <w:r w:rsidR="00616D7D">
        <w:rPr>
          <w:rFonts w:ascii="Cambria Math" w:eastAsia="Times New Roman" w:hAnsi="Cambria Math" w:cs="Cambria Math"/>
        </w:rPr>
        <w:instrText>∼</w:instrText>
      </w:r>
      <w:r w:rsidR="00616D7D">
        <w:rPr>
          <w:rFonts w:eastAsia="Times New Roman"/>
        </w:rPr>
        <w:instrText xml:space="preserve">5.5 mmol/l) hypoglycemic (glucose </w:instrText>
      </w:r>
      <w:r w:rsidR="00616D7D">
        <w:rPr>
          <w:rFonts w:ascii="Cambria Math" w:eastAsia="Times New Roman" w:hAnsi="Cambria Math" w:cs="Cambria Math"/>
        </w:rPr>
        <w:instrText>∼</w:instrText>
      </w:r>
      <w:r w:rsidR="00616D7D">
        <w:rPr>
          <w:rFonts w:eastAsia="Times New Roman"/>
        </w:rPr>
        <w:instrText>2.8 mmol/l) clamp studies. During two separate sessions, they randomly received either medium-chain triglycerides or placebo drinks and performed a battery of cognitive tests. In vitro rat hippocampal slice preparations were used to assess the ability of p-hydroxybutyrate and octanoate to support neuronal activity when glucose levels are reduced.RESULTS-Hypoglycemia impaired cognitive performance in tests of verbal memory, digit symbol coding, digit span backwards, and map searching. Ingestion of medium-chain triglycer- ides reversed these effects. Medium-chain triglycerides also produced higher free fatty acids and β-hydroxybutyrate levels compared with placebo. However, the increase in cat- echolamines and symptoms during hypoglycemia was not altered. In hippocampal slices β-hydroxybutyrate supported synaptic transmission under low-glucose conditions, whereas octanoate could not. Nevertheless, octanoate improved the rate of recovery of synaptic function upon restoration of control glucose concentrations. CONCLUSIONS-Medium-chain triglyceride ingestion improves cognition without adversely affecting adrenergic or symptomatic responses to hypoglycemia in intensively treated type 1 diabetic subjects. Medium-chain triglycerides offer the therapeutic advantage of preserving brain function under hypoglycemic conditions without causing deleterious hyperglycemia. © 2009 by the American Diabetes Association.","author":[{"dropping-particle":"","family":"Page","given":"Kathleen A.","non-dropping-particle":"","parse-names":false,"suffix":""},{"dropping-particle":"","family":"Williamson","given":"Anne","non-dropping-particle":"","parse-names":false,"suffix":""},{"dropping-particle":"","family":"Yu","given":"Namyi","non-dropping-particle":"","parse-names":false,"suffix":""},{"dropping-particle":"","family":"McNay","given":"Ewan C.","non-dropping-particle":"","parse-names":false,"suffix":""},{"dropping-particle":"","family":"Dzuira","given":"James","non-dropping-particle":"","parse-names":false,"suffix":""},{"dropping-particle":"","family":"McCrimmon","given":"Rory J.","non-dropping-particle":"","parse-names":false,"suffix":""},{"dropping-particle":"","family":"Sherwin","given":"Robert S.","non-dropping-particle":"","parse-names":false,"suffix":""}],"container-title":"Diabetes","id":"ITEM-1","issue":"5","issued":{"date-parts":[["2009"]]},"page":"1237-1244","title":"Medium-chain fatty acids improve cognitive function in intensively treated type 1 diabetic patients and support in vitro synaptic transmission during acute hypoglycemia","type":"article-journal","volume":"58"},"uris":["http://www.mendeley.com/documents/?uuid=10d9f03a-9d31-4129-a4f5-9ad7b96f7979","http://www.mendeley.com/documents/?uuid=76e53e78-a881-4224-bb35-b0fd11616c3c"]},{"id":"ITEM-2","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-2","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http://www.mendeley.com/documents/?uuid=0ae0573f-bbe1-4022-92b4-9c6a033a4e3e"]},{"id":"ITEM-3","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Metabolism","id":"ITEM-3","issue":"1","issued":{"date-parts":[["2009"]]},"page":"1-25","title":"Study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http://www.mendeley.com/documents/?uuid=a646f638-f576-4cf0-92f3-85e1b1b735a6"]},{"id":"ITEM-4","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Aging","id":"ITEM-4","issue":"3","issued":{"date-parts":[["2004"]]},"page":"311-314","title":"Effects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52e35d1e-e518-4ccd-88dd-d04ca75d7b85"]},{"id":"ITEM-5","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Nutrition","id":"ITEM-5","issue":"xxxx","issued":{"date-parts":[["2019"]]},"publisher":"Elsevier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http://www.mendeley.com/documents/?uuid=f17ed8af-a274-4aab-8c58-49b9bb516526"]},{"id":"ITEM-6","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Letters","id":"ITEM-6","issue":"October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29]","plainTextFormattedCitation":"[21,25–29]","previouslyFormattedCitation":"[21,25–29]"},"properties":{"noteIndex":0},"schema":"https://github.com/citation-style-language/schema/raw/master/csl-citation.json"}</w:instrText>
      </w:r>
      <w:r w:rsidR="00AB51DD" w:rsidRPr="00366A0F">
        <w:rPr>
          <w:rFonts w:eastAsia="Times New Roman"/>
        </w:rPr>
        <w:fldChar w:fldCharType="separate"/>
      </w:r>
      <w:r w:rsidR="00FD5371" w:rsidRPr="00FD5371">
        <w:rPr>
          <w:rFonts w:eastAsia="Times New Roman"/>
          <w:noProof/>
        </w:rPr>
        <w:t>[21,25–29]</w:t>
      </w:r>
      <w:r w:rsidR="00AB51DD" w:rsidRPr="00366A0F">
        <w:rPr>
          <w:rFonts w:eastAsia="Times New Roman"/>
        </w:rPr>
        <w:fldChar w:fldCharType="end"/>
      </w:r>
      <w:r w:rsidRPr="00366A0F">
        <w:rPr>
          <w:rFonts w:eastAsia="Times New Roman"/>
        </w:rPr>
        <w:t>. Th</w:t>
      </w:r>
      <w:r w:rsidR="003153E6" w:rsidRPr="00366A0F">
        <w:rPr>
          <w:rFonts w:eastAsia="Times New Roman"/>
        </w:rPr>
        <w:t>e present</w:t>
      </w:r>
      <w:r w:rsidRPr="00366A0F">
        <w:rPr>
          <w:rFonts w:eastAsia="Times New Roman"/>
        </w:rPr>
        <w:t xml:space="preserve"> study has shown this intervention </w:t>
      </w:r>
      <w:r w:rsidR="003153E6" w:rsidRPr="00366A0F">
        <w:rPr>
          <w:rFonts w:eastAsia="Times New Roman"/>
        </w:rPr>
        <w:t xml:space="preserve">to be similarly beneficial </w:t>
      </w:r>
      <w:r w:rsidR="008F359F" w:rsidRPr="00366A0F">
        <w:rPr>
          <w:rFonts w:eastAsia="Times New Roman"/>
        </w:rPr>
        <w:t xml:space="preserve">in some regards </w:t>
      </w:r>
      <w:r w:rsidR="003153E6" w:rsidRPr="00366A0F">
        <w:rPr>
          <w:rFonts w:eastAsia="Times New Roman"/>
        </w:rPr>
        <w:t>in</w:t>
      </w:r>
      <w:r w:rsidRPr="00366A0F">
        <w:rPr>
          <w:rFonts w:eastAsia="Times New Roman"/>
        </w:rPr>
        <w:t xml:space="preserve"> healthy, young individuals.</w:t>
      </w:r>
      <w:r w:rsidR="00AC123E" w:rsidRPr="00366A0F">
        <w:rPr>
          <w:rFonts w:eastAsia="Times New Roman"/>
        </w:rPr>
        <w:t xml:space="preserve"> The mechanisms underpinning this effect is considered to be via an augmentation of energy supply to the brain in the form of </w:t>
      </w:r>
      <w:r w:rsidR="00122512" w:rsidRPr="00366A0F">
        <w:rPr>
          <w:rFonts w:eastAsia="Times New Roman"/>
        </w:rPr>
        <w:t>β</w:t>
      </w:r>
      <w:r w:rsidR="00AC123E" w:rsidRPr="00366A0F">
        <w:rPr>
          <w:rFonts w:eastAsia="Times New Roman"/>
        </w:rPr>
        <w:t xml:space="preserve">HB and MCFA, both of </w:t>
      </w:r>
      <w:r w:rsidR="00AC123E" w:rsidRPr="00016E04">
        <w:rPr>
          <w:rFonts w:eastAsia="Times New Roman"/>
          <w:color w:val="000000" w:themeColor="text1"/>
        </w:rPr>
        <w:t xml:space="preserve">which are rapidly available </w:t>
      </w:r>
      <w:r w:rsidR="006E103D" w:rsidRPr="00016E04">
        <w:rPr>
          <w:rFonts w:eastAsia="Times New Roman"/>
          <w:color w:val="000000" w:themeColor="text1"/>
        </w:rPr>
        <w:t xml:space="preserve">to the brain </w:t>
      </w:r>
      <w:r w:rsidR="00AC123E" w:rsidRPr="00016E04">
        <w:rPr>
          <w:rFonts w:eastAsia="Times New Roman"/>
          <w:color w:val="000000" w:themeColor="text1"/>
        </w:rPr>
        <w:t>in excess following ingestion of MCTs</w:t>
      </w:r>
      <w:r w:rsidR="005409CB" w:rsidRPr="00016E04">
        <w:rPr>
          <w:rFonts w:eastAsia="Times New Roman"/>
          <w:color w:val="000000" w:themeColor="text1"/>
        </w:rPr>
        <w:t xml:space="preserve"> </w:t>
      </w:r>
      <w:r w:rsidR="005409CB"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4a363d34-c365-4e1e-a324-588cd4934b25"]}],"mendeley":{"formattedCitation":"[21]","plainTextFormattedCitation":"[21]","previouslyFormattedCitation":"[21]"},"properties":{"noteIndex":0},"schema":"https://github.com/citation-style-language/schema/raw/master/csl-citation.json"}</w:instrText>
      </w:r>
      <w:r w:rsidR="005409CB" w:rsidRPr="00016E04">
        <w:rPr>
          <w:rFonts w:eastAsia="Times New Roman"/>
          <w:color w:val="000000" w:themeColor="text1"/>
        </w:rPr>
        <w:fldChar w:fldCharType="separate"/>
      </w:r>
      <w:r w:rsidR="00FD5371" w:rsidRPr="00016E04">
        <w:rPr>
          <w:rFonts w:eastAsia="Times New Roman"/>
          <w:noProof/>
          <w:color w:val="000000" w:themeColor="text1"/>
        </w:rPr>
        <w:t>[21]</w:t>
      </w:r>
      <w:r w:rsidR="005409CB" w:rsidRPr="00016E04">
        <w:rPr>
          <w:rFonts w:eastAsia="Times New Roman"/>
          <w:color w:val="000000" w:themeColor="text1"/>
        </w:rPr>
        <w:fldChar w:fldCharType="end"/>
      </w:r>
      <w:r w:rsidR="00AC123E" w:rsidRPr="00016E04">
        <w:rPr>
          <w:rFonts w:eastAsia="Times New Roman"/>
          <w:color w:val="000000" w:themeColor="text1"/>
        </w:rPr>
        <w:t>.</w:t>
      </w:r>
      <w:r w:rsidR="000F79F6" w:rsidRPr="00016E04">
        <w:rPr>
          <w:rFonts w:eastAsia="Times New Roman"/>
          <w:color w:val="000000" w:themeColor="text1"/>
        </w:rPr>
        <w:t xml:space="preserve"> </w:t>
      </w:r>
      <w:r w:rsidR="00903524" w:rsidRPr="00016E04">
        <w:rPr>
          <w:rFonts w:eastAsia="Times New Roman"/>
          <w:color w:val="000000" w:themeColor="text1"/>
        </w:rPr>
        <w:t>However, due to the relatively low doses of MCTs used in the present study, the increases in cognitive performance are likely due to an increased rate of mitochondrial biogenesis</w:t>
      </w:r>
      <w:r w:rsidR="004B5304" w:rsidRPr="00016E04">
        <w:rPr>
          <w:rFonts w:eastAsia="Times New Roman"/>
          <w:color w:val="000000" w:themeColor="text1"/>
        </w:rPr>
        <w:t>. This is possibly due t</w:t>
      </w:r>
      <w:r w:rsidR="00585774" w:rsidRPr="00016E04">
        <w:rPr>
          <w:rFonts w:eastAsia="Times New Roman"/>
          <w:color w:val="000000" w:themeColor="text1"/>
        </w:rPr>
        <w:t>o the increased activation of PPARγ</w:t>
      </w:r>
      <w:r w:rsidR="004B5304" w:rsidRPr="00016E04">
        <w:rPr>
          <w:rFonts w:eastAsia="Times New Roman"/>
          <w:color w:val="000000" w:themeColor="text1"/>
        </w:rPr>
        <w:t xml:space="preserve">, </w:t>
      </w:r>
      <w:r w:rsidR="00585774" w:rsidRPr="00016E04">
        <w:rPr>
          <w:rFonts w:eastAsia="Times New Roman"/>
          <w:color w:val="000000" w:themeColor="text1"/>
        </w:rPr>
        <w:t>owing to</w:t>
      </w:r>
      <w:r w:rsidR="00903524" w:rsidRPr="00016E04">
        <w:rPr>
          <w:rFonts w:eastAsia="Times New Roman"/>
          <w:color w:val="000000" w:themeColor="text1"/>
        </w:rPr>
        <w:t xml:space="preserve"> the high proportion of C</w:t>
      </w:r>
      <w:r w:rsidR="00903524" w:rsidRPr="00016E04">
        <w:rPr>
          <w:rFonts w:eastAsia="Times New Roman"/>
          <w:color w:val="000000" w:themeColor="text1"/>
          <w:vertAlign w:val="subscript"/>
        </w:rPr>
        <w:t>10</w:t>
      </w:r>
      <w:r w:rsidR="00903524" w:rsidRPr="00016E04">
        <w:rPr>
          <w:rFonts w:eastAsia="Times New Roman"/>
          <w:color w:val="000000" w:themeColor="text1"/>
        </w:rPr>
        <w:t xml:space="preserve"> ingested</w:t>
      </w:r>
      <w:r w:rsidR="004476AF" w:rsidRPr="00016E04">
        <w:rPr>
          <w:rFonts w:eastAsia="Times New Roman"/>
          <w:color w:val="000000" w:themeColor="text1"/>
        </w:rPr>
        <w:t xml:space="preserve"> by the participants</w:t>
      </w:r>
      <w:r w:rsidR="00903524" w:rsidRPr="00016E04">
        <w:rPr>
          <w:rFonts w:eastAsia="Times New Roman"/>
          <w:color w:val="000000" w:themeColor="text1"/>
        </w:rPr>
        <w:t xml:space="preserve"> </w:t>
      </w:r>
      <w:r w:rsidR="00903524" w:rsidRPr="00016E04">
        <w:rPr>
          <w:rFonts w:eastAsia="Times New Roman"/>
          <w:color w:val="000000" w:themeColor="text1"/>
        </w:rPr>
        <w:fldChar w:fldCharType="begin" w:fldLock="1"/>
      </w:r>
      <w:r w:rsidR="00616D7D" w:rsidRPr="00016E04">
        <w:rPr>
          <w:rFonts w:eastAsia="Times New Roman"/>
          <w:color w:val="000000" w:themeColor="text1"/>
        </w:rPr>
        <w:instrText>ADDIN CSL_CITATION {"citationItems":[{"id":"ITEM-1","itemData":{"DOI":"10.1111/jnc.12646","ISSN":"14714159","PMID":"24383952","abstract":"The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Neurochemistry","id":"ITEM-1","issue":"3","issued":{"date-parts":[["2014"]]},"page":"426-433","title":"The ketogenic diet component decanoic acid increases mitochondrial citrate synthase and complex I activity in neuronal cells","type":"article-journal","volume":"129"},"uris":["http://www.mendeley.com/documents/?uuid=d2dfaa22-13c8-4ea8-928d-81c8228371e5"]}],"mendeley":{"formattedCitation":"[37]","plainTextFormattedCitation":"[37]","previouslyFormattedCitation":"[37]"},"properties":{"noteIndex":0},"schema":"https://github.com/citation-style-language/schema/raw/master/csl-citation.json"}</w:instrText>
      </w:r>
      <w:r w:rsidR="00903524" w:rsidRPr="00016E04">
        <w:rPr>
          <w:rFonts w:eastAsia="Times New Roman"/>
          <w:color w:val="000000" w:themeColor="text1"/>
        </w:rPr>
        <w:fldChar w:fldCharType="separate"/>
      </w:r>
      <w:r w:rsidR="00FD5371" w:rsidRPr="00016E04">
        <w:rPr>
          <w:rFonts w:eastAsia="Times New Roman"/>
          <w:noProof/>
          <w:color w:val="000000" w:themeColor="text1"/>
        </w:rPr>
        <w:t>[37]</w:t>
      </w:r>
      <w:r w:rsidR="00903524" w:rsidRPr="00016E04">
        <w:rPr>
          <w:rFonts w:eastAsia="Times New Roman"/>
          <w:color w:val="000000" w:themeColor="text1"/>
        </w:rPr>
        <w:fldChar w:fldCharType="end"/>
      </w:r>
      <w:r w:rsidR="00903524" w:rsidRPr="00016E04">
        <w:rPr>
          <w:rFonts w:eastAsia="Times New Roman"/>
          <w:color w:val="000000" w:themeColor="text1"/>
        </w:rPr>
        <w:t>. Nevertheless</w:t>
      </w:r>
      <w:r w:rsidR="00160A48" w:rsidRPr="00016E04">
        <w:rPr>
          <w:rFonts w:eastAsia="Times New Roman"/>
          <w:color w:val="000000" w:themeColor="text1"/>
        </w:rPr>
        <w:t>, the majority of studies, including the present data, show that the benefits to cognitive function are only revealed after</w:t>
      </w:r>
      <w:r w:rsidR="008F359F" w:rsidRPr="00016E04">
        <w:rPr>
          <w:rFonts w:eastAsia="Times New Roman"/>
          <w:color w:val="000000" w:themeColor="text1"/>
        </w:rPr>
        <w:t xml:space="preserve"> either</w:t>
      </w:r>
      <w:r w:rsidR="00160A48" w:rsidRPr="00016E04">
        <w:rPr>
          <w:rFonts w:eastAsia="Times New Roman"/>
          <w:color w:val="000000" w:themeColor="text1"/>
        </w:rPr>
        <w:t xml:space="preserve"> a number of </w:t>
      </w:r>
      <w:r w:rsidR="0058527A" w:rsidRPr="00016E04">
        <w:rPr>
          <w:rFonts w:eastAsia="Times New Roman"/>
          <w:color w:val="000000" w:themeColor="text1"/>
        </w:rPr>
        <w:t>w</w:t>
      </w:r>
      <w:r w:rsidR="00160A48" w:rsidRPr="00016E04">
        <w:rPr>
          <w:rFonts w:eastAsia="Times New Roman"/>
          <w:color w:val="000000" w:themeColor="text1"/>
        </w:rPr>
        <w:t>eeks of daily supplementation</w:t>
      </w:r>
      <w:r w:rsidR="002D5E5B" w:rsidRPr="00016E04">
        <w:rPr>
          <w:rFonts w:eastAsia="Times New Roman"/>
          <w:color w:val="000000" w:themeColor="text1"/>
        </w:rPr>
        <w:t>,</w:t>
      </w:r>
      <w:r w:rsidR="008F359F" w:rsidRPr="00016E04">
        <w:rPr>
          <w:rFonts w:eastAsia="Times New Roman"/>
          <w:color w:val="000000" w:themeColor="text1"/>
        </w:rPr>
        <w:t xml:space="preserve"> or a very high </w:t>
      </w:r>
      <w:r w:rsidR="008F359F" w:rsidRPr="00366A0F">
        <w:rPr>
          <w:rFonts w:eastAsia="Times New Roman"/>
        </w:rPr>
        <w:t xml:space="preserve">acute dose, </w:t>
      </w:r>
      <w:r w:rsidR="005C4DCD" w:rsidRPr="00366A0F">
        <w:rPr>
          <w:rFonts w:eastAsia="Times New Roman"/>
        </w:rPr>
        <w:t xml:space="preserve">the latter of </w:t>
      </w:r>
      <w:r w:rsidR="008F359F" w:rsidRPr="00366A0F">
        <w:rPr>
          <w:rFonts w:eastAsia="Times New Roman"/>
        </w:rPr>
        <w:t xml:space="preserve">which increases the risk of side effects </w:t>
      </w:r>
      <w:r w:rsidR="008F359F" w:rsidRPr="00366A0F">
        <w:rPr>
          <w:rFonts w:eastAsia="Times New Roman"/>
        </w:rPr>
        <w:fldChar w:fldCharType="begin" w:fldLock="1"/>
      </w:r>
      <w:r w:rsidR="00616D7D">
        <w:rPr>
          <w:rFonts w:eastAsia="Times New Roman"/>
        </w:rPr>
        <w:instrText xml:space="preserve">ADDIN CSL_CITATION {"citationItems":[{"id":"ITEM-1","itemData":{"DOI":"10.2337/db08-1557","ISSN":"00121797","abstract":"OBJECTIVE-We examined whether ingestion of medium- chain triglycerides could improve cognition during hypoglycemia in subjects with intensively treated type 1 diabetes and assessed potential underlying mechanisms by testing the effect of β-hy-droxybutyrate and octanoate on rat hippocampal synaptic transmission during exposure to low glucose. RESEARCH DESIGN AND METHODS-A total of 11 intensively treated type 1 diabetic subjects participated in stepped hyperinsulinemic- (2 mU · kg -1 · min -1) euglycemic- (glucose </w:instrText>
      </w:r>
      <w:r w:rsidR="00616D7D">
        <w:rPr>
          <w:rFonts w:ascii="Cambria Math" w:eastAsia="Times New Roman" w:hAnsi="Cambria Math" w:cs="Cambria Math"/>
        </w:rPr>
        <w:instrText>∼</w:instrText>
      </w:r>
      <w:r w:rsidR="00616D7D">
        <w:rPr>
          <w:rFonts w:eastAsia="Times New Roman"/>
        </w:rPr>
        <w:instrText xml:space="preserve">5.5 mmol/l) hypoglycemic (glucose </w:instrText>
      </w:r>
      <w:r w:rsidR="00616D7D">
        <w:rPr>
          <w:rFonts w:ascii="Cambria Math" w:eastAsia="Times New Roman" w:hAnsi="Cambria Math" w:cs="Cambria Math"/>
        </w:rPr>
        <w:instrText>∼</w:instrText>
      </w:r>
      <w:r w:rsidR="00616D7D">
        <w:rPr>
          <w:rFonts w:eastAsia="Times New Roman"/>
        </w:rPr>
        <w:instrText>2.8 mmol/l) clamp studies. During two separate sessions, they randomly received either medium-chain triglycerides or placebo drinks and performed a battery of cognitive tests. In vitro rat hippocampal slice preparations were used to assess the ability of p-hydroxybutyrate and octanoate to support neuronal activity when glucose levels are reduced.RESULTS-Hypoglycemia impaired cognitive performance in tests of verbal memory, digit symbol coding, digit span backwards, and map searching. Ingestion of medium-chain triglycer- ides reversed these effects. Medium-chain triglycerides also produced higher free fatty acids and β-hydroxybutyrate levels compared with placebo. However, the increase in cat- echolamines and symptoms during hypoglycemia was not altered. In hippocampal slices β-hydroxybutyrate supported synaptic transmission under low-glucose conditions, whereas octanoate could not. Nevertheless, octanoate improved the rate of recovery of synaptic function upon restoration of control glucose concentrations. CONCLUSIONS-Medium-chain triglyceride ingestion improves cognition without adversely affecting adrenergic or symptomatic responses to hypoglycemia in intensively treated type 1 diabetic subjects. Medium-chain triglycerides offer the therapeutic advantage of preserving brain function under hypoglycemic conditions without causing deleterious hyperglycemia. © 2009 by the American Diabetes Association.","author":[{"dropping-particle":"","family":"Page","given":"Kathleen A.","non-dropping-particle":"","parse-names":false,"suffix":""},{"dropping-particle":"","family":"Williamson","given":"Anne","non-dropping-particle":"","parse-names":false,"suffix":""},{"dropping-particle":"","family":"Yu","given":"Namyi","non-dropping-particle":"","parse-names":false,"suffix":""},{"dropping-particle":"","family":"McNay","given":"Ewan C.","non-dropping-particle":"","parse-names":false,"suffix":""},{"dropping-particle":"","family":"Dzuira","given":"James","non-dropping-particle":"","parse-names":false,"suffix":""},{"dropping-particle":"","family":"McCrimmon","given":"Rory J.","non-dropping-particle":"","parse-names":false,"suffix":""},{"dropping-particle":"","family":"Sherwin","given":"Robert S.","non-dropping-particle":"","parse-names":false,"suffix":""}],"container-title":"Diabetes","id":"ITEM-1","issue":"5","issued":{"date-parts":[["2009"]]},"page":"1237-1244","title":"Medium-chain fatty acids improve cognitive function in intensively treated type 1 diabetic patients and support in vitro synaptic transmission during acute hypoglycemia","type":"article-journal","volume":"58"},"uris":["http://www.mendeley.com/documents/?uuid=10d9f03a-9d31-4129-a4f5-9ad7b96f7979","http://www.mendeley.com/documents/?uuid=76e53e78-a881-4224-bb35-b0fd11616c3c"]},{"id":"ITEM-2","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-2","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http://www.mendeley.com/documents/?uuid=0ae0573f-bbe1-4022-92b4-9c6a033a4e3e"]},{"id":"ITEM-3","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Metabolism","id":"ITEM-3","issue":"1","issued":{"date-parts":[["2009"]]},"page":"1-25","title":"Study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http://www.mendeley.com/documents/?uuid=a646f638-f576-4cf0-92f3-85e1b1b735a6"]},{"id":"ITEM-4","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Aging","id":"ITEM-4","issue":"3","issued":{"date-parts":[["2004"]]},"page":"311-314","title":"Effects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52e35d1e-e518-4ccd-88dd-d04ca75d7b85"]},{"id":"ITEM-5","itemData":{"DOI":"10.1016/j.clnu.2019.10.017","ISSN":"15321983","abstract":"Background: Previous clinical and animal studies suggested that medium-chain triglycerides (MCT) might be an alternative energy substrate for the brain and might benefit patients with Alzheimer's disease (AD), but the clinical evidence is not substantial or totally convincing. Objective: To investigate the effects of MCT on cognitive ability in patients with mild to moderate AD and explore the changes in peripheral blood metabolomics. Methods: A double-blind, randomized, placebo-controlled crossover study was undertaken in 53 mild to moderate AD patients. Participants were randomized between two sequences (placebo followed by MCT or MCT followed by placebo) and took MCT jelly or placebo jelly (canola oil) by mouth three times daily (total daily fat dose: 17.3 g MCT, or 19.7 g canola oil) for 30 days per phase. The primary outcome was cognition as measured by the Alzheimer's Disease Assessment Scale–Cognitive Subscale, Chinese version (ADAS-Cog-C). The secondary outcome was self-care as measured by the activities of daily living scale (ADL) and changes in plasma metabolites. Results: This study showed a significant (p &lt; 0.01) reduction in ADAS-Cog-C scores between the MCT (2.62 points below baseline) and placebo interventions (2.57 points above baseline). Data from 46 (86.8%) APOE4−/− subjects who completed the entire study were analyzed. Changes in ADL scores were not significantly different between the MCT and placebo interventions (p &gt; 0.05). The concentrations of TC, HDL-C, β-hydroxybutyrate and acetoacetate were significantly higher in the MCT group than in the placebo group (p &lt; 0.05). Lysophosphatidylcholine 16:0 (LysoPC (16:0)), LysoPC (P-18:0), LysoPC (P-18:1(9Z)), LysoPC (20:2(11Z,14Z)), and LysoPC (22:5(4Z,7Z,10Z,13Z,16Z)) were significantly increased after MCT intervention, and the concentrations of LysoPC (18:0), palmitic acid, linoleic acid, oleic acid, and 7,12-dimethylbenz[a]anthracene were significantly decreased (p &lt; 0.05), whereas no significant changes appeared after the placebo intervention. Androstenedione concentration increased after placebo intervention. Furthermore, a significant negative correlation was observed between changes in LysoPC (P-18:1(9Z)) and ADAS-Cog-C scores after MCT intervention (r = −0.1472, p &lt; 0.05). Conclusions: MCT had positive effects on cognitive ability in mild to moderate AD patients with APOE4−/−. These effects of MCT might be related to the metabolism of LysoPC, oleic acid, linoleic acid and palmitic …","author":[{"dropping-particle":"","family":"Xu","given":"Qing","non-dropping-particle":"","parse-names":false,"suffix":""},{"dropping-particle":"","family":"Zhang","given":"Yong","non-dropping-particle":"","parse-names":false,"suffix":""},{"dropping-particle":"","family":"Zhang","given":"Xinsheng","non-dropping-particle":"","parse-names":false,"suffix":""},{"dropping-particle":"","family":"Liu","given":"Lu","non-dropping-particle":"","parse-names":false,"suffix":""},{"dropping-particle":"","family":"Zhou","given":"Bo","non-dropping-particle":"","parse-names":false,"suffix":""},{"dropping-particle":"","family":"Mo","given":"Rui","non-dropping-particle":"","parse-names":false,"suffix":""},{"dropping-particle":"","family":"Li","given":"Yan","non-dropping-particle":"","parse-names":false,"suffix":""},{"dropping-particle":"","family":"Li","given":"Huizi","non-dropping-particle":"","parse-names":false,"suffix":""},{"dropping-particle":"","family":"Li","given":"Feng","non-dropping-particle":"","parse-names":false,"suffix":""},{"dropping-particle":"","family":"Tao","given":"Yang","non-dropping-particle":"","parse-names":false,"suffix":""},{"dropping-particle":"","family":"Liu","given":"Yinghua","non-dropping-particle":"","parse-names":false,"suffix":""},{"dropping-particle":"","family":"Xue","given":"Changyong","non-dropping-particle":"","parse-names":false,"suffix":""}],"container-title":"Clinical Nutrition","id":"ITEM-5","issue":"xxxx","issued":{"date-parts":[["2019"]]},"publisher":"Elsevier Ltd","title":"Medium-chain triglycerides improved cognition and lipid metabolomics in mild to moderate Alzheimer's disease patients with APOE4−/−: A double-blind, randomized, placebo-controlled crossover trial","type":"article-journal"},"uris":["http://www.mendeley.com/documents/?uuid=841ad766-b5be-45fe-b2da-3aa6a188d605","http://www.mendeley.com/documents/?uuid=2907e5b5-01d3-4c7a-8a88-74fb1c577832","http://www.mendeley.com/documents/?uuid=f17ed8af-a274-4aab-8c58-49b9bb516526"]},{"id":"ITEM-6","itemData":{"DOI":"10.1016/j.neulet.2018.10.048","ISSN":"18727972","abstract":"Clinical and animal studies suggested that a medium-chain triglyceride (MCT)-based ketogenic diet provides an alternative energy substrate to the brain and has neuroprotective effects, but the clinical evidence is still scarce. Here we examined the effect of an MCT-based ketogenic formula on cognitive function in patients with Alzheimer's disease (AD). The subjects were 20 Japanese patients with mild-to-moderate AD (11 males, nine females, mean age 73.4 ± 6.0 years) who, on separate days, underwent neurocognitive tests 120 min after consuming 50 g of a ketogenic formula (Ketonformula ® ) containing 20 g of MCTs or an isocaloric placebo formula without MCTs. The patients then took 50 g of the ketogenic formula daily for up to 12 weeks, and underwent neurocognitive tests monthly. In the first trial, although the patients’ plasma levels of ketone bodies were successfully increased 120 min after the single intake of the ketogenic formula, there was no significant difference in any cognitive test results between the administrations of the ketogenic and placebo formulae. In the subsequent chronic intake trial of the ketogenic formula, 16 of the 20 patients completed the 12-week regimen. At 8 weeks after the trial's start, the patients showed significant improvement in their immediate and delayed logical memory tests compared to their baseline scores, and at 12 weeks they showed significant improvements in the digit-symbol coding test and immediate logical memory test compared to the baseline. The chronic consumption of the ketogenic formula was therefore suggested to have positive effects on verbal memory and processing speed in patients with AD.","author":[{"dropping-particle":"","family":"Ota","given":"Miho","non-dropping-particle":"","parse-names":false,"suffix":""},{"dropping-particle":"","family":"Matsuo","given":"Junko","non-dropping-particle":"","parse-names":false,"suffix":""},{"dropping-particle":"","family":"Ishida","given":"Ikki","non-dropping-particle":"","parse-names":false,"suffix":""},{"dropping-particle":"","family":"Takano","given":"Harumasa","non-dropping-particle":"","parse-names":false,"suffix":""},{"dropping-particle":"","family":"Yokoi","given":"Yuma","non-dropping-particle":"","parse-names":false,"suffix":""},{"dropping-particle":"","family":"Hori","given":"Hiroaki","non-dropping-particle":"","parse-names":false,"suffix":""},{"dropping-particle":"","family":"Yoshida","given":"Sumiko","non-dropping-particle":"","parse-names":false,"suffix":""},{"dropping-particle":"","family":"Ashida","given":"Kinya","non-dropping-particle":"","parse-names":false,"suffix":""},{"dropping-particle":"","family":"Nakamura","given":"Kentaro","non-dropping-particle":"","parse-names":false,"suffix":""},{"dropping-particle":"","family":"Takahashi","given":"Takeshi","non-dropping-particle":"","parse-names":false,"suffix":""},{"dropping-particle":"","family":"Kunugi","given":"Hiroshi","non-dropping-particle":"","parse-names":false,"suffix":""}],"container-title":"Neuroscience Letters","id":"ITEM-6","issue":"October 2018","issued":{"date-parts":[["2019"]]},"page":"232-236","publisher":"Elsevier","title":"Effects of a medium-chain triglyceride-based ketogenic formula on cognitive function in patients with mild-to-moderate Alzheimer's disease","type":"article-journal","volume":"690"},"uris":["http://www.mendeley.com/documents/?uuid=6b947c3a-7c9e-4be4-9389-60af02ab4b1e"]}],"mendeley":{"formattedCitation":"[21,25–29]","plainTextFormattedCitation":"[21,25–29]","previouslyFormattedCitation":"[21,25–29]"},"properties":{"noteIndex":0},"schema":"https://github.com/citation-style-language/schema/raw/master/csl-citation.json"}</w:instrText>
      </w:r>
      <w:r w:rsidR="008F359F" w:rsidRPr="00366A0F">
        <w:rPr>
          <w:rFonts w:eastAsia="Times New Roman"/>
        </w:rPr>
        <w:fldChar w:fldCharType="separate"/>
      </w:r>
      <w:r w:rsidR="00FD5371" w:rsidRPr="00FD5371">
        <w:rPr>
          <w:rFonts w:eastAsia="Times New Roman"/>
          <w:noProof/>
        </w:rPr>
        <w:t>[21,25–29]</w:t>
      </w:r>
      <w:r w:rsidR="008F359F" w:rsidRPr="00366A0F">
        <w:rPr>
          <w:rFonts w:eastAsia="Times New Roman"/>
        </w:rPr>
        <w:fldChar w:fldCharType="end"/>
      </w:r>
      <w:r w:rsidR="00160A48" w:rsidRPr="00366A0F">
        <w:rPr>
          <w:rFonts w:eastAsia="Times New Roman"/>
        </w:rPr>
        <w:t>. Th</w:t>
      </w:r>
      <w:r w:rsidR="005C4DCD" w:rsidRPr="00366A0F">
        <w:rPr>
          <w:rFonts w:eastAsia="Times New Roman"/>
        </w:rPr>
        <w:t>e former</w:t>
      </w:r>
      <w:r w:rsidR="00160A48" w:rsidRPr="00366A0F">
        <w:rPr>
          <w:rFonts w:eastAsia="Times New Roman"/>
        </w:rPr>
        <w:t xml:space="preserve"> may</w:t>
      </w:r>
      <w:r w:rsidR="008E6404" w:rsidRPr="00366A0F">
        <w:rPr>
          <w:rFonts w:eastAsia="Times New Roman"/>
        </w:rPr>
        <w:t xml:space="preserve"> be</w:t>
      </w:r>
      <w:r w:rsidR="00160A48" w:rsidRPr="00366A0F">
        <w:rPr>
          <w:rFonts w:eastAsia="Times New Roman"/>
        </w:rPr>
        <w:t xml:space="preserve"> an artefact of improved tolerance to MCT ingestion with time, resulting in </w:t>
      </w:r>
      <w:r w:rsidR="000E403D" w:rsidRPr="00366A0F">
        <w:rPr>
          <w:rFonts w:eastAsia="Times New Roman"/>
        </w:rPr>
        <w:t>improved absorption and thus entry into the circulation</w:t>
      </w:r>
      <w:r w:rsidR="0065760E" w:rsidRPr="00366A0F">
        <w:rPr>
          <w:rFonts w:eastAsia="Times New Roman"/>
        </w:rPr>
        <w:t>.</w:t>
      </w:r>
      <w:r w:rsidR="000E403D" w:rsidRPr="00366A0F">
        <w:rPr>
          <w:rFonts w:eastAsia="Times New Roman"/>
        </w:rPr>
        <w:t xml:space="preserve"> In the present study</w:t>
      </w:r>
      <w:r w:rsidR="0065760E" w:rsidRPr="00366A0F">
        <w:rPr>
          <w:rFonts w:eastAsia="Times New Roman"/>
        </w:rPr>
        <w:t>,</w:t>
      </w:r>
      <w:r w:rsidR="000E403D" w:rsidRPr="00366A0F">
        <w:rPr>
          <w:rFonts w:eastAsia="Times New Roman"/>
        </w:rPr>
        <w:t xml:space="preserve"> MCT ingestion was increased on a weekly basis in each group as a means to avoid acute intolerance of the supplementation regimen; hence the </w:t>
      </w:r>
      <w:r w:rsidR="008E6404" w:rsidRPr="00366A0F">
        <w:rPr>
          <w:rFonts w:eastAsia="Times New Roman"/>
        </w:rPr>
        <w:t>improvements</w:t>
      </w:r>
      <w:r w:rsidR="000E403D" w:rsidRPr="00366A0F">
        <w:rPr>
          <w:rFonts w:eastAsia="Times New Roman"/>
        </w:rPr>
        <w:t xml:space="preserve"> to cognitive function may be as a result of reaching some critical threshold of acute MCT consumption</w:t>
      </w:r>
      <w:r w:rsidR="00F12773" w:rsidRPr="00366A0F">
        <w:rPr>
          <w:rFonts w:eastAsia="Times New Roman"/>
        </w:rPr>
        <w:t>.</w:t>
      </w:r>
    </w:p>
    <w:p w14:paraId="2BB1B4BE" w14:textId="3E97D189" w:rsidR="00412B8D" w:rsidRPr="00366A0F" w:rsidRDefault="00F12773" w:rsidP="001807BD">
      <w:pPr>
        <w:spacing w:before="240" w:after="240" w:line="360" w:lineRule="auto"/>
        <w:ind w:firstLine="720"/>
        <w:jc w:val="both"/>
        <w:rPr>
          <w:rFonts w:eastAsia="Times New Roman"/>
        </w:rPr>
      </w:pPr>
      <w:r w:rsidRPr="00366A0F">
        <w:rPr>
          <w:rFonts w:eastAsia="Times New Roman"/>
        </w:rPr>
        <w:lastRenderedPageBreak/>
        <w:t xml:space="preserve">An alternative mechanism whereby chronic MCT ingestion enhances cognitive performance </w:t>
      </w:r>
      <w:r w:rsidR="00B732F3" w:rsidRPr="00366A0F">
        <w:rPr>
          <w:rFonts w:eastAsia="Times New Roman"/>
        </w:rPr>
        <w:t>is via</w:t>
      </w:r>
      <w:r w:rsidR="000F79F6" w:rsidRPr="00366A0F">
        <w:rPr>
          <w:rFonts w:eastAsia="Times New Roman"/>
        </w:rPr>
        <w:t xml:space="preserve"> metabolic adaptations within the participant</w:t>
      </w:r>
      <w:r w:rsidR="00B16034" w:rsidRPr="00366A0F">
        <w:rPr>
          <w:rFonts w:eastAsia="Times New Roman"/>
        </w:rPr>
        <w:t>’</w:t>
      </w:r>
      <w:r w:rsidR="000F79F6" w:rsidRPr="00366A0F">
        <w:rPr>
          <w:rFonts w:eastAsia="Times New Roman"/>
        </w:rPr>
        <w:t>s</w:t>
      </w:r>
      <w:r w:rsidR="00B16034" w:rsidRPr="00366A0F">
        <w:rPr>
          <w:rFonts w:eastAsia="Times New Roman"/>
        </w:rPr>
        <w:t xml:space="preserve"> brain cells</w:t>
      </w:r>
      <w:r w:rsidR="0065760E" w:rsidRPr="00366A0F">
        <w:rPr>
          <w:rFonts w:eastAsia="Times New Roman"/>
        </w:rPr>
        <w:t>;</w:t>
      </w:r>
      <w:r w:rsidR="000F79F6" w:rsidRPr="00366A0F">
        <w:rPr>
          <w:rFonts w:eastAsia="Times New Roman"/>
        </w:rPr>
        <w:t xml:space="preserve"> </w:t>
      </w:r>
      <w:r w:rsidR="00B16034" w:rsidRPr="00366A0F">
        <w:rPr>
          <w:rFonts w:eastAsia="Times New Roman"/>
        </w:rPr>
        <w:t xml:space="preserve">namely </w:t>
      </w:r>
      <w:r w:rsidR="005409CB" w:rsidRPr="00366A0F">
        <w:rPr>
          <w:rFonts w:eastAsia="Times New Roman"/>
        </w:rPr>
        <w:t>increasing mitochondria number</w:t>
      </w:r>
      <w:r w:rsidR="0065760E" w:rsidRPr="00366A0F">
        <w:rPr>
          <w:rFonts w:eastAsia="Times New Roman"/>
        </w:rPr>
        <w:t>;</w:t>
      </w:r>
      <w:r w:rsidR="005409CB" w:rsidRPr="00366A0F">
        <w:rPr>
          <w:rFonts w:eastAsia="Times New Roman"/>
        </w:rPr>
        <w:t xml:space="preserve"> </w:t>
      </w:r>
      <w:r w:rsidR="00B16034" w:rsidRPr="00366A0F">
        <w:t xml:space="preserve">improving mitochondrial function and reducing mitochondrial oxidative damage </w:t>
      </w:r>
      <w:r w:rsidR="00B16034" w:rsidRPr="00366A0F">
        <w:fldChar w:fldCharType="begin" w:fldLock="1"/>
      </w:r>
      <w:r w:rsidR="00616D7D">
        <w:instrText>ADDIN CSL_CITATION {"citationItems":[{"id":"ITEM-1","itemData":{"DOI":"10.1186/1743-7075-6-31","ISSN":"17437075","abstract":"Background.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Metabolism","id":"ITEM-1","issue":"1","issued":{"date-parts":[["2009"]]},"page":"1-25","title":"Study of the ketogenic agent AC-1202 in mild to moderate Alzheimer's disease: A randomized, double-blind, placebo-controlled, multicenter trial","type":"article-journal","volume":"6"},"uris":["http://www.mendeley.com/documents/?uuid=01eeaa33-abb1-4092-ab6f-124ba0159f80"]},{"id":"ITEM-2","itemData":{"DOI":"10.1111/jnc.12646","ISSN":"14714159","PMID":"24383952","abstract":"The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Neurochemistry","id":"ITEM-2","issue":"3","issued":{"date-parts":[["2014"]]},"page":"426-433","title":"The ketogenic diet component decanoic acid increases mitochondrial citrate synthase and complex I activity in neuronal cells","type":"article-journal","volume":"129"},"uris":["http://www.mendeley.com/documents/?uuid=d2dfaa22-13c8-4ea8-928d-81c8228371e5"]}],"mendeley":{"formattedCitation":"[27,37]","plainTextFormattedCitation":"[27,37]","previouslyFormattedCitation":"[27,37]"},"properties":{"noteIndex":0},"schema":"https://github.com/citation-style-language/schema/raw/master/csl-citation.json"}</w:instrText>
      </w:r>
      <w:r w:rsidR="00B16034" w:rsidRPr="00366A0F">
        <w:fldChar w:fldCharType="separate"/>
      </w:r>
      <w:r w:rsidR="00FD5371" w:rsidRPr="00FD5371">
        <w:rPr>
          <w:noProof/>
        </w:rPr>
        <w:t>[27,37]</w:t>
      </w:r>
      <w:r w:rsidR="00B16034" w:rsidRPr="00366A0F">
        <w:fldChar w:fldCharType="end"/>
      </w:r>
      <w:r w:rsidR="00B16034" w:rsidRPr="00366A0F">
        <w:rPr>
          <w:rFonts w:eastAsia="Times New Roman"/>
        </w:rPr>
        <w:t xml:space="preserve">. </w:t>
      </w:r>
      <w:r w:rsidR="002B76FB" w:rsidRPr="00366A0F">
        <w:rPr>
          <w:rFonts w:eastAsia="Times New Roman"/>
        </w:rPr>
        <w:t>C</w:t>
      </w:r>
      <w:r w:rsidR="002B76FB" w:rsidRPr="00366A0F">
        <w:rPr>
          <w:rFonts w:eastAsia="Times New Roman"/>
          <w:vertAlign w:val="subscript"/>
        </w:rPr>
        <w:t>10</w:t>
      </w:r>
      <w:r w:rsidR="002B76FB" w:rsidRPr="00366A0F">
        <w:rPr>
          <w:rFonts w:eastAsia="Times New Roman"/>
        </w:rPr>
        <w:t xml:space="preserve"> (which was favoured in the present study), but not C</w:t>
      </w:r>
      <w:r w:rsidR="002B76FB" w:rsidRPr="00366A0F">
        <w:rPr>
          <w:rFonts w:eastAsia="Times New Roman"/>
          <w:vertAlign w:val="subscript"/>
        </w:rPr>
        <w:t>8</w:t>
      </w:r>
      <w:r w:rsidR="002B76FB" w:rsidRPr="00366A0F">
        <w:rPr>
          <w:rFonts w:eastAsia="Times New Roman"/>
        </w:rPr>
        <w:t xml:space="preserve">, has been shown to result in increased citrate synthase and complex I activity in isolated neuronal cells </w:t>
      </w:r>
      <w:r w:rsidR="002B76FB" w:rsidRPr="00366A0F">
        <w:rPr>
          <w:rFonts w:eastAsia="Times New Roman"/>
        </w:rPr>
        <w:fldChar w:fldCharType="begin" w:fldLock="1"/>
      </w:r>
      <w:r w:rsidR="00616D7D">
        <w:rPr>
          <w:rFonts w:eastAsia="Times New Roman"/>
        </w:rPr>
        <w:instrText>ADDIN CSL_CITATION {"citationItems":[{"id":"ITEM-1","itemData":{"DOI":"10.1111/jnc.12646","ISSN":"14714159","PMID":"24383952","abstract":"The Ketogenic diet (KD) is an effective treatment with regards to treating pharmaco-resistant epilepsy. However, there are difficulties around compliance and tolerability. Consequently, there is a need for refined/simpler formulations that could replicate the efficacy of the KD. One of the proposed hypotheses is that the KD increases cellular mitochondrial content which results in elevation of the seizure threshold. Here, we have focussed on the medium-chain triglyceride form of the diet and the observation that plasma octanoic acid (C8) and decanoic acid (C10) levels are elevated in patients on the medium-chain triglyceride KD. Using a neuronal cell line (SH-SY5Y), we demonstrated that 250-μM C10, but not C8, caused, over a 6-day period, a marked increase in the mitochondrial enzyme, citrate synthase along with complex I activity and catalase activity. Increased mitochondrial number was also indicated by electron microscopy. C10 is a reported peroxisome proliferator activator receptor γ agonist, and the use of a peroxisome proliferator activator receptor γ antagonist was shown to prevent the C10-mediated increase in mitochondrial content and catalase. C10 may mimic the mitochondrial proliferation associated with the KD and raises the possibility that formulations based on this fatty acid could replace a more complex diet. © 2014 International Society for Neurochemistry.","author":[{"dropping-particle":"","family":"Hughes","given":"Sean David","non-dropping-particle":"","parse-names":false,"suffix":""},{"dropping-particle":"","family":"Kanabus","given":"Marta","non-dropping-particle":"","parse-names":false,"suffix":""},{"dropping-particle":"","family":"Anderson","given":"Glenn","non-dropping-particle":"","parse-names":false,"suffix":""},{"dropping-particle":"","family":"Hargreaves","given":"Iain P.","non-dropping-particle":"","parse-names":false,"suffix":""},{"dropping-particle":"","family":"Rutherford","given":"Tricia","non-dropping-particle":"","parse-names":false,"suffix":""},{"dropping-particle":"","family":"O'Donnell","given":"Maura","non-dropping-particle":"","parse-names":false,"suffix":""},{"dropping-particle":"","family":"Cross","given":"J. Helen","non-dropping-particle":"","parse-names":false,"suffix":""},{"dropping-particle":"","family":"Rahman","given":"Shamima","non-dropping-particle":"","parse-names":false,"suffix":""},{"dropping-particle":"","family":"Eaton","given":"Simon","non-dropping-particle":"","parse-names":false,"suffix":""},{"dropping-particle":"","family":"Heales","given":"Simon J.R.","non-dropping-particle":"","parse-names":false,"suffix":""}],"container-title":"Journal of Neurochemistry","id":"ITEM-1","issue":"3","issued":{"date-parts":[["2014"]]},"page":"426-433","title":"The ketogenic diet component decanoic acid increases mitochondrial citrate synthase and complex I activity in neuronal cells","type":"article-journal","volume":"129"},"uris":["http://www.mendeley.com/documents/?uuid=b95b6a43-6c7c-4658-8a9f-0f2f77f24383","http://www.mendeley.com/documents/?uuid=d2dfaa22-13c8-4ea8-928d-81c8228371e5"]}],"mendeley":{"formattedCitation":"[37]","plainTextFormattedCitation":"[37]","previouslyFormattedCitation":"[37]"},"properties":{"noteIndex":0},"schema":"https://github.com/citation-style-language/schema/raw/master/csl-citation.json"}</w:instrText>
      </w:r>
      <w:r w:rsidR="002B76FB" w:rsidRPr="00366A0F">
        <w:rPr>
          <w:rFonts w:eastAsia="Times New Roman"/>
        </w:rPr>
        <w:fldChar w:fldCharType="separate"/>
      </w:r>
      <w:r w:rsidR="00FD5371" w:rsidRPr="00FD5371">
        <w:rPr>
          <w:rFonts w:eastAsia="Times New Roman"/>
          <w:noProof/>
        </w:rPr>
        <w:t>[37]</w:t>
      </w:r>
      <w:r w:rsidR="002B76FB" w:rsidRPr="00366A0F">
        <w:rPr>
          <w:rFonts w:eastAsia="Times New Roman"/>
        </w:rPr>
        <w:fldChar w:fldCharType="end"/>
      </w:r>
      <w:r w:rsidR="00437071" w:rsidRPr="00366A0F">
        <w:rPr>
          <w:rFonts w:eastAsia="Times New Roman"/>
        </w:rPr>
        <w:t>, with concomitant</w:t>
      </w:r>
      <w:r w:rsidR="002B76FB" w:rsidRPr="00366A0F">
        <w:rPr>
          <w:rFonts w:eastAsia="Times New Roman"/>
        </w:rPr>
        <w:t xml:space="preserve"> evidence of mitochondrial biogenesis</w:t>
      </w:r>
      <w:r w:rsidR="00437071" w:rsidRPr="00366A0F">
        <w:rPr>
          <w:rFonts w:eastAsia="Times New Roman"/>
        </w:rPr>
        <w:t>.</w:t>
      </w:r>
      <w:r w:rsidR="002B76FB" w:rsidRPr="00366A0F">
        <w:rPr>
          <w:rFonts w:eastAsia="Times New Roman"/>
        </w:rPr>
        <w:t xml:space="preserve"> </w:t>
      </w:r>
      <w:r w:rsidR="005C2865" w:rsidRPr="00016E04">
        <w:rPr>
          <w:rFonts w:eastAsia="Times New Roman"/>
          <w:color w:val="000000" w:themeColor="text1"/>
        </w:rPr>
        <w:t>The fact</w:t>
      </w:r>
      <w:r w:rsidR="009C5BED" w:rsidRPr="00016E04">
        <w:rPr>
          <w:rFonts w:eastAsia="Times New Roman"/>
          <w:color w:val="000000" w:themeColor="text1"/>
        </w:rPr>
        <w:t xml:space="preserve"> it took </w:t>
      </w:r>
      <w:r w:rsidR="005C2865" w:rsidRPr="00016E04">
        <w:rPr>
          <w:rFonts w:eastAsia="Times New Roman"/>
          <w:color w:val="000000" w:themeColor="text1"/>
        </w:rPr>
        <w:t xml:space="preserve">several </w:t>
      </w:r>
      <w:r w:rsidR="009C5BED" w:rsidRPr="00016E04">
        <w:rPr>
          <w:rFonts w:eastAsia="Times New Roman"/>
          <w:color w:val="000000" w:themeColor="text1"/>
        </w:rPr>
        <w:t>weeks</w:t>
      </w:r>
      <w:r w:rsidR="009C5BED" w:rsidRPr="00366A0F">
        <w:rPr>
          <w:rFonts w:eastAsia="Times New Roman"/>
        </w:rPr>
        <w:t xml:space="preserve"> for the effect</w:t>
      </w:r>
      <w:r w:rsidR="005C2865">
        <w:rPr>
          <w:rFonts w:eastAsia="Times New Roman"/>
          <w:color w:val="FF0000"/>
        </w:rPr>
        <w:t>s</w:t>
      </w:r>
      <w:r w:rsidR="009C5BED" w:rsidRPr="00366A0F">
        <w:rPr>
          <w:rFonts w:eastAsia="Times New Roman"/>
        </w:rPr>
        <w:t xml:space="preserve"> on cognitive performance to display, suggests that the positive results </w:t>
      </w:r>
      <w:r w:rsidR="00B732F3" w:rsidRPr="00366A0F">
        <w:rPr>
          <w:rFonts w:eastAsia="Times New Roman"/>
        </w:rPr>
        <w:t>herein were due to one or more of the chronic adaptations outlined above</w:t>
      </w:r>
      <w:r w:rsidR="005C2865">
        <w:rPr>
          <w:rFonts w:eastAsia="Times New Roman"/>
        </w:rPr>
        <w:t>.</w:t>
      </w:r>
    </w:p>
    <w:p w14:paraId="1A1E6E81" w14:textId="5CF4B3D7" w:rsidR="00DC70E4" w:rsidRPr="00366A0F" w:rsidRDefault="009B1687" w:rsidP="001807BD">
      <w:pPr>
        <w:spacing w:before="240" w:after="240" w:line="360" w:lineRule="auto"/>
        <w:ind w:firstLine="720"/>
        <w:jc w:val="both"/>
        <w:rPr>
          <w:rFonts w:eastAsia="Times New Roman"/>
        </w:rPr>
      </w:pPr>
      <w:r w:rsidRPr="00366A0F">
        <w:rPr>
          <w:rFonts w:eastAsia="Times New Roman"/>
        </w:rPr>
        <w:t>Irrespective of the specific mechanisms underpinning the augmentation of cognitive performance, m</w:t>
      </w:r>
      <w:r w:rsidR="00AC123E" w:rsidRPr="00366A0F">
        <w:rPr>
          <w:rFonts w:eastAsia="Times New Roman"/>
        </w:rPr>
        <w:t>ost previous studies have favoured C</w:t>
      </w:r>
      <w:r w:rsidR="00AC123E" w:rsidRPr="00366A0F">
        <w:rPr>
          <w:rFonts w:eastAsia="Times New Roman"/>
          <w:vertAlign w:val="subscript"/>
        </w:rPr>
        <w:t>8</w:t>
      </w:r>
      <w:r w:rsidR="00AC123E" w:rsidRPr="00366A0F">
        <w:rPr>
          <w:rFonts w:eastAsia="Times New Roman"/>
        </w:rPr>
        <w:t xml:space="preserve"> in the supplementation regimen </w:t>
      </w:r>
      <w:r w:rsidR="00DC70E4" w:rsidRPr="00366A0F">
        <w:rPr>
          <w:rFonts w:eastAsia="Times New Roman"/>
        </w:rPr>
        <w:fldChar w:fldCharType="begin" w:fldLock="1"/>
      </w:r>
      <w:r w:rsidR="00616D7D">
        <w:rPr>
          <w:rFonts w:eastAsia="Times New Roman"/>
        </w:rPr>
        <w:instrText>ADDIN CSL_CITATION {"citationItems":[{"id":"ITEM-1","itemData":{"DOI":"10.1007/s00213-016-4414-7","ISSN":"14322072","abstract":"Rationale: Glucose is the principal energy substrate for the brain, although ketone bodies are an effective alternative. Evidence suggests that elevation of plasma ketone body levels through oral intake of medium chain triglycerides (MCTs) may improve cognitive function. Objectives: We tried to examine the possible effects of a ketogenic meal serving on cognition in elderly non-demented subjects. Methods: Subjects were 19 non-demented elderly adults over 60 years old (13 females; mean age: 66.1 ± 2.9 years) who underwent neurocognitive tests 90 and 180 min after oral intake of a ketogenic meal (Ketonformula®) containing 20 g of MCTs and an isocaloric placebo meal without MCTs on separate days. Results: Elevation of plasma ketone concentration after intake of a single ketogenic meal containing 20 g of MCTs was confirmed (all p &lt; 0.001). As for cognition, improvements were observed in the digit span test, Trail-Making Test B, and the global score (Z = −2.4, p = 0.017) following the ketogenic meal and the change in the executive functioning score was positively correlated with that of the plasma β-hydroxybutyrate level. The cognition-enhancing effect was observed predominantly for individuals who had a relatively low global score at baseline (Z = −2.8, p = 0.005), compared to individuals with a high global score (Z = −0.7, p = 0.51). Conclusions: Plasma levels of ketone bodies were successfully increased after intake of the ketogenic meal. The ketogenic meal was suggested to have positive effects on working memory, visual attention, and task switching in non-demented elderly.","author":[{"dropping-particle":"","family":"Ota","given":"Miho","non-dropping-particle":"","parse-names":false,"suffix":""},{"dropping-particle":"","family":"Matsuo","given":"Junko","non-dropping-particle":"","parse-names":false,"suffix":""},{"dropping-particle":"","family":"Ishida","given":"Ikki","non-dropping-particle":"","parse-names":false,"suffix":""},{"dropping-particle":"","family":"Hattori","given":"Kotaro","non-dropping-particle":"","parse-names":false,"suffix":""},{"dropping-particle":"","family":"Teraishi","given":"Toshiya","non-dropping-particle":"","parse-names":false,"suffix":""},{"dropping-particle":"","family":"Tonouchi","given":"Hidekazu","non-dropping-particle":"","parse-names":false,"suffix":""},{"dropping-particle":"","family":"Ashida","given":"Kinya","non-dropping-particle":"","parse-names":false,"suffix":""},{"dropping-particle":"","family":"Takahashi","given":"Takeshi","non-dropping-particle":"","parse-names":false,"suffix":""},{"dropping-particle":"","family":"Kunugi","given":"Hiroshi","non-dropping-particle":"","parse-names":false,"suffix":""}],"container-title":"Psychopharmacology","id":"ITEM-1","issue":"21-22","issued":{"date-parts":[["2016"]]},"page":"3797-3802","title":"Effect of a ketogenic meal on cognitive function in elderly adults: potential for cognitive enhancement","type":"article-journal","volume":"233"},"uris":["http://www.mendeley.com/documents/?uuid=00ce243d-854b-408c-bfd8-cd4b7d8c7d15","http://www.mendeley.com/documents/?uuid=4a363d34-c365-4e1e-a324-588cd4934b25"]},{"id":"ITEM-2","itemData":{"DOI":"10.1016/S0197-4580(03)00087-3","ISSN":"01974580","abstract":"Glucose is the brain's principal energy substrate. In Alzheimer's disease (AD), there appears to be a pathological decrease in the brain's ability to use glucose. Neurobiological evidence suggests that ketone bodies are an effective alternative energy substrate for the brain. Elevation of plasma ketone body levels through an oral dose of medium chain triglycerides (MCTs) may improve cognitive functioning in older adults with memory disorders. On separate days, 20 subjects with AD or mild cognitive impairment consumed a drink containing emulsified MCTs or placebo. Significant increases in levels of the ketone body β-hydroxybutyrate (β-OHB) were observed 90min after treatment (P=0.007) when cognitive tests were administered. β-OHB elevations were moderated by apolipoprotein E (APOE) genotype (P=0.036). For ε4+ subjects, β-OHB levels continued to rise between the 90 and 120min blood draws in the treatment condition, while the β-OHB levels of ε4- subjects held constant (P&lt;0.009). On cognitive testing, MCT treatment facilitated performance on the Alzheimer's Disease Assessment Scale-Cognitive Subscale (ADAS-cog) for ε4- subjects, but not for ε4+ subjects (P=0.04). Higher ketone values were associated with greater improvement in paragraph recall with MCT treatment relative to placebo across all subjects (P=0.02). Additional research is warranted to determine the therapeutic benefits of MCTs for patients with AD and how APOE-ε4 status may mediate β-OHB efficacy. © 2003 Elsevier Science Inc. All rights reserved.","author":[{"dropping-particle":"","family":"Reger","given":"Mark A.","non-dropping-particle":"","parse-names":false,"suffix":""},{"dropping-particle":"","family":"Henderson","given":"Samuel T.","non-dropping-particle":"","parse-names":false,"suffix":""},{"dropping-particle":"","family":"Hale","given":"Cathy","non-dropping-particle":"","parse-names":false,"suffix":""},{"dropping-particle":"","family":"Cholerton","given":"Brenna","non-dropping-particle":"","parse-names":false,"suffix":""},{"dropping-particle":"","family":"Baker","given":"Laura D.","non-dropping-particle":"","parse-names":false,"suffix":""},{"dropping-particle":"","family":"Watson","given":"G. S.","non-dropping-particle":"","parse-names":false,"suffix":""},{"dropping-particle":"","family":"Hyde","given":"Karen","non-dropping-particle":"","parse-names":false,"suffix":""},{"dropping-particle":"","family":"Chapman","given":"Darla","non-dropping-particle":"","parse-names":false,"suffix":""},{"dropping-particle":"","family":"Craft","given":"Suzanne","non-dropping-particle":"","parse-names":false,"suffix":""}],"container-title":"Neurobiology of Aging","id":"ITEM-2","issue":"3","issued":{"date-parts":[["2004"]]},"page":"311-314","title":"Effects of β-hydroxybutyrate on cognition in memory-impaired adults","type":"article-journal","volume":"25"},"uris":["http://www.mendeley.com/documents/?uuid=b16c4dfb-7e74-41a6-8cdd-8a790661144f","http://www.mendeley.com/documents/?uuid=9b749a2c-d7f4-499a-aacf-5c01f8bcf9b8","http://www.mendeley.com/documents/?uuid=a474fe2e-809f-436f-a1ed-e65d718856e3"]},{"id":"ITEM-3","itemData":{"DOI":"10.1186/1743-7075-6-31","ISSN":"17437075","abstract":"Background. Alzheimer's disease (AD) is characterized by early and region-specific declines in cerebral glucose metabolism. Ketone bodies are produced by the body during glucose deprivation and are metabolized by the brain. An oral ketogenic compound, AC-1202, was tested in subjects with probable AD to examine if ketosis could improve cognitive performance. Methods. Daily administration of AC-1202 was evaluated in 152 subjects diagnosed with mild to moderate AD in a US-based, 90-day, randomized, double-blind, placebo-controlled, parallel-group study. Subjects were on a normal diet and continued taking approved AD medications. Primary cognitive end points were mean change from Baseline in the AD Assessment Scale-Cognitive subscale (ADAS-Cog), and global scores in the AD Cooperative Study Clinical Global Impression of Change (ADCS-CGIC). AC-1202 was compared to Placebo in several population groups, including: intention-to-treat (ITT), per protocol, and dosage compliant groups. Results were also stratified by APOE4 carriage status (a predefined analysis based on the epsilon 4 (E4) variant of the apolipoprotein E gene). This trial was registered with ClinicalTrials.gov, registry number NCT00142805, information available at http://clinicaltrials.gov/ct2/show/NCT00142805. Results. AC-1202 significantly elevated a serum ketone body (-hydroxybutyrate) 2 hours after administration when compared to Placebo. In each of the population groups, a significant difference was found between AC-1202 and Placebo in mean change from Baseline in ADAS-Cog score on Day 45: 1.9 point difference, p = 0.0235 in ITT; 2.53 point difference, p = 0.0324 in per protocol; 2.6 point difference, p = 0.0215 in dosage compliant. Among participants who did not carry the APOE4 allele (E4(-)), a significant difference was found between AC-1202 and Placebo in mean change from Baseline in ADAS-Cog score on Day 45 and Day 90. In the ITT population, E4(-) participants (N = 55) administered AC-1202 had a significant 4.77 point difference in mean change from Baseline in ADAS-Cog scores at Day 45 (p = 0.0005) and a 3.36 point difference at Day 90 (p = 0.0148) compared to Placebo. In the per protocol population, E4(-) participants receiving AC-1202 (N = 37) differed from placebo by 5.73 points at Day 45 (p = 0.0027) and by 4.39 points at Day 90 (p = 0.0143). In the dosage compliant population, E4(-) participants receiving AC-1202 differed from placebo by 6.26 points at Day 45 (p = 0.0011, N = 38) and…","author":[{"dropping-particle":"","family":"Henderson","given":"Samuel T.","non-dropping-particle":"","parse-names":false,"suffix":""},{"dropping-particle":"","family":"Vogel","given":"Janet L.","non-dropping-particle":"","parse-names":false,"suffix":""},{"dropping-particle":"","family":"Barr","given":"Linda J.","non-dropping-particle":"","parse-names":false,"suffix":""},{"dropping-particle":"","family":"Garvin","given":"Fiona","non-dropping-particle":"","parse-names":false,"suffix":""},{"dropping-particle":"","family":"Jones","given":"Julie J.","non-dropping-particle":"","parse-names":false,"suffix":""},{"dropping-particle":"","family":"Costantini","given":"Lauren C.","non-dropping-particle":"","parse-names":false,"suffix":""}],"container-title":"Nutrition and Metabolism","id":"ITEM-3","issue":"1","issued":{"date-parts":[["2009"]]},"page":"1-25","title":"Study of the ketogenic agent AC-1202 in mild to moderate Alzheimer's disease: A randomized, double-blind, placebo-controlled, multicenter trial","type":"article-journal","volume":"6"},"uris":["http://www.mendeley.com/documents/?uuid=99a03a66-a034-40ce-8013-a6beb6d66287","http://www.mendeley.com/documents/?uuid=01eeaa33-abb1-4092-ab6f-124ba0159f80","http://www.mendeley.com/documents/?uuid=90ab3f3f-9412-4b9b-8239-9f035a6b8ce8"]}],"mendeley":{"formattedCitation":"[21,25,27]","plainTextFormattedCitation":"[21,25,27]","previouslyFormattedCitation":"[21,25,27]"},"properties":{"noteIndex":0},"schema":"https://github.com/citation-style-language/schema/raw/master/csl-citation.json"}</w:instrText>
      </w:r>
      <w:r w:rsidR="00DC70E4" w:rsidRPr="00366A0F">
        <w:rPr>
          <w:rFonts w:eastAsia="Times New Roman"/>
        </w:rPr>
        <w:fldChar w:fldCharType="separate"/>
      </w:r>
      <w:r w:rsidR="00FD5371" w:rsidRPr="00FD5371">
        <w:rPr>
          <w:rFonts w:eastAsia="Times New Roman"/>
          <w:noProof/>
        </w:rPr>
        <w:t>[21,25,27]</w:t>
      </w:r>
      <w:r w:rsidR="00DC70E4" w:rsidRPr="00366A0F">
        <w:rPr>
          <w:rFonts w:eastAsia="Times New Roman"/>
        </w:rPr>
        <w:fldChar w:fldCharType="end"/>
      </w:r>
      <w:r w:rsidR="00DC70E4" w:rsidRPr="00366A0F">
        <w:rPr>
          <w:rFonts w:eastAsia="Times New Roman"/>
        </w:rPr>
        <w:t xml:space="preserve"> </w:t>
      </w:r>
      <w:r w:rsidR="00AC123E" w:rsidRPr="00366A0F">
        <w:rPr>
          <w:rFonts w:eastAsia="Times New Roman"/>
        </w:rPr>
        <w:t>since this has been shown to be more ketogenic than C</w:t>
      </w:r>
      <w:r w:rsidR="00AC123E" w:rsidRPr="00366A0F">
        <w:rPr>
          <w:rFonts w:eastAsia="Times New Roman"/>
          <w:vertAlign w:val="subscript"/>
        </w:rPr>
        <w:t>10</w:t>
      </w:r>
      <w:r w:rsidR="00AC123E" w:rsidRPr="00366A0F">
        <w:rPr>
          <w:rFonts w:eastAsia="Times New Roman"/>
        </w:rPr>
        <w:t xml:space="preserve"> </w:t>
      </w:r>
      <w:r w:rsidR="00AB51DD" w:rsidRPr="00366A0F">
        <w:rPr>
          <w:rFonts w:eastAsia="Times New Roman"/>
        </w:rPr>
        <w:fldChar w:fldCharType="begin" w:fldLock="1"/>
      </w:r>
      <w:r w:rsidR="00616D7D">
        <w:rPr>
          <w:rFonts w:eastAsia="Times New Roman"/>
        </w:rPr>
        <w:instrText>ADDIN CSL_CITATION {"citationItems":[{"id":"ITEM-1","itemData":{"DOI":"10.3945/cdn.116.000257","abstract":"Background: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Nutrition","id":"ITEM-1","issue":"4","issued":{"date-parts":[["2017"]]},"page":"e000257","title":"Tricaprylin Alone Increases Plasma Ketone Response More Than Coconut Oil or Other Medium-Chain Triglycerides: An Acute Crossover Study in Healthy Adults","type":"article-journal","volume":"1"},"uris":["http://www.mendeley.com/documents/?uuid=f15957e3-e4f1-4931-a2b0-9da2a6e57032","http://www.mendeley.com/documents/?uuid=9ae41a93-8b50-42b2-873d-0837e05cf3fd"]}],"mendeley":{"formattedCitation":"[18]","plainTextFormattedCitation":"[18]","previouslyFormattedCitation":"[18]"},"properties":{"noteIndex":0},"schema":"https://github.com/citation-style-language/schema/raw/master/csl-citation.json"}</w:instrText>
      </w:r>
      <w:r w:rsidR="00AB51DD" w:rsidRPr="00366A0F">
        <w:rPr>
          <w:rFonts w:eastAsia="Times New Roman"/>
        </w:rPr>
        <w:fldChar w:fldCharType="separate"/>
      </w:r>
      <w:r w:rsidR="00FD5371" w:rsidRPr="00FD5371">
        <w:rPr>
          <w:rFonts w:eastAsia="Times New Roman"/>
          <w:noProof/>
        </w:rPr>
        <w:t>[18]</w:t>
      </w:r>
      <w:r w:rsidR="00AB51DD" w:rsidRPr="00366A0F">
        <w:rPr>
          <w:rFonts w:eastAsia="Times New Roman"/>
        </w:rPr>
        <w:fldChar w:fldCharType="end"/>
      </w:r>
      <w:r w:rsidR="00AC123E" w:rsidRPr="00366A0F">
        <w:rPr>
          <w:rFonts w:eastAsia="Times New Roman"/>
        </w:rPr>
        <w:t>.</w:t>
      </w:r>
      <w:r w:rsidR="00AC123E" w:rsidRPr="00366A0F">
        <w:t xml:space="preserve"> </w:t>
      </w:r>
      <w:r w:rsidR="00AC123E" w:rsidRPr="00366A0F">
        <w:rPr>
          <w:rFonts w:eastAsia="Times New Roman"/>
        </w:rPr>
        <w:t>However, gastrointestinal distress  is more common and severe with C</w:t>
      </w:r>
      <w:r w:rsidR="00AC123E" w:rsidRPr="00366A0F">
        <w:rPr>
          <w:rFonts w:eastAsia="Times New Roman"/>
          <w:vertAlign w:val="subscript"/>
        </w:rPr>
        <w:t>8</w:t>
      </w:r>
      <w:r w:rsidR="00AC123E" w:rsidRPr="00366A0F">
        <w:rPr>
          <w:rFonts w:eastAsia="Times New Roman"/>
        </w:rPr>
        <w:t xml:space="preserve"> as compared to C</w:t>
      </w:r>
      <w:r w:rsidR="00AC123E" w:rsidRPr="00366A0F">
        <w:rPr>
          <w:rFonts w:eastAsia="Times New Roman"/>
          <w:vertAlign w:val="subscript"/>
        </w:rPr>
        <w:t>10</w:t>
      </w:r>
      <w:r w:rsidR="00AC123E" w:rsidRPr="00366A0F">
        <w:rPr>
          <w:rFonts w:eastAsia="Times New Roman"/>
        </w:rPr>
        <w:t xml:space="preserve"> </w:t>
      </w:r>
      <w:r w:rsidR="00DC70E4" w:rsidRPr="00366A0F">
        <w:rPr>
          <w:rFonts w:eastAsia="Times New Roman"/>
        </w:rPr>
        <w:fldChar w:fldCharType="begin" w:fldLock="1"/>
      </w:r>
      <w:r w:rsidR="00616D7D">
        <w:rPr>
          <w:rFonts w:eastAsia="Times New Roman"/>
        </w:rPr>
        <w:instrText>ADDIN CSL_CITATION {"citationItems":[{"id":"ITEM-1","itemData":{"DOI":"10.1039/c6fo01207h","ISSN":"2042650X","abstract":"Hypercholesterolemia is one of the important risk factors of atherosclerosis (AS). The aim of this study is to explore the effect of medium-chain fatty acids (MCFAs) on serum cholesterol levels and their mechanism of action. Hyperlipemia, as a model of abnormal lipid hypermetabolism, was established by using a high fat diet in C57BL/6J mice. Forty eight mice with dyslipidemia were randomly divided into 4 groups, 12 mice per group, including the control group, the 2% caprylic acid (C8:0)-treated group, 2% capric acid (C10:0)-treated group, and 2% oleic acid (C18:1)-treated group. All mice were fed with a high fat diet. After 16 weeks, the mice were anesthetized with chloral hydrate. The mouse portal vein blood, the liver and the start site of the ileum (1 cm) were collected. The body weight of the mice and blood lipid profiles were measured. Gene transcription and the expression level associated with bile acid metabolism in the liver and small intestine were determined by real-time PCR and the western blotting method. The concentrations of bile acid metabolites in bile and feces were analysed. After 16 weeks of treatment, the concentrations of TC and LDL-C in the caprylic acid group were significantly lower than those in the control group (P &lt; 0.05); the transcription and expression level of LXR, CYP7A1, CYP27A1 and ABCG8 in the caprylic acid and capric acid groups were significantly higher than those in the control group in the liver (P &lt; 0.05), however the transcription and expression level of the small heterodimer partner (SHP) were significantly lower than those in the control group (P &lt; 0.05); the transcription and expression level of LXR, ABCG5 and ABCG8 in the caprylic acid, capric acid and oleic acid groups were significantly higher than those in the control group in the small intestine (P &lt; 0.05). The concentrations of total bile acid, mainly cholic acid and cholesterol in bile and feces were significantly higher in the caprylic and capric acid groups than those of in the control group (P &lt; 0.05). Thus, MCFA increased the expression of LXR and ABCG8, enhanced CYP7A1 and CYP27A1 expression, decreased and SHP expression in the liver, thereby promoted liver bile acid synthesis and excretion. In addition MCFA increased the expression of ABCG5, ABCG8 and LXR in the small intestine, thereby inhibiting small intestinal bile acid absorption, increasing the concentrations of cholesterol and bile acid in bile and feces and reducing the level of serum chol…","author":[{"dropping-particle":"","family":"Liu","given":"Yinghua","non-dropping-particle":"","parse-names":false,"suffix":""},{"dropping-particle":"","family":"Zhang","given":"Yong","non-dropping-particle":"","parse-names":false,"suffix":""},{"dropping-particle":"","family":"Zhang","given":"Xinsheng","non-dropping-particle":"","parse-names":false,"suffix":""},{"dropping-particle":"","family":"Xu","given":"Qing","non-dropping-particle":"","parse-names":false,"suffix":""},{"dropping-particle":"","family":"Yang","given":"Xueyan","non-dropping-particle":"","parse-names":false,"suffix":""},{"dropping-particle":"","family":"Xue","given":"Changyong","non-dropping-particle":"","parse-names":false,"suffix":""}],"container-title":"Food and Function","id":"ITEM-1","issue":"1","issued":{"date-parts":[["2017","1","1"]]},"page":"291-298","publisher":"Royal Society of Chemistry","title":"Medium-chain fatty acids reduce serum cholesterol by regulating the metabolism of bile acid in C57BL/6J mice","type":"article-journal","volume":"8"},"uris":["http://www.mendeley.com/documents/?uuid=b144dc4c-d074-45ec-8b7b-c7c118465b45","http://www.mendeley.com/documents/?uuid=805fb48c-1f26-3366-b2a2-02677d593676"]}],"mendeley":{"formattedCitation":"[36]","plainTextFormattedCitation":"[36]","previouslyFormattedCitation":"[36]"},"properties":{"noteIndex":0},"schema":"https://github.com/citation-style-language/schema/raw/master/csl-citation.json"}</w:instrText>
      </w:r>
      <w:r w:rsidR="00DC70E4" w:rsidRPr="00366A0F">
        <w:rPr>
          <w:rFonts w:eastAsia="Times New Roman"/>
        </w:rPr>
        <w:fldChar w:fldCharType="separate"/>
      </w:r>
      <w:r w:rsidR="00FD5371" w:rsidRPr="00FD5371">
        <w:rPr>
          <w:rFonts w:eastAsia="Times New Roman"/>
          <w:noProof/>
        </w:rPr>
        <w:t>[36]</w:t>
      </w:r>
      <w:r w:rsidR="00DC70E4" w:rsidRPr="00366A0F">
        <w:rPr>
          <w:rFonts w:eastAsia="Times New Roman"/>
        </w:rPr>
        <w:fldChar w:fldCharType="end"/>
      </w:r>
      <w:r w:rsidR="00936F51" w:rsidRPr="00366A0F">
        <w:rPr>
          <w:rFonts w:eastAsia="Times New Roman"/>
        </w:rPr>
        <w:t>,</w:t>
      </w:r>
      <w:r w:rsidR="00AC123E" w:rsidRPr="00366A0F">
        <w:rPr>
          <w:rFonts w:eastAsia="Times New Roman"/>
        </w:rPr>
        <w:t xml:space="preserve"> thus impacting on participant </w:t>
      </w:r>
      <w:r w:rsidRPr="00366A0F">
        <w:rPr>
          <w:rFonts w:eastAsia="Times New Roman"/>
        </w:rPr>
        <w:t>compliance</w:t>
      </w:r>
      <w:r w:rsidR="00E979B7" w:rsidRPr="00366A0F">
        <w:rPr>
          <w:rFonts w:eastAsia="Times New Roman"/>
        </w:rPr>
        <w:t xml:space="preserve">. </w:t>
      </w:r>
      <w:r w:rsidR="001807BD" w:rsidRPr="00366A0F">
        <w:rPr>
          <w:rFonts w:eastAsia="Times New Roman"/>
        </w:rPr>
        <w:t>Therefore, we utilised a 30:70 ratio of C</w:t>
      </w:r>
      <w:r w:rsidR="001807BD" w:rsidRPr="00366A0F">
        <w:rPr>
          <w:rFonts w:eastAsia="Times New Roman"/>
          <w:vertAlign w:val="subscript"/>
        </w:rPr>
        <w:t>8</w:t>
      </w:r>
      <w:r w:rsidR="001807BD" w:rsidRPr="00366A0F">
        <w:rPr>
          <w:rFonts w:eastAsia="Times New Roman"/>
        </w:rPr>
        <w:t>:C</w:t>
      </w:r>
      <w:r w:rsidR="001807BD" w:rsidRPr="00366A0F">
        <w:rPr>
          <w:rFonts w:eastAsia="Times New Roman"/>
          <w:vertAlign w:val="subscript"/>
        </w:rPr>
        <w:t>10</w:t>
      </w:r>
      <w:r w:rsidR="001807BD" w:rsidRPr="00366A0F">
        <w:rPr>
          <w:rFonts w:eastAsia="Times New Roman"/>
        </w:rPr>
        <w:t xml:space="preserve"> in the present study to off-set these issues. </w:t>
      </w:r>
      <w:r w:rsidR="00AC123E" w:rsidRPr="00366A0F">
        <w:rPr>
          <w:rFonts w:eastAsia="Times New Roman"/>
        </w:rPr>
        <w:t>Whilst the data of</w:t>
      </w:r>
      <w:r w:rsidR="001807BD" w:rsidRPr="00366A0F">
        <w:rPr>
          <w:rFonts w:eastAsia="Times New Roman"/>
        </w:rPr>
        <w:t xml:space="preserve"> Vandenberghe </w:t>
      </w:r>
      <w:r w:rsidR="001807BD" w:rsidRPr="00903524">
        <w:rPr>
          <w:rFonts w:eastAsia="Times New Roman"/>
          <w:i/>
          <w:iCs/>
        </w:rPr>
        <w:t>et al.</w:t>
      </w:r>
      <w:r w:rsidR="001807BD" w:rsidRPr="00366A0F">
        <w:rPr>
          <w:rFonts w:eastAsia="Times New Roman"/>
        </w:rPr>
        <w:t xml:space="preserve"> </w:t>
      </w:r>
      <w:r w:rsidR="001807BD" w:rsidRPr="00366A0F">
        <w:rPr>
          <w:rFonts w:eastAsia="Times New Roman"/>
        </w:rPr>
        <w:fldChar w:fldCharType="begin" w:fldLock="1"/>
      </w:r>
      <w:r w:rsidR="00616D7D">
        <w:rPr>
          <w:rFonts w:eastAsia="Times New Roman"/>
        </w:rPr>
        <w:instrText>ADDIN CSL_CITATION {"citationItems":[{"id":"ITEM-1","itemData":{"DOI":"10.3945/cdn.116.000257","abstract":"Background: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Nutrition","id":"ITEM-1","issue":"4","issued":{"date-parts":[["2017"]]},"page":"e000257","title":"Tricaprylin Alone Increases Plasma Ketone Response More Than Coconut Oil or Other Medium-Chain Triglycerides: An Acute Crossover Study in Healthy Adults","type":"article-journal","volume":"1"},"uris":["http://www.mendeley.com/documents/?uuid=f15957e3-e4f1-4931-a2b0-9da2a6e57032"]}],"mendeley":{"formattedCitation":"[18]","plainTextFormattedCitation":"[18]","previouslyFormattedCitation":"[18]"},"properties":{"noteIndex":0},"schema":"https://github.com/citation-style-language/schema/raw/master/csl-citation.json"}</w:instrText>
      </w:r>
      <w:r w:rsidR="001807BD" w:rsidRPr="00366A0F">
        <w:rPr>
          <w:rFonts w:eastAsia="Times New Roman"/>
        </w:rPr>
        <w:fldChar w:fldCharType="separate"/>
      </w:r>
      <w:r w:rsidR="00FD5371" w:rsidRPr="00FD5371">
        <w:rPr>
          <w:rFonts w:eastAsia="Times New Roman"/>
          <w:noProof/>
        </w:rPr>
        <w:t>[18]</w:t>
      </w:r>
      <w:r w:rsidR="001807BD" w:rsidRPr="00366A0F">
        <w:rPr>
          <w:rFonts w:eastAsia="Times New Roman"/>
        </w:rPr>
        <w:fldChar w:fldCharType="end"/>
      </w:r>
      <w:r w:rsidR="001807BD" w:rsidRPr="00366A0F">
        <w:rPr>
          <w:rFonts w:eastAsia="Times New Roman"/>
        </w:rPr>
        <w:t xml:space="preserve"> </w:t>
      </w:r>
      <w:r w:rsidR="00AC123E" w:rsidRPr="00366A0F">
        <w:rPr>
          <w:rFonts w:eastAsia="Times New Roman"/>
        </w:rPr>
        <w:t>suggest this may have blunted the ketogenic response to each gel, their data also demonstrate</w:t>
      </w:r>
      <w:r w:rsidR="002B76FB" w:rsidRPr="00366A0F">
        <w:rPr>
          <w:rFonts w:eastAsia="Times New Roman"/>
        </w:rPr>
        <w:t>s</w:t>
      </w:r>
      <w:r w:rsidR="00AC123E" w:rsidRPr="00366A0F">
        <w:rPr>
          <w:rFonts w:eastAsia="Times New Roman"/>
        </w:rPr>
        <w:t xml:space="preserve"> that only a modest amount of C</w:t>
      </w:r>
      <w:r w:rsidR="00AC123E" w:rsidRPr="00366A0F">
        <w:rPr>
          <w:rFonts w:eastAsia="Times New Roman"/>
          <w:vertAlign w:val="subscript"/>
        </w:rPr>
        <w:t>8</w:t>
      </w:r>
      <w:r w:rsidR="00AC123E" w:rsidRPr="00366A0F">
        <w:rPr>
          <w:rFonts w:eastAsia="Times New Roman"/>
        </w:rPr>
        <w:t xml:space="preserve"> is required (within a C</w:t>
      </w:r>
      <w:r w:rsidR="00AC123E" w:rsidRPr="00366A0F">
        <w:rPr>
          <w:rFonts w:eastAsia="Times New Roman"/>
          <w:vertAlign w:val="subscript"/>
        </w:rPr>
        <w:t>8</w:t>
      </w:r>
      <w:r w:rsidR="00AC123E" w:rsidRPr="00366A0F">
        <w:rPr>
          <w:rFonts w:eastAsia="Times New Roman"/>
        </w:rPr>
        <w:t>-C</w:t>
      </w:r>
      <w:r w:rsidR="00AC123E" w:rsidRPr="00366A0F">
        <w:rPr>
          <w:rFonts w:eastAsia="Times New Roman"/>
          <w:vertAlign w:val="subscript"/>
        </w:rPr>
        <w:t>10</w:t>
      </w:r>
      <w:r w:rsidR="00AC123E" w:rsidRPr="00366A0F">
        <w:rPr>
          <w:rFonts w:eastAsia="Times New Roman"/>
        </w:rPr>
        <w:t xml:space="preserve"> mixture) to retain a peak plasma ketone response no different to that of C</w:t>
      </w:r>
      <w:r w:rsidR="00AC123E" w:rsidRPr="00366A0F">
        <w:rPr>
          <w:rFonts w:eastAsia="Times New Roman"/>
          <w:vertAlign w:val="subscript"/>
        </w:rPr>
        <w:t>8</w:t>
      </w:r>
      <w:r w:rsidR="00AC123E" w:rsidRPr="00366A0F">
        <w:rPr>
          <w:rFonts w:eastAsia="Times New Roman"/>
        </w:rPr>
        <w:t xml:space="preserve"> alone. Moreover, the single-day design of </w:t>
      </w:r>
      <w:r w:rsidR="00AB51DD" w:rsidRPr="00366A0F">
        <w:rPr>
          <w:rFonts w:eastAsia="Times New Roman"/>
        </w:rPr>
        <w:fldChar w:fldCharType="begin" w:fldLock="1"/>
      </w:r>
      <w:r w:rsidR="00616D7D">
        <w:rPr>
          <w:rFonts w:eastAsia="Times New Roman"/>
        </w:rPr>
        <w:instrText>ADDIN CSL_CITATION {"citationItems":[{"id":"ITEM-1","itemData":{"DOI":"10.3945/cdn.116.000257","abstract":"Background: Ketones are the brain's main alternative fuel to glucose. Dietary medium chain triglyceride (MCT) supplements increase plasma ketones but their ketogenic efficacy relative to coconut oil (CO) is not clear. Objective: To compare the acute ketogenic effect in healthy adults of the following test oils: coconut oil (CO; 3% C8, 5% C10), classical MCT oil (C8/C10; 55% C8, 35% C10), tricaprylin (&gt;95% C8), tricaprin (&gt;95% C10), or CO mixed 50:50 with C8/C10 or C8. Design: In a crossover design, 7 men and 2 women of 34±12 y took two 20 mL doses of the test oils prepared as an emulsion in 250 mL of lactose-free skim milk. During the control test (CTL), participants received only the milk vehicle. The first test dose was taken with breakfast and the second at noon but without lunch. Blood was sampled every 30 min over 8 h for plasma acetoacetate and β-hydroxybutyrate analysis. Results: C8 was the most ketogenic test oil with a day-long mean of +295±155 µmol/L above CTL. C8 alone induced the highest plasma ketones expressed as the areas-under-the-curve (AUC) for 0-4 h and 4-8 h; 780±426 µmol·h/L and 1876±772 µmol·h/L, respectively; these values were 813% and 870%, respectively, more than CTL (P&lt;0.01). CO plasma ketones peaked at +200 µmol/L, or 25% of the C8 ketone peak. The acetoacetate/β-hydroxybutyrate ratio increased 56% more after CO than after C8 after both doses. There was a significant positive correlation between the amount of C8 consumed and AUCs for net change in plasma ketones (ρ=0.9, P=0.008 for both). Conclusion: In healthy adults, C8 alone had the highest net ketogenic effect over 8 h, but induced only half the increase in acetoacetate/β-hydroxybutyrate ratio compared to CO. Optimising the type of MCT may help in developing ketogenic supplements designed to counteract deteriorating brain glucose uptake associated with aging.","author":[{"dropping-particle":"","family":"Vandenberghe","given":"Camille","non-dropping-particle":"","parse-names":false,"suffix":""},{"dropping-particle":"","family":"St-Pierre","given":"Valérie","non-dropping-particle":"","parse-names":false,"suffix":""},{"dropping-particle":"","family":"Pierotti","given":"Tyler","non-dropping-particle":"","parse-names":false,"suffix":""},{"dropping-particle":"","family":"Fortier","given":"Mélanie","non-dropping-particle":"","parse-names":false,"suffix":""},{"dropping-particle":"","family":"Castellano","given":"Christian-Alexandre","non-dropping-particle":"","parse-names":false,"suffix":""},{"dropping-particle":"","family":"Cunnane","given":"Stephen C","non-dropping-particle":"","parse-names":false,"suffix":""}],"container-title":"Current Developments in Nutrition","id":"ITEM-1","issue":"4","issued":{"date-parts":[["2017"]]},"page":"e000257","title":"Tricaprylin Alone Increases Plasma Ketone Response More Than Coconut Oil or Other Medium-Chain Triglycerides: An Acute Crossover Study in Healthy Adults","type":"article-journal","volume":"1"},"uris":["http://www.mendeley.com/documents/?uuid=9ae41a93-8b50-42b2-873d-0837e05cf3fd","http://www.mendeley.com/documents/?uuid=f15957e3-e4f1-4931-a2b0-9da2a6e57032"]}],"mendeley":{"formattedCitation":"[18]","plainTextFormattedCitation":"[18]","previouslyFormattedCitation":"[18]"},"properties":{"noteIndex":0},"schema":"https://github.com/citation-style-language/schema/raw/master/csl-citation.json"}</w:instrText>
      </w:r>
      <w:r w:rsidR="00AB51DD" w:rsidRPr="00366A0F">
        <w:rPr>
          <w:rFonts w:eastAsia="Times New Roman"/>
        </w:rPr>
        <w:fldChar w:fldCharType="separate"/>
      </w:r>
      <w:r w:rsidR="00FD5371" w:rsidRPr="00FD5371">
        <w:rPr>
          <w:rFonts w:eastAsia="Times New Roman"/>
          <w:noProof/>
        </w:rPr>
        <w:t>[18]</w:t>
      </w:r>
      <w:r w:rsidR="00AB51DD" w:rsidRPr="00366A0F">
        <w:rPr>
          <w:rFonts w:eastAsia="Times New Roman"/>
        </w:rPr>
        <w:fldChar w:fldCharType="end"/>
      </w:r>
      <w:r w:rsidR="00AB51DD" w:rsidRPr="00366A0F">
        <w:rPr>
          <w:rFonts w:eastAsia="Times New Roman"/>
        </w:rPr>
        <w:t xml:space="preserve"> </w:t>
      </w:r>
      <w:r w:rsidR="00AC123E" w:rsidRPr="00366A0F">
        <w:rPr>
          <w:rFonts w:eastAsia="Times New Roman"/>
        </w:rPr>
        <w:t>does not replicate the chronic ingestion regimen adopted in the present study.</w:t>
      </w:r>
    </w:p>
    <w:p w14:paraId="6F72B414" w14:textId="21CF8EC0" w:rsidR="00EB14E6" w:rsidRPr="00366A0F" w:rsidRDefault="001807BD" w:rsidP="00EB14E6">
      <w:pPr>
        <w:spacing w:before="240" w:after="240" w:line="360" w:lineRule="auto"/>
        <w:ind w:firstLine="720"/>
        <w:jc w:val="both"/>
        <w:rPr>
          <w:rFonts w:eastAsia="Times New Roman"/>
        </w:rPr>
      </w:pPr>
      <w:r w:rsidRPr="00366A0F">
        <w:rPr>
          <w:rFonts w:eastAsia="Times New Roman"/>
        </w:rPr>
        <w:t>W</w:t>
      </w:r>
      <w:r w:rsidR="00793C19" w:rsidRPr="00366A0F">
        <w:rPr>
          <w:rFonts w:eastAsia="Times New Roman"/>
        </w:rPr>
        <w:t>hilst we were unable to undertake blood sampling to determine plasma ketone concentrations</w:t>
      </w:r>
      <w:r w:rsidRPr="00366A0F">
        <w:rPr>
          <w:rFonts w:eastAsia="Times New Roman"/>
        </w:rPr>
        <w:t xml:space="preserve"> in the present study</w:t>
      </w:r>
      <w:r w:rsidR="00793C19" w:rsidRPr="00366A0F">
        <w:rPr>
          <w:rFonts w:eastAsia="Times New Roman"/>
        </w:rPr>
        <w:t xml:space="preserve">, it seems </w:t>
      </w:r>
      <w:r w:rsidR="00075EC8" w:rsidRPr="00366A0F">
        <w:rPr>
          <w:rFonts w:eastAsia="Times New Roman"/>
        </w:rPr>
        <w:t>possible</w:t>
      </w:r>
      <w:r w:rsidR="00793C19" w:rsidRPr="00366A0F">
        <w:rPr>
          <w:rFonts w:eastAsia="Times New Roman"/>
        </w:rPr>
        <w:t xml:space="preserve"> that the chronic nature of the MCT ingestion regimen and the mixture of C</w:t>
      </w:r>
      <w:r w:rsidR="00793C19" w:rsidRPr="00366A0F">
        <w:rPr>
          <w:rFonts w:eastAsia="Times New Roman"/>
          <w:vertAlign w:val="subscript"/>
        </w:rPr>
        <w:t>8</w:t>
      </w:r>
      <w:r w:rsidR="00793C19" w:rsidRPr="00366A0F">
        <w:rPr>
          <w:rFonts w:eastAsia="Times New Roman"/>
        </w:rPr>
        <w:t>-C</w:t>
      </w:r>
      <w:r w:rsidR="00793C19" w:rsidRPr="00366A0F">
        <w:rPr>
          <w:rFonts w:eastAsia="Times New Roman"/>
          <w:vertAlign w:val="subscript"/>
        </w:rPr>
        <w:t>10</w:t>
      </w:r>
      <w:r w:rsidR="00793C19" w:rsidRPr="00366A0F">
        <w:rPr>
          <w:rFonts w:eastAsia="Times New Roman"/>
        </w:rPr>
        <w:t xml:space="preserve"> utilised resulted in augmentation of ketone and MCFA supply for the purposes of brain metabolism</w:t>
      </w:r>
      <w:r w:rsidR="00075EC8" w:rsidRPr="00366A0F">
        <w:rPr>
          <w:rFonts w:eastAsia="Times New Roman"/>
        </w:rPr>
        <w:t xml:space="preserve">. This, </w:t>
      </w:r>
      <w:r w:rsidR="002053F1" w:rsidRPr="00366A0F">
        <w:rPr>
          <w:rFonts w:eastAsia="Times New Roman"/>
        </w:rPr>
        <w:t>alongside the metabolic adaptations C</w:t>
      </w:r>
      <w:r w:rsidR="002053F1" w:rsidRPr="00366A0F">
        <w:rPr>
          <w:rFonts w:eastAsia="Times New Roman"/>
          <w:vertAlign w:val="subscript"/>
        </w:rPr>
        <w:t>10</w:t>
      </w:r>
      <w:r w:rsidR="002053F1" w:rsidRPr="00366A0F">
        <w:rPr>
          <w:rFonts w:eastAsia="Times New Roman"/>
        </w:rPr>
        <w:t xml:space="preserve"> elicits, explains the positive effects seen in the cognitive task performances. Specifically,</w:t>
      </w:r>
      <w:r w:rsidR="00793C19" w:rsidRPr="00366A0F">
        <w:rPr>
          <w:rFonts w:eastAsia="Times New Roman"/>
        </w:rPr>
        <w:t xml:space="preserve"> th</w:t>
      </w:r>
      <w:r w:rsidR="00F6773E" w:rsidRPr="00366A0F">
        <w:rPr>
          <w:rFonts w:eastAsia="Times New Roman"/>
        </w:rPr>
        <w:t>ere were</w:t>
      </w:r>
      <w:r w:rsidR="00793C19" w:rsidRPr="00366A0F">
        <w:rPr>
          <w:rFonts w:eastAsia="Times New Roman"/>
        </w:rPr>
        <w:t xml:space="preserve"> improvements in </w:t>
      </w:r>
      <w:r w:rsidR="00DC70E4" w:rsidRPr="00366A0F">
        <w:rPr>
          <w:rFonts w:eastAsia="Times New Roman"/>
        </w:rPr>
        <w:t>T</w:t>
      </w:r>
      <w:r w:rsidR="002053F1" w:rsidRPr="00366A0F">
        <w:rPr>
          <w:rFonts w:eastAsia="Times New Roman"/>
        </w:rPr>
        <w:t>rail Making</w:t>
      </w:r>
      <w:r w:rsidR="00DC70E4" w:rsidRPr="00366A0F">
        <w:rPr>
          <w:rFonts w:eastAsia="Times New Roman"/>
        </w:rPr>
        <w:t xml:space="preserve"> A </w:t>
      </w:r>
      <w:r w:rsidRPr="00366A0F">
        <w:rPr>
          <w:rFonts w:eastAsia="Times New Roman"/>
        </w:rPr>
        <w:t>and</w:t>
      </w:r>
      <w:r w:rsidR="00DC70E4" w:rsidRPr="00366A0F">
        <w:rPr>
          <w:rFonts w:eastAsia="Times New Roman"/>
        </w:rPr>
        <w:t xml:space="preserve"> B, D</w:t>
      </w:r>
      <w:r w:rsidR="002053F1" w:rsidRPr="00366A0F">
        <w:rPr>
          <w:rFonts w:eastAsia="Times New Roman"/>
        </w:rPr>
        <w:t>igit Span</w:t>
      </w:r>
      <w:r w:rsidR="00DC70E4" w:rsidRPr="00366A0F">
        <w:rPr>
          <w:rFonts w:eastAsia="Times New Roman"/>
        </w:rPr>
        <w:t xml:space="preserve"> forwards </w:t>
      </w:r>
      <w:r w:rsidRPr="00366A0F">
        <w:rPr>
          <w:rFonts w:eastAsia="Times New Roman"/>
        </w:rPr>
        <w:t>and</w:t>
      </w:r>
      <w:r w:rsidR="00DC70E4" w:rsidRPr="00366A0F">
        <w:rPr>
          <w:rFonts w:eastAsia="Times New Roman"/>
        </w:rPr>
        <w:t xml:space="preserve"> backwards</w:t>
      </w:r>
      <w:r w:rsidRPr="00366A0F">
        <w:rPr>
          <w:rFonts w:eastAsia="Times New Roman"/>
        </w:rPr>
        <w:t>,</w:t>
      </w:r>
      <w:r w:rsidR="00DC70E4" w:rsidRPr="00366A0F">
        <w:rPr>
          <w:rFonts w:eastAsia="Times New Roman"/>
        </w:rPr>
        <w:t xml:space="preserve"> and S</w:t>
      </w:r>
      <w:r w:rsidR="002053F1" w:rsidRPr="00366A0F">
        <w:rPr>
          <w:rFonts w:eastAsia="Times New Roman"/>
        </w:rPr>
        <w:t>patial Span</w:t>
      </w:r>
      <w:r w:rsidR="00DC70E4" w:rsidRPr="00366A0F">
        <w:rPr>
          <w:rFonts w:eastAsia="Times New Roman"/>
        </w:rPr>
        <w:t xml:space="preserve"> backwards </w:t>
      </w:r>
      <w:r w:rsidR="00793C19" w:rsidRPr="00366A0F">
        <w:rPr>
          <w:rFonts w:eastAsia="Times New Roman"/>
        </w:rPr>
        <w:t>after 2-3 weeks of daily consumption of 12g or more of MCT</w:t>
      </w:r>
      <w:r w:rsidR="00DC70E4" w:rsidRPr="00366A0F">
        <w:rPr>
          <w:rFonts w:eastAsia="Times New Roman"/>
        </w:rPr>
        <w:t>s</w:t>
      </w:r>
      <w:r w:rsidR="00F6773E" w:rsidRPr="00366A0F">
        <w:rPr>
          <w:rFonts w:eastAsia="Times New Roman"/>
        </w:rPr>
        <w:t xml:space="preserve">. These </w:t>
      </w:r>
      <w:r w:rsidR="00F6773E" w:rsidRPr="00016E04">
        <w:rPr>
          <w:rFonts w:eastAsia="Times New Roman"/>
          <w:color w:val="000000" w:themeColor="text1"/>
        </w:rPr>
        <w:t>findings</w:t>
      </w:r>
      <w:r w:rsidR="00DC70E4" w:rsidRPr="00016E04">
        <w:rPr>
          <w:rFonts w:eastAsia="Times New Roman"/>
          <w:color w:val="000000" w:themeColor="text1"/>
        </w:rPr>
        <w:t xml:space="preserve"> expand </w:t>
      </w:r>
      <w:r w:rsidR="00F6773E" w:rsidRPr="00016E04">
        <w:rPr>
          <w:rFonts w:eastAsia="Times New Roman"/>
          <w:color w:val="000000" w:themeColor="text1"/>
        </w:rPr>
        <w:t>up</w:t>
      </w:r>
      <w:r w:rsidR="00DC70E4" w:rsidRPr="00016E04">
        <w:rPr>
          <w:rFonts w:eastAsia="Times New Roman"/>
          <w:color w:val="000000" w:themeColor="text1"/>
        </w:rPr>
        <w:t xml:space="preserve">on previous </w:t>
      </w:r>
      <w:r w:rsidR="00F6773E" w:rsidRPr="00016E04">
        <w:rPr>
          <w:rFonts w:eastAsia="Times New Roman"/>
          <w:color w:val="000000" w:themeColor="text1"/>
        </w:rPr>
        <w:t>evidence</w:t>
      </w:r>
      <w:r w:rsidR="00DC70E4" w:rsidRPr="00016E04">
        <w:rPr>
          <w:rFonts w:eastAsia="Times New Roman"/>
          <w:color w:val="000000" w:themeColor="text1"/>
        </w:rPr>
        <w:t xml:space="preserve"> </w:t>
      </w:r>
      <w:r w:rsidR="00E0681D" w:rsidRPr="00016E04">
        <w:rPr>
          <w:rFonts w:eastAsia="Times New Roman"/>
          <w:color w:val="000000" w:themeColor="text1"/>
        </w:rPr>
        <w:t>regarding the</w:t>
      </w:r>
      <w:r w:rsidR="00DC70E4" w:rsidRPr="00016E04">
        <w:rPr>
          <w:rFonts w:eastAsia="Times New Roman"/>
          <w:color w:val="000000" w:themeColor="text1"/>
        </w:rPr>
        <w:t xml:space="preserve"> positive impact of MCT ingestion on cognitive performance, specifically </w:t>
      </w:r>
      <w:r w:rsidR="00F6773E" w:rsidRPr="00016E04">
        <w:rPr>
          <w:rFonts w:eastAsia="Times New Roman"/>
          <w:color w:val="000000" w:themeColor="text1"/>
        </w:rPr>
        <w:t>with</w:t>
      </w:r>
      <w:r w:rsidR="00DC70E4" w:rsidRPr="00016E04">
        <w:rPr>
          <w:rFonts w:eastAsia="Times New Roman"/>
          <w:color w:val="000000" w:themeColor="text1"/>
        </w:rPr>
        <w:t xml:space="preserve">in young, healthy individuals. </w:t>
      </w:r>
      <w:r w:rsidR="00EB14E6" w:rsidRPr="00016E04">
        <w:rPr>
          <w:rFonts w:eastAsia="Times New Roman"/>
          <w:color w:val="000000" w:themeColor="text1"/>
        </w:rPr>
        <w:t>Despite this, the fact that blood ketones were not measured is a limitation of the study. Furthermore, future research should also adopt a double-blinded procedure, unlike the single-blinded design of the present study.</w:t>
      </w:r>
    </w:p>
    <w:p w14:paraId="696AF7B6" w14:textId="77777777" w:rsidR="0065760E" w:rsidRPr="00366A0F" w:rsidRDefault="0065760E" w:rsidP="0065760E">
      <w:pPr>
        <w:spacing w:before="240" w:after="240" w:line="360" w:lineRule="auto"/>
        <w:ind w:firstLine="720"/>
        <w:jc w:val="both"/>
        <w:rPr>
          <w:rFonts w:eastAsia="Times New Roman"/>
        </w:rPr>
      </w:pPr>
    </w:p>
    <w:p w14:paraId="44E90E42" w14:textId="241C98D4" w:rsidR="00736C39" w:rsidRPr="00366A0F" w:rsidRDefault="00736C39" w:rsidP="00736C39">
      <w:pPr>
        <w:spacing w:before="240" w:after="240" w:line="360" w:lineRule="auto"/>
        <w:jc w:val="both"/>
        <w:rPr>
          <w:rFonts w:eastAsia="Times New Roman"/>
          <w:b/>
        </w:rPr>
      </w:pPr>
      <w:r w:rsidRPr="00366A0F">
        <w:rPr>
          <w:rFonts w:eastAsia="Times New Roman"/>
          <w:b/>
        </w:rPr>
        <w:lastRenderedPageBreak/>
        <w:t>Conclusion</w:t>
      </w:r>
    </w:p>
    <w:p w14:paraId="02F46FAC" w14:textId="3D1FA5A5" w:rsidR="00913F77" w:rsidRPr="00366A0F" w:rsidRDefault="00C00B3A" w:rsidP="0067772E">
      <w:pPr>
        <w:spacing w:before="240" w:after="240" w:line="360" w:lineRule="auto"/>
        <w:jc w:val="both"/>
        <w:rPr>
          <w:rFonts w:eastAsia="Times New Roman"/>
        </w:rPr>
      </w:pPr>
      <w:r w:rsidRPr="00366A0F">
        <w:rPr>
          <w:rFonts w:eastAsia="Times New Roman"/>
        </w:rPr>
        <w:t xml:space="preserve">In conclusion, the present study expanded on previous literature </w:t>
      </w:r>
      <w:r w:rsidR="005C2865" w:rsidRPr="00366A0F">
        <w:rPr>
          <w:rFonts w:eastAsia="Times New Roman"/>
        </w:rPr>
        <w:t>regarding</w:t>
      </w:r>
      <w:r w:rsidRPr="00366A0F">
        <w:rPr>
          <w:rFonts w:eastAsia="Times New Roman"/>
        </w:rPr>
        <w:t xml:space="preserve"> the positive impact of MCTs on cognitive performance, specifically in young, healthy individuals. Our data suggests a minimum of </w:t>
      </w:r>
      <w:r w:rsidR="009B1687" w:rsidRPr="00366A0F">
        <w:rPr>
          <w:rFonts w:eastAsia="Times New Roman"/>
        </w:rPr>
        <w:t>2-</w:t>
      </w:r>
      <w:r w:rsidRPr="00366A0F">
        <w:rPr>
          <w:rFonts w:eastAsia="Times New Roman"/>
        </w:rPr>
        <w:t xml:space="preserve">3 weeks of MCT gel supplementation is required for participants to display </w:t>
      </w:r>
      <w:r w:rsidRPr="00016E04">
        <w:rPr>
          <w:rFonts w:eastAsia="Times New Roman"/>
          <w:color w:val="000000" w:themeColor="text1"/>
        </w:rPr>
        <w:t>cognitive improvements</w:t>
      </w:r>
      <w:r w:rsidR="009B1687" w:rsidRPr="00016E04">
        <w:rPr>
          <w:rFonts w:eastAsia="Times New Roman"/>
          <w:color w:val="000000" w:themeColor="text1"/>
        </w:rPr>
        <w:t>, with use of a 30:70 ratio of C</w:t>
      </w:r>
      <w:r w:rsidR="009B1687" w:rsidRPr="00016E04">
        <w:rPr>
          <w:rFonts w:eastAsia="Times New Roman"/>
          <w:color w:val="000000" w:themeColor="text1"/>
          <w:vertAlign w:val="subscript"/>
        </w:rPr>
        <w:t>8</w:t>
      </w:r>
      <w:r w:rsidR="009B1687" w:rsidRPr="00016E04">
        <w:rPr>
          <w:rFonts w:eastAsia="Times New Roman"/>
          <w:color w:val="000000" w:themeColor="text1"/>
        </w:rPr>
        <w:t>:C</w:t>
      </w:r>
      <w:r w:rsidR="009B1687" w:rsidRPr="00016E04">
        <w:rPr>
          <w:rFonts w:eastAsia="Times New Roman"/>
          <w:color w:val="000000" w:themeColor="text1"/>
          <w:vertAlign w:val="subscript"/>
        </w:rPr>
        <w:t>10</w:t>
      </w:r>
      <w:r w:rsidR="009B1687" w:rsidRPr="00016E04">
        <w:rPr>
          <w:rFonts w:eastAsia="Times New Roman"/>
          <w:color w:val="000000" w:themeColor="text1"/>
        </w:rPr>
        <w:t xml:space="preserve"> to eliminat</w:t>
      </w:r>
      <w:r w:rsidR="0065760E" w:rsidRPr="00016E04">
        <w:rPr>
          <w:rFonts w:eastAsia="Times New Roman"/>
          <w:color w:val="000000" w:themeColor="text1"/>
        </w:rPr>
        <w:t>e</w:t>
      </w:r>
      <w:r w:rsidR="009B1687" w:rsidRPr="00016E04">
        <w:rPr>
          <w:rFonts w:eastAsia="Times New Roman"/>
          <w:color w:val="000000" w:themeColor="text1"/>
        </w:rPr>
        <w:t xml:space="preserve"> possible participant </w:t>
      </w:r>
      <w:r w:rsidR="00EB14E6" w:rsidRPr="00016E04">
        <w:rPr>
          <w:rFonts w:eastAsia="Times New Roman"/>
          <w:color w:val="000000" w:themeColor="text1"/>
        </w:rPr>
        <w:t>withdrawal</w:t>
      </w:r>
      <w:r w:rsidR="009B1687" w:rsidRPr="00016E04">
        <w:rPr>
          <w:rFonts w:eastAsia="Times New Roman"/>
          <w:color w:val="000000" w:themeColor="text1"/>
        </w:rPr>
        <w:t xml:space="preserve"> </w:t>
      </w:r>
      <w:r w:rsidR="00EB14E6" w:rsidRPr="00016E04">
        <w:rPr>
          <w:rFonts w:eastAsia="Times New Roman"/>
          <w:color w:val="000000" w:themeColor="text1"/>
        </w:rPr>
        <w:t xml:space="preserve">due to </w:t>
      </w:r>
      <w:r w:rsidR="009B1687" w:rsidRPr="00016E04">
        <w:rPr>
          <w:rFonts w:eastAsia="Times New Roman"/>
          <w:color w:val="000000" w:themeColor="text1"/>
        </w:rPr>
        <w:t>issues of gastrointestinal distress</w:t>
      </w:r>
      <w:r w:rsidRPr="00016E04">
        <w:rPr>
          <w:rFonts w:eastAsia="Times New Roman"/>
          <w:color w:val="000000" w:themeColor="text1"/>
        </w:rPr>
        <w:t xml:space="preserve">. There also appears to be minimal differences between 12g </w:t>
      </w:r>
      <w:r w:rsidRPr="00366A0F">
        <w:rPr>
          <w:rFonts w:eastAsia="Times New Roman"/>
        </w:rPr>
        <w:t xml:space="preserve">and 18g MCT/day for the majority of measures collected. </w:t>
      </w:r>
      <w:r w:rsidR="00913F77" w:rsidRPr="00366A0F">
        <w:rPr>
          <w:rFonts w:eastAsia="Times New Roman"/>
        </w:rPr>
        <w:t xml:space="preserve">Therefore, it would be recommended that two MCT gels (2 x 6g) per day </w:t>
      </w:r>
      <w:r w:rsidR="00380202" w:rsidRPr="00366A0F">
        <w:rPr>
          <w:rFonts w:eastAsia="Times New Roman"/>
        </w:rPr>
        <w:t>are taken</w:t>
      </w:r>
      <w:r w:rsidR="00913F77" w:rsidRPr="00366A0F">
        <w:rPr>
          <w:rFonts w:eastAsia="Times New Roman"/>
        </w:rPr>
        <w:t xml:space="preserve"> to </w:t>
      </w:r>
      <w:r w:rsidR="009B1687" w:rsidRPr="00366A0F">
        <w:rPr>
          <w:rFonts w:eastAsia="Times New Roman"/>
        </w:rPr>
        <w:t xml:space="preserve">augment </w:t>
      </w:r>
      <w:r w:rsidR="00913F77" w:rsidRPr="00366A0F">
        <w:rPr>
          <w:rFonts w:eastAsia="Times New Roman"/>
        </w:rPr>
        <w:t>cognitive improvements</w:t>
      </w:r>
      <w:r w:rsidR="0065760E" w:rsidRPr="00366A0F">
        <w:rPr>
          <w:rFonts w:eastAsia="Times New Roman"/>
        </w:rPr>
        <w:t xml:space="preserve"> whilst</w:t>
      </w:r>
      <w:r w:rsidR="00913F77" w:rsidRPr="00366A0F">
        <w:rPr>
          <w:rFonts w:eastAsia="Times New Roman"/>
        </w:rPr>
        <w:t xml:space="preserve"> limit</w:t>
      </w:r>
      <w:r w:rsidR="0065760E" w:rsidRPr="00366A0F">
        <w:rPr>
          <w:rFonts w:eastAsia="Times New Roman"/>
        </w:rPr>
        <w:t>ing</w:t>
      </w:r>
      <w:r w:rsidR="00913F77" w:rsidRPr="00366A0F">
        <w:rPr>
          <w:rFonts w:eastAsia="Times New Roman"/>
        </w:rPr>
        <w:t xml:space="preserve"> gastric distress.</w:t>
      </w:r>
      <w:r w:rsidR="0065760E" w:rsidRPr="00366A0F">
        <w:rPr>
          <w:rFonts w:eastAsia="Times New Roman"/>
        </w:rPr>
        <w:t xml:space="preserve"> </w:t>
      </w:r>
      <w:r w:rsidR="00913F77" w:rsidRPr="00366A0F">
        <w:rPr>
          <w:rFonts w:eastAsia="Times New Roman"/>
        </w:rPr>
        <w:t>Future research should establish whether such improvements are also observed during cognitive demanding tasks, such as those commonly experienced within sport.</w:t>
      </w:r>
    </w:p>
    <w:p w14:paraId="0A2E88C4" w14:textId="77777777" w:rsidR="009B1687" w:rsidRPr="00366A0F" w:rsidRDefault="009B1687" w:rsidP="0067772E">
      <w:pPr>
        <w:spacing w:before="240" w:after="240" w:line="360" w:lineRule="auto"/>
        <w:jc w:val="both"/>
        <w:rPr>
          <w:rFonts w:eastAsia="Times New Roman"/>
        </w:rPr>
      </w:pPr>
    </w:p>
    <w:p w14:paraId="22421C95" w14:textId="4F7FEEA3" w:rsidR="0067772E" w:rsidRPr="00366A0F" w:rsidRDefault="0067772E" w:rsidP="0067772E">
      <w:pPr>
        <w:spacing w:before="240" w:after="240" w:line="360" w:lineRule="auto"/>
        <w:jc w:val="both"/>
        <w:rPr>
          <w:rFonts w:eastAsia="Times New Roman"/>
        </w:rPr>
      </w:pPr>
      <w:r w:rsidRPr="00366A0F">
        <w:rPr>
          <w:rFonts w:eastAsia="Times New Roman"/>
          <w:b/>
        </w:rPr>
        <w:t>Author Declaration</w:t>
      </w:r>
    </w:p>
    <w:p w14:paraId="081A3F15" w14:textId="231BA25A" w:rsidR="00073222" w:rsidRPr="00366A0F" w:rsidRDefault="0067772E" w:rsidP="00073222">
      <w:pPr>
        <w:spacing w:before="240" w:after="240" w:line="360" w:lineRule="auto"/>
        <w:jc w:val="both"/>
        <w:rPr>
          <w:rFonts w:eastAsia="Times New Roman"/>
        </w:rPr>
        <w:sectPr w:rsidR="00073222" w:rsidRPr="00366A0F" w:rsidSect="00073222">
          <w:pgSz w:w="11909" w:h="16834"/>
          <w:pgMar w:top="1440" w:right="1440" w:bottom="1440" w:left="1440" w:header="720" w:footer="720" w:gutter="0"/>
          <w:lnNumType w:countBy="1" w:restart="continuous"/>
          <w:pgNumType w:start="1"/>
          <w:cols w:space="720"/>
          <w:docGrid w:linePitch="299"/>
        </w:sectPr>
      </w:pPr>
      <w:r w:rsidRPr="00366A0F">
        <w:rPr>
          <w:rFonts w:eastAsia="Times New Roman"/>
        </w:rPr>
        <w:t xml:space="preserve">The authors declare funding for this project was provided from an external source (Nuroco, </w:t>
      </w:r>
      <w:r w:rsidR="00913F77" w:rsidRPr="00366A0F">
        <w:rPr>
          <w:rFonts w:eastAsia="Times New Roman"/>
        </w:rPr>
        <w:t xml:space="preserve">London, </w:t>
      </w:r>
      <w:r w:rsidRPr="00366A0F">
        <w:rPr>
          <w:rFonts w:eastAsia="Times New Roman"/>
        </w:rPr>
        <w:t>UK). However, the study was carried out independently at the university.</w:t>
      </w:r>
      <w:r w:rsidR="00E97AD0" w:rsidRPr="00366A0F">
        <w:rPr>
          <w:rFonts w:eastAsia="Times New Roman"/>
        </w:rPr>
        <w:t xml:space="preserve"> The authors would also like to thank Nutrition X for the provision of the carbohydrate gels as part of the study.</w:t>
      </w:r>
    </w:p>
    <w:p w14:paraId="2CC8F474" w14:textId="6B112AED" w:rsidR="0067772E" w:rsidRPr="00366A0F" w:rsidRDefault="0067772E" w:rsidP="00D0381A">
      <w:pPr>
        <w:spacing w:before="240" w:after="240" w:line="360" w:lineRule="auto"/>
        <w:jc w:val="both"/>
        <w:rPr>
          <w:rFonts w:eastAsia="Times New Roman"/>
        </w:rPr>
      </w:pPr>
      <w:r w:rsidRPr="00366A0F">
        <w:rPr>
          <w:rFonts w:eastAsia="Times New Roman"/>
          <w:b/>
        </w:rPr>
        <w:lastRenderedPageBreak/>
        <w:t>Table Captions:</w:t>
      </w:r>
    </w:p>
    <w:p w14:paraId="4935F6D0" w14:textId="68E147F4" w:rsidR="000A2745" w:rsidRPr="00366A0F" w:rsidRDefault="0067772E" w:rsidP="00D0381A">
      <w:pPr>
        <w:spacing w:before="240" w:after="240" w:line="360" w:lineRule="auto"/>
        <w:jc w:val="both"/>
        <w:rPr>
          <w:rFonts w:eastAsia="Times New Roman"/>
        </w:rPr>
      </w:pPr>
      <w:r w:rsidRPr="00366A0F">
        <w:rPr>
          <w:rFonts w:eastAsia="Times New Roman"/>
          <w:b/>
        </w:rPr>
        <w:t>Table 1.</w:t>
      </w:r>
      <w:r w:rsidRPr="00366A0F">
        <w:rPr>
          <w:rFonts w:eastAsia="Times New Roman"/>
        </w:rPr>
        <w:t xml:space="preserve"> The ICC’s (%) of each random factor considering the dependent variables.</w:t>
      </w:r>
    </w:p>
    <w:p w14:paraId="5EBA5941" w14:textId="5B8F3FBB" w:rsidR="000A2745" w:rsidRPr="00366A0F" w:rsidRDefault="0067772E" w:rsidP="00D0381A">
      <w:pPr>
        <w:spacing w:before="240" w:after="240" w:line="360" w:lineRule="auto"/>
        <w:jc w:val="both"/>
        <w:rPr>
          <w:rFonts w:eastAsia="Times New Roman"/>
        </w:rPr>
      </w:pPr>
      <w:r w:rsidRPr="00366A0F">
        <w:rPr>
          <w:b/>
          <w:bCs/>
        </w:rPr>
        <w:t>Table 2.</w:t>
      </w:r>
      <w:r w:rsidRPr="00366A0F">
        <w:t xml:space="preserve"> </w:t>
      </w:r>
      <w:r w:rsidR="009A2534" w:rsidRPr="00366A0F">
        <w:t>Adjusted m</w:t>
      </w:r>
      <w:r w:rsidRPr="00366A0F">
        <w:t>ean</w:t>
      </w:r>
      <w:r w:rsidR="00F70140" w:rsidRPr="00366A0F">
        <w:t>s</w:t>
      </w:r>
      <w:r w:rsidRPr="00366A0F">
        <w:t xml:space="preserve"> ± SE values for each of the CSoA </w:t>
      </w:r>
      <w:r w:rsidR="009A2534" w:rsidRPr="00366A0F">
        <w:t>m</w:t>
      </w:r>
      <w:r w:rsidRPr="00366A0F">
        <w:t>easures</w:t>
      </w:r>
      <w:r w:rsidR="006246A2" w:rsidRPr="00366A0F">
        <w:t xml:space="preserve"> (negative scores indicate quicker responses to the cued/valid trials than the uncued/invalid).</w:t>
      </w:r>
    </w:p>
    <w:p w14:paraId="277FD2CA" w14:textId="15AEB6B7" w:rsidR="000A2745" w:rsidRPr="00366A0F" w:rsidRDefault="0067772E" w:rsidP="00D0381A">
      <w:pPr>
        <w:spacing w:before="240" w:after="240" w:line="360" w:lineRule="auto"/>
        <w:jc w:val="both"/>
        <w:rPr>
          <w:rFonts w:eastAsia="Times New Roman"/>
        </w:rPr>
      </w:pPr>
      <w:r w:rsidRPr="00366A0F">
        <w:rPr>
          <w:b/>
          <w:bCs/>
        </w:rPr>
        <w:t>Table 3.</w:t>
      </w:r>
      <w:r w:rsidRPr="00366A0F">
        <w:t xml:space="preserve"> Adjusted </w:t>
      </w:r>
      <w:r w:rsidR="00636532" w:rsidRPr="00366A0F">
        <w:t>m</w:t>
      </w:r>
      <w:r w:rsidRPr="00366A0F">
        <w:t xml:space="preserve">ean </w:t>
      </w:r>
      <w:r w:rsidR="00636532" w:rsidRPr="00366A0F">
        <w:t>d</w:t>
      </w:r>
      <w:r w:rsidRPr="00366A0F">
        <w:t xml:space="preserve">ifference from </w:t>
      </w:r>
      <w:r w:rsidR="00636532" w:rsidRPr="00366A0F">
        <w:t>b</w:t>
      </w:r>
      <w:r w:rsidRPr="00366A0F">
        <w:t xml:space="preserve">aseline ± SE values for each of the RVIP </w:t>
      </w:r>
      <w:r w:rsidR="00636532" w:rsidRPr="00366A0F">
        <w:t>m</w:t>
      </w:r>
      <w:r w:rsidRPr="00366A0F">
        <w:t>easures</w:t>
      </w:r>
      <w:r w:rsidR="006246A2" w:rsidRPr="00366A0F">
        <w:t>.</w:t>
      </w:r>
    </w:p>
    <w:p w14:paraId="3BF553C4" w14:textId="6D9A0A78" w:rsidR="000203E9" w:rsidRPr="00016E04" w:rsidRDefault="000203E9" w:rsidP="000203E9">
      <w:pPr>
        <w:spacing w:before="240" w:after="240" w:line="360" w:lineRule="auto"/>
        <w:jc w:val="both"/>
        <w:rPr>
          <w:rFonts w:eastAsia="Times New Roman"/>
          <w:b/>
          <w:color w:val="000000" w:themeColor="text1"/>
        </w:rPr>
      </w:pPr>
      <w:r w:rsidRPr="00016E04">
        <w:rPr>
          <w:rFonts w:eastAsia="Times New Roman"/>
          <w:b/>
          <w:color w:val="000000" w:themeColor="text1"/>
        </w:rPr>
        <w:t>Figure Captions:</w:t>
      </w:r>
    </w:p>
    <w:p w14:paraId="49908E83" w14:textId="2D6EFCEE" w:rsidR="00366A0F" w:rsidRPr="00016E04" w:rsidRDefault="00366A0F" w:rsidP="000203E9">
      <w:pPr>
        <w:spacing w:before="240" w:after="240" w:line="360" w:lineRule="auto"/>
        <w:jc w:val="both"/>
        <w:rPr>
          <w:rFonts w:eastAsia="Times New Roman"/>
          <w:bCs/>
          <w:color w:val="000000" w:themeColor="text1"/>
        </w:rPr>
      </w:pPr>
      <w:r w:rsidRPr="00016E04">
        <w:rPr>
          <w:rFonts w:eastAsia="Times New Roman"/>
          <w:b/>
          <w:color w:val="000000" w:themeColor="text1"/>
        </w:rPr>
        <w:t xml:space="preserve">Figure 1. </w:t>
      </w:r>
      <w:r w:rsidR="00DC09B2" w:rsidRPr="00016E04">
        <w:rPr>
          <w:rFonts w:eastAsia="Times New Roman"/>
          <w:bCs/>
          <w:color w:val="000000" w:themeColor="text1"/>
        </w:rPr>
        <w:t>Schematic</w:t>
      </w:r>
      <w:r w:rsidRPr="00016E04">
        <w:rPr>
          <w:rFonts w:eastAsia="Times New Roman"/>
          <w:bCs/>
          <w:color w:val="000000" w:themeColor="text1"/>
        </w:rPr>
        <w:t xml:space="preserve"> illustrating MCT metabolism in the body.</w:t>
      </w:r>
      <w:r w:rsidR="00DC09B2" w:rsidRPr="00016E04">
        <w:rPr>
          <w:rFonts w:eastAsia="Times New Roman"/>
          <w:bCs/>
          <w:color w:val="000000" w:themeColor="text1"/>
        </w:rPr>
        <w:t xml:space="preserve"> </w:t>
      </w:r>
      <w:r w:rsidR="0046582B" w:rsidRPr="00016E04">
        <w:rPr>
          <w:rFonts w:eastAsia="Times New Roman"/>
          <w:bCs/>
          <w:color w:val="000000" w:themeColor="text1"/>
        </w:rPr>
        <w:t xml:space="preserve">Firstly, MCTs are hydrolysed in the stomach by pancreatic lipase into medium chain fatty acids (MCFA) which are absorbed directly into the portal vein </w:t>
      </w:r>
      <w:r w:rsidR="0046582B" w:rsidRPr="00016E04">
        <w:rPr>
          <w:rFonts w:eastAsia="Times New Roman"/>
          <w:bCs/>
          <w:color w:val="000000" w:themeColor="text1"/>
        </w:rPr>
        <w:fldChar w:fldCharType="begin" w:fldLock="1"/>
      </w:r>
      <w:r w:rsidR="0046582B" w:rsidRPr="00016E04">
        <w:rPr>
          <w:rFonts w:eastAsia="Times New Roman"/>
          <w:bCs/>
          <w:color w:val="000000" w:themeColor="text1"/>
        </w:rPr>
        <w:instrText>ADDIN CSL_CITATION {"citationItems":[{"id":"ITEM-1","itemData":{"DOI":"10.1016/j.nut.2004.04.018","ISSN":"08999007","abstract":"Pre-exercise fat ingestion (i.e., long chain triacylglycerol ingestion 1 to 4 h before exercise), medium-chain triacylglycerols, fish oil, and conjugated linoleic acid have been suggested to alter metabolism to achieve weight loss, alter lipid profiles, or improve performance. However, studies have demonstrated that ingestion of meals with long-chain triacylglycerols before exercise has little or no effect on metabolism and does not alter subsequent exercise performance. Also, medium-chain triacylglycerol supplementation before or during exercise has not been shown to be ergogenic, although this could be related to the small amounts of medium-chain triacylglycerol that can be ingested before gastrointestinal discomfort occurs. Fish oil may improve red blood cell deformability, but these effects are likely to be small and do not seem to influence maximum oxygen delivery or exercise performance. Conjugated linoleic acid has been implicated in weight loss, but based on the results of human studies it must be concluded that the effects of conjugated linoleic acid on body weight loss are far less clear than those observed in animal studies. Most studies have not found any evidence for a beneficial effect of conjugated linoleic acid. © Elsevier Inc. 2004.","author":[{"dropping-particle":"","family":"Jeukendrup","given":"Asker E.","non-dropping-particle":"","parse-names":false,"suffix":""},{"dropping-particle":"","family":"Aldred","given":"Sarah","non-dropping-particle":"","parse-names":false,"suffix":""}],"container-title":"Nutrition","id":"ITEM-1","issue":"7-8","issued":{"date-parts":[["2004"]]},"page":"678-688","title":"Fat supplementation, health, and endurance performance","type":"article-journal","volume":"20"},"uris":["http://www.mendeley.com/documents/?uuid=9d670ce7-bc73-4702-9701-4caba778903c"]}],"mendeley":{"formattedCitation":"[3]","plainTextFormattedCitation":"[3]","previouslyFormattedCitation":"[3]"},"properties":{"noteIndex":0},"schema":"https://github.com/citation-style-language/schema/raw/master/csl-citation.json"}</w:instrText>
      </w:r>
      <w:r w:rsidR="0046582B" w:rsidRPr="00016E04">
        <w:rPr>
          <w:rFonts w:eastAsia="Times New Roman"/>
          <w:bCs/>
          <w:color w:val="000000" w:themeColor="text1"/>
        </w:rPr>
        <w:fldChar w:fldCharType="separate"/>
      </w:r>
      <w:r w:rsidR="0046582B" w:rsidRPr="00016E04">
        <w:rPr>
          <w:rFonts w:eastAsia="Times New Roman"/>
          <w:bCs/>
          <w:noProof/>
          <w:color w:val="000000" w:themeColor="text1"/>
        </w:rPr>
        <w:t>[3]</w:t>
      </w:r>
      <w:r w:rsidR="0046582B" w:rsidRPr="00016E04">
        <w:rPr>
          <w:rFonts w:eastAsia="Times New Roman"/>
          <w:bCs/>
          <w:color w:val="000000" w:themeColor="text1"/>
        </w:rPr>
        <w:fldChar w:fldCharType="end"/>
      </w:r>
      <w:r w:rsidR="0046582B" w:rsidRPr="00016E04">
        <w:rPr>
          <w:rFonts w:eastAsia="Times New Roman"/>
          <w:bCs/>
          <w:color w:val="000000" w:themeColor="text1"/>
        </w:rPr>
        <w:t xml:space="preserve">. </w:t>
      </w:r>
      <w:r w:rsidR="00DC09B2" w:rsidRPr="00016E04">
        <w:rPr>
          <w:rFonts w:eastAsia="Times New Roman"/>
          <w:bCs/>
          <w:color w:val="000000" w:themeColor="text1"/>
        </w:rPr>
        <w:t xml:space="preserve">The liver </w:t>
      </w:r>
      <w:r w:rsidR="00122512" w:rsidRPr="00016E04">
        <w:rPr>
          <w:rFonts w:eastAsia="Times New Roman"/>
          <w:bCs/>
          <w:color w:val="000000" w:themeColor="text1"/>
        </w:rPr>
        <w:t xml:space="preserve">firstly </w:t>
      </w:r>
      <w:r w:rsidR="00DC09B2" w:rsidRPr="00016E04">
        <w:rPr>
          <w:rFonts w:eastAsia="Times New Roman"/>
          <w:bCs/>
          <w:color w:val="000000" w:themeColor="text1"/>
        </w:rPr>
        <w:t>converts MCFA</w:t>
      </w:r>
      <w:r w:rsidR="0046582B" w:rsidRPr="00016E04">
        <w:rPr>
          <w:rFonts w:eastAsia="Times New Roman"/>
          <w:bCs/>
          <w:color w:val="000000" w:themeColor="text1"/>
        </w:rPr>
        <w:t xml:space="preserve"> </w:t>
      </w:r>
      <w:r w:rsidR="00DC09B2" w:rsidRPr="00016E04">
        <w:rPr>
          <w:rFonts w:eastAsia="Times New Roman"/>
          <w:bCs/>
          <w:color w:val="000000" w:themeColor="text1"/>
        </w:rPr>
        <w:t xml:space="preserve">into Acetyl-CoA via β-oxidation. This is then converted into Acetoacetyl-CoA, </w:t>
      </w:r>
      <w:r w:rsidR="005B5FC3" w:rsidRPr="00016E04">
        <w:rPr>
          <w:rFonts w:eastAsia="Times New Roman"/>
          <w:bCs/>
          <w:color w:val="000000" w:themeColor="text1"/>
        </w:rPr>
        <w:t>before</w:t>
      </w:r>
      <w:r w:rsidR="00122512" w:rsidRPr="00016E04">
        <w:rPr>
          <w:rFonts w:eastAsia="Times New Roman"/>
          <w:bCs/>
          <w:color w:val="000000" w:themeColor="text1"/>
        </w:rPr>
        <w:t xml:space="preserve"> </w:t>
      </w:r>
      <w:r w:rsidR="0046582B" w:rsidRPr="00016E04">
        <w:rPr>
          <w:rFonts w:eastAsia="Times New Roman"/>
          <w:bCs/>
          <w:color w:val="000000" w:themeColor="text1"/>
        </w:rPr>
        <w:t>becoming β</w:t>
      </w:r>
      <w:r w:rsidR="00DC09B2" w:rsidRPr="00016E04">
        <w:rPr>
          <w:rFonts w:eastAsia="Times New Roman"/>
          <w:bCs/>
          <w:color w:val="000000" w:themeColor="text1"/>
        </w:rPr>
        <w:t>-Hydroxy β-methylglutaryl-CoA (HMG-CoA). This is then metabolised into the ketone Acetoacetate. This can then further breakdown into βHB and Acetone</w:t>
      </w:r>
      <w:r w:rsidR="0046582B" w:rsidRPr="00016E04">
        <w:rPr>
          <w:rFonts w:eastAsia="Times New Roman"/>
          <w:bCs/>
          <w:color w:val="000000" w:themeColor="text1"/>
        </w:rPr>
        <w:t xml:space="preserve"> </w:t>
      </w:r>
      <w:r w:rsidR="0046582B" w:rsidRPr="00016E04">
        <w:rPr>
          <w:rFonts w:eastAsia="Times New Roman"/>
          <w:bCs/>
          <w:color w:val="000000" w:themeColor="text1"/>
        </w:rPr>
        <w:fldChar w:fldCharType="begin" w:fldLock="1"/>
      </w:r>
      <w:r w:rsidR="0046582B" w:rsidRPr="00016E04">
        <w:rPr>
          <w:rFonts w:eastAsia="Times New Roman"/>
          <w:bCs/>
          <w:color w:val="000000" w:themeColor="text1"/>
        </w:rPr>
        <w:instrText>ADDIN CSL_CITATION {"citationItems":[{"id":"ITEM-1","itemData":{"author":[{"dropping-particle":"","family":"Augustin Bsc","given":"Katrin","non-dropping-particle":"","parse-names":false,"suffix":""},{"dropping-particle":"","family":"Khabbush Phd","given":"Aziza","non-dropping-particle":"","parse-names":false,"suffix":""},{"dropping-particle":"","family":"Phd","given":"Sophie Williams","non-dropping-particle":"","parse-names":false,"suffix":""},{"dropping-particle":"","family":"Eaton Phd","given":"Simon","non-dropping-particle":"","parse-names":false,"suffix":""},{"dropping-particle":"","family":"Orford Phd","given":"Michael","non-dropping-particle":"","parse-names":false,"suffix":""},{"dropping-particle":"","family":"Cross Phd","given":"J Helen","non-dropping-particle":"","parse-names":false,"suffix":""},{"dropping-particle":"","family":"Heales","given":"Simon J R","non-dropping-particle":"","parse-names":false,"suffix":""},{"dropping-particle":"","family":"Walker Phd","given":"Matthew C","non-dropping-particle":"","parse-names":false,"suffix":""},{"dropping-particle":"","family":"Williams","given":"Robin S B","non-dropping-particle":"","parse-names":false,"suffix":""}],"container-title":"Neurology","id":"ITEM-1","issue":"1","issued":{"date-parts":[["2018"]]},"page":"84-93","title":"Medium chain triglyceride ketogenic diet in neurological and metabolic disorders","type":"article-journal","volume":"17"},"uris":["http://www.mendeley.com/documents/?uuid=c2688558-53a4-40f6-aab3-9a148aa681f6"]},{"id":"ITEM-2","itemData":{"DOI":"10.1016/S0278-6915(99)00106-4","ISSN":"02786915","PMID":"10685018","abstract":"Medium chain triglycerides (MCTs) are a family of triglycerides, containing predominantly, caprylic (C8) and capric (C10) fatty acids with lesser amounts of caproic (C6) and lauric (C12) fatty acids. MCTs are widely used for parenteral nutrition in individuals requiring supplemental nutrition and are being more widely used in foods, drugs and cosmetics. MCTs are essentially non-toxic in acute toxicity tests conducted in several species of animals. In ocular and dermal irritation testing MCTs exhibit virtually no potential as ocular or dermal irritants, even with prolonged eye or skin exposure. MCTs exhibit no capacity for induction of hypersensitivity. Ninety-day toxicity tests did not result in notable toxicity, whether the product was administered in the diet up to 9375 mg/kg body weight/day or by intramuscular (im) injection (up to 0.5 ml/kg/day, rabbits). There was no evidence that intravenous (iv) or dietary administration of MCTs adversely affected the reproductive performance of rats or resulted in maternal toxicity, foetal toxicity or teratogenic effects at doses up to 4.28 g/kg body weight/day (iv) or 12,500 mg/kg body weight/day (dietary). There was no evidence that dietary administration of MCTs adversely affected the reproductive performance of pigs or resulted in maternal toxicity, foetal toxicity or teratogenic effects at doses up to 4000 mg/kg body weight/day in the diet. In rabbits, following iv administration, the maternal and foetal no-observed-adverse-effect levels (NOAELs) were between 1.0 and 4.28 g/kg body weight/day. A 2-year study in rats, conducted with a closely related compound (tricaprylin, a triglyceride with C8 fatty acids), provided no evidence of a carcinogenic effect when the material was administered by oral gavage at levels up to 10 ml/kg (9.54 g/kg) per day. Although tricaprylin was found to be positive in one of five strains of Salmonella typhimurium in the presence of metabolic activation in an Ames mutagenicity assay, the results of the carcinogenicity test with tricaprylin and mutagenicity tests with caprylic acid indicate that MCTs do not have the potential to be carcinogenic or mutagenic. The safety of human dietary consumption of MCTs, up to levels of 1 g/kg, has been confirmed in several clinical trials. (C) 2000 Elsevier Science Ltd.","author":[{"dropping-particle":"","family":"Traul","given":"K. A.","non-dropping-particle":"","parse-names":false,"suffix":""},{"dropping-particle":"","family":"Driedger","given":"A.","non-dropping-particle":"","parse-names":false,"suffix":""},{"dropping-particle":"","family":"Ingle","given":"D. L.","non-dropping-particle":"","parse-names":false,"suffix":""},{"dropping-particle":"","family":"Nakhasi","given":"D.","non-dropping-particle":"","parse-names":false,"suffix":""}],"container-title":"Food and Chemical Toxicology","id":"ITEM-2","issue":"1","issued":{"date-parts":[["2000"]]},"page":"79-98","title":"Review of the toxicologic properties of medium-chain triglycerides","type":"article-journal","volume":"38"},"uris":["http://www.mendeley.com/documents/?uuid=bb7d2f83-a04c-4342-b8c5-f1652b49aa4c"]}],"mendeley":{"formattedCitation":"[1,10]","plainTextFormattedCitation":"[1,10]","previouslyFormattedCitation":"[1,10]"},"properties":{"noteIndex":0},"schema":"https://github.com/citation-style-language/schema/raw/master/csl-citation.json"}</w:instrText>
      </w:r>
      <w:r w:rsidR="0046582B" w:rsidRPr="00016E04">
        <w:rPr>
          <w:rFonts w:eastAsia="Times New Roman"/>
          <w:bCs/>
          <w:color w:val="000000" w:themeColor="text1"/>
        </w:rPr>
        <w:fldChar w:fldCharType="separate"/>
      </w:r>
      <w:r w:rsidR="0046582B" w:rsidRPr="00016E04">
        <w:rPr>
          <w:rFonts w:eastAsia="Times New Roman"/>
          <w:bCs/>
          <w:noProof/>
          <w:color w:val="000000" w:themeColor="text1"/>
        </w:rPr>
        <w:t>[1,10]</w:t>
      </w:r>
      <w:r w:rsidR="0046582B" w:rsidRPr="00016E04">
        <w:rPr>
          <w:rFonts w:eastAsia="Times New Roman"/>
          <w:bCs/>
          <w:color w:val="000000" w:themeColor="text1"/>
        </w:rPr>
        <w:fldChar w:fldCharType="end"/>
      </w:r>
      <w:r w:rsidR="00DC09B2" w:rsidRPr="00016E04">
        <w:rPr>
          <w:rFonts w:eastAsia="Times New Roman"/>
          <w:bCs/>
          <w:color w:val="000000" w:themeColor="text1"/>
        </w:rPr>
        <w:t xml:space="preserve">. Acetone is mainly excreted as a waste product through urine </w:t>
      </w:r>
      <w:r w:rsidR="0046582B" w:rsidRPr="00016E04">
        <w:rPr>
          <w:rFonts w:eastAsia="Times New Roman"/>
          <w:bCs/>
          <w:color w:val="000000" w:themeColor="text1"/>
        </w:rPr>
        <w:t xml:space="preserve">or </w:t>
      </w:r>
      <w:r w:rsidR="00DC09B2" w:rsidRPr="00016E04">
        <w:rPr>
          <w:rFonts w:eastAsia="Times New Roman"/>
          <w:bCs/>
          <w:color w:val="000000" w:themeColor="text1"/>
        </w:rPr>
        <w:t>CO</w:t>
      </w:r>
      <w:r w:rsidR="00DC09B2" w:rsidRPr="00016E04">
        <w:rPr>
          <w:rFonts w:eastAsia="Times New Roman"/>
          <w:bCs/>
          <w:color w:val="000000" w:themeColor="text1"/>
          <w:vertAlign w:val="subscript"/>
        </w:rPr>
        <w:t>2</w:t>
      </w:r>
      <w:r w:rsidR="005B5FC3" w:rsidRPr="00016E04">
        <w:rPr>
          <w:rFonts w:eastAsia="Times New Roman"/>
          <w:bCs/>
          <w:color w:val="000000" w:themeColor="text1"/>
        </w:rPr>
        <w:t xml:space="preserve">, </w:t>
      </w:r>
      <w:r w:rsidR="00DC09B2" w:rsidRPr="00016E04">
        <w:rPr>
          <w:rFonts w:eastAsia="Times New Roman"/>
          <w:bCs/>
          <w:color w:val="000000" w:themeColor="text1"/>
        </w:rPr>
        <w:t xml:space="preserve">but can also </w:t>
      </w:r>
      <w:r w:rsidR="00CD37D8" w:rsidRPr="00016E04">
        <w:rPr>
          <w:rFonts w:eastAsia="Times New Roman"/>
          <w:bCs/>
          <w:color w:val="000000" w:themeColor="text1"/>
        </w:rPr>
        <w:t>enter gl</w:t>
      </w:r>
      <w:r w:rsidR="004F2A1F" w:rsidRPr="00016E04">
        <w:rPr>
          <w:rFonts w:eastAsia="Times New Roman"/>
          <w:bCs/>
          <w:color w:val="000000" w:themeColor="text1"/>
        </w:rPr>
        <w:t>uconeogenesis</w:t>
      </w:r>
      <w:r w:rsidR="00CD37D8" w:rsidRPr="00016E04">
        <w:rPr>
          <w:rFonts w:eastAsia="Times New Roman"/>
          <w:bCs/>
          <w:color w:val="000000" w:themeColor="text1"/>
        </w:rPr>
        <w:t xml:space="preserve"> to produce glucose</w:t>
      </w:r>
      <w:r w:rsidR="00616D7D" w:rsidRPr="00016E04">
        <w:rPr>
          <w:rFonts w:eastAsia="Times New Roman"/>
          <w:bCs/>
          <w:color w:val="000000" w:themeColor="text1"/>
        </w:rPr>
        <w:t xml:space="preserve"> </w:t>
      </w:r>
      <w:r w:rsidR="00616D7D" w:rsidRPr="00016E04">
        <w:rPr>
          <w:rFonts w:eastAsia="Times New Roman"/>
          <w:bCs/>
          <w:color w:val="000000" w:themeColor="text1"/>
        </w:rPr>
        <w:fldChar w:fldCharType="begin" w:fldLock="1"/>
      </w:r>
      <w:r w:rsidR="00A44B40" w:rsidRPr="00016E04">
        <w:rPr>
          <w:rFonts w:eastAsia="Times New Roman"/>
          <w:bCs/>
          <w:color w:val="000000" w:themeColor="text1"/>
        </w:rPr>
        <w:instrText>ADDIN CSL_CITATION {"citationItems":[{"id":"ITEM-1","itemData":{"author":[{"dropping-particle":"","family":"Augustin Bsc","given":"Katrin","non-dropping-particle":"","parse-names":false,"suffix":""},{"dropping-particle":"","family":"Khabbush Phd","given":"Aziza","non-dropping-particle":"","parse-names":false,"suffix":""},{"dropping-particle":"","family":"Phd","given":"Sophie Williams","non-dropping-particle":"","parse-names":false,"suffix":""},{"dropping-particle":"","family":"Eaton Phd","given":"Simon","non-dropping-particle":"","parse-names":false,"suffix":""},{"dropping-particle":"","family":"Orford Phd","given":"Michael","non-dropping-particle":"","parse-names":false,"suffix":""},{"dropping-particle":"","family":"Cross Phd","given":"J Helen","non-dropping-particle":"","parse-names":false,"suffix":""},{"dropping-particle":"","family":"Heales","given":"Simon J R","non-dropping-particle":"","parse-names":false,"suffix":""},{"dropping-particle":"","family":"Walker Phd","given":"Matthew C","non-dropping-particle":"","parse-names":false,"suffix":""},{"dropping-particle":"","family":"Williams","given":"Robin S B","non-dropping-particle":"","parse-names":false,"suffix":""}],"container-title":"Neurology","id":"ITEM-1","issue":"1","issued":{"date-parts":[["2018"]]},"page":"84-93","title":"Medium chain triglyceride ketogenic diet in neurological and metabolic disorders","type":"article-journal","volume":"17"},"uris":["http://www.mendeley.com/documents/?uuid=c2688558-53a4-40f6-aab3-9a148aa681f6"]}],"mendeley":{"formattedCitation":"[10]","plainTextFormattedCitation":"[10]","previouslyFormattedCitation":"[10]"},"properties":{"noteIndex":0},"schema":"https://github.com/citation-style-language/schema/raw/master/csl-citation.json"}</w:instrText>
      </w:r>
      <w:r w:rsidR="00616D7D" w:rsidRPr="00016E04">
        <w:rPr>
          <w:rFonts w:eastAsia="Times New Roman"/>
          <w:bCs/>
          <w:color w:val="000000" w:themeColor="text1"/>
        </w:rPr>
        <w:fldChar w:fldCharType="separate"/>
      </w:r>
      <w:r w:rsidR="00616D7D" w:rsidRPr="00016E04">
        <w:rPr>
          <w:rFonts w:eastAsia="Times New Roman"/>
          <w:bCs/>
          <w:noProof/>
          <w:color w:val="000000" w:themeColor="text1"/>
        </w:rPr>
        <w:t>[10]</w:t>
      </w:r>
      <w:r w:rsidR="00616D7D" w:rsidRPr="00016E04">
        <w:rPr>
          <w:rFonts w:eastAsia="Times New Roman"/>
          <w:bCs/>
          <w:color w:val="000000" w:themeColor="text1"/>
        </w:rPr>
        <w:fldChar w:fldCharType="end"/>
      </w:r>
      <w:r w:rsidR="00CD37D8" w:rsidRPr="00016E04">
        <w:rPr>
          <w:rFonts w:eastAsia="Times New Roman"/>
          <w:bCs/>
          <w:color w:val="000000" w:themeColor="text1"/>
        </w:rPr>
        <w:t xml:space="preserve">. Acetoacetate and βHB travel through the blood stream and enter the mitochondria of brain and muscle cells. Here, more </w:t>
      </w:r>
      <w:r w:rsidR="004F2A1F" w:rsidRPr="00016E04">
        <w:rPr>
          <w:rFonts w:eastAsia="Times New Roman"/>
          <w:bCs/>
          <w:color w:val="000000" w:themeColor="text1"/>
        </w:rPr>
        <w:t>A</w:t>
      </w:r>
      <w:r w:rsidR="00CD37D8" w:rsidRPr="00016E04">
        <w:rPr>
          <w:rFonts w:eastAsia="Times New Roman"/>
          <w:bCs/>
          <w:color w:val="000000" w:themeColor="text1"/>
        </w:rPr>
        <w:t>cetoacetate is generated from βHB via the enzyme 3-β-hydroxybutyrate dehydrogenase (BDH). This is then transformed into Acetoacetyl-CoA via succinyl-CoA-oxoacid CoA transferase (SCOT). Finally</w:t>
      </w:r>
      <w:r w:rsidR="005B5FC3" w:rsidRPr="00016E04">
        <w:rPr>
          <w:rFonts w:eastAsia="Times New Roman"/>
          <w:bCs/>
          <w:color w:val="000000" w:themeColor="text1"/>
        </w:rPr>
        <w:t>,</w:t>
      </w:r>
      <w:r w:rsidR="00CD37D8" w:rsidRPr="00016E04">
        <w:rPr>
          <w:rFonts w:eastAsia="Times New Roman"/>
          <w:bCs/>
          <w:color w:val="000000" w:themeColor="text1"/>
        </w:rPr>
        <w:t xml:space="preserve"> beta-ketoscyl-CoA metabolises this i</w:t>
      </w:r>
      <w:r w:rsidR="005B5FC3" w:rsidRPr="00016E04">
        <w:rPr>
          <w:rFonts w:eastAsia="Times New Roman"/>
          <w:bCs/>
          <w:color w:val="000000" w:themeColor="text1"/>
        </w:rPr>
        <w:t>nt</w:t>
      </w:r>
      <w:r w:rsidR="00CD37D8" w:rsidRPr="00016E04">
        <w:rPr>
          <w:rFonts w:eastAsia="Times New Roman"/>
          <w:bCs/>
          <w:color w:val="000000" w:themeColor="text1"/>
        </w:rPr>
        <w:t>o Acetyl-CoA which enters the Krebs Cycle, producing NADH and FADH</w:t>
      </w:r>
      <w:r w:rsidR="00CD37D8" w:rsidRPr="00016E04">
        <w:rPr>
          <w:rFonts w:eastAsia="Times New Roman"/>
          <w:bCs/>
          <w:color w:val="000000" w:themeColor="text1"/>
          <w:vertAlign w:val="subscript"/>
        </w:rPr>
        <w:t>2</w:t>
      </w:r>
      <w:r w:rsidR="00CD37D8" w:rsidRPr="00016E04">
        <w:rPr>
          <w:rFonts w:eastAsia="Times New Roman"/>
          <w:bCs/>
          <w:color w:val="000000" w:themeColor="text1"/>
        </w:rPr>
        <w:t xml:space="preserve"> </w:t>
      </w:r>
      <w:r w:rsidR="005B5FC3" w:rsidRPr="00016E04">
        <w:rPr>
          <w:rFonts w:eastAsia="Times New Roman"/>
          <w:bCs/>
          <w:color w:val="000000" w:themeColor="text1"/>
        </w:rPr>
        <w:t>for</w:t>
      </w:r>
      <w:r w:rsidR="00CD37D8" w:rsidRPr="00016E04">
        <w:rPr>
          <w:rFonts w:eastAsia="Times New Roman"/>
          <w:bCs/>
          <w:color w:val="000000" w:themeColor="text1"/>
        </w:rPr>
        <w:t xml:space="preserve"> the Electron Transport Chain (ETC)</w:t>
      </w:r>
      <w:r w:rsidR="0046582B" w:rsidRPr="00016E04">
        <w:rPr>
          <w:rFonts w:eastAsia="Times New Roman"/>
          <w:bCs/>
          <w:color w:val="000000" w:themeColor="text1"/>
        </w:rPr>
        <w:t xml:space="preserve"> </w:t>
      </w:r>
      <w:r w:rsidR="0046582B" w:rsidRPr="00016E04">
        <w:rPr>
          <w:rFonts w:eastAsia="Times New Roman"/>
          <w:bCs/>
          <w:color w:val="000000" w:themeColor="text1"/>
        </w:rPr>
        <w:fldChar w:fldCharType="begin" w:fldLock="1"/>
      </w:r>
      <w:r w:rsidR="00616D7D" w:rsidRPr="00016E04">
        <w:rPr>
          <w:rFonts w:eastAsia="Times New Roman"/>
          <w:bCs/>
          <w:color w:val="000000" w:themeColor="text1"/>
        </w:rPr>
        <w:instrText>ADDIN CSL_CITATION {"citationItems":[{"id":"ITEM-1","itemData":{"DOI":"10.1016/j.nurt.2008.05.004","ISSN":"19337213","abstract":"An early feature of Alzheimer's disease (AD) is region-specific declines in brain glucose metabolism. Unlike other tissues in the body, the brain does not efficiently metabolize fats; hence the adult human brain relies almost exclusively on glucose as an energy substrate. Therefore, inhibition of glucose metabolism can have profound effects on brain function. The hypometabolism seen in AD has recently attracted attention as a possible target for intervention in the disease process. One promising approach is to supplement the normal glucose supply of the brain with ketone bodies (KB), which include acetoacetate, β-hydroxybutyrate, and acetone. KB are normally produced from fat stores when glucose supplies are limited, such as during prolonged fasting. KB have been induced both by direct infusion and by the administration of a high-fat, low-carbohydrate, low-protein, ketogenic diets. Both approaches have demonstrated efficacy in animal models of neurodegenerative disorders and in human clinical trials, including AD trials. Much of the benefit of KB can be attributed to their ability to increase mitochondrial efficiency and supplement the brain's normal reliance on glucose. Research into the therapeutic potential of KB and ketosis represents a promising new area of AD research. © 2008 The American Society for Experimental NeuroTherapeutics, Inc.","author":[{"dropping-particle":"","family":"Henderson","given":"Samuel T.","non-dropping-particle":"","parse-names":false,"suffix":""}],"container-title":"Neurotherapeutics","id":"ITEM-1","issue":"3","issued":{"date-parts":[["2008"]]},"page":"470-480","title":"Ketone Bodies as a Therapeutic for Alzheimer's Disease","type":"article-journal","volume":"5"},"uris":["http://www.mendeley.com/documents/?uuid=859b1f29-2673-47da-9754-e627b90b79bd"]},{"id":"ITEM-2","itemData":{"DOI":"10.36648/1791-809x.14.1.690","author":[{"dropping-particle":"","family":"Smith","given":"Michael Paden","non-dropping-particle":"","parse-names":false,"suffix":""}],"container-title":"Health Science Journal","id":"ITEM-2","issue":"1","issued":{"date-parts":[["2020"]]},"publisher":"Insight Medical Publishing","title":"Medical and Therapeutic Applications of Ketosis: An Overview","type":"article-journal","volume":"14"},"uris":["http://www.mendeley.com/documents/?uuid=b96e0286-1d51-30f2-8029-608f73181838"]}],"mendeley":{"formattedCitation":"[19,20]","plainTextFormattedCitation":"[19,20]","previouslyFormattedCitation":"[19,20]"},"properties":{"noteIndex":0},"schema":"https://github.com/citation-style-language/schema/raw/master/csl-citation.json"}</w:instrText>
      </w:r>
      <w:r w:rsidR="0046582B" w:rsidRPr="00016E04">
        <w:rPr>
          <w:rFonts w:eastAsia="Times New Roman"/>
          <w:bCs/>
          <w:color w:val="000000" w:themeColor="text1"/>
        </w:rPr>
        <w:fldChar w:fldCharType="separate"/>
      </w:r>
      <w:r w:rsidR="00FD5371" w:rsidRPr="00016E04">
        <w:rPr>
          <w:rFonts w:eastAsia="Times New Roman"/>
          <w:bCs/>
          <w:noProof/>
          <w:color w:val="000000" w:themeColor="text1"/>
        </w:rPr>
        <w:t>[19,20]</w:t>
      </w:r>
      <w:r w:rsidR="0046582B" w:rsidRPr="00016E04">
        <w:rPr>
          <w:rFonts w:eastAsia="Times New Roman"/>
          <w:bCs/>
          <w:color w:val="000000" w:themeColor="text1"/>
        </w:rPr>
        <w:fldChar w:fldCharType="end"/>
      </w:r>
      <w:r w:rsidR="005B5FC3" w:rsidRPr="00016E04">
        <w:rPr>
          <w:rFonts w:eastAsia="Times New Roman"/>
          <w:bCs/>
          <w:color w:val="000000" w:themeColor="text1"/>
        </w:rPr>
        <w:t>. The ETC</w:t>
      </w:r>
      <w:r w:rsidR="00CD37D8" w:rsidRPr="00016E04">
        <w:rPr>
          <w:rFonts w:eastAsia="Times New Roman"/>
          <w:bCs/>
          <w:color w:val="000000" w:themeColor="text1"/>
        </w:rPr>
        <w:t xml:space="preserve"> genera</w:t>
      </w:r>
      <w:r w:rsidR="005B5FC3" w:rsidRPr="00016E04">
        <w:rPr>
          <w:rFonts w:eastAsia="Times New Roman"/>
          <w:bCs/>
          <w:color w:val="000000" w:themeColor="text1"/>
        </w:rPr>
        <w:t>tes</w:t>
      </w:r>
      <w:r w:rsidR="00CD37D8" w:rsidRPr="00016E04">
        <w:rPr>
          <w:rFonts w:eastAsia="Times New Roman"/>
          <w:bCs/>
          <w:color w:val="000000" w:themeColor="text1"/>
        </w:rPr>
        <w:t xml:space="preserve"> 23 molecules of ATP for each Acetoacetate </w:t>
      </w:r>
      <w:r w:rsidR="005B5FC3" w:rsidRPr="00016E04">
        <w:rPr>
          <w:rFonts w:eastAsia="Times New Roman"/>
          <w:bCs/>
          <w:color w:val="000000" w:themeColor="text1"/>
        </w:rPr>
        <w:t xml:space="preserve">molecule </w:t>
      </w:r>
      <w:r w:rsidR="00CD37D8" w:rsidRPr="00016E04">
        <w:rPr>
          <w:rFonts w:eastAsia="Times New Roman"/>
          <w:bCs/>
          <w:color w:val="000000" w:themeColor="text1"/>
        </w:rPr>
        <w:t>and 26 molecules of ATP per βHB</w:t>
      </w:r>
      <w:r w:rsidR="00E46B53" w:rsidRPr="00016E04">
        <w:rPr>
          <w:rFonts w:eastAsia="Times New Roman"/>
          <w:bCs/>
          <w:color w:val="000000" w:themeColor="text1"/>
        </w:rPr>
        <w:t xml:space="preserve"> </w:t>
      </w:r>
      <w:r w:rsidR="00E46B53" w:rsidRPr="00016E04">
        <w:rPr>
          <w:rFonts w:eastAsia="Times New Roman"/>
          <w:bCs/>
          <w:color w:val="000000" w:themeColor="text1"/>
        </w:rPr>
        <w:fldChar w:fldCharType="begin" w:fldLock="1"/>
      </w:r>
      <w:r w:rsidR="00616D7D" w:rsidRPr="00016E04">
        <w:rPr>
          <w:rFonts w:eastAsia="Times New Roman"/>
          <w:bCs/>
          <w:color w:val="000000" w:themeColor="text1"/>
        </w:rPr>
        <w:instrText>ADDIN CSL_CITATION {"citationItems":[{"id":"ITEM-1","itemData":{"DOI":"10.15252/embj.201695810","ISSN":"0261-4189","PMID":"28438892","abstract":"Published 2017. This article is a U.S. Government work and is in the public domain in the USA Brain cells normally respond adaptively to bioenergetic challenges resulting from ongoing activity in neuronal circuits, and from environmental energetic stressors such as food deprivation and physical exertion. At the cellular level, such adaptive responses include the “strengthening” of existing synapses, the formation of new synapses, and the production of new neurons from stem cells. At the molecular level, bioenergetic challenges result in the activation of transcription factors that induce the expression of proteins that bolster the resistance of neurons to the kinds of metabolic, oxidative, excitotoxic, and proteotoxic stresses involved in the pathogenesis of brain disorders including stroke, and Alzheimer's and Parkinson's diseases. Emerging findings suggest that lifestyles that include intermittent bioenergetic challenges, most notably exercise and dietary energy restriction, can increase the likelihood that the brain will function optimally and in the absence of disease throughout life. Here, we provide an overview of cellular and molecular mechanisms that regulate brain energy metabolism, how such mechanisms are altered during aging and in neurodegenerative disorders, and the potential applications to brain health and disease of interventions that engage pathways involved in neuronal adaptations to metabolic stress.","author":[{"dropping-particle":"","family":"Camandola","given":"Simonetta","non-dropping-particle":"","parse-names":false,"suffix":""},{"dropping-particle":"","family":"Mattson","given":"Mark P","non-dropping-particle":"","parse-names":false,"suffix":""}],"container-title":"The EMBO Journal","id":"ITEM-1","issue":"11","issued":{"date-parts":[["2017"]]},"page":"1474-1492","title":"Brain metabolism in health, aging, and neurodegeneration","type":"article-journal","volume":"36"},"uris":["http://www.mendeley.com/documents/?uuid=002396d3-ab69-4ee1-acf3-c0b3d7b5fa36"]}],"mendeley":{"formattedCitation":"[58]","plainTextFormattedCitation":"[58]","previouslyFormattedCitation":"[58]"},"properties":{"noteIndex":0},"schema":"https://github.com/citation-style-language/schema/raw/master/csl-citation.json"}</w:instrText>
      </w:r>
      <w:r w:rsidR="00E46B53" w:rsidRPr="00016E04">
        <w:rPr>
          <w:rFonts w:eastAsia="Times New Roman"/>
          <w:bCs/>
          <w:color w:val="000000" w:themeColor="text1"/>
        </w:rPr>
        <w:fldChar w:fldCharType="separate"/>
      </w:r>
      <w:r w:rsidR="00616D7D" w:rsidRPr="00016E04">
        <w:rPr>
          <w:rFonts w:eastAsia="Times New Roman"/>
          <w:bCs/>
          <w:noProof/>
          <w:color w:val="000000" w:themeColor="text1"/>
        </w:rPr>
        <w:t>[58]</w:t>
      </w:r>
      <w:r w:rsidR="00E46B53" w:rsidRPr="00016E04">
        <w:rPr>
          <w:rFonts w:eastAsia="Times New Roman"/>
          <w:bCs/>
          <w:color w:val="000000" w:themeColor="text1"/>
        </w:rPr>
        <w:fldChar w:fldCharType="end"/>
      </w:r>
      <w:r w:rsidR="00CD37D8" w:rsidRPr="00016E04">
        <w:rPr>
          <w:rFonts w:eastAsia="Times New Roman"/>
          <w:bCs/>
          <w:color w:val="000000" w:themeColor="text1"/>
        </w:rPr>
        <w:t>.</w:t>
      </w:r>
    </w:p>
    <w:p w14:paraId="4D9B570C" w14:textId="19D2DFE3" w:rsidR="000203E9" w:rsidRPr="00016E04" w:rsidRDefault="000203E9" w:rsidP="000203E9">
      <w:pPr>
        <w:spacing w:before="240" w:after="240" w:line="360" w:lineRule="auto"/>
        <w:jc w:val="both"/>
        <w:rPr>
          <w:rFonts w:eastAsia="Times New Roman"/>
          <w:color w:val="000000" w:themeColor="text1"/>
        </w:rPr>
      </w:pPr>
      <w:r w:rsidRPr="00016E04">
        <w:rPr>
          <w:rFonts w:eastAsia="Times New Roman"/>
          <w:b/>
          <w:color w:val="000000" w:themeColor="text1"/>
        </w:rPr>
        <w:t xml:space="preserve">Figure </w:t>
      </w:r>
      <w:r w:rsidR="00366A0F" w:rsidRPr="00016E04">
        <w:rPr>
          <w:rFonts w:eastAsia="Times New Roman"/>
          <w:b/>
          <w:color w:val="000000" w:themeColor="text1"/>
        </w:rPr>
        <w:t>2</w:t>
      </w:r>
      <w:r w:rsidRPr="00016E04">
        <w:rPr>
          <w:rFonts w:eastAsia="Times New Roman"/>
          <w:b/>
          <w:color w:val="000000" w:themeColor="text1"/>
        </w:rPr>
        <w:t xml:space="preserve">. </w:t>
      </w:r>
      <w:r w:rsidRPr="00016E04">
        <w:rPr>
          <w:rFonts w:eastAsia="Times New Roman"/>
          <w:color w:val="000000" w:themeColor="text1"/>
        </w:rPr>
        <w:t>Schematic view of participant flow.</w:t>
      </w:r>
    </w:p>
    <w:p w14:paraId="0FF38159" w14:textId="08AD7ABE" w:rsidR="00073222" w:rsidRPr="00366A0F" w:rsidRDefault="000203E9" w:rsidP="000203E9">
      <w:pPr>
        <w:spacing w:before="240" w:after="240" w:line="360" w:lineRule="auto"/>
        <w:jc w:val="both"/>
        <w:rPr>
          <w:rFonts w:eastAsia="Times New Roman"/>
        </w:rPr>
        <w:sectPr w:rsidR="00073222" w:rsidRPr="00366A0F" w:rsidSect="00073222">
          <w:pgSz w:w="11909" w:h="16834"/>
          <w:pgMar w:top="1440" w:right="1440" w:bottom="1440" w:left="1440" w:header="720" w:footer="720" w:gutter="0"/>
          <w:lnNumType w:countBy="1" w:restart="continuous"/>
          <w:pgNumType w:start="1"/>
          <w:cols w:space="720"/>
          <w:docGrid w:linePitch="299"/>
        </w:sectPr>
      </w:pPr>
      <w:r w:rsidRPr="00016E04">
        <w:rPr>
          <w:rFonts w:eastAsia="Times New Roman"/>
          <w:b/>
          <w:color w:val="000000" w:themeColor="text1"/>
        </w:rPr>
        <w:t xml:space="preserve">Figure </w:t>
      </w:r>
      <w:r w:rsidR="00366A0F" w:rsidRPr="00016E04">
        <w:rPr>
          <w:rFonts w:eastAsia="Times New Roman"/>
          <w:b/>
          <w:color w:val="000000" w:themeColor="text1"/>
        </w:rPr>
        <w:t>3</w:t>
      </w:r>
      <w:r w:rsidRPr="00016E04">
        <w:rPr>
          <w:rFonts w:eastAsia="Times New Roman"/>
          <w:b/>
          <w:color w:val="000000" w:themeColor="text1"/>
        </w:rPr>
        <w:t>.</w:t>
      </w:r>
      <w:r w:rsidRPr="00016E04">
        <w:rPr>
          <w:rFonts w:eastAsia="Times New Roman"/>
          <w:color w:val="000000" w:themeColor="text1"/>
        </w:rPr>
        <w:t xml:space="preserve"> Adjusted </w:t>
      </w:r>
      <w:r w:rsidR="009A2534" w:rsidRPr="00016E04">
        <w:rPr>
          <w:rFonts w:eastAsia="Times New Roman"/>
          <w:color w:val="000000" w:themeColor="text1"/>
        </w:rPr>
        <w:t>m</w:t>
      </w:r>
      <w:r w:rsidRPr="00016E04">
        <w:rPr>
          <w:rFonts w:eastAsia="Times New Roman"/>
          <w:color w:val="000000" w:themeColor="text1"/>
        </w:rPr>
        <w:t>ean difference</w:t>
      </w:r>
      <w:r w:rsidR="009A2534" w:rsidRPr="00016E04">
        <w:rPr>
          <w:rFonts w:eastAsia="Times New Roman"/>
          <w:color w:val="000000" w:themeColor="text1"/>
        </w:rPr>
        <w:t>s</w:t>
      </w:r>
      <w:r w:rsidRPr="00016E04">
        <w:rPr>
          <w:rFonts w:eastAsia="Times New Roman"/>
          <w:color w:val="000000" w:themeColor="text1"/>
        </w:rPr>
        <w:t xml:space="preserve"> from baseline ± SE values for A) Trail Making A; B) Trail Making B; </w:t>
      </w:r>
      <w:r w:rsidRPr="00366A0F">
        <w:rPr>
          <w:rFonts w:eastAsia="Times New Roman"/>
        </w:rPr>
        <w:t xml:space="preserve">C) Digit Span Forwards; D) Digit Span Backwards; E) Spatial Span Forwards; F) Spatial Span Backwards. * denotes </w:t>
      </w:r>
      <w:r w:rsidR="009A2534" w:rsidRPr="00366A0F">
        <w:rPr>
          <w:rFonts w:eastAsia="Times New Roman"/>
        </w:rPr>
        <w:t xml:space="preserve">a </w:t>
      </w:r>
      <w:r w:rsidRPr="00366A0F">
        <w:rPr>
          <w:rFonts w:eastAsia="Times New Roman"/>
        </w:rPr>
        <w:t xml:space="preserve">significant difference </w:t>
      </w:r>
      <w:r w:rsidR="009A2534" w:rsidRPr="00366A0F">
        <w:rPr>
          <w:rFonts w:eastAsia="Times New Roman"/>
        </w:rPr>
        <w:t xml:space="preserve">between the 12g/18g group and </w:t>
      </w:r>
      <w:r w:rsidRPr="00366A0F">
        <w:rPr>
          <w:rFonts w:eastAsia="Times New Roman"/>
        </w:rPr>
        <w:t xml:space="preserve">the Placebo Group; # denotes a significant difference </w:t>
      </w:r>
      <w:r w:rsidR="009A2534" w:rsidRPr="00366A0F">
        <w:rPr>
          <w:rFonts w:eastAsia="Times New Roman"/>
        </w:rPr>
        <w:t>between the 18g group</w:t>
      </w:r>
      <w:r w:rsidR="00E80D83" w:rsidRPr="00366A0F">
        <w:rPr>
          <w:rFonts w:eastAsia="Times New Roman"/>
        </w:rPr>
        <w:t xml:space="preserve"> and both the 12g and Placebo Groups</w:t>
      </w:r>
      <w:r w:rsidRPr="00366A0F">
        <w:rPr>
          <w:rFonts w:eastAsia="Times New Roman"/>
        </w:rPr>
        <w:t>.</w:t>
      </w:r>
    </w:p>
    <w:p w14:paraId="308B50B0" w14:textId="1AF49D58" w:rsidR="00073222" w:rsidRPr="00366A0F" w:rsidRDefault="00073222" w:rsidP="00073222">
      <w:pPr>
        <w:spacing w:after="160" w:line="360" w:lineRule="auto"/>
        <w:jc w:val="both"/>
        <w:rPr>
          <w:rFonts w:eastAsia="Calibri"/>
          <w:b/>
          <w:lang w:eastAsia="en-US"/>
        </w:rPr>
      </w:pPr>
      <w:r w:rsidRPr="00366A0F">
        <w:rPr>
          <w:rFonts w:eastAsia="Calibri"/>
          <w:b/>
          <w:lang w:eastAsia="en-US"/>
        </w:rPr>
        <w:lastRenderedPageBreak/>
        <w:t>Reference</w:t>
      </w:r>
      <w:r w:rsidR="001807BD" w:rsidRPr="00366A0F">
        <w:rPr>
          <w:rFonts w:eastAsia="Calibri"/>
          <w:b/>
          <w:lang w:eastAsia="en-US"/>
        </w:rPr>
        <w:t>s</w:t>
      </w:r>
    </w:p>
    <w:p w14:paraId="794D5829" w14:textId="4A268FB3" w:rsidR="00A44B40" w:rsidRPr="00A44B40" w:rsidRDefault="00073222" w:rsidP="00A44B40">
      <w:pPr>
        <w:widowControl w:val="0"/>
        <w:autoSpaceDE w:val="0"/>
        <w:autoSpaceDN w:val="0"/>
        <w:adjustRightInd w:val="0"/>
        <w:spacing w:after="160" w:line="360" w:lineRule="auto"/>
        <w:ind w:left="640" w:hanging="640"/>
        <w:rPr>
          <w:noProof/>
        </w:rPr>
      </w:pPr>
      <w:r w:rsidRPr="00366A0F">
        <w:rPr>
          <w:rFonts w:eastAsia="Calibri"/>
          <w:b/>
          <w:lang w:eastAsia="en-US"/>
        </w:rPr>
        <w:fldChar w:fldCharType="begin" w:fldLock="1"/>
      </w:r>
      <w:r w:rsidRPr="00366A0F">
        <w:rPr>
          <w:rFonts w:eastAsia="Calibri"/>
          <w:b/>
          <w:lang w:eastAsia="en-US"/>
        </w:rPr>
        <w:instrText xml:space="preserve">ADDIN Mendeley Bibliography CSL_BIBLIOGRAPHY </w:instrText>
      </w:r>
      <w:r w:rsidRPr="00366A0F">
        <w:rPr>
          <w:rFonts w:eastAsia="Calibri"/>
          <w:b/>
          <w:lang w:eastAsia="en-US"/>
        </w:rPr>
        <w:fldChar w:fldCharType="separate"/>
      </w:r>
      <w:r w:rsidR="00A44B40" w:rsidRPr="00A44B40">
        <w:rPr>
          <w:noProof/>
        </w:rPr>
        <w:t>[1]</w:t>
      </w:r>
      <w:r w:rsidR="00A44B40" w:rsidRPr="00A44B40">
        <w:rPr>
          <w:noProof/>
        </w:rPr>
        <w:tab/>
        <w:t>K.A. Traul, A. Driedger, D.L. Ingle, D. Nakhasi, Review of the toxicologic properties of medium-chain triglycerides, Food Chem. Toxicol. 38 (2000) 79–98. https://doi.org/10.1016/S0278-6915(99)00106-4.</w:t>
      </w:r>
    </w:p>
    <w:p w14:paraId="273C1CB9"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w:t>
      </w:r>
      <w:r w:rsidRPr="00A44B40">
        <w:rPr>
          <w:noProof/>
        </w:rPr>
        <w:tab/>
        <w:t>M.A. Rogawski, A fatty acid in the MCT ketogenic diet for epilepsy treatment blocks AMPA receptors, Brain. 139 (2016) 306–3</w:t>
      </w:r>
      <w:bookmarkStart w:id="4" w:name="_GoBack"/>
      <w:bookmarkEnd w:id="4"/>
      <w:r w:rsidRPr="00A44B40">
        <w:rPr>
          <w:noProof/>
        </w:rPr>
        <w:t>09. https://academic.oup.com/brain/article-abstract/139/2/306/1754056 (accessed June 12, 2020).</w:t>
      </w:r>
    </w:p>
    <w:p w14:paraId="4826BA8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w:t>
      </w:r>
      <w:r w:rsidRPr="00A44B40">
        <w:rPr>
          <w:noProof/>
        </w:rPr>
        <w:tab/>
        <w:t>A.E. Jeukendrup, S. Aldred, Fat supplementation, health, and endurance performance, Nutrition. 20 (2004) 678–688. https://doi.org/10.1016/j.nut.2004.04.018.</w:t>
      </w:r>
    </w:p>
    <w:p w14:paraId="10CF88CB"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w:t>
      </w:r>
      <w:r w:rsidRPr="00A44B40">
        <w:rPr>
          <w:noProof/>
        </w:rPr>
        <w:tab/>
        <w:t>K. Nagy, I.-D. Tiuca, Importance of Fatty Acids in Physiopathology of Human Body, in: Fat. Acids, InTech, 2017. https://doi.org/10.5772/67407.</w:t>
      </w:r>
    </w:p>
    <w:p w14:paraId="04BF97D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w:t>
      </w:r>
      <w:r w:rsidRPr="00A44B40">
        <w:rPr>
          <w:noProof/>
        </w:rPr>
        <w:tab/>
        <w:t>J.N. Hunt, M.T. Knox, A relation between the chain length of fatty acids and the slowing of gastric emptying, J. Physiol. 194 (1968) 327–336. https://doi.org/10.1113/jphysiol.1968.sp008411.</w:t>
      </w:r>
    </w:p>
    <w:p w14:paraId="45318AAB"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[6]</w:t>
      </w:r>
      <w:r w:rsidRPr="00A44B40">
        <w:rPr>
          <w:noProof/>
        </w:rPr>
        <w:tab/>
        <w:t>B.P.C. Chow, E.A. Shaffer, H.G. Parsons, Absorption of triglycerides in the absence of lipase, Can. J. Physiol. Pharmacol. 68 (1990) 519–523. https://doi.org/10.1139/y90-074.</w:t>
      </w:r>
    </w:p>
    <w:p w14:paraId="18A1A15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[7]</w:t>
      </w:r>
      <w:r w:rsidRPr="00A44B40">
        <w:rPr>
          <w:noProof/>
        </w:rPr>
        <w:tab/>
        <w:t>V. St-Pierre, C. Vandenberghe, C.M. Lowry, M. Fortier, C.A. Castellano, R. Wagner, S.C. Cunnane, Plasma ketone and medium chain fatty acid response in humans consuming different medium chain triglycerides during a metabolic study day, Front. Nutr. 6 (2019) 1–8. https://doi.org/10.3389/fnut.2019.00046.</w:t>
      </w:r>
    </w:p>
    <w:p w14:paraId="0BB7F4BB"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[8]</w:t>
      </w:r>
      <w:r w:rsidRPr="00A44B40">
        <w:rPr>
          <w:noProof/>
        </w:rPr>
        <w:tab/>
        <w:t>B. Bloom, I. Chaikoff, W. Reinhardt, Intestinal Lymph as Pathway for Transport of Absorbed Fatty Acids of Different Chain Lengths’, Am. J. Physiol. 166 (1951) 451–455.</w:t>
      </w:r>
    </w:p>
    <w:p w14:paraId="2B346727"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[9]</w:t>
      </w:r>
      <w:r w:rsidRPr="00A44B40">
        <w:rPr>
          <w:noProof/>
        </w:rPr>
        <w:tab/>
        <w:t>T.B. Seaton, S.L. Welle, M.K. Warenko, R.G. Campbell, Thermic effect of medium-chain and long-chain triglycerides in man, Am. J. Clin. Nutr. 44 (1986) 630–634. https://doi.org/10.1093/ajcn/44.5.630.</w:t>
      </w:r>
    </w:p>
    <w:p w14:paraId="14660602"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A44B40">
        <w:rPr>
          <w:noProof/>
        </w:rPr>
        <w:t>[10]</w:t>
      </w:r>
      <w:r w:rsidRPr="00A44B40">
        <w:rPr>
          <w:noProof/>
        </w:rPr>
        <w:tab/>
        <w:t xml:space="preserve">K. Augustin Bsc, A. Khabbush Phd, S.W. Phd, S. Eaton Phd, M. Orford Phd, J.H. Cross Phd, S.J.R. Heales, M.C. Walker Phd, R.S.B. Williams, Medium chain triglyceride ketogenic diet in neurological and metabolic disorders, Neurology. 17 </w:t>
      </w:r>
      <w:r w:rsidRPr="00A44B40">
        <w:rPr>
          <w:noProof/>
        </w:rPr>
        <w:lastRenderedPageBreak/>
        <w:t>(2018) 84–93. http://discovery.ucl.ac.uk/10033832/1/Ketogenic diet r</w:t>
      </w:r>
      <w:r w:rsidRPr="00016E04">
        <w:rPr>
          <w:noProof/>
          <w:color w:val="000000" w:themeColor="text1"/>
        </w:rPr>
        <w:t>eview_30_Oct_resubmission.pdf.</w:t>
      </w:r>
    </w:p>
    <w:p w14:paraId="29012F1A" w14:textId="3115FD84"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[11]</w:t>
      </w:r>
      <w:r w:rsidRPr="00016E04">
        <w:rPr>
          <w:noProof/>
          <w:color w:val="000000" w:themeColor="text1"/>
        </w:rPr>
        <w:tab/>
        <w:t>E.O. Weinman, E.H. Strisower, I.L. Chaikoff, Conversion of fatty acids to carbohydrate; application of isotopes to this problem and role of the Krebs cycle as a synthetic pathway, Physiol. Rev. 37 (1957) 252–272. https://doi.org/10.1152/physrev.1957.37.2.252.</w:t>
      </w:r>
    </w:p>
    <w:p w14:paraId="2D78D103"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[12]</w:t>
      </w:r>
      <w:r w:rsidRPr="00016E04">
        <w:rPr>
          <w:noProof/>
          <w:color w:val="000000" w:themeColor="text1"/>
        </w:rPr>
        <w:tab/>
        <w:t>J.M. Argilrs, Open Question conversion of fat to carbohydrate, Trends Biochem. Sci. 11 (1986) 61–63.</w:t>
      </w:r>
    </w:p>
    <w:p w14:paraId="0EF72E65"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[13]</w:t>
      </w:r>
      <w:r w:rsidRPr="00016E04">
        <w:rPr>
          <w:noProof/>
          <w:color w:val="000000" w:themeColor="text1"/>
        </w:rPr>
        <w:tab/>
        <w:t>B.R. Landau, H. Brunengraber, Conversion of Fat To Carbohydrate, Trends Biochem. Sci. 12 (1987) 113–114.</w:t>
      </w:r>
    </w:p>
    <w:p w14:paraId="3BBB850D"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[14]</w:t>
      </w:r>
      <w:r w:rsidRPr="00016E04">
        <w:rPr>
          <w:noProof/>
          <w:color w:val="000000" w:themeColor="text1"/>
        </w:rPr>
        <w:tab/>
        <w:t>G. Hetenyi, C. Ferrarotto, Gluconeogenesis from acetone in starved rats, Biochem. J. 231 (1985) 151–155. https://doi.org/10.1042/bj2310151.</w:t>
      </w:r>
    </w:p>
    <w:p w14:paraId="23EC0B95"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[15]</w:t>
      </w:r>
      <w:r w:rsidRPr="00016E04">
        <w:rPr>
          <w:noProof/>
          <w:color w:val="000000" w:themeColor="text1"/>
        </w:rPr>
        <w:tab/>
        <w:t>C. Kaleta, L.F. de Figueiredo, S. Werner, R. Guthke, M. Ristow, S. Schuster, In Silico evidence for gluconeogenesis from fatty acids in humans, PLoS Comput. Biol. 7 (2011) 1–10. https://doi.org/10.1371/journal.pcbi.1002116.</w:t>
      </w:r>
    </w:p>
    <w:p w14:paraId="31850E06" w14:textId="77777777" w:rsidR="00A44B40" w:rsidRPr="00016E04" w:rsidRDefault="00A44B40" w:rsidP="00A44B40">
      <w:pPr>
        <w:widowControl w:val="0"/>
        <w:autoSpaceDE w:val="0"/>
        <w:autoSpaceDN w:val="0"/>
        <w:adjustRightInd w:val="0"/>
        <w:spacing w:after="160" w:line="360" w:lineRule="auto"/>
        <w:ind w:left="640" w:hanging="640"/>
        <w:rPr>
          <w:noProof/>
          <w:color w:val="000000" w:themeColor="text1"/>
        </w:rPr>
      </w:pPr>
      <w:r w:rsidRPr="00016E04">
        <w:rPr>
          <w:noProof/>
          <w:color w:val="000000" w:themeColor="text1"/>
        </w:rPr>
        <w:t>[16]</w:t>
      </w:r>
      <w:r w:rsidRPr="00016E04">
        <w:rPr>
          <w:noProof/>
          <w:color w:val="000000" w:themeColor="text1"/>
        </w:rPr>
        <w:tab/>
        <w:t>E. Łoś-Rycharska, Z. Kieraszewicz, M. Czerwionka-Szaflarska, Medium chain triglycerides (MCT) formulas in paediatric and allergological practice, Prz. Gastroenterol. 11 (2016) 226–231. https://doi.org/10.5114/pg.2016.61374.</w:t>
      </w:r>
    </w:p>
    <w:p w14:paraId="5877CD2D" w14:textId="77777777" w:rsidR="00A44B40" w:rsidRPr="00A44B40" w:rsidRDefault="00A44B40" w:rsidP="00A44B40">
      <w:pPr>
        <w:widowControl w:val="0"/>
        <w:autoSpaceDE w:val="0"/>
        <w:autoSpaceDN w:val="0"/>
        <w:adjustRightInd w:val="0"/>
        <w:spacing w:after="160" w:line="360" w:lineRule="auto"/>
        <w:ind w:left="640" w:hanging="640"/>
        <w:rPr>
          <w:noProof/>
        </w:rPr>
      </w:pPr>
      <w:r w:rsidRPr="00016E04">
        <w:rPr>
          <w:noProof/>
          <w:color w:val="000000" w:themeColor="text1"/>
        </w:rPr>
        <w:t>[17]</w:t>
      </w:r>
      <w:r w:rsidRPr="00016E04">
        <w:rPr>
          <w:noProof/>
          <w:color w:val="000000" w:themeColor="text1"/>
        </w:rPr>
        <w:tab/>
        <w:t>K. Jong-Yeon, R. Hickner, … G.D.-M.-C., U. 2002, Long-and medium-chain fatty acid oxidation is increased in exercise-train</w:t>
      </w:r>
      <w:r w:rsidRPr="00A44B40">
        <w:rPr>
          <w:noProof/>
        </w:rPr>
        <w:t>ed human skeletal muscle, Metab. Exp. 51 (2002) 460–464. https://www.metabolismjournal.com/article/S0026-0495(02)26508-7/abstract (accessed July 22, 2020).</w:t>
      </w:r>
    </w:p>
    <w:p w14:paraId="07071EC1"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[18]</w:t>
      </w:r>
      <w:r w:rsidRPr="00A44B40">
        <w:rPr>
          <w:noProof/>
        </w:rPr>
        <w:tab/>
        <w:t>C. Vandenberghe, V. St-Pierre, T. Pierotti, M. Fortier, C.-A. Castellano, S.C. Cunnane, Tricaprylin Alone Increases Plasma Ketone Response More Than Coconut Oil or Other Medium-Chain Triglycerides: An Acute Crossover Study in Healthy Adults, Curr. Dev. Nutr. 1 (2017) e000257. https://doi.org/10.3945/cdn.116.000257.</w:t>
      </w:r>
    </w:p>
    <w:p w14:paraId="373378B4"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[19]</w:t>
      </w:r>
      <w:r w:rsidRPr="00A44B40">
        <w:rPr>
          <w:noProof/>
        </w:rPr>
        <w:tab/>
        <w:t>S.T. Henderson, Ketone Bodies as a Therapeutic for Alzheimer’s Disease, Neurotherapeutics. 5 (2008) 470–480. https://doi.org/10.1016/j.nurt.2008.05.004.</w:t>
      </w:r>
    </w:p>
    <w:p w14:paraId="4CAA59C5"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[20]</w:t>
      </w:r>
      <w:r w:rsidRPr="00A44B40">
        <w:rPr>
          <w:noProof/>
        </w:rPr>
        <w:tab/>
        <w:t>M.P. Smith, Medical and Therapeutic Applications of Ketosis: An Overview, Heal. Sci. J. 14 (2020). https://doi.org/10.36648/1791-809x.14.1.690.</w:t>
      </w:r>
    </w:p>
    <w:p w14:paraId="3E42C63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lastRenderedPageBreak/>
        <w:t>[21]</w:t>
      </w:r>
      <w:r w:rsidRPr="00A44B40">
        <w:rPr>
          <w:noProof/>
        </w:rPr>
        <w:tab/>
        <w:t>M. Ota, J. Matsuo, I. Ishida, K. Hattori, T. Teraishi, H. Tonouchi, K. Ashida, T. Takahashi, H. Kunugi, Effect of a ketogenic meal on cognitive function in elderly adults: potential for cognitive enhancement, Psychopharmacology (Berl). 233 (2016) 3797–3802. https://doi.org/10.1007/s00213-016-4414-7.</w:t>
      </w:r>
    </w:p>
    <w:p w14:paraId="22BBECA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[22]</w:t>
      </w:r>
      <w:r w:rsidRPr="00A44B40">
        <w:rPr>
          <w:noProof/>
        </w:rPr>
        <w:tab/>
        <w:t>D. Ebert, R.G. Haller, M.E. Walton, Energy contribution of octanoate to intact rat brain metabolism measured by 13C nuclear magnetic resonance spectroscopy, J. Neurosci. 23 (2003) 5928–5935. https://doi.org/10.1523/JNEUROSCI.23-13-05928.2003.</w:t>
      </w:r>
    </w:p>
    <w:p w14:paraId="1E736C83"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[23]</w:t>
      </w:r>
      <w:r w:rsidRPr="00A44B40">
        <w:rPr>
          <w:noProof/>
        </w:rPr>
        <w:tab/>
        <w:t>P. Wlaź, K. Socała, D. Nieoczym, T. Zarnowski, I. Zarnowska, S.J. Czuczwar, M. Gasior, Acute anticonvulsant effects of capric acid in seizure tests in mice, Prog. Neuro-Psychopharmacology Biol. Psychiatry. 57 (2015) 110–116. https://doi.org/10.1016/j.pnpbp.2014.10.013.</w:t>
      </w:r>
    </w:p>
    <w:p w14:paraId="4D1691E4"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[24]</w:t>
      </w:r>
      <w:r w:rsidRPr="00A44B40">
        <w:rPr>
          <w:noProof/>
        </w:rPr>
        <w:tab/>
        <w:t>T. Veneman, A. Mitrakou, M. Mokan, P. Cryer, J. Gerich, Effect of Hyperketonemia and Hyperlacticacidemia on Symptoms, Cognitive Dysfunction, and Counterregulatory Hormone Responses During Hypoglycemia in Normal Humans, Diabetes. 43 (1994) 1311–1317. https://doi.org/10.2337/diab.43.11.1311.</w:t>
      </w:r>
    </w:p>
    <w:p w14:paraId="75E7A96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[25]</w:t>
      </w:r>
      <w:r w:rsidRPr="00A44B40">
        <w:rPr>
          <w:noProof/>
        </w:rPr>
        <w:tab/>
        <w:t>M.A. Reger, S.T. Henderson, C. Hale, B. Cholerton, L.D. Baker, G.S. Watson, K. Hyde, D. Chapman, S. Craft, Effects of β-hydroxybutyrate on cognition in memory-impaired adults, Neurobiol. Aging. 25 (2004) 311–314. https://doi.org/10.1016/S0197-4580(03)00087-3.</w:t>
      </w:r>
    </w:p>
    <w:p w14:paraId="535B8D05"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[26]</w:t>
      </w:r>
      <w:r w:rsidRPr="00A44B40">
        <w:rPr>
          <w:noProof/>
        </w:rPr>
        <w:tab/>
        <w:t>M. Ota, J. Matsuo, I. Ishida, H. Takano, Y. Yokoi, H. Hori, S. Yoshida, K. Ashida, K. Nakamura, T. Takahashi, H. Kunugi, Effects of a medium-chain triglyceride-based ketogenic formula on cognitive function in patients with mild-to-moderate Alzheimer’s disease, Neurosci. Lett. 690 (2019) 232–236. https://doi.org/10.1016/j.neulet.2018.10.048.</w:t>
      </w:r>
    </w:p>
    <w:p w14:paraId="7A3DCB29"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[27]</w:t>
      </w:r>
      <w:r w:rsidRPr="00A44B40">
        <w:rPr>
          <w:noProof/>
        </w:rPr>
        <w:tab/>
        <w:t>S.T. Henderson, J.L. Vogel, L.J. Barr, F. Garvin, J.J. Jones, L.C. Costantini, Study of the ketogenic agent AC-1202 in mild to moderate Alzheimer’s disease: A randomized, double-blind, placebo-controlled, multicenter trial, Nutr. Metab. 6 (2009) 1–25. https://doi.org/10.1186/1743-7075-6-31.</w:t>
      </w:r>
    </w:p>
    <w:p w14:paraId="2FA7D5A3"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[28]</w:t>
      </w:r>
      <w:r w:rsidRPr="00A44B40">
        <w:rPr>
          <w:noProof/>
        </w:rPr>
        <w:tab/>
        <w:t xml:space="preserve">Q. Xu, Y. Zhang, X. Zhang, L. Liu, B. Zhou, R. Mo, Y. Li, H. Li, F. Li, Y. Tao, Y. Liu, C. Xue, Medium-chain triglycerides improved cognition and lipid metabolomics </w:t>
      </w:r>
      <w:r w:rsidRPr="00A44B40">
        <w:rPr>
          <w:noProof/>
        </w:rPr>
        <w:lastRenderedPageBreak/>
        <w:t>in mild to moderate Alzheimer’s disease patients with APOE4−/−: A double-blind, randomized, placebo-controlled crossover trial, Clin. Nutr. (2019). https://doi.org/10.1016/j.clnu.2019.10.017.</w:t>
      </w:r>
    </w:p>
    <w:p w14:paraId="54BB9DD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[29]</w:t>
      </w:r>
      <w:r w:rsidRPr="00A44B40">
        <w:rPr>
          <w:noProof/>
        </w:rPr>
        <w:tab/>
        <w:t>K.A. Page, A. Williamson, N. Yu, E.C. McNay, J. Dzuira, R.J. McCrimmon, R.S. Sherwin, Medium-chain fatty acids improve cognitive function in intensively treated type 1 diabetic patients and support in vitro synaptic transmission during acute hypoglycemia, Diabetes. 58 (2009) 1237–1244. https://doi.org/10.2337/db08-1557.</w:t>
      </w:r>
    </w:p>
    <w:p w14:paraId="3CA40459"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[30]</w:t>
      </w:r>
      <w:r w:rsidRPr="00A44B40">
        <w:rPr>
          <w:noProof/>
        </w:rPr>
        <w:tab/>
        <w:t>C.J. Rebello, J.N. Keller, A.G. Liu, W.D. Johnson, F.L. Greenway, Pilot feasibility and safety study examining the effect of medium chain triglyceride supplementation in subjects with mild cognitive impairment: A randomized controlled trial, BBA Clin. 3 (2015) 123–125. https://doi.org/10.1016/j.bbacli.2015.01.001.</w:t>
      </w:r>
    </w:p>
    <w:p w14:paraId="7B4794B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[31]</w:t>
      </w:r>
      <w:r w:rsidRPr="00A44B40">
        <w:rPr>
          <w:noProof/>
        </w:rPr>
        <w:tab/>
        <w:t>B. V. O’Neill, C.M. Dodds, S.R. Miller, A. Gupta, P. Lawrence, J. Bullman, C. Chen, O. Dewit, S. Kumar, M. Dustagheer, J. Price, S. Shabbir, P.J. Nathan, The effects of GSK2981710, a medium-chain triglyceride, on cognitive function in healthy older participants: A randomised, placebo-controlled study, Hum. Psychopharmacol. 34 (2019) 2694. https://doi.org/10.1002/hup.2694.</w:t>
      </w:r>
    </w:p>
    <w:p w14:paraId="0421D84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[32]</w:t>
      </w:r>
      <w:r w:rsidRPr="00A44B40">
        <w:rPr>
          <w:noProof/>
        </w:rPr>
        <w:tab/>
        <w:t>C.A. Castellano, S. Nugent, N. Paquet, S. Tremblay, C. Bocti, G. Lacombe, H. Imbeault, É. Turcotte, T. Fulop, S.C. Cunnane, Lower brain 18F-fluorodeoxyglucose uptake but normal 11C-acetoacetate metabolism in mild Alzheimer’s disease dementia, J. Alzheimer’s Dis. 43 (2015) 1343–1353. https://doi.org/10.3233/JAD-141074.</w:t>
      </w:r>
    </w:p>
    <w:p w14:paraId="2173B9F2"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[33]</w:t>
      </w:r>
      <w:r w:rsidRPr="00A44B40">
        <w:rPr>
          <w:noProof/>
        </w:rPr>
        <w:tab/>
        <w:t>E. Croteau, C.A. Castellano, M. Fortier, C. Bocti, T. Fulop, N. Paquet, S.C. Cunnane, A cross-sectional comparison of brain glucose and ketone metabolism in cognitively healthy older adults, mild cognitive impairment and early Alzheimer’s disease, Exp. Gerontol. 107 (2018) 18–26. https://doi.org/10.1016/j.exger.2017.07.004.</w:t>
      </w:r>
    </w:p>
    <w:p w14:paraId="6FB146B0"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[34]</w:t>
      </w:r>
      <w:r w:rsidRPr="00A44B40">
        <w:rPr>
          <w:noProof/>
        </w:rPr>
        <w:tab/>
        <w:t>S. Nugent, S. Tremblay, K.W. Chen, N. Ayutyanont, A. Roontiva, C.A. Castellano, M. Fortier, M. Roy, A. Courchesne-Loyer, C. Bocti, M. Lepage, E. Turcotte, T. Fulop, E.M. Reiman, S.C. Cunnane, Brain glucose and acetoacetate metabolism: A comparison of young and older adults, Neurobiol. Aging. 35 (2014) 1386–1395. https://doi.org/10.1016/j.neurobiolaging.2013.11.027.</w:t>
      </w:r>
    </w:p>
    <w:p w14:paraId="7EF1BC9A"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[35]</w:t>
      </w:r>
      <w:r w:rsidRPr="00A44B40">
        <w:rPr>
          <w:noProof/>
        </w:rPr>
        <w:tab/>
        <w:t xml:space="preserve">A. Khabbush, M. Orford, Y.C. Tsai, T. Rutherford, M. O’Donnell, S. Eaton, S.J.R. Heales, Neuronal decanoic acid oxidation is markedly lower than that of octanoic acid: </w:t>
      </w:r>
      <w:r w:rsidRPr="00A44B40">
        <w:rPr>
          <w:noProof/>
        </w:rPr>
        <w:lastRenderedPageBreak/>
        <w:t>A mechanistic insight into the medium-chain triglyceride ketogenic diet, Epilepsia. 58 (2017) 1423–1429. https://doi.org/10.1111/epi.13833.</w:t>
      </w:r>
    </w:p>
    <w:p w14:paraId="1ADD6B17"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[36]</w:t>
      </w:r>
      <w:r w:rsidRPr="00A44B40">
        <w:rPr>
          <w:noProof/>
        </w:rPr>
        <w:tab/>
        <w:t>Y. Liu, Y. Zhang, X. Zhang, Q. Xu, X. Yang, C. Xue, Medium-chain fatty acids reduce serum cholesterol by regulating the metabolism of bile acid in C57BL/6J mice, Food Funct. 8 (2017) 291–298. https://doi.org/10.1039/c6fo01207h.</w:t>
      </w:r>
    </w:p>
    <w:p w14:paraId="3B6210A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[37]</w:t>
      </w:r>
      <w:r w:rsidRPr="00A44B40">
        <w:rPr>
          <w:noProof/>
        </w:rPr>
        <w:tab/>
        <w:t>S.D. Hughes, M. Kanabus, G. Anderson, I.P. Hargreaves, T. Rutherford, M. O’Donnell, J.H. Cross, S. Rahman, S. Eaton, S.J.R. Heales, The ketogenic diet component decanoic acid increases mitochondrial citrate synthase and complex I activity in neuronal cells, J. Neurochem. 129 (2014) 426–433. https://doi.org/10.1111/jnc.12646.</w:t>
      </w:r>
    </w:p>
    <w:p w14:paraId="3C265C9E"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[38]</w:t>
      </w:r>
      <w:r w:rsidRPr="00A44B40">
        <w:rPr>
          <w:noProof/>
        </w:rPr>
        <w:tab/>
        <w:t>G. Miglio, A.C. Rosa, L. Rattazzi, M. Collino, G. Lombardi, R. Fantozzi, PPARγ stimulation promotes mitochondrial biogenesis and prevents glucose deprivation-induced neuronal cell loss, Neurochem. Int. 55 (2009) 496–504. https://doi.org/10.1016/j.neuint.2009.05.001.</w:t>
      </w:r>
    </w:p>
    <w:p w14:paraId="26BBF3D7"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[39]</w:t>
      </w:r>
      <w:r w:rsidRPr="00A44B40">
        <w:rPr>
          <w:noProof/>
        </w:rPr>
        <w:tab/>
        <w:t>R.R.V. Malapaka, S.K. Khoo, J. Zhang, J.H. Choi, X.E. Zhou, Y. Xu, Y. Gong, J. Li, E.L. Yong, M.J. Chalmers, L. Chang, J.H. Resau, P.R. Griffin, Y.E. Chen, H.E. Xu, Identification and mechanism of 10-carbon fatty acid as modulating ligand of peroxisome proliferator-activated receptors, J. Biol. Chem. 287 (2012) 183–195. https://doi.org/10.1074/jbc.M111.294785.</w:t>
      </w:r>
    </w:p>
    <w:p w14:paraId="13863BCD"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[40]</w:t>
      </w:r>
      <w:r w:rsidRPr="00A44B40">
        <w:rPr>
          <w:noProof/>
        </w:rPr>
        <w:tab/>
        <w:t>Y.M.C. Liu, Medium-chain triglyceride (MCT) ketogenic therapy, Epilepsia. 49 (2008) 33–36. https://doi.org/10.1111/j.1528-1167.2008.01830.x.</w:t>
      </w:r>
    </w:p>
    <w:p w14:paraId="1FB0DFE5"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[41]</w:t>
      </w:r>
      <w:r w:rsidRPr="00A44B40">
        <w:rPr>
          <w:noProof/>
        </w:rPr>
        <w:tab/>
        <w:t>J.W. Pan, D.L. Rothman, K.L. Behar, D.T. Stein, H.P. Hetherington, Human brain β-hydroxybutyrate and lactate increase in fasting-induced ketosis, J. Cereb. Blood Flow Metab. 20 (2000) 1502–1507. https://doi.org/10.1097/00004647-200010000-00012.</w:t>
      </w:r>
    </w:p>
    <w:p w14:paraId="5F8A2569"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[42]</w:t>
      </w:r>
      <w:r w:rsidRPr="00A44B40">
        <w:rPr>
          <w:noProof/>
        </w:rPr>
        <w:tab/>
        <w:t>C.R. Bowie, P.D. Harvey, Administration and interpretation of the Trail Making Test, Nat. Protoc. 1 (2006) 2277–2281. https://doi.org/10.1038/nprot.2006.390.</w:t>
      </w:r>
    </w:p>
    <w:p w14:paraId="51CA2973"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[43]</w:t>
      </w:r>
      <w:r w:rsidRPr="00A44B40">
        <w:rPr>
          <w:noProof/>
        </w:rPr>
        <w:tab/>
        <w:t>A.D. Baddeley, G. Hitch, Working memory, Psychol. Learn. Motiv. - Adv. Res. Theory. 8 (1974) 47–89. https://doi.org/10.1016/S0079-7421(08)60452-1.</w:t>
      </w:r>
    </w:p>
    <w:p w14:paraId="53A507BA"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[44]</w:t>
      </w:r>
      <w:r w:rsidRPr="00A44B40">
        <w:rPr>
          <w:noProof/>
        </w:rPr>
        <w:tab/>
        <w:t>M. Posner, Y. Cohen, Components of visual orienting of attention, Atten. Perform. X Control Lang. Process. X (1984) 531–556.</w:t>
      </w:r>
    </w:p>
    <w:p w14:paraId="7D265A6F"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lastRenderedPageBreak/>
        <w:t>[45]</w:t>
      </w:r>
      <w:r w:rsidRPr="00A44B40">
        <w:rPr>
          <w:noProof/>
        </w:rPr>
        <w:tab/>
        <w:t>M.W. Becker, M. Leinenger, Attentional selection is biased toward mood-congruent stimuli, Emotion. 11 (2011) 1248–1254. https://doi.org/10.1037/a0023524.</w:t>
      </w:r>
    </w:p>
    <w:p w14:paraId="43685BCB"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[46]</w:t>
      </w:r>
      <w:r w:rsidRPr="00A44B40">
        <w:rPr>
          <w:noProof/>
        </w:rPr>
        <w:tab/>
        <w:t>C.J.W. Connell, B. Thompson, G. Kuhn, N. Gant, Exercise-induced fatigue and caffeine supplementation affect psychomotor performance but not covert visuo-spatial attention, PLoS One. 11 (2016) 1–19. https://doi.org/10.1371/journal.pone.0165318.</w:t>
      </w:r>
    </w:p>
    <w:p w14:paraId="1596642C"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[47]</w:t>
      </w:r>
      <w:r w:rsidRPr="00A44B40">
        <w:rPr>
          <w:noProof/>
        </w:rPr>
        <w:tab/>
        <w:t>K. Wesnes, D.M. Warburton, Effects of Smoking on Rapid Information Processing Performance, Neuropsychobiology. 9 (1983) 223–229. https://doi.org/10.1159/000117969.</w:t>
      </w:r>
    </w:p>
    <w:p w14:paraId="458DB544"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[48]</w:t>
      </w:r>
      <w:r w:rsidRPr="00A44B40">
        <w:rPr>
          <w:noProof/>
        </w:rPr>
        <w:tab/>
        <w:t>J.T. Coull, C.D. Frith, R.S.J. Frackowiak, P.M. Grasby, A fronto-parietal network for rapid visual information processing: A PET study of sustained attention and working memory, Neuropsychologia. 34 (1996) 1085–1095. https://doi.org/10.1016/0028-3932(96)00029-2.</w:t>
      </w:r>
    </w:p>
    <w:p w14:paraId="686FBDE7"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[49]</w:t>
      </w:r>
      <w:r w:rsidRPr="00A44B40">
        <w:rPr>
          <w:noProof/>
        </w:rPr>
        <w:tab/>
        <w:t>E.J. Stevenson, P.R. Hayes, S.J. Allison, The effect of a carbohydrate-caffeine sports drink on simulated golf performance, Appl. Physiol. Nutr. Metab. 34 (2009) 681–688. https://doi.org/10.1139/H09-057.</w:t>
      </w:r>
    </w:p>
    <w:p w14:paraId="21D53CB5"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[50]</w:t>
      </w:r>
      <w:r w:rsidRPr="00A44B40">
        <w:rPr>
          <w:noProof/>
        </w:rPr>
        <w:tab/>
        <w:t>C. Krueger, L. Tian, A comparison of the general linear mixed model and repeated measures ANOVA using a dataset with multiple missing data points, Biol. Res. Nurs. 6 (2004) 151–157. https://doi.org/10.1177/1099800404267682.</w:t>
      </w:r>
    </w:p>
    <w:p w14:paraId="0C86B3EA"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[51]</w:t>
      </w:r>
      <w:r w:rsidRPr="00A44B40">
        <w:rPr>
          <w:noProof/>
        </w:rPr>
        <w:tab/>
        <w:t>S.C. Cunnane, A. Courchesne-Loyer, V. St-Pierre, C. Vandenberghe, T. Pierotti, M. Fortier, E. Croteau, C.A. Castellano, Can ketones compensate for deteriorating brain glucose uptake during aging? Implications for the risk and treatment of Alzheimer’s disease, Ann. N. Y. Acad. Sci. 1367 (2016) 12–20. https://doi.org/10.1111/nyas.12999.</w:t>
      </w:r>
    </w:p>
    <w:p w14:paraId="26B0C86A"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[52]</w:t>
      </w:r>
      <w:r w:rsidRPr="00A44B40">
        <w:rPr>
          <w:noProof/>
        </w:rPr>
        <w:tab/>
        <w:t>J. McAuliffe, M.J. Johnson, B. Weaver, M. Deller-Quinn, S. Hansen, Body position differentially influences responses to exogenous and endogenous cues, Attention, Perception, Psychophys. 75 (2013) 1342–1346. https://doi.org/10.3758/s13414-013-0553-7.</w:t>
      </w:r>
    </w:p>
    <w:p w14:paraId="67054B05"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[53]</w:t>
      </w:r>
      <w:r w:rsidRPr="00A44B40">
        <w:rPr>
          <w:noProof/>
        </w:rPr>
        <w:tab/>
        <w:t>S. Hansen, J. McAuliffe, B. Goldfarb, J.M. Carré, Testosterone influences volitional, but not reflexive orienting of attention in human males, Physiol. Behav. 175 (2017) 82–87. https://doi.org/10.1016/j.physbeh.2017.03.032.</w:t>
      </w:r>
    </w:p>
    <w:p w14:paraId="511BE7B7"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[54]</w:t>
      </w:r>
      <w:r w:rsidRPr="00A44B40">
        <w:rPr>
          <w:noProof/>
        </w:rPr>
        <w:tab/>
        <w:t xml:space="preserve">L.K. Langley, C.K. Friesen, A.L. Saville, A.T. Ciernia, Timing of reflexive </w:t>
      </w:r>
      <w:r w:rsidRPr="00A44B40">
        <w:rPr>
          <w:noProof/>
        </w:rPr>
        <w:lastRenderedPageBreak/>
        <w:t>visuospatial orienting in young, young-old, and old-old adults, Attention, Perception, Psychophys. 73 (2011) 1546–1561. https://doi.org/10.3758/s13414-011-0108-8.</w:t>
      </w:r>
    </w:p>
    <w:p w14:paraId="36953CB6"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[55]</w:t>
      </w:r>
      <w:r w:rsidRPr="00A44B40">
        <w:rPr>
          <w:noProof/>
        </w:rPr>
        <w:tab/>
        <w:t>M. V. Peelen, D.J. Heslenfeld, J. Theeuwes, Endogenous and exogenous attention shifts are mediated by the same large-scale neural network, Neuroimage. 22 (2004) 822–830. https://doi.org/10.1016/j.neuroimage.2004.01.044.</w:t>
      </w:r>
    </w:p>
    <w:p w14:paraId="1646D4CE"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[56]</w:t>
      </w:r>
      <w:r w:rsidRPr="00A44B40">
        <w:rPr>
          <w:noProof/>
        </w:rPr>
        <w:tab/>
        <w:t>G. Fontani, F. Corradeschi, A. Felici, F. Alfatti, S. Migliorini, L. Lodi, Cognitive and physiological effects of Omega-3 polyunsaturated fatty acid supplementation in healthy subjects, Eur. J. Clin. Invest. 35 (2005) 691–699. http://www.embase.com/search/results?subaction=viewrecord&amp;from=export&amp;id=L41640905%5Cnhttp://dx.doi.org/10.1111/j.1365-2362.2005.01570.x.</w:t>
      </w:r>
    </w:p>
    <w:p w14:paraId="365EAFA3" w14:textId="77777777" w:rsidR="00A44B40" w:rsidRPr="00A44B40" w:rsidRDefault="00A44B40" w:rsidP="00A44B40">
      <w:pPr>
        <w:widowControl w:val="0"/>
        <w:autoSpaceDE w:val="0"/>
        <w:autoSpaceDN w:val="0"/>
        <w:adjustRightInd w:val="0"/>
        <w:spacing w:after="160" w:line="360" w:lineRule="auto"/>
        <w:ind w:left="640" w:hanging="640"/>
        <w:rPr>
          <w:noProof/>
        </w:rPr>
      </w:pPr>
      <w:r w:rsidRPr="00A44B40">
        <w:rPr>
          <w:noProof/>
        </w:rPr>
        <w:t>[57]</w:t>
      </w:r>
      <w:r w:rsidRPr="00A44B40">
        <w:rPr>
          <w:noProof/>
        </w:rPr>
        <w:tab/>
        <w:t>C.C. Hilti, L.M. Hilti, D. Heinemann, T. Robbins, E. Seifritz, K. Cattapan-Ludewig, Impaired performance on the Rapid Visual Information Processing task (RVIP) could be an endophenotype of schizophrenia, Psychiatry Res. 177 (2010) 60–64. https://doi.org/10.1016/j.psychres.2009.12.012.</w:t>
      </w:r>
    </w:p>
    <w:p w14:paraId="6984E105" w14:textId="77777777" w:rsidR="00A44B40" w:rsidRPr="00A44B40" w:rsidRDefault="00A44B40" w:rsidP="00451548">
      <w:pPr>
        <w:widowControl w:val="0"/>
        <w:autoSpaceDE w:val="0"/>
        <w:autoSpaceDN w:val="0"/>
        <w:adjustRightInd w:val="0"/>
        <w:spacing w:after="160" w:line="360" w:lineRule="auto"/>
        <w:ind w:left="640" w:hanging="640"/>
        <w:jc w:val="both"/>
        <w:rPr>
          <w:noProof/>
        </w:rPr>
      </w:pPr>
      <w:r w:rsidRPr="00A44B40">
        <w:rPr>
          <w:noProof/>
        </w:rPr>
        <w:t>[58]</w:t>
      </w:r>
      <w:r w:rsidRPr="00A44B40">
        <w:rPr>
          <w:noProof/>
        </w:rPr>
        <w:tab/>
        <w:t>S. Camandola, M.P. Mattson, Brain metabolism in health, aging, and neurodegeneration, EMBO J. 36 (2017) 1474–1492. https://doi.org/10.15252/embj.201695810.</w:t>
      </w:r>
    </w:p>
    <w:p w14:paraId="1E191398" w14:textId="07D86FE4" w:rsidR="00073222" w:rsidRPr="00366A0F" w:rsidRDefault="00073222" w:rsidP="00073222">
      <w:pPr>
        <w:spacing w:after="160" w:line="360" w:lineRule="auto"/>
        <w:jc w:val="both"/>
        <w:rPr>
          <w:rFonts w:eastAsia="Calibri"/>
          <w:b/>
          <w:lang w:eastAsia="en-US"/>
        </w:rPr>
        <w:sectPr w:rsidR="00073222" w:rsidRPr="00366A0F" w:rsidSect="00073222">
          <w:pgSz w:w="11909" w:h="16834"/>
          <w:pgMar w:top="1440" w:right="1440" w:bottom="1440" w:left="1440" w:header="720" w:footer="720" w:gutter="0"/>
          <w:lnNumType w:countBy="1" w:restart="continuous"/>
          <w:pgNumType w:start="1"/>
          <w:cols w:space="720"/>
          <w:docGrid w:linePitch="299"/>
        </w:sectPr>
      </w:pPr>
      <w:r w:rsidRPr="00366A0F">
        <w:rPr>
          <w:rFonts w:eastAsia="Calibri"/>
          <w:b/>
          <w:lang w:eastAsia="en-US"/>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66A0F" w:rsidRPr="00451548" w14:paraId="2962A543" w14:textId="77777777" w:rsidTr="00256AE1">
        <w:trPr>
          <w:trHeight w:val="404"/>
        </w:trPr>
        <w:tc>
          <w:tcPr>
            <w:tcW w:w="9016" w:type="dxa"/>
            <w:gridSpan w:val="2"/>
            <w:tcBorders>
              <w:bottom w:val="single" w:sz="4" w:space="0" w:color="auto"/>
            </w:tcBorders>
          </w:tcPr>
          <w:p w14:paraId="3532A894"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b/>
                <w:bCs/>
              </w:rPr>
              <w:lastRenderedPageBreak/>
              <w:t>Table 1.</w:t>
            </w:r>
            <w:r w:rsidRPr="00451548">
              <w:rPr>
                <w:rFonts w:ascii="Times New Roman" w:hAnsi="Times New Roman" w:cs="Times New Roman"/>
              </w:rPr>
              <w:t xml:space="preserve"> The ICC’s (%) of each random factor considering the dependent variables.</w:t>
            </w:r>
          </w:p>
          <w:p w14:paraId="7379F96C" w14:textId="77777777" w:rsidR="00E97E2E" w:rsidRPr="00451548" w:rsidRDefault="00E97E2E" w:rsidP="00256AE1">
            <w:pPr>
              <w:jc w:val="both"/>
              <w:rPr>
                <w:rFonts w:ascii="Times New Roman" w:hAnsi="Times New Roman" w:cs="Times New Roman"/>
              </w:rPr>
            </w:pPr>
          </w:p>
        </w:tc>
      </w:tr>
      <w:tr w:rsidR="00366A0F" w:rsidRPr="00451548" w14:paraId="7EB637CC" w14:textId="77777777" w:rsidTr="00256AE1">
        <w:tc>
          <w:tcPr>
            <w:tcW w:w="4508" w:type="dxa"/>
            <w:tcBorders>
              <w:top w:val="single" w:sz="4" w:space="0" w:color="auto"/>
              <w:bottom w:val="single" w:sz="4" w:space="0" w:color="auto"/>
            </w:tcBorders>
            <w:hideMark/>
          </w:tcPr>
          <w:p w14:paraId="486ACD16" w14:textId="77777777" w:rsidR="00E97E2E" w:rsidRPr="00451548" w:rsidRDefault="00E97E2E" w:rsidP="00256AE1">
            <w:pPr>
              <w:jc w:val="both"/>
              <w:rPr>
                <w:rFonts w:ascii="Times New Roman" w:hAnsi="Times New Roman" w:cs="Times New Roman"/>
                <w:b/>
                <w:bCs/>
              </w:rPr>
            </w:pPr>
            <w:r w:rsidRPr="00451548">
              <w:rPr>
                <w:rFonts w:ascii="Times New Roman" w:hAnsi="Times New Roman" w:cs="Times New Roman"/>
                <w:b/>
                <w:bCs/>
              </w:rPr>
              <w:t>Dependent Variable</w:t>
            </w:r>
          </w:p>
        </w:tc>
        <w:tc>
          <w:tcPr>
            <w:tcW w:w="4508" w:type="dxa"/>
            <w:tcBorders>
              <w:top w:val="single" w:sz="4" w:space="0" w:color="auto"/>
              <w:bottom w:val="single" w:sz="4" w:space="0" w:color="auto"/>
            </w:tcBorders>
            <w:hideMark/>
          </w:tcPr>
          <w:p w14:paraId="444AA55A" w14:textId="77777777" w:rsidR="00E97E2E" w:rsidRPr="00451548" w:rsidRDefault="00E97E2E" w:rsidP="00256AE1">
            <w:pPr>
              <w:jc w:val="center"/>
              <w:rPr>
                <w:rFonts w:ascii="Times New Roman" w:hAnsi="Times New Roman" w:cs="Times New Roman"/>
                <w:b/>
                <w:bCs/>
              </w:rPr>
            </w:pPr>
            <w:r w:rsidRPr="00451548">
              <w:rPr>
                <w:rFonts w:ascii="Times New Roman" w:hAnsi="Times New Roman" w:cs="Times New Roman"/>
                <w:b/>
                <w:bCs/>
              </w:rPr>
              <w:t>ICC (%)</w:t>
            </w:r>
          </w:p>
        </w:tc>
      </w:tr>
      <w:tr w:rsidR="00366A0F" w:rsidRPr="00451548" w14:paraId="64F0DEB1" w14:textId="77777777" w:rsidTr="00256AE1">
        <w:tc>
          <w:tcPr>
            <w:tcW w:w="4508" w:type="dxa"/>
            <w:tcBorders>
              <w:top w:val="single" w:sz="4" w:space="0" w:color="auto"/>
            </w:tcBorders>
            <w:hideMark/>
          </w:tcPr>
          <w:p w14:paraId="2F877F9A"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TM A (score)</w:t>
            </w:r>
          </w:p>
        </w:tc>
        <w:tc>
          <w:tcPr>
            <w:tcW w:w="4508" w:type="dxa"/>
            <w:tcBorders>
              <w:top w:val="single" w:sz="4" w:space="0" w:color="auto"/>
            </w:tcBorders>
            <w:hideMark/>
          </w:tcPr>
          <w:p w14:paraId="7C36FF66"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46.78*</w:t>
            </w:r>
          </w:p>
        </w:tc>
      </w:tr>
      <w:tr w:rsidR="00366A0F" w:rsidRPr="00451548" w14:paraId="617387F8" w14:textId="77777777" w:rsidTr="00256AE1">
        <w:tc>
          <w:tcPr>
            <w:tcW w:w="4508" w:type="dxa"/>
            <w:hideMark/>
          </w:tcPr>
          <w:p w14:paraId="079C2936"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TM B (score)</w:t>
            </w:r>
          </w:p>
        </w:tc>
        <w:tc>
          <w:tcPr>
            <w:tcW w:w="4508" w:type="dxa"/>
            <w:hideMark/>
          </w:tcPr>
          <w:p w14:paraId="0CE5A83B"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56.45*</w:t>
            </w:r>
          </w:p>
        </w:tc>
      </w:tr>
      <w:tr w:rsidR="00366A0F" w:rsidRPr="00451548" w14:paraId="28BA648C" w14:textId="77777777" w:rsidTr="00256AE1">
        <w:tc>
          <w:tcPr>
            <w:tcW w:w="4508" w:type="dxa"/>
            <w:hideMark/>
          </w:tcPr>
          <w:p w14:paraId="28341933"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DS Forwards (score)</w:t>
            </w:r>
          </w:p>
        </w:tc>
        <w:tc>
          <w:tcPr>
            <w:tcW w:w="4508" w:type="dxa"/>
            <w:hideMark/>
          </w:tcPr>
          <w:p w14:paraId="71B786C7"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50.28*</w:t>
            </w:r>
          </w:p>
        </w:tc>
      </w:tr>
      <w:tr w:rsidR="00366A0F" w:rsidRPr="00451548" w14:paraId="413DEE3B" w14:textId="77777777" w:rsidTr="00256AE1">
        <w:tc>
          <w:tcPr>
            <w:tcW w:w="4508" w:type="dxa"/>
            <w:hideMark/>
          </w:tcPr>
          <w:p w14:paraId="11B02A33"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DS Backwards (score)</w:t>
            </w:r>
          </w:p>
        </w:tc>
        <w:tc>
          <w:tcPr>
            <w:tcW w:w="4508" w:type="dxa"/>
            <w:hideMark/>
          </w:tcPr>
          <w:p w14:paraId="2E4FAA1D"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49.29*</w:t>
            </w:r>
          </w:p>
        </w:tc>
      </w:tr>
      <w:tr w:rsidR="00366A0F" w:rsidRPr="00451548" w14:paraId="5FFC50EC" w14:textId="77777777" w:rsidTr="00256AE1">
        <w:tc>
          <w:tcPr>
            <w:tcW w:w="4508" w:type="dxa"/>
            <w:hideMark/>
          </w:tcPr>
          <w:p w14:paraId="7FE92326"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SS Forwards (score)</w:t>
            </w:r>
          </w:p>
        </w:tc>
        <w:tc>
          <w:tcPr>
            <w:tcW w:w="4508" w:type="dxa"/>
            <w:hideMark/>
          </w:tcPr>
          <w:p w14:paraId="2DF66137"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49.87*</w:t>
            </w:r>
          </w:p>
        </w:tc>
      </w:tr>
      <w:tr w:rsidR="00366A0F" w:rsidRPr="00451548" w14:paraId="6DF4A93B" w14:textId="77777777" w:rsidTr="00256AE1">
        <w:tc>
          <w:tcPr>
            <w:tcW w:w="4508" w:type="dxa"/>
            <w:hideMark/>
          </w:tcPr>
          <w:p w14:paraId="6DB954AF"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SS Backwards (score)</w:t>
            </w:r>
          </w:p>
        </w:tc>
        <w:tc>
          <w:tcPr>
            <w:tcW w:w="4508" w:type="dxa"/>
            <w:hideMark/>
          </w:tcPr>
          <w:p w14:paraId="79F2AD70"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54.27*</w:t>
            </w:r>
          </w:p>
        </w:tc>
      </w:tr>
      <w:tr w:rsidR="00366A0F" w:rsidRPr="00451548" w14:paraId="6ADA82AF" w14:textId="77777777" w:rsidTr="00256AE1">
        <w:tc>
          <w:tcPr>
            <w:tcW w:w="4508" w:type="dxa"/>
            <w:hideMark/>
          </w:tcPr>
          <w:p w14:paraId="5E0D2CE6"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Exo 100ms mean difference</w:t>
            </w:r>
          </w:p>
        </w:tc>
        <w:tc>
          <w:tcPr>
            <w:tcW w:w="4508" w:type="dxa"/>
            <w:hideMark/>
          </w:tcPr>
          <w:p w14:paraId="3A80661F"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72.45*</w:t>
            </w:r>
          </w:p>
        </w:tc>
      </w:tr>
      <w:tr w:rsidR="00366A0F" w:rsidRPr="00451548" w14:paraId="64AFA0CB" w14:textId="77777777" w:rsidTr="00256AE1">
        <w:tc>
          <w:tcPr>
            <w:tcW w:w="4508" w:type="dxa"/>
            <w:hideMark/>
          </w:tcPr>
          <w:p w14:paraId="5BD46218"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Exo 800ms mean difference</w:t>
            </w:r>
          </w:p>
        </w:tc>
        <w:tc>
          <w:tcPr>
            <w:tcW w:w="4508" w:type="dxa"/>
            <w:hideMark/>
          </w:tcPr>
          <w:p w14:paraId="7DC4098F"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40.71*</w:t>
            </w:r>
          </w:p>
        </w:tc>
      </w:tr>
      <w:tr w:rsidR="00366A0F" w:rsidRPr="00451548" w14:paraId="433B4577" w14:textId="77777777" w:rsidTr="00256AE1">
        <w:tc>
          <w:tcPr>
            <w:tcW w:w="4508" w:type="dxa"/>
            <w:hideMark/>
          </w:tcPr>
          <w:p w14:paraId="40B870AD"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Endo mean difference</w:t>
            </w:r>
          </w:p>
        </w:tc>
        <w:tc>
          <w:tcPr>
            <w:tcW w:w="4508" w:type="dxa"/>
            <w:hideMark/>
          </w:tcPr>
          <w:p w14:paraId="7EC76A05"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46.46*</w:t>
            </w:r>
          </w:p>
        </w:tc>
      </w:tr>
      <w:tr w:rsidR="00366A0F" w:rsidRPr="00451548" w14:paraId="1E0540EB" w14:textId="77777777" w:rsidTr="00256AE1">
        <w:tc>
          <w:tcPr>
            <w:tcW w:w="4508" w:type="dxa"/>
            <w:hideMark/>
          </w:tcPr>
          <w:p w14:paraId="53E4C59D"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RVIP RT (ms)</w:t>
            </w:r>
          </w:p>
        </w:tc>
        <w:tc>
          <w:tcPr>
            <w:tcW w:w="4508" w:type="dxa"/>
            <w:hideMark/>
          </w:tcPr>
          <w:p w14:paraId="0A7DFAA5"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68.68*</w:t>
            </w:r>
          </w:p>
        </w:tc>
      </w:tr>
      <w:tr w:rsidR="00366A0F" w:rsidRPr="00451548" w14:paraId="10FA54C0" w14:textId="77777777" w:rsidTr="00256AE1">
        <w:tc>
          <w:tcPr>
            <w:tcW w:w="4508" w:type="dxa"/>
            <w:hideMark/>
          </w:tcPr>
          <w:p w14:paraId="4A983AF5"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RVIP Response to non-target (%)</w:t>
            </w:r>
          </w:p>
        </w:tc>
        <w:tc>
          <w:tcPr>
            <w:tcW w:w="4508" w:type="dxa"/>
            <w:hideMark/>
          </w:tcPr>
          <w:p w14:paraId="4D1A9CB3"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66.30*</w:t>
            </w:r>
          </w:p>
        </w:tc>
      </w:tr>
      <w:tr w:rsidR="00366A0F" w:rsidRPr="00451548" w14:paraId="32132CEF" w14:textId="77777777" w:rsidTr="00256AE1">
        <w:tc>
          <w:tcPr>
            <w:tcW w:w="4508" w:type="dxa"/>
            <w:tcBorders>
              <w:bottom w:val="single" w:sz="4" w:space="0" w:color="auto"/>
            </w:tcBorders>
            <w:hideMark/>
          </w:tcPr>
          <w:p w14:paraId="6E91F56E" w14:textId="77777777" w:rsidR="00E97E2E" w:rsidRPr="00451548" w:rsidRDefault="00E97E2E" w:rsidP="00256AE1">
            <w:pPr>
              <w:jc w:val="both"/>
              <w:rPr>
                <w:rFonts w:ascii="Times New Roman" w:hAnsi="Times New Roman" w:cs="Times New Roman"/>
              </w:rPr>
            </w:pPr>
            <w:r w:rsidRPr="00451548">
              <w:rPr>
                <w:rFonts w:ascii="Times New Roman" w:hAnsi="Times New Roman" w:cs="Times New Roman"/>
              </w:rPr>
              <w:t>RVIP Missed Targets (%)</w:t>
            </w:r>
          </w:p>
        </w:tc>
        <w:tc>
          <w:tcPr>
            <w:tcW w:w="4508" w:type="dxa"/>
            <w:hideMark/>
          </w:tcPr>
          <w:p w14:paraId="70817930" w14:textId="77777777" w:rsidR="00E97E2E" w:rsidRPr="00451548" w:rsidRDefault="00E97E2E" w:rsidP="00256AE1">
            <w:pPr>
              <w:jc w:val="center"/>
              <w:rPr>
                <w:rFonts w:ascii="Times New Roman" w:hAnsi="Times New Roman" w:cs="Times New Roman"/>
              </w:rPr>
            </w:pPr>
            <w:r w:rsidRPr="00451548">
              <w:rPr>
                <w:rFonts w:ascii="Times New Roman" w:hAnsi="Times New Roman" w:cs="Times New Roman"/>
              </w:rPr>
              <w:t>62.49*</w:t>
            </w:r>
          </w:p>
        </w:tc>
      </w:tr>
      <w:tr w:rsidR="00366A0F" w:rsidRPr="00451548" w14:paraId="01DE9654" w14:textId="77777777" w:rsidTr="00256AE1">
        <w:tc>
          <w:tcPr>
            <w:tcW w:w="9016" w:type="dxa"/>
            <w:gridSpan w:val="2"/>
            <w:tcBorders>
              <w:top w:val="single" w:sz="4" w:space="0" w:color="auto"/>
            </w:tcBorders>
            <w:hideMark/>
          </w:tcPr>
          <w:p w14:paraId="24AFA877" w14:textId="1AA04ACD" w:rsidR="00E97E2E" w:rsidRPr="00451548" w:rsidRDefault="00E97E2E" w:rsidP="00256AE1">
            <w:pPr>
              <w:jc w:val="both"/>
              <w:rPr>
                <w:rFonts w:ascii="Times New Roman" w:hAnsi="Times New Roman" w:cs="Times New Roman"/>
              </w:rPr>
            </w:pPr>
            <w:r w:rsidRPr="00451548">
              <w:rPr>
                <w:rFonts w:ascii="Times New Roman" w:hAnsi="Times New Roman" w:cs="Times New Roman"/>
              </w:rPr>
              <w:t xml:space="preserve">* Represents significant determinant of variance within the linear mixed model (P&lt;0.05). </w:t>
            </w:r>
            <w:r w:rsidR="00317AE2" w:rsidRPr="00451548">
              <w:rPr>
                <w:rFonts w:ascii="Times New Roman" w:hAnsi="Times New Roman" w:cs="Times New Roman"/>
              </w:rPr>
              <w:t>ICC = I</w:t>
            </w:r>
            <w:r w:rsidR="00317AE2" w:rsidRPr="00451548">
              <w:rPr>
                <w:rFonts w:ascii="Times New Roman" w:eastAsia="Times New Roman" w:hAnsi="Times New Roman" w:cs="Times New Roman"/>
              </w:rPr>
              <w:t>ntraclass Correlation</w:t>
            </w:r>
            <w:r w:rsidR="00317AE2" w:rsidRPr="00451548">
              <w:rPr>
                <w:rFonts w:ascii="Times New Roman" w:hAnsi="Times New Roman" w:cs="Times New Roman"/>
              </w:rPr>
              <w:t xml:space="preserve">; </w:t>
            </w:r>
            <w:r w:rsidRPr="00451548">
              <w:rPr>
                <w:rFonts w:ascii="Times New Roman" w:hAnsi="Times New Roman" w:cs="Times New Roman"/>
              </w:rPr>
              <w:t>TM = Trail Making; DS = Digit Span; SS = Spatial Span; Exo = Exogenous; Endo = Endogenous; RVIP = Rapid Visual Information Processing; RT = Reaction Time.</w:t>
            </w:r>
          </w:p>
        </w:tc>
      </w:tr>
    </w:tbl>
    <w:p w14:paraId="07B000B4" w14:textId="48B29053" w:rsidR="00E02A03" w:rsidRPr="00366A0F" w:rsidRDefault="00E02A03" w:rsidP="0067772E">
      <w:pPr>
        <w:rPr>
          <w:highlight w:val="white"/>
        </w:rPr>
      </w:pPr>
      <w:r w:rsidRPr="00366A0F">
        <w:rPr>
          <w:highlight w:val="white"/>
        </w:rPr>
        <w:br w:type="page"/>
      </w:r>
    </w:p>
    <w:p w14:paraId="313E264B" w14:textId="77777777" w:rsidR="00E02A03" w:rsidRPr="00366A0F" w:rsidRDefault="00E02A03" w:rsidP="0067772E">
      <w:pPr>
        <w:rPr>
          <w:highlight w:val="white"/>
        </w:rPr>
        <w:sectPr w:rsidR="00E02A03" w:rsidRPr="00366A0F" w:rsidSect="002E128B">
          <w:pgSz w:w="11909" w:h="16834"/>
          <w:pgMar w:top="1440" w:right="1440" w:bottom="1440" w:left="1440" w:header="720" w:footer="720" w:gutter="0"/>
          <w:pgNumType w:start="1"/>
          <w:cols w:space="720"/>
        </w:sectPr>
      </w:pPr>
    </w:p>
    <w:tbl>
      <w:tblPr>
        <w:tblStyle w:val="TableGrid"/>
        <w:tblpPr w:leftFromText="180" w:rightFromText="180" w:vertAnchor="page" w:horzAnchor="page" w:tblpX="391" w:tblpY="751"/>
        <w:tblW w:w="16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
        <w:gridCol w:w="2756"/>
        <w:gridCol w:w="1006"/>
        <w:gridCol w:w="1076"/>
        <w:gridCol w:w="1076"/>
        <w:gridCol w:w="1014"/>
        <w:gridCol w:w="1076"/>
        <w:gridCol w:w="1076"/>
        <w:gridCol w:w="1076"/>
        <w:gridCol w:w="1014"/>
        <w:gridCol w:w="1076"/>
        <w:gridCol w:w="1076"/>
        <w:gridCol w:w="1076"/>
        <w:gridCol w:w="1076"/>
        <w:gridCol w:w="12"/>
      </w:tblGrid>
      <w:tr w:rsidR="00366A0F" w:rsidRPr="00451548" w14:paraId="34861655" w14:textId="77777777" w:rsidTr="00256AE1">
        <w:trPr>
          <w:trHeight w:val="606"/>
        </w:trPr>
        <w:tc>
          <w:tcPr>
            <w:tcW w:w="16301" w:type="dxa"/>
            <w:gridSpan w:val="15"/>
            <w:tcBorders>
              <w:bottom w:val="single" w:sz="4" w:space="0" w:color="auto"/>
            </w:tcBorders>
          </w:tcPr>
          <w:p w14:paraId="5AD4E5F0" w14:textId="0DE364BC" w:rsidR="00E02A03" w:rsidRPr="00451548" w:rsidRDefault="00E02A03" w:rsidP="00256AE1">
            <w:pPr>
              <w:jc w:val="both"/>
              <w:rPr>
                <w:rFonts w:ascii="Times New Roman" w:hAnsi="Times New Roman" w:cs="Times New Roman"/>
              </w:rPr>
            </w:pPr>
            <w:r w:rsidRPr="00451548">
              <w:rPr>
                <w:rFonts w:ascii="Times New Roman" w:hAnsi="Times New Roman" w:cs="Times New Roman"/>
                <w:b/>
                <w:bCs/>
              </w:rPr>
              <w:lastRenderedPageBreak/>
              <w:t>Table 2.</w:t>
            </w:r>
            <w:r w:rsidRPr="00451548">
              <w:rPr>
                <w:rFonts w:ascii="Times New Roman" w:hAnsi="Times New Roman" w:cs="Times New Roman"/>
              </w:rPr>
              <w:t xml:space="preserve"> </w:t>
            </w:r>
            <w:r w:rsidR="00F70140" w:rsidRPr="00451548">
              <w:rPr>
                <w:rFonts w:ascii="Times New Roman" w:hAnsi="Times New Roman" w:cs="Times New Roman"/>
              </w:rPr>
              <w:t>Adjusted m</w:t>
            </w:r>
            <w:r w:rsidRPr="00451548">
              <w:rPr>
                <w:rFonts w:ascii="Times New Roman" w:hAnsi="Times New Roman" w:cs="Times New Roman"/>
              </w:rPr>
              <w:t>ean ± SE values</w:t>
            </w:r>
            <w:r w:rsidR="00694616" w:rsidRPr="00451548">
              <w:rPr>
                <w:rFonts w:ascii="Times New Roman" w:hAnsi="Times New Roman" w:cs="Times New Roman"/>
              </w:rPr>
              <w:t xml:space="preserve"> </w:t>
            </w:r>
            <w:r w:rsidRPr="00451548">
              <w:rPr>
                <w:rFonts w:ascii="Times New Roman" w:hAnsi="Times New Roman" w:cs="Times New Roman"/>
              </w:rPr>
              <w:t xml:space="preserve">for each of the CSoA </w:t>
            </w:r>
            <w:r w:rsidR="006246A2" w:rsidRPr="00451548">
              <w:rPr>
                <w:rFonts w:ascii="Times New Roman" w:hAnsi="Times New Roman" w:cs="Times New Roman"/>
              </w:rPr>
              <w:t>m</w:t>
            </w:r>
            <w:r w:rsidRPr="00451548">
              <w:rPr>
                <w:rFonts w:ascii="Times New Roman" w:hAnsi="Times New Roman" w:cs="Times New Roman"/>
              </w:rPr>
              <w:t>easures</w:t>
            </w:r>
            <w:r w:rsidR="00694616" w:rsidRPr="00451548">
              <w:rPr>
                <w:rFonts w:ascii="Times New Roman" w:hAnsi="Times New Roman" w:cs="Times New Roman"/>
              </w:rPr>
              <w:t xml:space="preserve"> </w:t>
            </w:r>
            <w:r w:rsidR="006246A2" w:rsidRPr="00451548">
              <w:rPr>
                <w:rFonts w:ascii="Times New Roman" w:hAnsi="Times New Roman" w:cs="Times New Roman"/>
              </w:rPr>
              <w:t xml:space="preserve">(negative scores indicate </w:t>
            </w:r>
            <w:r w:rsidR="00694616" w:rsidRPr="00451548">
              <w:rPr>
                <w:rFonts w:ascii="Times New Roman" w:hAnsi="Times New Roman" w:cs="Times New Roman"/>
              </w:rPr>
              <w:t>quicker responses to the cued/valid trials than the uncued/invalid</w:t>
            </w:r>
            <w:r w:rsidR="006246A2" w:rsidRPr="00451548">
              <w:rPr>
                <w:rFonts w:ascii="Times New Roman" w:hAnsi="Times New Roman" w:cs="Times New Roman"/>
              </w:rPr>
              <w:t>).</w:t>
            </w:r>
          </w:p>
        </w:tc>
      </w:tr>
      <w:tr w:rsidR="00366A0F" w:rsidRPr="00451548" w14:paraId="1B2954CA" w14:textId="77777777" w:rsidTr="00256AE1">
        <w:trPr>
          <w:trHeight w:val="242"/>
        </w:trPr>
        <w:tc>
          <w:tcPr>
            <w:tcW w:w="825" w:type="dxa"/>
            <w:tcBorders>
              <w:top w:val="single" w:sz="4" w:space="0" w:color="auto"/>
            </w:tcBorders>
          </w:tcPr>
          <w:p w14:paraId="1713952C" w14:textId="77777777" w:rsidR="00E02A03" w:rsidRPr="00451548" w:rsidRDefault="00E02A03" w:rsidP="00256AE1">
            <w:pPr>
              <w:jc w:val="both"/>
              <w:rPr>
                <w:rFonts w:ascii="Times New Roman" w:hAnsi="Times New Roman" w:cs="Times New Roman"/>
              </w:rPr>
            </w:pPr>
          </w:p>
        </w:tc>
        <w:tc>
          <w:tcPr>
            <w:tcW w:w="3093" w:type="dxa"/>
            <w:tcBorders>
              <w:top w:val="single" w:sz="4" w:space="0" w:color="auto"/>
            </w:tcBorders>
          </w:tcPr>
          <w:p w14:paraId="654E67BD" w14:textId="77777777" w:rsidR="00E02A03" w:rsidRPr="00451548" w:rsidRDefault="00E02A03" w:rsidP="00256AE1">
            <w:pPr>
              <w:jc w:val="both"/>
              <w:rPr>
                <w:rFonts w:ascii="Times New Roman" w:hAnsi="Times New Roman" w:cs="Times New Roman"/>
              </w:rPr>
            </w:pPr>
          </w:p>
        </w:tc>
        <w:tc>
          <w:tcPr>
            <w:tcW w:w="4018" w:type="dxa"/>
            <w:gridSpan w:val="4"/>
            <w:tcBorders>
              <w:top w:val="single" w:sz="4" w:space="0" w:color="auto"/>
              <w:right w:val="single" w:sz="4" w:space="0" w:color="auto"/>
            </w:tcBorders>
          </w:tcPr>
          <w:p w14:paraId="0BEEA4B1" w14:textId="77777777" w:rsidR="00E02A03" w:rsidRPr="00451548" w:rsidRDefault="00E02A03" w:rsidP="00256AE1">
            <w:pPr>
              <w:jc w:val="center"/>
              <w:rPr>
                <w:rFonts w:ascii="Times New Roman" w:hAnsi="Times New Roman" w:cs="Times New Roman"/>
                <w:b/>
                <w:bCs/>
              </w:rPr>
            </w:pPr>
            <w:r w:rsidRPr="00451548">
              <w:rPr>
                <w:rFonts w:ascii="Times New Roman" w:hAnsi="Times New Roman" w:cs="Times New Roman"/>
                <w:b/>
                <w:bCs/>
              </w:rPr>
              <w:t>Placebo</w:t>
            </w:r>
          </w:p>
        </w:tc>
        <w:tc>
          <w:tcPr>
            <w:tcW w:w="4127" w:type="dxa"/>
            <w:gridSpan w:val="4"/>
            <w:tcBorders>
              <w:top w:val="single" w:sz="4" w:space="0" w:color="auto"/>
              <w:left w:val="single" w:sz="4" w:space="0" w:color="auto"/>
              <w:right w:val="single" w:sz="4" w:space="0" w:color="auto"/>
            </w:tcBorders>
          </w:tcPr>
          <w:p w14:paraId="5D30C469" w14:textId="77777777" w:rsidR="00E02A03" w:rsidRPr="00451548" w:rsidRDefault="00E02A03" w:rsidP="00256AE1">
            <w:pPr>
              <w:jc w:val="center"/>
              <w:rPr>
                <w:rFonts w:ascii="Times New Roman" w:hAnsi="Times New Roman" w:cs="Times New Roman"/>
                <w:b/>
                <w:bCs/>
              </w:rPr>
            </w:pPr>
            <w:r w:rsidRPr="00451548">
              <w:rPr>
                <w:rFonts w:ascii="Times New Roman" w:hAnsi="Times New Roman" w:cs="Times New Roman"/>
                <w:b/>
                <w:bCs/>
              </w:rPr>
              <w:t>12g MCT/day</w:t>
            </w:r>
          </w:p>
        </w:tc>
        <w:tc>
          <w:tcPr>
            <w:tcW w:w="4238" w:type="dxa"/>
            <w:gridSpan w:val="5"/>
            <w:tcBorders>
              <w:top w:val="single" w:sz="4" w:space="0" w:color="auto"/>
              <w:left w:val="single" w:sz="4" w:space="0" w:color="auto"/>
            </w:tcBorders>
          </w:tcPr>
          <w:p w14:paraId="32EBCD22" w14:textId="77777777" w:rsidR="00E02A03" w:rsidRPr="00451548" w:rsidRDefault="00E02A03" w:rsidP="00256AE1">
            <w:pPr>
              <w:jc w:val="center"/>
              <w:rPr>
                <w:rFonts w:ascii="Times New Roman" w:hAnsi="Times New Roman" w:cs="Times New Roman"/>
                <w:b/>
                <w:bCs/>
              </w:rPr>
            </w:pPr>
            <w:r w:rsidRPr="00451548">
              <w:rPr>
                <w:rFonts w:ascii="Times New Roman" w:hAnsi="Times New Roman" w:cs="Times New Roman"/>
                <w:b/>
                <w:bCs/>
              </w:rPr>
              <w:t>18g MCT/day</w:t>
            </w:r>
          </w:p>
        </w:tc>
      </w:tr>
      <w:tr w:rsidR="00366A0F" w:rsidRPr="00451548" w14:paraId="14663295" w14:textId="77777777" w:rsidTr="00256AE1">
        <w:trPr>
          <w:gridAfter w:val="1"/>
          <w:wAfter w:w="14" w:type="dxa"/>
          <w:trHeight w:val="336"/>
        </w:trPr>
        <w:tc>
          <w:tcPr>
            <w:tcW w:w="825" w:type="dxa"/>
          </w:tcPr>
          <w:p w14:paraId="1BA68F25" w14:textId="77777777" w:rsidR="00E02A03" w:rsidRPr="00451548" w:rsidRDefault="00E02A03" w:rsidP="00256AE1">
            <w:pPr>
              <w:jc w:val="both"/>
              <w:rPr>
                <w:rFonts w:ascii="Times New Roman" w:hAnsi="Times New Roman" w:cs="Times New Roman"/>
                <w:b/>
                <w:bCs/>
              </w:rPr>
            </w:pPr>
            <w:r w:rsidRPr="00451548">
              <w:rPr>
                <w:rFonts w:ascii="Times New Roman" w:hAnsi="Times New Roman" w:cs="Times New Roman"/>
                <w:b/>
                <w:bCs/>
              </w:rPr>
              <w:t>Week</w:t>
            </w:r>
          </w:p>
        </w:tc>
        <w:tc>
          <w:tcPr>
            <w:tcW w:w="3093" w:type="dxa"/>
          </w:tcPr>
          <w:p w14:paraId="5FCE3609" w14:textId="77777777" w:rsidR="00E02A03" w:rsidRPr="00451548" w:rsidRDefault="00E02A03" w:rsidP="00256AE1">
            <w:pPr>
              <w:jc w:val="both"/>
              <w:rPr>
                <w:rFonts w:ascii="Times New Roman" w:hAnsi="Times New Roman" w:cs="Times New Roman"/>
                <w:b/>
                <w:bCs/>
              </w:rPr>
            </w:pPr>
          </w:p>
        </w:tc>
        <w:tc>
          <w:tcPr>
            <w:tcW w:w="947" w:type="dxa"/>
          </w:tcPr>
          <w:p w14:paraId="04FBEEEF"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1</w:t>
            </w:r>
          </w:p>
        </w:tc>
        <w:tc>
          <w:tcPr>
            <w:tcW w:w="1056" w:type="dxa"/>
          </w:tcPr>
          <w:p w14:paraId="5009FD5F"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2</w:t>
            </w:r>
          </w:p>
        </w:tc>
        <w:tc>
          <w:tcPr>
            <w:tcW w:w="1056" w:type="dxa"/>
          </w:tcPr>
          <w:p w14:paraId="2A4A0858"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3</w:t>
            </w:r>
          </w:p>
        </w:tc>
        <w:tc>
          <w:tcPr>
            <w:tcW w:w="959" w:type="dxa"/>
            <w:tcBorders>
              <w:right w:val="single" w:sz="4" w:space="0" w:color="auto"/>
            </w:tcBorders>
          </w:tcPr>
          <w:p w14:paraId="752EE1D8"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4</w:t>
            </w:r>
          </w:p>
        </w:tc>
        <w:tc>
          <w:tcPr>
            <w:tcW w:w="1056" w:type="dxa"/>
            <w:tcBorders>
              <w:left w:val="single" w:sz="4" w:space="0" w:color="auto"/>
            </w:tcBorders>
          </w:tcPr>
          <w:p w14:paraId="229B1F6B"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1</w:t>
            </w:r>
          </w:p>
        </w:tc>
        <w:tc>
          <w:tcPr>
            <w:tcW w:w="1056" w:type="dxa"/>
          </w:tcPr>
          <w:p w14:paraId="341120C4"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2</w:t>
            </w:r>
          </w:p>
        </w:tc>
        <w:tc>
          <w:tcPr>
            <w:tcW w:w="1056" w:type="dxa"/>
          </w:tcPr>
          <w:p w14:paraId="1022D154"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3</w:t>
            </w:r>
          </w:p>
        </w:tc>
        <w:tc>
          <w:tcPr>
            <w:tcW w:w="959" w:type="dxa"/>
            <w:tcBorders>
              <w:right w:val="single" w:sz="4" w:space="0" w:color="auto"/>
            </w:tcBorders>
          </w:tcPr>
          <w:p w14:paraId="22C539FE"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4</w:t>
            </w:r>
          </w:p>
        </w:tc>
        <w:tc>
          <w:tcPr>
            <w:tcW w:w="1056" w:type="dxa"/>
            <w:tcBorders>
              <w:left w:val="single" w:sz="4" w:space="0" w:color="auto"/>
            </w:tcBorders>
          </w:tcPr>
          <w:p w14:paraId="034E7AC7"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1</w:t>
            </w:r>
          </w:p>
        </w:tc>
        <w:tc>
          <w:tcPr>
            <w:tcW w:w="1056" w:type="dxa"/>
          </w:tcPr>
          <w:p w14:paraId="74C8CBED"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2</w:t>
            </w:r>
          </w:p>
        </w:tc>
        <w:tc>
          <w:tcPr>
            <w:tcW w:w="1056" w:type="dxa"/>
          </w:tcPr>
          <w:p w14:paraId="564446AC"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3</w:t>
            </w:r>
          </w:p>
        </w:tc>
        <w:tc>
          <w:tcPr>
            <w:tcW w:w="1056" w:type="dxa"/>
          </w:tcPr>
          <w:p w14:paraId="145823E8" w14:textId="77777777" w:rsidR="00E02A03" w:rsidRPr="00451548" w:rsidRDefault="00E02A03" w:rsidP="00256AE1">
            <w:pPr>
              <w:jc w:val="center"/>
              <w:rPr>
                <w:rFonts w:ascii="Times New Roman" w:hAnsi="Times New Roman" w:cs="Times New Roman"/>
              </w:rPr>
            </w:pPr>
            <w:r w:rsidRPr="00451548">
              <w:rPr>
                <w:rFonts w:ascii="Times New Roman" w:hAnsi="Times New Roman" w:cs="Times New Roman"/>
              </w:rPr>
              <w:t>4</w:t>
            </w:r>
          </w:p>
        </w:tc>
      </w:tr>
      <w:tr w:rsidR="00366A0F" w:rsidRPr="00451548" w14:paraId="190A0AC3" w14:textId="77777777" w:rsidTr="00256AE1">
        <w:trPr>
          <w:gridAfter w:val="1"/>
          <w:wAfter w:w="14" w:type="dxa"/>
          <w:trHeight w:val="336"/>
        </w:trPr>
        <w:tc>
          <w:tcPr>
            <w:tcW w:w="825" w:type="dxa"/>
            <w:tcBorders>
              <w:bottom w:val="single" w:sz="4" w:space="0" w:color="auto"/>
            </w:tcBorders>
          </w:tcPr>
          <w:p w14:paraId="2FAF338E" w14:textId="77777777" w:rsidR="00E02A03" w:rsidRPr="00451548" w:rsidRDefault="00E02A03" w:rsidP="00256AE1">
            <w:pPr>
              <w:jc w:val="both"/>
              <w:rPr>
                <w:rFonts w:ascii="Times New Roman" w:hAnsi="Times New Roman" w:cs="Times New Roman"/>
                <w:b/>
                <w:bCs/>
              </w:rPr>
            </w:pPr>
          </w:p>
        </w:tc>
        <w:tc>
          <w:tcPr>
            <w:tcW w:w="3093" w:type="dxa"/>
            <w:tcBorders>
              <w:bottom w:val="single" w:sz="4" w:space="0" w:color="auto"/>
            </w:tcBorders>
          </w:tcPr>
          <w:p w14:paraId="6F59959E" w14:textId="77777777" w:rsidR="00E02A03" w:rsidRPr="00451548" w:rsidRDefault="00E02A03" w:rsidP="00256AE1">
            <w:pPr>
              <w:jc w:val="both"/>
              <w:rPr>
                <w:rFonts w:ascii="Times New Roman" w:hAnsi="Times New Roman" w:cs="Times New Roman"/>
                <w:b/>
                <w:bCs/>
              </w:rPr>
            </w:pPr>
            <w:r w:rsidRPr="00451548">
              <w:rPr>
                <w:rFonts w:ascii="Times New Roman" w:hAnsi="Times New Roman" w:cs="Times New Roman"/>
                <w:b/>
                <w:bCs/>
              </w:rPr>
              <w:t>Measure</w:t>
            </w:r>
          </w:p>
        </w:tc>
        <w:tc>
          <w:tcPr>
            <w:tcW w:w="947" w:type="dxa"/>
            <w:tcBorders>
              <w:bottom w:val="single" w:sz="4" w:space="0" w:color="auto"/>
            </w:tcBorders>
          </w:tcPr>
          <w:p w14:paraId="5ACDAFBB"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1FDB70FA"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4089EAB5" w14:textId="77777777" w:rsidR="00E02A03" w:rsidRPr="00451548" w:rsidRDefault="00E02A03" w:rsidP="00256AE1">
            <w:pPr>
              <w:jc w:val="both"/>
              <w:rPr>
                <w:rFonts w:ascii="Times New Roman" w:hAnsi="Times New Roman" w:cs="Times New Roman"/>
              </w:rPr>
            </w:pPr>
          </w:p>
        </w:tc>
        <w:tc>
          <w:tcPr>
            <w:tcW w:w="959" w:type="dxa"/>
            <w:tcBorders>
              <w:bottom w:val="single" w:sz="4" w:space="0" w:color="auto"/>
              <w:right w:val="single" w:sz="4" w:space="0" w:color="auto"/>
            </w:tcBorders>
          </w:tcPr>
          <w:p w14:paraId="05FDEAF6" w14:textId="77777777" w:rsidR="00E02A03" w:rsidRPr="00451548" w:rsidRDefault="00E02A03" w:rsidP="00256AE1">
            <w:pPr>
              <w:jc w:val="both"/>
              <w:rPr>
                <w:rFonts w:ascii="Times New Roman" w:hAnsi="Times New Roman" w:cs="Times New Roman"/>
              </w:rPr>
            </w:pPr>
          </w:p>
        </w:tc>
        <w:tc>
          <w:tcPr>
            <w:tcW w:w="1056" w:type="dxa"/>
            <w:tcBorders>
              <w:left w:val="single" w:sz="4" w:space="0" w:color="auto"/>
              <w:bottom w:val="single" w:sz="4" w:space="0" w:color="auto"/>
            </w:tcBorders>
          </w:tcPr>
          <w:p w14:paraId="792BA499"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1A567B7E"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02CC58A2" w14:textId="77777777" w:rsidR="00E02A03" w:rsidRPr="00451548" w:rsidRDefault="00E02A03" w:rsidP="00256AE1">
            <w:pPr>
              <w:jc w:val="both"/>
              <w:rPr>
                <w:rFonts w:ascii="Times New Roman" w:hAnsi="Times New Roman" w:cs="Times New Roman"/>
              </w:rPr>
            </w:pPr>
          </w:p>
        </w:tc>
        <w:tc>
          <w:tcPr>
            <w:tcW w:w="959" w:type="dxa"/>
            <w:tcBorders>
              <w:bottom w:val="single" w:sz="4" w:space="0" w:color="auto"/>
              <w:right w:val="single" w:sz="4" w:space="0" w:color="auto"/>
            </w:tcBorders>
          </w:tcPr>
          <w:p w14:paraId="7470F9BE" w14:textId="77777777" w:rsidR="00E02A03" w:rsidRPr="00451548" w:rsidRDefault="00E02A03" w:rsidP="00256AE1">
            <w:pPr>
              <w:jc w:val="both"/>
              <w:rPr>
                <w:rFonts w:ascii="Times New Roman" w:hAnsi="Times New Roman" w:cs="Times New Roman"/>
              </w:rPr>
            </w:pPr>
          </w:p>
        </w:tc>
        <w:tc>
          <w:tcPr>
            <w:tcW w:w="1056" w:type="dxa"/>
            <w:tcBorders>
              <w:left w:val="single" w:sz="4" w:space="0" w:color="auto"/>
              <w:bottom w:val="single" w:sz="4" w:space="0" w:color="auto"/>
            </w:tcBorders>
          </w:tcPr>
          <w:p w14:paraId="2D29E563"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3B51DF02"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4EE5139C" w14:textId="77777777" w:rsidR="00E02A03" w:rsidRPr="00451548" w:rsidRDefault="00E02A03" w:rsidP="00256AE1">
            <w:pPr>
              <w:jc w:val="both"/>
              <w:rPr>
                <w:rFonts w:ascii="Times New Roman" w:hAnsi="Times New Roman" w:cs="Times New Roman"/>
              </w:rPr>
            </w:pPr>
          </w:p>
        </w:tc>
        <w:tc>
          <w:tcPr>
            <w:tcW w:w="1056" w:type="dxa"/>
            <w:tcBorders>
              <w:bottom w:val="single" w:sz="4" w:space="0" w:color="auto"/>
            </w:tcBorders>
          </w:tcPr>
          <w:p w14:paraId="452E373D" w14:textId="77777777" w:rsidR="00E02A03" w:rsidRPr="00451548" w:rsidRDefault="00E02A03" w:rsidP="00256AE1">
            <w:pPr>
              <w:jc w:val="both"/>
              <w:rPr>
                <w:rFonts w:ascii="Times New Roman" w:hAnsi="Times New Roman" w:cs="Times New Roman"/>
              </w:rPr>
            </w:pPr>
          </w:p>
        </w:tc>
      </w:tr>
      <w:tr w:rsidR="00366A0F" w:rsidRPr="00451548" w14:paraId="2FF77CA9" w14:textId="77777777" w:rsidTr="00256AE1">
        <w:trPr>
          <w:gridAfter w:val="1"/>
          <w:wAfter w:w="14" w:type="dxa"/>
          <w:trHeight w:val="619"/>
        </w:trPr>
        <w:tc>
          <w:tcPr>
            <w:tcW w:w="825" w:type="dxa"/>
            <w:tcBorders>
              <w:top w:val="single" w:sz="4" w:space="0" w:color="auto"/>
            </w:tcBorders>
          </w:tcPr>
          <w:p w14:paraId="314B880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 xml:space="preserve"> </w:t>
            </w:r>
          </w:p>
        </w:tc>
        <w:tc>
          <w:tcPr>
            <w:tcW w:w="3093" w:type="dxa"/>
            <w:tcBorders>
              <w:top w:val="single" w:sz="4" w:space="0" w:color="auto"/>
            </w:tcBorders>
          </w:tcPr>
          <w:p w14:paraId="39AE15F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Exo 100 RT Difference (ms)</w:t>
            </w:r>
          </w:p>
        </w:tc>
        <w:tc>
          <w:tcPr>
            <w:tcW w:w="947" w:type="dxa"/>
            <w:tcBorders>
              <w:top w:val="single" w:sz="4" w:space="0" w:color="auto"/>
            </w:tcBorders>
          </w:tcPr>
          <w:p w14:paraId="668D58A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-19.5 ±</w:t>
            </w:r>
          </w:p>
          <w:p w14:paraId="578EFA2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19.9</w:t>
            </w:r>
          </w:p>
        </w:tc>
        <w:tc>
          <w:tcPr>
            <w:tcW w:w="1056" w:type="dxa"/>
            <w:tcBorders>
              <w:top w:val="single" w:sz="4" w:space="0" w:color="auto"/>
            </w:tcBorders>
          </w:tcPr>
          <w:p w14:paraId="231F6AD5"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-2.41 ±</w:t>
            </w:r>
          </w:p>
          <w:p w14:paraId="07523DD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40.1</w:t>
            </w:r>
          </w:p>
        </w:tc>
        <w:tc>
          <w:tcPr>
            <w:tcW w:w="1056" w:type="dxa"/>
            <w:tcBorders>
              <w:top w:val="single" w:sz="4" w:space="0" w:color="auto"/>
            </w:tcBorders>
          </w:tcPr>
          <w:p w14:paraId="791BB12E"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-22.9 ± 33.4</w:t>
            </w:r>
          </w:p>
        </w:tc>
        <w:tc>
          <w:tcPr>
            <w:tcW w:w="959" w:type="dxa"/>
            <w:tcBorders>
              <w:top w:val="single" w:sz="4" w:space="0" w:color="auto"/>
              <w:right w:val="single" w:sz="4" w:space="0" w:color="auto"/>
            </w:tcBorders>
          </w:tcPr>
          <w:p w14:paraId="36691B83"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-19.9 ±</w:t>
            </w:r>
          </w:p>
          <w:p w14:paraId="79513658"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52.3</w:t>
            </w:r>
          </w:p>
        </w:tc>
        <w:tc>
          <w:tcPr>
            <w:tcW w:w="1056" w:type="dxa"/>
            <w:tcBorders>
              <w:top w:val="single" w:sz="4" w:space="0" w:color="auto"/>
              <w:left w:val="single" w:sz="4" w:space="0" w:color="auto"/>
            </w:tcBorders>
          </w:tcPr>
          <w:p w14:paraId="3B9ED24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-26.9 ±</w:t>
            </w:r>
          </w:p>
          <w:p w14:paraId="56F658B1"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22.9</w:t>
            </w:r>
          </w:p>
        </w:tc>
        <w:tc>
          <w:tcPr>
            <w:tcW w:w="1056" w:type="dxa"/>
            <w:tcBorders>
              <w:top w:val="single" w:sz="4" w:space="0" w:color="auto"/>
            </w:tcBorders>
          </w:tcPr>
          <w:p w14:paraId="43B5692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-28.4 ±</w:t>
            </w:r>
          </w:p>
          <w:p w14:paraId="218FB165"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44.2</w:t>
            </w:r>
          </w:p>
        </w:tc>
        <w:tc>
          <w:tcPr>
            <w:tcW w:w="1056" w:type="dxa"/>
            <w:tcBorders>
              <w:top w:val="single" w:sz="4" w:space="0" w:color="auto"/>
            </w:tcBorders>
          </w:tcPr>
          <w:p w14:paraId="20953A52"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-31.4 ±</w:t>
            </w:r>
          </w:p>
          <w:p w14:paraId="17EB325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62.2</w:t>
            </w:r>
          </w:p>
        </w:tc>
        <w:tc>
          <w:tcPr>
            <w:tcW w:w="959" w:type="dxa"/>
            <w:tcBorders>
              <w:top w:val="single" w:sz="4" w:space="0" w:color="auto"/>
              <w:right w:val="single" w:sz="4" w:space="0" w:color="auto"/>
            </w:tcBorders>
          </w:tcPr>
          <w:p w14:paraId="34F6B8D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-10.8 ±</w:t>
            </w:r>
          </w:p>
          <w:p w14:paraId="781E521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15.0</w:t>
            </w:r>
          </w:p>
        </w:tc>
        <w:tc>
          <w:tcPr>
            <w:tcW w:w="1056" w:type="dxa"/>
            <w:tcBorders>
              <w:top w:val="single" w:sz="4" w:space="0" w:color="auto"/>
              <w:left w:val="single" w:sz="4" w:space="0" w:color="auto"/>
            </w:tcBorders>
          </w:tcPr>
          <w:p w14:paraId="3E4046D3"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-16.3 ±</w:t>
            </w:r>
          </w:p>
          <w:p w14:paraId="42E9D9E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15.0</w:t>
            </w:r>
          </w:p>
        </w:tc>
        <w:tc>
          <w:tcPr>
            <w:tcW w:w="1056" w:type="dxa"/>
            <w:tcBorders>
              <w:top w:val="single" w:sz="4" w:space="0" w:color="auto"/>
            </w:tcBorders>
          </w:tcPr>
          <w:p w14:paraId="2059572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-13.2 ±</w:t>
            </w:r>
          </w:p>
          <w:p w14:paraId="1E720E2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30.9</w:t>
            </w:r>
          </w:p>
        </w:tc>
        <w:tc>
          <w:tcPr>
            <w:tcW w:w="1056" w:type="dxa"/>
            <w:tcBorders>
              <w:top w:val="single" w:sz="4" w:space="0" w:color="auto"/>
            </w:tcBorders>
          </w:tcPr>
          <w:p w14:paraId="18968A0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-22.6 ±</w:t>
            </w:r>
          </w:p>
          <w:p w14:paraId="6238D792"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24.5</w:t>
            </w:r>
          </w:p>
        </w:tc>
        <w:tc>
          <w:tcPr>
            <w:tcW w:w="1056" w:type="dxa"/>
            <w:tcBorders>
              <w:top w:val="single" w:sz="4" w:space="0" w:color="auto"/>
            </w:tcBorders>
          </w:tcPr>
          <w:p w14:paraId="39B2F75F"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-24.4 ±</w:t>
            </w:r>
          </w:p>
          <w:p w14:paraId="21C8D09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27.5</w:t>
            </w:r>
          </w:p>
        </w:tc>
      </w:tr>
      <w:tr w:rsidR="00366A0F" w:rsidRPr="00451548" w14:paraId="5D6829EA" w14:textId="77777777" w:rsidTr="00256AE1">
        <w:trPr>
          <w:gridAfter w:val="1"/>
          <w:wAfter w:w="14" w:type="dxa"/>
          <w:trHeight w:val="619"/>
        </w:trPr>
        <w:tc>
          <w:tcPr>
            <w:tcW w:w="825" w:type="dxa"/>
          </w:tcPr>
          <w:p w14:paraId="44763BA2" w14:textId="77777777" w:rsidR="00E02A03" w:rsidRPr="00451548" w:rsidRDefault="00E02A03" w:rsidP="00256AE1">
            <w:pPr>
              <w:jc w:val="both"/>
              <w:rPr>
                <w:rFonts w:ascii="Times New Roman" w:hAnsi="Times New Roman" w:cs="Times New Roman"/>
              </w:rPr>
            </w:pPr>
          </w:p>
        </w:tc>
        <w:tc>
          <w:tcPr>
            <w:tcW w:w="3093" w:type="dxa"/>
          </w:tcPr>
          <w:p w14:paraId="06DA805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Exo 800 RT Difference (ms)</w:t>
            </w:r>
          </w:p>
        </w:tc>
        <w:tc>
          <w:tcPr>
            <w:tcW w:w="947" w:type="dxa"/>
          </w:tcPr>
          <w:p w14:paraId="077A057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12.2 ±</w:t>
            </w:r>
          </w:p>
          <w:p w14:paraId="6F314042"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7.43</w:t>
            </w:r>
          </w:p>
        </w:tc>
        <w:tc>
          <w:tcPr>
            <w:tcW w:w="1056" w:type="dxa"/>
          </w:tcPr>
          <w:p w14:paraId="4F7B187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22.1 ±</w:t>
            </w:r>
          </w:p>
          <w:p w14:paraId="40675EA2"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9.07</w:t>
            </w:r>
          </w:p>
        </w:tc>
        <w:tc>
          <w:tcPr>
            <w:tcW w:w="1056" w:type="dxa"/>
          </w:tcPr>
          <w:p w14:paraId="58A643E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5.66 ±</w:t>
            </w:r>
          </w:p>
          <w:p w14:paraId="7D886AC1"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12.0</w:t>
            </w:r>
          </w:p>
        </w:tc>
        <w:tc>
          <w:tcPr>
            <w:tcW w:w="959" w:type="dxa"/>
            <w:tcBorders>
              <w:right w:val="single" w:sz="4" w:space="0" w:color="auto"/>
            </w:tcBorders>
          </w:tcPr>
          <w:p w14:paraId="75746CE4"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-5.41 ±</w:t>
            </w:r>
          </w:p>
          <w:p w14:paraId="0E824D8F"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16.3</w:t>
            </w:r>
          </w:p>
        </w:tc>
        <w:tc>
          <w:tcPr>
            <w:tcW w:w="1056" w:type="dxa"/>
            <w:tcBorders>
              <w:left w:val="single" w:sz="4" w:space="0" w:color="auto"/>
            </w:tcBorders>
          </w:tcPr>
          <w:p w14:paraId="37E61BA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8.88 ±</w:t>
            </w:r>
          </w:p>
          <w:p w14:paraId="11BE9734"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15.2</w:t>
            </w:r>
          </w:p>
        </w:tc>
        <w:tc>
          <w:tcPr>
            <w:tcW w:w="1056" w:type="dxa"/>
          </w:tcPr>
          <w:p w14:paraId="57BB63B5"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12.8 ±</w:t>
            </w:r>
          </w:p>
          <w:p w14:paraId="4AECEAF9"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14.0</w:t>
            </w:r>
          </w:p>
        </w:tc>
        <w:tc>
          <w:tcPr>
            <w:tcW w:w="1056" w:type="dxa"/>
          </w:tcPr>
          <w:p w14:paraId="7DFF329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8.76 ±</w:t>
            </w:r>
          </w:p>
          <w:p w14:paraId="4244A66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7.58</w:t>
            </w:r>
          </w:p>
        </w:tc>
        <w:tc>
          <w:tcPr>
            <w:tcW w:w="959" w:type="dxa"/>
            <w:tcBorders>
              <w:right w:val="single" w:sz="4" w:space="0" w:color="auto"/>
            </w:tcBorders>
          </w:tcPr>
          <w:p w14:paraId="5EB12F82"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-9.73 ±</w:t>
            </w:r>
          </w:p>
          <w:p w14:paraId="4E7889DC"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15.3</w:t>
            </w:r>
          </w:p>
        </w:tc>
        <w:tc>
          <w:tcPr>
            <w:tcW w:w="1056" w:type="dxa"/>
            <w:tcBorders>
              <w:left w:val="single" w:sz="4" w:space="0" w:color="auto"/>
            </w:tcBorders>
          </w:tcPr>
          <w:p w14:paraId="014D8B8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24.4 ±</w:t>
            </w:r>
          </w:p>
          <w:p w14:paraId="16EE5BE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26.5</w:t>
            </w:r>
          </w:p>
        </w:tc>
        <w:tc>
          <w:tcPr>
            <w:tcW w:w="1056" w:type="dxa"/>
          </w:tcPr>
          <w:p w14:paraId="5148D761"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22.7 ±</w:t>
            </w:r>
          </w:p>
          <w:p w14:paraId="727B927E"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7.45</w:t>
            </w:r>
          </w:p>
        </w:tc>
        <w:tc>
          <w:tcPr>
            <w:tcW w:w="1056" w:type="dxa"/>
          </w:tcPr>
          <w:p w14:paraId="09AFE3A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10.6 ±</w:t>
            </w:r>
          </w:p>
          <w:p w14:paraId="3BBD95D9"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12.9</w:t>
            </w:r>
          </w:p>
        </w:tc>
        <w:tc>
          <w:tcPr>
            <w:tcW w:w="1056" w:type="dxa"/>
          </w:tcPr>
          <w:p w14:paraId="732A7C4C"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16.2 ±</w:t>
            </w:r>
          </w:p>
          <w:p w14:paraId="3FEF60FA" w14:textId="77777777" w:rsidR="00E02A03" w:rsidRPr="00451548" w:rsidRDefault="00E02A03" w:rsidP="00256AE1">
            <w:pPr>
              <w:jc w:val="both"/>
              <w:rPr>
                <w:rFonts w:ascii="Times New Roman" w:hAnsi="Times New Roman" w:cs="Times New Roman"/>
                <w:b/>
                <w:bCs/>
              </w:rPr>
            </w:pPr>
            <w:r w:rsidRPr="00451548">
              <w:rPr>
                <w:rFonts w:ascii="Times New Roman" w:hAnsi="Times New Roman" w:cs="Times New Roman"/>
              </w:rPr>
              <w:t>10.2</w:t>
            </w:r>
          </w:p>
        </w:tc>
      </w:tr>
      <w:tr w:rsidR="00366A0F" w:rsidRPr="00451548" w14:paraId="2D2E479B" w14:textId="77777777" w:rsidTr="00256AE1">
        <w:trPr>
          <w:gridAfter w:val="1"/>
          <w:wAfter w:w="14" w:type="dxa"/>
          <w:trHeight w:val="619"/>
        </w:trPr>
        <w:tc>
          <w:tcPr>
            <w:tcW w:w="825" w:type="dxa"/>
          </w:tcPr>
          <w:p w14:paraId="001CE0B6" w14:textId="77777777" w:rsidR="00E02A03" w:rsidRPr="00451548" w:rsidRDefault="00E02A03" w:rsidP="00256AE1">
            <w:pPr>
              <w:jc w:val="both"/>
              <w:rPr>
                <w:rFonts w:ascii="Times New Roman" w:hAnsi="Times New Roman" w:cs="Times New Roman"/>
              </w:rPr>
            </w:pPr>
          </w:p>
        </w:tc>
        <w:tc>
          <w:tcPr>
            <w:tcW w:w="3093" w:type="dxa"/>
          </w:tcPr>
          <w:p w14:paraId="6EE54C6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Endo 800 RT Difference (ms)</w:t>
            </w:r>
          </w:p>
        </w:tc>
        <w:tc>
          <w:tcPr>
            <w:tcW w:w="947" w:type="dxa"/>
          </w:tcPr>
          <w:p w14:paraId="6DB104A7"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-16.1 ±</w:t>
            </w:r>
          </w:p>
          <w:p w14:paraId="3B0C5ED9"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9.53</w:t>
            </w:r>
          </w:p>
        </w:tc>
        <w:tc>
          <w:tcPr>
            <w:tcW w:w="1056" w:type="dxa"/>
          </w:tcPr>
          <w:p w14:paraId="649F7F2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23.2 ±</w:t>
            </w:r>
          </w:p>
          <w:p w14:paraId="55DCD5B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26.0</w:t>
            </w:r>
          </w:p>
        </w:tc>
        <w:tc>
          <w:tcPr>
            <w:tcW w:w="1056" w:type="dxa"/>
          </w:tcPr>
          <w:p w14:paraId="14001804"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-6.86 ±</w:t>
            </w:r>
          </w:p>
          <w:p w14:paraId="62A603F4"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17.4</w:t>
            </w:r>
          </w:p>
        </w:tc>
        <w:tc>
          <w:tcPr>
            <w:tcW w:w="959" w:type="dxa"/>
            <w:tcBorders>
              <w:right w:val="single" w:sz="4" w:space="0" w:color="auto"/>
            </w:tcBorders>
          </w:tcPr>
          <w:p w14:paraId="15F291D1"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-15.9 ±</w:t>
            </w:r>
          </w:p>
          <w:p w14:paraId="15D0C12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14.9</w:t>
            </w:r>
          </w:p>
        </w:tc>
        <w:tc>
          <w:tcPr>
            <w:tcW w:w="1056" w:type="dxa"/>
            <w:tcBorders>
              <w:left w:val="single" w:sz="4" w:space="0" w:color="auto"/>
            </w:tcBorders>
          </w:tcPr>
          <w:p w14:paraId="048F319E"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-38.2 ±</w:t>
            </w:r>
          </w:p>
          <w:p w14:paraId="046F2736"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47.3</w:t>
            </w:r>
          </w:p>
        </w:tc>
        <w:tc>
          <w:tcPr>
            <w:tcW w:w="1056" w:type="dxa"/>
          </w:tcPr>
          <w:p w14:paraId="373FE78F"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-72.2 ±</w:t>
            </w:r>
          </w:p>
          <w:p w14:paraId="29A3217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24.7</w:t>
            </w:r>
          </w:p>
        </w:tc>
        <w:tc>
          <w:tcPr>
            <w:tcW w:w="1056" w:type="dxa"/>
          </w:tcPr>
          <w:p w14:paraId="72483EE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-34.2 ±</w:t>
            </w:r>
          </w:p>
          <w:p w14:paraId="58A302BB"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22.3</w:t>
            </w:r>
          </w:p>
        </w:tc>
        <w:tc>
          <w:tcPr>
            <w:tcW w:w="959" w:type="dxa"/>
            <w:tcBorders>
              <w:right w:val="single" w:sz="4" w:space="0" w:color="auto"/>
            </w:tcBorders>
          </w:tcPr>
          <w:p w14:paraId="00ACAADC"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-51.4 ±</w:t>
            </w:r>
          </w:p>
          <w:p w14:paraId="7B23751D"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14.0</w:t>
            </w:r>
          </w:p>
        </w:tc>
        <w:tc>
          <w:tcPr>
            <w:tcW w:w="1056" w:type="dxa"/>
            <w:tcBorders>
              <w:left w:val="single" w:sz="4" w:space="0" w:color="auto"/>
            </w:tcBorders>
          </w:tcPr>
          <w:p w14:paraId="1A50C669"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-27.1 ±</w:t>
            </w:r>
          </w:p>
          <w:p w14:paraId="27D8665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12.8</w:t>
            </w:r>
          </w:p>
        </w:tc>
        <w:tc>
          <w:tcPr>
            <w:tcW w:w="1056" w:type="dxa"/>
          </w:tcPr>
          <w:p w14:paraId="33D9DF6F"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5.06 ±</w:t>
            </w:r>
          </w:p>
          <w:p w14:paraId="485D6D08"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30.2</w:t>
            </w:r>
          </w:p>
        </w:tc>
        <w:tc>
          <w:tcPr>
            <w:tcW w:w="1056" w:type="dxa"/>
          </w:tcPr>
          <w:p w14:paraId="432C9F3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-51.7 ±</w:t>
            </w:r>
          </w:p>
          <w:p w14:paraId="21E54D5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17.8</w:t>
            </w:r>
          </w:p>
        </w:tc>
        <w:tc>
          <w:tcPr>
            <w:tcW w:w="1056" w:type="dxa"/>
          </w:tcPr>
          <w:p w14:paraId="74D3B659"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-46.6 ±</w:t>
            </w:r>
          </w:p>
          <w:p w14:paraId="79076EB0"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18.3</w:t>
            </w:r>
          </w:p>
        </w:tc>
      </w:tr>
      <w:tr w:rsidR="00366A0F" w:rsidRPr="00451548" w14:paraId="47A1F8BA" w14:textId="77777777" w:rsidTr="00256AE1">
        <w:trPr>
          <w:trHeight w:val="583"/>
        </w:trPr>
        <w:tc>
          <w:tcPr>
            <w:tcW w:w="16301" w:type="dxa"/>
            <w:gridSpan w:val="15"/>
            <w:tcBorders>
              <w:top w:val="single" w:sz="4" w:space="0" w:color="auto"/>
            </w:tcBorders>
          </w:tcPr>
          <w:p w14:paraId="637DCDEA" w14:textId="77777777" w:rsidR="00E02A03" w:rsidRPr="00451548" w:rsidRDefault="00E02A03" w:rsidP="00256AE1">
            <w:pPr>
              <w:jc w:val="both"/>
              <w:rPr>
                <w:rFonts w:ascii="Times New Roman" w:hAnsi="Times New Roman" w:cs="Times New Roman"/>
              </w:rPr>
            </w:pPr>
            <w:r w:rsidRPr="00451548">
              <w:rPr>
                <w:rFonts w:ascii="Times New Roman" w:hAnsi="Times New Roman" w:cs="Times New Roman"/>
              </w:rPr>
              <w:t>CSoA = Covert Shift of Attention; Exo = Exogenous; Endo = Endogenous.</w:t>
            </w:r>
          </w:p>
          <w:p w14:paraId="19A17E21" w14:textId="49C44C70" w:rsidR="00E02A03" w:rsidRPr="00451548" w:rsidRDefault="00E02A03" w:rsidP="00256AE1">
            <w:pPr>
              <w:jc w:val="both"/>
              <w:rPr>
                <w:rFonts w:ascii="Times New Roman" w:hAnsi="Times New Roman" w:cs="Times New Roman"/>
              </w:rPr>
            </w:pPr>
          </w:p>
          <w:p w14:paraId="0AB53EC1" w14:textId="77777777" w:rsidR="00E02A03" w:rsidRPr="00451548" w:rsidRDefault="00E02A03" w:rsidP="00256AE1">
            <w:pPr>
              <w:jc w:val="both"/>
              <w:rPr>
                <w:rFonts w:ascii="Times New Roman" w:hAnsi="Times New Roman" w:cs="Times New Roman"/>
              </w:rPr>
            </w:pPr>
          </w:p>
          <w:tbl>
            <w:tblPr>
              <w:tblStyle w:val="TableGrid"/>
              <w:tblpPr w:leftFromText="180" w:rightFromText="180" w:vertAnchor="page" w:horzAnchor="page" w:tblpX="361" w:tblpY="556"/>
              <w:tblW w:w="16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436"/>
              <w:gridCol w:w="1085"/>
              <w:gridCol w:w="1086"/>
              <w:gridCol w:w="1085"/>
              <w:gridCol w:w="1086"/>
              <w:gridCol w:w="1085"/>
              <w:gridCol w:w="1086"/>
              <w:gridCol w:w="1085"/>
              <w:gridCol w:w="1086"/>
              <w:gridCol w:w="1085"/>
              <w:gridCol w:w="1086"/>
              <w:gridCol w:w="1085"/>
              <w:gridCol w:w="1086"/>
              <w:gridCol w:w="14"/>
            </w:tblGrid>
            <w:tr w:rsidR="00366A0F" w:rsidRPr="00451548" w14:paraId="56E48A3D" w14:textId="77777777" w:rsidTr="00256AE1">
              <w:trPr>
                <w:trHeight w:val="606"/>
              </w:trPr>
              <w:tc>
                <w:tcPr>
                  <w:tcW w:w="16301" w:type="dxa"/>
                  <w:gridSpan w:val="15"/>
                  <w:tcBorders>
                    <w:bottom w:val="single" w:sz="4" w:space="0" w:color="auto"/>
                  </w:tcBorders>
                </w:tcPr>
                <w:p w14:paraId="373DBF66" w14:textId="638B8F35" w:rsidR="00E02A03" w:rsidRPr="00451548" w:rsidRDefault="00E02A03" w:rsidP="00E02A03">
                  <w:pPr>
                    <w:jc w:val="both"/>
                    <w:rPr>
                      <w:rFonts w:ascii="Times New Roman" w:hAnsi="Times New Roman" w:cs="Times New Roman"/>
                    </w:rPr>
                  </w:pPr>
                  <w:r w:rsidRPr="00451548">
                    <w:rPr>
                      <w:rFonts w:ascii="Times New Roman" w:hAnsi="Times New Roman" w:cs="Times New Roman"/>
                      <w:b/>
                      <w:bCs/>
                    </w:rPr>
                    <w:lastRenderedPageBreak/>
                    <w:t>Table 3.</w:t>
                  </w:r>
                  <w:r w:rsidRPr="00451548">
                    <w:rPr>
                      <w:rFonts w:ascii="Times New Roman" w:hAnsi="Times New Roman" w:cs="Times New Roman"/>
                    </w:rPr>
                    <w:t xml:space="preserve"> Adjusted </w:t>
                  </w:r>
                  <w:r w:rsidR="00F70140" w:rsidRPr="00451548">
                    <w:rPr>
                      <w:rFonts w:ascii="Times New Roman" w:hAnsi="Times New Roman" w:cs="Times New Roman"/>
                    </w:rPr>
                    <w:t>m</w:t>
                  </w:r>
                  <w:r w:rsidRPr="00451548">
                    <w:rPr>
                      <w:rFonts w:ascii="Times New Roman" w:hAnsi="Times New Roman" w:cs="Times New Roman"/>
                    </w:rPr>
                    <w:t xml:space="preserve">ean </w:t>
                  </w:r>
                  <w:r w:rsidR="00F70140" w:rsidRPr="00451548">
                    <w:rPr>
                      <w:rFonts w:ascii="Times New Roman" w:hAnsi="Times New Roman" w:cs="Times New Roman"/>
                    </w:rPr>
                    <w:t>d</w:t>
                  </w:r>
                  <w:r w:rsidRPr="00451548">
                    <w:rPr>
                      <w:rFonts w:ascii="Times New Roman" w:hAnsi="Times New Roman" w:cs="Times New Roman"/>
                    </w:rPr>
                    <w:t xml:space="preserve">ifference from </w:t>
                  </w:r>
                  <w:r w:rsidR="00F70140" w:rsidRPr="00451548">
                    <w:rPr>
                      <w:rFonts w:ascii="Times New Roman" w:hAnsi="Times New Roman" w:cs="Times New Roman"/>
                    </w:rPr>
                    <w:t>b</w:t>
                  </w:r>
                  <w:r w:rsidRPr="00451548">
                    <w:rPr>
                      <w:rFonts w:ascii="Times New Roman" w:hAnsi="Times New Roman" w:cs="Times New Roman"/>
                    </w:rPr>
                    <w:t xml:space="preserve">aseline ± SE values for each of the RVIP </w:t>
                  </w:r>
                  <w:r w:rsidR="006246A2" w:rsidRPr="00451548">
                    <w:rPr>
                      <w:rFonts w:ascii="Times New Roman" w:hAnsi="Times New Roman" w:cs="Times New Roman"/>
                    </w:rPr>
                    <w:t>m</w:t>
                  </w:r>
                  <w:r w:rsidRPr="00451548">
                    <w:rPr>
                      <w:rFonts w:ascii="Times New Roman" w:hAnsi="Times New Roman" w:cs="Times New Roman"/>
                    </w:rPr>
                    <w:t>easures</w:t>
                  </w:r>
                  <w:r w:rsidR="006246A2" w:rsidRPr="00451548">
                    <w:rPr>
                      <w:rFonts w:ascii="Times New Roman" w:hAnsi="Times New Roman" w:cs="Times New Roman"/>
                    </w:rPr>
                    <w:t>.</w:t>
                  </w:r>
                </w:p>
              </w:tc>
            </w:tr>
            <w:tr w:rsidR="00366A0F" w:rsidRPr="00451548" w14:paraId="439AB491" w14:textId="77777777" w:rsidTr="00256AE1">
              <w:trPr>
                <w:trHeight w:val="242"/>
              </w:trPr>
              <w:tc>
                <w:tcPr>
                  <w:tcW w:w="825" w:type="dxa"/>
                  <w:tcBorders>
                    <w:top w:val="single" w:sz="4" w:space="0" w:color="auto"/>
                  </w:tcBorders>
                </w:tcPr>
                <w:p w14:paraId="18982C5D" w14:textId="77777777" w:rsidR="00E02A03" w:rsidRPr="00451548" w:rsidRDefault="00E02A03" w:rsidP="00E02A03">
                  <w:pPr>
                    <w:jc w:val="both"/>
                    <w:rPr>
                      <w:rFonts w:ascii="Times New Roman" w:hAnsi="Times New Roman" w:cs="Times New Roman"/>
                    </w:rPr>
                  </w:pPr>
                </w:p>
              </w:tc>
              <w:tc>
                <w:tcPr>
                  <w:tcW w:w="2436" w:type="dxa"/>
                  <w:tcBorders>
                    <w:top w:val="single" w:sz="4" w:space="0" w:color="auto"/>
                  </w:tcBorders>
                </w:tcPr>
                <w:p w14:paraId="20EABC56" w14:textId="77777777" w:rsidR="00E02A03" w:rsidRPr="00451548" w:rsidRDefault="00E02A03" w:rsidP="00E02A03">
                  <w:pPr>
                    <w:jc w:val="both"/>
                    <w:rPr>
                      <w:rFonts w:ascii="Times New Roman" w:hAnsi="Times New Roman" w:cs="Times New Roman"/>
                    </w:rPr>
                  </w:pPr>
                </w:p>
              </w:tc>
              <w:tc>
                <w:tcPr>
                  <w:tcW w:w="4342" w:type="dxa"/>
                  <w:gridSpan w:val="4"/>
                  <w:tcBorders>
                    <w:top w:val="single" w:sz="4" w:space="0" w:color="auto"/>
                    <w:right w:val="single" w:sz="4" w:space="0" w:color="auto"/>
                  </w:tcBorders>
                </w:tcPr>
                <w:p w14:paraId="6847ECD5" w14:textId="77777777" w:rsidR="00E02A03" w:rsidRPr="00451548" w:rsidRDefault="00E02A03" w:rsidP="00E02A03">
                  <w:pPr>
                    <w:jc w:val="center"/>
                    <w:rPr>
                      <w:rFonts w:ascii="Times New Roman" w:hAnsi="Times New Roman" w:cs="Times New Roman"/>
                      <w:b/>
                      <w:bCs/>
                    </w:rPr>
                  </w:pPr>
                  <w:r w:rsidRPr="00451548">
                    <w:rPr>
                      <w:rFonts w:ascii="Times New Roman" w:hAnsi="Times New Roman" w:cs="Times New Roman"/>
                      <w:b/>
                      <w:bCs/>
                    </w:rPr>
                    <w:t>Placebo</w:t>
                  </w:r>
                </w:p>
              </w:tc>
              <w:tc>
                <w:tcPr>
                  <w:tcW w:w="4342" w:type="dxa"/>
                  <w:gridSpan w:val="4"/>
                  <w:tcBorders>
                    <w:top w:val="single" w:sz="4" w:space="0" w:color="auto"/>
                    <w:left w:val="single" w:sz="4" w:space="0" w:color="auto"/>
                    <w:right w:val="single" w:sz="4" w:space="0" w:color="auto"/>
                  </w:tcBorders>
                </w:tcPr>
                <w:p w14:paraId="2A558D0F" w14:textId="77777777" w:rsidR="00E02A03" w:rsidRPr="00451548" w:rsidRDefault="00E02A03" w:rsidP="00E02A03">
                  <w:pPr>
                    <w:jc w:val="center"/>
                    <w:rPr>
                      <w:rFonts w:ascii="Times New Roman" w:hAnsi="Times New Roman" w:cs="Times New Roman"/>
                      <w:b/>
                      <w:bCs/>
                    </w:rPr>
                  </w:pPr>
                  <w:r w:rsidRPr="00451548">
                    <w:rPr>
                      <w:rFonts w:ascii="Times New Roman" w:hAnsi="Times New Roman" w:cs="Times New Roman"/>
                      <w:b/>
                      <w:bCs/>
                    </w:rPr>
                    <w:t>12g MCT/day</w:t>
                  </w:r>
                </w:p>
              </w:tc>
              <w:tc>
                <w:tcPr>
                  <w:tcW w:w="4356" w:type="dxa"/>
                  <w:gridSpan w:val="5"/>
                  <w:tcBorders>
                    <w:top w:val="single" w:sz="4" w:space="0" w:color="auto"/>
                    <w:left w:val="single" w:sz="4" w:space="0" w:color="auto"/>
                  </w:tcBorders>
                </w:tcPr>
                <w:p w14:paraId="2F113E95" w14:textId="77777777" w:rsidR="00E02A03" w:rsidRPr="00451548" w:rsidRDefault="00E02A03" w:rsidP="00E02A03">
                  <w:pPr>
                    <w:jc w:val="center"/>
                    <w:rPr>
                      <w:rFonts w:ascii="Times New Roman" w:hAnsi="Times New Roman" w:cs="Times New Roman"/>
                      <w:b/>
                      <w:bCs/>
                    </w:rPr>
                  </w:pPr>
                  <w:r w:rsidRPr="00451548">
                    <w:rPr>
                      <w:rFonts w:ascii="Times New Roman" w:hAnsi="Times New Roman" w:cs="Times New Roman"/>
                      <w:b/>
                      <w:bCs/>
                    </w:rPr>
                    <w:t>18g MCT/day</w:t>
                  </w:r>
                </w:p>
              </w:tc>
            </w:tr>
            <w:tr w:rsidR="00366A0F" w:rsidRPr="00451548" w14:paraId="15FEE8E0" w14:textId="77777777" w:rsidTr="00256AE1">
              <w:trPr>
                <w:gridAfter w:val="1"/>
                <w:wAfter w:w="14" w:type="dxa"/>
                <w:trHeight w:val="336"/>
              </w:trPr>
              <w:tc>
                <w:tcPr>
                  <w:tcW w:w="825" w:type="dxa"/>
                </w:tcPr>
                <w:p w14:paraId="210E01BC" w14:textId="77777777" w:rsidR="00E02A03" w:rsidRPr="00451548" w:rsidRDefault="00E02A03" w:rsidP="00E02A03">
                  <w:pPr>
                    <w:jc w:val="both"/>
                    <w:rPr>
                      <w:rFonts w:ascii="Times New Roman" w:hAnsi="Times New Roman" w:cs="Times New Roman"/>
                      <w:b/>
                      <w:bCs/>
                    </w:rPr>
                  </w:pPr>
                  <w:r w:rsidRPr="00451548">
                    <w:rPr>
                      <w:rFonts w:ascii="Times New Roman" w:hAnsi="Times New Roman" w:cs="Times New Roman"/>
                      <w:b/>
                      <w:bCs/>
                    </w:rPr>
                    <w:t>Week</w:t>
                  </w:r>
                </w:p>
              </w:tc>
              <w:tc>
                <w:tcPr>
                  <w:tcW w:w="2436" w:type="dxa"/>
                </w:tcPr>
                <w:p w14:paraId="316541B8" w14:textId="77777777" w:rsidR="00E02A03" w:rsidRPr="00451548" w:rsidRDefault="00E02A03" w:rsidP="00E02A03">
                  <w:pPr>
                    <w:jc w:val="both"/>
                    <w:rPr>
                      <w:rFonts w:ascii="Times New Roman" w:hAnsi="Times New Roman" w:cs="Times New Roman"/>
                      <w:b/>
                      <w:bCs/>
                    </w:rPr>
                  </w:pPr>
                </w:p>
              </w:tc>
              <w:tc>
                <w:tcPr>
                  <w:tcW w:w="1085" w:type="dxa"/>
                </w:tcPr>
                <w:p w14:paraId="14970112"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1</w:t>
                  </w:r>
                </w:p>
              </w:tc>
              <w:tc>
                <w:tcPr>
                  <w:tcW w:w="1086" w:type="dxa"/>
                </w:tcPr>
                <w:p w14:paraId="0010BF1F"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2</w:t>
                  </w:r>
                </w:p>
              </w:tc>
              <w:tc>
                <w:tcPr>
                  <w:tcW w:w="1085" w:type="dxa"/>
                </w:tcPr>
                <w:p w14:paraId="1D80C8DA"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3</w:t>
                  </w:r>
                </w:p>
              </w:tc>
              <w:tc>
                <w:tcPr>
                  <w:tcW w:w="1086" w:type="dxa"/>
                  <w:tcBorders>
                    <w:right w:val="single" w:sz="4" w:space="0" w:color="auto"/>
                  </w:tcBorders>
                </w:tcPr>
                <w:p w14:paraId="70A61CB3"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4</w:t>
                  </w:r>
                </w:p>
              </w:tc>
              <w:tc>
                <w:tcPr>
                  <w:tcW w:w="1085" w:type="dxa"/>
                  <w:tcBorders>
                    <w:left w:val="single" w:sz="4" w:space="0" w:color="auto"/>
                  </w:tcBorders>
                </w:tcPr>
                <w:p w14:paraId="2FA7EDC6"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1</w:t>
                  </w:r>
                </w:p>
              </w:tc>
              <w:tc>
                <w:tcPr>
                  <w:tcW w:w="1086" w:type="dxa"/>
                </w:tcPr>
                <w:p w14:paraId="58598A63"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2</w:t>
                  </w:r>
                </w:p>
              </w:tc>
              <w:tc>
                <w:tcPr>
                  <w:tcW w:w="1085" w:type="dxa"/>
                </w:tcPr>
                <w:p w14:paraId="7E1EE069"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3</w:t>
                  </w:r>
                </w:p>
              </w:tc>
              <w:tc>
                <w:tcPr>
                  <w:tcW w:w="1086" w:type="dxa"/>
                  <w:tcBorders>
                    <w:right w:val="single" w:sz="4" w:space="0" w:color="auto"/>
                  </w:tcBorders>
                </w:tcPr>
                <w:p w14:paraId="0194244B"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4</w:t>
                  </w:r>
                </w:p>
              </w:tc>
              <w:tc>
                <w:tcPr>
                  <w:tcW w:w="1085" w:type="dxa"/>
                  <w:tcBorders>
                    <w:left w:val="single" w:sz="4" w:space="0" w:color="auto"/>
                  </w:tcBorders>
                </w:tcPr>
                <w:p w14:paraId="2B41065F"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1</w:t>
                  </w:r>
                </w:p>
              </w:tc>
              <w:tc>
                <w:tcPr>
                  <w:tcW w:w="1086" w:type="dxa"/>
                </w:tcPr>
                <w:p w14:paraId="789E3C08"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2</w:t>
                  </w:r>
                </w:p>
              </w:tc>
              <w:tc>
                <w:tcPr>
                  <w:tcW w:w="1085" w:type="dxa"/>
                </w:tcPr>
                <w:p w14:paraId="6971FC39"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3</w:t>
                  </w:r>
                </w:p>
              </w:tc>
              <w:tc>
                <w:tcPr>
                  <w:tcW w:w="1086" w:type="dxa"/>
                </w:tcPr>
                <w:p w14:paraId="54E5FBEF" w14:textId="77777777" w:rsidR="00E02A03" w:rsidRPr="00451548" w:rsidRDefault="00E02A03" w:rsidP="00E02A03">
                  <w:pPr>
                    <w:jc w:val="center"/>
                    <w:rPr>
                      <w:rFonts w:ascii="Times New Roman" w:hAnsi="Times New Roman" w:cs="Times New Roman"/>
                    </w:rPr>
                  </w:pPr>
                  <w:r w:rsidRPr="00451548">
                    <w:rPr>
                      <w:rFonts w:ascii="Times New Roman" w:hAnsi="Times New Roman" w:cs="Times New Roman"/>
                    </w:rPr>
                    <w:t>4</w:t>
                  </w:r>
                </w:p>
              </w:tc>
            </w:tr>
            <w:tr w:rsidR="00366A0F" w:rsidRPr="00451548" w14:paraId="678D3CC4" w14:textId="77777777" w:rsidTr="00256AE1">
              <w:trPr>
                <w:gridAfter w:val="1"/>
                <w:wAfter w:w="14" w:type="dxa"/>
                <w:trHeight w:val="336"/>
              </w:trPr>
              <w:tc>
                <w:tcPr>
                  <w:tcW w:w="825" w:type="dxa"/>
                  <w:tcBorders>
                    <w:bottom w:val="single" w:sz="4" w:space="0" w:color="auto"/>
                  </w:tcBorders>
                </w:tcPr>
                <w:p w14:paraId="6F38A62D" w14:textId="77777777" w:rsidR="00E02A03" w:rsidRPr="00451548" w:rsidRDefault="00E02A03" w:rsidP="00E02A03">
                  <w:pPr>
                    <w:jc w:val="both"/>
                    <w:rPr>
                      <w:rFonts w:ascii="Times New Roman" w:hAnsi="Times New Roman" w:cs="Times New Roman"/>
                      <w:b/>
                      <w:bCs/>
                    </w:rPr>
                  </w:pPr>
                </w:p>
              </w:tc>
              <w:tc>
                <w:tcPr>
                  <w:tcW w:w="2436" w:type="dxa"/>
                  <w:tcBorders>
                    <w:bottom w:val="single" w:sz="4" w:space="0" w:color="auto"/>
                  </w:tcBorders>
                </w:tcPr>
                <w:p w14:paraId="6B4BED27" w14:textId="77777777" w:rsidR="00E02A03" w:rsidRPr="00451548" w:rsidRDefault="00E02A03" w:rsidP="00E02A03">
                  <w:pPr>
                    <w:jc w:val="both"/>
                    <w:rPr>
                      <w:rFonts w:ascii="Times New Roman" w:hAnsi="Times New Roman" w:cs="Times New Roman"/>
                      <w:b/>
                      <w:bCs/>
                    </w:rPr>
                  </w:pPr>
                  <w:r w:rsidRPr="00451548">
                    <w:rPr>
                      <w:rFonts w:ascii="Times New Roman" w:hAnsi="Times New Roman" w:cs="Times New Roman"/>
                      <w:b/>
                      <w:bCs/>
                    </w:rPr>
                    <w:t>Measure</w:t>
                  </w:r>
                </w:p>
              </w:tc>
              <w:tc>
                <w:tcPr>
                  <w:tcW w:w="1085" w:type="dxa"/>
                  <w:tcBorders>
                    <w:bottom w:val="single" w:sz="4" w:space="0" w:color="auto"/>
                  </w:tcBorders>
                </w:tcPr>
                <w:p w14:paraId="5AD5E515"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tcBorders>
                </w:tcPr>
                <w:p w14:paraId="5AC23077" w14:textId="77777777" w:rsidR="00E02A03" w:rsidRPr="00451548" w:rsidRDefault="00E02A03" w:rsidP="00E02A03">
                  <w:pPr>
                    <w:jc w:val="both"/>
                    <w:rPr>
                      <w:rFonts w:ascii="Times New Roman" w:hAnsi="Times New Roman" w:cs="Times New Roman"/>
                    </w:rPr>
                  </w:pPr>
                </w:p>
              </w:tc>
              <w:tc>
                <w:tcPr>
                  <w:tcW w:w="1085" w:type="dxa"/>
                  <w:tcBorders>
                    <w:bottom w:val="single" w:sz="4" w:space="0" w:color="auto"/>
                  </w:tcBorders>
                </w:tcPr>
                <w:p w14:paraId="66CA3D43"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right w:val="single" w:sz="4" w:space="0" w:color="auto"/>
                  </w:tcBorders>
                </w:tcPr>
                <w:p w14:paraId="779D3317" w14:textId="77777777" w:rsidR="00E02A03" w:rsidRPr="00451548" w:rsidRDefault="00E02A03" w:rsidP="00E02A03">
                  <w:pPr>
                    <w:jc w:val="both"/>
                    <w:rPr>
                      <w:rFonts w:ascii="Times New Roman" w:hAnsi="Times New Roman" w:cs="Times New Roman"/>
                    </w:rPr>
                  </w:pPr>
                </w:p>
              </w:tc>
              <w:tc>
                <w:tcPr>
                  <w:tcW w:w="1085" w:type="dxa"/>
                  <w:tcBorders>
                    <w:left w:val="single" w:sz="4" w:space="0" w:color="auto"/>
                    <w:bottom w:val="single" w:sz="4" w:space="0" w:color="auto"/>
                  </w:tcBorders>
                </w:tcPr>
                <w:p w14:paraId="64BDEDF1"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tcBorders>
                </w:tcPr>
                <w:p w14:paraId="655E28AA" w14:textId="77777777" w:rsidR="00E02A03" w:rsidRPr="00451548" w:rsidRDefault="00E02A03" w:rsidP="00E02A03">
                  <w:pPr>
                    <w:jc w:val="both"/>
                    <w:rPr>
                      <w:rFonts w:ascii="Times New Roman" w:hAnsi="Times New Roman" w:cs="Times New Roman"/>
                    </w:rPr>
                  </w:pPr>
                </w:p>
              </w:tc>
              <w:tc>
                <w:tcPr>
                  <w:tcW w:w="1085" w:type="dxa"/>
                  <w:tcBorders>
                    <w:bottom w:val="single" w:sz="4" w:space="0" w:color="auto"/>
                  </w:tcBorders>
                </w:tcPr>
                <w:p w14:paraId="684AF419"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right w:val="single" w:sz="4" w:space="0" w:color="auto"/>
                  </w:tcBorders>
                </w:tcPr>
                <w:p w14:paraId="1E8343F7" w14:textId="77777777" w:rsidR="00E02A03" w:rsidRPr="00451548" w:rsidRDefault="00E02A03" w:rsidP="00E02A03">
                  <w:pPr>
                    <w:jc w:val="both"/>
                    <w:rPr>
                      <w:rFonts w:ascii="Times New Roman" w:hAnsi="Times New Roman" w:cs="Times New Roman"/>
                    </w:rPr>
                  </w:pPr>
                </w:p>
              </w:tc>
              <w:tc>
                <w:tcPr>
                  <w:tcW w:w="1085" w:type="dxa"/>
                  <w:tcBorders>
                    <w:left w:val="single" w:sz="4" w:space="0" w:color="auto"/>
                    <w:bottom w:val="single" w:sz="4" w:space="0" w:color="auto"/>
                  </w:tcBorders>
                </w:tcPr>
                <w:p w14:paraId="2CD32F40"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tcBorders>
                </w:tcPr>
                <w:p w14:paraId="3CC87FE5" w14:textId="77777777" w:rsidR="00E02A03" w:rsidRPr="00451548" w:rsidRDefault="00E02A03" w:rsidP="00E02A03">
                  <w:pPr>
                    <w:jc w:val="both"/>
                    <w:rPr>
                      <w:rFonts w:ascii="Times New Roman" w:hAnsi="Times New Roman" w:cs="Times New Roman"/>
                    </w:rPr>
                  </w:pPr>
                </w:p>
              </w:tc>
              <w:tc>
                <w:tcPr>
                  <w:tcW w:w="1085" w:type="dxa"/>
                  <w:tcBorders>
                    <w:bottom w:val="single" w:sz="4" w:space="0" w:color="auto"/>
                  </w:tcBorders>
                </w:tcPr>
                <w:p w14:paraId="72DF3F44" w14:textId="77777777" w:rsidR="00E02A03" w:rsidRPr="00451548" w:rsidRDefault="00E02A03" w:rsidP="00E02A03">
                  <w:pPr>
                    <w:jc w:val="both"/>
                    <w:rPr>
                      <w:rFonts w:ascii="Times New Roman" w:hAnsi="Times New Roman" w:cs="Times New Roman"/>
                    </w:rPr>
                  </w:pPr>
                </w:p>
              </w:tc>
              <w:tc>
                <w:tcPr>
                  <w:tcW w:w="1086" w:type="dxa"/>
                  <w:tcBorders>
                    <w:bottom w:val="single" w:sz="4" w:space="0" w:color="auto"/>
                  </w:tcBorders>
                </w:tcPr>
                <w:p w14:paraId="798B140D" w14:textId="77777777" w:rsidR="00E02A03" w:rsidRPr="00451548" w:rsidRDefault="00E02A03" w:rsidP="00E02A03">
                  <w:pPr>
                    <w:jc w:val="both"/>
                    <w:rPr>
                      <w:rFonts w:ascii="Times New Roman" w:hAnsi="Times New Roman" w:cs="Times New Roman"/>
                    </w:rPr>
                  </w:pPr>
                </w:p>
              </w:tc>
            </w:tr>
            <w:tr w:rsidR="00366A0F" w:rsidRPr="00451548" w14:paraId="4DE27941" w14:textId="77777777" w:rsidTr="00256AE1">
              <w:trPr>
                <w:gridAfter w:val="1"/>
                <w:wAfter w:w="14" w:type="dxa"/>
                <w:trHeight w:val="619"/>
              </w:trPr>
              <w:tc>
                <w:tcPr>
                  <w:tcW w:w="825" w:type="dxa"/>
                  <w:tcBorders>
                    <w:top w:val="single" w:sz="4" w:space="0" w:color="auto"/>
                  </w:tcBorders>
                </w:tcPr>
                <w:p w14:paraId="306129C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 xml:space="preserve"> </w:t>
                  </w:r>
                </w:p>
              </w:tc>
              <w:tc>
                <w:tcPr>
                  <w:tcW w:w="2436" w:type="dxa"/>
                  <w:tcBorders>
                    <w:top w:val="single" w:sz="4" w:space="0" w:color="auto"/>
                  </w:tcBorders>
                </w:tcPr>
                <w:p w14:paraId="1A8BC94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RT (ms)</w:t>
                  </w:r>
                </w:p>
              </w:tc>
              <w:tc>
                <w:tcPr>
                  <w:tcW w:w="1085" w:type="dxa"/>
                </w:tcPr>
                <w:p w14:paraId="7FB64FEF"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-58.0 ±</w:t>
                  </w:r>
                </w:p>
                <w:p w14:paraId="1025702C"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23.0</w:t>
                  </w:r>
                </w:p>
              </w:tc>
              <w:tc>
                <w:tcPr>
                  <w:tcW w:w="1086" w:type="dxa"/>
                </w:tcPr>
                <w:p w14:paraId="074D14A4"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-69.8 ±</w:t>
                  </w:r>
                </w:p>
                <w:p w14:paraId="331D8416"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23.2</w:t>
                  </w:r>
                </w:p>
              </w:tc>
              <w:tc>
                <w:tcPr>
                  <w:tcW w:w="1085" w:type="dxa"/>
                </w:tcPr>
                <w:p w14:paraId="0E6115CA"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-57.0 ±</w:t>
                  </w:r>
                </w:p>
                <w:p w14:paraId="3D8D9909"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23.8</w:t>
                  </w:r>
                </w:p>
              </w:tc>
              <w:tc>
                <w:tcPr>
                  <w:tcW w:w="1086" w:type="dxa"/>
                  <w:tcBorders>
                    <w:right w:val="single" w:sz="4" w:space="0" w:color="auto"/>
                  </w:tcBorders>
                </w:tcPr>
                <w:p w14:paraId="7C34C003"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-38.0 ±</w:t>
                  </w:r>
                </w:p>
                <w:p w14:paraId="0EB739D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26.1</w:t>
                  </w:r>
                </w:p>
              </w:tc>
              <w:tc>
                <w:tcPr>
                  <w:tcW w:w="1085" w:type="dxa"/>
                  <w:tcBorders>
                    <w:left w:val="single" w:sz="4" w:space="0" w:color="auto"/>
                  </w:tcBorders>
                </w:tcPr>
                <w:p w14:paraId="2631AAD1"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-45.0 ±</w:t>
                  </w:r>
                </w:p>
                <w:p w14:paraId="5A72EDF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23.0</w:t>
                  </w:r>
                </w:p>
              </w:tc>
              <w:tc>
                <w:tcPr>
                  <w:tcW w:w="1086" w:type="dxa"/>
                </w:tcPr>
                <w:p w14:paraId="0620E97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-23.7 ±</w:t>
                  </w:r>
                </w:p>
                <w:p w14:paraId="37AA2D7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23.2</w:t>
                  </w:r>
                </w:p>
              </w:tc>
              <w:tc>
                <w:tcPr>
                  <w:tcW w:w="1085" w:type="dxa"/>
                </w:tcPr>
                <w:p w14:paraId="169DF10A"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-16.5 ±</w:t>
                  </w:r>
                </w:p>
                <w:p w14:paraId="4434CDD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22.9</w:t>
                  </w:r>
                </w:p>
              </w:tc>
              <w:tc>
                <w:tcPr>
                  <w:tcW w:w="1086" w:type="dxa"/>
                  <w:tcBorders>
                    <w:right w:val="single" w:sz="4" w:space="0" w:color="auto"/>
                  </w:tcBorders>
                </w:tcPr>
                <w:p w14:paraId="38C8CC2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-19.7 ±</w:t>
                  </w:r>
                </w:p>
                <w:p w14:paraId="0A4DC0DA"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26.1</w:t>
                  </w:r>
                </w:p>
              </w:tc>
              <w:tc>
                <w:tcPr>
                  <w:tcW w:w="1085" w:type="dxa"/>
                  <w:tcBorders>
                    <w:left w:val="single" w:sz="4" w:space="0" w:color="auto"/>
                  </w:tcBorders>
                </w:tcPr>
                <w:p w14:paraId="63EC314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-57.9 ±</w:t>
                  </w:r>
                </w:p>
                <w:p w14:paraId="772A5E1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23.0</w:t>
                  </w:r>
                </w:p>
              </w:tc>
              <w:tc>
                <w:tcPr>
                  <w:tcW w:w="1086" w:type="dxa"/>
                </w:tcPr>
                <w:p w14:paraId="2F6832C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-42.3 ±</w:t>
                  </w:r>
                </w:p>
                <w:p w14:paraId="4B71E75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23.7</w:t>
                  </w:r>
                </w:p>
              </w:tc>
              <w:tc>
                <w:tcPr>
                  <w:tcW w:w="1085" w:type="dxa"/>
                </w:tcPr>
                <w:p w14:paraId="6BC4108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-75.0 ±</w:t>
                  </w:r>
                </w:p>
                <w:p w14:paraId="5BB9E4E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22.9</w:t>
                  </w:r>
                </w:p>
              </w:tc>
              <w:tc>
                <w:tcPr>
                  <w:tcW w:w="1086" w:type="dxa"/>
                </w:tcPr>
                <w:p w14:paraId="05903DA1"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-87.5 ±</w:t>
                  </w:r>
                </w:p>
                <w:p w14:paraId="099901B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25.5</w:t>
                  </w:r>
                </w:p>
              </w:tc>
            </w:tr>
            <w:tr w:rsidR="00366A0F" w:rsidRPr="00451548" w14:paraId="11803F36" w14:textId="77777777" w:rsidTr="00256AE1">
              <w:trPr>
                <w:gridAfter w:val="1"/>
                <w:wAfter w:w="14" w:type="dxa"/>
                <w:trHeight w:val="619"/>
              </w:trPr>
              <w:tc>
                <w:tcPr>
                  <w:tcW w:w="825" w:type="dxa"/>
                </w:tcPr>
                <w:p w14:paraId="045294EC" w14:textId="77777777" w:rsidR="00E02A03" w:rsidRPr="00451548" w:rsidRDefault="00E02A03" w:rsidP="00E02A03">
                  <w:pPr>
                    <w:jc w:val="both"/>
                    <w:rPr>
                      <w:rFonts w:ascii="Times New Roman" w:hAnsi="Times New Roman" w:cs="Times New Roman"/>
                    </w:rPr>
                  </w:pPr>
                </w:p>
              </w:tc>
              <w:tc>
                <w:tcPr>
                  <w:tcW w:w="2436" w:type="dxa"/>
                </w:tcPr>
                <w:p w14:paraId="6F27E13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 xml:space="preserve">Errors (responded </w:t>
                  </w:r>
                </w:p>
                <w:p w14:paraId="67F73598"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to non-target)</w:t>
                  </w:r>
                </w:p>
              </w:tc>
              <w:tc>
                <w:tcPr>
                  <w:tcW w:w="1085" w:type="dxa"/>
                </w:tcPr>
                <w:p w14:paraId="11D000E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-3.0 ±</w:t>
                  </w:r>
                </w:p>
                <w:p w14:paraId="73C075D6"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5.0</w:t>
                  </w:r>
                </w:p>
              </w:tc>
              <w:tc>
                <w:tcPr>
                  <w:tcW w:w="1086" w:type="dxa"/>
                </w:tcPr>
                <w:p w14:paraId="3975889B"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-0.8 ±</w:t>
                  </w:r>
                </w:p>
                <w:p w14:paraId="6D067181"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4.4</w:t>
                  </w:r>
                </w:p>
              </w:tc>
              <w:tc>
                <w:tcPr>
                  <w:tcW w:w="1085" w:type="dxa"/>
                </w:tcPr>
                <w:p w14:paraId="2B3D61D8"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-1.5 ±</w:t>
                  </w:r>
                </w:p>
                <w:p w14:paraId="6CDF583C"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3.9</w:t>
                  </w:r>
                </w:p>
              </w:tc>
              <w:tc>
                <w:tcPr>
                  <w:tcW w:w="1086" w:type="dxa"/>
                  <w:tcBorders>
                    <w:right w:val="single" w:sz="4" w:space="0" w:color="auto"/>
                  </w:tcBorders>
                </w:tcPr>
                <w:p w14:paraId="4F48DB8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 xml:space="preserve">2.2 ± </w:t>
                  </w:r>
                </w:p>
                <w:p w14:paraId="391B7D79"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4.3</w:t>
                  </w:r>
                </w:p>
              </w:tc>
              <w:tc>
                <w:tcPr>
                  <w:tcW w:w="1085" w:type="dxa"/>
                  <w:tcBorders>
                    <w:left w:val="single" w:sz="4" w:space="0" w:color="auto"/>
                  </w:tcBorders>
                </w:tcPr>
                <w:p w14:paraId="6EA96F3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6.5 ±</w:t>
                  </w:r>
                </w:p>
                <w:p w14:paraId="751C45C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5.0</w:t>
                  </w:r>
                </w:p>
              </w:tc>
              <w:tc>
                <w:tcPr>
                  <w:tcW w:w="1086" w:type="dxa"/>
                </w:tcPr>
                <w:p w14:paraId="58AECBEC"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1.2 ±</w:t>
                  </w:r>
                </w:p>
                <w:p w14:paraId="44D1FFB7"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4.4</w:t>
                  </w:r>
                </w:p>
              </w:tc>
              <w:tc>
                <w:tcPr>
                  <w:tcW w:w="1085" w:type="dxa"/>
                </w:tcPr>
                <w:p w14:paraId="474BE74C"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 ±</w:t>
                  </w:r>
                </w:p>
                <w:p w14:paraId="45F523F4"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3.8</w:t>
                  </w:r>
                </w:p>
              </w:tc>
              <w:tc>
                <w:tcPr>
                  <w:tcW w:w="1086" w:type="dxa"/>
                  <w:tcBorders>
                    <w:right w:val="single" w:sz="4" w:space="0" w:color="auto"/>
                  </w:tcBorders>
                </w:tcPr>
                <w:p w14:paraId="68711D3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-1.8 ±</w:t>
                  </w:r>
                </w:p>
                <w:p w14:paraId="567A64BA"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4.3</w:t>
                  </w:r>
                </w:p>
              </w:tc>
              <w:tc>
                <w:tcPr>
                  <w:tcW w:w="1085" w:type="dxa"/>
                  <w:tcBorders>
                    <w:left w:val="single" w:sz="4" w:space="0" w:color="auto"/>
                  </w:tcBorders>
                </w:tcPr>
                <w:p w14:paraId="307711A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-0.27 ±</w:t>
                  </w:r>
                </w:p>
                <w:p w14:paraId="62EE1F71"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5.0</w:t>
                  </w:r>
                </w:p>
              </w:tc>
              <w:tc>
                <w:tcPr>
                  <w:tcW w:w="1086" w:type="dxa"/>
                </w:tcPr>
                <w:p w14:paraId="64392D1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-4.7 ±</w:t>
                  </w:r>
                </w:p>
                <w:p w14:paraId="00836236"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w:t>
                  </w:r>
                </w:p>
              </w:tc>
              <w:tc>
                <w:tcPr>
                  <w:tcW w:w="1085" w:type="dxa"/>
                </w:tcPr>
                <w:p w14:paraId="4B5B7474"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-5.4 ±</w:t>
                  </w:r>
                </w:p>
                <w:p w14:paraId="0E8F60E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3.8</w:t>
                  </w:r>
                </w:p>
              </w:tc>
              <w:tc>
                <w:tcPr>
                  <w:tcW w:w="1086" w:type="dxa"/>
                </w:tcPr>
                <w:p w14:paraId="2D847BC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-9.9 ±</w:t>
                  </w:r>
                </w:p>
                <w:p w14:paraId="4E8CFAD9" w14:textId="77777777" w:rsidR="00E02A03" w:rsidRPr="00451548" w:rsidRDefault="00E02A03" w:rsidP="00E02A03">
                  <w:pPr>
                    <w:jc w:val="both"/>
                    <w:rPr>
                      <w:rFonts w:ascii="Times New Roman" w:hAnsi="Times New Roman" w:cs="Times New Roman"/>
                      <w:b/>
                      <w:bCs/>
                    </w:rPr>
                  </w:pPr>
                  <w:r w:rsidRPr="00451548">
                    <w:rPr>
                      <w:rFonts w:ascii="Times New Roman" w:hAnsi="Times New Roman" w:cs="Times New Roman"/>
                    </w:rPr>
                    <w:t>4.2</w:t>
                  </w:r>
                </w:p>
              </w:tc>
            </w:tr>
            <w:tr w:rsidR="00366A0F" w:rsidRPr="00451548" w14:paraId="5C479A1F" w14:textId="77777777" w:rsidTr="00256AE1">
              <w:trPr>
                <w:gridAfter w:val="1"/>
                <w:wAfter w:w="14" w:type="dxa"/>
                <w:trHeight w:val="619"/>
              </w:trPr>
              <w:tc>
                <w:tcPr>
                  <w:tcW w:w="825" w:type="dxa"/>
                </w:tcPr>
                <w:p w14:paraId="0005AF12" w14:textId="77777777" w:rsidR="00E02A03" w:rsidRPr="00451548" w:rsidRDefault="00E02A03" w:rsidP="00E02A03">
                  <w:pPr>
                    <w:jc w:val="both"/>
                    <w:rPr>
                      <w:rFonts w:ascii="Times New Roman" w:hAnsi="Times New Roman" w:cs="Times New Roman"/>
                    </w:rPr>
                  </w:pPr>
                </w:p>
              </w:tc>
              <w:tc>
                <w:tcPr>
                  <w:tcW w:w="2436" w:type="dxa"/>
                </w:tcPr>
                <w:p w14:paraId="7519FEB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 xml:space="preserve">Errors (missed </w:t>
                  </w:r>
                </w:p>
                <w:p w14:paraId="014D564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targets)</w:t>
                  </w:r>
                </w:p>
              </w:tc>
              <w:tc>
                <w:tcPr>
                  <w:tcW w:w="1085" w:type="dxa"/>
                  <w:tcBorders>
                    <w:top w:val="nil"/>
                    <w:left w:val="nil"/>
                    <w:bottom w:val="single" w:sz="4" w:space="0" w:color="auto"/>
                    <w:right w:val="nil"/>
                  </w:tcBorders>
                </w:tcPr>
                <w:p w14:paraId="0EF482A5"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-16.7 ±</w:t>
                  </w:r>
                </w:p>
                <w:p w14:paraId="5544B009"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w:t>
                  </w:r>
                </w:p>
              </w:tc>
              <w:tc>
                <w:tcPr>
                  <w:tcW w:w="1086" w:type="dxa"/>
                  <w:tcBorders>
                    <w:top w:val="nil"/>
                    <w:left w:val="nil"/>
                    <w:bottom w:val="single" w:sz="4" w:space="0" w:color="auto"/>
                    <w:right w:val="nil"/>
                  </w:tcBorders>
                </w:tcPr>
                <w:p w14:paraId="4722222C"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-17.0 ±</w:t>
                  </w:r>
                </w:p>
                <w:p w14:paraId="0385CC8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4.8</w:t>
                  </w:r>
                </w:p>
              </w:tc>
              <w:tc>
                <w:tcPr>
                  <w:tcW w:w="1085" w:type="dxa"/>
                  <w:tcBorders>
                    <w:top w:val="nil"/>
                    <w:left w:val="nil"/>
                    <w:bottom w:val="single" w:sz="4" w:space="0" w:color="auto"/>
                    <w:right w:val="nil"/>
                  </w:tcBorders>
                </w:tcPr>
                <w:p w14:paraId="3F030E29"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-21.3 ±</w:t>
                  </w:r>
                </w:p>
                <w:p w14:paraId="7343158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4.6*</w:t>
                  </w:r>
                </w:p>
              </w:tc>
              <w:tc>
                <w:tcPr>
                  <w:tcW w:w="1086" w:type="dxa"/>
                  <w:tcBorders>
                    <w:top w:val="nil"/>
                    <w:left w:val="nil"/>
                    <w:bottom w:val="single" w:sz="4" w:space="0" w:color="auto"/>
                    <w:right w:val="single" w:sz="4" w:space="0" w:color="auto"/>
                  </w:tcBorders>
                </w:tcPr>
                <w:p w14:paraId="6F9EE08B"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-19.2 ±</w:t>
                  </w:r>
                </w:p>
                <w:p w14:paraId="3D192D5B"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4.4*</w:t>
                  </w:r>
                </w:p>
              </w:tc>
              <w:tc>
                <w:tcPr>
                  <w:tcW w:w="1085" w:type="dxa"/>
                  <w:tcBorders>
                    <w:top w:val="nil"/>
                    <w:left w:val="single" w:sz="4" w:space="0" w:color="auto"/>
                    <w:bottom w:val="single" w:sz="4" w:space="0" w:color="auto"/>
                    <w:right w:val="nil"/>
                  </w:tcBorders>
                </w:tcPr>
                <w:p w14:paraId="09EDD574"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-13.5 ±</w:t>
                  </w:r>
                </w:p>
                <w:p w14:paraId="04226B02"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3.5</w:t>
                  </w:r>
                </w:p>
              </w:tc>
              <w:tc>
                <w:tcPr>
                  <w:tcW w:w="1086" w:type="dxa"/>
                  <w:tcBorders>
                    <w:top w:val="nil"/>
                    <w:left w:val="nil"/>
                    <w:bottom w:val="single" w:sz="4" w:space="0" w:color="auto"/>
                    <w:right w:val="nil"/>
                  </w:tcBorders>
                </w:tcPr>
                <w:p w14:paraId="376FD11E"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-21.0 ±</w:t>
                  </w:r>
                </w:p>
                <w:p w14:paraId="57B637E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4.8</w:t>
                  </w:r>
                </w:p>
              </w:tc>
              <w:tc>
                <w:tcPr>
                  <w:tcW w:w="1085" w:type="dxa"/>
                  <w:tcBorders>
                    <w:top w:val="nil"/>
                    <w:left w:val="nil"/>
                    <w:bottom w:val="single" w:sz="4" w:space="0" w:color="auto"/>
                    <w:right w:val="nil"/>
                  </w:tcBorders>
                </w:tcPr>
                <w:p w14:paraId="048A6D43"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-24.6 ±</w:t>
                  </w:r>
                </w:p>
                <w:p w14:paraId="4D8E517F"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w:t>
                  </w:r>
                </w:p>
              </w:tc>
              <w:tc>
                <w:tcPr>
                  <w:tcW w:w="1086" w:type="dxa"/>
                  <w:tcBorders>
                    <w:top w:val="nil"/>
                    <w:left w:val="nil"/>
                    <w:bottom w:val="single" w:sz="4" w:space="0" w:color="auto"/>
                    <w:right w:val="single" w:sz="4" w:space="0" w:color="auto"/>
                  </w:tcBorders>
                </w:tcPr>
                <w:p w14:paraId="67D94AC7"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-24.9 ±</w:t>
                  </w:r>
                </w:p>
                <w:p w14:paraId="1616A5BD"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4.4*</w:t>
                  </w:r>
                </w:p>
              </w:tc>
              <w:tc>
                <w:tcPr>
                  <w:tcW w:w="1085" w:type="dxa"/>
                  <w:tcBorders>
                    <w:top w:val="nil"/>
                    <w:left w:val="single" w:sz="4" w:space="0" w:color="auto"/>
                    <w:bottom w:val="single" w:sz="4" w:space="0" w:color="auto"/>
                    <w:right w:val="nil"/>
                  </w:tcBorders>
                </w:tcPr>
                <w:p w14:paraId="7DE0F748"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-9.3 ±</w:t>
                  </w:r>
                </w:p>
                <w:p w14:paraId="3A7B8B21"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w:t>
                  </w:r>
                </w:p>
              </w:tc>
              <w:tc>
                <w:tcPr>
                  <w:tcW w:w="1086" w:type="dxa"/>
                  <w:tcBorders>
                    <w:top w:val="nil"/>
                    <w:left w:val="nil"/>
                    <w:bottom w:val="single" w:sz="4" w:space="0" w:color="auto"/>
                    <w:right w:val="nil"/>
                  </w:tcBorders>
                </w:tcPr>
                <w:p w14:paraId="30954223"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-11.4± 4.9</w:t>
                  </w:r>
                </w:p>
              </w:tc>
              <w:tc>
                <w:tcPr>
                  <w:tcW w:w="1085" w:type="dxa"/>
                  <w:tcBorders>
                    <w:top w:val="nil"/>
                    <w:left w:val="nil"/>
                    <w:bottom w:val="single" w:sz="4" w:space="0" w:color="auto"/>
                    <w:right w:val="nil"/>
                  </w:tcBorders>
                </w:tcPr>
                <w:p w14:paraId="691707B0"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-23.3 ±</w:t>
                  </w:r>
                </w:p>
                <w:p w14:paraId="338ED603"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4.5*</w:t>
                  </w:r>
                </w:p>
              </w:tc>
              <w:tc>
                <w:tcPr>
                  <w:tcW w:w="1086" w:type="dxa"/>
                </w:tcPr>
                <w:p w14:paraId="09B4FA39"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-22.7 ±</w:t>
                  </w:r>
                </w:p>
                <w:p w14:paraId="7EF01AF8"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4.3*</w:t>
                  </w:r>
                </w:p>
              </w:tc>
            </w:tr>
            <w:tr w:rsidR="00366A0F" w:rsidRPr="00451548" w14:paraId="4C6E5D2E" w14:textId="77777777" w:rsidTr="00256AE1">
              <w:trPr>
                <w:trHeight w:val="583"/>
              </w:trPr>
              <w:tc>
                <w:tcPr>
                  <w:tcW w:w="16301" w:type="dxa"/>
                  <w:gridSpan w:val="15"/>
                  <w:tcBorders>
                    <w:top w:val="single" w:sz="4" w:space="0" w:color="auto"/>
                  </w:tcBorders>
                </w:tcPr>
                <w:p w14:paraId="41F0852F" w14:textId="77777777" w:rsidR="00E02A03" w:rsidRPr="00451548" w:rsidRDefault="00E02A03" w:rsidP="00E02A03">
                  <w:pPr>
                    <w:jc w:val="both"/>
                    <w:rPr>
                      <w:rFonts w:ascii="Times New Roman" w:hAnsi="Times New Roman" w:cs="Times New Roman"/>
                    </w:rPr>
                  </w:pPr>
                  <w:r w:rsidRPr="00451548">
                    <w:rPr>
                      <w:rFonts w:ascii="Times New Roman" w:hAnsi="Times New Roman" w:cs="Times New Roman"/>
                    </w:rPr>
                    <w:t>RVIP = Rapid Visual Information Processing; RT = Reaction Time. * denotes significant effect of time from weeks 1 &amp; 2.</w:t>
                  </w:r>
                </w:p>
                <w:p w14:paraId="43322175" w14:textId="77777777" w:rsidR="00E02A03" w:rsidRPr="00451548" w:rsidRDefault="00E02A03" w:rsidP="00E02A03">
                  <w:pPr>
                    <w:jc w:val="both"/>
                    <w:rPr>
                      <w:rFonts w:ascii="Times New Roman" w:hAnsi="Times New Roman" w:cs="Times New Roman"/>
                    </w:rPr>
                  </w:pPr>
                </w:p>
                <w:p w14:paraId="753A66FC" w14:textId="77777777" w:rsidR="00E02A03" w:rsidRPr="00451548" w:rsidRDefault="00E02A03" w:rsidP="00E02A03">
                  <w:pPr>
                    <w:jc w:val="both"/>
                    <w:rPr>
                      <w:rFonts w:ascii="Times New Roman" w:hAnsi="Times New Roman" w:cs="Times New Roman"/>
                    </w:rPr>
                  </w:pPr>
                </w:p>
                <w:p w14:paraId="5C8DB773" w14:textId="77777777" w:rsidR="00E02A03" w:rsidRPr="00451548" w:rsidRDefault="00E02A03" w:rsidP="00E02A03">
                  <w:pPr>
                    <w:jc w:val="both"/>
                    <w:rPr>
                      <w:rFonts w:ascii="Times New Roman" w:hAnsi="Times New Roman" w:cs="Times New Roman"/>
                    </w:rPr>
                  </w:pPr>
                </w:p>
                <w:p w14:paraId="43C391D1" w14:textId="77777777" w:rsidR="00E02A03" w:rsidRPr="00451548" w:rsidRDefault="00E02A03" w:rsidP="00E02A03">
                  <w:pPr>
                    <w:jc w:val="both"/>
                    <w:rPr>
                      <w:rFonts w:ascii="Times New Roman" w:hAnsi="Times New Roman" w:cs="Times New Roman"/>
                    </w:rPr>
                  </w:pPr>
                </w:p>
                <w:p w14:paraId="40BDCD00" w14:textId="77777777" w:rsidR="00E02A03" w:rsidRPr="00451548" w:rsidRDefault="00E02A03" w:rsidP="00E02A03">
                  <w:pPr>
                    <w:jc w:val="both"/>
                    <w:rPr>
                      <w:rFonts w:ascii="Times New Roman" w:hAnsi="Times New Roman" w:cs="Times New Roman"/>
                    </w:rPr>
                  </w:pPr>
                </w:p>
              </w:tc>
            </w:tr>
          </w:tbl>
          <w:p w14:paraId="410350C0" w14:textId="77777777" w:rsidR="00E02A03" w:rsidRPr="00451548" w:rsidRDefault="00E02A03" w:rsidP="00256AE1">
            <w:pPr>
              <w:jc w:val="both"/>
              <w:rPr>
                <w:rFonts w:ascii="Times New Roman" w:hAnsi="Times New Roman" w:cs="Times New Roman"/>
              </w:rPr>
            </w:pPr>
          </w:p>
          <w:p w14:paraId="5BBA38C8" w14:textId="77777777" w:rsidR="00E02A03" w:rsidRPr="00451548" w:rsidRDefault="00E02A03" w:rsidP="00256AE1">
            <w:pPr>
              <w:jc w:val="both"/>
              <w:rPr>
                <w:rFonts w:ascii="Times New Roman" w:hAnsi="Times New Roman" w:cs="Times New Roman"/>
              </w:rPr>
            </w:pPr>
          </w:p>
          <w:p w14:paraId="122127BA" w14:textId="77777777" w:rsidR="00E02A03" w:rsidRPr="00451548" w:rsidRDefault="00E02A03" w:rsidP="00256AE1">
            <w:pPr>
              <w:jc w:val="both"/>
              <w:rPr>
                <w:rFonts w:ascii="Times New Roman" w:hAnsi="Times New Roman" w:cs="Times New Roman"/>
              </w:rPr>
            </w:pPr>
          </w:p>
          <w:p w14:paraId="1CFDC099" w14:textId="77777777" w:rsidR="00E02A03" w:rsidRPr="00451548" w:rsidRDefault="00E02A03" w:rsidP="00256AE1">
            <w:pPr>
              <w:jc w:val="both"/>
              <w:rPr>
                <w:rFonts w:ascii="Times New Roman" w:hAnsi="Times New Roman" w:cs="Times New Roman"/>
              </w:rPr>
            </w:pPr>
          </w:p>
          <w:p w14:paraId="4DD25FA2" w14:textId="77777777" w:rsidR="00E02A03" w:rsidRPr="00451548" w:rsidRDefault="00E02A03" w:rsidP="00256AE1">
            <w:pPr>
              <w:jc w:val="both"/>
              <w:rPr>
                <w:rFonts w:ascii="Times New Roman" w:hAnsi="Times New Roman" w:cs="Times New Roman"/>
              </w:rPr>
            </w:pPr>
          </w:p>
          <w:p w14:paraId="1AABB095" w14:textId="77777777" w:rsidR="00E02A03" w:rsidRPr="00451548" w:rsidRDefault="00E02A03" w:rsidP="00256AE1">
            <w:pPr>
              <w:jc w:val="both"/>
              <w:rPr>
                <w:rFonts w:ascii="Times New Roman" w:hAnsi="Times New Roman" w:cs="Times New Roman"/>
              </w:rPr>
            </w:pPr>
          </w:p>
        </w:tc>
      </w:tr>
    </w:tbl>
    <w:p w14:paraId="05579BCB" w14:textId="379A305D" w:rsidR="00D14A08" w:rsidRPr="00366A0F" w:rsidRDefault="00D14A08" w:rsidP="0067772E">
      <w:pPr>
        <w:rPr>
          <w:highlight w:val="white"/>
        </w:rPr>
      </w:pPr>
    </w:p>
    <w:sectPr w:rsidR="00D14A08" w:rsidRPr="00366A0F" w:rsidSect="00E02A03">
      <w:pgSz w:w="16834" w:h="11909" w:orient="landscape"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DD06B" w14:textId="77777777" w:rsidR="00762A38" w:rsidRDefault="00762A38" w:rsidP="00783BD9">
      <w:pPr>
        <w:spacing w:line="240" w:lineRule="auto"/>
      </w:pPr>
      <w:r>
        <w:separator/>
      </w:r>
    </w:p>
  </w:endnote>
  <w:endnote w:type="continuationSeparator" w:id="0">
    <w:p w14:paraId="07A72FF2" w14:textId="77777777" w:rsidR="00762A38" w:rsidRDefault="00762A38" w:rsidP="00783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4069" w14:textId="77777777" w:rsidR="00762A38" w:rsidRDefault="00762A38" w:rsidP="00783BD9">
      <w:pPr>
        <w:spacing w:line="240" w:lineRule="auto"/>
      </w:pPr>
      <w:r>
        <w:separator/>
      </w:r>
    </w:p>
  </w:footnote>
  <w:footnote w:type="continuationSeparator" w:id="0">
    <w:p w14:paraId="4C806B90" w14:textId="77777777" w:rsidR="00762A38" w:rsidRDefault="00762A38" w:rsidP="00783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33AA"/>
    <w:multiLevelType w:val="hybridMultilevel"/>
    <w:tmpl w:val="4D2E3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28323E"/>
    <w:multiLevelType w:val="hybridMultilevel"/>
    <w:tmpl w:val="6B0E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7D76B5"/>
    <w:multiLevelType w:val="hybridMultilevel"/>
    <w:tmpl w:val="BAFA7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CE33C5"/>
    <w:multiLevelType w:val="hybridMultilevel"/>
    <w:tmpl w:val="1DF007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08"/>
    <w:rsid w:val="0000001E"/>
    <w:rsid w:val="00001347"/>
    <w:rsid w:val="00010FCA"/>
    <w:rsid w:val="00016E04"/>
    <w:rsid w:val="000203E9"/>
    <w:rsid w:val="00021FBF"/>
    <w:rsid w:val="0003431C"/>
    <w:rsid w:val="00034566"/>
    <w:rsid w:val="000368CB"/>
    <w:rsid w:val="000376E3"/>
    <w:rsid w:val="00046546"/>
    <w:rsid w:val="00054DB4"/>
    <w:rsid w:val="00060247"/>
    <w:rsid w:val="00065D11"/>
    <w:rsid w:val="00073222"/>
    <w:rsid w:val="00075EC8"/>
    <w:rsid w:val="00080F2A"/>
    <w:rsid w:val="00087A7B"/>
    <w:rsid w:val="000920DB"/>
    <w:rsid w:val="00096516"/>
    <w:rsid w:val="000A2745"/>
    <w:rsid w:val="000A2E75"/>
    <w:rsid w:val="000B7014"/>
    <w:rsid w:val="000C38BA"/>
    <w:rsid w:val="000D23EA"/>
    <w:rsid w:val="000E403D"/>
    <w:rsid w:val="000F052D"/>
    <w:rsid w:val="000F1A86"/>
    <w:rsid w:val="000F1F8E"/>
    <w:rsid w:val="000F279A"/>
    <w:rsid w:val="000F4311"/>
    <w:rsid w:val="000F61F5"/>
    <w:rsid w:val="000F79F6"/>
    <w:rsid w:val="00103F9C"/>
    <w:rsid w:val="0010730D"/>
    <w:rsid w:val="00120F4D"/>
    <w:rsid w:val="00122512"/>
    <w:rsid w:val="00150B98"/>
    <w:rsid w:val="00155C01"/>
    <w:rsid w:val="00160A48"/>
    <w:rsid w:val="00165214"/>
    <w:rsid w:val="0017414A"/>
    <w:rsid w:val="00175BC2"/>
    <w:rsid w:val="00176103"/>
    <w:rsid w:val="001807BD"/>
    <w:rsid w:val="00182B12"/>
    <w:rsid w:val="00191F97"/>
    <w:rsid w:val="00193253"/>
    <w:rsid w:val="00194808"/>
    <w:rsid w:val="001A21A0"/>
    <w:rsid w:val="001A344E"/>
    <w:rsid w:val="001B7A68"/>
    <w:rsid w:val="001C00EC"/>
    <w:rsid w:val="001C0D4C"/>
    <w:rsid w:val="001C43B7"/>
    <w:rsid w:val="002053F1"/>
    <w:rsid w:val="00220752"/>
    <w:rsid w:val="00222221"/>
    <w:rsid w:val="00222D49"/>
    <w:rsid w:val="00227FF7"/>
    <w:rsid w:val="00231395"/>
    <w:rsid w:val="002315A6"/>
    <w:rsid w:val="002435B5"/>
    <w:rsid w:val="00246672"/>
    <w:rsid w:val="002473D7"/>
    <w:rsid w:val="00253C22"/>
    <w:rsid w:val="002555A5"/>
    <w:rsid w:val="00256AE1"/>
    <w:rsid w:val="002570F4"/>
    <w:rsid w:val="00261134"/>
    <w:rsid w:val="0027003A"/>
    <w:rsid w:val="002700E2"/>
    <w:rsid w:val="00274C9A"/>
    <w:rsid w:val="002828C7"/>
    <w:rsid w:val="00286AE7"/>
    <w:rsid w:val="00292380"/>
    <w:rsid w:val="002A1DF1"/>
    <w:rsid w:val="002B56D3"/>
    <w:rsid w:val="002B67E8"/>
    <w:rsid w:val="002B76FB"/>
    <w:rsid w:val="002C0499"/>
    <w:rsid w:val="002C6A12"/>
    <w:rsid w:val="002C6B77"/>
    <w:rsid w:val="002D5E5B"/>
    <w:rsid w:val="002D6D6B"/>
    <w:rsid w:val="002E128B"/>
    <w:rsid w:val="002E7E72"/>
    <w:rsid w:val="002F0684"/>
    <w:rsid w:val="002F2399"/>
    <w:rsid w:val="002F7360"/>
    <w:rsid w:val="00303284"/>
    <w:rsid w:val="00312CC3"/>
    <w:rsid w:val="003153E6"/>
    <w:rsid w:val="00317AE2"/>
    <w:rsid w:val="00327FB3"/>
    <w:rsid w:val="00331574"/>
    <w:rsid w:val="00340B5F"/>
    <w:rsid w:val="00346ABE"/>
    <w:rsid w:val="00357670"/>
    <w:rsid w:val="00363FA1"/>
    <w:rsid w:val="00366A0F"/>
    <w:rsid w:val="00366A8C"/>
    <w:rsid w:val="0037019E"/>
    <w:rsid w:val="00380202"/>
    <w:rsid w:val="00381351"/>
    <w:rsid w:val="00384F34"/>
    <w:rsid w:val="003875A1"/>
    <w:rsid w:val="003A47A9"/>
    <w:rsid w:val="003B67BA"/>
    <w:rsid w:val="003C49A4"/>
    <w:rsid w:val="003C7D3A"/>
    <w:rsid w:val="003C7DA8"/>
    <w:rsid w:val="003D2515"/>
    <w:rsid w:val="003D5B2B"/>
    <w:rsid w:val="003D6E76"/>
    <w:rsid w:val="003E4BD7"/>
    <w:rsid w:val="003E6FCA"/>
    <w:rsid w:val="00410D46"/>
    <w:rsid w:val="00412B8D"/>
    <w:rsid w:val="00416A0C"/>
    <w:rsid w:val="00417872"/>
    <w:rsid w:val="00436122"/>
    <w:rsid w:val="00437071"/>
    <w:rsid w:val="0044182E"/>
    <w:rsid w:val="004476AF"/>
    <w:rsid w:val="00451548"/>
    <w:rsid w:val="00462FBE"/>
    <w:rsid w:val="0046582B"/>
    <w:rsid w:val="00480009"/>
    <w:rsid w:val="00495B60"/>
    <w:rsid w:val="0049624A"/>
    <w:rsid w:val="004A5C1A"/>
    <w:rsid w:val="004B5304"/>
    <w:rsid w:val="004B5F25"/>
    <w:rsid w:val="004C5558"/>
    <w:rsid w:val="004C7516"/>
    <w:rsid w:val="004F2A1F"/>
    <w:rsid w:val="00500962"/>
    <w:rsid w:val="005067C8"/>
    <w:rsid w:val="005120F2"/>
    <w:rsid w:val="00512622"/>
    <w:rsid w:val="005144CE"/>
    <w:rsid w:val="00521E8F"/>
    <w:rsid w:val="00523016"/>
    <w:rsid w:val="00530AE3"/>
    <w:rsid w:val="005317EB"/>
    <w:rsid w:val="005409CB"/>
    <w:rsid w:val="00541A4C"/>
    <w:rsid w:val="00541DEE"/>
    <w:rsid w:val="00542D87"/>
    <w:rsid w:val="005434EE"/>
    <w:rsid w:val="0056676B"/>
    <w:rsid w:val="005812B8"/>
    <w:rsid w:val="00581488"/>
    <w:rsid w:val="00581935"/>
    <w:rsid w:val="00582352"/>
    <w:rsid w:val="0058527A"/>
    <w:rsid w:val="00585774"/>
    <w:rsid w:val="00595AF0"/>
    <w:rsid w:val="005A47EC"/>
    <w:rsid w:val="005B4264"/>
    <w:rsid w:val="005B5FC3"/>
    <w:rsid w:val="005C2865"/>
    <w:rsid w:val="005C3CD9"/>
    <w:rsid w:val="005C4275"/>
    <w:rsid w:val="005C4DCD"/>
    <w:rsid w:val="005E1F85"/>
    <w:rsid w:val="005F09CE"/>
    <w:rsid w:val="005F4020"/>
    <w:rsid w:val="006038FD"/>
    <w:rsid w:val="00604AF6"/>
    <w:rsid w:val="00604BD3"/>
    <w:rsid w:val="00616924"/>
    <w:rsid w:val="00616D7D"/>
    <w:rsid w:val="006246A2"/>
    <w:rsid w:val="00627D6C"/>
    <w:rsid w:val="00636532"/>
    <w:rsid w:val="00643648"/>
    <w:rsid w:val="00650117"/>
    <w:rsid w:val="00653D08"/>
    <w:rsid w:val="0065760E"/>
    <w:rsid w:val="00662BF5"/>
    <w:rsid w:val="00667848"/>
    <w:rsid w:val="0067094B"/>
    <w:rsid w:val="00672B01"/>
    <w:rsid w:val="006734E2"/>
    <w:rsid w:val="006768EB"/>
    <w:rsid w:val="0067772E"/>
    <w:rsid w:val="00686498"/>
    <w:rsid w:val="00690F47"/>
    <w:rsid w:val="006911FF"/>
    <w:rsid w:val="00692A01"/>
    <w:rsid w:val="00694616"/>
    <w:rsid w:val="00697511"/>
    <w:rsid w:val="006A3DD3"/>
    <w:rsid w:val="006A501E"/>
    <w:rsid w:val="006B125D"/>
    <w:rsid w:val="006B5A56"/>
    <w:rsid w:val="006D152A"/>
    <w:rsid w:val="006D2DE5"/>
    <w:rsid w:val="006E103D"/>
    <w:rsid w:val="006E43B6"/>
    <w:rsid w:val="006E619E"/>
    <w:rsid w:val="007033B8"/>
    <w:rsid w:val="00727FA4"/>
    <w:rsid w:val="00732FBA"/>
    <w:rsid w:val="0073587C"/>
    <w:rsid w:val="00736C39"/>
    <w:rsid w:val="00741761"/>
    <w:rsid w:val="00741A38"/>
    <w:rsid w:val="007550AF"/>
    <w:rsid w:val="00762A38"/>
    <w:rsid w:val="00783BD9"/>
    <w:rsid w:val="007865BB"/>
    <w:rsid w:val="00793C19"/>
    <w:rsid w:val="00797D35"/>
    <w:rsid w:val="007A1AFD"/>
    <w:rsid w:val="007A7508"/>
    <w:rsid w:val="007B5927"/>
    <w:rsid w:val="007F1A91"/>
    <w:rsid w:val="007F3407"/>
    <w:rsid w:val="007F4175"/>
    <w:rsid w:val="007F43BC"/>
    <w:rsid w:val="007F51D5"/>
    <w:rsid w:val="007F7F47"/>
    <w:rsid w:val="008016AF"/>
    <w:rsid w:val="00824ACC"/>
    <w:rsid w:val="00847D80"/>
    <w:rsid w:val="008535AD"/>
    <w:rsid w:val="00856365"/>
    <w:rsid w:val="008608B8"/>
    <w:rsid w:val="0086338D"/>
    <w:rsid w:val="00874607"/>
    <w:rsid w:val="00882BE8"/>
    <w:rsid w:val="00885E42"/>
    <w:rsid w:val="00887A8C"/>
    <w:rsid w:val="00894AFC"/>
    <w:rsid w:val="008A1F1D"/>
    <w:rsid w:val="008A5BC7"/>
    <w:rsid w:val="008B320D"/>
    <w:rsid w:val="008B3D56"/>
    <w:rsid w:val="008B75C1"/>
    <w:rsid w:val="008C044F"/>
    <w:rsid w:val="008C46E8"/>
    <w:rsid w:val="008C4C4E"/>
    <w:rsid w:val="008C4D3E"/>
    <w:rsid w:val="008C4E6C"/>
    <w:rsid w:val="008C6874"/>
    <w:rsid w:val="008C6D15"/>
    <w:rsid w:val="008D2A8C"/>
    <w:rsid w:val="008D5C3A"/>
    <w:rsid w:val="008D7752"/>
    <w:rsid w:val="008E2371"/>
    <w:rsid w:val="008E33C0"/>
    <w:rsid w:val="008E4319"/>
    <w:rsid w:val="008E6404"/>
    <w:rsid w:val="008E74E5"/>
    <w:rsid w:val="008F359F"/>
    <w:rsid w:val="008F7DDF"/>
    <w:rsid w:val="00903524"/>
    <w:rsid w:val="0090555B"/>
    <w:rsid w:val="00906573"/>
    <w:rsid w:val="00906D26"/>
    <w:rsid w:val="00913F77"/>
    <w:rsid w:val="00914F33"/>
    <w:rsid w:val="009159F9"/>
    <w:rsid w:val="0091659E"/>
    <w:rsid w:val="0092488E"/>
    <w:rsid w:val="00925F62"/>
    <w:rsid w:val="00936F51"/>
    <w:rsid w:val="00941907"/>
    <w:rsid w:val="00942A4F"/>
    <w:rsid w:val="00950899"/>
    <w:rsid w:val="00964690"/>
    <w:rsid w:val="0097178D"/>
    <w:rsid w:val="009752E6"/>
    <w:rsid w:val="00982DD1"/>
    <w:rsid w:val="00991B16"/>
    <w:rsid w:val="0099231C"/>
    <w:rsid w:val="009A2534"/>
    <w:rsid w:val="009A5049"/>
    <w:rsid w:val="009B1687"/>
    <w:rsid w:val="009B23B2"/>
    <w:rsid w:val="009B60FA"/>
    <w:rsid w:val="009B681C"/>
    <w:rsid w:val="009B6B56"/>
    <w:rsid w:val="009C5BED"/>
    <w:rsid w:val="009C7836"/>
    <w:rsid w:val="009D29C7"/>
    <w:rsid w:val="009D3AAE"/>
    <w:rsid w:val="009D69E1"/>
    <w:rsid w:val="009D6D10"/>
    <w:rsid w:val="009D724E"/>
    <w:rsid w:val="00A075A6"/>
    <w:rsid w:val="00A37297"/>
    <w:rsid w:val="00A4208F"/>
    <w:rsid w:val="00A43EF8"/>
    <w:rsid w:val="00A44B40"/>
    <w:rsid w:val="00A46277"/>
    <w:rsid w:val="00A53D46"/>
    <w:rsid w:val="00A6160A"/>
    <w:rsid w:val="00A727F8"/>
    <w:rsid w:val="00A81439"/>
    <w:rsid w:val="00A81A56"/>
    <w:rsid w:val="00A82628"/>
    <w:rsid w:val="00A94094"/>
    <w:rsid w:val="00AB0891"/>
    <w:rsid w:val="00AB0A41"/>
    <w:rsid w:val="00AB0C33"/>
    <w:rsid w:val="00AB5032"/>
    <w:rsid w:val="00AB51DD"/>
    <w:rsid w:val="00AC123E"/>
    <w:rsid w:val="00AC490F"/>
    <w:rsid w:val="00AC6317"/>
    <w:rsid w:val="00AD0B55"/>
    <w:rsid w:val="00AD6B92"/>
    <w:rsid w:val="00AD7C21"/>
    <w:rsid w:val="00AE3373"/>
    <w:rsid w:val="00AE6513"/>
    <w:rsid w:val="00B06602"/>
    <w:rsid w:val="00B06C46"/>
    <w:rsid w:val="00B12533"/>
    <w:rsid w:val="00B16034"/>
    <w:rsid w:val="00B20BA2"/>
    <w:rsid w:val="00B21E11"/>
    <w:rsid w:val="00B23A20"/>
    <w:rsid w:val="00B3449D"/>
    <w:rsid w:val="00B3474D"/>
    <w:rsid w:val="00B44694"/>
    <w:rsid w:val="00B46E51"/>
    <w:rsid w:val="00B51E12"/>
    <w:rsid w:val="00B53821"/>
    <w:rsid w:val="00B53B5A"/>
    <w:rsid w:val="00B55283"/>
    <w:rsid w:val="00B65A8D"/>
    <w:rsid w:val="00B66021"/>
    <w:rsid w:val="00B66E3A"/>
    <w:rsid w:val="00B728CD"/>
    <w:rsid w:val="00B732F3"/>
    <w:rsid w:val="00B83E65"/>
    <w:rsid w:val="00BA4C20"/>
    <w:rsid w:val="00BC68D6"/>
    <w:rsid w:val="00BD5171"/>
    <w:rsid w:val="00C00B3A"/>
    <w:rsid w:val="00C04B56"/>
    <w:rsid w:val="00C1245F"/>
    <w:rsid w:val="00C17F3C"/>
    <w:rsid w:val="00C2488A"/>
    <w:rsid w:val="00C27D43"/>
    <w:rsid w:val="00C31487"/>
    <w:rsid w:val="00C3491F"/>
    <w:rsid w:val="00C472EA"/>
    <w:rsid w:val="00C56BDB"/>
    <w:rsid w:val="00C62FA7"/>
    <w:rsid w:val="00C73659"/>
    <w:rsid w:val="00C854CA"/>
    <w:rsid w:val="00C979F0"/>
    <w:rsid w:val="00CA617F"/>
    <w:rsid w:val="00CB512A"/>
    <w:rsid w:val="00CB7AF9"/>
    <w:rsid w:val="00CC16B3"/>
    <w:rsid w:val="00CC690D"/>
    <w:rsid w:val="00CC7319"/>
    <w:rsid w:val="00CD37D8"/>
    <w:rsid w:val="00CD57AB"/>
    <w:rsid w:val="00CE2FE4"/>
    <w:rsid w:val="00D0071C"/>
    <w:rsid w:val="00D016FB"/>
    <w:rsid w:val="00D0381A"/>
    <w:rsid w:val="00D03F08"/>
    <w:rsid w:val="00D117C7"/>
    <w:rsid w:val="00D14A08"/>
    <w:rsid w:val="00D26D0E"/>
    <w:rsid w:val="00D31F5C"/>
    <w:rsid w:val="00D32D17"/>
    <w:rsid w:val="00D36960"/>
    <w:rsid w:val="00D372FF"/>
    <w:rsid w:val="00D4255F"/>
    <w:rsid w:val="00D47D26"/>
    <w:rsid w:val="00D54D8B"/>
    <w:rsid w:val="00D6621E"/>
    <w:rsid w:val="00D719D9"/>
    <w:rsid w:val="00D72446"/>
    <w:rsid w:val="00D73058"/>
    <w:rsid w:val="00D77782"/>
    <w:rsid w:val="00D77E02"/>
    <w:rsid w:val="00D81BD6"/>
    <w:rsid w:val="00D86485"/>
    <w:rsid w:val="00D9096F"/>
    <w:rsid w:val="00D911D3"/>
    <w:rsid w:val="00D95E3E"/>
    <w:rsid w:val="00DA02D3"/>
    <w:rsid w:val="00DA32E3"/>
    <w:rsid w:val="00DC09B2"/>
    <w:rsid w:val="00DC48BE"/>
    <w:rsid w:val="00DC6C88"/>
    <w:rsid w:val="00DC70E4"/>
    <w:rsid w:val="00DD093E"/>
    <w:rsid w:val="00DD3C38"/>
    <w:rsid w:val="00DE7958"/>
    <w:rsid w:val="00DF1750"/>
    <w:rsid w:val="00DF1DAC"/>
    <w:rsid w:val="00DF2583"/>
    <w:rsid w:val="00DF54E7"/>
    <w:rsid w:val="00DF5665"/>
    <w:rsid w:val="00DF5CF3"/>
    <w:rsid w:val="00E027DC"/>
    <w:rsid w:val="00E02A03"/>
    <w:rsid w:val="00E0681D"/>
    <w:rsid w:val="00E1402E"/>
    <w:rsid w:val="00E23E15"/>
    <w:rsid w:val="00E24223"/>
    <w:rsid w:val="00E31EEA"/>
    <w:rsid w:val="00E32674"/>
    <w:rsid w:val="00E36D51"/>
    <w:rsid w:val="00E41EAE"/>
    <w:rsid w:val="00E45488"/>
    <w:rsid w:val="00E46B53"/>
    <w:rsid w:val="00E522A7"/>
    <w:rsid w:val="00E63C43"/>
    <w:rsid w:val="00E6401E"/>
    <w:rsid w:val="00E73404"/>
    <w:rsid w:val="00E80D83"/>
    <w:rsid w:val="00E876FC"/>
    <w:rsid w:val="00E903B7"/>
    <w:rsid w:val="00E9163B"/>
    <w:rsid w:val="00E93F81"/>
    <w:rsid w:val="00E94400"/>
    <w:rsid w:val="00E979B7"/>
    <w:rsid w:val="00E97AD0"/>
    <w:rsid w:val="00E97E2E"/>
    <w:rsid w:val="00EA30F0"/>
    <w:rsid w:val="00EA3CC1"/>
    <w:rsid w:val="00EA43B6"/>
    <w:rsid w:val="00EB14E6"/>
    <w:rsid w:val="00EB4D1C"/>
    <w:rsid w:val="00EB5422"/>
    <w:rsid w:val="00ED2280"/>
    <w:rsid w:val="00ED7707"/>
    <w:rsid w:val="00EE2B87"/>
    <w:rsid w:val="00EF3648"/>
    <w:rsid w:val="00F01D33"/>
    <w:rsid w:val="00F0643A"/>
    <w:rsid w:val="00F0769E"/>
    <w:rsid w:val="00F12773"/>
    <w:rsid w:val="00F13095"/>
    <w:rsid w:val="00F169E3"/>
    <w:rsid w:val="00F2367E"/>
    <w:rsid w:val="00F24914"/>
    <w:rsid w:val="00F27496"/>
    <w:rsid w:val="00F326F9"/>
    <w:rsid w:val="00F34CD1"/>
    <w:rsid w:val="00F40931"/>
    <w:rsid w:val="00F456C0"/>
    <w:rsid w:val="00F46A64"/>
    <w:rsid w:val="00F55E21"/>
    <w:rsid w:val="00F66B69"/>
    <w:rsid w:val="00F6773E"/>
    <w:rsid w:val="00F70140"/>
    <w:rsid w:val="00F71220"/>
    <w:rsid w:val="00F74851"/>
    <w:rsid w:val="00F8304A"/>
    <w:rsid w:val="00F9275F"/>
    <w:rsid w:val="00FA2F26"/>
    <w:rsid w:val="00FB09E8"/>
    <w:rsid w:val="00FB5CFF"/>
    <w:rsid w:val="00FB66C8"/>
    <w:rsid w:val="00FC68BA"/>
    <w:rsid w:val="00FD3EBB"/>
    <w:rsid w:val="00FD5371"/>
    <w:rsid w:val="00FD7C56"/>
    <w:rsid w:val="00FE1BE2"/>
    <w:rsid w:val="00FF34EB"/>
    <w:rsid w:val="00FF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C5671"/>
  <w15:docId w15:val="{186C6742-8BDC-4484-8C3D-E622D8CD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sz w:val="24"/>
        <w:szCs w:val="24"/>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53B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5A"/>
    <w:rPr>
      <w:rFonts w:ascii="Tahoma" w:hAnsi="Tahoma" w:cs="Tahoma"/>
      <w:sz w:val="16"/>
      <w:szCs w:val="16"/>
    </w:rPr>
  </w:style>
  <w:style w:type="character" w:styleId="CommentReference">
    <w:name w:val="annotation reference"/>
    <w:basedOn w:val="DefaultParagraphFont"/>
    <w:uiPriority w:val="99"/>
    <w:semiHidden/>
    <w:unhideWhenUsed/>
    <w:rsid w:val="00B53B5A"/>
    <w:rPr>
      <w:sz w:val="16"/>
      <w:szCs w:val="16"/>
    </w:rPr>
  </w:style>
  <w:style w:type="paragraph" w:styleId="CommentText">
    <w:name w:val="annotation text"/>
    <w:basedOn w:val="Normal"/>
    <w:link w:val="CommentTextChar"/>
    <w:uiPriority w:val="99"/>
    <w:unhideWhenUsed/>
    <w:rsid w:val="00B53B5A"/>
    <w:pPr>
      <w:spacing w:line="240" w:lineRule="auto"/>
    </w:pPr>
    <w:rPr>
      <w:sz w:val="20"/>
      <w:szCs w:val="20"/>
    </w:rPr>
  </w:style>
  <w:style w:type="character" w:customStyle="1" w:styleId="CommentTextChar">
    <w:name w:val="Comment Text Char"/>
    <w:basedOn w:val="DefaultParagraphFont"/>
    <w:link w:val="CommentText"/>
    <w:uiPriority w:val="99"/>
    <w:rsid w:val="00B53B5A"/>
    <w:rPr>
      <w:sz w:val="20"/>
      <w:szCs w:val="20"/>
    </w:rPr>
  </w:style>
  <w:style w:type="paragraph" w:styleId="CommentSubject">
    <w:name w:val="annotation subject"/>
    <w:basedOn w:val="CommentText"/>
    <w:next w:val="CommentText"/>
    <w:link w:val="CommentSubjectChar"/>
    <w:uiPriority w:val="99"/>
    <w:semiHidden/>
    <w:unhideWhenUsed/>
    <w:rsid w:val="00B53B5A"/>
    <w:rPr>
      <w:b/>
      <w:bCs/>
    </w:rPr>
  </w:style>
  <w:style w:type="character" w:customStyle="1" w:styleId="CommentSubjectChar">
    <w:name w:val="Comment Subject Char"/>
    <w:basedOn w:val="CommentTextChar"/>
    <w:link w:val="CommentSubject"/>
    <w:uiPriority w:val="99"/>
    <w:semiHidden/>
    <w:rsid w:val="00B53B5A"/>
    <w:rPr>
      <w:b/>
      <w:bCs/>
      <w:sz w:val="20"/>
      <w:szCs w:val="20"/>
    </w:rPr>
  </w:style>
  <w:style w:type="table" w:styleId="TableGrid">
    <w:name w:val="Table Grid"/>
    <w:basedOn w:val="TableNormal"/>
    <w:uiPriority w:val="39"/>
    <w:rsid w:val="0027003A"/>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3BD9"/>
    <w:pPr>
      <w:tabs>
        <w:tab w:val="center" w:pos="4513"/>
        <w:tab w:val="right" w:pos="9026"/>
      </w:tabs>
      <w:spacing w:line="240" w:lineRule="auto"/>
    </w:pPr>
  </w:style>
  <w:style w:type="character" w:customStyle="1" w:styleId="HeaderChar">
    <w:name w:val="Header Char"/>
    <w:basedOn w:val="DefaultParagraphFont"/>
    <w:link w:val="Header"/>
    <w:uiPriority w:val="99"/>
    <w:rsid w:val="00783BD9"/>
  </w:style>
  <w:style w:type="paragraph" w:styleId="Footer">
    <w:name w:val="footer"/>
    <w:basedOn w:val="Normal"/>
    <w:link w:val="FooterChar"/>
    <w:uiPriority w:val="99"/>
    <w:unhideWhenUsed/>
    <w:rsid w:val="00783BD9"/>
    <w:pPr>
      <w:tabs>
        <w:tab w:val="center" w:pos="4513"/>
        <w:tab w:val="right" w:pos="9026"/>
      </w:tabs>
      <w:spacing w:line="240" w:lineRule="auto"/>
    </w:pPr>
  </w:style>
  <w:style w:type="character" w:customStyle="1" w:styleId="FooterChar">
    <w:name w:val="Footer Char"/>
    <w:basedOn w:val="DefaultParagraphFont"/>
    <w:link w:val="Footer"/>
    <w:uiPriority w:val="99"/>
    <w:rsid w:val="00783BD9"/>
  </w:style>
  <w:style w:type="paragraph" w:styleId="Revision">
    <w:name w:val="Revision"/>
    <w:hidden/>
    <w:uiPriority w:val="99"/>
    <w:semiHidden/>
    <w:rsid w:val="00B53821"/>
    <w:pPr>
      <w:spacing w:line="240" w:lineRule="auto"/>
    </w:pPr>
  </w:style>
  <w:style w:type="paragraph" w:styleId="ListParagraph">
    <w:name w:val="List Paragraph"/>
    <w:basedOn w:val="Normal"/>
    <w:uiPriority w:val="34"/>
    <w:qFormat/>
    <w:rsid w:val="00D86485"/>
    <w:pPr>
      <w:ind w:left="720"/>
      <w:contextualSpacing/>
    </w:pPr>
  </w:style>
  <w:style w:type="character" w:styleId="LineNumber">
    <w:name w:val="line number"/>
    <w:basedOn w:val="DefaultParagraphFont"/>
    <w:uiPriority w:val="99"/>
    <w:semiHidden/>
    <w:unhideWhenUsed/>
    <w:rsid w:val="00073222"/>
  </w:style>
  <w:style w:type="character" w:styleId="Hyperlink">
    <w:name w:val="Hyperlink"/>
    <w:basedOn w:val="DefaultParagraphFont"/>
    <w:uiPriority w:val="99"/>
    <w:unhideWhenUsed/>
    <w:rsid w:val="00D81BD6"/>
    <w:rPr>
      <w:color w:val="0000FF" w:themeColor="hyperlink"/>
      <w:u w:val="single"/>
    </w:rPr>
  </w:style>
  <w:style w:type="character" w:styleId="UnresolvedMention">
    <w:name w:val="Unresolved Mention"/>
    <w:basedOn w:val="DefaultParagraphFont"/>
    <w:uiPriority w:val="99"/>
    <w:semiHidden/>
    <w:unhideWhenUsed/>
    <w:rsid w:val="00D8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99784">
      <w:bodyDiv w:val="1"/>
      <w:marLeft w:val="0"/>
      <w:marRight w:val="0"/>
      <w:marTop w:val="0"/>
      <w:marBottom w:val="0"/>
      <w:divBdr>
        <w:top w:val="none" w:sz="0" w:space="0" w:color="auto"/>
        <w:left w:val="none" w:sz="0" w:space="0" w:color="auto"/>
        <w:bottom w:val="none" w:sz="0" w:space="0" w:color="auto"/>
        <w:right w:val="none" w:sz="0" w:space="0" w:color="auto"/>
      </w:divBdr>
    </w:div>
    <w:div w:id="1611010391">
      <w:bodyDiv w:val="1"/>
      <w:marLeft w:val="0"/>
      <w:marRight w:val="0"/>
      <w:marTop w:val="0"/>
      <w:marBottom w:val="0"/>
      <w:divBdr>
        <w:top w:val="none" w:sz="0" w:space="0" w:color="auto"/>
        <w:left w:val="none" w:sz="0" w:space="0" w:color="auto"/>
        <w:bottom w:val="none" w:sz="0" w:space="0" w:color="auto"/>
        <w:right w:val="none" w:sz="0" w:space="0" w:color="auto"/>
      </w:divBdr>
      <w:divsChild>
        <w:div w:id="1065374668">
          <w:marLeft w:val="0"/>
          <w:marRight w:val="0"/>
          <w:marTop w:val="0"/>
          <w:marBottom w:val="0"/>
          <w:divBdr>
            <w:top w:val="none" w:sz="0" w:space="0" w:color="auto"/>
            <w:left w:val="none" w:sz="0" w:space="0" w:color="auto"/>
            <w:bottom w:val="none" w:sz="0" w:space="0" w:color="auto"/>
            <w:right w:val="none" w:sz="0" w:space="0" w:color="auto"/>
          </w:divBdr>
          <w:divsChild>
            <w:div w:id="5959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0381D-3E34-4237-9442-3BC1BB05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76350</Words>
  <Characters>435197</Characters>
  <Application>Microsoft Office Word</Application>
  <DocSecurity>0</DocSecurity>
  <Lines>3626</Lines>
  <Paragraphs>1021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Ashton</dc:creator>
  <cp:keywords/>
  <dc:description/>
  <cp:lastModifiedBy>malonej2@hope.ac.uk</cp:lastModifiedBy>
  <cp:revision>10</cp:revision>
  <cp:lastPrinted>2020-08-02T09:37:00Z</cp:lastPrinted>
  <dcterms:created xsi:type="dcterms:W3CDTF">2020-11-09T14:10:00Z</dcterms:created>
  <dcterms:modified xsi:type="dcterms:W3CDTF">2020-11-17T10:19:00Z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http://www.zotero.org/styles/physiology-and-behavior</vt:lpwstr>
  </property>
  <property fmtid="{D5CDD505-2E9C-101B-9397-08002B2CF9AE}" pid="21" name="Mendeley Recent Style Name 9_1">
    <vt:lpwstr>Physiology &amp; Behavior</vt:lpwstr>
  </property>
  <property fmtid="{D5CDD505-2E9C-101B-9397-08002B2CF9AE}" pid="22" name="Mendeley Document_1">
    <vt:lpwstr>True</vt:lpwstr>
  </property>
  <property fmtid="{D5CDD505-2E9C-101B-9397-08002B2CF9AE}" pid="23" name="Mendeley Unique User Id_1">
    <vt:lpwstr>1eb61432-4ba6-3724-ad18-dee2d6d48df4</vt:lpwstr>
  </property>
  <property fmtid="{D5CDD505-2E9C-101B-9397-08002B2CF9AE}" pid="24" name="Mendeley Citation Style_1">
    <vt:lpwstr>http://www.zotero.org/styles/physiology-and-behavior</vt:lpwstr>
  </property>
</Properties>
</file>