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C08D8" w14:textId="181E46C2" w:rsidR="00957AEA" w:rsidRPr="00FD3EE9" w:rsidRDefault="001E13A5" w:rsidP="0085750E">
      <w:pPr>
        <w:spacing w:line="480" w:lineRule="auto"/>
        <w:jc w:val="center"/>
        <w:rPr>
          <w:rFonts w:cs="Times New Roman"/>
          <w:b/>
        </w:rPr>
      </w:pPr>
      <w:bookmarkStart w:id="0" w:name="_Hlk511142254"/>
      <w:r w:rsidRPr="00FD3EE9">
        <w:rPr>
          <w:rFonts w:cs="Times New Roman"/>
          <w:b/>
        </w:rPr>
        <w:t xml:space="preserve">Does </w:t>
      </w:r>
      <w:r w:rsidR="00F26613" w:rsidRPr="00FD3EE9">
        <w:rPr>
          <w:rFonts w:cs="Times New Roman"/>
          <w:b/>
        </w:rPr>
        <w:t>e</w:t>
      </w:r>
      <w:r w:rsidRPr="00FD3EE9">
        <w:rPr>
          <w:rFonts w:cs="Times New Roman"/>
          <w:b/>
        </w:rPr>
        <w:t xml:space="preserve">xecutive </w:t>
      </w:r>
      <w:r w:rsidR="00F26613" w:rsidRPr="00FD3EE9">
        <w:rPr>
          <w:rFonts w:cs="Times New Roman"/>
          <w:b/>
        </w:rPr>
        <w:t>c</w:t>
      </w:r>
      <w:r w:rsidRPr="00FD3EE9">
        <w:rPr>
          <w:rFonts w:cs="Times New Roman"/>
          <w:b/>
        </w:rPr>
        <w:t xml:space="preserve">ompensation </w:t>
      </w:r>
      <w:r w:rsidR="00F26613" w:rsidRPr="00FD3EE9">
        <w:rPr>
          <w:rFonts w:cs="Times New Roman"/>
          <w:b/>
        </w:rPr>
        <w:t>a</w:t>
      </w:r>
      <w:r w:rsidRPr="00FD3EE9">
        <w:rPr>
          <w:rFonts w:cs="Times New Roman"/>
          <w:b/>
        </w:rPr>
        <w:t xml:space="preserve">ffect </w:t>
      </w:r>
      <w:r w:rsidR="00F26613" w:rsidRPr="00FD3EE9">
        <w:rPr>
          <w:rFonts w:cs="Times New Roman"/>
          <w:b/>
        </w:rPr>
        <w:t>f</w:t>
      </w:r>
      <w:r w:rsidRPr="00FD3EE9">
        <w:rPr>
          <w:rFonts w:cs="Times New Roman"/>
          <w:b/>
        </w:rPr>
        <w:t>irms</w:t>
      </w:r>
      <w:r w:rsidR="00D32D00" w:rsidRPr="00FD3EE9">
        <w:rPr>
          <w:rFonts w:cs="Times New Roman"/>
          <w:b/>
        </w:rPr>
        <w:t>’</w:t>
      </w:r>
      <w:r w:rsidRPr="00FD3EE9">
        <w:rPr>
          <w:rFonts w:cs="Times New Roman"/>
          <w:b/>
        </w:rPr>
        <w:t xml:space="preserve"> </w:t>
      </w:r>
      <w:r w:rsidR="00F26613" w:rsidRPr="00FD3EE9">
        <w:rPr>
          <w:rFonts w:cs="Times New Roman"/>
          <w:b/>
        </w:rPr>
        <w:t>a</w:t>
      </w:r>
      <w:r w:rsidRPr="00FD3EE9">
        <w:rPr>
          <w:rFonts w:cs="Times New Roman"/>
          <w:b/>
        </w:rPr>
        <w:t xml:space="preserve">cquisition </w:t>
      </w:r>
      <w:r w:rsidR="00F26613" w:rsidRPr="00FD3EE9">
        <w:rPr>
          <w:rFonts w:cs="Times New Roman"/>
          <w:b/>
        </w:rPr>
        <w:t>d</w:t>
      </w:r>
      <w:r w:rsidRPr="00FD3EE9">
        <w:rPr>
          <w:rFonts w:cs="Times New Roman"/>
          <w:b/>
        </w:rPr>
        <w:t>ecisions</w:t>
      </w:r>
      <w:r w:rsidR="006F4838" w:rsidRPr="00FD3EE9">
        <w:rPr>
          <w:rFonts w:cs="Times New Roman"/>
          <w:b/>
        </w:rPr>
        <w:t>?</w:t>
      </w:r>
      <w:r w:rsidR="000F6950" w:rsidRPr="00FD3EE9">
        <w:rPr>
          <w:rFonts w:cs="Times New Roman"/>
          <w:b/>
        </w:rPr>
        <w:t xml:space="preserve"> Evidence from China</w:t>
      </w:r>
    </w:p>
    <w:p w14:paraId="500756C9" w14:textId="3BADCA49" w:rsidR="00825ED3" w:rsidRPr="00FD3EE9" w:rsidRDefault="00825ED3" w:rsidP="0085750E">
      <w:pPr>
        <w:spacing w:line="480" w:lineRule="auto"/>
        <w:ind w:firstLineChars="200" w:firstLine="480"/>
        <w:jc w:val="center"/>
        <w:rPr>
          <w:rFonts w:cs="Times New Roman"/>
        </w:rPr>
      </w:pPr>
      <w:r w:rsidRPr="00FD3EE9">
        <w:rPr>
          <w:rFonts w:cs="Times New Roman"/>
          <w:bCs/>
        </w:rPr>
        <w:t>Lin Jiang</w:t>
      </w:r>
      <w:r w:rsidR="00625592" w:rsidRPr="00FD3EE9">
        <w:rPr>
          <w:rFonts w:cs="Times New Roman"/>
          <w:bCs/>
        </w:rPr>
        <w:t xml:space="preserve"> (</w:t>
      </w:r>
      <w:r w:rsidR="0081792D" w:rsidRPr="00FD3EE9">
        <w:rPr>
          <w:rFonts w:cs="Times New Roman"/>
        </w:rPr>
        <w:t>Liverpool Hope University</w:t>
      </w:r>
      <w:r w:rsidR="00625592" w:rsidRPr="00FD3EE9">
        <w:rPr>
          <w:rFonts w:cs="Times New Roman"/>
        </w:rPr>
        <w:t xml:space="preserve">), </w:t>
      </w:r>
      <w:r w:rsidRPr="00FD3EE9">
        <w:rPr>
          <w:rFonts w:cs="Times New Roman"/>
          <w:bCs/>
        </w:rPr>
        <w:t>Gerhard Kling</w:t>
      </w:r>
      <w:r w:rsidR="004F733C" w:rsidRPr="00FD3EE9">
        <w:rPr>
          <w:rStyle w:val="ac"/>
          <w:rFonts w:cs="Times New Roman"/>
          <w:bCs/>
        </w:rPr>
        <w:footnoteReference w:id="1"/>
      </w:r>
      <w:r w:rsidR="00625592" w:rsidRPr="00FD3EE9">
        <w:rPr>
          <w:rFonts w:cs="Times New Roman"/>
          <w:bCs/>
        </w:rPr>
        <w:t xml:space="preserve"> (</w:t>
      </w:r>
      <w:r w:rsidRPr="00FD3EE9">
        <w:rPr>
          <w:rFonts w:cs="Times New Roman"/>
        </w:rPr>
        <w:t>University of Aberdeen</w:t>
      </w:r>
      <w:r w:rsidR="00625592" w:rsidRPr="00FD3EE9">
        <w:rPr>
          <w:rFonts w:cs="Times New Roman"/>
        </w:rPr>
        <w:t xml:space="preserve">), </w:t>
      </w:r>
      <w:r w:rsidR="00625592" w:rsidRPr="00FD3EE9">
        <w:rPr>
          <w:rFonts w:cs="Times New Roman"/>
          <w:bCs/>
        </w:rPr>
        <w:t>Hong Bo</w:t>
      </w:r>
      <w:r w:rsidR="00625592" w:rsidRPr="00FD3EE9">
        <w:rPr>
          <w:rFonts w:cs="Times New Roman"/>
          <w:b/>
        </w:rPr>
        <w:t xml:space="preserve"> </w:t>
      </w:r>
      <w:r w:rsidR="00625592" w:rsidRPr="00FD3EE9">
        <w:rPr>
          <w:rFonts w:cs="Times New Roman"/>
          <w:bCs/>
        </w:rPr>
        <w:t>(</w:t>
      </w:r>
      <w:r w:rsidRPr="00FD3EE9">
        <w:rPr>
          <w:rFonts w:cs="Times New Roman"/>
        </w:rPr>
        <w:t>SOAS University of London</w:t>
      </w:r>
      <w:r w:rsidR="00625592" w:rsidRPr="00FD3EE9">
        <w:rPr>
          <w:rFonts w:cs="Times New Roman"/>
        </w:rPr>
        <w:t>)</w:t>
      </w:r>
    </w:p>
    <w:bookmarkEnd w:id="0"/>
    <w:p w14:paraId="570E23B1" w14:textId="6A56F319" w:rsidR="001E13A5" w:rsidRPr="00FD3EE9" w:rsidRDefault="007618C3" w:rsidP="0085750E">
      <w:pPr>
        <w:spacing w:line="480" w:lineRule="auto"/>
        <w:ind w:firstLineChars="200" w:firstLine="480"/>
        <w:rPr>
          <w:rFonts w:cs="Times New Roman"/>
        </w:rPr>
      </w:pPr>
      <w:r w:rsidRPr="00FD3EE9">
        <w:rPr>
          <w:rFonts w:cs="Times New Roman"/>
        </w:rPr>
        <w:t xml:space="preserve">Exploiting </w:t>
      </w:r>
      <w:r w:rsidR="00AA3F22" w:rsidRPr="00FD3EE9">
        <w:rPr>
          <w:rFonts w:cs="Times New Roman"/>
        </w:rPr>
        <w:t>regulatory changes</w:t>
      </w:r>
      <w:r w:rsidRPr="00FD3EE9">
        <w:rPr>
          <w:rFonts w:cs="Times New Roman"/>
        </w:rPr>
        <w:t xml:space="preserve"> in China</w:t>
      </w:r>
      <w:r w:rsidR="00AA3F22" w:rsidRPr="00FD3EE9">
        <w:rPr>
          <w:rFonts w:cs="Times New Roman"/>
        </w:rPr>
        <w:t xml:space="preserve"> that govern the use of stock options</w:t>
      </w:r>
      <w:r w:rsidRPr="00FD3EE9">
        <w:rPr>
          <w:rFonts w:cs="Times New Roman"/>
        </w:rPr>
        <w:t>, we investigate</w:t>
      </w:r>
      <w:r w:rsidR="00AA3F22" w:rsidRPr="00FD3EE9">
        <w:rPr>
          <w:rFonts w:cs="Times New Roman"/>
        </w:rPr>
        <w:t xml:space="preserve"> whether</w:t>
      </w:r>
      <w:r w:rsidRPr="00FD3EE9">
        <w:rPr>
          <w:rFonts w:cs="Times New Roman"/>
        </w:rPr>
        <w:t xml:space="preserve"> </w:t>
      </w:r>
      <w:r w:rsidR="00AA3F22" w:rsidRPr="00FD3EE9">
        <w:rPr>
          <w:rFonts w:cs="Times New Roman"/>
        </w:rPr>
        <w:t>executive compensation affects</w:t>
      </w:r>
      <w:r w:rsidRPr="00FD3EE9">
        <w:rPr>
          <w:rFonts w:cs="Times New Roman"/>
        </w:rPr>
        <w:t xml:space="preserve"> acquisition decisions and post-acquisition performance from 2005 to 2014. We </w:t>
      </w:r>
      <w:r w:rsidR="00AA3F22" w:rsidRPr="00FD3EE9">
        <w:rPr>
          <w:rFonts w:cs="Times New Roman"/>
        </w:rPr>
        <w:t xml:space="preserve">find </w:t>
      </w:r>
      <w:r w:rsidRPr="00FD3EE9">
        <w:rPr>
          <w:rFonts w:cs="Times New Roman"/>
        </w:rPr>
        <w:t xml:space="preserve">that acquisitions are not driven by stock options. </w:t>
      </w:r>
      <w:r w:rsidR="00AA3F22" w:rsidRPr="00FD3EE9">
        <w:rPr>
          <w:rFonts w:cs="Times New Roman"/>
        </w:rPr>
        <w:t>M</w:t>
      </w:r>
      <w:r w:rsidRPr="00FD3EE9">
        <w:rPr>
          <w:rFonts w:cs="Times New Roman"/>
        </w:rPr>
        <w:t xml:space="preserve">anagerial stock ownership </w:t>
      </w:r>
      <w:r w:rsidR="00AA3F22" w:rsidRPr="00FD3EE9">
        <w:rPr>
          <w:rFonts w:cs="Times New Roman"/>
        </w:rPr>
        <w:t xml:space="preserve">promotes acquisitions at low levels of ownership – but leads to less frequent acquisitions at higher levels, implying a non-linear relationship. </w:t>
      </w:r>
      <w:r w:rsidRPr="00FD3EE9">
        <w:rPr>
          <w:rFonts w:cs="Times New Roman"/>
        </w:rPr>
        <w:t>Similarly, we also find a non-linear impact of managerial stock ownership on long-term post-acquisition performance. However, neither stock option</w:t>
      </w:r>
      <w:r w:rsidR="00AA3F22" w:rsidRPr="00FD3EE9">
        <w:rPr>
          <w:rFonts w:cs="Times New Roman"/>
        </w:rPr>
        <w:t>s</w:t>
      </w:r>
      <w:r w:rsidRPr="00FD3EE9">
        <w:rPr>
          <w:rFonts w:cs="Times New Roman"/>
        </w:rPr>
        <w:t xml:space="preserve"> nor stock ownership </w:t>
      </w:r>
      <w:r w:rsidR="00AA3F22" w:rsidRPr="00FD3EE9">
        <w:rPr>
          <w:rFonts w:cs="Times New Roman"/>
        </w:rPr>
        <w:t xml:space="preserve">determine </w:t>
      </w:r>
      <w:r w:rsidRPr="00FD3EE9">
        <w:rPr>
          <w:rFonts w:cs="Times New Roman"/>
        </w:rPr>
        <w:t xml:space="preserve">short-term post-acquisition performance. Finally, state ownership has a significant impact on the compensation-acquisition relationship in that the above relationships only exist in </w:t>
      </w:r>
      <w:r w:rsidR="00AA3F22" w:rsidRPr="00FD3EE9">
        <w:rPr>
          <w:rFonts w:cs="Times New Roman"/>
        </w:rPr>
        <w:t>private enterprises</w:t>
      </w:r>
      <w:r w:rsidRPr="00FD3EE9">
        <w:rPr>
          <w:rFonts w:cs="Times New Roman"/>
        </w:rPr>
        <w:t>.</w:t>
      </w:r>
    </w:p>
    <w:p w14:paraId="062B95D7" w14:textId="02ED5F6D" w:rsidR="00975007" w:rsidRPr="00FD3EE9" w:rsidRDefault="001E13A5" w:rsidP="0085750E">
      <w:pPr>
        <w:spacing w:line="480" w:lineRule="auto"/>
        <w:rPr>
          <w:rFonts w:cs="Times New Roman"/>
        </w:rPr>
      </w:pPr>
      <w:r w:rsidRPr="00FD3EE9">
        <w:rPr>
          <w:rFonts w:cs="Times New Roman"/>
        </w:rPr>
        <w:t>Keyword</w:t>
      </w:r>
      <w:r w:rsidR="004F733C" w:rsidRPr="00FD3EE9">
        <w:rPr>
          <w:rFonts w:cs="Times New Roman"/>
        </w:rPr>
        <w:t>s</w:t>
      </w:r>
      <w:r w:rsidRPr="00FD3EE9">
        <w:rPr>
          <w:rFonts w:cs="Times New Roman"/>
        </w:rPr>
        <w:t xml:space="preserve">: </w:t>
      </w:r>
      <w:r w:rsidR="004F733C" w:rsidRPr="00FD3EE9">
        <w:rPr>
          <w:rFonts w:cs="Times New Roman"/>
        </w:rPr>
        <w:t>Acquisition; state-owned enterprises; s</w:t>
      </w:r>
      <w:r w:rsidR="00975007" w:rsidRPr="00FD3EE9">
        <w:rPr>
          <w:rFonts w:cs="Times New Roman"/>
        </w:rPr>
        <w:t>tock option; stock ownership</w:t>
      </w:r>
    </w:p>
    <w:p w14:paraId="3787D5EC" w14:textId="734A5854" w:rsidR="001E13A5" w:rsidRPr="00FD3EE9" w:rsidRDefault="00FF0269" w:rsidP="0085750E">
      <w:pPr>
        <w:spacing w:line="480" w:lineRule="auto"/>
        <w:ind w:firstLineChars="200" w:firstLine="480"/>
        <w:rPr>
          <w:rFonts w:cs="Times New Roman"/>
        </w:rPr>
      </w:pPr>
      <w:r w:rsidRPr="00FD3EE9">
        <w:rPr>
          <w:rFonts w:cs="Times New Roman"/>
        </w:rPr>
        <w:br w:type="page"/>
      </w:r>
    </w:p>
    <w:p w14:paraId="4C237F4B" w14:textId="61951F76" w:rsidR="001E13A5" w:rsidRPr="00FD3EE9" w:rsidRDefault="002865FD" w:rsidP="0085750E">
      <w:pPr>
        <w:pStyle w:val="a4"/>
        <w:spacing w:before="0" w:after="0" w:line="480" w:lineRule="auto"/>
        <w:rPr>
          <w:rFonts w:ascii="Times New Roman" w:hAnsi="Times New Roman" w:cs="Times New Roman"/>
          <w:sz w:val="24"/>
        </w:rPr>
      </w:pPr>
      <w:r w:rsidRPr="00FD3EE9">
        <w:rPr>
          <w:rFonts w:ascii="Times New Roman" w:hAnsi="Times New Roman" w:cs="Times New Roman"/>
          <w:sz w:val="24"/>
        </w:rPr>
        <w:lastRenderedPageBreak/>
        <w:t>1. Introduction</w:t>
      </w:r>
    </w:p>
    <w:p w14:paraId="45CCE95B" w14:textId="098438F7" w:rsidR="00975007" w:rsidRPr="00FD3EE9" w:rsidRDefault="00625592" w:rsidP="0085750E">
      <w:pPr>
        <w:spacing w:line="480" w:lineRule="auto"/>
        <w:ind w:firstLineChars="200" w:firstLine="480"/>
        <w:rPr>
          <w:rFonts w:cs="Times New Roman"/>
        </w:rPr>
      </w:pPr>
      <w:r w:rsidRPr="00FD3EE9">
        <w:rPr>
          <w:rFonts w:cs="Times New Roman"/>
        </w:rPr>
        <w:t>M</w:t>
      </w:r>
      <w:r w:rsidR="00975007" w:rsidRPr="00FD3EE9">
        <w:rPr>
          <w:rFonts w:cs="Times New Roman"/>
        </w:rPr>
        <w:t xml:space="preserve">ergers and acquisitions (M&amp;A) </w:t>
      </w:r>
      <w:r w:rsidRPr="00FD3EE9">
        <w:rPr>
          <w:rFonts w:cs="Times New Roman"/>
        </w:rPr>
        <w:t>are a major driver of firm growth and internationalization, accounting for about 70%</w:t>
      </w:r>
      <w:r w:rsidR="00975007" w:rsidRPr="00FD3EE9">
        <w:rPr>
          <w:rFonts w:cs="Times New Roman"/>
        </w:rPr>
        <w:t xml:space="preserve"> of foreign direct investment (FDI) flows </w:t>
      </w:r>
      <w:r w:rsidR="00975007" w:rsidRPr="00FD3EE9">
        <w:rPr>
          <w:rFonts w:cs="Times New Roman"/>
        </w:rPr>
        <w:fldChar w:fldCharType="begin"/>
      </w:r>
      <w:r w:rsidR="00016D87" w:rsidRPr="00FD3EE9">
        <w:rPr>
          <w:rFonts w:cs="Times New Roman"/>
        </w:rPr>
        <w:instrText xml:space="preserve"> ADDIN ZOTERO_ITEM CSL_CITATION {"citationID":"YcYMKbqr","properties":{"formattedCitation":"(Klaus Meyer and Peng, 2016)","plainCitation":"(Klaus Meyer and Peng, 2016)","noteIndex":0},"citationItems":[{"id":"jwTi0SrD/u9DEjjfN","uris":["http://zotero.org/users/local/qiB1P4Y3/items/PU7L4XLK"],"uri":["http://zotero.org/users/local/qiB1P4Y3/items/PU7L4XLK"],"itemData":{"id":113,"type":"book","title":"International business","publisher":"Cengage Learning","source":"Google Scholar","author":[{"family":"Meyer","given":"Klaus"},{"family":"Peng","given":"Mike W."}],"issued":{"date-parts":[["2016"]]}}}],"schema":"https://github.com/citation-style-language/schema/raw/master/csl-citation.json"} </w:instrText>
      </w:r>
      <w:r w:rsidR="00975007" w:rsidRPr="00FD3EE9">
        <w:rPr>
          <w:rFonts w:cs="Times New Roman"/>
        </w:rPr>
        <w:fldChar w:fldCharType="separate"/>
      </w:r>
      <w:r w:rsidR="00016D87" w:rsidRPr="00FD3EE9">
        <w:rPr>
          <w:rFonts w:cs="Times New Roman"/>
        </w:rPr>
        <w:t>(Meyer and Peng, 2016)</w:t>
      </w:r>
      <w:r w:rsidR="00975007" w:rsidRPr="00FD3EE9">
        <w:rPr>
          <w:rFonts w:cs="Times New Roman"/>
        </w:rPr>
        <w:fldChar w:fldCharType="end"/>
      </w:r>
      <w:r w:rsidR="00975007" w:rsidRPr="00FD3EE9">
        <w:rPr>
          <w:rFonts w:cs="Times New Roman"/>
        </w:rPr>
        <w:t>.</w:t>
      </w:r>
      <w:r w:rsidR="002C0ABD" w:rsidRPr="00FD3EE9">
        <w:rPr>
          <w:rFonts w:cs="Times New Roman"/>
        </w:rPr>
        <w:t xml:space="preserve"> In contrast to previous periods, the </w:t>
      </w:r>
      <w:r w:rsidR="00975007" w:rsidRPr="00FD3EE9">
        <w:rPr>
          <w:rFonts w:cs="Times New Roman"/>
        </w:rPr>
        <w:t xml:space="preserve">current M&amp;A boom </w:t>
      </w:r>
      <w:r w:rsidR="002C0ABD" w:rsidRPr="00FD3EE9">
        <w:rPr>
          <w:rFonts w:cs="Times New Roman"/>
        </w:rPr>
        <w:t>since the Global Financial Crisis has featured more acquirers from</w:t>
      </w:r>
      <w:r w:rsidR="00975007" w:rsidRPr="00FD3EE9">
        <w:rPr>
          <w:rFonts w:cs="Times New Roman"/>
        </w:rPr>
        <w:t xml:space="preserve"> emerging countries</w:t>
      </w:r>
      <w:r w:rsidR="002C0ABD" w:rsidRPr="00FD3EE9">
        <w:rPr>
          <w:rFonts w:cs="Times New Roman"/>
        </w:rPr>
        <w:t xml:space="preserve"> with Chinese companies making it to the top</w:t>
      </w:r>
      <w:r w:rsidR="00975007" w:rsidRPr="00FD3EE9">
        <w:rPr>
          <w:rFonts w:cs="Times New Roman"/>
        </w:rPr>
        <w:t xml:space="preserve">. For instance, ChemChina's acquisition of Syngenta AG, an </w:t>
      </w:r>
      <w:r w:rsidR="00AE026C" w:rsidRPr="00FD3EE9">
        <w:rPr>
          <w:rFonts w:cs="Times New Roman"/>
        </w:rPr>
        <w:t>agribusiness</w:t>
      </w:r>
      <w:r w:rsidR="00975007" w:rsidRPr="00FD3EE9">
        <w:rPr>
          <w:rFonts w:cs="Times New Roman"/>
        </w:rPr>
        <w:t xml:space="preserve"> company based in Switzerland, for USD 43 billion was the </w:t>
      </w:r>
      <w:r w:rsidR="002C0ABD" w:rsidRPr="00FD3EE9">
        <w:rPr>
          <w:rFonts w:cs="Times New Roman"/>
        </w:rPr>
        <w:t>5</w:t>
      </w:r>
      <w:r w:rsidR="002C0ABD" w:rsidRPr="00FD3EE9">
        <w:rPr>
          <w:rFonts w:cs="Times New Roman"/>
          <w:vertAlign w:val="superscript"/>
        </w:rPr>
        <w:t>th</w:t>
      </w:r>
      <w:r w:rsidR="002C0ABD" w:rsidRPr="00FD3EE9">
        <w:rPr>
          <w:rFonts w:cs="Times New Roman"/>
        </w:rPr>
        <w:t xml:space="preserve"> </w:t>
      </w:r>
      <w:r w:rsidR="00975007" w:rsidRPr="00FD3EE9">
        <w:rPr>
          <w:rFonts w:cs="Times New Roman"/>
        </w:rPr>
        <w:t xml:space="preserve">largest acquisition in 2016. </w:t>
      </w:r>
    </w:p>
    <w:p w14:paraId="6CE0B838" w14:textId="73F3CF71" w:rsidR="008840D6" w:rsidRPr="00FD3EE9" w:rsidRDefault="00975007" w:rsidP="008840D6">
      <w:pPr>
        <w:spacing w:line="480" w:lineRule="auto"/>
        <w:ind w:firstLineChars="200" w:firstLine="480"/>
        <w:rPr>
          <w:rFonts w:cs="Times New Roman"/>
        </w:rPr>
      </w:pPr>
      <w:r w:rsidRPr="00FD3EE9">
        <w:rPr>
          <w:rFonts w:cs="Times New Roman"/>
        </w:rPr>
        <w:t xml:space="preserve">The surge </w:t>
      </w:r>
      <w:r w:rsidR="00D9276F" w:rsidRPr="00FD3EE9">
        <w:rPr>
          <w:rFonts w:cs="Times New Roman"/>
        </w:rPr>
        <w:t>of</w:t>
      </w:r>
      <w:r w:rsidRPr="00FD3EE9">
        <w:rPr>
          <w:rFonts w:cs="Times New Roman"/>
        </w:rPr>
        <w:t xml:space="preserve"> M&amp;A transactions</w:t>
      </w:r>
      <w:r w:rsidR="00D9276F" w:rsidRPr="00FD3EE9">
        <w:rPr>
          <w:rFonts w:cs="Times New Roman"/>
        </w:rPr>
        <w:t xml:space="preserve"> initiated by Chinese acquirers</w:t>
      </w:r>
      <w:r w:rsidRPr="00FD3EE9">
        <w:rPr>
          <w:rFonts w:cs="Times New Roman"/>
        </w:rPr>
        <w:t xml:space="preserve"> can be attributed to both internal and external </w:t>
      </w:r>
      <w:r w:rsidR="00D52D3B" w:rsidRPr="00FD3EE9">
        <w:rPr>
          <w:rFonts w:cs="Times New Roman"/>
        </w:rPr>
        <w:t>factors</w:t>
      </w:r>
      <w:r w:rsidRPr="00FD3EE9">
        <w:rPr>
          <w:rFonts w:cs="Times New Roman"/>
        </w:rPr>
        <w:t xml:space="preserve">. Internally, economic reforms have led to </w:t>
      </w:r>
      <w:r w:rsidR="00D52D3B" w:rsidRPr="00FD3EE9">
        <w:rPr>
          <w:rFonts w:cs="Times New Roman"/>
        </w:rPr>
        <w:t>large-scale</w:t>
      </w:r>
      <w:r w:rsidRPr="00FD3EE9">
        <w:rPr>
          <w:rFonts w:cs="Times New Roman"/>
        </w:rPr>
        <w:t xml:space="preserve"> privatization of </w:t>
      </w:r>
      <w:r w:rsidR="00AE026C" w:rsidRPr="00FD3EE9">
        <w:rPr>
          <w:rFonts w:cs="Times New Roman"/>
        </w:rPr>
        <w:t>state-owned</w:t>
      </w:r>
      <w:r w:rsidRPr="00FD3EE9">
        <w:rPr>
          <w:rFonts w:cs="Times New Roman"/>
        </w:rPr>
        <w:t xml:space="preserve"> enterprises (SOEs) since </w:t>
      </w:r>
      <w:r w:rsidR="00D52D3B" w:rsidRPr="00FD3EE9">
        <w:rPr>
          <w:rFonts w:cs="Times New Roman"/>
        </w:rPr>
        <w:t xml:space="preserve">the </w:t>
      </w:r>
      <w:r w:rsidRPr="00FD3EE9">
        <w:rPr>
          <w:rFonts w:cs="Times New Roman"/>
        </w:rPr>
        <w:t xml:space="preserve">1980s. For several decades, the Chinese government has </w:t>
      </w:r>
      <w:r w:rsidR="00D52D3B" w:rsidRPr="00FD3EE9">
        <w:rPr>
          <w:rFonts w:cs="Times New Roman"/>
        </w:rPr>
        <w:t xml:space="preserve">encouraged </w:t>
      </w:r>
      <w:r w:rsidRPr="00FD3EE9">
        <w:rPr>
          <w:rFonts w:cs="Times New Roman"/>
        </w:rPr>
        <w:t xml:space="preserve">SOEs to </w:t>
      </w:r>
      <w:r w:rsidR="00D52D3B" w:rsidRPr="00FD3EE9">
        <w:rPr>
          <w:rFonts w:cs="Times New Roman"/>
        </w:rPr>
        <w:t xml:space="preserve">reorganize </w:t>
      </w:r>
      <w:r w:rsidRPr="00FD3EE9">
        <w:rPr>
          <w:rFonts w:cs="Times New Roman"/>
        </w:rPr>
        <w:t>through M&amp;As to improve efficiencies</w:t>
      </w:r>
      <w:r w:rsidR="00D52D3B" w:rsidRPr="00FD3EE9">
        <w:rPr>
          <w:rFonts w:cs="Times New Roman"/>
        </w:rPr>
        <w:t xml:space="preserve"> (Gao and Kling, 2008)</w:t>
      </w:r>
      <w:r w:rsidRPr="00FD3EE9">
        <w:rPr>
          <w:rFonts w:cs="Times New Roman"/>
        </w:rPr>
        <w:t xml:space="preserve">. Externally, China's accession into </w:t>
      </w:r>
      <w:r w:rsidR="00D52D3B" w:rsidRPr="00FD3EE9">
        <w:rPr>
          <w:rFonts w:cs="Times New Roman"/>
        </w:rPr>
        <w:t xml:space="preserve">the </w:t>
      </w:r>
      <w:r w:rsidRPr="00FD3EE9">
        <w:rPr>
          <w:rFonts w:cs="Times New Roman"/>
        </w:rPr>
        <w:t xml:space="preserve">World Trade Organization (WTO) </w:t>
      </w:r>
      <w:r w:rsidR="00D52D3B" w:rsidRPr="00FD3EE9">
        <w:rPr>
          <w:rFonts w:cs="Times New Roman"/>
        </w:rPr>
        <w:t xml:space="preserve">has </w:t>
      </w:r>
      <w:r w:rsidRPr="00FD3EE9">
        <w:rPr>
          <w:rFonts w:cs="Times New Roman"/>
        </w:rPr>
        <w:t>encourage</w:t>
      </w:r>
      <w:r w:rsidR="00D52D3B" w:rsidRPr="00FD3EE9">
        <w:rPr>
          <w:rFonts w:cs="Times New Roman"/>
        </w:rPr>
        <w:t>d</w:t>
      </w:r>
      <w:r w:rsidRPr="00FD3EE9">
        <w:rPr>
          <w:rFonts w:cs="Times New Roman"/>
        </w:rPr>
        <w:t xml:space="preserve"> Chinese firms to adopt M&amp;A</w:t>
      </w:r>
      <w:r w:rsidR="00D52D3B" w:rsidRPr="00FD3EE9">
        <w:rPr>
          <w:rFonts w:cs="Times New Roman"/>
        </w:rPr>
        <w:t>s</w:t>
      </w:r>
      <w:r w:rsidRPr="00FD3EE9">
        <w:rPr>
          <w:rFonts w:cs="Times New Roman"/>
        </w:rPr>
        <w:t xml:space="preserve"> to restructure and consolidate, enabling </w:t>
      </w:r>
      <w:r w:rsidR="00D52D3B" w:rsidRPr="00FD3EE9">
        <w:rPr>
          <w:rFonts w:cs="Times New Roman"/>
        </w:rPr>
        <w:t xml:space="preserve">them </w:t>
      </w:r>
      <w:r w:rsidRPr="00FD3EE9">
        <w:rPr>
          <w:rFonts w:cs="Times New Roman"/>
        </w:rPr>
        <w:t xml:space="preserve">to defend against expanding foreign competitions </w:t>
      </w:r>
      <w:r w:rsidR="00D52D3B" w:rsidRPr="00FD3EE9">
        <w:rPr>
          <w:rFonts w:cs="Times New Roman"/>
        </w:rPr>
        <w:t>in their home market</w:t>
      </w:r>
      <w:r w:rsidRPr="00FD3EE9">
        <w:rPr>
          <w:rFonts w:cs="Times New Roman"/>
        </w:rPr>
        <w:t xml:space="preserve">. However, acquisition decisions in China </w:t>
      </w:r>
      <w:r w:rsidR="00D52D3B" w:rsidRPr="00FD3EE9">
        <w:rPr>
          <w:rFonts w:cs="Times New Roman"/>
        </w:rPr>
        <w:t xml:space="preserve">are </w:t>
      </w:r>
      <w:r w:rsidRPr="00FD3EE9">
        <w:rPr>
          <w:rFonts w:cs="Times New Roman"/>
        </w:rPr>
        <w:t xml:space="preserve">unlikely to be </w:t>
      </w:r>
      <w:r w:rsidR="00D52D3B" w:rsidRPr="00FD3EE9">
        <w:rPr>
          <w:rFonts w:cs="Times New Roman"/>
        </w:rPr>
        <w:t xml:space="preserve">solely </w:t>
      </w:r>
      <w:r w:rsidRPr="00FD3EE9">
        <w:rPr>
          <w:rFonts w:cs="Times New Roman"/>
        </w:rPr>
        <w:t xml:space="preserve">motivated by economic considerations </w:t>
      </w:r>
      <w:r w:rsidR="000930FF" w:rsidRPr="00FD3EE9">
        <w:rPr>
          <w:rFonts w:cs="Times New Roman"/>
        </w:rPr>
        <w:fldChar w:fldCharType="begin"/>
      </w:r>
      <w:r w:rsidR="003D30A6" w:rsidRPr="00FD3EE9">
        <w:rPr>
          <w:rFonts w:cs="Times New Roman"/>
        </w:rPr>
        <w:instrText xml:space="preserve"> ADDIN ZOTERO_ITEM CSL_CITATION {"citationID":"PsCFde0k","properties":{"formattedCitation":"(Yang et al., 2019)","plainCitation":"(Yang et al., 2019)","noteIndex":0},"citationItems":[{"id":4,"uris":["http://zotero.org/users/local/SsAWob3L/items/HL8QZLDS"],"uri":["http://zotero.org/users/local/SsAWob3L/items/HL8QZLDS"],"itemData":{"id":4,"type":"article-journal","title":"To what extent does corporate liquidity affect M&amp;amp;A decisions, method of payment and performance? Evidence from China","container-title":"Journal of Corporate Finance","page":"128–152","volume":"54","author":[{"family":"Yang","given":"Junhong"},{"family":"Guariglia","given":"Alessandra"},{"family":"Guo","given":"Jie Michael"}],"issued":{"date-parts":[["2019"]]}}}],"schema":"https://github.com/citation-style-language/schema/raw/master/csl-citation.json"} </w:instrText>
      </w:r>
      <w:r w:rsidR="000930FF" w:rsidRPr="00FD3EE9">
        <w:rPr>
          <w:rFonts w:cs="Times New Roman"/>
        </w:rPr>
        <w:fldChar w:fldCharType="separate"/>
      </w:r>
      <w:r w:rsidR="003D30A6" w:rsidRPr="00FD3EE9">
        <w:rPr>
          <w:rFonts w:cs="Times New Roman"/>
          <w:noProof/>
        </w:rPr>
        <w:t>(Yang et al., 2019)</w:t>
      </w:r>
      <w:r w:rsidR="000930FF" w:rsidRPr="00FD3EE9">
        <w:rPr>
          <w:rFonts w:cs="Times New Roman"/>
        </w:rPr>
        <w:fldChar w:fldCharType="end"/>
      </w:r>
      <w:r w:rsidRPr="00FD3EE9">
        <w:rPr>
          <w:rFonts w:cs="Times New Roman"/>
        </w:rPr>
        <w:t xml:space="preserve">. </w:t>
      </w:r>
      <w:r w:rsidR="00950783" w:rsidRPr="00FD3EE9">
        <w:rPr>
          <w:rFonts w:cs="Times New Roman"/>
        </w:rPr>
        <w:t>This study explores the role of executive compensation in decision making and post-</w:t>
      </w:r>
      <w:r w:rsidR="00950783" w:rsidRPr="00FD3EE9">
        <w:rPr>
          <w:rFonts w:cs="Times New Roman"/>
        </w:rPr>
        <w:lastRenderedPageBreak/>
        <w:t xml:space="preserve">merger performance. </w:t>
      </w:r>
      <w:r w:rsidR="008840D6" w:rsidRPr="00FD3EE9">
        <w:rPr>
          <w:rFonts w:cs="Times New Roman"/>
        </w:rPr>
        <w:t xml:space="preserve">China is an interesting case to study as the government has initiated an ‘experimental’ reform in 2006 introducing equity-based compensation for managers in both private and public firms. As outlined by </w:t>
      </w:r>
      <w:r w:rsidR="008840D6" w:rsidRPr="00FD3EE9">
        <w:rPr>
          <w:rFonts w:cs="Times New Roman"/>
        </w:rPr>
        <w:fldChar w:fldCharType="begin"/>
      </w:r>
      <w:r w:rsidR="008840D6" w:rsidRPr="00FD3EE9">
        <w:rPr>
          <w:rFonts w:cs="Times New Roman"/>
        </w:rPr>
        <w:instrText xml:space="preserve"> ADDIN ZOTERO_ITEM CSL_CITATION {"citationID":"syjxpjSQ","properties":{"formattedCitation":"(Jiang et al., 2017)","plainCitation":"(Jiang et al., 2017)","noteIndex":0},"citationItems":[{"id":"jwTi0SrD/J86kuRm7","uris":["http://zotero.org/users/local/qiB1P4Y3/items/VTQKKQEF"],"uri":["http://zotero.org/users/local/qiB1P4Y3/items/VTQKKQEF"],"itemData":{"id":"jwTi0SrD/J86kuRm7","type":"article-journal","title":"Why do firms adopt stock options and who benefits? A natural experiment in China","container-title":"Pacific-Basin Finance Journal","page":"124–140","volume":"46","source":"Google Scholar","shortTitle":"Why do firms adopt stock options and who benefits?","author":[{"family":"Jiang","given":"Lin"},{"family":"Kling","given":"Gerhard"},{"family":"Bo","given":"Hong"},{"family":"Driver","given":"Ciaran"}],"issued":{"date-parts":[["2017"]]}}}],"schema":"https://github.com/citation-style-language/schema/raw/master/csl-citation.json"} </w:instrText>
      </w:r>
      <w:r w:rsidR="008840D6" w:rsidRPr="00FD3EE9">
        <w:rPr>
          <w:rFonts w:cs="Times New Roman"/>
        </w:rPr>
        <w:fldChar w:fldCharType="separate"/>
      </w:r>
      <w:r w:rsidR="008840D6" w:rsidRPr="00FD3EE9">
        <w:rPr>
          <w:rFonts w:cs="Times New Roman"/>
          <w:noProof/>
        </w:rPr>
        <w:t>Jiang et al. (2017)</w:t>
      </w:r>
      <w:r w:rsidR="008840D6" w:rsidRPr="00FD3EE9">
        <w:rPr>
          <w:rFonts w:cs="Times New Roman"/>
        </w:rPr>
        <w:fldChar w:fldCharType="end"/>
      </w:r>
      <w:r w:rsidR="008840D6" w:rsidRPr="00FD3EE9">
        <w:rPr>
          <w:rFonts w:cs="Times New Roman"/>
        </w:rPr>
        <w:t xml:space="preserve">, China's regulatory change has led to a rapid adoption of stock options in both SOEs and non-SOEs, in sharp contrast to the more gradual adoption in the US and other developed countries over decades. </w:t>
      </w:r>
      <w:r w:rsidR="00FD3EE9" w:rsidRPr="00FD3EE9">
        <w:rPr>
          <w:rFonts w:cs="Times New Roman"/>
        </w:rPr>
        <w:t>Analysing</w:t>
      </w:r>
      <w:r w:rsidR="008840D6" w:rsidRPr="00FD3EE9">
        <w:rPr>
          <w:rFonts w:cs="Times New Roman"/>
        </w:rPr>
        <w:t xml:space="preserve"> the implications of this regulatory change is </w:t>
      </w:r>
      <w:r w:rsidR="00A408DC" w:rsidRPr="00FD3EE9">
        <w:rPr>
          <w:rFonts w:cs="Times New Roman"/>
        </w:rPr>
        <w:t>promising</w:t>
      </w:r>
      <w:r w:rsidR="008840D6" w:rsidRPr="00FD3EE9">
        <w:rPr>
          <w:rFonts w:cs="Times New Roman"/>
        </w:rPr>
        <w:t xml:space="preserve"> as confounding events play a minor role due to the short </w:t>
      </w:r>
      <w:r w:rsidR="00A408DC" w:rsidRPr="00FD3EE9">
        <w:rPr>
          <w:rFonts w:cs="Times New Roman"/>
        </w:rPr>
        <w:t>adoption period</w:t>
      </w:r>
      <w:r w:rsidR="008840D6" w:rsidRPr="00FD3EE9">
        <w:rPr>
          <w:rFonts w:cs="Times New Roman"/>
        </w:rPr>
        <w:t>. This offers an idea</w:t>
      </w:r>
      <w:r w:rsidR="00A408DC" w:rsidRPr="00FD3EE9">
        <w:rPr>
          <w:rFonts w:cs="Times New Roman"/>
        </w:rPr>
        <w:t>l</w:t>
      </w:r>
      <w:r w:rsidR="008840D6" w:rsidRPr="00FD3EE9">
        <w:rPr>
          <w:rFonts w:cs="Times New Roman"/>
        </w:rPr>
        <w:t xml:space="preserve"> setting for testing conflicting theories on the role of executive compensation </w:t>
      </w:r>
      <w:r w:rsidR="00A408DC" w:rsidRPr="00FD3EE9">
        <w:rPr>
          <w:rFonts w:cs="Times New Roman"/>
        </w:rPr>
        <w:t>in driving M&amp;As</w:t>
      </w:r>
      <w:r w:rsidR="008840D6" w:rsidRPr="00FD3EE9">
        <w:rPr>
          <w:rFonts w:cs="Times New Roman"/>
        </w:rPr>
        <w:t xml:space="preserve">. </w:t>
      </w:r>
    </w:p>
    <w:p w14:paraId="51200E61" w14:textId="0D64A0C7" w:rsidR="00975007" w:rsidRPr="00FD3EE9" w:rsidRDefault="00950783" w:rsidP="0085750E">
      <w:pPr>
        <w:spacing w:line="480" w:lineRule="auto"/>
        <w:ind w:firstLineChars="200" w:firstLine="480"/>
        <w:rPr>
          <w:rFonts w:cs="Times New Roman"/>
        </w:rPr>
      </w:pPr>
      <w:r w:rsidRPr="00FD3EE9">
        <w:rPr>
          <w:rFonts w:cs="Times New Roman"/>
        </w:rPr>
        <w:t>Several</w:t>
      </w:r>
      <w:r w:rsidR="00975007" w:rsidRPr="00FD3EE9">
        <w:rPr>
          <w:rFonts w:cs="Times New Roman"/>
        </w:rPr>
        <w:t xml:space="preserve"> finance and management scholars have demonstrated important links between executive compensation and acquisition </w:t>
      </w:r>
      <w:r w:rsidR="00FD3EE9" w:rsidRPr="00FD3EE9">
        <w:rPr>
          <w:rFonts w:cs="Times New Roman"/>
        </w:rPr>
        <w:t>behaviour</w:t>
      </w:r>
      <w:r w:rsidR="00F93BD3" w:rsidRPr="00FD3EE9">
        <w:rPr>
          <w:rFonts w:cs="Times New Roman"/>
        </w:rPr>
        <w:t>;</w:t>
      </w:r>
      <w:r w:rsidR="00975007" w:rsidRPr="00FD3EE9">
        <w:rPr>
          <w:rFonts w:cs="Times New Roman"/>
        </w:rPr>
        <w:t xml:space="preserve"> </w:t>
      </w:r>
      <w:r w:rsidR="00F93BD3" w:rsidRPr="00FD3EE9">
        <w:rPr>
          <w:rFonts w:cs="Times New Roman"/>
        </w:rPr>
        <w:t>h</w:t>
      </w:r>
      <w:r w:rsidR="00975007" w:rsidRPr="00FD3EE9">
        <w:rPr>
          <w:rFonts w:cs="Times New Roman"/>
        </w:rPr>
        <w:t xml:space="preserve">owever, </w:t>
      </w:r>
      <w:r w:rsidRPr="00FD3EE9">
        <w:rPr>
          <w:rFonts w:cs="Times New Roman"/>
        </w:rPr>
        <w:t>empirical evidence is inconsistent</w:t>
      </w:r>
      <w:r w:rsidR="00975007" w:rsidRPr="00FD3EE9">
        <w:rPr>
          <w:rFonts w:cs="Times New Roman"/>
        </w:rPr>
        <w:t xml:space="preserve">. </w:t>
      </w:r>
      <w:r w:rsidRPr="00FD3EE9">
        <w:rPr>
          <w:rFonts w:cs="Times New Roman"/>
        </w:rPr>
        <w:t>Based on</w:t>
      </w:r>
      <w:r w:rsidR="00975007" w:rsidRPr="00FD3EE9">
        <w:rPr>
          <w:rFonts w:cs="Times New Roman"/>
        </w:rPr>
        <w:t xml:space="preserve"> agency theory, incentive compensation is deemed to reduce managerial </w:t>
      </w:r>
      <w:r w:rsidR="00FD3EE9" w:rsidRPr="00FD3EE9">
        <w:rPr>
          <w:rFonts w:cs="Times New Roman"/>
        </w:rPr>
        <w:t>behaviour</w:t>
      </w:r>
      <w:r w:rsidRPr="00FD3EE9">
        <w:rPr>
          <w:rFonts w:cs="Times New Roman"/>
        </w:rPr>
        <w:t xml:space="preserve"> driven by </w:t>
      </w:r>
      <w:r w:rsidR="00975007" w:rsidRPr="00FD3EE9">
        <w:rPr>
          <w:rFonts w:cs="Times New Roman"/>
        </w:rPr>
        <w:t>self-</w:t>
      </w:r>
      <w:r w:rsidRPr="00FD3EE9">
        <w:rPr>
          <w:rFonts w:cs="Times New Roman"/>
        </w:rPr>
        <w:t>interest</w:t>
      </w:r>
      <w:r w:rsidR="00975007" w:rsidRPr="00FD3EE9">
        <w:rPr>
          <w:rFonts w:cs="Times New Roman"/>
        </w:rPr>
        <w:t xml:space="preserve"> by aligning the interests of managers and shareholders </w:t>
      </w:r>
      <w:r w:rsidR="000930FF" w:rsidRPr="00FD3EE9">
        <w:rPr>
          <w:rFonts w:cs="Times New Roman"/>
        </w:rPr>
        <w:fldChar w:fldCharType="begin"/>
      </w:r>
      <w:r w:rsidR="003D30A6" w:rsidRPr="00FD3EE9">
        <w:rPr>
          <w:rFonts w:cs="Times New Roman"/>
        </w:rPr>
        <w:instrText xml:space="preserve"> ADDIN ZOTERO_ITEM CSL_CITATION {"citationID":"k9zhNs5X","properties":{"formattedCitation":"(Jensen and Meckling, 1976)","plainCitation":"(Jensen and Meckling, 1976)","noteIndex":0},"citationItems":[{"id":"jwTi0SrD/lwDxLibw","uris":["http://zotero.org/users/local/qiB1P4Y3/items/GAKXXNBZ"],"uri":["http://zotero.org/users/local/qiB1P4Y3/items/GAKXXNBZ"],"itemData":{"id":"jwTi0SrD/lwDxLibw","type":"article-journal","title":"Theory of the firm: Managerial behavior, agency costs and ownership structure","container-title":"Journal of financial economics","page":"305–360","volume":"3","issue":"4","source":"Google Scholar","shortTitle":"Theory of the firm","author":[{"family":"Jensen","given":"Michael C."},{"family":"Meckling","given":"William H."}],"issued":{"date-parts":[["1976"]]}}}],"schema":"https://github.com/citation-style-language/schema/raw/master/csl-citation.json"} </w:instrText>
      </w:r>
      <w:r w:rsidR="000930FF" w:rsidRPr="00FD3EE9">
        <w:rPr>
          <w:rFonts w:cs="Times New Roman"/>
        </w:rPr>
        <w:fldChar w:fldCharType="separate"/>
      </w:r>
      <w:r w:rsidR="003D30A6" w:rsidRPr="00FD3EE9">
        <w:rPr>
          <w:rFonts w:cs="Times New Roman"/>
          <w:noProof/>
        </w:rPr>
        <w:t>(Jensen and Meckling, 1976)</w:t>
      </w:r>
      <w:r w:rsidR="000930FF" w:rsidRPr="00FD3EE9">
        <w:rPr>
          <w:rFonts w:cs="Times New Roman"/>
        </w:rPr>
        <w:fldChar w:fldCharType="end"/>
      </w:r>
      <w:r w:rsidR="00975007" w:rsidRPr="00FD3EE9">
        <w:rPr>
          <w:rFonts w:cs="Times New Roman"/>
        </w:rPr>
        <w:t xml:space="preserve">. </w:t>
      </w:r>
      <w:r w:rsidRPr="00FD3EE9">
        <w:rPr>
          <w:rFonts w:cs="Times New Roman"/>
        </w:rPr>
        <w:t>In particular</w:t>
      </w:r>
      <w:r w:rsidR="00975007" w:rsidRPr="00FD3EE9">
        <w:rPr>
          <w:rFonts w:cs="Times New Roman"/>
        </w:rPr>
        <w:t xml:space="preserve">, equity compensation should reduce </w:t>
      </w:r>
      <w:r w:rsidRPr="00FD3EE9">
        <w:rPr>
          <w:rFonts w:cs="Times New Roman"/>
        </w:rPr>
        <w:t>managerial benefits from</w:t>
      </w:r>
      <w:r w:rsidR="00975007" w:rsidRPr="00FD3EE9">
        <w:rPr>
          <w:rFonts w:cs="Times New Roman"/>
        </w:rPr>
        <w:t xml:space="preserve"> </w:t>
      </w:r>
      <w:r w:rsidRPr="00FD3EE9">
        <w:rPr>
          <w:rFonts w:cs="Times New Roman"/>
        </w:rPr>
        <w:t>value-destroying acquisitions (</w:t>
      </w:r>
      <w:r w:rsidRPr="00FD3EE9">
        <w:rPr>
          <w:rFonts w:cs="Times New Roman"/>
        </w:rPr>
        <w:fldChar w:fldCharType="begin"/>
      </w:r>
      <w:r w:rsidRPr="00FD3EE9">
        <w:rPr>
          <w:rFonts w:cs="Times New Roman"/>
        </w:rPr>
        <w:instrText xml:space="preserve"> ADDIN ZOTERO_ITEM CSL_CITATION {"citationID":"AbtcZErX","properties":{"formattedCitation":"(Shleifer and Vishny, 1997)","plainCitation":"(Shleifer and Vishny, 1997)","noteIndex":0},"citationItems":[{"id":"jwTi0SrD/ScWtdr1n","uris":["http://zotero.org/users/local/qiB1P4Y3/items/39W8W3KP"],"uri":["http://zotero.org/users/local/qiB1P4Y3/items/39W8W3KP"],"itemData":{"id":"jwTi0SrD/ScWtdr1n","type":"article-journal","title":"A survey of corporate governance","container-title":"The journal of finance","page":"737–783","volume":"52","issue":"2","source":"Google Scholar","author":[{"family":"Shleifer","given":"Andrei"},{"family":"Vishny","given":"Robert W."}],"issued":{"date-parts":[["1997"]]}}}],"schema":"https://github.com/citation-style-language/schema/raw/master/csl-citation.json"} </w:instrText>
      </w:r>
      <w:r w:rsidRPr="00FD3EE9">
        <w:rPr>
          <w:rFonts w:cs="Times New Roman"/>
        </w:rPr>
        <w:fldChar w:fldCharType="separate"/>
      </w:r>
      <w:r w:rsidRPr="00FD3EE9">
        <w:rPr>
          <w:rFonts w:cs="Times New Roman"/>
          <w:noProof/>
        </w:rPr>
        <w:t>Shleifer and Vishny, 1997)</w:t>
      </w:r>
      <w:r w:rsidRPr="00FD3EE9">
        <w:rPr>
          <w:rFonts w:cs="Times New Roman"/>
        </w:rPr>
        <w:fldChar w:fldCharType="end"/>
      </w:r>
      <w:r w:rsidR="00975007" w:rsidRPr="00FD3EE9">
        <w:rPr>
          <w:rFonts w:cs="Times New Roman"/>
        </w:rPr>
        <w:t xml:space="preserve">. </w:t>
      </w:r>
      <w:r w:rsidRPr="00FD3EE9">
        <w:rPr>
          <w:rFonts w:cs="Times New Roman"/>
        </w:rPr>
        <w:t>Yet,</w:t>
      </w:r>
      <w:r w:rsidR="00975007" w:rsidRPr="00FD3EE9">
        <w:rPr>
          <w:rFonts w:cs="Times New Roman"/>
        </w:rPr>
        <w:t xml:space="preserve"> a growing body of empirical evidence suggests that managers' desire for higher compensation may </w:t>
      </w:r>
      <w:r w:rsidRPr="00FD3EE9">
        <w:rPr>
          <w:rFonts w:cs="Times New Roman"/>
        </w:rPr>
        <w:t>drive</w:t>
      </w:r>
      <w:r w:rsidR="00975007" w:rsidRPr="00FD3EE9">
        <w:rPr>
          <w:rFonts w:cs="Times New Roman"/>
        </w:rPr>
        <w:t xml:space="preserve"> acquisitions, irrespective of whether the deal is in the interest of shareholders </w:t>
      </w:r>
      <w:r w:rsidR="007B46AA" w:rsidRPr="00FD3EE9">
        <w:rPr>
          <w:rFonts w:cs="Times New Roman"/>
        </w:rPr>
        <w:fldChar w:fldCharType="begin"/>
      </w:r>
      <w:r w:rsidR="003D30A6" w:rsidRPr="00FD3EE9">
        <w:rPr>
          <w:rFonts w:cs="Times New Roman"/>
        </w:rPr>
        <w:instrText xml:space="preserve"> ADDIN ZOTERO_ITEM CSL_CITATION {"citationID":"Gm0sTJMd","properties":{"formattedCitation":"(Bliss and Rosen, 2001; Grinstein and Hribar, 2004)","plainCitation":"(Bliss and Rosen, 2001; Grinstein and Hribar, 2004)","noteIndex":0},"citationItems":[{"id":"jwTi0SrD/mP7SFEnT","uris":["http://zotero.org/users/local/qiB1P4Y3/items/KMT4VD6T"],"uri":["http://zotero.org/users/local/qiB1P4Y3/items/KMT4VD6T"],"itemData":{"id":"jwTi0SrD/mP7SFEnT","type":"article-journal","title":"CEO compensation and bank mergers","container-title":"Journal of Financial Economics","page":"107–138","volume":"61","issue":"1","source":"Google Scholar","author":[{"family":"Bliss","given":"Richard T."},{"family":"Rosen","given":"Richard J."}],"issued":{"date-parts":[["2001"]]}}},{"id":"jwTi0SrD/jLrng086","uris":["http://zotero.org/users/local/qiB1P4Y3/items/DVZXVAKX"],"uri":["http://zotero.org/users/local/qiB1P4Y3/items/DVZXVAKX"],"itemData":{"id":"jwTi0SrD/jLrng086","type":"article-journal","title":"CEO compensation and incentives: Evidence from M&amp;A bonuses","container-title":"Journal of financial economics","page":"119–143","volume":"73","issue":"1","source":"Google Scholar","shortTitle":"CEO compensation and incentives","author":[{"family":"Grinstein","given":"Yaniv"},{"family":"Hribar","given":"Paul"}],"issued":{"date-parts":[["2004"]]}}}],"schema":"https://github.com/citation-style-language/schema/raw/master/csl-citation.json"} </w:instrText>
      </w:r>
      <w:r w:rsidR="007B46AA" w:rsidRPr="00FD3EE9">
        <w:rPr>
          <w:rFonts w:cs="Times New Roman"/>
        </w:rPr>
        <w:fldChar w:fldCharType="separate"/>
      </w:r>
      <w:r w:rsidR="003D30A6" w:rsidRPr="00FD3EE9">
        <w:rPr>
          <w:rFonts w:cs="Times New Roman"/>
          <w:noProof/>
        </w:rPr>
        <w:t xml:space="preserve">(Bliss and Rosen, </w:t>
      </w:r>
      <w:r w:rsidR="003D30A6" w:rsidRPr="00FD3EE9">
        <w:rPr>
          <w:rFonts w:cs="Times New Roman"/>
          <w:noProof/>
        </w:rPr>
        <w:lastRenderedPageBreak/>
        <w:t>2001; Grinstein and Hribar, 2004)</w:t>
      </w:r>
      <w:r w:rsidR="007B46AA" w:rsidRPr="00FD3EE9">
        <w:rPr>
          <w:rFonts w:cs="Times New Roman"/>
        </w:rPr>
        <w:fldChar w:fldCharType="end"/>
      </w:r>
      <w:r w:rsidR="00975007" w:rsidRPr="00FD3EE9">
        <w:rPr>
          <w:rFonts w:cs="Times New Roman"/>
        </w:rPr>
        <w:t xml:space="preserve">. </w:t>
      </w:r>
      <w:r w:rsidRPr="00FD3EE9">
        <w:rPr>
          <w:rFonts w:cs="Times New Roman"/>
        </w:rPr>
        <w:t xml:space="preserve">For instance, the CEO of </w:t>
      </w:r>
      <w:r w:rsidR="00975007" w:rsidRPr="00FD3EE9">
        <w:rPr>
          <w:rFonts w:cs="Times New Roman"/>
        </w:rPr>
        <w:t>Chase Manhattan</w:t>
      </w:r>
      <w:r w:rsidRPr="00FD3EE9">
        <w:rPr>
          <w:rFonts w:cs="Times New Roman"/>
        </w:rPr>
        <w:t xml:space="preserve"> Bank, </w:t>
      </w:r>
      <w:r w:rsidR="00975007" w:rsidRPr="00FD3EE9">
        <w:rPr>
          <w:rFonts w:cs="Times New Roman"/>
        </w:rPr>
        <w:t>William Harrison</w:t>
      </w:r>
      <w:r w:rsidRPr="00FD3EE9">
        <w:rPr>
          <w:rFonts w:cs="Times New Roman"/>
        </w:rPr>
        <w:t xml:space="preserve">, received a USD </w:t>
      </w:r>
      <w:r w:rsidR="00975007" w:rsidRPr="00FD3EE9">
        <w:rPr>
          <w:rFonts w:cs="Times New Roman"/>
        </w:rPr>
        <w:t xml:space="preserve">20 million bonus for the company's acquisition of J.P. Morgan in 2000 despite a subsequent substantial drop of </w:t>
      </w:r>
      <w:r w:rsidRPr="00FD3EE9">
        <w:rPr>
          <w:rFonts w:cs="Times New Roman"/>
        </w:rPr>
        <w:t>the acquirer’s</w:t>
      </w:r>
      <w:r w:rsidR="00975007" w:rsidRPr="00FD3EE9">
        <w:rPr>
          <w:rFonts w:cs="Times New Roman"/>
        </w:rPr>
        <w:t xml:space="preserve"> stock price. It is also reported that on average 40 to 60</w:t>
      </w:r>
      <w:r w:rsidRPr="00FD3EE9">
        <w:rPr>
          <w:rFonts w:cs="Times New Roman"/>
        </w:rPr>
        <w:t xml:space="preserve">% </w:t>
      </w:r>
      <w:r w:rsidR="00975007" w:rsidRPr="00FD3EE9">
        <w:rPr>
          <w:rFonts w:cs="Times New Roman"/>
        </w:rPr>
        <w:t>of M&amp;A</w:t>
      </w:r>
      <w:r w:rsidR="008840D6" w:rsidRPr="00FD3EE9">
        <w:rPr>
          <w:rFonts w:cs="Times New Roman"/>
        </w:rPr>
        <w:t>s</w:t>
      </w:r>
      <w:r w:rsidR="00975007" w:rsidRPr="00FD3EE9">
        <w:rPr>
          <w:rFonts w:cs="Times New Roman"/>
        </w:rPr>
        <w:t xml:space="preserve"> fail </w:t>
      </w:r>
      <w:r w:rsidR="008840D6" w:rsidRPr="00FD3EE9">
        <w:rPr>
          <w:rFonts w:cs="Times New Roman"/>
        </w:rPr>
        <w:t xml:space="preserve">to create </w:t>
      </w:r>
      <w:r w:rsidR="00975007" w:rsidRPr="00FD3EE9">
        <w:rPr>
          <w:rFonts w:cs="Times New Roman"/>
        </w:rPr>
        <w:t xml:space="preserve">value </w:t>
      </w:r>
      <w:r w:rsidR="007B46AA" w:rsidRPr="00FD3EE9">
        <w:rPr>
          <w:rFonts w:cs="Times New Roman"/>
        </w:rPr>
        <w:fldChar w:fldCharType="begin"/>
      </w:r>
      <w:r w:rsidR="003D30A6" w:rsidRPr="00FD3EE9">
        <w:rPr>
          <w:rFonts w:cs="Times New Roman"/>
        </w:rPr>
        <w:instrText xml:space="preserve"> ADDIN ZOTERO_ITEM CSL_CITATION {"citationID":"s8qaSuQY","properties":{"formattedCitation":"(Bauer and Matzler, 2014)","plainCitation":"(Bauer and Matzler, 2014)","noteIndex":0},"citationItems":[{"id":13,"uris":["http://zotero.org/users/local/SsAWob3L/items/DVILT8TN"],"uri":["http://zotero.org/users/local/SsAWob3L/items/DVILT8TN"],"itemData":{"id":13,"type":"article-journal","title":"Antecedents of M&amp;amp;A success: The role of strategic complementarity, cultural fit, and degree and speed of integration","container-title":"Strategic management journal","page":"269–291","volume":"35","issue":"2","author":[{"family":"Bauer","given":"Florian"},{"family":"Matzler","given":"Kurt"}],"issued":{"date-parts":[["2014"]]}}}],"schema":"https://github.com/citation-style-language/schema/raw/master/csl-citation.json"} </w:instrText>
      </w:r>
      <w:r w:rsidR="007B46AA" w:rsidRPr="00FD3EE9">
        <w:rPr>
          <w:rFonts w:cs="Times New Roman"/>
        </w:rPr>
        <w:fldChar w:fldCharType="separate"/>
      </w:r>
      <w:r w:rsidR="003D30A6" w:rsidRPr="00FD3EE9">
        <w:rPr>
          <w:rFonts w:cs="Times New Roman"/>
          <w:noProof/>
        </w:rPr>
        <w:t>(Bauer and Matzler, 2014)</w:t>
      </w:r>
      <w:r w:rsidR="007B46AA" w:rsidRPr="00FD3EE9">
        <w:rPr>
          <w:rFonts w:cs="Times New Roman"/>
        </w:rPr>
        <w:fldChar w:fldCharType="end"/>
      </w:r>
      <w:r w:rsidR="00975007" w:rsidRPr="00FD3EE9">
        <w:rPr>
          <w:rFonts w:cs="Times New Roman"/>
        </w:rPr>
        <w:t xml:space="preserve">. </w:t>
      </w:r>
      <w:r w:rsidR="008840D6" w:rsidRPr="00FD3EE9">
        <w:rPr>
          <w:rFonts w:cs="Times New Roman"/>
        </w:rPr>
        <w:t xml:space="preserve">Thus far, </w:t>
      </w:r>
      <w:r w:rsidR="00975007" w:rsidRPr="00FD3EE9">
        <w:rPr>
          <w:rFonts w:cs="Times New Roman"/>
        </w:rPr>
        <w:t xml:space="preserve">theoretical and empirical debates </w:t>
      </w:r>
      <w:r w:rsidR="008840D6" w:rsidRPr="00FD3EE9">
        <w:rPr>
          <w:rFonts w:cs="Times New Roman"/>
        </w:rPr>
        <w:t xml:space="preserve">have mainly focused on </w:t>
      </w:r>
      <w:r w:rsidR="00975007" w:rsidRPr="00FD3EE9">
        <w:rPr>
          <w:rFonts w:cs="Times New Roman"/>
        </w:rPr>
        <w:t>developed countries</w:t>
      </w:r>
      <w:r w:rsidR="008840D6" w:rsidRPr="00FD3EE9">
        <w:rPr>
          <w:rFonts w:cs="Times New Roman"/>
        </w:rPr>
        <w:t xml:space="preserve">; </w:t>
      </w:r>
      <w:r w:rsidR="00975007" w:rsidRPr="00FD3EE9">
        <w:rPr>
          <w:rFonts w:cs="Times New Roman"/>
        </w:rPr>
        <w:t xml:space="preserve">less is known about </w:t>
      </w:r>
      <w:r w:rsidR="008840D6" w:rsidRPr="00FD3EE9">
        <w:rPr>
          <w:rFonts w:cs="Times New Roman"/>
        </w:rPr>
        <w:t xml:space="preserve">the impact of </w:t>
      </w:r>
      <w:r w:rsidR="00975007" w:rsidRPr="00FD3EE9">
        <w:rPr>
          <w:rFonts w:cs="Times New Roman"/>
        </w:rPr>
        <w:t xml:space="preserve">executive pay </w:t>
      </w:r>
      <w:r w:rsidR="008840D6" w:rsidRPr="00FD3EE9">
        <w:rPr>
          <w:rFonts w:cs="Times New Roman"/>
        </w:rPr>
        <w:t>on</w:t>
      </w:r>
      <w:r w:rsidR="00975007" w:rsidRPr="00FD3EE9">
        <w:rPr>
          <w:rFonts w:cs="Times New Roman"/>
        </w:rPr>
        <w:t xml:space="preserve"> M&amp;A</w:t>
      </w:r>
      <w:r w:rsidR="008840D6" w:rsidRPr="00FD3EE9">
        <w:rPr>
          <w:rFonts w:cs="Times New Roman"/>
        </w:rPr>
        <w:t>s</w:t>
      </w:r>
      <w:r w:rsidR="00975007" w:rsidRPr="00FD3EE9">
        <w:rPr>
          <w:rFonts w:cs="Times New Roman"/>
        </w:rPr>
        <w:t xml:space="preserve"> in emerging countries.</w:t>
      </w:r>
    </w:p>
    <w:p w14:paraId="5B78271E" w14:textId="6ED2C8C1" w:rsidR="00975007" w:rsidRPr="00FD3EE9" w:rsidRDefault="003C782A" w:rsidP="0085750E">
      <w:pPr>
        <w:spacing w:line="480" w:lineRule="auto"/>
        <w:ind w:firstLineChars="200" w:firstLine="480"/>
        <w:rPr>
          <w:rFonts w:cs="Times New Roman"/>
        </w:rPr>
      </w:pPr>
      <w:r w:rsidRPr="00FD3EE9">
        <w:rPr>
          <w:rFonts w:cs="Times New Roman"/>
        </w:rPr>
        <w:t>This study</w:t>
      </w:r>
      <w:r w:rsidR="007B46AA" w:rsidRPr="00FD3EE9">
        <w:rPr>
          <w:rFonts w:cs="Times New Roman"/>
        </w:rPr>
        <w:t xml:space="preserve"> focus</w:t>
      </w:r>
      <w:r w:rsidRPr="00FD3EE9">
        <w:rPr>
          <w:rFonts w:cs="Times New Roman"/>
        </w:rPr>
        <w:t>es</w:t>
      </w:r>
      <w:r w:rsidR="007B46AA" w:rsidRPr="00FD3EE9">
        <w:rPr>
          <w:rFonts w:cs="Times New Roman"/>
        </w:rPr>
        <w:t xml:space="preserve"> on executive compensation and acquisitions in </w:t>
      </w:r>
      <w:r w:rsidR="00F93BD3" w:rsidRPr="00FD3EE9">
        <w:rPr>
          <w:rFonts w:cs="Times New Roman"/>
        </w:rPr>
        <w:t>China</w:t>
      </w:r>
      <w:r w:rsidR="007B46AA" w:rsidRPr="00FD3EE9">
        <w:rPr>
          <w:rFonts w:cs="Times New Roman"/>
        </w:rPr>
        <w:t xml:space="preserve">. Specifically, this study explores three questions: (1) </w:t>
      </w:r>
      <w:r w:rsidRPr="00FD3EE9">
        <w:rPr>
          <w:rFonts w:cs="Times New Roman"/>
        </w:rPr>
        <w:t>does executive compensation affect</w:t>
      </w:r>
      <w:r w:rsidR="007B46AA" w:rsidRPr="00FD3EE9">
        <w:rPr>
          <w:rFonts w:cs="Times New Roman"/>
        </w:rPr>
        <w:t xml:space="preserve"> managers' acquisition decisions</w:t>
      </w:r>
      <w:r w:rsidRPr="00FD3EE9">
        <w:rPr>
          <w:rFonts w:cs="Times New Roman"/>
        </w:rPr>
        <w:t xml:space="preserve">, </w:t>
      </w:r>
      <w:r w:rsidR="007B46AA" w:rsidRPr="00FD3EE9">
        <w:rPr>
          <w:rFonts w:cs="Times New Roman"/>
        </w:rPr>
        <w:t xml:space="preserve">(2) </w:t>
      </w:r>
      <w:r w:rsidR="000D6045" w:rsidRPr="00FD3EE9">
        <w:rPr>
          <w:rFonts w:cs="Times New Roman"/>
        </w:rPr>
        <w:t>is</w:t>
      </w:r>
      <w:r w:rsidR="007B46AA" w:rsidRPr="00FD3EE9">
        <w:rPr>
          <w:rFonts w:cs="Times New Roman"/>
        </w:rPr>
        <w:t xml:space="preserve"> post-acquisition performance</w:t>
      </w:r>
      <w:r w:rsidR="000D6045" w:rsidRPr="00FD3EE9">
        <w:rPr>
          <w:rFonts w:cs="Times New Roman"/>
        </w:rPr>
        <w:t xml:space="preserve"> determined by executive pay, and</w:t>
      </w:r>
      <w:r w:rsidR="007B46AA" w:rsidRPr="00FD3EE9">
        <w:rPr>
          <w:rFonts w:cs="Times New Roman"/>
        </w:rPr>
        <w:t xml:space="preserve"> (3) </w:t>
      </w:r>
      <w:r w:rsidR="00F93BD3" w:rsidRPr="00FD3EE9">
        <w:rPr>
          <w:rFonts w:cs="Times New Roman"/>
        </w:rPr>
        <w:t>how does the</w:t>
      </w:r>
      <w:r w:rsidR="007B46AA" w:rsidRPr="00FD3EE9">
        <w:rPr>
          <w:rFonts w:cs="Times New Roman"/>
        </w:rPr>
        <w:t xml:space="preserve"> institutional environment </w:t>
      </w:r>
      <w:r w:rsidR="00F93BD3" w:rsidRPr="00FD3EE9">
        <w:rPr>
          <w:rFonts w:cs="Times New Roman"/>
        </w:rPr>
        <w:t>affect</w:t>
      </w:r>
      <w:r w:rsidR="000D6045" w:rsidRPr="00FD3EE9">
        <w:rPr>
          <w:rFonts w:cs="Times New Roman"/>
        </w:rPr>
        <w:t xml:space="preserve"> these relationships</w:t>
      </w:r>
      <w:r w:rsidR="007B46AA" w:rsidRPr="00FD3EE9">
        <w:rPr>
          <w:rFonts w:cs="Times New Roman"/>
        </w:rPr>
        <w:t>?</w:t>
      </w:r>
      <w:r w:rsidR="004078E8" w:rsidRPr="00FD3EE9">
        <w:rPr>
          <w:rFonts w:cs="Times New Roman"/>
        </w:rPr>
        <w:t xml:space="preserve"> </w:t>
      </w:r>
      <w:bookmarkStart w:id="1" w:name="_Hlk49518263"/>
      <w:r w:rsidR="007B46AA" w:rsidRPr="00FD3EE9">
        <w:rPr>
          <w:rFonts w:cs="Times New Roman"/>
        </w:rPr>
        <w:t>We collect M&amp;A and compensation data from 2005</w:t>
      </w:r>
      <w:r w:rsidR="000D6045" w:rsidRPr="00FD3EE9">
        <w:rPr>
          <w:rFonts w:cs="Times New Roman"/>
        </w:rPr>
        <w:t xml:space="preserve"> to </w:t>
      </w:r>
      <w:r w:rsidR="007B46AA" w:rsidRPr="00FD3EE9">
        <w:rPr>
          <w:rFonts w:cs="Times New Roman"/>
        </w:rPr>
        <w:t>2014</w:t>
      </w:r>
      <w:r w:rsidR="000D6045" w:rsidRPr="00FD3EE9">
        <w:rPr>
          <w:rFonts w:cs="Times New Roman"/>
        </w:rPr>
        <w:t xml:space="preserve"> as well as post-merger performance data until 2018. </w:t>
      </w:r>
      <w:bookmarkEnd w:id="1"/>
      <w:r w:rsidR="000D6045" w:rsidRPr="00FD3EE9">
        <w:rPr>
          <w:rFonts w:cs="Times New Roman"/>
        </w:rPr>
        <w:t>To remove host country effects</w:t>
      </w:r>
      <w:r w:rsidR="007B46AA" w:rsidRPr="00FD3EE9">
        <w:rPr>
          <w:rFonts w:cs="Times New Roman"/>
        </w:rPr>
        <w:t xml:space="preserve"> </w:t>
      </w:r>
      <w:r w:rsidR="000D6045" w:rsidRPr="00FD3EE9">
        <w:rPr>
          <w:rFonts w:cs="Times New Roman"/>
        </w:rPr>
        <w:t xml:space="preserve">and cross-cultural disparities between targets and acquirers, </w:t>
      </w:r>
      <w:r w:rsidR="007B46AA" w:rsidRPr="00FD3EE9">
        <w:rPr>
          <w:rFonts w:cs="Times New Roman"/>
        </w:rPr>
        <w:t xml:space="preserve">we </w:t>
      </w:r>
      <w:r w:rsidR="000D6045" w:rsidRPr="00FD3EE9">
        <w:rPr>
          <w:rFonts w:cs="Times New Roman"/>
        </w:rPr>
        <w:t xml:space="preserve">focus on </w:t>
      </w:r>
      <w:r w:rsidR="007B46AA" w:rsidRPr="00FD3EE9">
        <w:rPr>
          <w:rFonts w:cs="Times New Roman"/>
        </w:rPr>
        <w:t>domestic acquisition</w:t>
      </w:r>
      <w:r w:rsidR="000D6045" w:rsidRPr="00FD3EE9">
        <w:rPr>
          <w:rFonts w:cs="Times New Roman"/>
        </w:rPr>
        <w:t>s, which</w:t>
      </w:r>
      <w:r w:rsidR="007B46AA" w:rsidRPr="00FD3EE9">
        <w:rPr>
          <w:rFonts w:cs="Times New Roman"/>
        </w:rPr>
        <w:t xml:space="preserve"> </w:t>
      </w:r>
      <w:r w:rsidR="000D6045" w:rsidRPr="00FD3EE9">
        <w:rPr>
          <w:rFonts w:cs="Times New Roman"/>
        </w:rPr>
        <w:t>account for 89.5% of M&amp;As</w:t>
      </w:r>
      <w:r w:rsidR="007F4F39">
        <w:rPr>
          <w:rFonts w:cs="Times New Roman"/>
        </w:rPr>
        <w:t xml:space="preserve"> </w:t>
      </w:r>
      <w:r w:rsidR="007F4F39">
        <w:rPr>
          <w:rFonts w:cs="Times New Roman" w:hint="eastAsia"/>
        </w:rPr>
        <w:t>in</w:t>
      </w:r>
      <w:r w:rsidR="007F4F39">
        <w:rPr>
          <w:rFonts w:cs="Times New Roman"/>
        </w:rPr>
        <w:t xml:space="preserve"> C</w:t>
      </w:r>
      <w:r w:rsidR="007F4F39">
        <w:rPr>
          <w:rFonts w:cs="Times New Roman" w:hint="eastAsia"/>
        </w:rPr>
        <w:t>hina</w:t>
      </w:r>
      <w:r w:rsidR="000D6045" w:rsidRPr="00FD3EE9">
        <w:rPr>
          <w:rFonts w:cs="Times New Roman"/>
        </w:rPr>
        <w:t xml:space="preserve">. </w:t>
      </w:r>
      <w:r w:rsidR="007B46AA" w:rsidRPr="00FD3EE9">
        <w:rPr>
          <w:rFonts w:cs="Times New Roman"/>
        </w:rPr>
        <w:t xml:space="preserve">We include ownership data to explore </w:t>
      </w:r>
      <w:r w:rsidR="000D6045" w:rsidRPr="00FD3EE9">
        <w:rPr>
          <w:rFonts w:cs="Times New Roman"/>
        </w:rPr>
        <w:t>differences between SOEs and non-SOEs.</w:t>
      </w:r>
    </w:p>
    <w:p w14:paraId="3DFDAA84" w14:textId="7A8A8B1B" w:rsidR="00492028" w:rsidRPr="00FD3EE9" w:rsidRDefault="000D6045" w:rsidP="0085750E">
      <w:pPr>
        <w:widowControl/>
        <w:spacing w:line="480" w:lineRule="auto"/>
        <w:ind w:firstLineChars="200" w:firstLine="480"/>
        <w:rPr>
          <w:rFonts w:cs="Times New Roman"/>
        </w:rPr>
      </w:pPr>
      <w:r w:rsidRPr="00FD3EE9">
        <w:rPr>
          <w:rFonts w:cs="Times New Roman"/>
        </w:rPr>
        <w:t>Our</w:t>
      </w:r>
      <w:r w:rsidR="00842BD5" w:rsidRPr="00FD3EE9">
        <w:rPr>
          <w:rFonts w:cs="Times New Roman"/>
        </w:rPr>
        <w:t xml:space="preserve"> contribution</w:t>
      </w:r>
      <w:r w:rsidRPr="00FD3EE9">
        <w:rPr>
          <w:rFonts w:cs="Times New Roman"/>
        </w:rPr>
        <w:t xml:space="preserve"> is threefold</w:t>
      </w:r>
      <w:r w:rsidR="00842BD5" w:rsidRPr="00FD3EE9">
        <w:rPr>
          <w:rFonts w:cs="Times New Roman"/>
        </w:rPr>
        <w:t xml:space="preserve">. First, </w:t>
      </w:r>
      <w:r w:rsidRPr="00FD3EE9">
        <w:rPr>
          <w:rFonts w:cs="Times New Roman"/>
        </w:rPr>
        <w:t>we</w:t>
      </w:r>
      <w:r w:rsidR="00842BD5" w:rsidRPr="00FD3EE9">
        <w:rPr>
          <w:rFonts w:cs="Times New Roman"/>
        </w:rPr>
        <w:t xml:space="preserve"> </w:t>
      </w:r>
      <w:r w:rsidRPr="00FD3EE9">
        <w:rPr>
          <w:rFonts w:cs="Times New Roman"/>
        </w:rPr>
        <w:t xml:space="preserve">provide </w:t>
      </w:r>
      <w:r w:rsidR="00842BD5" w:rsidRPr="00FD3EE9">
        <w:rPr>
          <w:rFonts w:cs="Times New Roman"/>
        </w:rPr>
        <w:t>empirical evidence</w:t>
      </w:r>
      <w:r w:rsidRPr="00FD3EE9">
        <w:rPr>
          <w:rFonts w:cs="Times New Roman"/>
        </w:rPr>
        <w:t xml:space="preserve"> for China, where</w:t>
      </w:r>
      <w:r w:rsidR="00842BD5" w:rsidRPr="00FD3EE9">
        <w:rPr>
          <w:rFonts w:cs="Times New Roman"/>
        </w:rPr>
        <w:t xml:space="preserve"> </w:t>
      </w:r>
      <w:r w:rsidRPr="00FD3EE9">
        <w:rPr>
          <w:rFonts w:cs="Times New Roman"/>
        </w:rPr>
        <w:t>e</w:t>
      </w:r>
      <w:r w:rsidR="00842BD5" w:rsidRPr="00FD3EE9">
        <w:rPr>
          <w:rFonts w:cs="Times New Roman"/>
        </w:rPr>
        <w:t xml:space="preserve">quity compensation has been </w:t>
      </w:r>
      <w:r w:rsidRPr="00FD3EE9">
        <w:rPr>
          <w:rFonts w:cs="Times New Roman"/>
        </w:rPr>
        <w:t>a novel phenomenon.</w:t>
      </w:r>
      <w:r w:rsidR="00842BD5" w:rsidRPr="00FD3EE9">
        <w:rPr>
          <w:rFonts w:cs="Times New Roman"/>
        </w:rPr>
        <w:t xml:space="preserve"> To </w:t>
      </w:r>
      <w:r w:rsidR="00F93BD3" w:rsidRPr="00FD3EE9">
        <w:rPr>
          <w:rFonts w:cs="Times New Roman"/>
        </w:rPr>
        <w:t>the</w:t>
      </w:r>
      <w:r w:rsidR="00842BD5" w:rsidRPr="00FD3EE9">
        <w:rPr>
          <w:rFonts w:cs="Times New Roman"/>
        </w:rPr>
        <w:t xml:space="preserve"> best </w:t>
      </w:r>
      <w:r w:rsidR="00F93BD3" w:rsidRPr="00FD3EE9">
        <w:rPr>
          <w:rFonts w:cs="Times New Roman"/>
        </w:rPr>
        <w:t xml:space="preserve">of our </w:t>
      </w:r>
      <w:r w:rsidR="00842BD5" w:rsidRPr="00FD3EE9">
        <w:rPr>
          <w:rFonts w:cs="Times New Roman"/>
        </w:rPr>
        <w:t xml:space="preserve">knowledge, </w:t>
      </w:r>
      <w:r w:rsidRPr="00FD3EE9">
        <w:rPr>
          <w:rFonts w:cs="Times New Roman"/>
        </w:rPr>
        <w:t xml:space="preserve">this </w:t>
      </w:r>
      <w:r w:rsidR="00842BD5" w:rsidRPr="00FD3EE9">
        <w:rPr>
          <w:rFonts w:cs="Times New Roman"/>
        </w:rPr>
        <w:t xml:space="preserve">is the </w:t>
      </w:r>
      <w:r w:rsidR="00842BD5" w:rsidRPr="00FD3EE9">
        <w:rPr>
          <w:rFonts w:cs="Times New Roman"/>
        </w:rPr>
        <w:lastRenderedPageBreak/>
        <w:t xml:space="preserve">first </w:t>
      </w:r>
      <w:r w:rsidRPr="00FD3EE9">
        <w:rPr>
          <w:rFonts w:cs="Times New Roman"/>
        </w:rPr>
        <w:t xml:space="preserve">study that </w:t>
      </w:r>
      <w:r w:rsidR="00FD3EE9" w:rsidRPr="00FD3EE9">
        <w:rPr>
          <w:rFonts w:cs="Times New Roman"/>
        </w:rPr>
        <w:t>analyses</w:t>
      </w:r>
      <w:r w:rsidR="00842BD5" w:rsidRPr="00FD3EE9">
        <w:rPr>
          <w:rFonts w:cs="Times New Roman"/>
        </w:rPr>
        <w:t xml:space="preserve"> acquisitions from the perspective of </w:t>
      </w:r>
      <w:r w:rsidRPr="00FD3EE9">
        <w:rPr>
          <w:rFonts w:cs="Times New Roman"/>
        </w:rPr>
        <w:t>executive pay in China</w:t>
      </w:r>
      <w:r w:rsidR="00842BD5" w:rsidRPr="00FD3EE9">
        <w:rPr>
          <w:rFonts w:cs="Times New Roman"/>
        </w:rPr>
        <w:t xml:space="preserve">. Second, </w:t>
      </w:r>
      <w:r w:rsidR="00EA0120" w:rsidRPr="00FD3EE9">
        <w:rPr>
          <w:rFonts w:cs="Times New Roman"/>
        </w:rPr>
        <w:t>we assess</w:t>
      </w:r>
      <w:r w:rsidR="00842BD5" w:rsidRPr="00FD3EE9">
        <w:rPr>
          <w:rFonts w:cs="Times New Roman"/>
        </w:rPr>
        <w:t xml:space="preserve"> whether executive compensation </w:t>
      </w:r>
      <w:r w:rsidR="00EA0120" w:rsidRPr="00FD3EE9">
        <w:rPr>
          <w:rFonts w:cs="Times New Roman"/>
        </w:rPr>
        <w:t>is a mechanism to align interests</w:t>
      </w:r>
      <w:r w:rsidR="00842BD5" w:rsidRPr="00FD3EE9">
        <w:rPr>
          <w:rFonts w:cs="Times New Roman"/>
        </w:rPr>
        <w:t xml:space="preserve"> or a tool for managerial entrenchment in emerging countries such as China where weak corporate governance </w:t>
      </w:r>
      <w:r w:rsidR="0048250F" w:rsidRPr="00FD3EE9">
        <w:rPr>
          <w:rFonts w:cs="Times New Roman"/>
        </w:rPr>
        <w:t>coexists</w:t>
      </w:r>
      <w:r w:rsidR="00842BD5" w:rsidRPr="00FD3EE9">
        <w:rPr>
          <w:rFonts w:cs="Times New Roman"/>
        </w:rPr>
        <w:t xml:space="preserve"> with substantial governance reform</w:t>
      </w:r>
      <w:r w:rsidR="00EA0120" w:rsidRPr="00FD3EE9">
        <w:rPr>
          <w:rFonts w:cs="Times New Roman"/>
        </w:rPr>
        <w:t>s</w:t>
      </w:r>
      <w:r w:rsidR="00842BD5" w:rsidRPr="00FD3EE9">
        <w:rPr>
          <w:rFonts w:cs="Times New Roman"/>
        </w:rPr>
        <w:t xml:space="preserve">. </w:t>
      </w:r>
      <w:r w:rsidR="00EA0120" w:rsidRPr="00FD3EE9">
        <w:rPr>
          <w:rFonts w:cs="Times New Roman"/>
        </w:rPr>
        <w:t>Third</w:t>
      </w:r>
      <w:r w:rsidR="00842BD5" w:rsidRPr="00FD3EE9">
        <w:rPr>
          <w:rFonts w:cs="Times New Roman"/>
        </w:rPr>
        <w:t xml:space="preserve">, this study </w:t>
      </w:r>
      <w:r w:rsidR="00EA0120" w:rsidRPr="00FD3EE9">
        <w:rPr>
          <w:rFonts w:cs="Times New Roman"/>
        </w:rPr>
        <w:t xml:space="preserve">shows </w:t>
      </w:r>
      <w:r w:rsidR="00842BD5" w:rsidRPr="00FD3EE9">
        <w:rPr>
          <w:rFonts w:cs="Times New Roman"/>
        </w:rPr>
        <w:t>that institution</w:t>
      </w:r>
      <w:r w:rsidR="00EA0120" w:rsidRPr="00FD3EE9">
        <w:rPr>
          <w:rFonts w:cs="Times New Roman"/>
        </w:rPr>
        <w:t>s</w:t>
      </w:r>
      <w:r w:rsidR="00842BD5" w:rsidRPr="00FD3EE9">
        <w:rPr>
          <w:rFonts w:cs="Times New Roman"/>
        </w:rPr>
        <w:t xml:space="preserve"> play</w:t>
      </w:r>
      <w:r w:rsidR="00EA0120" w:rsidRPr="00FD3EE9">
        <w:rPr>
          <w:rFonts w:cs="Times New Roman"/>
        </w:rPr>
        <w:t xml:space="preserve"> a</w:t>
      </w:r>
      <w:r w:rsidR="00842BD5" w:rsidRPr="00FD3EE9">
        <w:rPr>
          <w:rFonts w:cs="Times New Roman"/>
        </w:rPr>
        <w:t xml:space="preserve"> significant role in acquisitions</w:t>
      </w:r>
      <w:r w:rsidR="00F93BD3" w:rsidRPr="00FD3EE9">
        <w:rPr>
          <w:rFonts w:cs="Times New Roman"/>
        </w:rPr>
        <w:t xml:space="preserve"> highlighting the importance of the institutional impact on organizational </w:t>
      </w:r>
      <w:r w:rsidR="00FD3EE9" w:rsidRPr="00FD3EE9">
        <w:rPr>
          <w:rFonts w:cs="Times New Roman"/>
        </w:rPr>
        <w:t>behaviours</w:t>
      </w:r>
      <w:r w:rsidR="00842BD5" w:rsidRPr="00FD3EE9">
        <w:rPr>
          <w:rFonts w:cs="Times New Roman"/>
        </w:rPr>
        <w:t xml:space="preserve">. Despite economic reforms, state ownership is still a significant variable in explaining </w:t>
      </w:r>
      <w:r w:rsidR="00EA0120" w:rsidRPr="00FD3EE9">
        <w:rPr>
          <w:rFonts w:cs="Times New Roman"/>
        </w:rPr>
        <w:t xml:space="preserve">firm </w:t>
      </w:r>
      <w:r w:rsidR="00FD3EE9" w:rsidRPr="00FD3EE9">
        <w:rPr>
          <w:rFonts w:cs="Times New Roman"/>
        </w:rPr>
        <w:t>behaviour</w:t>
      </w:r>
      <w:r w:rsidR="00842BD5" w:rsidRPr="00FD3EE9">
        <w:rPr>
          <w:rFonts w:cs="Times New Roman"/>
        </w:rPr>
        <w:t>.</w:t>
      </w:r>
    </w:p>
    <w:p w14:paraId="3DE6B8BC" w14:textId="77777777" w:rsidR="008840D6" w:rsidRPr="00FD3EE9" w:rsidRDefault="008840D6" w:rsidP="0085750E"/>
    <w:p w14:paraId="367DF1F0" w14:textId="6520C0B2" w:rsidR="007B46AA" w:rsidRPr="00FD3EE9" w:rsidRDefault="00842BD5" w:rsidP="0085750E">
      <w:pPr>
        <w:pStyle w:val="a4"/>
        <w:spacing w:before="0" w:after="0" w:line="480" w:lineRule="auto"/>
        <w:rPr>
          <w:rFonts w:ascii="Times New Roman" w:hAnsi="Times New Roman" w:cs="Times New Roman"/>
          <w:sz w:val="24"/>
        </w:rPr>
      </w:pPr>
      <w:r w:rsidRPr="00FD3EE9">
        <w:rPr>
          <w:rFonts w:ascii="Times New Roman" w:hAnsi="Times New Roman" w:cs="Times New Roman"/>
          <w:sz w:val="24"/>
        </w:rPr>
        <w:t>2. Theoretical background</w:t>
      </w:r>
    </w:p>
    <w:p w14:paraId="348BDB7B" w14:textId="630D2074" w:rsidR="00842BD5" w:rsidRPr="00FD3EE9" w:rsidRDefault="00AF1163" w:rsidP="0085750E">
      <w:pPr>
        <w:widowControl/>
        <w:spacing w:line="480" w:lineRule="auto"/>
        <w:ind w:firstLineChars="200" w:firstLine="480"/>
        <w:rPr>
          <w:rFonts w:cs="Times New Roman"/>
        </w:rPr>
      </w:pPr>
      <w:bookmarkStart w:id="2" w:name="_Hlk49515923"/>
      <w:r w:rsidRPr="00FD3EE9">
        <w:rPr>
          <w:rFonts w:cs="Times New Roman"/>
        </w:rPr>
        <w:t>M</w:t>
      </w:r>
      <w:r w:rsidR="00842BD5" w:rsidRPr="00FD3EE9">
        <w:rPr>
          <w:rFonts w:cs="Times New Roman"/>
        </w:rPr>
        <w:t xml:space="preserve">otivations for acquisitions </w:t>
      </w:r>
      <w:r w:rsidRPr="00FD3EE9">
        <w:rPr>
          <w:rFonts w:cs="Times New Roman"/>
        </w:rPr>
        <w:t>refer to</w:t>
      </w:r>
      <w:r w:rsidR="00842BD5" w:rsidRPr="00FD3EE9">
        <w:rPr>
          <w:rFonts w:cs="Times New Roman"/>
        </w:rPr>
        <w:t xml:space="preserve"> </w:t>
      </w:r>
      <w:r w:rsidRPr="00FD3EE9">
        <w:rPr>
          <w:rFonts w:cs="Times New Roman"/>
        </w:rPr>
        <w:t>synergies</w:t>
      </w:r>
      <w:r w:rsidR="00842BD5" w:rsidRPr="00FD3EE9">
        <w:rPr>
          <w:rFonts w:cs="Times New Roman"/>
        </w:rPr>
        <w:t xml:space="preserve"> </w:t>
      </w:r>
      <w:r w:rsidR="00842BD5" w:rsidRPr="00FD3EE9">
        <w:rPr>
          <w:rFonts w:cs="Times New Roman"/>
        </w:rPr>
        <w:fldChar w:fldCharType="begin"/>
      </w:r>
      <w:r w:rsidR="003D30A6" w:rsidRPr="00FD3EE9">
        <w:rPr>
          <w:rFonts w:cs="Times New Roman"/>
        </w:rPr>
        <w:instrText xml:space="preserve"> ADDIN ZOTERO_ITEM CSL_CITATION {"citationID":"rHQovyIN","properties":{"formattedCitation":"(Harrison et al., 1991)","plainCitation":"(Harrison et al., 1991)","noteIndex":0},"citationItems":[{"id":"jwTi0SrD/HxxpGYo5","uris":["http://zotero.org/users/local/qiB1P4Y3/items/29PU7C98"],"uri":["http://zotero.org/users/local/qiB1P4Y3/items/29PU7C98"],"itemData":{"id":"jwTi0SrD/HxxpGYo5","type":"article-journal","title":"Synergies and post-acquisition performance: Differences versus similarities in resource allocations","container-title":"Journal of management","page":"173–190","volume":"17","issue":"1","source":"Google Scholar","shortTitle":"Synergies and post-acquisition performance","author":[{"family":"Harrison","given":"Jeffrey S."},{"family":"Hitt","given":"Michael A."},{"family":"Hoskisson","given":"Robert E."},{"family":"Ireland","given":"R. Duane"}],"issued":{"date-parts":[["1991"]]}}}],"schema":"https://github.com/citation-style-language/schema/raw/master/csl-citation.json"} </w:instrText>
      </w:r>
      <w:r w:rsidR="00842BD5" w:rsidRPr="00FD3EE9">
        <w:rPr>
          <w:rFonts w:cs="Times New Roman"/>
        </w:rPr>
        <w:fldChar w:fldCharType="separate"/>
      </w:r>
      <w:r w:rsidR="003D30A6" w:rsidRPr="00FD3EE9">
        <w:rPr>
          <w:rFonts w:cs="Times New Roman"/>
          <w:noProof/>
        </w:rPr>
        <w:t>(Harrison et al., 1991)</w:t>
      </w:r>
      <w:r w:rsidR="00842BD5" w:rsidRPr="00FD3EE9">
        <w:rPr>
          <w:rFonts w:cs="Times New Roman"/>
        </w:rPr>
        <w:fldChar w:fldCharType="end"/>
      </w:r>
      <w:r w:rsidRPr="00FD3EE9">
        <w:rPr>
          <w:rFonts w:cs="Times New Roman"/>
        </w:rPr>
        <w:t>,</w:t>
      </w:r>
      <w:r w:rsidR="00842BD5" w:rsidRPr="00FD3EE9">
        <w:rPr>
          <w:rFonts w:cs="Times New Roman"/>
        </w:rPr>
        <w:t xml:space="preserve"> </w:t>
      </w:r>
      <w:r w:rsidRPr="00FD3EE9">
        <w:rPr>
          <w:rFonts w:cs="Times New Roman"/>
        </w:rPr>
        <w:t>e</w:t>
      </w:r>
      <w:r w:rsidR="00842BD5" w:rsidRPr="00FD3EE9">
        <w:rPr>
          <w:rFonts w:cs="Times New Roman"/>
        </w:rPr>
        <w:t xml:space="preserve">xtracting value from inefficient targets </w:t>
      </w:r>
      <w:r w:rsidR="00842BD5" w:rsidRPr="00FD3EE9">
        <w:rPr>
          <w:rFonts w:cs="Times New Roman"/>
        </w:rPr>
        <w:fldChar w:fldCharType="begin"/>
      </w:r>
      <w:r w:rsidR="003D30A6" w:rsidRPr="00FD3EE9">
        <w:rPr>
          <w:rFonts w:cs="Times New Roman"/>
        </w:rPr>
        <w:instrText xml:space="preserve"> ADDIN ZOTERO_ITEM CSL_CITATION {"citationID":"xv2PZH5H","properties":{"formattedCitation":"(Fama, 1980)","plainCitation":"(Fama, 1980)","noteIndex":0},"citationItems":[{"id":"jwTi0SrD/KSe6Y56s","uris":["http://zotero.org/users/local/qiB1P4Y3/items/FJ5U2PQV"],"uri":["http://zotero.org/users/local/qiB1P4Y3/items/FJ5U2PQV"],"itemData":{"id":"jwTi0SrD/KSe6Y56s","type":"article-journal","title":"Agency problems and the theory of the firm","container-title":"Journal of political economy","page":"288–307","volume":"88","issue":"2","source":"Google Scholar","author":[{"family":"Fama","given":"Eugene F."}],"issued":{"date-parts":[["1980"]]}}}],"schema":"https://github.com/citation-style-language/schema/raw/master/csl-citation.json"} </w:instrText>
      </w:r>
      <w:r w:rsidR="00842BD5" w:rsidRPr="00FD3EE9">
        <w:rPr>
          <w:rFonts w:cs="Times New Roman"/>
        </w:rPr>
        <w:fldChar w:fldCharType="separate"/>
      </w:r>
      <w:r w:rsidR="003D30A6" w:rsidRPr="00FD3EE9">
        <w:rPr>
          <w:rFonts w:cs="Times New Roman"/>
          <w:noProof/>
        </w:rPr>
        <w:t>(Fama, 1980)</w:t>
      </w:r>
      <w:r w:rsidR="00842BD5" w:rsidRPr="00FD3EE9">
        <w:rPr>
          <w:rFonts w:cs="Times New Roman"/>
        </w:rPr>
        <w:fldChar w:fldCharType="end"/>
      </w:r>
      <w:r w:rsidRPr="00FD3EE9">
        <w:rPr>
          <w:rFonts w:cs="Times New Roman"/>
        </w:rPr>
        <w:t xml:space="preserve"> – but also </w:t>
      </w:r>
      <w:r w:rsidR="00FD3EE9" w:rsidRPr="00FD3EE9">
        <w:rPr>
          <w:rFonts w:cs="Times New Roman"/>
        </w:rPr>
        <w:t>behavioural</w:t>
      </w:r>
      <w:r w:rsidRPr="00FD3EE9">
        <w:rPr>
          <w:rFonts w:cs="Times New Roman"/>
        </w:rPr>
        <w:t xml:space="preserve"> explanations. The latter include</w:t>
      </w:r>
      <w:r w:rsidR="00842BD5" w:rsidRPr="00FD3EE9">
        <w:rPr>
          <w:rFonts w:cs="Times New Roman"/>
        </w:rPr>
        <w:t xml:space="preserve">, </w:t>
      </w:r>
      <w:r w:rsidRPr="00FD3EE9">
        <w:rPr>
          <w:rFonts w:cs="Times New Roman"/>
        </w:rPr>
        <w:t>the</w:t>
      </w:r>
      <w:r w:rsidR="00842BD5" w:rsidRPr="00FD3EE9">
        <w:rPr>
          <w:rFonts w:cs="Times New Roman"/>
        </w:rPr>
        <w:t xml:space="preserve"> managerial hubris hypothesis</w:t>
      </w:r>
      <w:r w:rsidRPr="00FD3EE9">
        <w:rPr>
          <w:rFonts w:cs="Times New Roman"/>
        </w:rPr>
        <w:t xml:space="preserve">, which suggests </w:t>
      </w:r>
      <w:r w:rsidR="00842BD5" w:rsidRPr="00FD3EE9">
        <w:rPr>
          <w:rFonts w:cs="Times New Roman"/>
        </w:rPr>
        <w:t xml:space="preserve">that acquiring managers may </w:t>
      </w:r>
      <w:r w:rsidRPr="00FD3EE9">
        <w:rPr>
          <w:rFonts w:cs="Times New Roman"/>
        </w:rPr>
        <w:t>overstate their abilities to run target firms (</w:t>
      </w:r>
      <w:r w:rsidRPr="00FD3EE9">
        <w:rPr>
          <w:rFonts w:cs="Times New Roman"/>
        </w:rPr>
        <w:fldChar w:fldCharType="begin"/>
      </w:r>
      <w:r w:rsidRPr="00FD3EE9">
        <w:rPr>
          <w:rFonts w:cs="Times New Roman"/>
        </w:rPr>
        <w:instrText xml:space="preserve"> ADDIN ZOTERO_ITEM CSL_CITATION {"citationID":"2QMYY0Mk","properties":{"formattedCitation":"(Roll, 1986a)","plainCitation":"(Roll, 1986a)","dontUpdate":true,"noteIndex":0},"citationItems":[{"id":43,"uris":["http://zotero.org/users/local/SsAWob3L/items/KNFJ9LRA"],"uri":["http://zotero.org/users/local/SsAWob3L/items/KNFJ9LRA"],"itemData":{"id":43,"type":"article-journal","title":"The hubris hypothesis of corporate takeovers","container-title":"Journal of business","page":"197–216","author":[{"family":"Roll","given":"Richard"}],"issued":{"date-parts":[["1986"]]}}}],"schema":"https://github.com/citation-style-language/schema/raw/master/csl-citation.json"} </w:instrText>
      </w:r>
      <w:r w:rsidRPr="00FD3EE9">
        <w:rPr>
          <w:rFonts w:cs="Times New Roman"/>
        </w:rPr>
        <w:fldChar w:fldCharType="separate"/>
      </w:r>
      <w:r w:rsidRPr="00FD3EE9">
        <w:rPr>
          <w:rFonts w:cs="Times New Roman"/>
          <w:noProof/>
        </w:rPr>
        <w:t>Roll, 1986a)</w:t>
      </w:r>
      <w:r w:rsidRPr="00FD3EE9">
        <w:rPr>
          <w:rFonts w:cs="Times New Roman"/>
        </w:rPr>
        <w:fldChar w:fldCharType="end"/>
      </w:r>
      <w:r w:rsidRPr="00FD3EE9">
        <w:rPr>
          <w:rFonts w:cs="Times New Roman"/>
        </w:rPr>
        <w:t xml:space="preserve">. This can lead to value-destroying acquisitions. Executive compensation can align managers’ interests with their shareholders in line with agency theory </w:t>
      </w:r>
      <w:r w:rsidRPr="00FD3EE9">
        <w:rPr>
          <w:rFonts w:cs="Times New Roman"/>
        </w:rPr>
        <w:fldChar w:fldCharType="begin"/>
      </w:r>
      <w:r w:rsidRPr="00FD3EE9">
        <w:rPr>
          <w:rFonts w:cs="Times New Roman"/>
        </w:rPr>
        <w:instrText xml:space="preserve"> ADDIN ZOTERO_ITEM CSL_CITATION {"citationID":"k9zhNs5X","properties":{"formattedCitation":"(Jensen and Meckling, 1976)","plainCitation":"(Jensen and Meckling, 1976)","noteIndex":0},"citationItems":[{"id":"jwTi0SrD/lwDxLibw","uris":["http://zotero.org/users/local/qiB1P4Y3/items/GAKXXNBZ"],"uri":["http://zotero.org/users/local/qiB1P4Y3/items/GAKXXNBZ"],"itemData":{"id":"jwTi0SrD/lwDxLibw","type":"article-journal","title":"Theory of the firm: Managerial behavior, agency costs and ownership structure","container-title":"Journal of financial economics","page":"305–360","volume":"3","issue":"4","source":"Google Scholar","shortTitle":"Theory of the firm","author":[{"family":"Jensen","given":"Michael C."},{"family":"Meckling","given":"William H."}],"issued":{"date-parts":[["1976"]]}}}],"schema":"https://github.com/citation-style-language/schema/raw/master/csl-citation.json"} </w:instrText>
      </w:r>
      <w:r w:rsidRPr="00FD3EE9">
        <w:rPr>
          <w:rFonts w:cs="Times New Roman"/>
        </w:rPr>
        <w:fldChar w:fldCharType="separate"/>
      </w:r>
      <w:r w:rsidRPr="00FD3EE9">
        <w:rPr>
          <w:rFonts w:cs="Times New Roman"/>
          <w:noProof/>
        </w:rPr>
        <w:t>(Jensen and Meckling, 1976)</w:t>
      </w:r>
      <w:r w:rsidRPr="00FD3EE9">
        <w:rPr>
          <w:rFonts w:cs="Times New Roman"/>
        </w:rPr>
        <w:fldChar w:fldCharType="end"/>
      </w:r>
      <w:r w:rsidRPr="00FD3EE9">
        <w:rPr>
          <w:rFonts w:cs="Times New Roman"/>
        </w:rPr>
        <w:t>; however, the role of executive pay in the context of acquisitions has remained ambiguous.</w:t>
      </w:r>
    </w:p>
    <w:p w14:paraId="38C0D24C" w14:textId="3D533DD2" w:rsidR="00E9285E" w:rsidRPr="00FD3EE9" w:rsidRDefault="00AF1163" w:rsidP="0085750E">
      <w:pPr>
        <w:spacing w:line="480" w:lineRule="auto"/>
        <w:ind w:firstLineChars="200" w:firstLine="480"/>
      </w:pPr>
      <w:r w:rsidRPr="00FD3EE9">
        <w:t>T</w:t>
      </w:r>
      <w:r w:rsidR="00E9285E" w:rsidRPr="00FD3EE9">
        <w:t xml:space="preserve">he dominant perspective refers to the optimal contracting </w:t>
      </w:r>
      <w:r w:rsidR="00FD3EE9" w:rsidRPr="00FD3EE9">
        <w:t>theory</w:t>
      </w:r>
      <w:r w:rsidR="00E9285E" w:rsidRPr="00FD3EE9">
        <w:t xml:space="preserve"> or the incentive </w:t>
      </w:r>
      <w:r w:rsidR="00E9285E" w:rsidRPr="00FD3EE9">
        <w:lastRenderedPageBreak/>
        <w:t>alignment perspective, which advocates that executive</w:t>
      </w:r>
      <w:r w:rsidR="0048250F" w:rsidRPr="00FD3EE9">
        <w:t>s</w:t>
      </w:r>
      <w:r w:rsidR="00E9285E" w:rsidRPr="00FD3EE9">
        <w:t xml:space="preserve"> promote shareholder-value-maximizing </w:t>
      </w:r>
      <w:r w:rsidR="00FD3EE9" w:rsidRPr="00FD3EE9">
        <w:t>behaviours</w:t>
      </w:r>
      <w:r w:rsidR="00E9285E" w:rsidRPr="00FD3EE9">
        <w:t xml:space="preserve"> </w:t>
      </w:r>
      <w:r w:rsidR="00E9285E" w:rsidRPr="00FD3EE9">
        <w:fldChar w:fldCharType="begin"/>
      </w:r>
      <w:r w:rsidR="00E9285E" w:rsidRPr="00FD3EE9">
        <w:instrText xml:space="preserve"> ADDIN ZOTERO_ITEM CSL_CITATION {"citationID":"YiiDMumC","properties":{"formattedCitation":"(Jensen and Meckling, 1976; Mehran, 1995; Shleifer and Vishny, 1997)","plainCitation":"(Jensen and Meckling, 1976; Mehran, 1995; Shleifer and Vishny, 1997)","noteIndex":0},"citationItems":[{"id":"jwTi0SrD/lwDxLibw","uris":["http://zotero.org/users/local/qiB1P4Y3/items/GAKXXNBZ"],"uri":["http://zotero.org/users/local/qiB1P4Y3/items/GAKXXNBZ"],"itemData":{"id":"jwTi0SrD/lwDxLibw","type":"article-journal","title":"Theory of the firm: Managerial behavior, agency costs and ownership structure","container-title":"Journal of financial economics","page":"305–360","volume":"3","issue":"4","source":"Google Scholar","shortTitle":"Theory of the firm","author":[{"family":"Jensen","given":"Michael C."},{"family":"Meckling","given":"William H."}],"issued":{"date-parts":[["1976"]]}}},{"id":"jwTi0SrD/xNqw1EWc","uris":["http://zotero.org/users/local/qiB1P4Y3/items/97JWRQUK"],"uri":["http://zotero.org/users/local/qiB1P4Y3/items/97JWRQUK"],"itemData":{"id":"jwTi0SrD/xNqw1EWc","type":"article-journal","title":"Executive compensation structure, ownership, and firm performance","container-title":"Journal of financial economics","page":"163–184","volume":"38","issue":"2","source":"Google Scholar","author":[{"family":"Mehran","given":"Hamid"}],"issued":{"date-parts":[["1995"]]}}},{"id":"jwTi0SrD/ScWtdr1n","uris":["http://zotero.org/users/local/qiB1P4Y3/items/39W8W3KP"],"uri":["http://zotero.org/users/local/qiB1P4Y3/items/39W8W3KP"],"itemData":{"id":"jwTi0SrD/ScWtdr1n","type":"article-journal","title":"A survey of corporate governance","container-title":"The journal of finance","page":"737–783","volume":"52","issue":"2","source":"Google Scholar","author":[{"family":"Shleifer","given":"Andrei"},{"family":"Vishny","given":"Robert W."}],"issued":{"date-parts":[["1997"]]}}}],"schema":"https://github.com/citation-style-language/schema/raw/master/csl-citation.json"} </w:instrText>
      </w:r>
      <w:r w:rsidR="00E9285E" w:rsidRPr="00FD3EE9">
        <w:fldChar w:fldCharType="separate"/>
      </w:r>
      <w:r w:rsidR="00E9285E" w:rsidRPr="00FD3EE9">
        <w:rPr>
          <w:noProof/>
        </w:rPr>
        <w:t>(Jensen and Meckling, 1976; Mehran, 1995; Shleifer and Vishny, 1997)</w:t>
      </w:r>
      <w:r w:rsidR="00E9285E" w:rsidRPr="00FD3EE9">
        <w:fldChar w:fldCharType="end"/>
      </w:r>
      <w:r w:rsidR="00E9285E" w:rsidRPr="00FD3EE9">
        <w:t xml:space="preserve">. Based on this perspective, managers with higher levels of incentive compensation are expected to be more prudent in making acquisitions given </w:t>
      </w:r>
      <w:r w:rsidR="00E9285E" w:rsidRPr="00FD3EE9">
        <w:rPr>
          <w:i/>
        </w:rPr>
        <w:t>a priori</w:t>
      </w:r>
      <w:r w:rsidR="00E9285E" w:rsidRPr="00FD3EE9">
        <w:t xml:space="preserve"> that acquiring firms generally do not benefit from acquisitions </w:t>
      </w:r>
      <w:r w:rsidR="00E9285E" w:rsidRPr="00FD3EE9">
        <w:fldChar w:fldCharType="begin"/>
      </w:r>
      <w:r w:rsidR="00E9285E" w:rsidRPr="00FD3EE9">
        <w:instrText xml:space="preserve"> ADDIN ZOTERO_ITEM CSL_CITATION {"citationID":"FeIMRNd2","properties":{"formattedCitation":"(Amihud and Lev, 1981; Goranova et al., 2017; Gugler et al., 2003; Haleblian et al., 2009; Jensen and Ruback, 1983)","plainCitation":"(Amihud and Lev, 1981; Goranova et al., 2017; Gugler et al., 2003; Haleblian et al., 2009; Jensen and Ruback, 1983)","noteIndex":0},"citationItems":[{"id":"jwTi0SrD/UKENzu5D","uris":["http://zotero.org/users/local/qiB1P4Y3/items/CHGD2IAX"],"uri":["http://zotero.org/users/local/qiB1P4Y3/items/CHGD2IAX"],"itemData":{"id":"jwTi0SrD/UKENzu5D","type":"article-journal","title":"Risk reduction as a managerial motive for conglomerate mergers","container-title":"The bell journal of economics","page":"605–617","source":"Google Scholar","author":[{"family":"Amihud","given":"Yakov"},{"family":"Lev","given":"Baruch"}],"issued":{"date-parts":[["1981"]]}}},{"id":14,"uris":["http://zotero.org/users/local/SsAWob3L/items/YKFPMEGU"],"uri":["http://zotero.org/users/local/SsAWob3L/items/YKFPMEGU"],"itemData":{"id":14,"type":"article-journal","title":"Is there a “Dark Side” to Monitoring? B oard and Shareholder Monitoring Effects on M&amp;amp;A Performance Extremeness","container-title":"Strategic Management Journal","page":"2285–2297","volume":"38","issue":"11","author":[{"family":"Goranova","given":"Maria L"},{"family":"Priem","given":"Richard L"},{"family":"Ndofor","given":"Hermann A"},{"family":"Trahms","given":"Cheryl A"}],"issued":{"date-parts":[["2017"]]}}},{"id":"jwTi0SrD/RfIcaTpf","uris":["http://zotero.org/users/local/qiB1P4Y3/items/5LF7SVRC"],"uri":["http://zotero.org/users/local/qiB1P4Y3/items/5LF7SVRC"],"itemData":{"id":"jwTi0SrD/RfIcaTpf","type":"article-journal","title":"The effects of mergers: an international comparison","container-title":"International journal of industrial organization","page":"625–653","volume":"21","issue":"5","source":"Google Scholar","shortTitle":"The effects of mergers","author":[{"family":"Gugler","given":"Klaus"},{"family":"Mueller","given":"Dennis C."},{"family":"Yurtoglu","given":"B. Burcin"},{"family":"Zulehner","given":"Christine"}],"issued":{"date-parts":[["2003"]]}}},{"id":71,"uris":["http://zotero.org/users/local/SsAWob3L/items/W6FZXI83"],"uri":["http://zotero.org/users/local/SsAWob3L/items/W6FZXI83"],"itemData":{"id":71,"type":"article-journal","title":"Taking stock of what we know about mergers and acquisitions: A review and research agenda","container-title":"Journal of Management","page":"469–502","volume":"35","issue":"3","author":[{"family":"Haleblian","given":"Jerayr"},{"family":"Devers","given":"Cynthia E"},{"family":"McNamara","given":"Gerry"},{"family":"Carpenter","given":"Mason A"},{"family":"Davison","given":"Robert B"}],"issued":{"date-parts":[["2009"]]}}},{"id":"jwTi0SrD/Xth2eBPH","uris":["http://zotero.org/users/local/qiB1P4Y3/items/ZQB2XM7U"],"uri":["http://zotero.org/users/local/qiB1P4Y3/items/ZQB2XM7U"],"itemData":{"id":"jwTi0SrD/Xth2eBPH","type":"article-journal","title":"The market for corporate control: The scientific evidence","container-title":"Journal of Financial economics","page":"5–50","volume":"11","issue":"1-4","source":"Google Scholar","shortTitle":"The market for corporate control","author":[{"family":"Jensen","given":"Michael C."},{"family":"Ruback","given":"Richard S."}],"issued":{"date-parts":[["1983"]]}}}],"schema":"https://github.com/citation-style-language/schema/raw/master/csl-citation.json"} </w:instrText>
      </w:r>
      <w:r w:rsidR="00E9285E" w:rsidRPr="00FD3EE9">
        <w:fldChar w:fldCharType="separate"/>
      </w:r>
      <w:r w:rsidR="00E9285E" w:rsidRPr="00FD3EE9">
        <w:rPr>
          <w:noProof/>
        </w:rPr>
        <w:t xml:space="preserve">(Goranova et al., 2017; Gugler et al., 2003; Haleblian et al., 2009; </w:t>
      </w:r>
      <w:r w:rsidR="008706AD" w:rsidRPr="00FD3EE9">
        <w:rPr>
          <w:noProof/>
        </w:rPr>
        <w:t xml:space="preserve">Amihud and Lev, 1981; </w:t>
      </w:r>
      <w:r w:rsidR="00E9285E" w:rsidRPr="00FD3EE9">
        <w:rPr>
          <w:noProof/>
        </w:rPr>
        <w:t>Jensen and Ruback, 1983)</w:t>
      </w:r>
      <w:r w:rsidR="00E9285E" w:rsidRPr="00FD3EE9">
        <w:fldChar w:fldCharType="end"/>
      </w:r>
      <w:r w:rsidR="00E9285E" w:rsidRPr="00FD3EE9">
        <w:t xml:space="preserve">. This theoretical view, however, yields mixed empirical results </w:t>
      </w:r>
      <w:r w:rsidR="00E9285E" w:rsidRPr="00FD3EE9">
        <w:fldChar w:fldCharType="begin"/>
      </w:r>
      <w:r w:rsidR="00E9285E" w:rsidRPr="00FD3EE9">
        <w:instrText xml:space="preserve"> ADDIN ZOTERO_ITEM CSL_CITATION {"citationID":"ATK9aorJ","properties":{"formattedCitation":"(Bliss and Rosen, 2001; Sanders, 2001; Schmidt and Fowler, 1990; Wright et al., 2002)","plainCitation":"(Bliss and Rosen, 2001; Sanders, 2001; Schmidt and Fowler, 1990; Wright et al., 2002)","noteIndex":0},"citationItems":[{"id":"jwTi0SrD/mP7SFEnT","uris":["http://zotero.org/users/local/qiB1P4Y3/items/KMT4VD6T"],"uri":["http://zotero.org/users/local/qiB1P4Y3/items/KMT4VD6T"],"itemData":{"id":"jwTi0SrD/mP7SFEnT","type":"article-journal","title":"CEO compensation and bank mergers","container-title":"Journal of Financial Economics","page":"107–138","volume":"61","issue":"1","source":"Google Scholar","author":[{"family":"Bliss","given":"Richard T."},{"family":"Rosen","given":"Richard J."}],"issued":{"date-parts":[["2001"]]}}},{"id":"jwTi0SrD/59we9V2N","uris":["http://zotero.org/users/local/qiB1P4Y3/items/W66SJU5E"],"uri":["http://zotero.org/users/local/qiB1P4Y3/items/W66SJU5E"],"itemData":{"id":"jwTi0SrD/59we9V2N","type":"article-journal","title":"Behavioral responses of CEOs to stock ownership and stock option pay","container-title":"Academy of Management journal","page":"477–492","volume":"44","issue":"3","source":"Google Scholar","author":[{"family":"Sanders","given":"Wm Gerard"}],"issued":{"date-parts":[["2001"]]}}},{"id":"jwTi0SrD/8o9DCapK","uris":["http://zotero.org/users/local/qiB1P4Y3/items/5IQPNQ5K"],"uri":["http://zotero.org/users/local/qiB1P4Y3/items/5IQPNQ5K"],"itemData":{"id":"jwTi0SrD/8o9DCapK","type":"article-journal","title":"Post-acquisition financial performance and executive compensation","container-title":"Strategic Management Journal","page":"559–569","volume":"11","issue":"7","source":"Google Scholar","author":[{"family":"Schmidt","given":"Dennis R."},{"family":"Fowler","given":"Karen L."}],"issued":{"date-parts":[["1990"]]}}},{"id":"jwTi0SrD/J2Kd4f4e","uris":["http://zotero.org/users/local/qiB1P4Y3/items/9RMHEBRN"],"uri":["http://zotero.org/users/local/qiB1P4Y3/items/9RMHEBRN"],"itemData":{"id":"jwTi0SrD/J2Kd4f4e","type":"article-journal","title":"The structure of ownership and corporate acquisition strategies","container-title":"Strategic Management Journal","page":"41–53","volume":"23","issue":"1","source":"Google Scholar","author":[{"family":"Wright","given":"Peter"},{"family":"Kroll","given":"Mark"},{"family":"Lado","given":"Augustine"},{"family":"Van Ness","given":"Bonnie"}],"issued":{"date-parts":[["2002"]]}}}],"schema":"https://github.com/citation-style-language/schema/raw/master/csl-citation.json"} </w:instrText>
      </w:r>
      <w:r w:rsidR="00E9285E" w:rsidRPr="00FD3EE9">
        <w:fldChar w:fldCharType="separate"/>
      </w:r>
      <w:r w:rsidR="00E9285E" w:rsidRPr="00FD3EE9">
        <w:rPr>
          <w:noProof/>
        </w:rPr>
        <w:t>(Bliss and Rosen, 2001; Sanders, 2001; Schmidt and Fowler, 1990; Wright et al., 2002)</w:t>
      </w:r>
      <w:r w:rsidR="00E9285E" w:rsidRPr="00FD3EE9">
        <w:fldChar w:fldCharType="end"/>
      </w:r>
      <w:r w:rsidR="00E9285E" w:rsidRPr="00FD3EE9">
        <w:t xml:space="preserve">. For instance, </w:t>
      </w:r>
      <w:r w:rsidR="00E9285E" w:rsidRPr="00FD3EE9">
        <w:fldChar w:fldCharType="begin"/>
      </w:r>
      <w:r w:rsidR="00E9285E" w:rsidRPr="00FD3EE9">
        <w:instrText xml:space="preserve"> ADDIN ZOTERO_ITEM CSL_CITATION {"citationID":"of2FmtIG","properties":{"formattedCitation":"(Sanders, 2001)","plainCitation":"(Sanders, 2001)","noteIndex":0},"citationItems":[{"id":"jwTi0SrD/59we9V2N","uris":["http://zotero.org/users/local/qiB1P4Y3/items/W66SJU5E"],"uri":["http://zotero.org/users/local/qiB1P4Y3/items/W66SJU5E"],"itemData":{"id":"jwTi0SrD/59we9V2N","type":"article-journal","title":"Behavioral responses of CEOs to stock ownership and stock option pay","container-title":"Academy of Management journal","page":"477–492","volume":"44","issue":"3","source":"Google Scholar","author":[{"family":"Sanders","given":"Wm Gerard"}],"issued":{"date-parts":[["2001"]]}}}],"schema":"https://github.com/citation-style-language/schema/raw/master/csl-citation.json"} </w:instrText>
      </w:r>
      <w:r w:rsidR="00E9285E" w:rsidRPr="00FD3EE9">
        <w:fldChar w:fldCharType="separate"/>
      </w:r>
      <w:r w:rsidR="00E9285E" w:rsidRPr="00FD3EE9">
        <w:rPr>
          <w:noProof/>
        </w:rPr>
        <w:t>Sanders (2001)</w:t>
      </w:r>
      <w:r w:rsidR="00E9285E" w:rsidRPr="00FD3EE9">
        <w:fldChar w:fldCharType="end"/>
      </w:r>
      <w:r w:rsidR="00E9285E" w:rsidRPr="00FD3EE9">
        <w:t xml:space="preserve"> present</w:t>
      </w:r>
      <w:r w:rsidR="00505C33" w:rsidRPr="00FD3EE9">
        <w:t>s</w:t>
      </w:r>
      <w:r w:rsidR="00E9285E" w:rsidRPr="00FD3EE9">
        <w:t xml:space="preserve"> a positive association between stock options and firms’ acquisition activity, arguing that the lack of penalty for acquisition failure</w:t>
      </w:r>
      <w:r w:rsidR="00505C33" w:rsidRPr="00FD3EE9">
        <w:t>s</w:t>
      </w:r>
      <w:r w:rsidR="00E9285E" w:rsidRPr="00FD3EE9">
        <w:t xml:space="preserve"> induces managers to </w:t>
      </w:r>
      <w:r w:rsidR="00505C33" w:rsidRPr="00FD3EE9">
        <w:t>take more risks</w:t>
      </w:r>
      <w:r w:rsidR="00E9285E" w:rsidRPr="00FD3EE9">
        <w:t xml:space="preserve">. In contrast, </w:t>
      </w:r>
      <w:r w:rsidR="00E9285E" w:rsidRPr="00FD3EE9">
        <w:fldChar w:fldCharType="begin"/>
      </w:r>
      <w:r w:rsidR="00E9285E" w:rsidRPr="00FD3EE9">
        <w:instrText xml:space="preserve"> ADDIN ZOTERO_ITEM CSL_CITATION {"citationID":"ObSaakCV","properties":{"formattedCitation":"(Bliss and Rosen, 2001)","plainCitation":"(Bliss and Rosen, 2001)","noteIndex":0},"citationItems":[{"id":"jwTi0SrD/mP7SFEnT","uris":["http://zotero.org/users/local/qiB1P4Y3/items/KMT4VD6T"],"uri":["http://zotero.org/users/local/qiB1P4Y3/items/KMT4VD6T"],"itemData":{"id":"jwTi0SrD/mP7SFEnT","type":"article-journal","title":"CEO compensation and bank mergers","container-title":"Journal of Financial Economics","page":"107–138","volume":"61","issue":"1","source":"Google Scholar","author":[{"family":"Bliss","given":"Richard T."},{"family":"Rosen","given":"Richard J."}],"issued":{"date-parts":[["2001"]]}}}],"schema":"https://github.com/citation-style-language/schema/raw/master/csl-citation.json"} </w:instrText>
      </w:r>
      <w:r w:rsidR="00E9285E" w:rsidRPr="00FD3EE9">
        <w:fldChar w:fldCharType="separate"/>
      </w:r>
      <w:r w:rsidR="00E9285E" w:rsidRPr="00FD3EE9">
        <w:rPr>
          <w:noProof/>
        </w:rPr>
        <w:t>Bliss and Rosen (2001)</w:t>
      </w:r>
      <w:r w:rsidR="00E9285E" w:rsidRPr="00FD3EE9">
        <w:fldChar w:fldCharType="end"/>
      </w:r>
      <w:r w:rsidR="00E9285E" w:rsidRPr="00FD3EE9">
        <w:t xml:space="preserve"> find that </w:t>
      </w:r>
      <w:r w:rsidR="00505C33" w:rsidRPr="00FD3EE9">
        <w:t xml:space="preserve">higher </w:t>
      </w:r>
      <w:r w:rsidR="00E9285E" w:rsidRPr="00FD3EE9">
        <w:t xml:space="preserve">levels of equity-based compensation (both stock options and restricted stock) </w:t>
      </w:r>
      <w:r w:rsidR="00505C33" w:rsidRPr="00FD3EE9">
        <w:t>reduce the number of transactions</w:t>
      </w:r>
      <w:r w:rsidR="00E9285E" w:rsidRPr="00FD3EE9">
        <w:t xml:space="preserve"> in the banking industry. </w:t>
      </w:r>
    </w:p>
    <w:p w14:paraId="7910FBE4" w14:textId="741049F6" w:rsidR="007B46AA" w:rsidRPr="00FD3EE9" w:rsidRDefault="00505C33">
      <w:pPr>
        <w:widowControl/>
        <w:spacing w:line="480" w:lineRule="auto"/>
        <w:ind w:firstLineChars="200" w:firstLine="480"/>
      </w:pPr>
      <w:r w:rsidRPr="00FD3EE9">
        <w:t>The managerial power theory (MPT) has questioned the relevance</w:t>
      </w:r>
      <w:r w:rsidR="00E9285E" w:rsidRPr="00FD3EE9">
        <w:t xml:space="preserve"> of </w:t>
      </w:r>
      <w:r w:rsidRPr="00FD3EE9">
        <w:t xml:space="preserve">the </w:t>
      </w:r>
      <w:r w:rsidR="00E9285E" w:rsidRPr="00FD3EE9">
        <w:t xml:space="preserve">optimal contracting theory </w:t>
      </w:r>
      <w:r w:rsidRPr="00FD3EE9">
        <w:t>in explaining</w:t>
      </w:r>
      <w:r w:rsidR="00E9285E" w:rsidRPr="00FD3EE9">
        <w:t xml:space="preserve"> executive</w:t>
      </w:r>
      <w:r w:rsidRPr="00FD3EE9">
        <w:t>s’</w:t>
      </w:r>
      <w:r w:rsidR="00E9285E" w:rsidRPr="00FD3EE9">
        <w:t xml:space="preserve"> </w:t>
      </w:r>
      <w:r w:rsidR="00FD3EE9" w:rsidRPr="00FD3EE9">
        <w:t>behaviour</w:t>
      </w:r>
      <w:r w:rsidRPr="00FD3EE9">
        <w:t>.</w:t>
      </w:r>
      <w:r w:rsidR="00E9285E" w:rsidRPr="00FD3EE9">
        <w:t xml:space="preserve"> </w:t>
      </w:r>
      <w:r w:rsidR="00E9285E" w:rsidRPr="00FD3EE9">
        <w:fldChar w:fldCharType="begin"/>
      </w:r>
      <w:r w:rsidR="00E9285E" w:rsidRPr="00FD3EE9">
        <w:instrText xml:space="preserve"> ADDIN ZOTERO_ITEM CSL_CITATION {"citationID":"OIQsozyV","properties":{"formattedCitation":"(Bebchuk and Fried, 2003)","plainCitation":"(Bebchuk and Fried, 2003)","noteIndex":0},"citationItems":[{"id":"jwTi0SrD/BoSED2C4","uris":["http://zotero.org/users/local/qiB1P4Y3/items/8GGRI5QT"],"uri":["http://zotero.org/users/local/qiB1P4Y3/items/8GGRI5QT"],"itemData":{"id":"jwTi0SrD/BoSED2C4","type":"article-journal","title":"Executive compensation as an agency problem","container-title":"Journal of economic perspectives","page":"71–92","volume":"17","issue":"3","source":"Google Scholar","author":[{"family":"Bebchuk","given":"Lucian Arye"},{"family":"Fried","given":"Jesse M."}],"issued":{"date-parts":[["2003"]]}}}],"schema":"https://github.com/citation-style-language/schema/raw/master/csl-citation.json"} </w:instrText>
      </w:r>
      <w:r w:rsidR="00E9285E" w:rsidRPr="00FD3EE9">
        <w:fldChar w:fldCharType="separate"/>
      </w:r>
      <w:r w:rsidR="00E9285E" w:rsidRPr="00FD3EE9">
        <w:rPr>
          <w:noProof/>
        </w:rPr>
        <w:t>Bebchuk and Fried (2003)</w:t>
      </w:r>
      <w:r w:rsidR="00E9285E" w:rsidRPr="00FD3EE9">
        <w:fldChar w:fldCharType="end"/>
      </w:r>
      <w:r w:rsidR="00E9285E" w:rsidRPr="00FD3EE9">
        <w:t xml:space="preserve"> </w:t>
      </w:r>
      <w:r w:rsidRPr="00FD3EE9">
        <w:t>argue</w:t>
      </w:r>
      <w:r w:rsidR="00E9285E" w:rsidRPr="00FD3EE9">
        <w:t xml:space="preserve"> that executive compensation itself is part of an agency problem rather than an instrument to address it. This can be attributed to two reasons. First, inefficient corporate governance systems may </w:t>
      </w:r>
      <w:r w:rsidR="00E9285E" w:rsidRPr="00FD3EE9">
        <w:lastRenderedPageBreak/>
        <w:t xml:space="preserve">reinforce managerial entrenchment. For instance, board members, for various reasons (e.g. to be re-appointed to the board </w:t>
      </w:r>
      <w:r w:rsidRPr="00FD3EE9">
        <w:t xml:space="preserve">or </w:t>
      </w:r>
      <w:r w:rsidR="00E9285E" w:rsidRPr="00FD3EE9">
        <w:t xml:space="preserve">to sustain valuable business and social </w:t>
      </w:r>
      <w:r w:rsidR="00FD3EE9" w:rsidRPr="00FD3EE9">
        <w:t>networks</w:t>
      </w:r>
      <w:r w:rsidR="00E9285E" w:rsidRPr="00FD3EE9">
        <w:t xml:space="preserve">), may </w:t>
      </w:r>
      <w:r w:rsidR="00FD3EE9" w:rsidRPr="00FD3EE9">
        <w:t>favour</w:t>
      </w:r>
      <w:r w:rsidR="00E9285E" w:rsidRPr="00FD3EE9">
        <w:t xml:space="preserve"> CEOs instead of monitoring them. Furthermore, market forces </w:t>
      </w:r>
      <w:r w:rsidR="00DE1AE5" w:rsidRPr="00FD3EE9">
        <w:t>might be</w:t>
      </w:r>
      <w:r w:rsidR="00E9285E" w:rsidRPr="00FD3EE9">
        <w:t xml:space="preserve"> </w:t>
      </w:r>
      <w:r w:rsidR="00DE1AE5" w:rsidRPr="00FD3EE9">
        <w:t>under</w:t>
      </w:r>
      <w:r w:rsidR="00E9285E" w:rsidRPr="00FD3EE9">
        <w:t xml:space="preserve">developed to </w:t>
      </w:r>
      <w:r w:rsidR="00DE1AE5" w:rsidRPr="00FD3EE9">
        <w:t xml:space="preserve">ensure </w:t>
      </w:r>
      <w:r w:rsidR="00E9285E" w:rsidRPr="00FD3EE9">
        <w:t xml:space="preserve">optimal contracting outcomes </w:t>
      </w:r>
      <w:r w:rsidR="00E9285E" w:rsidRPr="00FD3EE9">
        <w:fldChar w:fldCharType="begin"/>
      </w:r>
      <w:r w:rsidR="00E9285E" w:rsidRPr="00FD3EE9">
        <w:instrText xml:space="preserve"> ADDIN ZOTERO_ITEM CSL_CITATION {"citationID":"EwPeB7N7","properties":{"formattedCitation":"(Bebchuk and Fried, 2003)","plainCitation":"(Bebchuk and Fried, 2003)","noteIndex":0},"citationItems":[{"id":"jwTi0SrD/BoSED2C4","uris":["http://zotero.org/users/local/qiB1P4Y3/items/8GGRI5QT"],"uri":["http://zotero.org/users/local/qiB1P4Y3/items/8GGRI5QT"],"itemData":{"id":"jwTi0SrD/BoSED2C4","type":"article-journal","title":"Executive compensation as an agency problem","container-title":"Journal of economic perspectives","page":"71–92","volume":"17","issue":"3","source":"Google Scholar","author":[{"family":"Bebchuk","given":"Lucian Arye"},{"family":"Fried","given":"Jesse M."}],"issued":{"date-parts":[["2003"]]}}}],"schema":"https://github.com/citation-style-language/schema/raw/master/csl-citation.json"} </w:instrText>
      </w:r>
      <w:r w:rsidR="00E9285E" w:rsidRPr="00FD3EE9">
        <w:fldChar w:fldCharType="separate"/>
      </w:r>
      <w:r w:rsidR="00E9285E" w:rsidRPr="00FD3EE9">
        <w:rPr>
          <w:noProof/>
        </w:rPr>
        <w:t>(Bebchuk and Fried, 2003)</w:t>
      </w:r>
      <w:r w:rsidR="00E9285E" w:rsidRPr="00FD3EE9">
        <w:fldChar w:fldCharType="end"/>
      </w:r>
      <w:r w:rsidR="00E9285E" w:rsidRPr="00FD3EE9">
        <w:t xml:space="preserve">. Managerial power scholars contend that an expected increase in post-acquisition compensation induces managers to make more acquisitions, extracting rents from shareholders. </w:t>
      </w:r>
      <w:r w:rsidR="00E9285E" w:rsidRPr="00FD3EE9">
        <w:fldChar w:fldCharType="begin"/>
      </w:r>
      <w:r w:rsidR="00E9285E" w:rsidRPr="00FD3EE9">
        <w:instrText xml:space="preserve"> ADDIN ZOTERO_ITEM CSL_CITATION {"citationID":"ExVPGbsj","properties":{"formattedCitation":"(Haleblian et al., 2009)","plainCitation":"(Haleblian et al., 2009)","noteIndex":0},"citationItems":[{"id":71,"uris":["http://zotero.org/users/local/SsAWob3L/items/W6FZXI83"],"uri":["http://zotero.org/users/local/SsAWob3L/items/W6FZXI83"],"itemData":{"id":71,"type":"article-journal","title":"Taking stock of what we know about mergers and acquisitions: A review and research agenda","container-title":"Journal of Management","page":"469–502","volume":"35","issue":"3","author":[{"family":"Haleblian","given":"Jerayr"},{"family":"Devers","given":"Cynthia E"},{"family":"McNamara","given":"Gerry"},{"family":"Carpenter","given":"Mason A"},{"family":"Davison","given":"Robert B"}],"issued":{"date-parts":[["2009"]]}}}],"schema":"https://github.com/citation-style-language/schema/raw/master/csl-citation.json"} </w:instrText>
      </w:r>
      <w:r w:rsidR="00E9285E" w:rsidRPr="00FD3EE9">
        <w:fldChar w:fldCharType="separate"/>
      </w:r>
      <w:r w:rsidR="00E9285E" w:rsidRPr="00FD3EE9">
        <w:rPr>
          <w:noProof/>
        </w:rPr>
        <w:t>Haleblian et al. (2009)</w:t>
      </w:r>
      <w:r w:rsidR="00E9285E" w:rsidRPr="00FD3EE9">
        <w:fldChar w:fldCharType="end"/>
      </w:r>
      <w:r w:rsidR="00E9285E" w:rsidRPr="00FD3EE9">
        <w:t xml:space="preserve"> </w:t>
      </w:r>
      <w:r w:rsidR="00DE1AE5" w:rsidRPr="00FD3EE9">
        <w:t>show</w:t>
      </w:r>
      <w:r w:rsidR="00E9285E" w:rsidRPr="00FD3EE9">
        <w:t xml:space="preserve"> that acquiring managers receive higher compensations after acquisitions, irrespective of acquisition performance. </w:t>
      </w:r>
      <w:r w:rsidR="00E9285E" w:rsidRPr="00FD3EE9">
        <w:fldChar w:fldCharType="begin"/>
      </w:r>
      <w:r w:rsidR="00E9285E" w:rsidRPr="00FD3EE9">
        <w:instrText xml:space="preserve"> ADDIN ZOTERO_ITEM CSL_CITATION {"citationID":"GAYMLLFA","properties":{"formattedCitation":"(Grinstein and Hribar, 2004)","plainCitation":"(Grinstein and Hribar, 2004)","noteIndex":0},"citationItems":[{"id":"jwTi0SrD/jLrng086","uris":["http://zotero.org/users/local/qiB1P4Y3/items/DVZXVAKX"],"uri":["http://zotero.org/users/local/qiB1P4Y3/items/DVZXVAKX"],"itemData":{"id":"jwTi0SrD/jLrng086","type":"article-journal","title":"CEO compensation and incentives: Evidence from M&amp;A bonuses","container-title":"Journal of financial economics","page":"119–143","volume":"73","issue":"1","source":"Google Scholar","shortTitle":"CEO compensation and incentives","author":[{"family":"Grinstein","given":"Yaniv"},{"family":"Hribar","given":"Paul"}],"issued":{"date-parts":[["2004"]]}}}],"schema":"https://github.com/citation-style-language/schema/raw/master/csl-citation.json"} </w:instrText>
      </w:r>
      <w:r w:rsidR="00E9285E" w:rsidRPr="00FD3EE9">
        <w:fldChar w:fldCharType="separate"/>
      </w:r>
      <w:r w:rsidR="00E9285E" w:rsidRPr="00FD3EE9">
        <w:rPr>
          <w:noProof/>
        </w:rPr>
        <w:t>Grinstein and Hribar (2004)</w:t>
      </w:r>
      <w:r w:rsidR="00E9285E" w:rsidRPr="00FD3EE9">
        <w:fldChar w:fldCharType="end"/>
      </w:r>
      <w:r w:rsidR="00E9285E" w:rsidRPr="00FD3EE9">
        <w:t xml:space="preserve"> present a positive association between managerial power and </w:t>
      </w:r>
      <w:r w:rsidR="00DE1AE5" w:rsidRPr="00FD3EE9">
        <w:t xml:space="preserve">bonus payments related to </w:t>
      </w:r>
      <w:r w:rsidR="00E9285E" w:rsidRPr="00FD3EE9">
        <w:t>M&amp;A</w:t>
      </w:r>
      <w:r w:rsidR="000B45D5">
        <w:t>s</w:t>
      </w:r>
      <w:r w:rsidR="00E9285E" w:rsidRPr="00FD3EE9">
        <w:t xml:space="preserve">. They argue that managers with more power are more likely to receive a higher acquisition bonus even </w:t>
      </w:r>
      <w:r w:rsidR="00DE1AE5" w:rsidRPr="00FD3EE9">
        <w:t xml:space="preserve">if </w:t>
      </w:r>
      <w:r w:rsidR="00E9285E" w:rsidRPr="00FD3EE9">
        <w:t>such acquisitions are value-decreasing.</w:t>
      </w:r>
    </w:p>
    <w:bookmarkEnd w:id="2"/>
    <w:p w14:paraId="26C77CB2" w14:textId="77777777" w:rsidR="00E57CE3" w:rsidRPr="00FD3EE9" w:rsidRDefault="00E57CE3" w:rsidP="0085750E">
      <w:pPr>
        <w:widowControl/>
        <w:spacing w:line="480" w:lineRule="auto"/>
        <w:ind w:firstLineChars="200" w:firstLine="480"/>
        <w:rPr>
          <w:rFonts w:cs="Times New Roman"/>
        </w:rPr>
      </w:pPr>
    </w:p>
    <w:p w14:paraId="56176F2B" w14:textId="7D07B776" w:rsidR="007B46AA" w:rsidRPr="00FD3EE9" w:rsidRDefault="00E1225F" w:rsidP="0085750E">
      <w:pPr>
        <w:pStyle w:val="a4"/>
        <w:spacing w:before="0" w:after="0" w:line="480" w:lineRule="auto"/>
        <w:rPr>
          <w:rFonts w:ascii="Times New Roman" w:hAnsi="Times New Roman" w:cs="Times New Roman"/>
          <w:sz w:val="24"/>
        </w:rPr>
      </w:pPr>
      <w:r w:rsidRPr="00FD3EE9">
        <w:rPr>
          <w:rFonts w:ascii="Times New Roman" w:hAnsi="Times New Roman" w:cs="Times New Roman"/>
          <w:sz w:val="24"/>
        </w:rPr>
        <w:t xml:space="preserve">3. Hypothesis </w:t>
      </w:r>
      <w:r w:rsidR="000B45D5">
        <w:rPr>
          <w:rFonts w:ascii="Times New Roman" w:hAnsi="Times New Roman" w:cs="Times New Roman"/>
          <w:sz w:val="24"/>
        </w:rPr>
        <w:t>d</w:t>
      </w:r>
      <w:r w:rsidRPr="00FD3EE9">
        <w:rPr>
          <w:rFonts w:ascii="Times New Roman" w:hAnsi="Times New Roman" w:cs="Times New Roman"/>
          <w:sz w:val="24"/>
        </w:rPr>
        <w:t>evelopment</w:t>
      </w:r>
    </w:p>
    <w:p w14:paraId="60EF3807" w14:textId="77777777" w:rsidR="002D2EC1" w:rsidRPr="00FD3EE9" w:rsidRDefault="002D2EC1" w:rsidP="002D2EC1">
      <w:pPr>
        <w:pStyle w:val="ad"/>
        <w:spacing w:before="0" w:after="0" w:line="480" w:lineRule="auto"/>
        <w:jc w:val="left"/>
        <w:rPr>
          <w:rFonts w:ascii="Times New Roman" w:hAnsi="Times New Roman" w:cs="Times New Roman"/>
          <w:b w:val="0"/>
          <w:i/>
          <w:sz w:val="24"/>
        </w:rPr>
      </w:pPr>
      <w:r w:rsidRPr="00FD3EE9">
        <w:rPr>
          <w:rFonts w:ascii="Times New Roman" w:hAnsi="Times New Roman" w:cs="Times New Roman"/>
          <w:b w:val="0"/>
          <w:i/>
          <w:sz w:val="24"/>
        </w:rPr>
        <w:t>3.1 Incentive compensation and acquisition decisions</w:t>
      </w:r>
    </w:p>
    <w:p w14:paraId="66C24607" w14:textId="78145E53" w:rsidR="00E1225F" w:rsidRPr="00FD3EE9" w:rsidRDefault="00E1225F" w:rsidP="0085750E">
      <w:pPr>
        <w:widowControl/>
        <w:spacing w:line="480" w:lineRule="auto"/>
        <w:ind w:firstLineChars="200" w:firstLine="480"/>
        <w:rPr>
          <w:rFonts w:cs="Times New Roman"/>
        </w:rPr>
      </w:pPr>
      <w:r w:rsidRPr="00FD3EE9">
        <w:t xml:space="preserve">Given the mixed theoretical and empirical evidence, adopting either theory </w:t>
      </w:r>
      <w:r w:rsidR="002D2EC1" w:rsidRPr="00FD3EE9">
        <w:t>in isolation</w:t>
      </w:r>
      <w:r w:rsidRPr="00FD3EE9">
        <w:t xml:space="preserve"> is </w:t>
      </w:r>
      <w:r w:rsidR="002D2EC1" w:rsidRPr="00FD3EE9">
        <w:t>in</w:t>
      </w:r>
      <w:r w:rsidRPr="00FD3EE9">
        <w:t xml:space="preserve">sufficient in understanding </w:t>
      </w:r>
      <w:r w:rsidR="002D2EC1" w:rsidRPr="00FD3EE9">
        <w:t xml:space="preserve">the alleged impact of executive compensation </w:t>
      </w:r>
      <w:r w:rsidRPr="00FD3EE9">
        <w:t xml:space="preserve">on </w:t>
      </w:r>
      <w:r w:rsidR="002D2EC1" w:rsidRPr="00FD3EE9">
        <w:t xml:space="preserve">M&amp;A </w:t>
      </w:r>
      <w:r w:rsidRPr="00FD3EE9">
        <w:t>decisions. We argue that managers' desire to make acquisitions depend</w:t>
      </w:r>
      <w:r w:rsidR="002D2EC1" w:rsidRPr="00FD3EE9">
        <w:t>s</w:t>
      </w:r>
      <w:r w:rsidRPr="00FD3EE9">
        <w:t xml:space="preserve"> on the type and level of incentive </w:t>
      </w:r>
      <w:r w:rsidRPr="00FD3EE9">
        <w:lastRenderedPageBreak/>
        <w:t>pay they receive.</w:t>
      </w:r>
      <w:r w:rsidR="00B23A6E" w:rsidRPr="00FD3EE9">
        <w:t xml:space="preserve"> </w:t>
      </w:r>
      <w:r w:rsidRPr="00FD3EE9">
        <w:rPr>
          <w:rFonts w:cs="Times New Roman"/>
        </w:rPr>
        <w:t>Stock option</w:t>
      </w:r>
      <w:r w:rsidR="00B23A6E" w:rsidRPr="00FD3EE9">
        <w:rPr>
          <w:rFonts w:cs="Times New Roman"/>
        </w:rPr>
        <w:t>s</w:t>
      </w:r>
      <w:r w:rsidRPr="00FD3EE9">
        <w:rPr>
          <w:rFonts w:cs="Times New Roman"/>
        </w:rPr>
        <w:t xml:space="preserve"> </w:t>
      </w:r>
      <w:r w:rsidR="00B23A6E" w:rsidRPr="00FD3EE9">
        <w:rPr>
          <w:rFonts w:cs="Times New Roman"/>
        </w:rPr>
        <w:t>have</w:t>
      </w:r>
      <w:r w:rsidRPr="00FD3EE9">
        <w:rPr>
          <w:rFonts w:cs="Times New Roman"/>
        </w:rPr>
        <w:t xml:space="preserve"> long been </w:t>
      </w:r>
      <w:r w:rsidR="00B51A85">
        <w:rPr>
          <w:rFonts w:cs="Times New Roman"/>
        </w:rPr>
        <w:t>a dominant</w:t>
      </w:r>
      <w:r w:rsidRPr="00FD3EE9">
        <w:rPr>
          <w:rFonts w:cs="Times New Roman"/>
        </w:rPr>
        <w:t xml:space="preserve"> part of executive compensation in US companies since 1990s</w:t>
      </w:r>
      <w:r w:rsidR="00B23A6E" w:rsidRPr="00FD3EE9">
        <w:rPr>
          <w:rFonts w:cs="Times New Roman"/>
        </w:rPr>
        <w:t xml:space="preserve"> </w:t>
      </w:r>
      <w:r w:rsidR="00AD6855" w:rsidRPr="00FD3EE9">
        <w:rPr>
          <w:rFonts w:cs="Times New Roman"/>
        </w:rPr>
        <w:fldChar w:fldCharType="begin"/>
      </w:r>
      <w:r w:rsidR="00AD6855" w:rsidRPr="00FD3EE9">
        <w:rPr>
          <w:rFonts w:cs="Times New Roman"/>
        </w:rPr>
        <w:instrText xml:space="preserve"> ADDIN ZOTERO_ITEM CSL_CITATION {"citationID":"zqA29H5Y","properties":{"formattedCitation":"(Murphy, 2013)","plainCitation":"(Murphy, 2013)","noteIndex":0},"citationItems":[{"id":12,"uris":["http://zotero.org/users/local/SsAWob3L/items/V2USN42Q"],"uri":["http://zotero.org/users/local/SsAWob3L/items/V2USN42Q"],"itemData":{"id":12,"type":"chapter","title":"Executive compensation: Where we are, and how we got there","container-title":"Handbook of the Economics of Finance","publisher":"Elsevier","page":"211–356","volume":"2","author":[{"family":"Murphy","given":"Kevin J"}],"issued":{"date-parts":[["2013"]]}}}],"schema":"https://github.com/citation-style-language/schema/raw/master/csl-citation.json"} </w:instrText>
      </w:r>
      <w:r w:rsidR="00AD6855" w:rsidRPr="00FD3EE9">
        <w:rPr>
          <w:rFonts w:cs="Times New Roman"/>
        </w:rPr>
        <w:fldChar w:fldCharType="separate"/>
      </w:r>
      <w:r w:rsidR="00AD6855" w:rsidRPr="00FD3EE9">
        <w:rPr>
          <w:rFonts w:cs="Times New Roman"/>
          <w:noProof/>
        </w:rPr>
        <w:t>(Murphy, 2013)</w:t>
      </w:r>
      <w:r w:rsidR="00AD6855" w:rsidRPr="00FD3EE9">
        <w:rPr>
          <w:rFonts w:cs="Times New Roman"/>
        </w:rPr>
        <w:fldChar w:fldCharType="end"/>
      </w:r>
      <w:r w:rsidRPr="00FD3EE9">
        <w:rPr>
          <w:rFonts w:cs="Times New Roman"/>
        </w:rPr>
        <w:t xml:space="preserve">. Following </w:t>
      </w:r>
      <w:r w:rsidR="00B23A6E" w:rsidRPr="00FD3EE9">
        <w:rPr>
          <w:rFonts w:cs="Times New Roman"/>
        </w:rPr>
        <w:t xml:space="preserve">the </w:t>
      </w:r>
      <w:r w:rsidRPr="00FD3EE9">
        <w:rPr>
          <w:rFonts w:cs="Times New Roman"/>
        </w:rPr>
        <w:t xml:space="preserve">prevalence in developed economies, China has introduced </w:t>
      </w:r>
      <w:r w:rsidR="00B23A6E" w:rsidRPr="00FD3EE9">
        <w:rPr>
          <w:rFonts w:cs="Times New Roman"/>
        </w:rPr>
        <w:t xml:space="preserve">stock </w:t>
      </w:r>
      <w:r w:rsidRPr="00FD3EE9">
        <w:rPr>
          <w:rFonts w:cs="Times New Roman"/>
        </w:rPr>
        <w:t>option</w:t>
      </w:r>
      <w:r w:rsidR="00B23A6E" w:rsidRPr="00FD3EE9">
        <w:rPr>
          <w:rFonts w:cs="Times New Roman"/>
        </w:rPr>
        <w:t>s</w:t>
      </w:r>
      <w:r w:rsidRPr="00FD3EE9">
        <w:rPr>
          <w:rFonts w:cs="Times New Roman"/>
        </w:rPr>
        <w:t xml:space="preserve"> </w:t>
      </w:r>
      <w:r w:rsidR="00B51A85">
        <w:rPr>
          <w:rFonts w:cs="Times New Roman"/>
        </w:rPr>
        <w:t>in</w:t>
      </w:r>
      <w:r w:rsidRPr="00FD3EE9">
        <w:rPr>
          <w:rFonts w:cs="Times New Roman"/>
        </w:rPr>
        <w:t xml:space="preserve"> 2006 with the aim to incentivi</w:t>
      </w:r>
      <w:r w:rsidR="00AD6855" w:rsidRPr="00FD3EE9">
        <w:rPr>
          <w:rFonts w:cs="Times New Roman"/>
        </w:rPr>
        <w:t>z</w:t>
      </w:r>
      <w:r w:rsidRPr="00FD3EE9">
        <w:rPr>
          <w:rFonts w:cs="Times New Roman"/>
        </w:rPr>
        <w:t>e executives. To the extent that acquisitions on average do not benefit shareholders, they are risky investments</w:t>
      </w:r>
      <w:r w:rsidR="00B23A6E" w:rsidRPr="00FD3EE9">
        <w:rPr>
          <w:rFonts w:cs="Times New Roman"/>
        </w:rPr>
        <w:t xml:space="preserve"> (</w:t>
      </w:r>
      <w:r w:rsidR="00146939" w:rsidRPr="00FD3EE9">
        <w:rPr>
          <w:rFonts w:cs="Times New Roman"/>
        </w:rPr>
        <w:t xml:space="preserve">Bauer and </w:t>
      </w:r>
      <w:proofErr w:type="spellStart"/>
      <w:r w:rsidR="00146939" w:rsidRPr="00FD3EE9">
        <w:rPr>
          <w:rFonts w:cs="Times New Roman"/>
        </w:rPr>
        <w:t>Matzler</w:t>
      </w:r>
      <w:proofErr w:type="spellEnd"/>
      <w:r w:rsidR="00146939" w:rsidRPr="00FD3EE9">
        <w:rPr>
          <w:rFonts w:cs="Times New Roman"/>
        </w:rPr>
        <w:t xml:space="preserve">, 2014; Baker and </w:t>
      </w:r>
      <w:proofErr w:type="spellStart"/>
      <w:r w:rsidR="00146939" w:rsidRPr="00FD3EE9">
        <w:rPr>
          <w:rFonts w:cs="Times New Roman"/>
        </w:rPr>
        <w:t>Limmack</w:t>
      </w:r>
      <w:proofErr w:type="spellEnd"/>
      <w:r w:rsidR="00146939" w:rsidRPr="00FD3EE9">
        <w:rPr>
          <w:rFonts w:cs="Times New Roman"/>
        </w:rPr>
        <w:t xml:space="preserve">, 2001; Franks and Mayer, 2001; </w:t>
      </w:r>
      <w:proofErr w:type="spellStart"/>
      <w:r w:rsidR="00146939" w:rsidRPr="00FD3EE9">
        <w:rPr>
          <w:rFonts w:cs="Times New Roman"/>
        </w:rPr>
        <w:t>Loderer</w:t>
      </w:r>
      <w:proofErr w:type="spellEnd"/>
      <w:r w:rsidR="00146939" w:rsidRPr="00FD3EE9">
        <w:rPr>
          <w:rFonts w:cs="Times New Roman"/>
        </w:rPr>
        <w:t xml:space="preserve"> and Martin, 1992; Loughran and </w:t>
      </w:r>
      <w:proofErr w:type="spellStart"/>
      <w:r w:rsidR="00146939" w:rsidRPr="00FD3EE9">
        <w:rPr>
          <w:rFonts w:cs="Times New Roman"/>
        </w:rPr>
        <w:t>Vijh</w:t>
      </w:r>
      <w:proofErr w:type="spellEnd"/>
      <w:r w:rsidR="00146939" w:rsidRPr="00FD3EE9">
        <w:rPr>
          <w:rFonts w:cs="Times New Roman"/>
        </w:rPr>
        <w:t>, 1997; Weitzel and Kling, 2018)</w:t>
      </w:r>
      <w:r w:rsidRPr="00FD3EE9">
        <w:rPr>
          <w:rFonts w:cs="Times New Roman"/>
        </w:rPr>
        <w:t xml:space="preserve">. However, whether the use of stock options has achieved its expected </w:t>
      </w:r>
      <w:r w:rsidR="00B23A6E" w:rsidRPr="00FD3EE9">
        <w:rPr>
          <w:rFonts w:cs="Times New Roman"/>
        </w:rPr>
        <w:t>impact</w:t>
      </w:r>
      <w:r w:rsidRPr="00FD3EE9">
        <w:rPr>
          <w:rFonts w:cs="Times New Roman"/>
        </w:rPr>
        <w:t xml:space="preserve"> remains ambiguous.</w:t>
      </w:r>
    </w:p>
    <w:p w14:paraId="3522DDE8" w14:textId="4C4DB394" w:rsidR="007B46AA" w:rsidRPr="00FD3EE9" w:rsidRDefault="00E1225F" w:rsidP="0085750E">
      <w:pPr>
        <w:widowControl/>
        <w:spacing w:line="480" w:lineRule="auto"/>
        <w:ind w:firstLineChars="200" w:firstLine="480"/>
        <w:rPr>
          <w:rFonts w:cs="Times New Roman"/>
        </w:rPr>
      </w:pPr>
      <w:r w:rsidRPr="00FD3EE9">
        <w:rPr>
          <w:rFonts w:cs="Times New Roman"/>
        </w:rPr>
        <w:t xml:space="preserve">On the one hand, it is widely suggested that stock options can be used to mitigate managers' risk aversion and induce them to invest in risky but positive net present value projects </w:t>
      </w:r>
      <w:r w:rsidR="00AD6855" w:rsidRPr="00FD3EE9">
        <w:rPr>
          <w:rFonts w:cs="Times New Roman"/>
        </w:rPr>
        <w:fldChar w:fldCharType="begin"/>
      </w:r>
      <w:r w:rsidR="00AD6855" w:rsidRPr="00FD3EE9">
        <w:rPr>
          <w:rFonts w:cs="Times New Roman"/>
        </w:rPr>
        <w:instrText xml:space="preserve"> ADDIN ZOTERO_ITEM CSL_CITATION {"citationID":"N9gBmhZ0","properties":{"formattedCitation":"(Coles et al., 2006)","plainCitation":"(Coles et al., 2006)","noteIndex":0},"citationItems":[{"id":10,"uris":["http://zotero.org/users/local/SsAWob3L/items/Z275UEZS"],"uri":["http://zotero.org/users/local/SsAWob3L/items/Z275UEZS"],"itemData":{"id":10,"type":"article-journal","title":"Managerial incentives and risk-taking","container-title":"Journal of financial Economics","page":"431–468","volume":"79","issue":"2","author":[{"family":"Coles","given":"Jeffrey L"},{"family":"Daniel","given":"Naveen D"},{"family":"Naveen","given":"Lalitha"}],"issued":{"date-parts":[["2006"]]}}}],"schema":"https://github.com/citation-style-language/schema/raw/master/csl-citation.json"} </w:instrText>
      </w:r>
      <w:r w:rsidR="00AD6855" w:rsidRPr="00FD3EE9">
        <w:rPr>
          <w:rFonts w:cs="Times New Roman"/>
        </w:rPr>
        <w:fldChar w:fldCharType="separate"/>
      </w:r>
      <w:r w:rsidR="00AD6855" w:rsidRPr="00FD3EE9">
        <w:rPr>
          <w:rFonts w:cs="Times New Roman"/>
          <w:noProof/>
        </w:rPr>
        <w:t>(Coles et al., 2006)</w:t>
      </w:r>
      <w:r w:rsidR="00AD6855" w:rsidRPr="00FD3EE9">
        <w:rPr>
          <w:rFonts w:cs="Times New Roman"/>
        </w:rPr>
        <w:fldChar w:fldCharType="end"/>
      </w:r>
      <w:r w:rsidRPr="00FD3EE9">
        <w:rPr>
          <w:rFonts w:cs="Times New Roman"/>
        </w:rPr>
        <w:t>. This risk-taking incentive is due to its non-linear</w:t>
      </w:r>
      <w:r w:rsidR="00AD6855" w:rsidRPr="00FD3EE9">
        <w:rPr>
          <w:rFonts w:cs="Times New Roman"/>
        </w:rPr>
        <w:t xml:space="preserve"> </w:t>
      </w:r>
      <w:r w:rsidRPr="00FD3EE9">
        <w:rPr>
          <w:rFonts w:cs="Times New Roman"/>
          <w:i/>
        </w:rPr>
        <w:t>convexity effect</w:t>
      </w:r>
      <w:r w:rsidRPr="00FD3EE9">
        <w:rPr>
          <w:rFonts w:cs="Times New Roman"/>
        </w:rPr>
        <w:t xml:space="preserve">: option holders </w:t>
      </w:r>
      <w:r w:rsidR="00B23A6E" w:rsidRPr="00FD3EE9">
        <w:rPr>
          <w:rFonts w:cs="Times New Roman"/>
        </w:rPr>
        <w:t>benefit</w:t>
      </w:r>
      <w:r w:rsidRPr="00FD3EE9">
        <w:rPr>
          <w:rFonts w:cs="Times New Roman"/>
        </w:rPr>
        <w:t xml:space="preserve"> if stock price</w:t>
      </w:r>
      <w:r w:rsidR="00B51A85">
        <w:rPr>
          <w:rFonts w:cs="Times New Roman"/>
        </w:rPr>
        <w:t>s</w:t>
      </w:r>
      <w:r w:rsidRPr="00FD3EE9">
        <w:rPr>
          <w:rFonts w:cs="Times New Roman"/>
        </w:rPr>
        <w:t xml:space="preserve"> rise above </w:t>
      </w:r>
      <w:r w:rsidR="00B23A6E" w:rsidRPr="00FD3EE9">
        <w:rPr>
          <w:rFonts w:cs="Times New Roman"/>
        </w:rPr>
        <w:t xml:space="preserve">the </w:t>
      </w:r>
      <w:r w:rsidRPr="00FD3EE9">
        <w:rPr>
          <w:rFonts w:cs="Times New Roman"/>
        </w:rPr>
        <w:t>strike price</w:t>
      </w:r>
      <w:r w:rsidR="00B23A6E" w:rsidRPr="00FD3EE9">
        <w:rPr>
          <w:rFonts w:cs="Times New Roman"/>
        </w:rPr>
        <w:t xml:space="preserve"> but </w:t>
      </w:r>
      <w:r w:rsidR="00B51A85">
        <w:rPr>
          <w:rFonts w:cs="Times New Roman"/>
        </w:rPr>
        <w:t>pay-outs do not become negative</w:t>
      </w:r>
      <w:r w:rsidRPr="00FD3EE9">
        <w:rPr>
          <w:rFonts w:cs="Times New Roman"/>
        </w:rPr>
        <w:t xml:space="preserve"> if stock price</w:t>
      </w:r>
      <w:r w:rsidR="00B23A6E" w:rsidRPr="00FD3EE9">
        <w:rPr>
          <w:rFonts w:cs="Times New Roman"/>
        </w:rPr>
        <w:t>s</w:t>
      </w:r>
      <w:r w:rsidRPr="00FD3EE9">
        <w:rPr>
          <w:rFonts w:cs="Times New Roman"/>
        </w:rPr>
        <w:t xml:space="preserve"> </w:t>
      </w:r>
      <w:r w:rsidR="00B23A6E" w:rsidRPr="00FD3EE9">
        <w:rPr>
          <w:rFonts w:cs="Times New Roman"/>
        </w:rPr>
        <w:t>drop</w:t>
      </w:r>
      <w:r w:rsidRPr="00FD3EE9">
        <w:rPr>
          <w:rFonts w:cs="Times New Roman"/>
        </w:rPr>
        <w:t xml:space="preserve"> below </w:t>
      </w:r>
      <w:r w:rsidR="00B23A6E" w:rsidRPr="00FD3EE9">
        <w:rPr>
          <w:rFonts w:cs="Times New Roman"/>
        </w:rPr>
        <w:t xml:space="preserve">the </w:t>
      </w:r>
      <w:r w:rsidRPr="00FD3EE9">
        <w:rPr>
          <w:rFonts w:cs="Times New Roman"/>
        </w:rPr>
        <w:t xml:space="preserve">strike price. </w:t>
      </w:r>
      <w:r w:rsidR="00B23A6E" w:rsidRPr="00FD3EE9">
        <w:rPr>
          <w:rFonts w:cs="Times New Roman"/>
        </w:rPr>
        <w:t>Hence</w:t>
      </w:r>
      <w:r w:rsidRPr="00FD3EE9">
        <w:rPr>
          <w:rFonts w:cs="Times New Roman"/>
        </w:rPr>
        <w:t xml:space="preserve">, we expect a positive correlation between stock options and acquisition </w:t>
      </w:r>
      <w:r w:rsidR="007B58B3" w:rsidRPr="00FD3EE9">
        <w:rPr>
          <w:rFonts w:cs="Times New Roman"/>
        </w:rPr>
        <w:t>behaviour</w:t>
      </w:r>
      <w:r w:rsidRPr="00FD3EE9">
        <w:rPr>
          <w:rFonts w:cs="Times New Roman"/>
        </w:rPr>
        <w:t xml:space="preserve"> </w:t>
      </w:r>
      <w:r w:rsidR="00B23A6E" w:rsidRPr="00FD3EE9">
        <w:rPr>
          <w:rFonts w:cs="Times New Roman"/>
        </w:rPr>
        <w:t>as executives participate in the upside of a deal</w:t>
      </w:r>
      <w:r w:rsidRPr="00FD3EE9">
        <w:rPr>
          <w:rFonts w:cs="Times New Roman"/>
        </w:rPr>
        <w:t>.</w:t>
      </w:r>
      <w:r w:rsidR="00B23A6E" w:rsidRPr="00FD3EE9">
        <w:rPr>
          <w:rFonts w:cs="Times New Roman"/>
        </w:rPr>
        <w:t xml:space="preserve"> </w:t>
      </w:r>
      <w:r w:rsidRPr="00FD3EE9">
        <w:rPr>
          <w:rFonts w:cs="Times New Roman"/>
        </w:rPr>
        <w:t xml:space="preserve">On the other hand, the </w:t>
      </w:r>
      <w:r w:rsidRPr="00FD3EE9">
        <w:rPr>
          <w:rFonts w:cs="Times New Roman"/>
          <w:i/>
        </w:rPr>
        <w:t>magnification effect</w:t>
      </w:r>
      <w:r w:rsidRPr="00FD3EE9">
        <w:rPr>
          <w:rFonts w:cs="Times New Roman"/>
        </w:rPr>
        <w:t xml:space="preserve"> associated with option</w:t>
      </w:r>
      <w:r w:rsidR="00B23A6E" w:rsidRPr="00FD3EE9">
        <w:rPr>
          <w:rFonts w:cs="Times New Roman"/>
        </w:rPr>
        <w:t>s</w:t>
      </w:r>
      <w:r w:rsidRPr="00FD3EE9">
        <w:rPr>
          <w:rFonts w:cs="Times New Roman"/>
        </w:rPr>
        <w:t xml:space="preserve"> may </w:t>
      </w:r>
      <w:r w:rsidR="004D2225" w:rsidRPr="00FD3EE9">
        <w:rPr>
          <w:rFonts w:cs="Times New Roman"/>
        </w:rPr>
        <w:t>reduce</w:t>
      </w:r>
      <w:r w:rsidRPr="00FD3EE9">
        <w:rPr>
          <w:rFonts w:cs="Times New Roman"/>
        </w:rPr>
        <w:t xml:space="preserve"> managers</w:t>
      </w:r>
      <w:r w:rsidR="004D2225" w:rsidRPr="00FD3EE9">
        <w:rPr>
          <w:rFonts w:cs="Times New Roman"/>
        </w:rPr>
        <w:t>’ appetite for risk</w:t>
      </w:r>
      <w:r w:rsidRPr="00FD3EE9">
        <w:rPr>
          <w:rFonts w:cs="Times New Roman"/>
        </w:rPr>
        <w:t xml:space="preserve"> </w:t>
      </w:r>
      <w:r w:rsidR="00AD6855" w:rsidRPr="00FD3EE9">
        <w:rPr>
          <w:rFonts w:cs="Times New Roman"/>
        </w:rPr>
        <w:fldChar w:fldCharType="begin"/>
      </w:r>
      <w:r w:rsidR="00AD6855" w:rsidRPr="00FD3EE9">
        <w:rPr>
          <w:rFonts w:cs="Times New Roman"/>
        </w:rPr>
        <w:instrText xml:space="preserve"> ADDIN ZOTERO_ITEM CSL_CITATION {"citationID":"XirjGyIo","properties":{"formattedCitation":"(Shue and Townsend, 2017)","plainCitation":"(Shue and Townsend, 2017)","noteIndex":0},"citationItems":[{"id":11,"uris":["http://zotero.org/users/local/SsAWob3L/items/GWY3UX9H"],"uri":["http://zotero.org/users/local/SsAWob3L/items/GWY3UX9H"],"itemData":{"id":11,"type":"article-journal","title":"How do quasi-random option grants affect CEO risk-taking?","container-title":"The Journal of Finance","page":"2551–2588","volume":"72","issue":"6","author":[{"family":"Shue","given":"Kelly"},{"family":"Townsend","given":"Richard R"}],"issued":{"date-parts":[["2017"]]}}}],"schema":"https://github.com/citation-style-language/schema/raw/master/csl-citation.json"} </w:instrText>
      </w:r>
      <w:r w:rsidR="00AD6855" w:rsidRPr="00FD3EE9">
        <w:rPr>
          <w:rFonts w:cs="Times New Roman"/>
        </w:rPr>
        <w:fldChar w:fldCharType="separate"/>
      </w:r>
      <w:r w:rsidR="00AD6855" w:rsidRPr="00FD3EE9">
        <w:rPr>
          <w:rFonts w:cs="Times New Roman"/>
          <w:noProof/>
        </w:rPr>
        <w:t>(Shue and Townsend, 2017)</w:t>
      </w:r>
      <w:r w:rsidR="00AD6855" w:rsidRPr="00FD3EE9">
        <w:rPr>
          <w:rFonts w:cs="Times New Roman"/>
        </w:rPr>
        <w:fldChar w:fldCharType="end"/>
      </w:r>
      <w:r w:rsidRPr="00FD3EE9">
        <w:rPr>
          <w:rFonts w:cs="Times New Roman"/>
        </w:rPr>
        <w:t xml:space="preserve">. </w:t>
      </w:r>
      <w:r w:rsidR="004D2225" w:rsidRPr="00FD3EE9">
        <w:rPr>
          <w:rFonts w:cs="Times New Roman"/>
        </w:rPr>
        <w:t>O</w:t>
      </w:r>
      <w:r w:rsidRPr="00FD3EE9">
        <w:rPr>
          <w:rFonts w:cs="Times New Roman"/>
        </w:rPr>
        <w:t>ption</w:t>
      </w:r>
      <w:r w:rsidR="004D2225" w:rsidRPr="00FD3EE9">
        <w:rPr>
          <w:rFonts w:cs="Times New Roman"/>
        </w:rPr>
        <w:t>s</w:t>
      </w:r>
      <w:r w:rsidRPr="00FD3EE9">
        <w:rPr>
          <w:rFonts w:cs="Times New Roman"/>
        </w:rPr>
        <w:t xml:space="preserve"> </w:t>
      </w:r>
      <w:r w:rsidR="004D2225" w:rsidRPr="00FD3EE9">
        <w:rPr>
          <w:rFonts w:cs="Times New Roman"/>
        </w:rPr>
        <w:t>have a</w:t>
      </w:r>
      <w:r w:rsidRPr="00FD3EE9">
        <w:rPr>
          <w:rFonts w:cs="Times New Roman"/>
        </w:rPr>
        <w:t xml:space="preserve"> sensitivity to volatility</w:t>
      </w:r>
      <w:r w:rsidR="004D2225" w:rsidRPr="00FD3EE9">
        <w:rPr>
          <w:rFonts w:cs="Times New Roman"/>
        </w:rPr>
        <w:t xml:space="preserve"> (‘</w:t>
      </w:r>
      <w:proofErr w:type="spellStart"/>
      <w:r w:rsidR="004D2225" w:rsidRPr="00FD3EE9">
        <w:rPr>
          <w:rFonts w:cs="Times New Roman"/>
        </w:rPr>
        <w:t>vega</w:t>
      </w:r>
      <w:proofErr w:type="spellEnd"/>
      <w:r w:rsidR="004D2225" w:rsidRPr="00FD3EE9">
        <w:rPr>
          <w:rFonts w:cs="Times New Roman"/>
        </w:rPr>
        <w:t>’</w:t>
      </w:r>
      <w:r w:rsidRPr="00FD3EE9">
        <w:rPr>
          <w:rFonts w:cs="Times New Roman"/>
        </w:rPr>
        <w:t>)</w:t>
      </w:r>
      <w:r w:rsidR="004D2225" w:rsidRPr="00FD3EE9">
        <w:rPr>
          <w:rFonts w:cs="Times New Roman"/>
        </w:rPr>
        <w:t xml:space="preserve"> but</w:t>
      </w:r>
      <w:r w:rsidRPr="00FD3EE9">
        <w:rPr>
          <w:rFonts w:cs="Times New Roman"/>
        </w:rPr>
        <w:t xml:space="preserve"> </w:t>
      </w:r>
      <w:r w:rsidR="004D2225" w:rsidRPr="00FD3EE9">
        <w:rPr>
          <w:rFonts w:cs="Times New Roman"/>
        </w:rPr>
        <w:t>a</w:t>
      </w:r>
      <w:r w:rsidRPr="00FD3EE9">
        <w:rPr>
          <w:rFonts w:cs="Times New Roman"/>
        </w:rPr>
        <w:t xml:space="preserve">lso </w:t>
      </w:r>
      <w:r w:rsidR="004D2225" w:rsidRPr="00FD3EE9">
        <w:rPr>
          <w:rFonts w:cs="Times New Roman"/>
        </w:rPr>
        <w:t xml:space="preserve">a </w:t>
      </w:r>
      <w:r w:rsidRPr="00FD3EE9">
        <w:rPr>
          <w:rFonts w:cs="Times New Roman"/>
        </w:rPr>
        <w:t>sensitivity to firm value</w:t>
      </w:r>
      <w:r w:rsidR="004D2225" w:rsidRPr="00FD3EE9">
        <w:rPr>
          <w:rFonts w:cs="Times New Roman"/>
        </w:rPr>
        <w:t xml:space="preserve"> (‘delta’</w:t>
      </w:r>
      <w:r w:rsidRPr="00FD3EE9">
        <w:rPr>
          <w:rFonts w:cs="Times New Roman"/>
        </w:rPr>
        <w:t xml:space="preserve">). Thus, risk-averse managers may wish to reduce </w:t>
      </w:r>
      <w:r w:rsidRPr="00FD3EE9">
        <w:rPr>
          <w:rFonts w:cs="Times New Roman"/>
        </w:rPr>
        <w:lastRenderedPageBreak/>
        <w:t xml:space="preserve">volatility in the value of the firm </w:t>
      </w:r>
      <w:r w:rsidR="00AD6855" w:rsidRPr="00FD3EE9">
        <w:rPr>
          <w:rFonts w:cs="Times New Roman"/>
        </w:rPr>
        <w:fldChar w:fldCharType="begin"/>
      </w:r>
      <w:r w:rsidR="00AD6855" w:rsidRPr="00FD3EE9">
        <w:rPr>
          <w:rFonts w:cs="Times New Roman"/>
        </w:rPr>
        <w:instrText xml:space="preserve"> ADDIN ZOTERO_ITEM CSL_CITATION {"citationID":"gEq21Sis","properties":{"formattedCitation":"(Edmans et al., 2017)","plainCitation":"(Edmans et al., 2017)","noteIndex":0},"citationItems":[{"id":9,"uris":["http://zotero.org/users/local/SsAWob3L/items/96M4R3NP"],"uri":["http://zotero.org/users/local/SsAWob3L/items/96M4R3NP"],"itemData":{"id":9,"type":"chapter","title":"Executive compensation: A survey of theory and evidence","container-title":"The handbook of the economics of corporate governance","publisher":"Elsevier","page":"383–539","volume":"1","author":[{"family":"Edmans","given":"Alex"},{"family":"Gabaix","given":"Xavier"},{"family":"Jenter","given":"Dirk"}],"issued":{"date-parts":[["2017"]]}}}],"schema":"https://github.com/citation-style-language/schema/raw/master/csl-citation.json"} </w:instrText>
      </w:r>
      <w:r w:rsidR="00AD6855" w:rsidRPr="00FD3EE9">
        <w:rPr>
          <w:rFonts w:cs="Times New Roman"/>
        </w:rPr>
        <w:fldChar w:fldCharType="separate"/>
      </w:r>
      <w:r w:rsidR="00AD6855" w:rsidRPr="00FD3EE9">
        <w:rPr>
          <w:rFonts w:cs="Times New Roman"/>
          <w:noProof/>
        </w:rPr>
        <w:t>(Edmans et al., 2017)</w:t>
      </w:r>
      <w:r w:rsidR="00AD6855" w:rsidRPr="00FD3EE9">
        <w:rPr>
          <w:rFonts w:cs="Times New Roman"/>
        </w:rPr>
        <w:fldChar w:fldCharType="end"/>
      </w:r>
      <w:r w:rsidRPr="00FD3EE9">
        <w:rPr>
          <w:rFonts w:cs="Times New Roman"/>
        </w:rPr>
        <w:t xml:space="preserve">. </w:t>
      </w:r>
      <w:r w:rsidR="008C1021">
        <w:rPr>
          <w:rFonts w:cs="Times New Roman"/>
        </w:rPr>
        <w:t>T</w:t>
      </w:r>
      <w:r w:rsidRPr="00FD3EE9">
        <w:rPr>
          <w:rFonts w:cs="Times New Roman"/>
        </w:rPr>
        <w:t xml:space="preserve">he following </w:t>
      </w:r>
      <w:r w:rsidR="006C1359" w:rsidRPr="00FD3EE9">
        <w:rPr>
          <w:rFonts w:cs="Times New Roman"/>
        </w:rPr>
        <w:t xml:space="preserve">alternative </w:t>
      </w:r>
      <w:r w:rsidRPr="00FD3EE9">
        <w:rPr>
          <w:rFonts w:cs="Times New Roman"/>
        </w:rPr>
        <w:t>hypothes</w:t>
      </w:r>
      <w:r w:rsidR="004D2225" w:rsidRPr="00FD3EE9">
        <w:rPr>
          <w:rFonts w:cs="Times New Roman"/>
        </w:rPr>
        <w:t>e</w:t>
      </w:r>
      <w:r w:rsidRPr="00FD3EE9">
        <w:rPr>
          <w:rFonts w:cs="Times New Roman"/>
        </w:rPr>
        <w:t>s</w:t>
      </w:r>
      <w:r w:rsidR="004D2225" w:rsidRPr="00FD3EE9">
        <w:rPr>
          <w:rFonts w:cs="Times New Roman"/>
        </w:rPr>
        <w:t xml:space="preserve"> emerge</w:t>
      </w:r>
      <w:r w:rsidR="004078E8" w:rsidRPr="00FD3EE9">
        <w:rPr>
          <w:rFonts w:cs="Times New Roman"/>
        </w:rPr>
        <w:t>:</w:t>
      </w:r>
    </w:p>
    <w:p w14:paraId="5A84578E" w14:textId="30FED87E" w:rsidR="007B46AA" w:rsidRPr="00FD3EE9" w:rsidRDefault="00AD6855" w:rsidP="0085750E">
      <w:pPr>
        <w:widowControl/>
        <w:spacing w:line="480" w:lineRule="auto"/>
        <w:jc w:val="left"/>
        <w:rPr>
          <w:rFonts w:cs="Times New Roman"/>
          <w:i/>
          <w:sz w:val="22"/>
        </w:rPr>
      </w:pPr>
      <w:bookmarkStart w:id="3" w:name="_Hlk48907361"/>
      <w:r w:rsidRPr="00FD3EE9">
        <w:rPr>
          <w:rFonts w:cs="Times New Roman"/>
          <w:i/>
          <w:sz w:val="22"/>
        </w:rPr>
        <w:t>Hypothesis 1a: There is a positive association between stock option</w:t>
      </w:r>
      <w:r w:rsidR="004D2225" w:rsidRPr="00FD3EE9">
        <w:rPr>
          <w:rFonts w:cs="Times New Roman"/>
          <w:i/>
          <w:sz w:val="22"/>
        </w:rPr>
        <w:t>s</w:t>
      </w:r>
      <w:r w:rsidRPr="00FD3EE9">
        <w:rPr>
          <w:rFonts w:cs="Times New Roman"/>
          <w:i/>
          <w:sz w:val="22"/>
        </w:rPr>
        <w:t xml:space="preserve"> and the frequency </w:t>
      </w:r>
      <w:r w:rsidR="004D2225" w:rsidRPr="00FD3EE9">
        <w:rPr>
          <w:rFonts w:cs="Times New Roman"/>
          <w:i/>
          <w:sz w:val="22"/>
        </w:rPr>
        <w:t>of M&amp;A.</w:t>
      </w:r>
    </w:p>
    <w:p w14:paraId="0A80A357" w14:textId="0CABCFEE" w:rsidR="004D2225" w:rsidRPr="00FD3EE9" w:rsidRDefault="00AD6855" w:rsidP="0085750E">
      <w:pPr>
        <w:widowControl/>
        <w:spacing w:line="480" w:lineRule="auto"/>
        <w:jc w:val="left"/>
        <w:rPr>
          <w:rFonts w:cs="Times New Roman"/>
          <w:i/>
          <w:sz w:val="22"/>
        </w:rPr>
      </w:pPr>
      <w:r w:rsidRPr="00FD3EE9">
        <w:rPr>
          <w:rFonts w:cs="Times New Roman"/>
          <w:i/>
          <w:sz w:val="22"/>
        </w:rPr>
        <w:t xml:space="preserve">Hypothesis 1b: </w:t>
      </w:r>
      <w:r w:rsidR="004D2225" w:rsidRPr="00FD3EE9">
        <w:rPr>
          <w:rFonts w:cs="Times New Roman"/>
          <w:i/>
          <w:sz w:val="22"/>
        </w:rPr>
        <w:t>There is a negative association between stock options and the frequency of M&amp;A.</w:t>
      </w:r>
      <w:bookmarkEnd w:id="3"/>
    </w:p>
    <w:p w14:paraId="0115D992" w14:textId="68E6785D" w:rsidR="00063784" w:rsidRPr="00FD3EE9" w:rsidRDefault="004D2225" w:rsidP="00E70FA0">
      <w:pPr>
        <w:widowControl/>
        <w:spacing w:line="480" w:lineRule="auto"/>
        <w:rPr>
          <w:rFonts w:cs="Times New Roman"/>
        </w:rPr>
      </w:pPr>
      <w:r w:rsidRPr="00FD3EE9">
        <w:rPr>
          <w:rFonts w:cs="Times New Roman"/>
        </w:rPr>
        <w:tab/>
      </w:r>
      <w:r w:rsidR="00AD6855" w:rsidRPr="00FD3EE9">
        <w:rPr>
          <w:rFonts w:cs="Times New Roman"/>
        </w:rPr>
        <w:t xml:space="preserve">Stock ownership has different characteristics </w:t>
      </w:r>
      <w:r w:rsidR="00E70FA0" w:rsidRPr="00FD3EE9">
        <w:rPr>
          <w:rFonts w:cs="Times New Roman"/>
        </w:rPr>
        <w:t>compared to</w:t>
      </w:r>
      <w:r w:rsidR="00AD6855" w:rsidRPr="00FD3EE9">
        <w:rPr>
          <w:rFonts w:cs="Times New Roman"/>
        </w:rPr>
        <w:t xml:space="preserve"> stock options</w:t>
      </w:r>
      <w:r w:rsidR="00E70FA0" w:rsidRPr="00FD3EE9">
        <w:rPr>
          <w:rFonts w:cs="Times New Roman"/>
        </w:rPr>
        <w:t xml:space="preserve"> as the pay-out profile is symmetric, i.e. managers participate in the downside risk. In addition, managers cannot diversify their shareholding and they have an employment risk associated with the same firm, which makes them more risk averse. S</w:t>
      </w:r>
      <w:r w:rsidR="00AD6855" w:rsidRPr="00FD3EE9">
        <w:rPr>
          <w:rFonts w:cs="Times New Roman"/>
        </w:rPr>
        <w:t xml:space="preserve">tock </w:t>
      </w:r>
      <w:r w:rsidR="00063784" w:rsidRPr="00FD3EE9">
        <w:rPr>
          <w:rFonts w:cs="Times New Roman"/>
        </w:rPr>
        <w:t xml:space="preserve">has a higher value </w:t>
      </w:r>
      <w:r w:rsidR="00AD6855" w:rsidRPr="00FD3EE9">
        <w:rPr>
          <w:rFonts w:cs="Times New Roman"/>
        </w:rPr>
        <w:t xml:space="preserve">to executives than equivalent </w:t>
      </w:r>
      <w:r w:rsidR="00063784" w:rsidRPr="00FD3EE9">
        <w:rPr>
          <w:rFonts w:cs="Times New Roman"/>
        </w:rPr>
        <w:t xml:space="preserve">stock </w:t>
      </w:r>
      <w:r w:rsidR="00AD6855" w:rsidRPr="00FD3EE9">
        <w:rPr>
          <w:rFonts w:cs="Times New Roman"/>
        </w:rPr>
        <w:t>options</w:t>
      </w:r>
      <w:r w:rsidR="00063784" w:rsidRPr="00FD3EE9">
        <w:rPr>
          <w:rFonts w:cs="Times New Roman"/>
        </w:rPr>
        <w:t xml:space="preserve"> due to lower volatility</w:t>
      </w:r>
      <w:r w:rsidR="00AD6855" w:rsidRPr="00FD3EE9">
        <w:rPr>
          <w:rFonts w:cs="Times New Roman"/>
        </w:rPr>
        <w:t xml:space="preserve">, making stock </w:t>
      </w:r>
      <w:r w:rsidR="00063784" w:rsidRPr="00FD3EE9">
        <w:rPr>
          <w:rFonts w:cs="Times New Roman"/>
        </w:rPr>
        <w:t xml:space="preserve">a </w:t>
      </w:r>
      <w:r w:rsidR="00AD6855" w:rsidRPr="00FD3EE9">
        <w:rPr>
          <w:rFonts w:cs="Times New Roman"/>
        </w:rPr>
        <w:t xml:space="preserve">more efficient </w:t>
      </w:r>
      <w:r w:rsidR="00063784" w:rsidRPr="00FD3EE9">
        <w:rPr>
          <w:rFonts w:cs="Times New Roman"/>
        </w:rPr>
        <w:t>‘</w:t>
      </w:r>
      <w:r w:rsidR="00AD6855" w:rsidRPr="00FD3EE9">
        <w:rPr>
          <w:rFonts w:cs="Times New Roman"/>
        </w:rPr>
        <w:t xml:space="preserve">alignment </w:t>
      </w:r>
      <w:r w:rsidR="00063784" w:rsidRPr="00FD3EE9">
        <w:rPr>
          <w:rFonts w:cs="Times New Roman"/>
        </w:rPr>
        <w:t xml:space="preserve">tool’ </w:t>
      </w:r>
      <w:r w:rsidR="00AD6855" w:rsidRPr="00FD3EE9">
        <w:rPr>
          <w:rFonts w:cs="Times New Roman"/>
        </w:rPr>
        <w:fldChar w:fldCharType="begin"/>
      </w:r>
      <w:r w:rsidR="00AD6855" w:rsidRPr="00FD3EE9">
        <w:rPr>
          <w:rFonts w:cs="Times New Roman"/>
        </w:rPr>
        <w:instrText xml:space="preserve"> ADDIN ZOTERO_ITEM CSL_CITATION {"citationID":"5Q4yOj2d","properties":{"formattedCitation":"(Edmans et al., 2017)","plainCitation":"(Edmans et al., 2017)","noteIndex":0},"citationItems":[{"id":9,"uris":["http://zotero.org/users/local/SsAWob3L/items/96M4R3NP"],"uri":["http://zotero.org/users/local/SsAWob3L/items/96M4R3NP"],"itemData":{"id":9,"type":"chapter","title":"Executive compensation: A survey of theory and evidence","container-title":"The handbook of the economics of corporate governance","publisher":"Elsevier","page":"383–539","volume":"1","author":[{"family":"Edmans","given":"Alex"},{"family":"Gabaix","given":"Xavier"},{"family":"Jenter","given":"Dirk"}],"issued":{"date-parts":[["2017"]]}}}],"schema":"https://github.com/citation-style-language/schema/raw/master/csl-citation.json"} </w:instrText>
      </w:r>
      <w:r w:rsidR="00AD6855" w:rsidRPr="00FD3EE9">
        <w:rPr>
          <w:rFonts w:cs="Times New Roman"/>
        </w:rPr>
        <w:fldChar w:fldCharType="separate"/>
      </w:r>
      <w:r w:rsidR="00AD6855" w:rsidRPr="00FD3EE9">
        <w:rPr>
          <w:rFonts w:cs="Times New Roman"/>
          <w:noProof/>
        </w:rPr>
        <w:t>(</w:t>
      </w:r>
      <w:r w:rsidR="00063784" w:rsidRPr="00FD3EE9">
        <w:rPr>
          <w:rFonts w:cs="Times New Roman"/>
        </w:rPr>
        <w:fldChar w:fldCharType="begin"/>
      </w:r>
      <w:r w:rsidR="00063784" w:rsidRPr="00FD3EE9">
        <w:rPr>
          <w:rFonts w:cs="Times New Roman"/>
        </w:rPr>
        <w:instrText xml:space="preserve"> ADDIN ZOTERO_ITEM CSL_CITATION {"citationID":"IFg7qS5f","properties":{"formattedCitation":"(Dittmann and Maug, 2007)","plainCitation":"(Dittmann and Maug, 2007)","noteIndex":0},"citationItems":[{"id":8,"uris":["http://zotero.org/users/local/SsAWob3L/items/NF29I5UB"],"uri":["http://zotero.org/users/local/SsAWob3L/items/NF29I5UB"],"itemData":{"id":8,"type":"article-journal","title":"Lower salaries and no options? On the optimal structure of executive pay","container-title":"The Journal of Finance","page":"303–343","volume":"62","issue":"1","author":[{"family":"Dittmann","given":"Ingolf"},{"family":"Maug","given":"Ernst"}],"issued":{"date-parts":[["2007"]]}}}],"schema":"https://github.com/citation-style-language/schema/raw/master/csl-citation.json"} </w:instrText>
      </w:r>
      <w:r w:rsidR="00063784" w:rsidRPr="00FD3EE9">
        <w:rPr>
          <w:rFonts w:cs="Times New Roman"/>
        </w:rPr>
        <w:fldChar w:fldCharType="separate"/>
      </w:r>
      <w:r w:rsidR="00063784" w:rsidRPr="00FD3EE9">
        <w:rPr>
          <w:rFonts w:cs="Times New Roman"/>
          <w:noProof/>
        </w:rPr>
        <w:t>Dittmann and Maug, 2007</w:t>
      </w:r>
      <w:r w:rsidR="00063784" w:rsidRPr="00FD3EE9">
        <w:rPr>
          <w:rFonts w:cs="Times New Roman"/>
        </w:rPr>
        <w:fldChar w:fldCharType="end"/>
      </w:r>
      <w:r w:rsidR="00063784" w:rsidRPr="00FD3EE9">
        <w:rPr>
          <w:rFonts w:cs="Times New Roman"/>
        </w:rPr>
        <w:t xml:space="preserve">, </w:t>
      </w:r>
      <w:r w:rsidR="00AD6855" w:rsidRPr="00FD3EE9">
        <w:rPr>
          <w:rFonts w:cs="Times New Roman"/>
          <w:noProof/>
        </w:rPr>
        <w:t>Edmans et al., 2017)</w:t>
      </w:r>
      <w:r w:rsidR="00AD6855" w:rsidRPr="00FD3EE9">
        <w:rPr>
          <w:rFonts w:cs="Times New Roman"/>
        </w:rPr>
        <w:fldChar w:fldCharType="end"/>
      </w:r>
      <w:r w:rsidR="00AD6855" w:rsidRPr="00FD3EE9">
        <w:rPr>
          <w:rFonts w:cs="Times New Roman"/>
        </w:rPr>
        <w:t xml:space="preserve">. </w:t>
      </w:r>
      <w:r w:rsidR="00063784" w:rsidRPr="00FD3EE9">
        <w:rPr>
          <w:rFonts w:cs="Times New Roman"/>
        </w:rPr>
        <w:t xml:space="preserve">The level of stock ownership matters as small equity stakes are unlikely to affect executives’ decision making. This suggest the following hypotheses: </w:t>
      </w:r>
    </w:p>
    <w:p w14:paraId="094856C8" w14:textId="59FB7CB7" w:rsidR="00AD6855" w:rsidRPr="00FD3EE9" w:rsidRDefault="00AD6855" w:rsidP="0085750E">
      <w:pPr>
        <w:widowControl/>
        <w:spacing w:line="480" w:lineRule="auto"/>
        <w:jc w:val="left"/>
        <w:rPr>
          <w:rFonts w:cs="Times New Roman"/>
          <w:i/>
          <w:sz w:val="22"/>
        </w:rPr>
      </w:pPr>
      <w:bookmarkStart w:id="4" w:name="_Hlk48907371"/>
      <w:r w:rsidRPr="00FD3EE9">
        <w:rPr>
          <w:rFonts w:cs="Times New Roman"/>
          <w:i/>
          <w:sz w:val="22"/>
        </w:rPr>
        <w:t xml:space="preserve">Hypothesis 2: </w:t>
      </w:r>
      <w:r w:rsidR="00D333EB" w:rsidRPr="00FD3EE9">
        <w:rPr>
          <w:rFonts w:cs="Times New Roman"/>
          <w:i/>
          <w:sz w:val="22"/>
        </w:rPr>
        <w:t>M</w:t>
      </w:r>
      <w:r w:rsidRPr="00FD3EE9">
        <w:rPr>
          <w:rFonts w:cs="Times New Roman"/>
          <w:i/>
          <w:sz w:val="22"/>
        </w:rPr>
        <w:t xml:space="preserve">anagerial stock ownership and the frequency </w:t>
      </w:r>
      <w:r w:rsidR="00D333EB" w:rsidRPr="00FD3EE9">
        <w:rPr>
          <w:rFonts w:cs="Times New Roman"/>
          <w:i/>
          <w:sz w:val="22"/>
        </w:rPr>
        <w:t>of M&amp;A exhibit a positive correlation</w:t>
      </w:r>
      <w:r w:rsidRPr="00FD3EE9">
        <w:rPr>
          <w:rFonts w:cs="Times New Roman"/>
          <w:i/>
          <w:sz w:val="22"/>
        </w:rPr>
        <w:t xml:space="preserve"> </w:t>
      </w:r>
      <w:r w:rsidR="00D333EB" w:rsidRPr="00FD3EE9">
        <w:rPr>
          <w:rFonts w:cs="Times New Roman"/>
          <w:i/>
          <w:sz w:val="22"/>
        </w:rPr>
        <w:t>if equity stakes are low. The relationship turns negative for high equity stakes.</w:t>
      </w:r>
    </w:p>
    <w:bookmarkEnd w:id="4"/>
    <w:p w14:paraId="701A07A0" w14:textId="31A37CF0" w:rsidR="00D333EB" w:rsidRPr="00FD3EE9" w:rsidRDefault="00D333EB" w:rsidP="00D333EB"/>
    <w:p w14:paraId="67FCC7BF" w14:textId="6787CBF1" w:rsidR="00D333EB" w:rsidRPr="00FD3EE9" w:rsidRDefault="00D333EB" w:rsidP="00D333EB"/>
    <w:p w14:paraId="5FA7C96C" w14:textId="42E70B27" w:rsidR="00D333EB" w:rsidRPr="00FD3EE9" w:rsidRDefault="00D333EB" w:rsidP="00D333EB"/>
    <w:p w14:paraId="34A3A59E" w14:textId="77777777" w:rsidR="00D333EB" w:rsidRPr="00FD3EE9" w:rsidRDefault="00D333EB" w:rsidP="0085750E"/>
    <w:p w14:paraId="0950E216" w14:textId="5F577504" w:rsidR="007B46AA" w:rsidRPr="00FD3EE9" w:rsidRDefault="00AD6855" w:rsidP="0085750E">
      <w:pPr>
        <w:pStyle w:val="ad"/>
        <w:spacing w:before="0" w:after="0" w:line="480" w:lineRule="auto"/>
        <w:jc w:val="left"/>
        <w:rPr>
          <w:rFonts w:ascii="Times New Roman" w:hAnsi="Times New Roman" w:cs="Times New Roman"/>
          <w:b w:val="0"/>
          <w:i/>
          <w:sz w:val="24"/>
        </w:rPr>
      </w:pPr>
      <w:r w:rsidRPr="00FD3EE9">
        <w:rPr>
          <w:rFonts w:ascii="Times New Roman" w:hAnsi="Times New Roman" w:cs="Times New Roman"/>
          <w:b w:val="0"/>
          <w:i/>
          <w:sz w:val="24"/>
        </w:rPr>
        <w:lastRenderedPageBreak/>
        <w:t>3.2 Post-acquisition performance</w:t>
      </w:r>
    </w:p>
    <w:p w14:paraId="7DA46715" w14:textId="10CA39D9" w:rsidR="00D82956" w:rsidRPr="00FD3EE9" w:rsidRDefault="00D82956" w:rsidP="0085750E">
      <w:pPr>
        <w:widowControl/>
        <w:autoSpaceDE w:val="0"/>
        <w:autoSpaceDN w:val="0"/>
        <w:adjustRightInd w:val="0"/>
        <w:spacing w:line="480" w:lineRule="auto"/>
        <w:ind w:firstLineChars="200" w:firstLine="480"/>
        <w:rPr>
          <w:rFonts w:cs="Times New Roman"/>
        </w:rPr>
      </w:pPr>
      <w:r w:rsidRPr="00FD3EE9">
        <w:rPr>
          <w:rFonts w:cs="Times New Roman"/>
        </w:rPr>
        <w:t xml:space="preserve">Although research on post-acquisition performance proliferates, prior studies present mixed results on how executive compensation affects post-acquisition performance </w:t>
      </w:r>
      <w:r w:rsidRPr="00FD3EE9">
        <w:rPr>
          <w:rFonts w:cs="Times New Roman"/>
        </w:rPr>
        <w:fldChar w:fldCharType="begin"/>
      </w:r>
      <w:r w:rsidRPr="00FD3EE9">
        <w:rPr>
          <w:rFonts w:cs="Times New Roman"/>
        </w:rPr>
        <w:instrText xml:space="preserve"> ADDIN ZOTERO_ITEM CSL_CITATION {"citationID":"WK4r6ZGL","properties":{"formattedCitation":"(Haleblian et al., 2009)","plainCitation":"(Haleblian et al., 2009)","noteIndex":0},"citationItems":[{"id":71,"uris":["http://zotero.org/users/local/SsAWob3L/items/W6FZXI83"],"uri":["http://zotero.org/users/local/SsAWob3L/items/W6FZXI83"],"itemData":{"id":71,"type":"article-journal","title":"Taking stock of what we know about mergers and acquisitions: A review and research agenda","container-title":"Journal of Management","page":"469–502","volume":"35","issue":"3","author":[{"family":"Haleblian","given":"Jerayr"},{"family":"Devers","given":"Cynthia E"},{"family":"McNamara","given":"Gerry"},{"family":"Carpenter","given":"Mason A"},{"family":"Davison","given":"Robert B"}],"issued":{"date-parts":[["2009"]]}}}],"schema":"https://github.com/citation-style-language/schema/raw/master/csl-citation.json"} </w:instrText>
      </w:r>
      <w:r w:rsidRPr="00FD3EE9">
        <w:rPr>
          <w:rFonts w:cs="Times New Roman"/>
        </w:rPr>
        <w:fldChar w:fldCharType="separate"/>
      </w:r>
      <w:r w:rsidRPr="00FD3EE9">
        <w:rPr>
          <w:rFonts w:cs="Times New Roman"/>
          <w:noProof/>
        </w:rPr>
        <w:t>(Haleblian et al., 2009)</w:t>
      </w:r>
      <w:r w:rsidRPr="00FD3EE9">
        <w:rPr>
          <w:rFonts w:cs="Times New Roman"/>
        </w:rPr>
        <w:fldChar w:fldCharType="end"/>
      </w:r>
      <w:r w:rsidRPr="00FD3EE9">
        <w:rPr>
          <w:rFonts w:cs="Times New Roman"/>
        </w:rPr>
        <w:t xml:space="preserve">. </w:t>
      </w:r>
      <w:r w:rsidR="00A02D5E" w:rsidRPr="00FD3EE9">
        <w:rPr>
          <w:rFonts w:cs="Times New Roman"/>
        </w:rPr>
        <w:t>S</w:t>
      </w:r>
      <w:r w:rsidRPr="00FD3EE9">
        <w:rPr>
          <w:rFonts w:cs="Times New Roman"/>
        </w:rPr>
        <w:t xml:space="preserve">ome studies suggest that </w:t>
      </w:r>
      <w:r w:rsidR="00901D7D">
        <w:rPr>
          <w:rFonts w:cs="Times New Roman"/>
        </w:rPr>
        <w:t>executives</w:t>
      </w:r>
      <w:r w:rsidR="00E2263D" w:rsidRPr="00FD3EE9">
        <w:rPr>
          <w:rFonts w:cs="Times New Roman"/>
        </w:rPr>
        <w:t>’</w:t>
      </w:r>
      <w:r w:rsidR="00901D7D">
        <w:rPr>
          <w:rFonts w:cs="Times New Roman"/>
        </w:rPr>
        <w:t xml:space="preserve"> stock</w:t>
      </w:r>
      <w:r w:rsidRPr="00FD3EE9">
        <w:rPr>
          <w:rFonts w:cs="Times New Roman"/>
        </w:rPr>
        <w:t xml:space="preserve"> ownership </w:t>
      </w:r>
      <w:r w:rsidR="00901D7D">
        <w:rPr>
          <w:rFonts w:cs="Times New Roman"/>
        </w:rPr>
        <w:t>is</w:t>
      </w:r>
      <w:r w:rsidRPr="00FD3EE9">
        <w:rPr>
          <w:rFonts w:cs="Times New Roman"/>
        </w:rPr>
        <w:t xml:space="preserve"> positively correlated </w:t>
      </w:r>
      <w:r w:rsidR="00E2263D" w:rsidRPr="00FD3EE9">
        <w:rPr>
          <w:rFonts w:cs="Times New Roman"/>
        </w:rPr>
        <w:t xml:space="preserve">with </w:t>
      </w:r>
      <w:r w:rsidRPr="00FD3EE9">
        <w:rPr>
          <w:rFonts w:cs="Times New Roman"/>
        </w:rPr>
        <w:t xml:space="preserve">value-enhancing corporate strategies </w:t>
      </w:r>
      <w:r w:rsidRPr="00FD3EE9">
        <w:rPr>
          <w:rFonts w:cs="Times New Roman"/>
        </w:rPr>
        <w:fldChar w:fldCharType="begin"/>
      </w:r>
      <w:r w:rsidR="00512D26" w:rsidRPr="00FD3EE9">
        <w:rPr>
          <w:rFonts w:cs="Times New Roman"/>
        </w:rPr>
        <w:instrText xml:space="preserve"> ADDIN ZOTERO_ITEM CSL_CITATION {"citationID":"MGkiw6cF","properties":{"formattedCitation":"(Bethel and Liebeskind, 1993; Johnson et al., 1993; Lewellen et al., 1985)","plainCitation":"(Bethel and Liebeskind, 1993; Johnson et al., 1993; Lewellen et al., 1985)","noteIndex":0},"citationItems":[{"id":18,"uris":["http://zotero.org/users/local/SsAWob3L/items/J5XCHHLB"],"uri":["http://zotero.org/users/local/SsAWob3L/items/J5XCHHLB"],"itemData":{"id":18,"type":"article-journal","title":"The effects of ownership structure on corporate restructuring","container-title":"Strategic Management Journal","page":"15–31","volume":"14","issue":"S1","author":[{"family":"Bethel","given":"Jennifer E"},{"family":"Liebeskind","given":"Julia"}],"issued":{"date-parts":[["1993"]]}}},{"id":17,"uris":["http://zotero.org/users/local/SsAWob3L/items/E3K5UYRK"],"uri":["http://zotero.org/users/local/SsAWob3L/items/E3K5UYRK"],"itemData":{"id":17,"type":"article-journal","title":"Board of director involvement in restructuring: The effects of board versus managerial controls and characteristics","container-title":"Strategic Management Journal","page":"33–50","volume":"14","issue":"S1","author":[{"family":"Johnson","given":"Richard A"},{"family":"Hoskisson","given":"Robert E"},{"family":"Hitt","given":"Michael A"}],"issued":{"date-parts":[["1993"]]}}},{"id":20,"uris":["http://zotero.org/users/local/SsAWob3L/items/JIM4DPQR"],"uri":["http://zotero.org/users/local/SsAWob3L/items/JIM4DPQR"],"itemData":{"id":20,"type":"article-journal","title":"Merger decisions and executive stock ownership in acquiring firms","container-title":"Journal of Accounting and Economics","page":"209–231","volume":"7","issue":"1-3","author":[{"family":"Lewellen","given":"Wilbur"},{"family":"Loderer","given":"Claudio"},{"family":"Rosenfeld","given":"Ahron"}],"issued":{"date-parts":[["1985"]]}}}],"schema":"https://github.com/citation-style-language/schema/raw/master/csl-citation.json"} </w:instrText>
      </w:r>
      <w:r w:rsidRPr="00FD3EE9">
        <w:rPr>
          <w:rFonts w:cs="Times New Roman"/>
        </w:rPr>
        <w:fldChar w:fldCharType="separate"/>
      </w:r>
      <w:r w:rsidR="00512D26" w:rsidRPr="00FD3EE9">
        <w:rPr>
          <w:rFonts w:cs="Times New Roman"/>
          <w:noProof/>
        </w:rPr>
        <w:t>(Bethel and Liebeskind, 1993; Johnson et al., 1993; Lewellen et al., 1985)</w:t>
      </w:r>
      <w:r w:rsidRPr="00FD3EE9">
        <w:rPr>
          <w:rFonts w:cs="Times New Roman"/>
        </w:rPr>
        <w:fldChar w:fldCharType="end"/>
      </w:r>
      <w:r w:rsidRPr="00FD3EE9">
        <w:rPr>
          <w:rFonts w:cs="Times New Roman"/>
        </w:rPr>
        <w:t xml:space="preserve">. </w:t>
      </w:r>
      <w:r w:rsidR="00512D26" w:rsidRPr="00FD3EE9">
        <w:rPr>
          <w:rFonts w:cs="Times New Roman"/>
        </w:rPr>
        <w:fldChar w:fldCharType="begin"/>
      </w:r>
      <w:r w:rsidR="00512D26" w:rsidRPr="00FD3EE9">
        <w:rPr>
          <w:rFonts w:cs="Times New Roman"/>
        </w:rPr>
        <w:instrText xml:space="preserve"> ADDIN ZOTERO_ITEM CSL_CITATION {"citationID":"dEOlBAWf","properties":{"formattedCitation":"(Datta et al., 2001)","plainCitation":"(Datta et al., 2001)","noteIndex":0},"citationItems":[{"id":"jwTi0SrD/zWmk7Klp","uris":["http://zotero.org/users/local/qiB1P4Y3/items/GWV74WFG"],"uri":["http://zotero.org/users/local/qiB1P4Y3/items/GWV74WFG"],"itemData":{"id":"jwTi0SrD/zWmk7Klp","type":"article-journal","title":"Executive compensation and corporate acquisition decisions","container-title":"The Journal of Finance","page":"2299–2336","volume":"56","issue":"6","source":"Google Scholar","author":[{"family":"Datta","given":"Sudip"},{"family":"Iskandar-Datta","given":"Mai"},{"family":"Raman","given":"Kartik"}],"issued":{"date-parts":[["2001"]]}}}],"schema":"https://github.com/citation-style-language/schema/raw/master/csl-citation.json"} </w:instrText>
      </w:r>
      <w:r w:rsidR="00512D26" w:rsidRPr="00FD3EE9">
        <w:rPr>
          <w:rFonts w:cs="Times New Roman"/>
        </w:rPr>
        <w:fldChar w:fldCharType="separate"/>
      </w:r>
      <w:r w:rsidR="00512D26" w:rsidRPr="00FD3EE9">
        <w:rPr>
          <w:rFonts w:cs="Times New Roman"/>
          <w:noProof/>
        </w:rPr>
        <w:t>Datta et al. (2001)</w:t>
      </w:r>
      <w:r w:rsidR="00512D26" w:rsidRPr="00FD3EE9">
        <w:rPr>
          <w:rFonts w:cs="Times New Roman"/>
        </w:rPr>
        <w:fldChar w:fldCharType="end"/>
      </w:r>
      <w:r w:rsidRPr="00FD3EE9">
        <w:rPr>
          <w:rFonts w:cs="Times New Roman"/>
        </w:rPr>
        <w:t xml:space="preserve"> argue that stock options rather than stock ownership determine both short-term cumulative abnormal returns (CARs) and long-term buy-and-hold returns (BHRs</w:t>
      </w:r>
      <w:r w:rsidR="00512D26" w:rsidRPr="00FD3EE9">
        <w:rPr>
          <w:rFonts w:cs="Times New Roman"/>
        </w:rPr>
        <w:t>)</w:t>
      </w:r>
      <w:r w:rsidR="00901D7D">
        <w:rPr>
          <w:rFonts w:cs="Times New Roman"/>
        </w:rPr>
        <w:t xml:space="preserve">. </w:t>
      </w:r>
      <w:r w:rsidR="00901D7D" w:rsidRPr="00901D7D">
        <w:rPr>
          <w:rFonts w:cs="Times New Roman"/>
        </w:rPr>
        <w:t>According to Datta et al.</w:t>
      </w:r>
      <w:r w:rsidR="00901D7D">
        <w:rPr>
          <w:rFonts w:cs="Times New Roman"/>
        </w:rPr>
        <w:t xml:space="preserve"> </w:t>
      </w:r>
      <w:r w:rsidR="00901D7D" w:rsidRPr="00901D7D">
        <w:rPr>
          <w:rFonts w:cs="Times New Roman"/>
        </w:rPr>
        <w:t>(2001), firms with higher proportion</w:t>
      </w:r>
      <w:r w:rsidR="00901D7D">
        <w:rPr>
          <w:rFonts w:cs="Times New Roman"/>
        </w:rPr>
        <w:t>s</w:t>
      </w:r>
      <w:r w:rsidR="00901D7D" w:rsidRPr="00901D7D">
        <w:rPr>
          <w:rFonts w:cs="Times New Roman"/>
        </w:rPr>
        <w:t xml:space="preserve"> of stock options </w:t>
      </w:r>
      <w:r w:rsidR="00901D7D">
        <w:rPr>
          <w:rFonts w:cs="Times New Roman"/>
        </w:rPr>
        <w:t>exhibit</w:t>
      </w:r>
      <w:r w:rsidR="00901D7D" w:rsidRPr="00901D7D">
        <w:rPr>
          <w:rFonts w:cs="Times New Roman"/>
        </w:rPr>
        <w:t xml:space="preserve"> higher CARs and higher BHRs</w:t>
      </w:r>
      <w:r w:rsidR="00901D7D">
        <w:rPr>
          <w:rFonts w:cs="Times New Roman"/>
        </w:rPr>
        <w:t xml:space="preserve">. </w:t>
      </w:r>
      <w:r w:rsidRPr="00FD3EE9">
        <w:rPr>
          <w:rFonts w:cs="Times New Roman"/>
        </w:rPr>
        <w:t xml:space="preserve">By contrast, </w:t>
      </w:r>
      <w:r w:rsidR="00512D26" w:rsidRPr="00FD3EE9">
        <w:rPr>
          <w:rFonts w:cs="Times New Roman"/>
        </w:rPr>
        <w:fldChar w:fldCharType="begin"/>
      </w:r>
      <w:r w:rsidR="00512D26" w:rsidRPr="00FD3EE9">
        <w:rPr>
          <w:rFonts w:cs="Times New Roman"/>
        </w:rPr>
        <w:instrText xml:space="preserve"> ADDIN ZOTERO_ITEM CSL_CITATION {"citationID":"EVYByx32","properties":{"formattedCitation":"(Jenter, 2002)","plainCitation":"(Jenter, 2002)","noteIndex":0},"citationItems":[{"id":6,"uris":["http://zotero.org/users/local/SsAWob3L/items/QXWEKETT"],"uri":["http://zotero.org/users/local/SsAWob3L/items/QXWEKETT"],"itemData":{"id":6,"type":"article-journal","title":"Executive compensation, incentives, and risk","author":[{"family":"Jenter","given":"Dirk"}],"issued":{"date-parts":[["2002"]]}}}],"schema":"https://github.com/citation-style-language/schema/raw/master/csl-citation.json"} </w:instrText>
      </w:r>
      <w:r w:rsidR="00512D26" w:rsidRPr="00FD3EE9">
        <w:rPr>
          <w:rFonts w:cs="Times New Roman"/>
        </w:rPr>
        <w:fldChar w:fldCharType="separate"/>
      </w:r>
      <w:r w:rsidR="00512D26" w:rsidRPr="00FD3EE9">
        <w:rPr>
          <w:rFonts w:cs="Times New Roman"/>
          <w:noProof/>
        </w:rPr>
        <w:t>Jenter, (2002)</w:t>
      </w:r>
      <w:r w:rsidR="00512D26" w:rsidRPr="00FD3EE9">
        <w:rPr>
          <w:rFonts w:cs="Times New Roman"/>
        </w:rPr>
        <w:fldChar w:fldCharType="end"/>
      </w:r>
      <w:r w:rsidRPr="00FD3EE9">
        <w:rPr>
          <w:rFonts w:cs="Times New Roman"/>
        </w:rPr>
        <w:t xml:space="preserve"> and </w:t>
      </w:r>
      <w:r w:rsidR="00512D26" w:rsidRPr="00FD3EE9">
        <w:rPr>
          <w:rFonts w:cs="Times New Roman"/>
        </w:rPr>
        <w:fldChar w:fldCharType="begin"/>
      </w:r>
      <w:r w:rsidR="00512D26" w:rsidRPr="00FD3EE9">
        <w:rPr>
          <w:rFonts w:cs="Times New Roman"/>
        </w:rPr>
        <w:instrText xml:space="preserve"> ADDIN ZOTERO_ITEM CSL_CITATION {"citationID":"Nq9TFe2W","properties":{"formattedCitation":"(Hall and Murphy, 2002)","plainCitation":"(Hall and Murphy, 2002)","noteIndex":0},"citationItems":[{"id":7,"uris":["http://zotero.org/users/local/SsAWob3L/items/VKHSUX2W"],"uri":["http://zotero.org/users/local/SsAWob3L/items/VKHSUX2W"],"itemData":{"id":7,"type":"article-journal","title":"Stock options for undiversified executives","container-title":"Journal of accounting and economics","page":"3–42","volume":"33","issue":"1","author":[{"family":"Hall","given":"Brian J"},{"family":"Murphy","given":"Kevin J"}],"issued":{"date-parts":[["2002"]]}}}],"schema":"https://github.com/citation-style-language/schema/raw/master/csl-citation.json"} </w:instrText>
      </w:r>
      <w:r w:rsidR="00512D26" w:rsidRPr="00FD3EE9">
        <w:rPr>
          <w:rFonts w:cs="Times New Roman"/>
        </w:rPr>
        <w:fldChar w:fldCharType="separate"/>
      </w:r>
      <w:r w:rsidR="00512D26" w:rsidRPr="00FD3EE9">
        <w:rPr>
          <w:rFonts w:cs="Times New Roman"/>
          <w:noProof/>
        </w:rPr>
        <w:t>Hall and Murphy (2002)</w:t>
      </w:r>
      <w:r w:rsidR="00512D26" w:rsidRPr="00FD3EE9">
        <w:rPr>
          <w:rFonts w:cs="Times New Roman"/>
        </w:rPr>
        <w:fldChar w:fldCharType="end"/>
      </w:r>
      <w:r w:rsidRPr="00FD3EE9">
        <w:rPr>
          <w:rFonts w:cs="Times New Roman"/>
        </w:rPr>
        <w:t xml:space="preserve"> argue that optimal contract</w:t>
      </w:r>
      <w:r w:rsidR="00E2263D" w:rsidRPr="00FD3EE9">
        <w:rPr>
          <w:rFonts w:cs="Times New Roman"/>
        </w:rPr>
        <w:t>s</w:t>
      </w:r>
      <w:r w:rsidRPr="00FD3EE9">
        <w:rPr>
          <w:rFonts w:cs="Times New Roman"/>
        </w:rPr>
        <w:t xml:space="preserve"> should only use stock.</w:t>
      </w:r>
    </w:p>
    <w:p w14:paraId="02B82B5E" w14:textId="51534B55" w:rsidR="005F155A" w:rsidRPr="00FD3EE9" w:rsidRDefault="00D82956" w:rsidP="0085750E">
      <w:pPr>
        <w:spacing w:line="480" w:lineRule="auto"/>
        <w:ind w:firstLineChars="200" w:firstLine="480"/>
        <w:rPr>
          <w:rFonts w:cs="Times New Roman"/>
        </w:rPr>
      </w:pPr>
      <w:r w:rsidRPr="00FD3EE9">
        <w:rPr>
          <w:rFonts w:cs="Times New Roman"/>
        </w:rPr>
        <w:t>We conjecture that stock ownership and stock option</w:t>
      </w:r>
      <w:r w:rsidR="00E2263D" w:rsidRPr="00FD3EE9">
        <w:rPr>
          <w:rFonts w:cs="Times New Roman"/>
        </w:rPr>
        <w:t>s</w:t>
      </w:r>
      <w:r w:rsidRPr="00FD3EE9">
        <w:rPr>
          <w:rFonts w:cs="Times New Roman"/>
        </w:rPr>
        <w:t xml:space="preserve"> </w:t>
      </w:r>
      <w:r w:rsidR="00E2263D" w:rsidRPr="00FD3EE9">
        <w:rPr>
          <w:rFonts w:cs="Times New Roman"/>
        </w:rPr>
        <w:t>have a</w:t>
      </w:r>
      <w:r w:rsidRPr="00FD3EE9">
        <w:rPr>
          <w:rFonts w:cs="Times New Roman"/>
        </w:rPr>
        <w:t xml:space="preserve"> different impact on post-acquisition performance.</w:t>
      </w:r>
      <w:r w:rsidR="00EF1F9E" w:rsidRPr="00FD3EE9">
        <w:rPr>
          <w:rFonts w:cs="Times New Roman"/>
        </w:rPr>
        <w:t xml:space="preserve"> </w:t>
      </w:r>
      <w:r w:rsidR="00E2263D" w:rsidRPr="00FD3EE9">
        <w:rPr>
          <w:rFonts w:cs="Times New Roman"/>
        </w:rPr>
        <w:t>S</w:t>
      </w:r>
      <w:r w:rsidRPr="00FD3EE9">
        <w:rPr>
          <w:rFonts w:cs="Times New Roman"/>
        </w:rPr>
        <w:t xml:space="preserve">tock options </w:t>
      </w:r>
      <w:r w:rsidR="00E2263D" w:rsidRPr="00FD3EE9">
        <w:rPr>
          <w:rFonts w:cs="Times New Roman"/>
        </w:rPr>
        <w:t>lead to</w:t>
      </w:r>
      <w:r w:rsidRPr="00FD3EE9">
        <w:rPr>
          <w:rFonts w:cs="Times New Roman"/>
        </w:rPr>
        <w:t xml:space="preserve"> more acquisitions</w:t>
      </w:r>
      <w:r w:rsidR="00E2263D" w:rsidRPr="00FD3EE9">
        <w:rPr>
          <w:rFonts w:cs="Times New Roman"/>
        </w:rPr>
        <w:t xml:space="preserve"> and</w:t>
      </w:r>
      <w:r w:rsidRPr="00FD3EE9">
        <w:rPr>
          <w:rFonts w:cs="Times New Roman"/>
        </w:rPr>
        <w:t xml:space="preserve"> </w:t>
      </w:r>
      <w:r w:rsidR="00E2263D" w:rsidRPr="00FD3EE9">
        <w:rPr>
          <w:rFonts w:cs="Times New Roman"/>
        </w:rPr>
        <w:t xml:space="preserve">as they become more </w:t>
      </w:r>
      <w:r w:rsidR="00EA2087">
        <w:rPr>
          <w:rFonts w:cs="Times New Roman"/>
        </w:rPr>
        <w:t>frequent</w:t>
      </w:r>
      <w:r w:rsidR="00E2263D" w:rsidRPr="00FD3EE9">
        <w:rPr>
          <w:rFonts w:cs="Times New Roman"/>
        </w:rPr>
        <w:t xml:space="preserve"> </w:t>
      </w:r>
      <w:r w:rsidRPr="00FD3EE9">
        <w:rPr>
          <w:rFonts w:cs="Times New Roman"/>
        </w:rPr>
        <w:t xml:space="preserve">the quality of </w:t>
      </w:r>
      <w:r w:rsidR="00E2263D" w:rsidRPr="00FD3EE9">
        <w:rPr>
          <w:rFonts w:cs="Times New Roman"/>
        </w:rPr>
        <w:t>targets diminishes, suggesting a negative impact on post-merger performance</w:t>
      </w:r>
      <w:r w:rsidRPr="00FD3EE9">
        <w:rPr>
          <w:rFonts w:cs="Times New Roman"/>
        </w:rPr>
        <w:t>.</w:t>
      </w:r>
      <w:r w:rsidR="00E2263D" w:rsidRPr="00FD3EE9">
        <w:rPr>
          <w:rFonts w:cs="Times New Roman"/>
        </w:rPr>
        <w:t xml:space="preserve"> </w:t>
      </w:r>
      <w:r w:rsidR="00EA2087">
        <w:rPr>
          <w:rFonts w:cs="Times New Roman"/>
        </w:rPr>
        <w:t>T</w:t>
      </w:r>
      <w:r w:rsidRPr="00FD3EE9">
        <w:rPr>
          <w:rFonts w:cs="Times New Roman"/>
        </w:rPr>
        <w:t>he following hypothesis</w:t>
      </w:r>
      <w:r w:rsidR="00EA2087">
        <w:rPr>
          <w:rFonts w:cs="Times New Roman"/>
        </w:rPr>
        <w:t xml:space="preserve"> captures these arguments:</w:t>
      </w:r>
    </w:p>
    <w:p w14:paraId="68553249" w14:textId="6FEF8CB4" w:rsidR="00D82956" w:rsidRPr="00FD3EE9" w:rsidRDefault="00512D26" w:rsidP="0085750E">
      <w:pPr>
        <w:widowControl/>
        <w:spacing w:line="480" w:lineRule="auto"/>
        <w:jc w:val="left"/>
        <w:rPr>
          <w:rFonts w:cs="Times New Roman"/>
          <w:i/>
          <w:sz w:val="22"/>
        </w:rPr>
      </w:pPr>
      <w:bookmarkStart w:id="5" w:name="_Hlk48907384"/>
      <w:r w:rsidRPr="00FD3EE9">
        <w:rPr>
          <w:rFonts w:cs="Times New Roman"/>
          <w:i/>
          <w:sz w:val="22"/>
        </w:rPr>
        <w:t xml:space="preserve">Hypothesis 3: </w:t>
      </w:r>
      <w:r w:rsidR="00E2263D" w:rsidRPr="00FD3EE9">
        <w:rPr>
          <w:rFonts w:cs="Times New Roman"/>
          <w:i/>
          <w:sz w:val="22"/>
        </w:rPr>
        <w:t>The</w:t>
      </w:r>
      <w:r w:rsidRPr="00FD3EE9">
        <w:rPr>
          <w:rFonts w:cs="Times New Roman"/>
          <w:i/>
          <w:sz w:val="22"/>
        </w:rPr>
        <w:t xml:space="preserve"> association between stock option</w:t>
      </w:r>
      <w:r w:rsidR="00E2263D" w:rsidRPr="00FD3EE9">
        <w:rPr>
          <w:rFonts w:cs="Times New Roman"/>
          <w:i/>
          <w:sz w:val="22"/>
        </w:rPr>
        <w:t>s</w:t>
      </w:r>
      <w:r w:rsidRPr="00FD3EE9">
        <w:rPr>
          <w:rFonts w:cs="Times New Roman"/>
          <w:i/>
          <w:sz w:val="22"/>
        </w:rPr>
        <w:t xml:space="preserve"> and post-acquisition</w:t>
      </w:r>
      <w:r w:rsidR="00E2263D" w:rsidRPr="00FD3EE9">
        <w:rPr>
          <w:rFonts w:cs="Times New Roman"/>
          <w:i/>
          <w:sz w:val="22"/>
        </w:rPr>
        <w:t xml:space="preserve"> </w:t>
      </w:r>
      <w:r w:rsidRPr="00FD3EE9">
        <w:rPr>
          <w:rFonts w:cs="Times New Roman"/>
          <w:i/>
          <w:sz w:val="22"/>
        </w:rPr>
        <w:t>performance</w:t>
      </w:r>
      <w:r w:rsidR="00E2263D" w:rsidRPr="00FD3EE9">
        <w:rPr>
          <w:rFonts w:cs="Times New Roman"/>
          <w:i/>
          <w:sz w:val="22"/>
        </w:rPr>
        <w:t xml:space="preserve"> is negative</w:t>
      </w:r>
      <w:r w:rsidRPr="00FD3EE9">
        <w:rPr>
          <w:rFonts w:cs="Times New Roman"/>
          <w:i/>
          <w:sz w:val="22"/>
        </w:rPr>
        <w:t>.</w:t>
      </w:r>
    </w:p>
    <w:bookmarkEnd w:id="5"/>
    <w:p w14:paraId="26F04334" w14:textId="77777777" w:rsidR="00E745B7" w:rsidRPr="00FD3EE9" w:rsidRDefault="00E745B7" w:rsidP="0085750E">
      <w:pPr>
        <w:widowControl/>
        <w:spacing w:line="480" w:lineRule="auto"/>
        <w:ind w:firstLineChars="200" w:firstLine="440"/>
        <w:jc w:val="left"/>
        <w:rPr>
          <w:rFonts w:cs="Times New Roman"/>
          <w:i/>
          <w:sz w:val="22"/>
        </w:rPr>
      </w:pPr>
    </w:p>
    <w:p w14:paraId="6FC8D8FA" w14:textId="78D7AF72" w:rsidR="00512D26" w:rsidRPr="00FD3EE9" w:rsidRDefault="00EF1F9E" w:rsidP="0085750E">
      <w:pPr>
        <w:spacing w:line="480" w:lineRule="auto"/>
        <w:ind w:firstLineChars="200" w:firstLine="480"/>
        <w:rPr>
          <w:rFonts w:eastAsiaTheme="minorEastAsia"/>
        </w:rPr>
      </w:pPr>
      <w:bookmarkStart w:id="6" w:name="_Hlk49517622"/>
      <w:r w:rsidRPr="00FD3EE9">
        <w:rPr>
          <w:rFonts w:eastAsiaTheme="minorEastAsia"/>
        </w:rPr>
        <w:lastRenderedPageBreak/>
        <w:t xml:space="preserve">When a manager </w:t>
      </w:r>
      <w:r w:rsidR="00B018A7" w:rsidRPr="00FD3EE9">
        <w:rPr>
          <w:rFonts w:eastAsiaTheme="minorEastAsia"/>
        </w:rPr>
        <w:t>receives</w:t>
      </w:r>
      <w:r w:rsidRPr="00FD3EE9">
        <w:rPr>
          <w:rFonts w:eastAsiaTheme="minorEastAsia"/>
        </w:rPr>
        <w:t xml:space="preserve"> compensation in stock, her future wealth is partly linked to the future value of the firm. However, different levels of this ‘linkage’ will have a different impact on acquisition performance. </w:t>
      </w:r>
      <w:r w:rsidR="00B018A7" w:rsidRPr="00FD3EE9">
        <w:rPr>
          <w:rFonts w:eastAsiaTheme="minorEastAsia"/>
        </w:rPr>
        <w:t xml:space="preserve">In line with </w:t>
      </w:r>
      <w:r w:rsidRPr="00FD3EE9">
        <w:rPr>
          <w:rFonts w:eastAsiaTheme="minorEastAsia"/>
        </w:rPr>
        <w:t xml:space="preserve">the non-linear relationship between managerial ownership and acquisition behaviour, we contend that the </w:t>
      </w:r>
      <w:r w:rsidR="00B018A7" w:rsidRPr="00FD3EE9">
        <w:rPr>
          <w:rFonts w:eastAsiaTheme="minorEastAsia"/>
        </w:rPr>
        <w:t>relationship is</w:t>
      </w:r>
      <w:r w:rsidRPr="00FD3EE9">
        <w:rPr>
          <w:rFonts w:eastAsiaTheme="minorEastAsia"/>
        </w:rPr>
        <w:t xml:space="preserve"> non-linear.</w:t>
      </w:r>
    </w:p>
    <w:p w14:paraId="143A614C" w14:textId="06B6D743" w:rsidR="00EF1F9E" w:rsidRPr="00FD3EE9" w:rsidRDefault="00EF1F9E" w:rsidP="0085750E">
      <w:pPr>
        <w:spacing w:line="480" w:lineRule="auto"/>
        <w:ind w:firstLineChars="200" w:firstLine="480"/>
        <w:rPr>
          <w:rFonts w:eastAsiaTheme="minorEastAsia"/>
        </w:rPr>
      </w:pPr>
      <w:r w:rsidRPr="00FD3EE9">
        <w:rPr>
          <w:rFonts w:eastAsiaTheme="minorEastAsia"/>
        </w:rPr>
        <w:t>As executive compensation is positively correlated to firm size, it is reasonable to expect that managers will receive higher compensation after acquisitions (</w:t>
      </w:r>
      <w:proofErr w:type="spellStart"/>
      <w:r w:rsidRPr="00FD3EE9">
        <w:rPr>
          <w:rFonts w:eastAsiaTheme="minorEastAsia"/>
        </w:rPr>
        <w:t>Lahlou</w:t>
      </w:r>
      <w:proofErr w:type="spellEnd"/>
      <w:r w:rsidRPr="00FD3EE9">
        <w:rPr>
          <w:rFonts w:eastAsiaTheme="minorEastAsia"/>
        </w:rPr>
        <w:t xml:space="preserve"> and </w:t>
      </w:r>
      <w:proofErr w:type="spellStart"/>
      <w:r w:rsidRPr="00FD3EE9">
        <w:rPr>
          <w:rFonts w:eastAsiaTheme="minorEastAsia"/>
        </w:rPr>
        <w:t>Navatte</w:t>
      </w:r>
      <w:proofErr w:type="spellEnd"/>
      <w:r w:rsidRPr="00FD3EE9">
        <w:rPr>
          <w:rFonts w:eastAsiaTheme="minorEastAsia"/>
        </w:rPr>
        <w:t xml:space="preserve">, 2017; </w:t>
      </w:r>
      <w:proofErr w:type="spellStart"/>
      <w:r w:rsidRPr="00FD3EE9">
        <w:rPr>
          <w:rFonts w:eastAsiaTheme="minorEastAsia"/>
        </w:rPr>
        <w:t>Haleblian</w:t>
      </w:r>
      <w:proofErr w:type="spellEnd"/>
      <w:r w:rsidRPr="00FD3EE9">
        <w:rPr>
          <w:rFonts w:eastAsiaTheme="minorEastAsia"/>
        </w:rPr>
        <w:t xml:space="preserve"> et al., 2009). Moreover, managers can also benefit from acquisitions </w:t>
      </w:r>
      <w:r w:rsidR="004346C2" w:rsidRPr="00FD3EE9">
        <w:rPr>
          <w:rFonts w:eastAsiaTheme="minorEastAsia"/>
        </w:rPr>
        <w:t>by</w:t>
      </w:r>
      <w:r w:rsidRPr="00FD3EE9">
        <w:rPr>
          <w:rFonts w:eastAsiaTheme="minorEastAsia"/>
        </w:rPr>
        <w:t xml:space="preserve"> building a ‘bigger empire’</w:t>
      </w:r>
      <w:r w:rsidR="004346C2" w:rsidRPr="00FD3EE9">
        <w:rPr>
          <w:rFonts w:eastAsiaTheme="minorEastAsia"/>
        </w:rPr>
        <w:t>,</w:t>
      </w:r>
      <w:r w:rsidRPr="00FD3EE9">
        <w:rPr>
          <w:rFonts w:eastAsiaTheme="minorEastAsia"/>
        </w:rPr>
        <w:t xml:space="preserve"> reducing their employment risk (Deutsch et al., 2007). </w:t>
      </w:r>
      <w:r w:rsidR="004346C2" w:rsidRPr="00FD3EE9">
        <w:rPr>
          <w:rFonts w:eastAsiaTheme="minorEastAsia"/>
        </w:rPr>
        <w:t>I</w:t>
      </w:r>
      <w:r w:rsidRPr="00FD3EE9">
        <w:rPr>
          <w:rFonts w:eastAsiaTheme="minorEastAsia"/>
        </w:rPr>
        <w:t xml:space="preserve">f managers have small equity stakes, they </w:t>
      </w:r>
      <w:r w:rsidR="004346C2" w:rsidRPr="00FD3EE9">
        <w:rPr>
          <w:rFonts w:eastAsiaTheme="minorEastAsia"/>
        </w:rPr>
        <w:t>might pursue</w:t>
      </w:r>
      <w:r w:rsidRPr="00FD3EE9">
        <w:rPr>
          <w:rFonts w:eastAsiaTheme="minorEastAsia"/>
        </w:rPr>
        <w:t xml:space="preserve"> value-</w:t>
      </w:r>
      <w:r w:rsidR="004346C2" w:rsidRPr="00FD3EE9">
        <w:rPr>
          <w:rFonts w:eastAsiaTheme="minorEastAsia"/>
        </w:rPr>
        <w:t xml:space="preserve">destroying mergers as </w:t>
      </w:r>
      <w:r w:rsidRPr="00FD3EE9">
        <w:rPr>
          <w:rFonts w:eastAsiaTheme="minorEastAsia"/>
        </w:rPr>
        <w:t>the</w:t>
      </w:r>
      <w:r w:rsidR="004346C2" w:rsidRPr="00FD3EE9">
        <w:rPr>
          <w:rFonts w:eastAsiaTheme="minorEastAsia"/>
        </w:rPr>
        <w:t>ir</w:t>
      </w:r>
      <w:r w:rsidRPr="00FD3EE9">
        <w:rPr>
          <w:rFonts w:eastAsiaTheme="minorEastAsia"/>
        </w:rPr>
        <w:t xml:space="preserve"> losses can be offset by other personal benefits following acquisitions (</w:t>
      </w:r>
      <w:proofErr w:type="spellStart"/>
      <w:r w:rsidRPr="00FD3EE9">
        <w:rPr>
          <w:rFonts w:eastAsiaTheme="minorEastAsia"/>
        </w:rPr>
        <w:t>Lahlou</w:t>
      </w:r>
      <w:proofErr w:type="spellEnd"/>
      <w:r w:rsidRPr="00FD3EE9">
        <w:rPr>
          <w:rFonts w:eastAsiaTheme="minorEastAsia"/>
        </w:rPr>
        <w:t xml:space="preserve"> </w:t>
      </w:r>
      <w:r w:rsidR="004346C2" w:rsidRPr="00FD3EE9">
        <w:rPr>
          <w:rFonts w:eastAsiaTheme="minorEastAsia"/>
        </w:rPr>
        <w:t xml:space="preserve">and </w:t>
      </w:r>
      <w:proofErr w:type="spellStart"/>
      <w:r w:rsidRPr="00FD3EE9">
        <w:rPr>
          <w:rFonts w:eastAsiaTheme="minorEastAsia"/>
        </w:rPr>
        <w:t>Navatte</w:t>
      </w:r>
      <w:proofErr w:type="spellEnd"/>
      <w:r w:rsidRPr="00FD3EE9">
        <w:rPr>
          <w:rFonts w:eastAsiaTheme="minorEastAsia"/>
        </w:rPr>
        <w:t xml:space="preserve">, 2017). </w:t>
      </w:r>
      <w:r w:rsidR="00D85830" w:rsidRPr="00FD3EE9">
        <w:rPr>
          <w:rFonts w:eastAsiaTheme="minorEastAsia"/>
        </w:rPr>
        <w:t xml:space="preserve">This argument changes with higher equity stakes, suggesting a positive impact on post-merger performance, captured </w:t>
      </w:r>
      <w:r w:rsidR="006146FE" w:rsidRPr="00FD3EE9">
        <w:rPr>
          <w:rFonts w:eastAsiaTheme="minorEastAsia"/>
        </w:rPr>
        <w:t>by</w:t>
      </w:r>
      <w:r w:rsidR="00D85830" w:rsidRPr="00FD3EE9">
        <w:rPr>
          <w:rFonts w:eastAsiaTheme="minorEastAsia"/>
        </w:rPr>
        <w:t xml:space="preserve"> the following hypothesis. </w:t>
      </w:r>
    </w:p>
    <w:p w14:paraId="36882408" w14:textId="516D6018" w:rsidR="00512D26" w:rsidRPr="00FD3EE9" w:rsidRDefault="00E745B7" w:rsidP="0085750E">
      <w:pPr>
        <w:widowControl/>
        <w:spacing w:line="480" w:lineRule="auto"/>
        <w:jc w:val="left"/>
        <w:rPr>
          <w:rFonts w:cs="Times New Roman"/>
          <w:i/>
          <w:sz w:val="22"/>
        </w:rPr>
      </w:pPr>
      <w:bookmarkStart w:id="7" w:name="_Hlk48907393"/>
      <w:bookmarkEnd w:id="6"/>
      <w:r w:rsidRPr="00FD3EE9">
        <w:rPr>
          <w:rFonts w:cs="Times New Roman"/>
          <w:i/>
          <w:sz w:val="22"/>
        </w:rPr>
        <w:t>Hypothesis 4:</w:t>
      </w:r>
      <w:r w:rsidR="002D2EC1" w:rsidRPr="00FD3EE9">
        <w:rPr>
          <w:rFonts w:cs="Times New Roman"/>
          <w:i/>
          <w:sz w:val="22"/>
        </w:rPr>
        <w:t xml:space="preserve"> </w:t>
      </w:r>
      <w:r w:rsidR="00D85830" w:rsidRPr="00FD3EE9">
        <w:rPr>
          <w:rFonts w:cs="Times New Roman"/>
          <w:i/>
          <w:sz w:val="22"/>
        </w:rPr>
        <w:t>The</w:t>
      </w:r>
      <w:r w:rsidRPr="00FD3EE9">
        <w:rPr>
          <w:rFonts w:cs="Times New Roman"/>
          <w:i/>
          <w:sz w:val="22"/>
        </w:rPr>
        <w:t xml:space="preserve"> association between managerial stock ownership and post-acquisition performance </w:t>
      </w:r>
      <w:r w:rsidR="00D85830" w:rsidRPr="00FD3EE9">
        <w:rPr>
          <w:rFonts w:cs="Times New Roman"/>
          <w:i/>
          <w:sz w:val="22"/>
        </w:rPr>
        <w:t xml:space="preserve">is negative at low levels of ownership – but positive if equity stakes are higher. </w:t>
      </w:r>
      <w:bookmarkEnd w:id="7"/>
    </w:p>
    <w:p w14:paraId="4A78401A" w14:textId="3A80E2AE" w:rsidR="008F4B09" w:rsidRPr="00FD3EE9" w:rsidRDefault="008F4B09">
      <w:pPr>
        <w:pStyle w:val="ad"/>
        <w:spacing w:before="0" w:after="0" w:line="480" w:lineRule="auto"/>
        <w:jc w:val="left"/>
        <w:rPr>
          <w:rFonts w:ascii="Times New Roman" w:hAnsi="Times New Roman" w:cs="Times New Roman"/>
          <w:b w:val="0"/>
          <w:i/>
          <w:sz w:val="24"/>
        </w:rPr>
      </w:pPr>
    </w:p>
    <w:p w14:paraId="7D84FB35" w14:textId="71A623D3" w:rsidR="00D85830" w:rsidRPr="00FD3EE9" w:rsidRDefault="00D85830" w:rsidP="00D85830"/>
    <w:p w14:paraId="0DB9545C" w14:textId="77777777" w:rsidR="00D85830" w:rsidRPr="00FD3EE9" w:rsidRDefault="00D85830" w:rsidP="0085750E">
      <w:pPr>
        <w:rPr>
          <w:b/>
        </w:rPr>
      </w:pPr>
    </w:p>
    <w:p w14:paraId="30B59CE7" w14:textId="681A0D2C" w:rsidR="00512D26" w:rsidRPr="00FD3EE9" w:rsidRDefault="00E745B7" w:rsidP="0085750E">
      <w:pPr>
        <w:pStyle w:val="ad"/>
        <w:spacing w:before="0" w:after="0" w:line="480" w:lineRule="auto"/>
        <w:jc w:val="left"/>
        <w:rPr>
          <w:rFonts w:ascii="Times New Roman" w:hAnsi="Times New Roman" w:cs="Times New Roman"/>
          <w:b w:val="0"/>
          <w:i/>
          <w:sz w:val="24"/>
        </w:rPr>
      </w:pPr>
      <w:r w:rsidRPr="00FD3EE9">
        <w:rPr>
          <w:rFonts w:ascii="Times New Roman" w:hAnsi="Times New Roman" w:cs="Times New Roman"/>
          <w:b w:val="0"/>
          <w:i/>
          <w:sz w:val="24"/>
        </w:rPr>
        <w:lastRenderedPageBreak/>
        <w:t>3.3 Institutional impact</w:t>
      </w:r>
    </w:p>
    <w:p w14:paraId="1718326D" w14:textId="4500A17A" w:rsidR="00E745B7" w:rsidRPr="00FD3EE9" w:rsidRDefault="00E745B7" w:rsidP="0085750E">
      <w:pPr>
        <w:spacing w:line="480" w:lineRule="auto"/>
        <w:ind w:firstLineChars="200" w:firstLine="480"/>
      </w:pPr>
      <w:r w:rsidRPr="00FD3EE9">
        <w:t xml:space="preserve">A significant feature of China's </w:t>
      </w:r>
      <w:r w:rsidR="00EA2087">
        <w:t>institutional</w:t>
      </w:r>
      <w:r w:rsidR="00166D89" w:rsidRPr="00FD3EE9">
        <w:t xml:space="preserve"> setting </w:t>
      </w:r>
      <w:r w:rsidRPr="00FD3EE9">
        <w:t xml:space="preserve">is </w:t>
      </w:r>
      <w:r w:rsidR="00166D89" w:rsidRPr="00FD3EE9">
        <w:t xml:space="preserve">the </w:t>
      </w:r>
      <w:r w:rsidRPr="00FD3EE9">
        <w:t xml:space="preserve">dominant position of </w:t>
      </w:r>
      <w:r w:rsidR="00EA2087">
        <w:t xml:space="preserve">the state </w:t>
      </w:r>
      <w:r w:rsidRPr="00FD3EE9">
        <w:t xml:space="preserve">in </w:t>
      </w:r>
      <w:r w:rsidR="00166D89" w:rsidRPr="00FD3EE9">
        <w:t xml:space="preserve">the </w:t>
      </w:r>
      <w:r w:rsidRPr="00FD3EE9">
        <w:t xml:space="preserve">national economy. The state plays a significant role in </w:t>
      </w:r>
      <w:r w:rsidR="00166D89" w:rsidRPr="00FD3EE9">
        <w:t>the economy</w:t>
      </w:r>
      <w:r w:rsidRPr="00FD3EE9">
        <w:t xml:space="preserve"> through state-ownership, administrative governance and regulations </w:t>
      </w:r>
      <w:r w:rsidRPr="00FD3EE9">
        <w:fldChar w:fldCharType="begin"/>
      </w:r>
      <w:r w:rsidRPr="00FD3EE9">
        <w:instrText xml:space="preserve"> ADDIN ZOTERO_ITEM CSL_CITATION {"citationID":"IB4tI4Sc","properties":{"formattedCitation":"(Gao and Kling, 2006)","plainCitation":"(Gao and Kling, 2006)","noteIndex":0},"citationItems":[{"id":150,"uris":["http://zotero.org/users/local/SsAWob3L/items/CJ9N8ZDW"],"uri":["http://zotero.org/users/local/SsAWob3L/items/CJ9N8ZDW"],"itemData":{"id":150,"type":"article-journal","title":"Regulatory changes and market liquidity in Chinese stock markets","container-title":"Emerging Markets Review","page":"162–175","volume":"7","issue":"2","author":[{"family":"Gao","given":"L."},{"family":"Kling","given":"G."}],"issued":{"date-parts":[["2006"]]}}}],"schema":"https://github.com/citation-style-language/schema/raw/master/csl-citation.json"} </w:instrText>
      </w:r>
      <w:r w:rsidRPr="00FD3EE9">
        <w:fldChar w:fldCharType="separate"/>
      </w:r>
      <w:r w:rsidRPr="00FD3EE9">
        <w:rPr>
          <w:noProof/>
        </w:rPr>
        <w:t>(Gao and Kling, 2006)</w:t>
      </w:r>
      <w:r w:rsidRPr="00FD3EE9">
        <w:fldChar w:fldCharType="end"/>
      </w:r>
      <w:r w:rsidRPr="00FD3EE9">
        <w:t xml:space="preserve">. Thus, we expect that the </w:t>
      </w:r>
      <w:r w:rsidR="00166D89" w:rsidRPr="00FD3EE9">
        <w:t>institutional setting affects the impact of</w:t>
      </w:r>
      <w:r w:rsidRPr="00FD3EE9">
        <w:t xml:space="preserve"> executive compensation </w:t>
      </w:r>
      <w:r w:rsidR="00166D89" w:rsidRPr="00FD3EE9">
        <w:t xml:space="preserve">on </w:t>
      </w:r>
      <w:r w:rsidRPr="00FD3EE9">
        <w:t xml:space="preserve">acquisitions. Specifically, we conjecture that the equity-based compensation </w:t>
      </w:r>
      <w:r w:rsidR="00166D89" w:rsidRPr="00FD3EE9">
        <w:t>plays</w:t>
      </w:r>
      <w:r w:rsidRPr="00FD3EE9">
        <w:t xml:space="preserve"> a less </w:t>
      </w:r>
      <w:r w:rsidR="00166D89" w:rsidRPr="00FD3EE9">
        <w:t xml:space="preserve">prominent </w:t>
      </w:r>
      <w:r w:rsidRPr="00FD3EE9">
        <w:t xml:space="preserve">role in </w:t>
      </w:r>
      <w:r w:rsidR="00166D89" w:rsidRPr="00FD3EE9">
        <w:t>SOEs</w:t>
      </w:r>
      <w:r w:rsidRPr="00FD3EE9">
        <w:t xml:space="preserve"> than in private firms. First, managers in SOEs are </w:t>
      </w:r>
      <w:r w:rsidR="00166D89" w:rsidRPr="00FD3EE9">
        <w:t xml:space="preserve">less </w:t>
      </w:r>
      <w:r w:rsidRPr="00FD3EE9">
        <w:t xml:space="preserve">sensitive to compensation since </w:t>
      </w:r>
      <w:r w:rsidR="00EA2087">
        <w:t>they</w:t>
      </w:r>
      <w:r w:rsidRPr="00FD3EE9">
        <w:t xml:space="preserve"> are appointed by </w:t>
      </w:r>
      <w:r w:rsidR="00166D89" w:rsidRPr="00FD3EE9">
        <w:t xml:space="preserve">the state </w:t>
      </w:r>
      <w:r w:rsidRPr="00FD3EE9">
        <w:t xml:space="preserve">and rewarded with political promotion by fulfilling </w:t>
      </w:r>
      <w:r w:rsidR="00166D89" w:rsidRPr="00FD3EE9">
        <w:t xml:space="preserve">their </w:t>
      </w:r>
      <w:r w:rsidRPr="00FD3EE9">
        <w:t xml:space="preserve">targets </w:t>
      </w:r>
      <w:r w:rsidRPr="00FD3EE9">
        <w:fldChar w:fldCharType="begin"/>
      </w:r>
      <w:r w:rsidRPr="00FD3EE9">
        <w:instrText xml:space="preserve"> ADDIN ZOTERO_ITEM CSL_CITATION {"citationID":"fctxR4Na","properties":{"formattedCitation":"(Conyon and He, 2011)","plainCitation":"(Conyon and He, 2011)","noteIndex":0},"citationItems":[{"id":98,"uris":["http://zotero.org/users/local/SsAWob3L/items/7XW6YM4N"],"uri":["http://zotero.org/users/local/SsAWob3L/items/7XW6YM4N"],"itemData":{"id":98,"type":"article-journal","title":"Executive compensation and corporate governance in China","container-title":"Journal of Corporate Finance","page":"1158–1175","volume":"17","issue":"4","author":[{"family":"Conyon","given":"Martin J"},{"family":"He","given":"Lerong"}],"issued":{"date-parts":[["2011"]]}}}],"schema":"https://github.com/citation-style-language/schema/raw/master/csl-citation.json"} </w:instrText>
      </w:r>
      <w:r w:rsidRPr="00FD3EE9">
        <w:fldChar w:fldCharType="separate"/>
      </w:r>
      <w:r w:rsidRPr="00FD3EE9">
        <w:rPr>
          <w:noProof/>
        </w:rPr>
        <w:t>(Conyon and He, 2011)</w:t>
      </w:r>
      <w:r w:rsidRPr="00FD3EE9">
        <w:fldChar w:fldCharType="end"/>
      </w:r>
      <w:r w:rsidRPr="00FD3EE9">
        <w:t xml:space="preserve">. Second, managers in </w:t>
      </w:r>
      <w:r w:rsidR="00166D89" w:rsidRPr="00FD3EE9">
        <w:t xml:space="preserve">large </w:t>
      </w:r>
      <w:r w:rsidRPr="00FD3EE9">
        <w:t xml:space="preserve">SOEs are less powerful than their counterparts in private firm because they are under direct control of state bureaucrats such as </w:t>
      </w:r>
      <w:r w:rsidR="00166D89" w:rsidRPr="00FD3EE9">
        <w:t xml:space="preserve">the </w:t>
      </w:r>
      <w:r w:rsidRPr="00FD3EE9">
        <w:t xml:space="preserve">State-owned Assets Supervision and Administration Commission of the State council (SASAC) </w:t>
      </w:r>
      <w:r w:rsidRPr="00FD3EE9">
        <w:fldChar w:fldCharType="begin"/>
      </w:r>
      <w:r w:rsidRPr="00FD3EE9">
        <w:instrText xml:space="preserve"> ADDIN ZOTERO_ITEM CSL_CITATION {"citationID":"QXo54R4B","properties":{"formattedCitation":"(Gao and Kling, 2012)","plainCitation":"(Gao and Kling, 2012)","noteIndex":0},"citationItems":[{"id":109,"uris":["http://zotero.org/users/local/SsAWob3L/items/F56YZBIZ"],"uri":["http://zotero.org/users/local/SsAWob3L/items/F56YZBIZ"],"itemData":{"id":109,"type":"article-journal","title":"The impact of corporate governance and external audit on compliance to mandatory disclosure requirements in China","container-title":"Journal of International Accounting, Auditing and Taxation","page":"17–31","volume":"21","issue":"1","author":[{"family":"Gao","given":"Lei"},{"family":"Kling","given":"Gerhard"}],"issued":{"date-parts":[["2012"]]}}}],"schema":"https://github.com/citation-style-language/schema/raw/master/csl-citation.json"} </w:instrText>
      </w:r>
      <w:r w:rsidRPr="00FD3EE9">
        <w:fldChar w:fldCharType="separate"/>
      </w:r>
      <w:r w:rsidRPr="00FD3EE9">
        <w:rPr>
          <w:noProof/>
        </w:rPr>
        <w:t>(Gao and Kling, 2012)</w:t>
      </w:r>
      <w:r w:rsidRPr="00FD3EE9">
        <w:fldChar w:fldCharType="end"/>
      </w:r>
      <w:r w:rsidRPr="00FD3EE9">
        <w:t xml:space="preserve">. Finally, many state-led acquisitions are driven by </w:t>
      </w:r>
      <w:r w:rsidR="00166D89" w:rsidRPr="00FD3EE9">
        <w:t>other motives such as</w:t>
      </w:r>
      <w:r w:rsidRPr="00FD3EE9">
        <w:t xml:space="preserve"> </w:t>
      </w:r>
      <w:r w:rsidR="00166D89" w:rsidRPr="00FD3EE9">
        <w:t xml:space="preserve">restructuring </w:t>
      </w:r>
      <w:r w:rsidRPr="00FD3EE9">
        <w:t xml:space="preserve">(i.e. </w:t>
      </w:r>
      <w:r w:rsidR="00EA2087">
        <w:t>s</w:t>
      </w:r>
      <w:r w:rsidRPr="00FD3EE9">
        <w:t xml:space="preserve">teel industry). We </w:t>
      </w:r>
      <w:r w:rsidR="00166D89" w:rsidRPr="00FD3EE9">
        <w:t>formulate</w:t>
      </w:r>
      <w:r w:rsidRPr="00FD3EE9">
        <w:t xml:space="preserve"> the following hypothesis:</w:t>
      </w:r>
    </w:p>
    <w:p w14:paraId="28ACF08C" w14:textId="443FA621" w:rsidR="00512D26" w:rsidRDefault="00E745B7" w:rsidP="0085750E">
      <w:pPr>
        <w:widowControl/>
        <w:spacing w:line="480" w:lineRule="auto"/>
        <w:jc w:val="left"/>
        <w:rPr>
          <w:rFonts w:cs="Times New Roman"/>
          <w:i/>
          <w:sz w:val="22"/>
        </w:rPr>
      </w:pPr>
      <w:bookmarkStart w:id="8" w:name="_Hlk48907404"/>
      <w:r w:rsidRPr="00FD3EE9">
        <w:rPr>
          <w:rFonts w:cs="Times New Roman"/>
          <w:i/>
          <w:sz w:val="22"/>
        </w:rPr>
        <w:t>Hypothesis</w:t>
      </w:r>
      <w:r w:rsidR="00166D89" w:rsidRPr="00FD3EE9">
        <w:rPr>
          <w:rFonts w:cs="Times New Roman"/>
          <w:i/>
          <w:sz w:val="22"/>
        </w:rPr>
        <w:t xml:space="preserve"> 5</w:t>
      </w:r>
      <w:r w:rsidRPr="00FD3EE9">
        <w:rPr>
          <w:rFonts w:cs="Times New Roman"/>
          <w:i/>
          <w:sz w:val="22"/>
        </w:rPr>
        <w:t xml:space="preserve">: </w:t>
      </w:r>
      <w:r w:rsidR="00166D89" w:rsidRPr="00FD3EE9">
        <w:rPr>
          <w:rFonts w:cs="Times New Roman"/>
          <w:i/>
          <w:sz w:val="22"/>
        </w:rPr>
        <w:t>The</w:t>
      </w:r>
      <w:r w:rsidRPr="00FD3EE9">
        <w:rPr>
          <w:rFonts w:cs="Times New Roman"/>
          <w:i/>
          <w:sz w:val="22"/>
        </w:rPr>
        <w:t xml:space="preserve"> association between executive compensation</w:t>
      </w:r>
      <w:r w:rsidR="00166D89" w:rsidRPr="00FD3EE9">
        <w:rPr>
          <w:rFonts w:cs="Times New Roman"/>
          <w:i/>
          <w:sz w:val="22"/>
        </w:rPr>
        <w:t xml:space="preserve">, M&amp;A activity and performance is less pronounced </w:t>
      </w:r>
      <w:r w:rsidRPr="00FD3EE9">
        <w:rPr>
          <w:rFonts w:cs="Times New Roman"/>
          <w:i/>
          <w:sz w:val="22"/>
        </w:rPr>
        <w:t>in SOEs than in private firms.</w:t>
      </w:r>
    </w:p>
    <w:p w14:paraId="58D50D8A" w14:textId="77777777" w:rsidR="00EA2087" w:rsidRPr="00FD3EE9" w:rsidRDefault="00EA2087" w:rsidP="0085750E">
      <w:pPr>
        <w:widowControl/>
        <w:spacing w:line="480" w:lineRule="auto"/>
        <w:jc w:val="left"/>
        <w:rPr>
          <w:rFonts w:cs="Times New Roman"/>
          <w:i/>
          <w:sz w:val="22"/>
        </w:rPr>
      </w:pPr>
    </w:p>
    <w:bookmarkEnd w:id="8"/>
    <w:p w14:paraId="486F89CC" w14:textId="14C77F02" w:rsidR="000D01A9" w:rsidRPr="00FD3EE9" w:rsidRDefault="00E745B7" w:rsidP="0085750E">
      <w:pPr>
        <w:pStyle w:val="a4"/>
        <w:spacing w:before="0" w:after="0" w:line="480" w:lineRule="auto"/>
        <w:rPr>
          <w:rFonts w:ascii="Times New Roman" w:hAnsi="Times New Roman" w:cs="Times New Roman"/>
          <w:sz w:val="24"/>
        </w:rPr>
      </w:pPr>
      <w:r w:rsidRPr="00FD3EE9">
        <w:rPr>
          <w:rFonts w:ascii="Times New Roman" w:hAnsi="Times New Roman" w:cs="Times New Roman"/>
          <w:sz w:val="24"/>
        </w:rPr>
        <w:lastRenderedPageBreak/>
        <w:t>4</w:t>
      </w:r>
      <w:r w:rsidR="00D91BFD" w:rsidRPr="00FD3EE9">
        <w:rPr>
          <w:rFonts w:ascii="Times New Roman" w:hAnsi="Times New Roman" w:cs="Times New Roman"/>
          <w:sz w:val="24"/>
        </w:rPr>
        <w:t xml:space="preserve">. Sample </w:t>
      </w:r>
      <w:r w:rsidR="00654661">
        <w:rPr>
          <w:rFonts w:ascii="Times New Roman" w:hAnsi="Times New Roman" w:cs="Times New Roman"/>
          <w:sz w:val="24"/>
        </w:rPr>
        <w:t>c</w:t>
      </w:r>
      <w:r w:rsidR="00D91BFD" w:rsidRPr="00FD3EE9">
        <w:rPr>
          <w:rFonts w:ascii="Times New Roman" w:hAnsi="Times New Roman" w:cs="Times New Roman"/>
          <w:sz w:val="24"/>
        </w:rPr>
        <w:t xml:space="preserve">onstruction and </w:t>
      </w:r>
      <w:r w:rsidR="00654661">
        <w:rPr>
          <w:rFonts w:ascii="Times New Roman" w:hAnsi="Times New Roman" w:cs="Times New Roman"/>
          <w:sz w:val="24"/>
        </w:rPr>
        <w:t>m</w:t>
      </w:r>
      <w:r w:rsidR="00D91BFD" w:rsidRPr="00FD3EE9">
        <w:rPr>
          <w:rFonts w:ascii="Times New Roman" w:hAnsi="Times New Roman" w:cs="Times New Roman"/>
          <w:sz w:val="24"/>
        </w:rPr>
        <w:t>ethod</w:t>
      </w:r>
    </w:p>
    <w:p w14:paraId="68129AAA" w14:textId="56EA9DEC" w:rsidR="000D01A9" w:rsidRPr="00FD3EE9" w:rsidRDefault="00E745B7" w:rsidP="0085750E">
      <w:pPr>
        <w:pStyle w:val="ad"/>
        <w:spacing w:before="0" w:after="0" w:line="480" w:lineRule="auto"/>
        <w:jc w:val="left"/>
        <w:rPr>
          <w:rFonts w:ascii="Times New Roman" w:hAnsi="Times New Roman" w:cs="Times New Roman"/>
          <w:b w:val="0"/>
          <w:i/>
          <w:sz w:val="24"/>
        </w:rPr>
      </w:pPr>
      <w:bookmarkStart w:id="9" w:name="_Hlk48750706"/>
      <w:r w:rsidRPr="00FD3EE9">
        <w:rPr>
          <w:rFonts w:ascii="Times New Roman" w:hAnsi="Times New Roman" w:cs="Times New Roman"/>
          <w:b w:val="0"/>
          <w:i/>
          <w:sz w:val="24"/>
        </w:rPr>
        <w:t>4</w:t>
      </w:r>
      <w:r w:rsidR="00D91BFD" w:rsidRPr="00FD3EE9">
        <w:rPr>
          <w:rFonts w:ascii="Times New Roman" w:hAnsi="Times New Roman" w:cs="Times New Roman"/>
          <w:b w:val="0"/>
          <w:i/>
          <w:sz w:val="24"/>
        </w:rPr>
        <w:t xml:space="preserve">.1. </w:t>
      </w:r>
      <w:r w:rsidR="000D01A9" w:rsidRPr="00FD3EE9">
        <w:rPr>
          <w:rFonts w:ascii="Times New Roman" w:hAnsi="Times New Roman" w:cs="Times New Roman"/>
          <w:b w:val="0"/>
          <w:i/>
          <w:sz w:val="24"/>
        </w:rPr>
        <w:t xml:space="preserve">Sample and </w:t>
      </w:r>
      <w:r w:rsidR="00D91BFD" w:rsidRPr="00FD3EE9">
        <w:rPr>
          <w:rFonts w:ascii="Times New Roman" w:hAnsi="Times New Roman" w:cs="Times New Roman"/>
          <w:b w:val="0"/>
          <w:i/>
          <w:sz w:val="24"/>
        </w:rPr>
        <w:t>data</w:t>
      </w:r>
    </w:p>
    <w:p w14:paraId="22E56EA7" w14:textId="3495FE2F" w:rsidR="000D01A9" w:rsidRPr="00FD3EE9" w:rsidRDefault="000D01A9" w:rsidP="0085750E">
      <w:pPr>
        <w:spacing w:line="480" w:lineRule="auto"/>
        <w:ind w:firstLineChars="200" w:firstLine="480"/>
      </w:pPr>
      <w:bookmarkStart w:id="10" w:name="_Hlk49518191"/>
      <w:bookmarkStart w:id="11" w:name="_Hlk49518337"/>
      <w:bookmarkEnd w:id="9"/>
      <w:r w:rsidRPr="00FD3EE9">
        <w:t>Our data covers the period from 2005</w:t>
      </w:r>
      <w:r w:rsidR="00B2421B" w:rsidRPr="00FD3EE9">
        <w:t>-</w:t>
      </w:r>
      <w:r w:rsidRPr="00FD3EE9">
        <w:t>2014</w:t>
      </w:r>
      <w:r w:rsidR="00E36616" w:rsidRPr="00FD3EE9">
        <w:t xml:space="preserve"> as we require a post-merger phase to assess long-term performance of merged entities</w:t>
      </w:r>
      <w:r w:rsidRPr="00FD3EE9">
        <w:t xml:space="preserve">. </w:t>
      </w:r>
      <w:bookmarkEnd w:id="10"/>
      <w:r w:rsidRPr="00FD3EE9">
        <w:t>We consider this sample period for two reasons. First, this decade is marked by continuous financial and market reform</w:t>
      </w:r>
      <w:r w:rsidR="00E36616" w:rsidRPr="00FD3EE9">
        <w:t>s</w:t>
      </w:r>
      <w:r w:rsidRPr="00FD3EE9">
        <w:t>. Specifically, Chinese firms have been encouraged to adopt stock options since 2006 to incentivize managers</w:t>
      </w:r>
      <w:r w:rsidR="00B2421B" w:rsidRPr="00FD3EE9">
        <w:t>.</w:t>
      </w:r>
      <w:r w:rsidR="008C1021" w:rsidRPr="00FD3EE9">
        <w:rPr>
          <w:rStyle w:val="af"/>
        </w:rPr>
        <w:endnoteReference w:id="1"/>
      </w:r>
      <w:r w:rsidR="008C1021" w:rsidRPr="00FD3EE9">
        <w:t xml:space="preserve"> </w:t>
      </w:r>
      <w:r w:rsidR="00E36616" w:rsidRPr="00FD3EE9">
        <w:t>This</w:t>
      </w:r>
      <w:r w:rsidRPr="00FD3EE9">
        <w:t xml:space="preserve"> policy change provides a natural experiment to investigate the impact of this relative</w:t>
      </w:r>
      <w:r w:rsidR="00B2421B" w:rsidRPr="00FD3EE9">
        <w:t>ly</w:t>
      </w:r>
      <w:r w:rsidRPr="00FD3EE9">
        <w:t xml:space="preserve"> new form of incentive</w:t>
      </w:r>
      <w:r w:rsidR="00433057" w:rsidRPr="00FD3EE9">
        <w:t xml:space="preserve"> mechanism</w:t>
      </w:r>
      <w:r w:rsidRPr="00FD3EE9">
        <w:t xml:space="preserve"> on firm</w:t>
      </w:r>
      <w:r w:rsidR="00E36616" w:rsidRPr="00FD3EE9">
        <w:t>s’</w:t>
      </w:r>
      <w:r w:rsidRPr="00FD3EE9">
        <w:t xml:space="preserve"> strategic decision making. </w:t>
      </w:r>
      <w:r w:rsidR="00B9619F" w:rsidRPr="00FD3EE9">
        <w:t>Second</w:t>
      </w:r>
      <w:r w:rsidRPr="00FD3EE9">
        <w:t xml:space="preserve">, </w:t>
      </w:r>
      <w:r w:rsidR="00B2421B" w:rsidRPr="00FD3EE9">
        <w:t>many SOEs began to undertake acquisitions to restructure their ownership.</w:t>
      </w:r>
      <w:r w:rsidR="008C1021" w:rsidRPr="00FD3EE9">
        <w:rPr>
          <w:rStyle w:val="af"/>
        </w:rPr>
        <w:endnoteReference w:id="2"/>
      </w:r>
      <w:r w:rsidR="008C1021">
        <w:t xml:space="preserve"> </w:t>
      </w:r>
      <w:r w:rsidRPr="00FD3EE9">
        <w:t xml:space="preserve">Thus, it </w:t>
      </w:r>
      <w:r w:rsidR="00E36616" w:rsidRPr="00FD3EE9">
        <w:t>is</w:t>
      </w:r>
      <w:r w:rsidR="00B2421B" w:rsidRPr="00FD3EE9">
        <w:t xml:space="preserve"> </w:t>
      </w:r>
      <w:r w:rsidRPr="00FD3EE9">
        <w:t>interesting to know whether executive compensation play</w:t>
      </w:r>
      <w:r w:rsidR="00B2421B" w:rsidRPr="00FD3EE9">
        <w:t>s</w:t>
      </w:r>
      <w:r w:rsidRPr="00FD3EE9">
        <w:t xml:space="preserve"> </w:t>
      </w:r>
      <w:r w:rsidR="00E36616" w:rsidRPr="00FD3EE9">
        <w:t xml:space="preserve">a </w:t>
      </w:r>
      <w:r w:rsidRPr="00FD3EE9">
        <w:t>different role</w:t>
      </w:r>
      <w:r w:rsidR="00E36616" w:rsidRPr="00FD3EE9">
        <w:t xml:space="preserve"> in</w:t>
      </w:r>
      <w:r w:rsidRPr="00FD3EE9">
        <w:t xml:space="preserve"> SOEs and non-SOEs.</w:t>
      </w:r>
      <w:r w:rsidR="00B9619F" w:rsidRPr="00FD3EE9">
        <w:t xml:space="preserve"> </w:t>
      </w:r>
      <w:bookmarkStart w:id="12" w:name="_Hlk48750682"/>
    </w:p>
    <w:bookmarkEnd w:id="12"/>
    <w:p w14:paraId="6E00F2FD" w14:textId="347522D7" w:rsidR="000D01A9" w:rsidRPr="00FD3EE9" w:rsidRDefault="000D01A9">
      <w:pPr>
        <w:spacing w:line="480" w:lineRule="auto"/>
        <w:ind w:firstLineChars="200" w:firstLine="480"/>
      </w:pPr>
      <w:r w:rsidRPr="00FD3EE9">
        <w:t xml:space="preserve">Using </w:t>
      </w:r>
      <w:r w:rsidR="00B2421B" w:rsidRPr="00FD3EE9">
        <w:t xml:space="preserve">the </w:t>
      </w:r>
      <w:r w:rsidRPr="00FD3EE9">
        <w:t>Zephyr database, we identified 10</w:t>
      </w:r>
      <w:r w:rsidR="00B2421B" w:rsidRPr="00FD3EE9">
        <w:t>,</w:t>
      </w:r>
      <w:r w:rsidRPr="00FD3EE9">
        <w:t>969 acquisitions from January 1, 2005</w:t>
      </w:r>
      <w:r w:rsidR="00B2421B" w:rsidRPr="00FD3EE9">
        <w:t>-</w:t>
      </w:r>
      <w:r w:rsidRPr="00FD3EE9">
        <w:t xml:space="preserve">December 31, 2014. We exclude </w:t>
      </w:r>
      <w:r w:rsidR="00754D3B">
        <w:t>(</w:t>
      </w:r>
      <w:r w:rsidRPr="00FD3EE9">
        <w:t xml:space="preserve">1) withdrawn </w:t>
      </w:r>
      <w:r w:rsidR="00E36616" w:rsidRPr="00FD3EE9">
        <w:t xml:space="preserve">offers </w:t>
      </w:r>
      <w:r w:rsidRPr="00FD3EE9">
        <w:t xml:space="preserve">during the sample period, </w:t>
      </w:r>
      <w:r w:rsidR="00E36616" w:rsidRPr="00FD3EE9">
        <w:t>(</w:t>
      </w:r>
      <w:r w:rsidRPr="00FD3EE9">
        <w:t xml:space="preserve">2) </w:t>
      </w:r>
      <w:r w:rsidR="00754D3B">
        <w:t>financial services</w:t>
      </w:r>
      <w:r w:rsidRPr="00FD3EE9">
        <w:t xml:space="preserve">, </w:t>
      </w:r>
      <w:r w:rsidR="00B2421B" w:rsidRPr="00FD3EE9">
        <w:t xml:space="preserve">and </w:t>
      </w:r>
      <w:r w:rsidR="00E36616" w:rsidRPr="00FD3EE9">
        <w:t>(</w:t>
      </w:r>
      <w:r w:rsidRPr="00FD3EE9">
        <w:t xml:space="preserve">3) </w:t>
      </w:r>
      <w:r w:rsidR="00E36616" w:rsidRPr="00FD3EE9">
        <w:t xml:space="preserve">foreign </w:t>
      </w:r>
      <w:r w:rsidRPr="00FD3EE9">
        <w:t>target</w:t>
      </w:r>
      <w:r w:rsidR="00E36616" w:rsidRPr="00FD3EE9">
        <w:t>s</w:t>
      </w:r>
      <w:r w:rsidRPr="00FD3EE9">
        <w:t>. These criteria result in a final sample of 10</w:t>
      </w:r>
      <w:r w:rsidR="00B2421B" w:rsidRPr="00FD3EE9">
        <w:t>,</w:t>
      </w:r>
      <w:r w:rsidRPr="00FD3EE9">
        <w:t xml:space="preserve">553 acquisitions </w:t>
      </w:r>
      <w:r w:rsidR="008005AC" w:rsidRPr="00FD3EE9">
        <w:t xml:space="preserve">initiated </w:t>
      </w:r>
      <w:r w:rsidRPr="00FD3EE9">
        <w:t>by 2</w:t>
      </w:r>
      <w:r w:rsidR="00B2421B" w:rsidRPr="00FD3EE9">
        <w:t>,</w:t>
      </w:r>
      <w:r w:rsidRPr="00FD3EE9">
        <w:t>014 firms</w:t>
      </w:r>
      <w:r w:rsidR="00E36616" w:rsidRPr="00FD3EE9">
        <w:t xml:space="preserve">. </w:t>
      </w:r>
      <w:r w:rsidRPr="00FD3EE9">
        <w:t xml:space="preserve">Financial and executive compensation data were collected from </w:t>
      </w:r>
      <w:r w:rsidR="00B2421B" w:rsidRPr="00FD3EE9">
        <w:t xml:space="preserve">the </w:t>
      </w:r>
      <w:r w:rsidRPr="00FD3EE9">
        <w:t xml:space="preserve">China Stock Market and Accounting Research Database (CSMAR) </w:t>
      </w:r>
      <w:r w:rsidR="00E36616" w:rsidRPr="00FD3EE9">
        <w:t>starting</w:t>
      </w:r>
      <w:r w:rsidRPr="00FD3EE9">
        <w:t xml:space="preserve"> from 2004 to allow for </w:t>
      </w:r>
      <w:r w:rsidR="00B2421B" w:rsidRPr="00FD3EE9">
        <w:t xml:space="preserve">a </w:t>
      </w:r>
      <w:r w:rsidR="00B9619F" w:rsidRPr="00FD3EE9">
        <w:t>one-year</w:t>
      </w:r>
      <w:r w:rsidRPr="00FD3EE9">
        <w:t xml:space="preserve"> lag </w:t>
      </w:r>
      <w:r w:rsidR="00B2421B" w:rsidRPr="00FD3EE9">
        <w:t xml:space="preserve">prior to </w:t>
      </w:r>
      <w:r w:rsidRPr="00FD3EE9">
        <w:t>acquisitions.</w:t>
      </w:r>
    </w:p>
    <w:bookmarkEnd w:id="11"/>
    <w:p w14:paraId="08D9B196" w14:textId="3AEC3934" w:rsidR="000D01A9" w:rsidRPr="00FD3EE9" w:rsidRDefault="00E745B7" w:rsidP="0085750E">
      <w:pPr>
        <w:pStyle w:val="ad"/>
        <w:spacing w:before="0" w:after="0" w:line="480" w:lineRule="auto"/>
        <w:jc w:val="left"/>
        <w:rPr>
          <w:rFonts w:ascii="Times New Roman" w:hAnsi="Times New Roman" w:cs="Times New Roman"/>
          <w:b w:val="0"/>
          <w:i/>
          <w:sz w:val="24"/>
        </w:rPr>
      </w:pPr>
      <w:r w:rsidRPr="00FD3EE9">
        <w:rPr>
          <w:rFonts w:ascii="Times New Roman" w:hAnsi="Times New Roman" w:cs="Times New Roman"/>
          <w:b w:val="0"/>
          <w:i/>
          <w:sz w:val="24"/>
        </w:rPr>
        <w:lastRenderedPageBreak/>
        <w:t>4</w:t>
      </w:r>
      <w:r w:rsidR="00B2421B" w:rsidRPr="00FD3EE9">
        <w:rPr>
          <w:rFonts w:ascii="Times New Roman" w:hAnsi="Times New Roman" w:cs="Times New Roman"/>
          <w:b w:val="0"/>
          <w:i/>
          <w:sz w:val="24"/>
        </w:rPr>
        <w:t xml:space="preserve">.2. </w:t>
      </w:r>
      <w:r w:rsidR="000D01A9" w:rsidRPr="00FD3EE9">
        <w:rPr>
          <w:rFonts w:ascii="Times New Roman" w:hAnsi="Times New Roman" w:cs="Times New Roman"/>
          <w:b w:val="0"/>
          <w:i/>
          <w:sz w:val="24"/>
        </w:rPr>
        <w:t>Dependent variables</w:t>
      </w:r>
    </w:p>
    <w:p w14:paraId="2C3289BE" w14:textId="18218F01" w:rsidR="000D01A9" w:rsidRPr="00FD3EE9" w:rsidRDefault="000D01A9" w:rsidP="0085750E">
      <w:pPr>
        <w:spacing w:line="480" w:lineRule="auto"/>
        <w:ind w:firstLineChars="200" w:firstLine="480"/>
      </w:pPr>
      <w:r w:rsidRPr="00FD3EE9">
        <w:t xml:space="preserve">Acquisition </w:t>
      </w:r>
      <w:r w:rsidR="00433057" w:rsidRPr="00FD3EE9">
        <w:t>activity</w:t>
      </w:r>
      <w:r w:rsidRPr="00FD3EE9">
        <w:t xml:space="preserve">, measured as the number of acquisitions a firm </w:t>
      </w:r>
      <w:r w:rsidR="00B2421B" w:rsidRPr="00FD3EE9">
        <w:t xml:space="preserve">undertakes </w:t>
      </w:r>
      <w:r w:rsidRPr="00FD3EE9">
        <w:t xml:space="preserve">each year, </w:t>
      </w:r>
      <w:r w:rsidR="00433057" w:rsidRPr="00FD3EE9">
        <w:t>is</w:t>
      </w:r>
      <w:r w:rsidRPr="00FD3EE9">
        <w:t xml:space="preserve"> the dependent variable </w:t>
      </w:r>
      <w:r w:rsidR="00433057" w:rsidRPr="00FD3EE9">
        <w:t>to</w:t>
      </w:r>
      <w:r w:rsidRPr="00FD3EE9">
        <w:t xml:space="preserve"> test </w:t>
      </w:r>
      <w:r w:rsidR="00433057" w:rsidRPr="00FD3EE9">
        <w:t>Hypotheses 1a, 1b, and 2</w:t>
      </w:r>
      <w:r w:rsidRPr="00FD3EE9">
        <w:t xml:space="preserve">. A firm is </w:t>
      </w:r>
      <w:r w:rsidR="00BA3BC9" w:rsidRPr="00FD3EE9">
        <w:t>categorized as an active acquir</w:t>
      </w:r>
      <w:r w:rsidR="005663AF" w:rsidRPr="00FD3EE9">
        <w:t>e</w:t>
      </w:r>
      <w:r w:rsidRPr="00FD3EE9">
        <w:t xml:space="preserve">r if it </w:t>
      </w:r>
      <w:r w:rsidR="005663AF" w:rsidRPr="00FD3EE9">
        <w:t xml:space="preserve">undertakes </w:t>
      </w:r>
      <w:r w:rsidRPr="00FD3EE9">
        <w:t xml:space="preserve">more than </w:t>
      </w:r>
      <w:r w:rsidR="005663AF" w:rsidRPr="00FD3EE9">
        <w:t xml:space="preserve">five </w:t>
      </w:r>
      <w:r w:rsidRPr="00FD3EE9">
        <w:t>acquisitions within the sample period</w:t>
      </w:r>
      <w:r w:rsidR="005663AF" w:rsidRPr="00FD3EE9">
        <w:t xml:space="preserve">. </w:t>
      </w:r>
      <w:r w:rsidRPr="00FD3EE9">
        <w:t xml:space="preserve">Post-acquisition performance </w:t>
      </w:r>
      <w:r w:rsidR="00433057" w:rsidRPr="00FD3EE9">
        <w:t>is</w:t>
      </w:r>
      <w:r w:rsidRPr="00FD3EE9">
        <w:t xml:space="preserve"> the dependent variable to test </w:t>
      </w:r>
      <w:r w:rsidR="00433057" w:rsidRPr="00FD3EE9">
        <w:t>Hypotheses 3 and 4</w:t>
      </w:r>
      <w:r w:rsidRPr="00FD3EE9">
        <w:t xml:space="preserve">. Consistent with prior research </w:t>
      </w:r>
      <w:r w:rsidR="00BA3BC9" w:rsidRPr="00FD3EE9">
        <w:fldChar w:fldCharType="begin"/>
      </w:r>
      <w:r w:rsidR="003D30A6" w:rsidRPr="00FD3EE9">
        <w:instrText xml:space="preserve"> ADDIN ZOTERO_ITEM CSL_CITATION {"citationID":"qh6FwxI9","properties":{"formattedCitation":"(Datta et al., 2001; Wright et al., 2002)","plainCitation":"(Datta et al., 2001; Wright et al., 2002)","noteIndex":0},"citationItems":[{"id":"jwTi0SrD/J2Kd4f4e","uris":["http://zotero.org/users/local/qiB1P4Y3/items/9RMHEBRN"],"uri":["http://zotero.org/users/local/qiB1P4Y3/items/9RMHEBRN"],"itemData":{"id":148,"type":"article-journal","title":"The structure of ownership and corporate acquisition strategies","container-title":"Strategic Management Journal","page":"41–53","volume":"23","issue":"1","source":"Google Scholar","author":[{"family":"Wright","given":"Peter"},{"family":"Kroll","given":"Mark"},{"family":"Lado","given":"Augustine"},{"family":"Van Ness","given":"Bonnie"}],"issued":{"date-parts":[["2002"]]}}},{"id":"jwTi0SrD/zWmk7Klp","uris":["http://zotero.org/users/local/qiB1P4Y3/items/GWV74WFG"],"uri":["http://zotero.org/users/local/qiB1P4Y3/items/GWV74WFG"],"itemData":{"id":44,"type":"article-journal","title":"Executive compensation and corporate acquisition decisions","container-title":"The Journal of Finance","page":"2299–2336","volume":"56","issue":"6","source":"Google Scholar","author":[{"family":"Datta","given":"Sudip"},{"family":"Iskandar-Datta","given":"Mai"},{"family":"Raman","given":"Kartik"}],"issued":{"date-parts":[["2001"]]}}}],"schema":"https://github.com/citation-style-language/schema/raw/master/csl-citation.json"} </w:instrText>
      </w:r>
      <w:r w:rsidR="00BA3BC9" w:rsidRPr="00FD3EE9">
        <w:fldChar w:fldCharType="separate"/>
      </w:r>
      <w:r w:rsidR="003D30A6" w:rsidRPr="00FD3EE9">
        <w:t>(Datta et al., 2001; Wright et al., 2002)</w:t>
      </w:r>
      <w:r w:rsidR="00BA3BC9" w:rsidRPr="00FD3EE9">
        <w:fldChar w:fldCharType="end"/>
      </w:r>
      <w:r w:rsidRPr="00FD3EE9">
        <w:t>, we use cumulative abnormal returns (CARs) to measure the market response to acquisition announceme</w:t>
      </w:r>
      <w:r w:rsidR="00BA3BC9" w:rsidRPr="00FD3EE9">
        <w:t>nt</w:t>
      </w:r>
      <w:r w:rsidR="005663AF" w:rsidRPr="00FD3EE9">
        <w:t>s</w:t>
      </w:r>
      <w:r w:rsidR="00BA3BC9" w:rsidRPr="00FD3EE9">
        <w:t xml:space="preserve"> as proxy for short-term post-</w:t>
      </w:r>
      <w:r w:rsidRPr="00FD3EE9">
        <w:t xml:space="preserve">acquisition performance. Using </w:t>
      </w:r>
      <w:r w:rsidR="005663AF" w:rsidRPr="00FD3EE9">
        <w:t xml:space="preserve">a </w:t>
      </w:r>
      <w:r w:rsidRPr="00FD3EE9">
        <w:t>single</w:t>
      </w:r>
      <w:r w:rsidR="005663AF" w:rsidRPr="00FD3EE9">
        <w:t xml:space="preserve"> </w:t>
      </w:r>
      <w:r w:rsidRPr="00FD3EE9">
        <w:t>index market model, CARs</w:t>
      </w:r>
      <w:r w:rsidR="00BA3BC9" w:rsidRPr="00FD3EE9">
        <w:t xml:space="preserve"> have been estimated for five-</w:t>
      </w:r>
      <w:r w:rsidRPr="00FD3EE9">
        <w:t xml:space="preserve">day event windows (-2 to +2) based on a 60-day estimation period from 90 days to 30 days </w:t>
      </w:r>
      <w:r w:rsidR="005663AF" w:rsidRPr="00FD3EE9">
        <w:t xml:space="preserve">prior to the </w:t>
      </w:r>
      <w:r w:rsidRPr="00FD3EE9">
        <w:t>acquisition announcement date (</w:t>
      </w:r>
      <w:r w:rsidR="009D4A44">
        <w:t>d</w:t>
      </w:r>
      <w:r w:rsidRPr="00FD3EE9">
        <w:t>ay 0).</w:t>
      </w:r>
    </w:p>
    <w:p w14:paraId="1546C393" w14:textId="7F97FA12" w:rsidR="00DD0A4B" w:rsidRPr="00FD3EE9" w:rsidRDefault="00433057" w:rsidP="0085750E">
      <w:pPr>
        <w:spacing w:line="480" w:lineRule="auto"/>
        <w:ind w:firstLineChars="200" w:firstLine="480"/>
      </w:pPr>
      <w:r w:rsidRPr="00FD3EE9">
        <w:t>In contrast to</w:t>
      </w:r>
      <w:r w:rsidR="005663AF" w:rsidRPr="00FD3EE9">
        <w:t xml:space="preserve"> </w:t>
      </w:r>
      <w:r w:rsidR="004D4CE3">
        <w:t>prior</w:t>
      </w:r>
      <w:r w:rsidR="000D01A9" w:rsidRPr="00FD3EE9">
        <w:t xml:space="preserve"> studies, we also use </w:t>
      </w:r>
      <w:r w:rsidR="005663AF" w:rsidRPr="00FD3EE9">
        <w:t>three</w:t>
      </w:r>
      <w:r w:rsidR="000D01A9" w:rsidRPr="00FD3EE9">
        <w:t xml:space="preserve">-year </w:t>
      </w:r>
      <w:r w:rsidR="005663AF" w:rsidRPr="00FD3EE9">
        <w:t>buy</w:t>
      </w:r>
      <w:r w:rsidR="000D01A9" w:rsidRPr="00FD3EE9">
        <w:t>-and-</w:t>
      </w:r>
      <w:r w:rsidR="005663AF" w:rsidRPr="00FD3EE9">
        <w:t xml:space="preserve">hold returns </w:t>
      </w:r>
      <w:r w:rsidR="000D01A9" w:rsidRPr="00FD3EE9">
        <w:t xml:space="preserve">(BHRs) to capture the long-term </w:t>
      </w:r>
      <w:r w:rsidR="008005AC" w:rsidRPr="00FD3EE9">
        <w:t>performance</w:t>
      </w:r>
      <w:r w:rsidRPr="00FD3EE9">
        <w:t xml:space="preserve"> </w:t>
      </w:r>
      <w:r w:rsidR="000D01A9" w:rsidRPr="00FD3EE9">
        <w:t xml:space="preserve">of acquisitions. We include BHRs for two main reasons. First, some scholars </w:t>
      </w:r>
      <w:r w:rsidR="00BA3BC9" w:rsidRPr="00FD3EE9">
        <w:fldChar w:fldCharType="begin"/>
      </w:r>
      <w:r w:rsidR="003D30A6" w:rsidRPr="00FD3EE9">
        <w:instrText xml:space="preserve"> ADDIN ZOTERO_ITEM CSL_CITATION {"citationID":"3QBRyIoo","properties":{"formattedCitation":"(Datta et al., 2001; Loughran and Vijh, 1997)","plainCitation":"(Datta et al., 2001; Loughran and Vijh, 1997)","noteIndex":0},"citationItems":[{"id":"jwTi0SrD/zWmk7Klp","uris":["http://zotero.org/users/local/qiB1P4Y3/items/GWV74WFG"],"uri":["http://zotero.org/users/local/qiB1P4Y3/items/GWV74WFG"],"itemData":{"id":44,"type":"article-journal","title":"Executive compensation and corporate acquisition decisions","container-title":"The Journal of Finance","page":"2299–2336","volume":"56","issue":"6","source":"Google Scholar","author":[{"family":"Datta","given":"Sudip"},{"family":"Iskandar-Datta","given":"Mai"},{"family":"Raman","given":"Kartik"}],"issued":{"date-parts":[["2001"]]}}},{"id":"jwTi0SrD/zX3lrlhI","uris":["http://zotero.org/users/local/qiB1P4Y3/items/5RX99X6A"],"uri":["http://zotero.org/users/local/qiB1P4Y3/items/5RX99X6A"],"itemData":{"id":109,"type":"article-journal","title":"Do long-term shareholders benefit from corporate acquisitions?","container-title":"The Journal of Finance","page":"1765–1790","volume":"52","issue":"5","source":"Google Scholar","author":[{"family":"Loughran","given":"Tim"},{"family":"Vijh","given":"Anand M."}],"issued":{"date-parts":[["1997"]]}}}],"schema":"https://github.com/citation-style-language/schema/raw/master/csl-citation.json"} </w:instrText>
      </w:r>
      <w:r w:rsidR="00BA3BC9" w:rsidRPr="00FD3EE9">
        <w:fldChar w:fldCharType="separate"/>
      </w:r>
      <w:r w:rsidR="003D30A6" w:rsidRPr="00FD3EE9">
        <w:t>(Datta et al., 2001; Loughran and Vijh, 1997)</w:t>
      </w:r>
      <w:r w:rsidR="00BA3BC9" w:rsidRPr="00FD3EE9">
        <w:fldChar w:fldCharType="end"/>
      </w:r>
      <w:r w:rsidR="000D01A9" w:rsidRPr="00FD3EE9">
        <w:t xml:space="preserve"> argue that it is hard to interpret CARs in a meaningful way. </w:t>
      </w:r>
      <w:r w:rsidR="004D4CE3">
        <w:t>Second</w:t>
      </w:r>
      <w:r w:rsidR="000D01A9" w:rsidRPr="00FD3EE9">
        <w:t xml:space="preserve">, less efficient capital markets </w:t>
      </w:r>
      <w:r w:rsidR="004D4CE3">
        <w:t>in</w:t>
      </w:r>
      <w:r w:rsidR="000D01A9" w:rsidRPr="00FD3EE9">
        <w:t xml:space="preserve"> China make short-term measurement </w:t>
      </w:r>
      <w:r w:rsidR="004D4CE3">
        <w:t>un</w:t>
      </w:r>
      <w:r w:rsidR="000D01A9" w:rsidRPr="00FD3EE9">
        <w:t>reliab</w:t>
      </w:r>
      <w:r w:rsidR="00BA3BC9" w:rsidRPr="00FD3EE9">
        <w:t xml:space="preserve">le. The </w:t>
      </w:r>
      <w:proofErr w:type="spellStart"/>
      <w:r w:rsidR="00BA3BC9" w:rsidRPr="00FD3EE9">
        <w:rPr>
          <w:i/>
        </w:rPr>
        <w:t>BHR</w:t>
      </w:r>
      <w:r w:rsidR="00BA3BC9" w:rsidRPr="00FD3EE9">
        <w:rPr>
          <w:i/>
          <w:vertAlign w:val="subscript"/>
        </w:rPr>
        <w:t>i</w:t>
      </w:r>
      <w:proofErr w:type="spellEnd"/>
      <w:r w:rsidR="00BA3BC9" w:rsidRPr="00FD3EE9">
        <w:t xml:space="preserve"> is calculated </w:t>
      </w:r>
      <w:r w:rsidR="008005AC" w:rsidRPr="00FD3EE9">
        <w:t>as shown</w:t>
      </w:r>
      <w:r w:rsidRPr="00FD3EE9">
        <w:t xml:space="preserve"> in (1), where day </w:t>
      </w:r>
      <w:r w:rsidRPr="00FD3EE9">
        <w:rPr>
          <w:i/>
        </w:rPr>
        <w:t>t=1</w:t>
      </w:r>
      <w:r w:rsidRPr="00FD3EE9">
        <w:t xml:space="preserve"> is the first trading day after the announcement date and </w:t>
      </w:r>
      <w:proofErr w:type="spellStart"/>
      <w:r w:rsidRPr="00FD3EE9">
        <w:rPr>
          <w:i/>
        </w:rPr>
        <w:t>R</w:t>
      </w:r>
      <w:r w:rsidRPr="00FD3EE9">
        <w:rPr>
          <w:i/>
          <w:vertAlign w:val="subscript"/>
        </w:rPr>
        <w:t>i,t</w:t>
      </w:r>
      <w:proofErr w:type="spellEnd"/>
      <w:r w:rsidRPr="00FD3EE9">
        <w:rPr>
          <w:i/>
        </w:rPr>
        <w:t xml:space="preserve"> </w:t>
      </w:r>
      <w:r w:rsidRPr="00FD3EE9">
        <w:t xml:space="preserve">is the daily stock return of stock </w:t>
      </w:r>
      <w:proofErr w:type="spellStart"/>
      <w:r w:rsidRPr="00FD3EE9">
        <w:rPr>
          <w:i/>
        </w:rPr>
        <w:t>i</w:t>
      </w:r>
      <w:proofErr w:type="spellEnd"/>
      <w:r w:rsidRPr="00FD3EE9">
        <w:rPr>
          <w:i/>
        </w:rPr>
        <w:t xml:space="preserve"> </w:t>
      </w:r>
      <w:r w:rsidRPr="00FD3EE9">
        <w:t xml:space="preserve">on day </w:t>
      </w:r>
      <w:r w:rsidRPr="00FD3EE9">
        <w:rPr>
          <w:i/>
        </w:rPr>
        <w:t>t</w:t>
      </w:r>
      <w:r w:rsidRPr="00FD3EE9">
        <w:t>.</w:t>
      </w:r>
    </w:p>
    <w:p w14:paraId="1EB62827" w14:textId="7E479E69" w:rsidR="000D01A9" w:rsidRPr="00FD3EE9" w:rsidRDefault="009C38F8" w:rsidP="0085750E">
      <w:pPr>
        <w:tabs>
          <w:tab w:val="right" w:pos="9000"/>
        </w:tabs>
        <w:spacing w:line="480" w:lineRule="auto"/>
        <w:ind w:firstLineChars="200" w:firstLine="480"/>
        <w:jc w:val="left"/>
      </w:pPr>
      <m:oMath>
        <m:sSub>
          <m:sSubPr>
            <m:ctrlPr>
              <w:rPr>
                <w:rFonts w:ascii="Cambria Math" w:hAnsi="Cambria Math"/>
                <w:i/>
              </w:rPr>
            </m:ctrlPr>
          </m:sSubPr>
          <m:e>
            <m:r>
              <w:rPr>
                <w:rFonts w:ascii="Cambria Math" w:hAnsi="Cambria Math"/>
              </w:rPr>
              <m:t>BHR</m:t>
            </m:r>
          </m:e>
          <m:sub>
            <m:r>
              <w:rPr>
                <w:rFonts w:ascii="Cambria Math" w:hAnsi="Cambria Math"/>
              </w:rPr>
              <m:t xml:space="preserve">i </m:t>
            </m:r>
          </m:sub>
        </m:sSub>
        <m:r>
          <w:rPr>
            <w:rFonts w:ascii="Cambria Math" w:hAnsi="Cambria Math"/>
          </w:rPr>
          <m:t>=</m:t>
        </m:r>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i, t</m:t>
                        </m:r>
                      </m:sub>
                    </m:sSub>
                  </m:e>
                </m:d>
                <m:r>
                  <w:rPr>
                    <w:rFonts w:ascii="Cambria Math" w:hAnsi="Cambria Math"/>
                  </w:rPr>
                  <m:t>-1</m:t>
                </m:r>
              </m:e>
            </m:nary>
          </m:e>
        </m:d>
        <m:r>
          <w:rPr>
            <w:rFonts w:ascii="Cambria Math" w:hAnsi="Cambria Math"/>
          </w:rPr>
          <m:t>×100</m:t>
        </m:r>
      </m:oMath>
      <w:r w:rsidR="00EA075B" w:rsidRPr="00FD3EE9">
        <w:tab/>
      </w:r>
      <w:r w:rsidR="00DD0A4B" w:rsidRPr="00FD3EE9">
        <w:t>(</w:t>
      </w:r>
      <w:r w:rsidR="00DD0A4B" w:rsidRPr="00FD3EE9">
        <w:fldChar w:fldCharType="begin"/>
      </w:r>
      <w:r w:rsidR="00DD0A4B" w:rsidRPr="00FD3EE9">
        <w:instrText xml:space="preserve"> SEQ </w:instrText>
      </w:r>
      <w:r w:rsidR="00DD0A4B" w:rsidRPr="00FD3EE9">
        <w:rPr>
          <w:rFonts w:ascii="MS Mincho" w:eastAsia="MS Mincho" w:hAnsi="MS Mincho" w:cs="MS Mincho"/>
        </w:rPr>
        <w:instrText>公式</w:instrText>
      </w:r>
      <w:r w:rsidR="00DD0A4B" w:rsidRPr="00FD3EE9">
        <w:instrText xml:space="preserve"> \* ARABIC </w:instrText>
      </w:r>
      <w:r w:rsidR="00DD0A4B" w:rsidRPr="00FD3EE9">
        <w:fldChar w:fldCharType="separate"/>
      </w:r>
      <w:r w:rsidR="00FF0269" w:rsidRPr="00FD3EE9">
        <w:t>1</w:t>
      </w:r>
      <w:r w:rsidR="00DD0A4B" w:rsidRPr="00FD3EE9">
        <w:fldChar w:fldCharType="end"/>
      </w:r>
      <w:r w:rsidR="00DD0A4B" w:rsidRPr="00FD3EE9">
        <w:t>)</w:t>
      </w:r>
    </w:p>
    <w:p w14:paraId="73E63C69" w14:textId="3561242E" w:rsidR="00E33E5A" w:rsidRPr="00FD3EE9" w:rsidRDefault="00C11919">
      <w:pPr>
        <w:spacing w:line="480" w:lineRule="auto"/>
        <w:ind w:firstLineChars="200" w:firstLine="480"/>
      </w:pPr>
      <w:r w:rsidRPr="00FD3EE9">
        <w:t xml:space="preserve">BHRs </w:t>
      </w:r>
      <w:r w:rsidR="00433057" w:rsidRPr="00FD3EE9">
        <w:t>are</w:t>
      </w:r>
      <w:r w:rsidRPr="00FD3EE9">
        <w:t xml:space="preserve"> estimated based on a three-year period after announcement</w:t>
      </w:r>
      <w:r w:rsidR="00433057" w:rsidRPr="00FD3EE9">
        <w:t>s</w:t>
      </w:r>
      <w:r w:rsidR="00D34A50" w:rsidRPr="00FD3EE9">
        <w:t>. Since there are</w:t>
      </w:r>
      <w:r w:rsidR="005663AF" w:rsidRPr="00FD3EE9">
        <w:t>,</w:t>
      </w:r>
      <w:r w:rsidR="00D34A50" w:rsidRPr="00FD3EE9">
        <w:t xml:space="preserve"> on average</w:t>
      </w:r>
      <w:r w:rsidR="005663AF" w:rsidRPr="00FD3EE9">
        <w:t>,</w:t>
      </w:r>
      <w:r w:rsidR="00D34A50" w:rsidRPr="00FD3EE9">
        <w:t xml:space="preserve"> 240</w:t>
      </w:r>
      <w:r w:rsidRPr="00FD3EE9">
        <w:t xml:space="preserve"> trading days each ye</w:t>
      </w:r>
      <w:r w:rsidR="00D34A50" w:rsidRPr="00FD3EE9">
        <w:t xml:space="preserve">ar, BHRs </w:t>
      </w:r>
      <w:r w:rsidR="007E320A" w:rsidRPr="00FD3EE9">
        <w:t>are based on</w:t>
      </w:r>
      <w:r w:rsidR="00D34A50" w:rsidRPr="00FD3EE9">
        <w:t xml:space="preserve"> 720</w:t>
      </w:r>
      <w:r w:rsidRPr="00FD3EE9">
        <w:t xml:space="preserve"> trading days</w:t>
      </w:r>
      <w:r w:rsidR="007E320A" w:rsidRPr="00FD3EE9">
        <w:t>.</w:t>
      </w:r>
      <w:r w:rsidRPr="00FD3EE9">
        <w:t xml:space="preserve"> </w:t>
      </w:r>
    </w:p>
    <w:p w14:paraId="6DE7A30D" w14:textId="77777777" w:rsidR="00433057" w:rsidRPr="00FD3EE9" w:rsidRDefault="00433057" w:rsidP="0085750E">
      <w:pPr>
        <w:spacing w:line="480" w:lineRule="auto"/>
        <w:ind w:firstLineChars="200" w:firstLine="480"/>
      </w:pPr>
    </w:p>
    <w:p w14:paraId="607C7B91" w14:textId="331B1D46" w:rsidR="00D34A50" w:rsidRPr="00FD3EE9" w:rsidRDefault="00E745B7" w:rsidP="0085750E">
      <w:pPr>
        <w:pStyle w:val="ad"/>
        <w:spacing w:before="0" w:after="0" w:line="480" w:lineRule="auto"/>
        <w:jc w:val="left"/>
        <w:rPr>
          <w:rFonts w:ascii="Times New Roman" w:hAnsi="Times New Roman" w:cs="Times New Roman"/>
          <w:b w:val="0"/>
          <w:i/>
          <w:sz w:val="24"/>
        </w:rPr>
      </w:pPr>
      <w:r w:rsidRPr="00FD3EE9">
        <w:rPr>
          <w:rFonts w:ascii="Times New Roman" w:hAnsi="Times New Roman" w:cs="Times New Roman"/>
          <w:b w:val="0"/>
          <w:i/>
          <w:sz w:val="24"/>
        </w:rPr>
        <w:t>4</w:t>
      </w:r>
      <w:r w:rsidR="005663AF" w:rsidRPr="00FD3EE9">
        <w:rPr>
          <w:rFonts w:ascii="Times New Roman" w:hAnsi="Times New Roman" w:cs="Times New Roman"/>
          <w:b w:val="0"/>
          <w:i/>
          <w:sz w:val="24"/>
        </w:rPr>
        <w:t xml:space="preserve">.3. </w:t>
      </w:r>
      <w:r w:rsidR="00D34A50" w:rsidRPr="00FD3EE9">
        <w:rPr>
          <w:rFonts w:ascii="Times New Roman" w:hAnsi="Times New Roman" w:cs="Times New Roman"/>
          <w:b w:val="0"/>
          <w:i/>
          <w:sz w:val="24"/>
        </w:rPr>
        <w:t>Executive compensation variables</w:t>
      </w:r>
    </w:p>
    <w:p w14:paraId="7510C0D5" w14:textId="79451541" w:rsidR="00E33E5A" w:rsidRDefault="00D34A50">
      <w:pPr>
        <w:spacing w:line="480" w:lineRule="auto"/>
        <w:ind w:firstLineChars="200" w:firstLine="480"/>
      </w:pPr>
      <w:r w:rsidRPr="00FD3EE9">
        <w:t>We investigate three types of executive compensation: stock option</w:t>
      </w:r>
      <w:r w:rsidR="00B0396C" w:rsidRPr="00FD3EE9">
        <w:t>s</w:t>
      </w:r>
      <w:r w:rsidRPr="00FD3EE9">
        <w:t>, managerial stock ownership</w:t>
      </w:r>
      <w:r w:rsidR="00F31607" w:rsidRPr="00FD3EE9">
        <w:t>,</w:t>
      </w:r>
      <w:r w:rsidRPr="00FD3EE9">
        <w:t xml:space="preserve"> and cash compensation. Since many firms do not disclose option value</w:t>
      </w:r>
      <w:r w:rsidR="00B0396C" w:rsidRPr="00FD3EE9">
        <w:t>s</w:t>
      </w:r>
      <w:r w:rsidRPr="00FD3EE9">
        <w:t xml:space="preserve"> </w:t>
      </w:r>
      <w:r w:rsidR="00B0396C" w:rsidRPr="00FD3EE9">
        <w:t>or</w:t>
      </w:r>
      <w:r w:rsidRPr="00FD3EE9">
        <w:t xml:space="preserve"> </w:t>
      </w:r>
      <w:r w:rsidR="00B0396C" w:rsidRPr="00FD3EE9">
        <w:t xml:space="preserve">adopt </w:t>
      </w:r>
      <w:r w:rsidRPr="00FD3EE9">
        <w:t xml:space="preserve">different methods </w:t>
      </w:r>
      <w:r w:rsidR="00B0396C" w:rsidRPr="00FD3EE9">
        <w:t xml:space="preserve">to value </w:t>
      </w:r>
      <w:r w:rsidRPr="00FD3EE9">
        <w:t>option</w:t>
      </w:r>
      <w:r w:rsidR="00B0396C" w:rsidRPr="00FD3EE9">
        <w:t>s</w:t>
      </w:r>
      <w:r w:rsidRPr="00FD3EE9">
        <w:t xml:space="preserve">, we use </w:t>
      </w:r>
      <w:r w:rsidR="00F31607" w:rsidRPr="00FD3EE9">
        <w:t xml:space="preserve">a </w:t>
      </w:r>
      <w:r w:rsidRPr="00FD3EE9">
        <w:t>dividend adjusted Black-Scholes model to value executive stock option</w:t>
      </w:r>
      <w:r w:rsidR="00B0396C" w:rsidRPr="00FD3EE9">
        <w:t>s</w:t>
      </w:r>
      <w:r w:rsidRPr="00FD3EE9">
        <w:t>. We then proxy stock option compensation as the value of options to the total value of option</w:t>
      </w:r>
      <w:r w:rsidR="00B0396C" w:rsidRPr="00FD3EE9">
        <w:t>s</w:t>
      </w:r>
      <w:r w:rsidRPr="00FD3EE9">
        <w:t xml:space="preserve"> and cash pay. Managerial stock ownership </w:t>
      </w:r>
      <w:r w:rsidR="00F31607" w:rsidRPr="00FD3EE9">
        <w:t xml:space="preserve">is </w:t>
      </w:r>
      <w:r w:rsidRPr="00FD3EE9">
        <w:t xml:space="preserve">estimated as the percentage of shares managers own </w:t>
      </w:r>
      <w:r w:rsidR="00B0396C" w:rsidRPr="00FD3EE9">
        <w:t xml:space="preserve">in </w:t>
      </w:r>
      <w:r w:rsidR="00F31607" w:rsidRPr="00FD3EE9">
        <w:t>t</w:t>
      </w:r>
      <w:r w:rsidR="00B0396C" w:rsidRPr="00FD3EE9">
        <w:t>erms of the number of</w:t>
      </w:r>
      <w:r w:rsidRPr="00FD3EE9">
        <w:t xml:space="preserve"> outstanding shares at each year end. </w:t>
      </w:r>
      <w:r w:rsidR="00B0396C" w:rsidRPr="00FD3EE9">
        <w:t>C</w:t>
      </w:r>
      <w:r w:rsidRPr="00FD3EE9">
        <w:t xml:space="preserve">ash compensation includes </w:t>
      </w:r>
      <w:r w:rsidR="00B0396C" w:rsidRPr="00FD3EE9">
        <w:t>salaries</w:t>
      </w:r>
      <w:r w:rsidRPr="00FD3EE9">
        <w:t>, bonus</w:t>
      </w:r>
      <w:r w:rsidR="00B0396C" w:rsidRPr="00FD3EE9">
        <w:t>es</w:t>
      </w:r>
      <w:r w:rsidR="00F31607" w:rsidRPr="00FD3EE9">
        <w:t>,</w:t>
      </w:r>
      <w:r w:rsidRPr="00FD3EE9">
        <w:t xml:space="preserve"> and other cash payments </w:t>
      </w:r>
      <w:r w:rsidR="00B0396C" w:rsidRPr="00FD3EE9">
        <w:t xml:space="preserve">disclosed </w:t>
      </w:r>
      <w:r w:rsidR="00F31607" w:rsidRPr="00FD3EE9">
        <w:t xml:space="preserve">in </w:t>
      </w:r>
      <w:r w:rsidRPr="00FD3EE9">
        <w:t>annual report</w:t>
      </w:r>
      <w:r w:rsidR="00B0396C" w:rsidRPr="00FD3EE9">
        <w:t>s</w:t>
      </w:r>
      <w:r w:rsidRPr="00FD3EE9">
        <w:t>.</w:t>
      </w:r>
    </w:p>
    <w:p w14:paraId="6A4D6A0D" w14:textId="77777777" w:rsidR="008C1021" w:rsidRPr="00FD3EE9" w:rsidRDefault="008C1021">
      <w:pPr>
        <w:spacing w:line="480" w:lineRule="auto"/>
        <w:ind w:firstLineChars="200" w:firstLine="480"/>
      </w:pPr>
    </w:p>
    <w:p w14:paraId="1AC03DB9" w14:textId="2E3D6A9F" w:rsidR="00D34A50" w:rsidRPr="00FD3EE9" w:rsidRDefault="00E745B7" w:rsidP="0085750E">
      <w:pPr>
        <w:pStyle w:val="ad"/>
        <w:spacing w:before="0" w:after="0" w:line="480" w:lineRule="auto"/>
        <w:jc w:val="left"/>
        <w:rPr>
          <w:rFonts w:ascii="Times New Roman" w:hAnsi="Times New Roman" w:cs="Times New Roman"/>
          <w:b w:val="0"/>
          <w:i/>
          <w:sz w:val="24"/>
        </w:rPr>
      </w:pPr>
      <w:r w:rsidRPr="00FD3EE9">
        <w:rPr>
          <w:rFonts w:ascii="Times New Roman" w:hAnsi="Times New Roman" w:cs="Times New Roman"/>
          <w:b w:val="0"/>
          <w:i/>
          <w:sz w:val="24"/>
        </w:rPr>
        <w:t>4</w:t>
      </w:r>
      <w:r w:rsidR="00F31607" w:rsidRPr="00FD3EE9">
        <w:rPr>
          <w:rFonts w:ascii="Times New Roman" w:hAnsi="Times New Roman" w:cs="Times New Roman"/>
          <w:b w:val="0"/>
          <w:i/>
          <w:sz w:val="24"/>
        </w:rPr>
        <w:t xml:space="preserve">.4. </w:t>
      </w:r>
      <w:r w:rsidR="00D34A50" w:rsidRPr="00FD3EE9">
        <w:rPr>
          <w:rFonts w:ascii="Times New Roman" w:hAnsi="Times New Roman" w:cs="Times New Roman"/>
          <w:b w:val="0"/>
          <w:i/>
          <w:sz w:val="24"/>
        </w:rPr>
        <w:t>Control variables</w:t>
      </w:r>
    </w:p>
    <w:p w14:paraId="05E7549C" w14:textId="32702805" w:rsidR="00D34A50" w:rsidRPr="00FD3EE9" w:rsidRDefault="00D34A50" w:rsidP="0085750E">
      <w:pPr>
        <w:spacing w:line="480" w:lineRule="auto"/>
        <w:ind w:firstLineChars="200" w:firstLine="480"/>
      </w:pPr>
      <w:r w:rsidRPr="00FD3EE9">
        <w:t xml:space="preserve">Firm size, measured as the natural logarithm of total assets, </w:t>
      </w:r>
      <w:r w:rsidR="00F31607" w:rsidRPr="00FD3EE9">
        <w:t xml:space="preserve">is </w:t>
      </w:r>
      <w:r w:rsidRPr="00FD3EE9">
        <w:t xml:space="preserve">controlled </w:t>
      </w:r>
      <w:r w:rsidR="00F31607" w:rsidRPr="00FD3EE9">
        <w:t xml:space="preserve">as </w:t>
      </w:r>
      <w:r w:rsidRPr="00FD3EE9">
        <w:t xml:space="preserve">it has been </w:t>
      </w:r>
      <w:r w:rsidR="00F31607" w:rsidRPr="00FD3EE9">
        <w:lastRenderedPageBreak/>
        <w:t xml:space="preserve">known </w:t>
      </w:r>
      <w:r w:rsidRPr="00FD3EE9">
        <w:t>to affect acquisition</w:t>
      </w:r>
      <w:r w:rsidR="00264811" w:rsidRPr="00FD3EE9">
        <w:t>s</w:t>
      </w:r>
      <w:r w:rsidRPr="00FD3EE9">
        <w:t xml:space="preserve"> </w:t>
      </w:r>
      <w:r w:rsidRPr="00FD3EE9">
        <w:fldChar w:fldCharType="begin"/>
      </w:r>
      <w:r w:rsidR="003D30A6" w:rsidRPr="00FD3EE9">
        <w:instrText xml:space="preserve"> ADDIN ZOTERO_ITEM CSL_CITATION {"citationID":"xXiuVhKv","properties":{"formattedCitation":"(Amihud and Lev, 1981; Sanders, 2001)","plainCitation":"(Amihud and Lev, 1981; Sanders, 2001)","noteIndex":0},"citationItems":[{"id":"jwTi0SrD/UKENzu5D","uris":["http://zotero.org/users/local/qiB1P4Y3/items/CHGD2IAX"],"uri":["http://zotero.org/users/local/qiB1P4Y3/items/CHGD2IAX"],"itemData":{"id":23,"type":"article-journal","title":"Risk reduction as a managerial motive for conglomerate mergers","container-title":"The bell journal of economics","page":"605–617","source":"Google Scholar","author":[{"family":"Amihud","given":"Yakov"},{"family":"Lev","given":"Baruch"}],"issued":{"date-parts":[["1981"]]}}},{"id":"jwTi0SrD/59we9V2N","uris":["http://zotero.org/users/local/qiB1P4Y3/items/W66SJU5E"],"uri":["http://zotero.org/users/local/qiB1P4Y3/items/W66SJU5E"],"itemData":{"id":131,"type":"article-journal","title":"Behavioral responses of CEOs to stock ownership and stock option pay","container-title":"Academy of Management journal","page":"477–492","volume":"44","issue":"3","source":"Google Scholar","author":[{"family":"Sanders","given":"Wm Gerard"}],"issued":{"date-parts":[["2001"]]}}}],"schema":"https://github.com/citation-style-language/schema/raw/master/csl-citation.json"} </w:instrText>
      </w:r>
      <w:r w:rsidRPr="00FD3EE9">
        <w:fldChar w:fldCharType="separate"/>
      </w:r>
      <w:r w:rsidR="003D30A6" w:rsidRPr="00FD3EE9">
        <w:t>(Amihud and Lev, 1981; Sanders, 2001)</w:t>
      </w:r>
      <w:r w:rsidRPr="00FD3EE9">
        <w:fldChar w:fldCharType="end"/>
      </w:r>
      <w:r w:rsidRPr="00FD3EE9">
        <w:t xml:space="preserve">. Financial leverage, </w:t>
      </w:r>
      <w:r w:rsidR="00264811" w:rsidRPr="00FD3EE9">
        <w:t xml:space="preserve">defined </w:t>
      </w:r>
      <w:r w:rsidRPr="00FD3EE9">
        <w:t>as long</w:t>
      </w:r>
      <w:r w:rsidR="00F31607" w:rsidRPr="00FD3EE9">
        <w:t>-</w:t>
      </w:r>
      <w:r w:rsidRPr="00FD3EE9">
        <w:t xml:space="preserve"> and short-term debt to total assets, has also been included to control for its impact </w:t>
      </w:r>
      <w:r w:rsidRPr="00FD3EE9">
        <w:fldChar w:fldCharType="begin"/>
      </w:r>
      <w:r w:rsidR="003D30A6" w:rsidRPr="00FD3EE9">
        <w:instrText xml:space="preserve"> ADDIN ZOTERO_ITEM CSL_CITATION {"citationID":"qXMZLL8V","properties":{"formattedCitation":"(Jensen, 1986)","plainCitation":"(Jensen, 1986)","noteIndex":0},"citationItems":[{"id":"jwTi0SrD/89iH1KxC","uris":["http://zotero.org/users/local/qiB1P4Y3/items/IXWEACHM"],"uri":["http://zotero.org/users/local/qiB1P4Y3/items/IXWEACHM"],"itemData":{"id":82,"type":"article-journal","title":"Agency costs of free cash flow, corporate finance, and takeovers","container-title":"The American economic review","page":"323–329","volume":"76","issue":"2","source":"Google Scholar","author":[{"family":"Jensen","given":"Michael C."}],"issued":{"date-parts":[["1986"]]}}}],"schema":"https://github.com/citation-style-language/schema/raw/master/csl-citation.json"} </w:instrText>
      </w:r>
      <w:r w:rsidRPr="00FD3EE9">
        <w:fldChar w:fldCharType="separate"/>
      </w:r>
      <w:r w:rsidR="003D30A6" w:rsidRPr="00FD3EE9">
        <w:t>(Jensen, 1986)</w:t>
      </w:r>
      <w:r w:rsidRPr="00FD3EE9">
        <w:fldChar w:fldCharType="end"/>
      </w:r>
      <w:r w:rsidRPr="00FD3EE9">
        <w:t xml:space="preserve">. Although </w:t>
      </w:r>
      <w:r w:rsidR="00264811" w:rsidRPr="00FD3EE9">
        <w:t xml:space="preserve">the </w:t>
      </w:r>
      <w:r w:rsidRPr="00FD3EE9">
        <w:t xml:space="preserve">payment method is a significant variable in </w:t>
      </w:r>
      <w:r w:rsidR="00F31607" w:rsidRPr="00FD3EE9">
        <w:t xml:space="preserve">the </w:t>
      </w:r>
      <w:r w:rsidRPr="00FD3EE9">
        <w:t xml:space="preserve">M&amp;A literature, we ignore it </w:t>
      </w:r>
      <w:r w:rsidR="00F31607" w:rsidRPr="00FD3EE9">
        <w:t xml:space="preserve">as </w:t>
      </w:r>
      <w:r w:rsidRPr="00FD3EE9">
        <w:t xml:space="preserve">over 90% of acquisitions are </w:t>
      </w:r>
      <w:r w:rsidR="00264811" w:rsidRPr="00FD3EE9">
        <w:t>cash mergers</w:t>
      </w:r>
      <w:r w:rsidRPr="00FD3EE9">
        <w:t xml:space="preserve"> </w:t>
      </w:r>
      <w:r w:rsidR="00264811" w:rsidRPr="00FD3EE9">
        <w:t>(Kling and Weitzel, 2011)</w:t>
      </w:r>
      <w:r w:rsidR="00F31607" w:rsidRPr="00FD3EE9">
        <w:t>.</w:t>
      </w:r>
      <w:r w:rsidR="00264811" w:rsidRPr="00FD3EE9">
        <w:t xml:space="preserve"> </w:t>
      </w:r>
      <w:r w:rsidRPr="00FD3EE9">
        <w:t xml:space="preserve">Some scholars </w:t>
      </w:r>
      <w:r w:rsidRPr="00FD3EE9">
        <w:fldChar w:fldCharType="begin"/>
      </w:r>
      <w:r w:rsidR="003D30A6" w:rsidRPr="00FD3EE9">
        <w:instrText xml:space="preserve"> ADDIN ZOTERO_ITEM CSL_CITATION {"citationID":"RoiWUg91","properties":{"formattedCitation":"(Morck et al., 1990; Sanders, 2001)","plainCitation":"(Morck et al., 1990; Sanders, 2001)","noteIndex":0},"citationItems":[{"id":"jwTi0SrD/59we9V2N","uris":["http://zotero.org/users/local/qiB1P4Y3/items/W66SJU5E"],"uri":["http://zotero.org/users/local/qiB1P4Y3/items/W66SJU5E"],"itemData":{"id":131,"type":"article-journal","title":"Behavioral responses of CEOs to stock ownership and stock option pay","container-title":"Academy of Management journal","page":"477–492","volume":"44","issue":"3","source":"Google Scholar","author":[{"family":"Sanders","given":"Wm Gerard"}],"issued":{"date-parts":[["2001"]]}}},{"id":"jwTi0SrD/1V5Sryi6","uris":["http://zotero.org/users/local/qiB1P4Y3/items/V8KHB9II"],"uri":["http://zotero.org/users/local/qiB1P4Y3/items/V8KHB9II"],"itemData":{"id":121,"type":"article-journal","title":"Do managerial objectives drive bad acquisitions?","container-title":"The Journal of Finance","page":"31–48","volume":"45","issue":"1","source":"Google Scholar","author":[{"family":"Morck","given":"Randall"},{"family":"Shleifer","given":"Andrei"},{"family":"Vishny","given":"Robert W."}],"issued":{"date-parts":[["1990"]]}}}],"schema":"https://github.com/citation-style-language/schema/raw/master/csl-citation.json"} </w:instrText>
      </w:r>
      <w:r w:rsidRPr="00FD3EE9">
        <w:fldChar w:fldCharType="separate"/>
      </w:r>
      <w:r w:rsidR="003D30A6" w:rsidRPr="00FD3EE9">
        <w:t>(Morck et al., 1990; Sanders, 2001)</w:t>
      </w:r>
      <w:r w:rsidRPr="00FD3EE9">
        <w:fldChar w:fldCharType="end"/>
      </w:r>
      <w:r w:rsidRPr="00FD3EE9">
        <w:t xml:space="preserve"> argue that poor past performance induce</w:t>
      </w:r>
      <w:r w:rsidR="00F31607" w:rsidRPr="00FD3EE9">
        <w:t>s</w:t>
      </w:r>
      <w:r w:rsidRPr="00FD3EE9">
        <w:t xml:space="preserve"> managers to seek new </w:t>
      </w:r>
      <w:r w:rsidR="00264811" w:rsidRPr="00FD3EE9">
        <w:t>opportunities. Yet, strong past performance can also lead to hubris making value-destroying mergers more likely Roll (1986). Hence, w</w:t>
      </w:r>
      <w:r w:rsidRPr="00FD3EE9">
        <w:t xml:space="preserve">e </w:t>
      </w:r>
      <w:r w:rsidR="00264811" w:rsidRPr="00FD3EE9">
        <w:t xml:space="preserve">include measures of past firm performance using </w:t>
      </w:r>
      <w:r w:rsidRPr="00FD3EE9">
        <w:t>annual stock return</w:t>
      </w:r>
      <w:r w:rsidR="00F31607" w:rsidRPr="00FD3EE9">
        <w:t>s</w:t>
      </w:r>
      <w:r w:rsidRPr="00FD3EE9">
        <w:t xml:space="preserve"> and return</w:t>
      </w:r>
      <w:r w:rsidR="00F31607" w:rsidRPr="00FD3EE9">
        <w:t>s</w:t>
      </w:r>
      <w:r w:rsidRPr="00FD3EE9">
        <w:t xml:space="preserve"> on equity.</w:t>
      </w:r>
    </w:p>
    <w:p w14:paraId="6A0438E3" w14:textId="0830AA30" w:rsidR="00D34A50" w:rsidRPr="00FD3EE9" w:rsidRDefault="00D34A50" w:rsidP="0085750E">
      <w:pPr>
        <w:spacing w:line="480" w:lineRule="auto"/>
        <w:ind w:firstLineChars="200" w:firstLine="480"/>
      </w:pPr>
      <w:r w:rsidRPr="00FD3EE9">
        <w:t>Additionally, Lang</w:t>
      </w:r>
      <w:r w:rsidR="00F31607" w:rsidRPr="00FD3EE9">
        <w:t xml:space="preserve"> </w:t>
      </w:r>
      <w:r w:rsidR="00143D5D" w:rsidRPr="00FD3EE9">
        <w:t>et al.</w:t>
      </w:r>
      <w:r w:rsidRPr="00FD3EE9">
        <w:t xml:space="preserve"> </w:t>
      </w:r>
      <w:r w:rsidRPr="00FD3EE9">
        <w:fldChar w:fldCharType="begin"/>
      </w:r>
      <w:r w:rsidR="000930FF" w:rsidRPr="00FD3EE9">
        <w:instrText xml:space="preserve"> ADDIN ZOTERO_ITEM CSL_CITATION {"citationID":"SKmgODcw","properties":{"formattedCitation":"(1991)","plainCitation":"(1991)","noteIndex":0},"citationItems":[{"id":"jwTi0SrD/CYBpxWgF","uris":["http://zotero.org/users/local/qiB1P4Y3/items/AZD9FU43"],"uri":["http://zotero.org/users/local/qiB1P4Y3/items/AZD9FU43"],"itemData":{"id":97,"type":"article-journal","title":"A test of the free cash flow hypothesis: The case of bidder returns","container-title":"Journal of Financial Economics","page":"315–335","volume":"29","issue":"2","source":"Google Scholar","shortTitle":"A test of the free cash flow hypothesis","author":[{"family":"Lang","given":"Larry HP"},{"family":"Stulz","given":"RenéM"},{"family":"Walkling","given":"Ralph A."}],"issued":{"date-parts":[["1991"]]}},"suppress-author":true}],"schema":"https://github.com/citation-style-language/schema/raw/master/csl-citation.json"} </w:instrText>
      </w:r>
      <w:r w:rsidRPr="00FD3EE9">
        <w:fldChar w:fldCharType="separate"/>
      </w:r>
      <w:r w:rsidR="003D30A6" w:rsidRPr="00FD3EE9">
        <w:t>(1991)</w:t>
      </w:r>
      <w:r w:rsidRPr="00FD3EE9">
        <w:fldChar w:fldCharType="end"/>
      </w:r>
      <w:r w:rsidRPr="00FD3EE9">
        <w:t xml:space="preserve"> propose that investment opportunities, measure</w:t>
      </w:r>
      <w:r w:rsidR="00F31607" w:rsidRPr="00FD3EE9">
        <w:t>d</w:t>
      </w:r>
      <w:r w:rsidRPr="00FD3EE9">
        <w:t xml:space="preserve"> </w:t>
      </w:r>
      <w:r w:rsidR="00143D5D" w:rsidRPr="00FD3EE9">
        <w:t xml:space="preserve">by </w:t>
      </w:r>
      <w:r w:rsidRPr="00FD3EE9">
        <w:t>Tobin's Q, can also affect firm</w:t>
      </w:r>
      <w:r w:rsidR="00143D5D" w:rsidRPr="00FD3EE9">
        <w:t>s’</w:t>
      </w:r>
      <w:r w:rsidRPr="00FD3EE9">
        <w:t xml:space="preserve"> investment decisions. However, Tobin</w:t>
      </w:r>
      <w:r w:rsidR="00F31607" w:rsidRPr="00FD3EE9">
        <w:t>’</w:t>
      </w:r>
      <w:r w:rsidRPr="00FD3EE9">
        <w:t>s Q not only capture</w:t>
      </w:r>
      <w:r w:rsidR="00F31607" w:rsidRPr="00FD3EE9">
        <w:t>s</w:t>
      </w:r>
      <w:r w:rsidR="00143D5D" w:rsidRPr="00FD3EE9">
        <w:t xml:space="preserve"> </w:t>
      </w:r>
      <w:r w:rsidRPr="00FD3EE9">
        <w:t>growth</w:t>
      </w:r>
      <w:r w:rsidR="00143D5D" w:rsidRPr="00FD3EE9">
        <w:t xml:space="preserve"> potential</w:t>
      </w:r>
      <w:r w:rsidR="00F31607" w:rsidRPr="00FD3EE9">
        <w:t>,</w:t>
      </w:r>
      <w:r w:rsidRPr="00FD3EE9">
        <w:t xml:space="preserve"> but also a firm</w:t>
      </w:r>
      <w:r w:rsidR="00F31607" w:rsidRPr="00FD3EE9">
        <w:t>’</w:t>
      </w:r>
      <w:r w:rsidRPr="00FD3EE9">
        <w:t>s overvaluation, which shape</w:t>
      </w:r>
      <w:r w:rsidR="00BD3B21" w:rsidRPr="00FD3EE9">
        <w:t>s</w:t>
      </w:r>
      <w:r w:rsidRPr="00FD3EE9">
        <w:t xml:space="preserve"> merger activities </w:t>
      </w:r>
      <w:r w:rsidRPr="00FD3EE9">
        <w:fldChar w:fldCharType="begin"/>
      </w:r>
      <w:r w:rsidR="003D30A6" w:rsidRPr="00FD3EE9">
        <w:instrText xml:space="preserve"> ADDIN ZOTERO_ITEM CSL_CITATION {"citationID":"rOxdVM4F","properties":{"formattedCitation":"(Rhodes\\uc0\\u8211{}Kropf et al., 2005)","plainCitation":"(Rhodes–Kropf et al., 2005)","noteIndex":0},"citationItems":[{"id":"jwTi0SrD/wpCsUOQV","uris":["http://zotero.org/users/local/qiB1P4Y3/items/MDS8UNUY"],"uri":["http://zotero.org/users/local/qiB1P4Y3/items/MDS8UNUY"],"itemData":{"id":126,"type":"article-journal","title":"Valuation waves and merger activity: The empirical evidence","container-title":"Journal of Financial Economics","page":"561–603","volume":"77","issue":"3","source":"Google Scholar","shortTitle":"Valuation waves and merger activity","author":[{"family":"Rhodes–Kropf","given":"Matthew"},{"family":"Robinson","given":"David T."},{"family":"Viswanathan","given":"S."}],"issued":{"date-parts":[["2005"]]}}}],"schema":"https://github.com/citation-style-language/schema/raw/master/csl-citation.json"} </w:instrText>
      </w:r>
      <w:r w:rsidRPr="00FD3EE9">
        <w:fldChar w:fldCharType="separate"/>
      </w:r>
      <w:r w:rsidR="003D30A6" w:rsidRPr="00FD3EE9">
        <w:rPr>
          <w:kern w:val="0"/>
        </w:rPr>
        <w:t>(Rhodes–Kropf et al., 2005)</w:t>
      </w:r>
      <w:r w:rsidRPr="00FD3EE9">
        <w:fldChar w:fldCharType="end"/>
      </w:r>
      <w:r w:rsidRPr="00FD3EE9">
        <w:t xml:space="preserve">. </w:t>
      </w:r>
      <w:r w:rsidR="008E7471">
        <w:t>W</w:t>
      </w:r>
      <w:r w:rsidRPr="00FD3EE9">
        <w:t xml:space="preserve">e decompose Tobin's Q into three </w:t>
      </w:r>
      <w:r w:rsidR="00BD3B21" w:rsidRPr="00FD3EE9">
        <w:t xml:space="preserve">components </w:t>
      </w:r>
      <w:r w:rsidRPr="00FD3EE9">
        <w:t>to control for firm-specific overvaluation, industry-specific overvaluation and long-term growth expectations</w:t>
      </w:r>
      <w:r w:rsidR="00F31607" w:rsidRPr="00FD3EE9">
        <w:t>,</w:t>
      </w:r>
      <w:r w:rsidRPr="00FD3EE9">
        <w:t xml:space="preserve"> respectively</w:t>
      </w:r>
      <w:r w:rsidR="008E7471">
        <w:t xml:space="preserve"> (</w:t>
      </w:r>
      <w:r w:rsidR="008E7471" w:rsidRPr="00FD3EE9">
        <w:t>Jiang et al.</w:t>
      </w:r>
      <w:r w:rsidR="008E7471">
        <w:t xml:space="preserve">, 2017; </w:t>
      </w:r>
      <w:r w:rsidR="008E7471" w:rsidRPr="00FD3EE9">
        <w:rPr>
          <w:kern w:val="0"/>
        </w:rPr>
        <w:t>Rhodes–</w:t>
      </w:r>
      <w:proofErr w:type="spellStart"/>
      <w:r w:rsidR="008E7471" w:rsidRPr="00FD3EE9">
        <w:rPr>
          <w:kern w:val="0"/>
        </w:rPr>
        <w:t>Kropf</w:t>
      </w:r>
      <w:proofErr w:type="spellEnd"/>
      <w:r w:rsidR="008E7471" w:rsidRPr="00FD3EE9">
        <w:rPr>
          <w:kern w:val="0"/>
        </w:rPr>
        <w:t xml:space="preserve"> et al., 2005</w:t>
      </w:r>
      <w:r w:rsidR="008E7471">
        <w:t>)</w:t>
      </w:r>
      <w:r w:rsidRPr="00FD3EE9">
        <w:t xml:space="preserve">. </w:t>
      </w:r>
    </w:p>
    <w:p w14:paraId="3F075686" w14:textId="4462E30C" w:rsidR="00D34A50" w:rsidRDefault="00D34A50" w:rsidP="0085750E">
      <w:pPr>
        <w:spacing w:line="480" w:lineRule="auto"/>
        <w:ind w:firstLineChars="200" w:firstLine="480"/>
      </w:pPr>
      <w:r w:rsidRPr="00FD3EE9">
        <w:t xml:space="preserve">We control for </w:t>
      </w:r>
      <w:r w:rsidR="00032141" w:rsidRPr="00FD3EE9">
        <w:t xml:space="preserve">a </w:t>
      </w:r>
      <w:r w:rsidRPr="00FD3EE9">
        <w:t>firm</w:t>
      </w:r>
      <w:r w:rsidR="00032141" w:rsidRPr="00FD3EE9">
        <w:t>’</w:t>
      </w:r>
      <w:r w:rsidRPr="00FD3EE9">
        <w:t xml:space="preserve">s growth measured as </w:t>
      </w:r>
      <w:r w:rsidR="00032141" w:rsidRPr="00FD3EE9">
        <w:t xml:space="preserve">the </w:t>
      </w:r>
      <w:r w:rsidRPr="00FD3EE9">
        <w:t xml:space="preserve">annual growth rate of total assets. Previous acquisition experience has also been </w:t>
      </w:r>
      <w:r w:rsidR="00032141" w:rsidRPr="00FD3EE9">
        <w:t xml:space="preserve">found </w:t>
      </w:r>
      <w:r w:rsidRPr="00FD3EE9">
        <w:t xml:space="preserve">to influence activities </w:t>
      </w:r>
      <w:r w:rsidRPr="00FD3EE9">
        <w:fldChar w:fldCharType="begin"/>
      </w:r>
      <w:r w:rsidR="003D30A6" w:rsidRPr="00FD3EE9">
        <w:instrText xml:space="preserve"> ADDIN ZOTERO_ITEM CSL_CITATION {"citationID":"wknPb6Cs","properties":{"formattedCitation":"(Sanders, 2001)","plainCitation":"(Sanders, 2001)","noteIndex":0},"citationItems":[{"id":"jwTi0SrD/59we9V2N","uris":["http://zotero.org/users/local/qiB1P4Y3/items/W66SJU5E"],"uri":["http://zotero.org/users/local/qiB1P4Y3/items/W66SJU5E"],"itemData":{"id":131,"type":"article-journal","title":"Behavioral responses of CEOs to stock ownership and stock option pay","container-title":"Academy of Management journal","page":"477–492","volume":"44","issue":"3","source":"Google Scholar","author":[{"family":"Sanders","given":"Wm Gerard"}],"issued":{"date-parts":[["2001"]]}}}],"schema":"https://github.com/citation-style-language/schema/raw/master/csl-citation.json"} </w:instrText>
      </w:r>
      <w:r w:rsidRPr="00FD3EE9">
        <w:fldChar w:fldCharType="separate"/>
      </w:r>
      <w:r w:rsidR="003D30A6" w:rsidRPr="00FD3EE9">
        <w:t>(Sanders, 2001)</w:t>
      </w:r>
      <w:r w:rsidRPr="00FD3EE9">
        <w:fldChar w:fldCharType="end"/>
      </w:r>
      <w:r w:rsidRPr="00FD3EE9">
        <w:t xml:space="preserve">. </w:t>
      </w:r>
      <w:r w:rsidR="00BD3B21" w:rsidRPr="00FD3EE9">
        <w:t>W</w:t>
      </w:r>
      <w:r w:rsidRPr="00FD3EE9">
        <w:t xml:space="preserve">e create a </w:t>
      </w:r>
      <w:r w:rsidRPr="00FD3EE9">
        <w:lastRenderedPageBreak/>
        <w:t>dummy variable</w:t>
      </w:r>
      <w:r w:rsidR="00BD3B21" w:rsidRPr="00FD3EE9">
        <w:t xml:space="preserve"> (</w:t>
      </w:r>
      <w:r w:rsidRPr="00FD3EE9">
        <w:t>MA experience</w:t>
      </w:r>
      <w:r w:rsidR="00BD3B21" w:rsidRPr="00FD3EE9">
        <w:t>)</w:t>
      </w:r>
      <w:r w:rsidRPr="00FD3EE9">
        <w:t xml:space="preserve"> </w:t>
      </w:r>
      <w:r w:rsidR="00032141" w:rsidRPr="00FD3EE9">
        <w:t xml:space="preserve">that </w:t>
      </w:r>
      <w:r w:rsidRPr="00FD3EE9">
        <w:t xml:space="preserve">is equal to </w:t>
      </w:r>
      <w:r w:rsidR="00032141" w:rsidRPr="00FD3EE9">
        <w:t xml:space="preserve">one </w:t>
      </w:r>
      <w:r w:rsidRPr="00FD3EE9">
        <w:t xml:space="preserve">if the firm has at least one acquisition in the previous three years and </w:t>
      </w:r>
      <w:r w:rsidR="00032141" w:rsidRPr="00FD3EE9">
        <w:t xml:space="preserve">zero </w:t>
      </w:r>
      <w:r w:rsidRPr="00FD3EE9">
        <w:t>otherwise</w:t>
      </w:r>
      <w:r w:rsidR="00E33E5A" w:rsidRPr="00FD3EE9">
        <w:t>.</w:t>
      </w:r>
      <w:r w:rsidR="00EF1F9E" w:rsidRPr="00FD3EE9">
        <w:t xml:space="preserve"> Table 1</w:t>
      </w:r>
      <w:r w:rsidR="00BD3B21" w:rsidRPr="00FD3EE9">
        <w:t xml:space="preserve"> provides an overview of all variables</w:t>
      </w:r>
      <w:r w:rsidR="00EF1F9E" w:rsidRPr="00FD3EE9">
        <w:t xml:space="preserve">. </w:t>
      </w:r>
    </w:p>
    <w:p w14:paraId="2A37F6DE" w14:textId="51DA507D" w:rsidR="008C1021" w:rsidRPr="00FD3EE9" w:rsidRDefault="008C1021" w:rsidP="008C1021">
      <w:pPr>
        <w:spacing w:line="480" w:lineRule="auto"/>
        <w:ind w:firstLineChars="200" w:firstLine="480"/>
        <w:jc w:val="center"/>
      </w:pPr>
      <w:r>
        <w:t>(</w:t>
      </w:r>
      <w:r w:rsidRPr="00FD3EE9">
        <w:t xml:space="preserve">Insert Table </w:t>
      </w:r>
      <w:r>
        <w:t>1</w:t>
      </w:r>
      <w:r w:rsidRPr="00FD3EE9">
        <w:t xml:space="preserve"> here</w:t>
      </w:r>
      <w:r>
        <w:t>)</w:t>
      </w:r>
    </w:p>
    <w:p w14:paraId="5BC83771" w14:textId="77777777" w:rsidR="008C1021" w:rsidRDefault="008C1021" w:rsidP="0085750E">
      <w:pPr>
        <w:pStyle w:val="ad"/>
        <w:spacing w:before="0" w:after="0" w:line="480" w:lineRule="auto"/>
        <w:jc w:val="left"/>
        <w:rPr>
          <w:rFonts w:ascii="Times New Roman" w:hAnsi="Times New Roman" w:cs="Times New Roman"/>
          <w:b w:val="0"/>
          <w:i/>
          <w:sz w:val="24"/>
        </w:rPr>
      </w:pPr>
    </w:p>
    <w:p w14:paraId="0D4D8C36" w14:textId="36EA7646" w:rsidR="00D34A50" w:rsidRPr="00FD3EE9" w:rsidRDefault="00E745B7" w:rsidP="0085750E">
      <w:pPr>
        <w:pStyle w:val="ad"/>
        <w:spacing w:before="0" w:after="0" w:line="480" w:lineRule="auto"/>
        <w:jc w:val="left"/>
        <w:rPr>
          <w:rFonts w:ascii="Times New Roman" w:hAnsi="Times New Roman" w:cs="Times New Roman"/>
          <w:b w:val="0"/>
          <w:i/>
          <w:sz w:val="24"/>
        </w:rPr>
      </w:pPr>
      <w:r w:rsidRPr="00FD3EE9">
        <w:rPr>
          <w:rFonts w:ascii="Times New Roman" w:hAnsi="Times New Roman" w:cs="Times New Roman"/>
          <w:b w:val="0"/>
          <w:i/>
          <w:sz w:val="24"/>
        </w:rPr>
        <w:t>4</w:t>
      </w:r>
      <w:r w:rsidR="00032141" w:rsidRPr="00FD3EE9">
        <w:rPr>
          <w:rFonts w:ascii="Times New Roman" w:hAnsi="Times New Roman" w:cs="Times New Roman"/>
          <w:b w:val="0"/>
          <w:i/>
          <w:sz w:val="24"/>
        </w:rPr>
        <w:t xml:space="preserve">.5. </w:t>
      </w:r>
      <w:r w:rsidR="00EF1F9E" w:rsidRPr="00FD3EE9">
        <w:rPr>
          <w:rFonts w:ascii="Times New Roman" w:hAnsi="Times New Roman" w:cs="Times New Roman"/>
          <w:b w:val="0"/>
          <w:i/>
          <w:sz w:val="24"/>
        </w:rPr>
        <w:t>Method</w:t>
      </w:r>
    </w:p>
    <w:p w14:paraId="50755209" w14:textId="51C0E0C8" w:rsidR="009E56F0" w:rsidRPr="00FD3EE9" w:rsidRDefault="00EF1F9E" w:rsidP="0085750E">
      <w:pPr>
        <w:spacing w:line="480" w:lineRule="auto"/>
        <w:ind w:firstLineChars="200" w:firstLine="480"/>
        <w:rPr>
          <w:rFonts w:cs="Times New Roman"/>
        </w:rPr>
      </w:pPr>
      <w:r w:rsidRPr="00FD3EE9">
        <w:t xml:space="preserve">First, we are interested in whether the two subgroups, active and less active </w:t>
      </w:r>
      <w:r w:rsidR="000C2F48" w:rsidRPr="00FD3EE9">
        <w:t>firms</w:t>
      </w:r>
      <w:r w:rsidRPr="00FD3EE9">
        <w:t xml:space="preserve">, exhibit different patterns in executive compensation and post-acquisition performance. We thus use a parametric two-sample t-test to determine whether the groups' means </w:t>
      </w:r>
      <w:r w:rsidR="000C2F48" w:rsidRPr="00FD3EE9">
        <w:t>differ</w:t>
      </w:r>
      <w:r w:rsidRPr="00FD3EE9">
        <w:rPr>
          <w:i/>
        </w:rPr>
        <w:t>.</w:t>
      </w:r>
      <w:r w:rsidR="000C2F48" w:rsidRPr="00FD3EE9">
        <w:rPr>
          <w:i/>
        </w:rPr>
        <w:t xml:space="preserve"> </w:t>
      </w:r>
      <w:r w:rsidR="000C2F48" w:rsidRPr="00FD3EE9">
        <w:t>Second, we</w:t>
      </w:r>
      <w:r w:rsidR="00E23793" w:rsidRPr="00FD3EE9">
        <w:t xml:space="preserve"> use multiple regressions to test the relationship between executive compensation and the level of acquisition activities. </w:t>
      </w:r>
      <w:r w:rsidR="000C2F48" w:rsidRPr="00FD3EE9">
        <w:t>In models where</w:t>
      </w:r>
      <w:r w:rsidR="00E23793" w:rsidRPr="00FD3EE9">
        <w:t xml:space="preserve"> the number of acquisitions</w:t>
      </w:r>
      <w:r w:rsidR="000C2F48" w:rsidRPr="00FD3EE9">
        <w:t xml:space="preserve"> refers to the dependent variable</w:t>
      </w:r>
      <w:r w:rsidR="00E23793" w:rsidRPr="00FD3EE9">
        <w:t>, an ordinary least square</w:t>
      </w:r>
      <w:r w:rsidR="00032141" w:rsidRPr="00FD3EE9">
        <w:t>s</w:t>
      </w:r>
      <w:r w:rsidR="00E23793" w:rsidRPr="00FD3EE9">
        <w:t xml:space="preserve"> regression is not appropriate. </w:t>
      </w:r>
      <w:r w:rsidR="00032141" w:rsidRPr="00FD3EE9">
        <w:t>Thus, w</w:t>
      </w:r>
      <w:r w:rsidR="00E23793" w:rsidRPr="00FD3EE9">
        <w:t xml:space="preserve">e </w:t>
      </w:r>
      <w:r w:rsidR="00032141" w:rsidRPr="00FD3EE9">
        <w:t>employ</w:t>
      </w:r>
      <w:r w:rsidR="00E23793" w:rsidRPr="00FD3EE9">
        <w:t xml:space="preserve"> </w:t>
      </w:r>
      <w:r w:rsidR="00032141" w:rsidRPr="00FD3EE9">
        <w:t xml:space="preserve">a </w:t>
      </w:r>
      <w:r w:rsidR="00E23793" w:rsidRPr="00FD3EE9">
        <w:t xml:space="preserve">negative binomial regression model to cope with the over-dispersion of the dependent variable. </w:t>
      </w:r>
      <w:r w:rsidR="007B6FD5" w:rsidRPr="00FD3EE9">
        <w:t>To test Hypotheses 1a, 1b, and 2</w:t>
      </w:r>
      <w:r w:rsidR="007B6FD5" w:rsidRPr="00FD3EE9">
        <w:rPr>
          <w:rFonts w:cs="Times New Roman"/>
        </w:rPr>
        <w:t xml:space="preserve">, we use the number of acquisitions firm </w:t>
      </w:r>
      <w:proofErr w:type="spellStart"/>
      <w:r w:rsidR="007B6FD5" w:rsidRPr="00FD3EE9">
        <w:rPr>
          <w:rFonts w:cs="Times New Roman"/>
          <w:i/>
        </w:rPr>
        <w:t>i</w:t>
      </w:r>
      <w:proofErr w:type="spellEnd"/>
      <w:r w:rsidR="007B6FD5" w:rsidRPr="00FD3EE9">
        <w:rPr>
          <w:rFonts w:cs="Times New Roman"/>
        </w:rPr>
        <w:t xml:space="preserve"> undertook in year </w:t>
      </w:r>
      <w:r w:rsidR="007B6FD5" w:rsidRPr="00FD3EE9">
        <w:rPr>
          <w:rFonts w:cs="Times New Roman"/>
          <w:i/>
        </w:rPr>
        <w:t xml:space="preserve">t </w:t>
      </w:r>
      <w:r w:rsidR="007B6FD5" w:rsidRPr="00FD3EE9">
        <w:rPr>
          <w:rFonts w:cs="Times New Roman"/>
          <w:iCs/>
        </w:rPr>
        <w:t xml:space="preserve">as the dependent variable and include </w:t>
      </w:r>
      <w:r w:rsidR="007B6FD5" w:rsidRPr="00FD3EE9">
        <w:rPr>
          <w:rFonts w:cs="Times New Roman"/>
        </w:rPr>
        <w:t xml:space="preserve">compensation and control variables lagged by one year, unless otherwise stated. Lagging variables ensures explanatory variables are predetermined, i.e. weakly exogenous. We also include the square of stock ownership to capture its anticipated </w:t>
      </w:r>
      <w:r w:rsidR="007B6FD5" w:rsidRPr="00FD3EE9">
        <w:rPr>
          <w:rFonts w:cs="Times New Roman"/>
        </w:rPr>
        <w:lastRenderedPageBreak/>
        <w:t xml:space="preserve">non-linear relationship. </w:t>
      </w:r>
      <w:r w:rsidR="00895159" w:rsidRPr="00FD3EE9">
        <w:rPr>
          <w:rFonts w:cs="Times New Roman"/>
        </w:rPr>
        <w:t>To</w:t>
      </w:r>
      <w:r w:rsidR="005A0AEC" w:rsidRPr="00FD3EE9">
        <w:rPr>
          <w:rFonts w:cs="Times New Roman"/>
        </w:rPr>
        <w:t xml:space="preserve"> test </w:t>
      </w:r>
      <w:r w:rsidR="007B6FD5" w:rsidRPr="00FD3EE9">
        <w:rPr>
          <w:rFonts w:cs="Times New Roman"/>
        </w:rPr>
        <w:t>Hypotheses 3 and 4</w:t>
      </w:r>
      <w:r w:rsidR="005A0AEC" w:rsidRPr="00FD3EE9">
        <w:rPr>
          <w:rFonts w:cs="Times New Roman"/>
        </w:rPr>
        <w:t xml:space="preserve">, </w:t>
      </w:r>
      <w:r w:rsidR="007B6FD5" w:rsidRPr="00FD3EE9">
        <w:rPr>
          <w:rFonts w:cs="Times New Roman"/>
        </w:rPr>
        <w:t>we use CARs and BHRs as dependent variables with similar controls. The Appendix provides the regression equations and further details.</w:t>
      </w:r>
      <w:r w:rsidR="00B358B5" w:rsidRPr="00FD3EE9">
        <w:rPr>
          <w:rFonts w:cs="Times New Roman"/>
        </w:rPr>
        <w:t xml:space="preserve"> </w:t>
      </w:r>
      <w:r w:rsidR="007B6FD5" w:rsidRPr="00FD3EE9">
        <w:rPr>
          <w:rFonts w:cs="Times New Roman"/>
        </w:rPr>
        <w:t>In line with Hypothesis 5</w:t>
      </w:r>
      <w:r w:rsidR="009E56F0" w:rsidRPr="00FD3EE9">
        <w:rPr>
          <w:rFonts w:cs="Times New Roman"/>
        </w:rPr>
        <w:t xml:space="preserve">, we anticipate that incentive compensation </w:t>
      </w:r>
      <w:r w:rsidR="00E735BB" w:rsidRPr="00FD3EE9">
        <w:rPr>
          <w:rFonts w:cs="Times New Roman"/>
        </w:rPr>
        <w:t xml:space="preserve">could </w:t>
      </w:r>
      <w:r w:rsidR="009E56F0" w:rsidRPr="00FD3EE9">
        <w:rPr>
          <w:rFonts w:cs="Times New Roman"/>
        </w:rPr>
        <w:t>influence investment decisions differently in non-</w:t>
      </w:r>
      <w:r w:rsidR="00B218B7" w:rsidRPr="00FD3EE9">
        <w:rPr>
          <w:rFonts w:cs="Times New Roman"/>
        </w:rPr>
        <w:t>SOEs and</w:t>
      </w:r>
      <w:r w:rsidR="00E735BB" w:rsidRPr="00FD3EE9">
        <w:rPr>
          <w:rFonts w:cs="Times New Roman"/>
        </w:rPr>
        <w:t xml:space="preserve"> </w:t>
      </w:r>
      <w:r w:rsidR="00B218B7" w:rsidRPr="00FD3EE9">
        <w:rPr>
          <w:rFonts w:cs="Times New Roman"/>
        </w:rPr>
        <w:t>SOEs</w:t>
      </w:r>
      <w:r w:rsidR="009E56F0" w:rsidRPr="00FD3EE9">
        <w:rPr>
          <w:rFonts w:cs="Times New Roman"/>
        </w:rPr>
        <w:t xml:space="preserve">. </w:t>
      </w:r>
      <w:r w:rsidR="00E735BB" w:rsidRPr="00FD3EE9">
        <w:rPr>
          <w:rFonts w:cs="Times New Roman"/>
        </w:rPr>
        <w:t>Thus, w</w:t>
      </w:r>
      <w:r w:rsidR="009E56F0" w:rsidRPr="00FD3EE9">
        <w:rPr>
          <w:rFonts w:cs="Times New Roman"/>
        </w:rPr>
        <w:t>e r</w:t>
      </w:r>
      <w:r w:rsidR="00E735BB" w:rsidRPr="00FD3EE9">
        <w:rPr>
          <w:rFonts w:cs="Times New Roman"/>
        </w:rPr>
        <w:t>u</w:t>
      </w:r>
      <w:r w:rsidR="009E56F0" w:rsidRPr="00FD3EE9">
        <w:rPr>
          <w:rFonts w:cs="Times New Roman"/>
        </w:rPr>
        <w:t xml:space="preserve">n </w:t>
      </w:r>
      <w:r w:rsidR="00B218B7" w:rsidRPr="00FD3EE9">
        <w:rPr>
          <w:rFonts w:cs="Times New Roman"/>
        </w:rPr>
        <w:t xml:space="preserve">the </w:t>
      </w:r>
      <w:r w:rsidR="009E56F0" w:rsidRPr="00FD3EE9">
        <w:rPr>
          <w:rFonts w:cs="Times New Roman"/>
        </w:rPr>
        <w:t>above regression</w:t>
      </w:r>
      <w:r w:rsidR="007B6FD5" w:rsidRPr="00FD3EE9">
        <w:rPr>
          <w:rFonts w:cs="Times New Roman"/>
        </w:rPr>
        <w:t>s</w:t>
      </w:r>
      <w:r w:rsidR="009E56F0" w:rsidRPr="00FD3EE9">
        <w:rPr>
          <w:rFonts w:cs="Times New Roman"/>
        </w:rPr>
        <w:t xml:space="preserve"> </w:t>
      </w:r>
      <w:r w:rsidR="007B6FD5" w:rsidRPr="00FD3EE9">
        <w:rPr>
          <w:rFonts w:cs="Times New Roman"/>
        </w:rPr>
        <w:t>for</w:t>
      </w:r>
      <w:r w:rsidR="00E735BB" w:rsidRPr="00FD3EE9">
        <w:rPr>
          <w:rFonts w:cs="Times New Roman"/>
        </w:rPr>
        <w:t xml:space="preserve"> </w:t>
      </w:r>
      <w:r w:rsidR="009E56F0" w:rsidRPr="00FD3EE9">
        <w:rPr>
          <w:rFonts w:cs="Times New Roman"/>
        </w:rPr>
        <w:t>SOE</w:t>
      </w:r>
      <w:r w:rsidR="007B6FD5" w:rsidRPr="00FD3EE9">
        <w:rPr>
          <w:rFonts w:cs="Times New Roman"/>
        </w:rPr>
        <w:t>s</w:t>
      </w:r>
      <w:r w:rsidR="009E56F0" w:rsidRPr="00FD3EE9">
        <w:rPr>
          <w:rFonts w:cs="Times New Roman"/>
        </w:rPr>
        <w:t xml:space="preserve"> and non-SOE</w:t>
      </w:r>
      <w:r w:rsidR="007B6FD5" w:rsidRPr="00FD3EE9">
        <w:rPr>
          <w:rFonts w:cs="Times New Roman"/>
        </w:rPr>
        <w:t>s</w:t>
      </w:r>
      <w:r w:rsidR="009E56F0" w:rsidRPr="00FD3EE9">
        <w:rPr>
          <w:rFonts w:cs="Times New Roman"/>
        </w:rPr>
        <w:t xml:space="preserve"> </w:t>
      </w:r>
      <w:r w:rsidR="007B6FD5" w:rsidRPr="00FD3EE9">
        <w:rPr>
          <w:rFonts w:cs="Times New Roman"/>
        </w:rPr>
        <w:t>separately</w:t>
      </w:r>
      <w:r w:rsidR="009E56F0" w:rsidRPr="00FD3EE9">
        <w:rPr>
          <w:rFonts w:cs="Times New Roman"/>
        </w:rPr>
        <w:t xml:space="preserve">. </w:t>
      </w:r>
      <w:r w:rsidR="00714151" w:rsidRPr="00FD3EE9">
        <w:rPr>
          <w:rFonts w:cs="Times New Roman"/>
        </w:rPr>
        <w:t xml:space="preserve">We account for fixed effects and include industry and year dummies. </w:t>
      </w:r>
      <w:r w:rsidR="00B35695" w:rsidRPr="00FD3EE9">
        <w:rPr>
          <w:rFonts w:cs="Times New Roman"/>
        </w:rPr>
        <w:t>Further</w:t>
      </w:r>
      <w:r w:rsidR="00736176" w:rsidRPr="00FD3EE9">
        <w:rPr>
          <w:rFonts w:cs="Times New Roman"/>
        </w:rPr>
        <w:t>more</w:t>
      </w:r>
      <w:r w:rsidR="00B35695" w:rsidRPr="00FD3EE9">
        <w:rPr>
          <w:rFonts w:cs="Times New Roman"/>
        </w:rPr>
        <w:t>, a</w:t>
      </w:r>
      <w:r w:rsidR="00562EC3" w:rsidRPr="00FD3EE9">
        <w:rPr>
          <w:rFonts w:cs="Times New Roman"/>
        </w:rPr>
        <w:t xml:space="preserve">ll regressions are clustered within </w:t>
      </w:r>
      <w:r w:rsidR="00736176" w:rsidRPr="00FD3EE9">
        <w:rPr>
          <w:rFonts w:cs="Times New Roman"/>
        </w:rPr>
        <w:t xml:space="preserve">cross-sectional </w:t>
      </w:r>
      <w:r w:rsidR="00562EC3" w:rsidRPr="00FD3EE9">
        <w:rPr>
          <w:rFonts w:cs="Times New Roman"/>
        </w:rPr>
        <w:t xml:space="preserve">units. </w:t>
      </w:r>
      <w:r w:rsidR="00736176" w:rsidRPr="00FD3EE9">
        <w:rPr>
          <w:rFonts w:cs="Times New Roman"/>
        </w:rPr>
        <w:t>C</w:t>
      </w:r>
      <w:r w:rsidR="00714151" w:rsidRPr="00FD3EE9">
        <w:rPr>
          <w:rFonts w:cs="Times New Roman"/>
        </w:rPr>
        <w:t>luster</w:t>
      </w:r>
      <w:r w:rsidR="00562EC3" w:rsidRPr="00FD3EE9">
        <w:rPr>
          <w:rFonts w:cs="Times New Roman"/>
        </w:rPr>
        <w:t>ed</w:t>
      </w:r>
      <w:r w:rsidR="00714151" w:rsidRPr="00FD3EE9">
        <w:rPr>
          <w:rFonts w:cs="Times New Roman"/>
        </w:rPr>
        <w:t xml:space="preserve"> standard errors </w:t>
      </w:r>
      <w:r w:rsidR="00736176" w:rsidRPr="00FD3EE9">
        <w:rPr>
          <w:rFonts w:cs="Times New Roman"/>
        </w:rPr>
        <w:t>account</w:t>
      </w:r>
      <w:r w:rsidR="00714151" w:rsidRPr="00FD3EE9">
        <w:rPr>
          <w:rFonts w:cs="Times New Roman"/>
        </w:rPr>
        <w:t xml:space="preserve"> </w:t>
      </w:r>
      <w:r w:rsidR="00736176" w:rsidRPr="00FD3EE9">
        <w:rPr>
          <w:rFonts w:cs="Times New Roman"/>
        </w:rPr>
        <w:t xml:space="preserve">for </w:t>
      </w:r>
      <w:r w:rsidR="00714151" w:rsidRPr="00FD3EE9">
        <w:rPr>
          <w:rFonts w:cs="Times New Roman"/>
        </w:rPr>
        <w:t xml:space="preserve">serial correlation, permitting </w:t>
      </w:r>
      <w:r w:rsidR="00736176" w:rsidRPr="00FD3EE9">
        <w:rPr>
          <w:rFonts w:cs="Times New Roman"/>
        </w:rPr>
        <w:t xml:space="preserve">that </w:t>
      </w:r>
      <w:r w:rsidR="00714151" w:rsidRPr="00FD3EE9">
        <w:rPr>
          <w:rFonts w:cs="Times New Roman"/>
        </w:rPr>
        <w:t xml:space="preserve">the error terms for one firm </w:t>
      </w:r>
      <w:r w:rsidR="00736176" w:rsidRPr="00FD3EE9">
        <w:rPr>
          <w:rFonts w:cs="Times New Roman"/>
        </w:rPr>
        <w:t>in</w:t>
      </w:r>
      <w:r w:rsidR="00714151" w:rsidRPr="00FD3EE9">
        <w:rPr>
          <w:rFonts w:cs="Times New Roman"/>
        </w:rPr>
        <w:t xml:space="preserve"> year t </w:t>
      </w:r>
      <w:r w:rsidR="00736176" w:rsidRPr="00FD3EE9">
        <w:rPr>
          <w:rFonts w:cs="Times New Roman"/>
        </w:rPr>
        <w:t xml:space="preserve">and </w:t>
      </w:r>
      <w:r w:rsidR="00714151" w:rsidRPr="00FD3EE9">
        <w:rPr>
          <w:rFonts w:cs="Times New Roman"/>
        </w:rPr>
        <w:t>year t-1</w:t>
      </w:r>
      <w:r w:rsidR="00736176" w:rsidRPr="00FD3EE9">
        <w:rPr>
          <w:rFonts w:cs="Times New Roman"/>
        </w:rPr>
        <w:t xml:space="preserve"> are similar</w:t>
      </w:r>
      <w:r w:rsidR="00714151" w:rsidRPr="00FD3EE9">
        <w:rPr>
          <w:rFonts w:cs="Times New Roman"/>
        </w:rPr>
        <w:t>.</w:t>
      </w:r>
    </w:p>
    <w:p w14:paraId="3303E56E" w14:textId="77777777" w:rsidR="00B358B5" w:rsidRPr="00FD3EE9" w:rsidRDefault="00B358B5">
      <w:pPr>
        <w:pStyle w:val="a4"/>
        <w:spacing w:before="0" w:after="0" w:line="480" w:lineRule="auto"/>
        <w:rPr>
          <w:rFonts w:ascii="Times New Roman" w:hAnsi="Times New Roman" w:cs="Times New Roman"/>
          <w:sz w:val="24"/>
        </w:rPr>
      </w:pPr>
    </w:p>
    <w:p w14:paraId="65A049A8" w14:textId="385504A9" w:rsidR="009E56F0" w:rsidRPr="00FD3EE9" w:rsidRDefault="00825A2B" w:rsidP="0085750E">
      <w:pPr>
        <w:pStyle w:val="a4"/>
        <w:spacing w:before="0" w:after="0" w:line="480" w:lineRule="auto"/>
        <w:rPr>
          <w:rFonts w:ascii="Times New Roman" w:hAnsi="Times New Roman" w:cs="Times New Roman"/>
          <w:sz w:val="24"/>
        </w:rPr>
      </w:pPr>
      <w:r w:rsidRPr="00FD3EE9">
        <w:rPr>
          <w:rFonts w:ascii="Times New Roman" w:hAnsi="Times New Roman" w:cs="Times New Roman"/>
          <w:sz w:val="24"/>
        </w:rPr>
        <w:t>5</w:t>
      </w:r>
      <w:r w:rsidR="00E735BB" w:rsidRPr="00FD3EE9">
        <w:rPr>
          <w:rFonts w:ascii="Times New Roman" w:hAnsi="Times New Roman" w:cs="Times New Roman"/>
          <w:sz w:val="24"/>
        </w:rPr>
        <w:t xml:space="preserve">. </w:t>
      </w:r>
      <w:r w:rsidR="009E56F0" w:rsidRPr="00FD3EE9">
        <w:rPr>
          <w:rFonts w:ascii="Times New Roman" w:hAnsi="Times New Roman" w:cs="Times New Roman"/>
          <w:sz w:val="24"/>
        </w:rPr>
        <w:t>E</w:t>
      </w:r>
      <w:r w:rsidR="00E735BB" w:rsidRPr="00FD3EE9">
        <w:rPr>
          <w:rFonts w:ascii="Times New Roman" w:hAnsi="Times New Roman" w:cs="Times New Roman"/>
          <w:sz w:val="24"/>
        </w:rPr>
        <w:t xml:space="preserve">mpirical </w:t>
      </w:r>
      <w:r w:rsidR="002D1D65">
        <w:rPr>
          <w:rFonts w:ascii="Times New Roman" w:hAnsi="Times New Roman" w:cs="Times New Roman"/>
          <w:sz w:val="24"/>
        </w:rPr>
        <w:t>r</w:t>
      </w:r>
      <w:r w:rsidR="00E735BB" w:rsidRPr="00FD3EE9">
        <w:rPr>
          <w:rFonts w:ascii="Times New Roman" w:hAnsi="Times New Roman" w:cs="Times New Roman"/>
          <w:sz w:val="24"/>
        </w:rPr>
        <w:t>esults</w:t>
      </w:r>
    </w:p>
    <w:p w14:paraId="1176B6B0" w14:textId="0A6F67FF" w:rsidR="00A41643" w:rsidRDefault="00EF1F9E" w:rsidP="0085750E">
      <w:pPr>
        <w:spacing w:line="480" w:lineRule="auto"/>
        <w:ind w:firstLineChars="200" w:firstLine="480"/>
      </w:pPr>
      <w:r w:rsidRPr="00FD3EE9">
        <w:t>Table 2</w:t>
      </w:r>
      <w:r w:rsidR="009E56F0" w:rsidRPr="00FD3EE9">
        <w:t xml:space="preserve"> reports summary statistics. Although the number of acquisitions </w:t>
      </w:r>
      <w:r w:rsidR="00B21869" w:rsidRPr="00FD3EE9">
        <w:t>has</w:t>
      </w:r>
      <w:r w:rsidR="009E56F0" w:rsidRPr="00FD3EE9">
        <w:t xml:space="preserve"> </w:t>
      </w:r>
      <w:r w:rsidR="00B21869" w:rsidRPr="00FD3EE9">
        <w:t xml:space="preserve">increased </w:t>
      </w:r>
      <w:r w:rsidR="009E56F0" w:rsidRPr="00FD3EE9">
        <w:t>from 476 in 2005 to 1</w:t>
      </w:r>
      <w:r w:rsidR="00E735BB" w:rsidRPr="00FD3EE9">
        <w:t>,</w:t>
      </w:r>
      <w:r w:rsidR="009E56F0" w:rsidRPr="00FD3EE9">
        <w:t xml:space="preserve">741 in 2014, the average deal value </w:t>
      </w:r>
      <w:r w:rsidR="00B21869" w:rsidRPr="00FD3EE9">
        <w:t xml:space="preserve">has </w:t>
      </w:r>
      <w:r w:rsidR="009E56F0" w:rsidRPr="00FD3EE9">
        <w:t xml:space="preserve">remained </w:t>
      </w:r>
      <w:r w:rsidR="00B21869" w:rsidRPr="00FD3EE9">
        <w:t>stable.</w:t>
      </w:r>
      <w:r w:rsidR="009E56F0" w:rsidRPr="00FD3EE9">
        <w:t xml:space="preserve"> The deal volume reached its peak at 71</w:t>
      </w:r>
      <w:r w:rsidR="00B21869" w:rsidRPr="00FD3EE9">
        <w:t>3</w:t>
      </w:r>
      <w:r w:rsidR="009E56F0" w:rsidRPr="00FD3EE9">
        <w:t xml:space="preserve"> million</w:t>
      </w:r>
      <w:r w:rsidR="00090899" w:rsidRPr="00FD3EE9">
        <w:t xml:space="preserve"> </w:t>
      </w:r>
      <w:r w:rsidR="00B21869" w:rsidRPr="00FD3EE9">
        <w:t xml:space="preserve">Yuan </w:t>
      </w:r>
      <w:r w:rsidR="00090899" w:rsidRPr="00FD3EE9">
        <w:t xml:space="preserve">in 2006, which was </w:t>
      </w:r>
      <w:r w:rsidR="00E735BB" w:rsidRPr="00FD3EE9">
        <w:t xml:space="preserve">a </w:t>
      </w:r>
      <w:r w:rsidR="00090899" w:rsidRPr="00FD3EE9">
        <w:t>268</w:t>
      </w:r>
      <w:r w:rsidR="009E56F0" w:rsidRPr="00FD3EE9">
        <w:t xml:space="preserve">% increase compared </w:t>
      </w:r>
      <w:r w:rsidR="00E735BB" w:rsidRPr="00FD3EE9">
        <w:t xml:space="preserve">to </w:t>
      </w:r>
      <w:r w:rsidR="009E56F0" w:rsidRPr="00FD3EE9">
        <w:t xml:space="preserve">2005. This </w:t>
      </w:r>
      <w:r w:rsidR="00B21869" w:rsidRPr="00FD3EE9">
        <w:t>peak resulted from a</w:t>
      </w:r>
      <w:r w:rsidR="009E56F0" w:rsidRPr="00FD3EE9">
        <w:t xml:space="preserve"> privatization wave </w:t>
      </w:r>
      <w:r w:rsidR="00B21869" w:rsidRPr="00FD3EE9">
        <w:t>and restructuring among SOEs.</w:t>
      </w:r>
    </w:p>
    <w:p w14:paraId="52DAE1B5" w14:textId="707F09E2" w:rsidR="008C1021" w:rsidRPr="00FD3EE9" w:rsidRDefault="008C1021" w:rsidP="008C1021">
      <w:pPr>
        <w:spacing w:line="480" w:lineRule="auto"/>
        <w:ind w:firstLineChars="200" w:firstLine="480"/>
        <w:jc w:val="center"/>
      </w:pPr>
      <w:r>
        <w:t>(</w:t>
      </w:r>
      <w:r w:rsidRPr="00FD3EE9">
        <w:t xml:space="preserve">Insert Table </w:t>
      </w:r>
      <w:r>
        <w:t>2</w:t>
      </w:r>
      <w:r w:rsidRPr="00FD3EE9">
        <w:t xml:space="preserve"> here</w:t>
      </w:r>
      <w:r>
        <w:t>)</w:t>
      </w:r>
    </w:p>
    <w:p w14:paraId="13A9AC62" w14:textId="77777777" w:rsidR="008C1021" w:rsidRDefault="00EF1F9E" w:rsidP="0085750E">
      <w:pPr>
        <w:spacing w:line="480" w:lineRule="auto"/>
        <w:ind w:firstLineChars="200" w:firstLine="480"/>
      </w:pPr>
      <w:r w:rsidRPr="00FD3EE9">
        <w:t>Table 3</w:t>
      </w:r>
      <w:r w:rsidR="009C552D" w:rsidRPr="00FD3EE9">
        <w:t xml:space="preserve"> presents descriptive statistics </w:t>
      </w:r>
      <w:r w:rsidR="00960746">
        <w:t>based on</w:t>
      </w:r>
      <w:r w:rsidR="009C552D" w:rsidRPr="00FD3EE9">
        <w:t xml:space="preserve"> 10</w:t>
      </w:r>
      <w:r w:rsidR="00A41643" w:rsidRPr="00FD3EE9">
        <w:t>,</w:t>
      </w:r>
      <w:r w:rsidR="009C552D" w:rsidRPr="00FD3EE9">
        <w:t>553 acquisitions from 2005</w:t>
      </w:r>
      <w:r w:rsidR="00A41643" w:rsidRPr="00FD3EE9">
        <w:t>-</w:t>
      </w:r>
      <w:r w:rsidR="009C552D" w:rsidRPr="00FD3EE9">
        <w:t xml:space="preserve">2014 and </w:t>
      </w:r>
      <w:r w:rsidR="009C552D" w:rsidRPr="00FD3EE9">
        <w:lastRenderedPageBreak/>
        <w:t xml:space="preserve">firm characteristics of acquiring firms. </w:t>
      </w:r>
      <w:r w:rsidR="008005AC" w:rsidRPr="00FD3EE9">
        <w:t>E</w:t>
      </w:r>
      <w:r w:rsidR="009C552D" w:rsidRPr="00FD3EE9">
        <w:t xml:space="preserve">ach firm undertook 2.94 acquisitions per year </w:t>
      </w:r>
      <w:r w:rsidR="00960746" w:rsidRPr="00FD3EE9">
        <w:t>on average</w:t>
      </w:r>
      <w:r w:rsidR="009C552D" w:rsidRPr="00FD3EE9">
        <w:t xml:space="preserve">. </w:t>
      </w:r>
      <w:r w:rsidR="008005AC" w:rsidRPr="00FD3EE9">
        <w:t>A</w:t>
      </w:r>
      <w:r w:rsidR="00A41643" w:rsidRPr="00FD3EE9">
        <w:t xml:space="preserve">cquiring </w:t>
      </w:r>
      <w:r w:rsidR="009C552D" w:rsidRPr="00FD3EE9">
        <w:t>firms are large</w:t>
      </w:r>
      <w:r w:rsidR="008005AC" w:rsidRPr="00FD3EE9">
        <w:t xml:space="preserve"> with an</w:t>
      </w:r>
      <w:r w:rsidR="009C552D" w:rsidRPr="00FD3EE9">
        <w:t xml:space="preserve"> </w:t>
      </w:r>
      <w:r w:rsidR="008005AC" w:rsidRPr="00FD3EE9">
        <w:t xml:space="preserve">average </w:t>
      </w:r>
      <w:r w:rsidR="009C552D" w:rsidRPr="00FD3EE9">
        <w:t>market capitalization</w:t>
      </w:r>
      <w:r w:rsidR="008005AC" w:rsidRPr="00FD3EE9">
        <w:t xml:space="preserve"> of 11.9 billion Yuan</w:t>
      </w:r>
      <w:r w:rsidR="009C552D" w:rsidRPr="00FD3EE9">
        <w:t xml:space="preserve">. </w:t>
      </w:r>
      <w:r w:rsidR="008005AC" w:rsidRPr="00FD3EE9">
        <w:t>I</w:t>
      </w:r>
      <w:r w:rsidR="009C552D" w:rsidRPr="00FD3EE9">
        <w:t xml:space="preserve">t only takes around </w:t>
      </w:r>
      <w:r w:rsidR="00A41643" w:rsidRPr="00FD3EE9">
        <w:t xml:space="preserve">three </w:t>
      </w:r>
      <w:r w:rsidR="009C552D" w:rsidRPr="00FD3EE9">
        <w:t>months (87 days) to complete an acquisitions</w:t>
      </w:r>
      <w:r w:rsidR="00A41643" w:rsidRPr="00FD3EE9">
        <w:t xml:space="preserve"> </w:t>
      </w:r>
      <w:r w:rsidR="008005AC" w:rsidRPr="00FD3EE9">
        <w:t xml:space="preserve">compared to five-month in the US </w:t>
      </w:r>
      <w:r w:rsidR="008005AC" w:rsidRPr="00FD3EE9">
        <w:fldChar w:fldCharType="begin"/>
      </w:r>
      <w:r w:rsidR="008005AC" w:rsidRPr="00FD3EE9">
        <w:instrText xml:space="preserve"> ADDIN ZOTERO_ITEM CSL_CITATION {"citationID":"8AKW4j0v","properties":{"formattedCitation":"(Grinstein and Hribar, 2004)","plainCitation":"(Grinstein and Hribar, 2004)","noteIndex":0},"citationItems":[{"id":"jwTi0SrD/jLrng086","uris":["http://zotero.org/users/local/qiB1P4Y3/items/DVZXVAKX"],"uri":["http://zotero.org/users/local/qiB1P4Y3/items/DVZXVAKX"],"itemData":{"id":66,"type":"article-journal","title":"CEO compensation and incentives: Evidence from M&amp;A bonuses","container-title":"Journal of financial economics","page":"119–143","volume":"73","issue":"1","source":"Google Scholar","shortTitle":"CEO compensation and incentives","author":[{"family":"Grinstein","given":"Yaniv"},{"family":"Hribar","given":"Paul"}],"issued":{"date-parts":[["2004"]]}}}],"schema":"https://github.com/citation-style-language/schema/raw/master/csl-citation.json"} </w:instrText>
      </w:r>
      <w:r w:rsidR="008005AC" w:rsidRPr="00FD3EE9">
        <w:fldChar w:fldCharType="separate"/>
      </w:r>
      <w:r w:rsidR="008005AC" w:rsidRPr="00FD3EE9">
        <w:t>(Grinstein and Hribar, 2004)</w:t>
      </w:r>
      <w:r w:rsidR="008005AC" w:rsidRPr="00FD3EE9">
        <w:fldChar w:fldCharType="end"/>
      </w:r>
      <w:r w:rsidR="009C552D" w:rsidRPr="00FD3EE9">
        <w:t xml:space="preserve">. </w:t>
      </w:r>
      <w:r w:rsidR="008005AC" w:rsidRPr="00FD3EE9">
        <w:t xml:space="preserve">The </w:t>
      </w:r>
      <w:r w:rsidR="009C552D" w:rsidRPr="00FD3EE9">
        <w:t xml:space="preserve">average </w:t>
      </w:r>
      <w:r w:rsidR="008005AC" w:rsidRPr="00FD3EE9">
        <w:t>cumulated</w:t>
      </w:r>
      <w:r w:rsidR="009C552D" w:rsidRPr="00FD3EE9">
        <w:t xml:space="preserve"> abnormal returns </w:t>
      </w:r>
      <w:r w:rsidR="008005AC" w:rsidRPr="00FD3EE9">
        <w:t xml:space="preserve">(CARs) was 1.37% </w:t>
      </w:r>
      <w:r w:rsidR="009C552D" w:rsidRPr="00FD3EE9">
        <w:t>suggest</w:t>
      </w:r>
      <w:r w:rsidR="008005AC" w:rsidRPr="00FD3EE9">
        <w:t>ing</w:t>
      </w:r>
      <w:r w:rsidR="009C552D" w:rsidRPr="00FD3EE9">
        <w:t xml:space="preserve"> that Chinese markets react</w:t>
      </w:r>
      <w:r w:rsidR="008005AC" w:rsidRPr="00FD3EE9">
        <w:t>ed</w:t>
      </w:r>
      <w:r w:rsidR="009C552D" w:rsidRPr="00FD3EE9">
        <w:t xml:space="preserve"> positively to M&amp;A announcements</w:t>
      </w:r>
      <w:r w:rsidR="00A41643" w:rsidRPr="00FD3EE9">
        <w:t>.</w:t>
      </w:r>
      <w:r w:rsidR="009C552D" w:rsidRPr="00FD3EE9">
        <w:t xml:space="preserve"> </w:t>
      </w:r>
      <w:r w:rsidR="008005AC" w:rsidRPr="00FD3EE9">
        <w:t>In contrast, CARs tend to be negative in developed markets</w:t>
      </w:r>
      <w:r w:rsidR="009C552D" w:rsidRPr="00FD3EE9">
        <w:t xml:space="preserve"> </w:t>
      </w:r>
      <w:r w:rsidR="009C552D" w:rsidRPr="00FD3EE9">
        <w:fldChar w:fldCharType="begin"/>
      </w:r>
      <w:r w:rsidR="003D30A6" w:rsidRPr="00FD3EE9">
        <w:instrText xml:space="preserve"> ADDIN ZOTERO_ITEM CSL_CITATION {"citationID":"cxwCz4Aw","properties":{"formattedCitation":"(Morck et al., 1990)","plainCitation":"(Morck et al., 1990)","noteIndex":0},"citationItems":[{"id":"jwTi0SrD/1V5Sryi6","uris":["http://zotero.org/users/local/qiB1P4Y3/items/V8KHB9II"],"uri":["http://zotero.org/users/local/qiB1P4Y3/items/V8KHB9II"],"itemData":{"id":121,"type":"article-journal","title":"Do managerial objectives drive bad acquisitions?","container-title":"The Journal of Finance","page":"31–48","volume":"45","issue":"1","source":"Google Scholar","author":[{"family":"Morck","given":"Randall"},{"family":"Shleifer","given":"Andrei"},{"family":"Vishny","given":"Robert W."}],"issued":{"date-parts":[["1990"]]}}}],"schema":"https://github.com/citation-style-language/schema/raw/master/csl-citation.json"} </w:instrText>
      </w:r>
      <w:r w:rsidR="009C552D" w:rsidRPr="00FD3EE9">
        <w:fldChar w:fldCharType="separate"/>
      </w:r>
      <w:r w:rsidR="003D30A6" w:rsidRPr="00FD3EE9">
        <w:t>(Morck et al., 1990)</w:t>
      </w:r>
      <w:r w:rsidR="009C552D" w:rsidRPr="00FD3EE9">
        <w:fldChar w:fldCharType="end"/>
      </w:r>
      <w:r w:rsidR="009C552D" w:rsidRPr="00FD3EE9">
        <w:t xml:space="preserve">. However, BHRs </w:t>
      </w:r>
      <w:r w:rsidR="008005AC" w:rsidRPr="00FD3EE9">
        <w:t xml:space="preserve">reached </w:t>
      </w:r>
      <w:r w:rsidR="009C552D" w:rsidRPr="00FD3EE9">
        <w:t>-17.54</w:t>
      </w:r>
      <w:r w:rsidR="008005AC" w:rsidRPr="00FD3EE9">
        <w:t>% on average,</w:t>
      </w:r>
      <w:r w:rsidR="009C552D" w:rsidRPr="00FD3EE9">
        <w:t xml:space="preserve"> </w:t>
      </w:r>
      <w:r w:rsidR="008005AC" w:rsidRPr="00FD3EE9">
        <w:t>revealing poor long-term performance</w:t>
      </w:r>
      <w:r w:rsidR="009C552D" w:rsidRPr="00FD3EE9">
        <w:t xml:space="preserve">. Over 59% </w:t>
      </w:r>
      <w:r w:rsidR="00362BE2">
        <w:t>acquisitions occurred in</w:t>
      </w:r>
      <w:r w:rsidR="009C552D" w:rsidRPr="00FD3EE9">
        <w:t xml:space="preserve"> the same industry. </w:t>
      </w:r>
      <w:r w:rsidR="008005AC" w:rsidRPr="00FD3EE9">
        <w:t>O</w:t>
      </w:r>
      <w:r w:rsidR="009C552D" w:rsidRPr="00FD3EE9">
        <w:t xml:space="preserve">ver 30% of the acquisitions </w:t>
      </w:r>
      <w:r w:rsidR="008005AC" w:rsidRPr="00FD3EE9">
        <w:t>were</w:t>
      </w:r>
      <w:r w:rsidR="009C552D" w:rsidRPr="00FD3EE9">
        <w:t xml:space="preserve"> undertaken by </w:t>
      </w:r>
      <w:r w:rsidR="00362BE2">
        <w:t>SOEs</w:t>
      </w:r>
      <w:r w:rsidR="009C552D" w:rsidRPr="00FD3EE9">
        <w:t>.</w:t>
      </w:r>
    </w:p>
    <w:p w14:paraId="6F46E73E" w14:textId="4F128DBC" w:rsidR="008C1021" w:rsidRPr="00FD3EE9" w:rsidRDefault="008C1021" w:rsidP="008C1021">
      <w:pPr>
        <w:spacing w:line="480" w:lineRule="auto"/>
        <w:ind w:firstLineChars="200" w:firstLine="480"/>
        <w:jc w:val="center"/>
      </w:pPr>
      <w:r>
        <w:t>(</w:t>
      </w:r>
      <w:r w:rsidRPr="00FD3EE9">
        <w:t xml:space="preserve">Insert Table </w:t>
      </w:r>
      <w:r>
        <w:t>3</w:t>
      </w:r>
      <w:r w:rsidRPr="00FD3EE9">
        <w:t xml:space="preserve"> here</w:t>
      </w:r>
      <w:r>
        <w:t>)</w:t>
      </w:r>
    </w:p>
    <w:p w14:paraId="34622187" w14:textId="62D9B967" w:rsidR="009C552D" w:rsidRPr="00FD3EE9" w:rsidRDefault="009C552D" w:rsidP="008C1021">
      <w:pPr>
        <w:spacing w:line="480" w:lineRule="auto"/>
        <w:ind w:firstLineChars="200" w:firstLine="480"/>
      </w:pPr>
      <w:r w:rsidRPr="00FD3EE9">
        <w:t xml:space="preserve"> </w:t>
      </w:r>
      <w:r w:rsidR="00EF1F9E" w:rsidRPr="00FD3EE9">
        <w:t>Table 4</w:t>
      </w:r>
      <w:r w:rsidR="00E10EEA" w:rsidRPr="00FD3EE9">
        <w:t xml:space="preserve"> shows compensation related variables.</w:t>
      </w:r>
      <w:r w:rsidR="00C54F6F" w:rsidRPr="00FD3EE9">
        <w:t xml:space="preserve"> </w:t>
      </w:r>
      <w:r w:rsidR="00125BB2" w:rsidRPr="00FD3EE9">
        <w:t>O</w:t>
      </w:r>
      <w:r w:rsidRPr="00FD3EE9">
        <w:t xml:space="preserve">nly 356 firm-year observations </w:t>
      </w:r>
      <w:r w:rsidR="00026398" w:rsidRPr="00FD3EE9">
        <w:t xml:space="preserve">contain </w:t>
      </w:r>
      <w:r w:rsidRPr="00FD3EE9">
        <w:t>stock option</w:t>
      </w:r>
      <w:r w:rsidR="00125BB2" w:rsidRPr="00FD3EE9">
        <w:t>s</w:t>
      </w:r>
      <w:r w:rsidRPr="00FD3EE9">
        <w:t xml:space="preserve">. </w:t>
      </w:r>
      <w:r w:rsidR="00435F23">
        <w:t>If firms chose options, they accounted for</w:t>
      </w:r>
      <w:r w:rsidRPr="00FD3EE9">
        <w:t xml:space="preserve"> a significant proportion (77.17</w:t>
      </w:r>
      <w:r w:rsidR="00026398" w:rsidRPr="00FD3EE9">
        <w:t>%</w:t>
      </w:r>
      <w:r w:rsidRPr="00FD3EE9">
        <w:t xml:space="preserve">) </w:t>
      </w:r>
      <w:r w:rsidR="00435F23">
        <w:t>of the total compensation</w:t>
      </w:r>
      <w:r w:rsidRPr="00FD3EE9">
        <w:t xml:space="preserve">. The average stock ownership of executives </w:t>
      </w:r>
      <w:r w:rsidR="00435F23">
        <w:t>was</w:t>
      </w:r>
      <w:r w:rsidRPr="00FD3EE9">
        <w:t xml:space="preserve"> 10.46%, relatively higher than the average 7% of managerial ownership overall </w:t>
      </w:r>
      <w:r w:rsidR="00026398" w:rsidRPr="00FD3EE9">
        <w:t xml:space="preserve">for </w:t>
      </w:r>
      <w:r w:rsidRPr="00FD3EE9">
        <w:t xml:space="preserve">listed firms during the same period </w:t>
      </w:r>
      <w:r w:rsidRPr="00FD3EE9">
        <w:fldChar w:fldCharType="begin"/>
      </w:r>
      <w:r w:rsidR="003D30A6" w:rsidRPr="00FD3EE9">
        <w:instrText xml:space="preserve"> ADDIN ZOTERO_ITEM CSL_CITATION {"citationID":"6s1xPBOm","properties":{"formattedCitation":"(Jiang et al., 2017)","plainCitation":"(Jiang et al., 2017)","noteIndex":0},"citationItems":[{"id":"jwTi0SrD/J86kuRm7","uris":["http://zotero.org/users/local/qiB1P4Y3/items/VTQKKQEF"],"uri":["http://zotero.org/users/local/qiB1P4Y3/items/VTQKKQEF"],"itemData":{"id":89,"type":"article-journal","title":"Why do firms adopt stock options and who benefits? A natural experiment in China","container-title":"Pacific-Basin Finance Journal","page":"124–140","volume":"46","source":"Google Scholar","shortTitle":"Why do firms adopt stock options and who benefits?","author":[{"family":"Jiang","given":"Lin"},{"family":"Kling","given":"Gerhard"},{"family":"Bo","given":"Hong"},{"family":"Driver","given":"Ciaran"}],"issued":{"date-parts":[["2017"]]}}}],"schema":"https://github.com/citation-style-language/schema/raw/master/csl-citation.json"} </w:instrText>
      </w:r>
      <w:r w:rsidRPr="00FD3EE9">
        <w:fldChar w:fldCharType="separate"/>
      </w:r>
      <w:r w:rsidR="003D30A6" w:rsidRPr="00FD3EE9">
        <w:t>(Jiang et al., 2017)</w:t>
      </w:r>
      <w:r w:rsidRPr="00FD3EE9">
        <w:fldChar w:fldCharType="end"/>
      </w:r>
      <w:r w:rsidRPr="00FD3EE9">
        <w:t>.</w:t>
      </w:r>
    </w:p>
    <w:p w14:paraId="062F9444" w14:textId="52061802" w:rsidR="00026398" w:rsidRDefault="009C552D" w:rsidP="0085750E">
      <w:pPr>
        <w:spacing w:line="480" w:lineRule="auto"/>
        <w:ind w:firstLineChars="200" w:firstLine="480"/>
      </w:pPr>
      <w:r w:rsidRPr="00FD3EE9">
        <w:t xml:space="preserve">According to Panel B of </w:t>
      </w:r>
      <w:r w:rsidR="00EF1F9E" w:rsidRPr="00FD3EE9">
        <w:t>Table 4</w:t>
      </w:r>
      <w:r w:rsidRPr="00FD3EE9">
        <w:t>, the proportion of out-of-the money option</w:t>
      </w:r>
      <w:r w:rsidR="00026398" w:rsidRPr="00FD3EE9">
        <w:t>s</w:t>
      </w:r>
      <w:r w:rsidRPr="00FD3EE9">
        <w:t xml:space="preserve"> and in-the-money option</w:t>
      </w:r>
      <w:r w:rsidR="00026398" w:rsidRPr="00FD3EE9">
        <w:t>s</w:t>
      </w:r>
      <w:r w:rsidRPr="00FD3EE9">
        <w:t xml:space="preserve"> are almost equal. In contrast, Datta et al. </w:t>
      </w:r>
      <w:r w:rsidRPr="00FD3EE9">
        <w:fldChar w:fldCharType="begin"/>
      </w:r>
      <w:r w:rsidR="000930FF" w:rsidRPr="00FD3EE9">
        <w:instrText xml:space="preserve"> ADDIN ZOTERO_ITEM CSL_CITATION {"citationID":"PKMtWVUp","properties":{"formattedCitation":"(2001)","plainCitation":"(2001)","noteIndex":0},"citationItems":[{"id":"jwTi0SrD/zWmk7Klp","uris":["http://zotero.org/users/local/qiB1P4Y3/items/GWV74WFG"],"uri":["http://zotero.org/users/local/qiB1P4Y3/items/GWV74WFG"],"itemData":{"id":44,"type":"article-journal","title":"Executive compensation and corporate acquisition decisions","container-title":"The Journal of Finance","page":"2299–2336","volume":"56","issue":"6","source":"Google Scholar","author":[{"family":"Datta","given":"Sudip"},{"family":"Iskandar-Datta","given":"Mai"},{"family":"Raman","given":"Kartik"}],"issued":{"date-parts":[["2001"]]}},"suppress-author":true}],"schema":"https://github.com/citation-style-language/schema/raw/master/csl-citation.json"} </w:instrText>
      </w:r>
      <w:r w:rsidRPr="00FD3EE9">
        <w:fldChar w:fldCharType="separate"/>
      </w:r>
      <w:r w:rsidR="003D30A6" w:rsidRPr="00FD3EE9">
        <w:t>(2001)</w:t>
      </w:r>
      <w:r w:rsidRPr="00FD3EE9">
        <w:fldChar w:fldCharType="end"/>
      </w:r>
      <w:r w:rsidRPr="00FD3EE9">
        <w:t xml:space="preserve"> finds that the majority (93.3</w:t>
      </w:r>
      <w:r w:rsidR="00026398" w:rsidRPr="00FD3EE9">
        <w:t>%</w:t>
      </w:r>
      <w:r w:rsidRPr="00FD3EE9">
        <w:t xml:space="preserve">) </w:t>
      </w:r>
      <w:r w:rsidRPr="00FD3EE9">
        <w:lastRenderedPageBreak/>
        <w:t>of U</w:t>
      </w:r>
      <w:r w:rsidR="00026398" w:rsidRPr="00FD3EE9">
        <w:t>.</w:t>
      </w:r>
      <w:r w:rsidRPr="00FD3EE9">
        <w:t>S</w:t>
      </w:r>
      <w:r w:rsidR="00026398" w:rsidRPr="00FD3EE9">
        <w:t>.</w:t>
      </w:r>
      <w:r w:rsidRPr="00FD3EE9">
        <w:t xml:space="preserve"> stock options are at-the-money </w:t>
      </w:r>
      <w:r w:rsidR="00026398" w:rsidRPr="00FD3EE9">
        <w:t>from</w:t>
      </w:r>
      <w:r w:rsidRPr="00FD3EE9">
        <w:t xml:space="preserve"> 1993-1998. Finally, </w:t>
      </w:r>
      <w:r w:rsidR="00026398" w:rsidRPr="00FD3EE9">
        <w:t xml:space="preserve">Panel </w:t>
      </w:r>
      <w:r w:rsidRPr="00FD3EE9">
        <w:t xml:space="preserve">C indicates that over 80% of firms award stock options with </w:t>
      </w:r>
      <w:r w:rsidR="00026398" w:rsidRPr="00FD3EE9">
        <w:t xml:space="preserve">a </w:t>
      </w:r>
      <w:r w:rsidRPr="00FD3EE9">
        <w:t xml:space="preserve">vesting period between </w:t>
      </w:r>
      <w:r w:rsidR="00026398" w:rsidRPr="00FD3EE9">
        <w:t xml:space="preserve">three </w:t>
      </w:r>
      <w:r w:rsidRPr="00FD3EE9">
        <w:t xml:space="preserve">and </w:t>
      </w:r>
      <w:r w:rsidR="00026398" w:rsidRPr="00FD3EE9">
        <w:t xml:space="preserve">five </w:t>
      </w:r>
      <w:r w:rsidRPr="00FD3EE9">
        <w:t>years</w:t>
      </w:r>
      <w:r w:rsidR="00026398" w:rsidRPr="00FD3EE9">
        <w:t>,</w:t>
      </w:r>
      <w:r w:rsidRPr="00FD3EE9">
        <w:t xml:space="preserve"> while only 18% of </w:t>
      </w:r>
      <w:r w:rsidR="00026398" w:rsidRPr="00FD3EE9">
        <w:t xml:space="preserve">the </w:t>
      </w:r>
      <w:r w:rsidRPr="00FD3EE9">
        <w:t xml:space="preserve">stock options have </w:t>
      </w:r>
      <w:r w:rsidR="00026398" w:rsidRPr="00FD3EE9">
        <w:t xml:space="preserve">a </w:t>
      </w:r>
      <w:r w:rsidRPr="00FD3EE9">
        <w:t xml:space="preserve">vesting period over </w:t>
      </w:r>
      <w:r w:rsidR="00026398" w:rsidRPr="00FD3EE9">
        <w:t xml:space="preserve">five </w:t>
      </w:r>
      <w:r w:rsidRPr="00FD3EE9">
        <w:t xml:space="preserve">years. Thus, </w:t>
      </w:r>
      <w:r w:rsidR="00026398" w:rsidRPr="00FD3EE9">
        <w:t xml:space="preserve">when </w:t>
      </w:r>
      <w:r w:rsidRPr="00FD3EE9">
        <w:t>compared with the long-term nature of stock options in US firms</w:t>
      </w:r>
      <w:r w:rsidR="00026398" w:rsidRPr="00FD3EE9">
        <w:t>, Chinese listed firms usually award mid-term stock options.</w:t>
      </w:r>
    </w:p>
    <w:p w14:paraId="300E5DDC" w14:textId="2B03C5FD" w:rsidR="008C1021" w:rsidRDefault="008C1021" w:rsidP="008C1021">
      <w:pPr>
        <w:spacing w:line="480" w:lineRule="auto"/>
        <w:ind w:firstLineChars="200" w:firstLine="480"/>
        <w:jc w:val="center"/>
      </w:pPr>
      <w:r>
        <w:t>(</w:t>
      </w:r>
      <w:r w:rsidRPr="00FD3EE9">
        <w:t xml:space="preserve">Insert Table </w:t>
      </w:r>
      <w:r>
        <w:t>4</w:t>
      </w:r>
      <w:r w:rsidRPr="00FD3EE9">
        <w:t xml:space="preserve"> here</w:t>
      </w:r>
      <w:r>
        <w:t>)</w:t>
      </w:r>
    </w:p>
    <w:p w14:paraId="4ACF4FE1" w14:textId="77777777" w:rsidR="008C1021" w:rsidRPr="00FD3EE9" w:rsidRDefault="008C1021" w:rsidP="008C1021">
      <w:pPr>
        <w:spacing w:line="480" w:lineRule="auto"/>
        <w:ind w:firstLineChars="200" w:firstLine="480"/>
        <w:jc w:val="center"/>
      </w:pPr>
    </w:p>
    <w:p w14:paraId="7858083F" w14:textId="4F9B9A68" w:rsidR="009C552D" w:rsidRPr="00FD3EE9" w:rsidRDefault="00825A2B" w:rsidP="0085750E">
      <w:pPr>
        <w:pStyle w:val="ad"/>
        <w:spacing w:before="0" w:after="0" w:line="480" w:lineRule="auto"/>
        <w:jc w:val="left"/>
        <w:rPr>
          <w:rFonts w:ascii="Times New Roman" w:hAnsi="Times New Roman" w:cs="Times New Roman"/>
          <w:b w:val="0"/>
          <w:i/>
          <w:sz w:val="24"/>
        </w:rPr>
      </w:pPr>
      <w:r w:rsidRPr="00FD3EE9">
        <w:rPr>
          <w:rFonts w:ascii="Times New Roman" w:hAnsi="Times New Roman" w:cs="Times New Roman"/>
          <w:b w:val="0"/>
          <w:i/>
          <w:sz w:val="24"/>
        </w:rPr>
        <w:t>5</w:t>
      </w:r>
      <w:r w:rsidR="00026398" w:rsidRPr="00FD3EE9">
        <w:rPr>
          <w:rFonts w:ascii="Times New Roman" w:hAnsi="Times New Roman" w:cs="Times New Roman"/>
          <w:b w:val="0"/>
          <w:i/>
          <w:sz w:val="24"/>
        </w:rPr>
        <w:t xml:space="preserve">.1. </w:t>
      </w:r>
      <w:r w:rsidR="00BA560F" w:rsidRPr="00FD3EE9">
        <w:rPr>
          <w:rFonts w:ascii="Times New Roman" w:hAnsi="Times New Roman" w:cs="Times New Roman"/>
          <w:b w:val="0"/>
          <w:i/>
          <w:sz w:val="24"/>
        </w:rPr>
        <w:t>Active versus non-active acquiring firms</w:t>
      </w:r>
    </w:p>
    <w:p w14:paraId="7B04431E" w14:textId="4FEE60DE" w:rsidR="00BA560F" w:rsidRDefault="00EF1F9E" w:rsidP="0085750E">
      <w:pPr>
        <w:spacing w:line="480" w:lineRule="auto"/>
        <w:ind w:firstLineChars="200" w:firstLine="480"/>
      </w:pPr>
      <w:r w:rsidRPr="00FD3EE9">
        <w:t>Table 5</w:t>
      </w:r>
      <w:r w:rsidR="00BA560F" w:rsidRPr="00FD3EE9">
        <w:t xml:space="preserve"> reports </w:t>
      </w:r>
      <w:r w:rsidR="00C80C4C" w:rsidRPr="00FD3EE9">
        <w:t xml:space="preserve">the </w:t>
      </w:r>
      <w:r w:rsidR="00BA560F" w:rsidRPr="00FD3EE9">
        <w:t xml:space="preserve">means of different types of compensation for active </w:t>
      </w:r>
      <w:r w:rsidR="003D1FA1" w:rsidRPr="00FD3EE9">
        <w:t xml:space="preserve">and non-active </w:t>
      </w:r>
      <w:r w:rsidR="00B024D7" w:rsidRPr="00FD3EE9">
        <w:t>acquirers</w:t>
      </w:r>
      <w:r w:rsidR="00BA560F" w:rsidRPr="00FD3EE9">
        <w:t xml:space="preserve">. </w:t>
      </w:r>
      <w:r w:rsidR="00C80C4C" w:rsidRPr="00FD3EE9">
        <w:t xml:space="preserve">Panel </w:t>
      </w:r>
      <w:r w:rsidR="00BA560F" w:rsidRPr="00FD3EE9">
        <w:t>A indicates that active acquiring firm</w:t>
      </w:r>
      <w:r w:rsidR="006F4838" w:rsidRPr="00FD3EE9">
        <w:t>’</w:t>
      </w:r>
      <w:r w:rsidR="00BA560F" w:rsidRPr="00FD3EE9">
        <w:t>s award significantly lower managerial stock ownership (8.78</w:t>
      </w:r>
      <w:r w:rsidR="00C80C4C" w:rsidRPr="00FD3EE9">
        <w:t>%</w:t>
      </w:r>
      <w:r w:rsidR="00BA560F" w:rsidRPr="00FD3EE9">
        <w:t xml:space="preserve">) than firms </w:t>
      </w:r>
      <w:r w:rsidR="00CD7465" w:rsidRPr="00FD3EE9">
        <w:t>which</w:t>
      </w:r>
      <w:r w:rsidR="00C80C4C" w:rsidRPr="00FD3EE9">
        <w:t xml:space="preserve"> </w:t>
      </w:r>
      <w:r w:rsidR="00BA560F" w:rsidRPr="00FD3EE9">
        <w:t>are less active in making acquisitions (13.96</w:t>
      </w:r>
      <w:r w:rsidR="00C80C4C" w:rsidRPr="00FD3EE9">
        <w:t>%</w:t>
      </w:r>
      <w:r w:rsidR="00BA560F" w:rsidRPr="00FD3EE9">
        <w:t xml:space="preserve">). </w:t>
      </w:r>
      <w:r w:rsidR="00C80C4C" w:rsidRPr="00FD3EE9">
        <w:t xml:space="preserve">In </w:t>
      </w:r>
      <w:r w:rsidR="00BA560F" w:rsidRPr="00FD3EE9">
        <w:t xml:space="preserve">contrast, executives </w:t>
      </w:r>
      <w:r w:rsidR="00C80C4C" w:rsidRPr="00FD3EE9">
        <w:t xml:space="preserve">of </w:t>
      </w:r>
      <w:r w:rsidR="00BA560F" w:rsidRPr="00FD3EE9">
        <w:t xml:space="preserve">active acquirers usually receive </w:t>
      </w:r>
      <w:r w:rsidR="00C80C4C" w:rsidRPr="00FD3EE9">
        <w:t xml:space="preserve">a </w:t>
      </w:r>
      <w:r w:rsidR="00BA560F" w:rsidRPr="00FD3EE9">
        <w:t>significantly higher proportion of stock option</w:t>
      </w:r>
      <w:r w:rsidR="00C80C4C" w:rsidRPr="00FD3EE9">
        <w:t>s</w:t>
      </w:r>
      <w:r w:rsidR="00BA560F" w:rsidRPr="00FD3EE9">
        <w:t xml:space="preserve"> (6.74</w:t>
      </w:r>
      <w:r w:rsidR="00C80C4C" w:rsidRPr="00FD3EE9">
        <w:t>%</w:t>
      </w:r>
      <w:r w:rsidR="00BA560F" w:rsidRPr="00FD3EE9">
        <w:t xml:space="preserve">) than </w:t>
      </w:r>
      <w:r w:rsidR="00C80C4C" w:rsidRPr="00FD3EE9">
        <w:t xml:space="preserve">less active acquiring firms </w:t>
      </w:r>
      <w:r w:rsidR="00BA560F" w:rsidRPr="00FD3EE9">
        <w:t>(2.95</w:t>
      </w:r>
      <w:r w:rsidR="00C80C4C" w:rsidRPr="00FD3EE9">
        <w:t>%</w:t>
      </w:r>
      <w:r w:rsidR="00BA560F" w:rsidRPr="00FD3EE9">
        <w:t xml:space="preserve">) as shown in </w:t>
      </w:r>
      <w:r w:rsidR="00C80C4C" w:rsidRPr="00FD3EE9">
        <w:t xml:space="preserve">Panel </w:t>
      </w:r>
      <w:r w:rsidR="00BA560F" w:rsidRPr="00FD3EE9">
        <w:t xml:space="preserve">B. Finally, </w:t>
      </w:r>
      <w:r w:rsidR="00C80C4C" w:rsidRPr="00FD3EE9">
        <w:t xml:space="preserve">Panel </w:t>
      </w:r>
      <w:r w:rsidR="00BA560F" w:rsidRPr="00FD3EE9">
        <w:t xml:space="preserve">C </w:t>
      </w:r>
      <w:r w:rsidR="00C80C4C" w:rsidRPr="00FD3EE9">
        <w:t xml:space="preserve">reports </w:t>
      </w:r>
      <w:r w:rsidR="00BA560F" w:rsidRPr="00FD3EE9">
        <w:t xml:space="preserve">that cash compensation for managers </w:t>
      </w:r>
      <w:r w:rsidR="00C80C4C" w:rsidRPr="00FD3EE9">
        <w:t xml:space="preserve">of </w:t>
      </w:r>
      <w:r w:rsidR="00BA560F" w:rsidRPr="00FD3EE9">
        <w:t>active acquirers are significantly higher than in less active firms.</w:t>
      </w:r>
      <w:r w:rsidR="00C54F6F" w:rsidRPr="00FD3EE9">
        <w:t xml:space="preserve"> The statistics support our hypothes</w:t>
      </w:r>
      <w:r w:rsidR="00484C50">
        <w:t>e</w:t>
      </w:r>
      <w:r w:rsidR="00C54F6F" w:rsidRPr="00FD3EE9">
        <w:t>s that different types of executive compensation exhibit an opposite impact on acquisition decisions.</w:t>
      </w:r>
      <w:r w:rsidR="008C1021">
        <w:t xml:space="preserve"> </w:t>
      </w:r>
    </w:p>
    <w:p w14:paraId="36838BC9" w14:textId="78227FE1" w:rsidR="008C1021" w:rsidRPr="00FD3EE9" w:rsidRDefault="008C1021" w:rsidP="008C1021">
      <w:pPr>
        <w:spacing w:line="480" w:lineRule="auto"/>
        <w:ind w:firstLineChars="200" w:firstLine="480"/>
        <w:jc w:val="center"/>
      </w:pPr>
      <w:r>
        <w:lastRenderedPageBreak/>
        <w:t>(</w:t>
      </w:r>
      <w:r w:rsidRPr="00FD3EE9">
        <w:t xml:space="preserve">Insert Table </w:t>
      </w:r>
      <w:r>
        <w:t>5</w:t>
      </w:r>
      <w:r w:rsidRPr="00FD3EE9">
        <w:t xml:space="preserve"> here</w:t>
      </w:r>
      <w:r>
        <w:t>)</w:t>
      </w:r>
    </w:p>
    <w:p w14:paraId="3DF7EBDC" w14:textId="2F981E5A" w:rsidR="00C80C4C" w:rsidRDefault="00EF1F9E" w:rsidP="0085750E">
      <w:pPr>
        <w:spacing w:line="480" w:lineRule="auto"/>
        <w:ind w:firstLineChars="200" w:firstLine="480"/>
      </w:pPr>
      <w:r w:rsidRPr="00FD3EE9">
        <w:t>Table 6</w:t>
      </w:r>
      <w:r w:rsidR="00BA560F" w:rsidRPr="00FD3EE9">
        <w:t xml:space="preserve"> report</w:t>
      </w:r>
      <w:r w:rsidR="003D1FA1" w:rsidRPr="00FD3EE9">
        <w:t>s</w:t>
      </w:r>
      <w:r w:rsidR="00BA560F" w:rsidRPr="00FD3EE9">
        <w:t xml:space="preserve"> five-day (-2, +2) abnormal cumulative return</w:t>
      </w:r>
      <w:r w:rsidR="00C80C4C" w:rsidRPr="00FD3EE9">
        <w:t>s</w:t>
      </w:r>
      <w:r w:rsidR="00BA560F" w:rsidRPr="00FD3EE9">
        <w:t xml:space="preserve"> (CAR) and three year buy-and-hold return</w:t>
      </w:r>
      <w:r w:rsidR="00C80C4C" w:rsidRPr="00FD3EE9">
        <w:t>s</w:t>
      </w:r>
      <w:r w:rsidR="00BA560F" w:rsidRPr="00FD3EE9">
        <w:t xml:space="preserve"> (BHR) for the full sample and the two subgroups. As </w:t>
      </w:r>
      <w:r w:rsidR="00C80C4C" w:rsidRPr="00FD3EE9">
        <w:t xml:space="preserve">reported </w:t>
      </w:r>
      <w:r w:rsidR="00BA560F" w:rsidRPr="00FD3EE9">
        <w:t xml:space="preserve">in </w:t>
      </w:r>
      <w:r w:rsidR="00C80C4C" w:rsidRPr="00FD3EE9">
        <w:t xml:space="preserve">Panel </w:t>
      </w:r>
      <w:r w:rsidR="00BA560F" w:rsidRPr="00FD3EE9">
        <w:t xml:space="preserve">A, markets generally respond positively to acquisitions. </w:t>
      </w:r>
      <w:r w:rsidR="00F25F4F">
        <w:t>Yet</w:t>
      </w:r>
      <w:r w:rsidR="00BA560F" w:rsidRPr="00FD3EE9">
        <w:t xml:space="preserve">, acquisitions </w:t>
      </w:r>
      <w:r w:rsidR="003D1FA1" w:rsidRPr="00FD3EE9">
        <w:t xml:space="preserve">initiated </w:t>
      </w:r>
      <w:r w:rsidR="00484C50" w:rsidRPr="00FD3EE9">
        <w:t>by active</w:t>
      </w:r>
      <w:r w:rsidR="00BA560F" w:rsidRPr="00FD3EE9">
        <w:t xml:space="preserve"> </w:t>
      </w:r>
      <w:r w:rsidR="003D1FA1" w:rsidRPr="00FD3EE9">
        <w:t>acquirers</w:t>
      </w:r>
      <w:r w:rsidR="00BA560F" w:rsidRPr="00FD3EE9">
        <w:t xml:space="preserve"> usually </w:t>
      </w:r>
      <w:r w:rsidR="003D1FA1" w:rsidRPr="00FD3EE9">
        <w:t xml:space="preserve">trigger </w:t>
      </w:r>
      <w:r w:rsidR="00C80C4C" w:rsidRPr="00FD3EE9">
        <w:t xml:space="preserve">poorer </w:t>
      </w:r>
      <w:r w:rsidR="00BA560F" w:rsidRPr="00FD3EE9">
        <w:t xml:space="preserve">market reactions. The results in </w:t>
      </w:r>
      <w:r w:rsidR="00C80C4C" w:rsidRPr="00FD3EE9">
        <w:t xml:space="preserve">Panel </w:t>
      </w:r>
      <w:r w:rsidR="00BA560F" w:rsidRPr="00FD3EE9">
        <w:t xml:space="preserve">B </w:t>
      </w:r>
      <w:r w:rsidR="00C80C4C" w:rsidRPr="00FD3EE9">
        <w:t xml:space="preserve">indicate </w:t>
      </w:r>
      <w:r w:rsidR="00BA560F" w:rsidRPr="00FD3EE9">
        <w:t xml:space="preserve">that long-term post-acquisition performance </w:t>
      </w:r>
      <w:r w:rsidR="00C80C4C" w:rsidRPr="00FD3EE9">
        <w:t xml:space="preserve">is, </w:t>
      </w:r>
      <w:r w:rsidR="00BA560F" w:rsidRPr="00FD3EE9">
        <w:t>on average</w:t>
      </w:r>
      <w:r w:rsidR="00C80C4C" w:rsidRPr="00FD3EE9">
        <w:t>,</w:t>
      </w:r>
      <w:r w:rsidR="00BA560F" w:rsidRPr="00FD3EE9">
        <w:t xml:space="preserve"> negative for </w:t>
      </w:r>
      <w:r w:rsidR="00C80C4C" w:rsidRPr="00FD3EE9">
        <w:t xml:space="preserve">the </w:t>
      </w:r>
      <w:r w:rsidR="00BA560F" w:rsidRPr="00FD3EE9">
        <w:t xml:space="preserve">full samples. However, less active </w:t>
      </w:r>
      <w:r w:rsidR="003D1FA1" w:rsidRPr="00FD3EE9">
        <w:t>acquirers</w:t>
      </w:r>
      <w:r w:rsidR="00BA560F" w:rsidRPr="00FD3EE9">
        <w:t xml:space="preserve"> </w:t>
      </w:r>
      <w:r w:rsidR="00C80C4C" w:rsidRPr="00FD3EE9">
        <w:t xml:space="preserve">demonstrate </w:t>
      </w:r>
      <w:r w:rsidR="00BA560F" w:rsidRPr="00FD3EE9">
        <w:t>better BHR</w:t>
      </w:r>
      <w:r w:rsidR="003D1FA1" w:rsidRPr="00FD3EE9">
        <w:t>s</w:t>
      </w:r>
      <w:r w:rsidR="00BA560F" w:rsidRPr="00FD3EE9">
        <w:t>.</w:t>
      </w:r>
      <w:r w:rsidR="008C1021">
        <w:t xml:space="preserve"> </w:t>
      </w:r>
    </w:p>
    <w:p w14:paraId="69882266" w14:textId="4A3FB4BE" w:rsidR="008C1021" w:rsidRPr="00FD3EE9" w:rsidRDefault="008C1021" w:rsidP="008C1021">
      <w:pPr>
        <w:spacing w:line="480" w:lineRule="auto"/>
        <w:ind w:firstLineChars="200" w:firstLine="480"/>
        <w:jc w:val="center"/>
      </w:pPr>
      <w:r>
        <w:t>(</w:t>
      </w:r>
      <w:r w:rsidRPr="00FD3EE9">
        <w:t xml:space="preserve">Insert Table </w:t>
      </w:r>
      <w:r>
        <w:t>6</w:t>
      </w:r>
      <w:r w:rsidRPr="00FD3EE9">
        <w:t xml:space="preserve"> here</w:t>
      </w:r>
      <w:r>
        <w:t>)</w:t>
      </w:r>
    </w:p>
    <w:p w14:paraId="438ED718" w14:textId="77777777" w:rsidR="008C1021" w:rsidRDefault="008C1021" w:rsidP="0085750E">
      <w:pPr>
        <w:pStyle w:val="ad"/>
        <w:spacing w:before="0" w:after="0" w:line="480" w:lineRule="auto"/>
        <w:jc w:val="left"/>
        <w:rPr>
          <w:rFonts w:ascii="Times New Roman" w:hAnsi="Times New Roman" w:cs="Times New Roman"/>
          <w:b w:val="0"/>
          <w:i/>
          <w:sz w:val="24"/>
        </w:rPr>
      </w:pPr>
    </w:p>
    <w:p w14:paraId="1867A555" w14:textId="3CEF4DF7" w:rsidR="00BA560F" w:rsidRPr="00FD3EE9" w:rsidRDefault="00825A2B" w:rsidP="0085750E">
      <w:pPr>
        <w:pStyle w:val="ad"/>
        <w:spacing w:before="0" w:after="0" w:line="480" w:lineRule="auto"/>
        <w:jc w:val="left"/>
        <w:rPr>
          <w:rFonts w:ascii="Times New Roman" w:hAnsi="Times New Roman" w:cs="Times New Roman"/>
          <w:b w:val="0"/>
          <w:i/>
          <w:sz w:val="24"/>
        </w:rPr>
      </w:pPr>
      <w:r w:rsidRPr="00FD3EE9">
        <w:rPr>
          <w:rFonts w:ascii="Times New Roman" w:hAnsi="Times New Roman" w:cs="Times New Roman"/>
          <w:b w:val="0"/>
          <w:i/>
          <w:sz w:val="24"/>
        </w:rPr>
        <w:t>5</w:t>
      </w:r>
      <w:r w:rsidR="00C80C4C" w:rsidRPr="00FD3EE9">
        <w:rPr>
          <w:rFonts w:ascii="Times New Roman" w:hAnsi="Times New Roman" w:cs="Times New Roman"/>
          <w:b w:val="0"/>
          <w:i/>
          <w:sz w:val="24"/>
        </w:rPr>
        <w:t xml:space="preserve">.2. </w:t>
      </w:r>
      <w:r w:rsidR="00BA560F" w:rsidRPr="00FD3EE9">
        <w:rPr>
          <w:rFonts w:ascii="Times New Roman" w:hAnsi="Times New Roman" w:cs="Times New Roman"/>
          <w:b w:val="0"/>
          <w:i/>
          <w:sz w:val="24"/>
        </w:rPr>
        <w:t>Executive compensation and acquisition activity</w:t>
      </w:r>
    </w:p>
    <w:p w14:paraId="6F697184" w14:textId="543AE98D" w:rsidR="00BA560F" w:rsidRDefault="00EF1F9E" w:rsidP="0085750E">
      <w:pPr>
        <w:spacing w:line="480" w:lineRule="auto"/>
        <w:ind w:firstLineChars="200" w:firstLine="480"/>
      </w:pPr>
      <w:r w:rsidRPr="00FD3EE9">
        <w:t>Table</w:t>
      </w:r>
      <w:r w:rsidR="009B5F17" w:rsidRPr="00FD3EE9">
        <w:t xml:space="preserve"> </w:t>
      </w:r>
      <w:r w:rsidRPr="00FD3EE9">
        <w:t>7</w:t>
      </w:r>
      <w:r w:rsidR="009B5F17" w:rsidRPr="00FD3EE9">
        <w:t xml:space="preserve"> presents</w:t>
      </w:r>
      <w:r w:rsidR="00AF278A" w:rsidRPr="00FD3EE9">
        <w:t xml:space="preserve"> the results of the association between incentive compensation and acquisition activities. </w:t>
      </w:r>
      <w:r w:rsidR="009B5F17" w:rsidRPr="00FD3EE9">
        <w:t xml:space="preserve">Model (1) only </w:t>
      </w:r>
      <w:r w:rsidR="00AF278A" w:rsidRPr="00FD3EE9">
        <w:t>include</w:t>
      </w:r>
      <w:r w:rsidR="009B5F17" w:rsidRPr="00FD3EE9">
        <w:t>s</w:t>
      </w:r>
      <w:r w:rsidR="00AF278A" w:rsidRPr="00FD3EE9">
        <w:t xml:space="preserve"> equity compensation to capture their main effects. </w:t>
      </w:r>
      <w:r w:rsidR="00C80C4C" w:rsidRPr="00FD3EE9">
        <w:t>S</w:t>
      </w:r>
      <w:r w:rsidR="00AF278A" w:rsidRPr="00FD3EE9">
        <w:t>tock option</w:t>
      </w:r>
      <w:r w:rsidR="00C80C4C" w:rsidRPr="00FD3EE9">
        <w:t>s</w:t>
      </w:r>
      <w:r w:rsidR="00AF278A" w:rsidRPr="00FD3EE9">
        <w:t xml:space="preserve"> </w:t>
      </w:r>
      <w:r w:rsidR="00C80C4C" w:rsidRPr="00FD3EE9">
        <w:t xml:space="preserve">are </w:t>
      </w:r>
      <w:r w:rsidR="00AF278A" w:rsidRPr="00FD3EE9">
        <w:t xml:space="preserve">positively and significantly related to </w:t>
      </w:r>
      <w:r w:rsidR="009B5F17" w:rsidRPr="00FD3EE9">
        <w:t>the number of M&amp;As</w:t>
      </w:r>
      <w:r w:rsidR="00C80C4C" w:rsidRPr="00FD3EE9">
        <w:t>,</w:t>
      </w:r>
      <w:r w:rsidR="00AF278A" w:rsidRPr="00FD3EE9">
        <w:t xml:space="preserve"> </w:t>
      </w:r>
      <w:r w:rsidR="00CD7465" w:rsidRPr="00FD3EE9">
        <w:t xml:space="preserve">supporting </w:t>
      </w:r>
      <w:r w:rsidR="006B6D69" w:rsidRPr="00FD3EE9">
        <w:t xml:space="preserve">Hypothesis 1a </w:t>
      </w:r>
      <w:r w:rsidR="00CD7465" w:rsidRPr="00FD3EE9">
        <w:t>instead of 1b.</w:t>
      </w:r>
      <w:r w:rsidR="0000722F" w:rsidRPr="00FD3EE9">
        <w:t xml:space="preserve"> M</w:t>
      </w:r>
      <w:r w:rsidR="00AF278A" w:rsidRPr="00FD3EE9">
        <w:t xml:space="preserve">anagerial stock ownership </w:t>
      </w:r>
      <w:r w:rsidR="00C80C4C" w:rsidRPr="00FD3EE9">
        <w:t xml:space="preserve">demonstrates </w:t>
      </w:r>
      <w:r w:rsidR="00AF278A" w:rsidRPr="00FD3EE9">
        <w:t xml:space="preserve">a non-linear impact on acquisition activities. When managers </w:t>
      </w:r>
      <w:r w:rsidR="0000722F" w:rsidRPr="00FD3EE9">
        <w:t>have small equity stakes</w:t>
      </w:r>
      <w:r w:rsidR="00AF278A" w:rsidRPr="00FD3EE9">
        <w:t xml:space="preserve">, there is a positive correlation between managerial stock ownership and the number of acquisitions. However, the </w:t>
      </w:r>
      <w:r w:rsidR="00AF278A" w:rsidRPr="00FD3EE9">
        <w:lastRenderedPageBreak/>
        <w:t xml:space="preserve">significant quadratic </w:t>
      </w:r>
      <w:r w:rsidR="0000722F" w:rsidRPr="00FD3EE9">
        <w:t xml:space="preserve">term </w:t>
      </w:r>
      <w:r w:rsidR="00AF278A" w:rsidRPr="00FD3EE9">
        <w:t xml:space="preserve">of stock ownership indicates that firms become less active in making acquisitions when managers </w:t>
      </w:r>
      <w:r w:rsidR="0000722F" w:rsidRPr="00FD3EE9">
        <w:t>have higher equity stakes</w:t>
      </w:r>
      <w:r w:rsidR="00AF278A" w:rsidRPr="00FD3EE9">
        <w:t xml:space="preserve">. </w:t>
      </w:r>
      <w:r w:rsidR="0000722F" w:rsidRPr="00FD3EE9">
        <w:t xml:space="preserve">This supports Hypothesis 2. </w:t>
      </w:r>
      <w:r w:rsidR="00AF278A" w:rsidRPr="00FD3EE9">
        <w:t xml:space="preserve">Model </w:t>
      </w:r>
      <w:r w:rsidR="008431A6" w:rsidRPr="00FD3EE9">
        <w:t>(</w:t>
      </w:r>
      <w:r w:rsidR="00AF278A" w:rsidRPr="00FD3EE9">
        <w:t>2</w:t>
      </w:r>
      <w:r w:rsidR="008431A6" w:rsidRPr="00FD3EE9">
        <w:t>)</w:t>
      </w:r>
      <w:r w:rsidR="00AF278A" w:rsidRPr="00FD3EE9">
        <w:t xml:space="preserve"> reports the effects of control variables. We include both compensation variables and control variables in </w:t>
      </w:r>
      <w:r w:rsidR="008431A6" w:rsidRPr="00FD3EE9">
        <w:t>Model (</w:t>
      </w:r>
      <w:r w:rsidR="00AF278A" w:rsidRPr="00FD3EE9">
        <w:t>3</w:t>
      </w:r>
      <w:r w:rsidR="008431A6" w:rsidRPr="00FD3EE9">
        <w:t>)</w:t>
      </w:r>
      <w:r w:rsidR="00AF278A" w:rsidRPr="00FD3EE9">
        <w:t xml:space="preserve">, excluding two control variables </w:t>
      </w:r>
      <w:r w:rsidR="0000722F" w:rsidRPr="00FD3EE9">
        <w:t xml:space="preserve">insignificant </w:t>
      </w:r>
      <w:r w:rsidR="00AF278A" w:rsidRPr="00FD3EE9">
        <w:t xml:space="preserve">in </w:t>
      </w:r>
      <w:r w:rsidR="008431A6" w:rsidRPr="00FD3EE9">
        <w:t>Model (</w:t>
      </w:r>
      <w:r w:rsidR="00AF278A" w:rsidRPr="00FD3EE9">
        <w:t>2</w:t>
      </w:r>
      <w:r w:rsidR="008431A6" w:rsidRPr="00FD3EE9">
        <w:t>)</w:t>
      </w:r>
      <w:r w:rsidR="00AF278A" w:rsidRPr="00FD3EE9">
        <w:t xml:space="preserve">. </w:t>
      </w:r>
      <w:r w:rsidR="008431A6" w:rsidRPr="00FD3EE9">
        <w:t xml:space="preserve">The results </w:t>
      </w:r>
      <w:r w:rsidR="0000722F" w:rsidRPr="00FD3EE9">
        <w:t xml:space="preserve">remain </w:t>
      </w:r>
      <w:r w:rsidR="00F25F4F">
        <w:t>the same</w:t>
      </w:r>
      <w:r w:rsidR="0000722F" w:rsidRPr="00FD3EE9">
        <w:t>.</w:t>
      </w:r>
      <w:r w:rsidR="00AF278A" w:rsidRPr="00FD3EE9">
        <w:t xml:space="preserve"> </w:t>
      </w:r>
      <w:r w:rsidR="0000722F" w:rsidRPr="00FD3EE9">
        <w:t>Model (4) shows</w:t>
      </w:r>
      <w:r w:rsidR="00AF278A" w:rsidRPr="00FD3EE9">
        <w:t xml:space="preserve"> </w:t>
      </w:r>
      <w:r w:rsidR="0000722F" w:rsidRPr="00FD3EE9">
        <w:t xml:space="preserve">a </w:t>
      </w:r>
      <w:r w:rsidR="00AF278A" w:rsidRPr="00FD3EE9">
        <w:t>fixed effects model</w:t>
      </w:r>
      <w:r w:rsidR="008431A6" w:rsidRPr="00FD3EE9">
        <w:t>.</w:t>
      </w:r>
      <w:r w:rsidR="00AF278A" w:rsidRPr="00FD3EE9">
        <w:t xml:space="preserve"> </w:t>
      </w:r>
      <w:r w:rsidR="00CD7465" w:rsidRPr="00FD3EE9">
        <w:t>Except</w:t>
      </w:r>
      <w:r w:rsidR="000F44D3" w:rsidRPr="00FD3EE9">
        <w:t xml:space="preserve"> for</w:t>
      </w:r>
      <w:r w:rsidR="008431A6" w:rsidRPr="00FD3EE9">
        <w:t xml:space="preserve"> </w:t>
      </w:r>
      <w:r w:rsidR="00AF278A" w:rsidRPr="00FD3EE9">
        <w:t>stock option</w:t>
      </w:r>
      <w:r w:rsidR="008431A6" w:rsidRPr="00FD3EE9">
        <w:t>s</w:t>
      </w:r>
      <w:r w:rsidR="00AF278A" w:rsidRPr="00FD3EE9">
        <w:t xml:space="preserve">, </w:t>
      </w:r>
      <w:r w:rsidR="008431A6" w:rsidRPr="00FD3EE9">
        <w:t xml:space="preserve">the </w:t>
      </w:r>
      <w:r w:rsidR="00AF278A" w:rsidRPr="00FD3EE9">
        <w:t xml:space="preserve">non-linear effect of managerial ownership on acquisitions </w:t>
      </w:r>
      <w:r w:rsidR="0000722F" w:rsidRPr="00FD3EE9">
        <w:t xml:space="preserve">is </w:t>
      </w:r>
      <w:r w:rsidR="00AF278A" w:rsidRPr="00FD3EE9">
        <w:t xml:space="preserve">consistent. </w:t>
      </w:r>
      <w:bookmarkStart w:id="13" w:name="_Hlk49516537"/>
      <w:r w:rsidR="0000722F" w:rsidRPr="00FD3EE9">
        <w:t>These</w:t>
      </w:r>
      <w:r w:rsidR="00C54F6F" w:rsidRPr="00FD3EE9">
        <w:t xml:space="preserve"> results are </w:t>
      </w:r>
      <w:r w:rsidR="00F25F4F">
        <w:t>in line with</w:t>
      </w:r>
      <w:r w:rsidR="00C54F6F" w:rsidRPr="00FD3EE9">
        <w:t xml:space="preserve"> prior findings by Sanders (2001) but </w:t>
      </w:r>
      <w:r w:rsidR="0000722F" w:rsidRPr="00FD3EE9">
        <w:t xml:space="preserve">differ </w:t>
      </w:r>
      <w:r w:rsidR="00C54F6F" w:rsidRPr="00FD3EE9">
        <w:t xml:space="preserve">from </w:t>
      </w:r>
      <w:r w:rsidR="00C54F6F" w:rsidRPr="00FD3EE9">
        <w:fldChar w:fldCharType="begin"/>
      </w:r>
      <w:r w:rsidR="00C54F6F" w:rsidRPr="00FD3EE9">
        <w:instrText xml:space="preserve"> ADDIN ZOTERO_ITEM CSL_CITATION {"citationID":"ObSaakCV","properties":{"formattedCitation":"(Bliss and Rosen, 2001)","plainCitation":"(Bliss and Rosen, 2001)","noteIndex":0},"citationItems":[{"id":"jwTi0SrD/mP7SFEnT","uris":["http://zotero.org/users/local/qiB1P4Y3/items/KMT4VD6T"],"uri":["http://zotero.org/users/local/qiB1P4Y3/items/KMT4VD6T"],"itemData":{"id":"jwTi0SrD/mP7SFEnT","type":"article-journal","title":"CEO compensation and bank mergers","container-title":"Journal of Financial Economics","page":"107–138","volume":"61","issue":"1","source":"Google Scholar","author":[{"family":"Bliss","given":"Richard T."},{"family":"Rosen","given":"Richard J."}],"issued":{"date-parts":[["2001"]]}}}],"schema":"https://github.com/citation-style-language/schema/raw/master/csl-citation.json"} </w:instrText>
      </w:r>
      <w:r w:rsidR="00C54F6F" w:rsidRPr="00FD3EE9">
        <w:fldChar w:fldCharType="separate"/>
      </w:r>
      <w:r w:rsidR="00C54F6F" w:rsidRPr="00FD3EE9">
        <w:rPr>
          <w:noProof/>
        </w:rPr>
        <w:t>Bliss and Rosen (2001)</w:t>
      </w:r>
      <w:r w:rsidR="00C54F6F" w:rsidRPr="00FD3EE9">
        <w:fldChar w:fldCharType="end"/>
      </w:r>
      <w:r w:rsidR="00C54F6F" w:rsidRPr="00FD3EE9">
        <w:rPr>
          <w:i/>
        </w:rPr>
        <w:t xml:space="preserve">. </w:t>
      </w:r>
      <w:r w:rsidR="00C54F6F" w:rsidRPr="00FD3EE9">
        <w:t xml:space="preserve">This may be because the study by </w:t>
      </w:r>
      <w:r w:rsidR="00C54F6F" w:rsidRPr="00FD3EE9">
        <w:fldChar w:fldCharType="begin"/>
      </w:r>
      <w:r w:rsidR="00C54F6F" w:rsidRPr="00FD3EE9">
        <w:instrText xml:space="preserve"> ADDIN ZOTERO_ITEM CSL_CITATION {"citationID":"ObSaakCV","properties":{"formattedCitation":"(Bliss and Rosen, 2001)","plainCitation":"(Bliss and Rosen, 2001)","noteIndex":0},"citationItems":[{"id":"jwTi0SrD/mP7SFEnT","uris":["http://zotero.org/users/local/qiB1P4Y3/items/KMT4VD6T"],"uri":["http://zotero.org/users/local/qiB1P4Y3/items/KMT4VD6T"],"itemData":{"id":"jwTi0SrD/mP7SFEnT","type":"article-journal","title":"CEO compensation and bank mergers","container-title":"Journal of Financial Economics","page":"107–138","volume":"61","issue":"1","source":"Google Scholar","author":[{"family":"Bliss","given":"Richard T."},{"family":"Rosen","given":"Richard J."}],"issued":{"date-parts":[["2001"]]}}}],"schema":"https://github.com/citation-style-language/schema/raw/master/csl-citation.json"} </w:instrText>
      </w:r>
      <w:r w:rsidR="00C54F6F" w:rsidRPr="00FD3EE9">
        <w:fldChar w:fldCharType="separate"/>
      </w:r>
      <w:r w:rsidR="00C54F6F" w:rsidRPr="00FD3EE9">
        <w:rPr>
          <w:noProof/>
        </w:rPr>
        <w:t>Bliss and Rosen (2001)</w:t>
      </w:r>
      <w:r w:rsidR="00C54F6F" w:rsidRPr="00FD3EE9">
        <w:fldChar w:fldCharType="end"/>
      </w:r>
      <w:r w:rsidR="00C54F6F" w:rsidRPr="00FD3EE9">
        <w:t xml:space="preserve"> focuses on the banking industry.</w:t>
      </w:r>
    </w:p>
    <w:p w14:paraId="53728306" w14:textId="5E5EE204" w:rsidR="008C1021" w:rsidRPr="00FD3EE9" w:rsidRDefault="008C1021" w:rsidP="008C1021">
      <w:pPr>
        <w:spacing w:line="480" w:lineRule="auto"/>
        <w:ind w:firstLineChars="200" w:firstLine="480"/>
        <w:jc w:val="center"/>
      </w:pPr>
      <w:r>
        <w:t>(</w:t>
      </w:r>
      <w:r w:rsidRPr="00FD3EE9">
        <w:t xml:space="preserve">Insert Table </w:t>
      </w:r>
      <w:r>
        <w:t>7</w:t>
      </w:r>
      <w:r w:rsidRPr="00FD3EE9">
        <w:t xml:space="preserve"> here</w:t>
      </w:r>
      <w:r>
        <w:t>)</w:t>
      </w:r>
    </w:p>
    <w:bookmarkEnd w:id="13"/>
    <w:p w14:paraId="6AB36A4E" w14:textId="54BCD155" w:rsidR="00937A34" w:rsidRDefault="00937A34" w:rsidP="0085750E">
      <w:pPr>
        <w:spacing w:line="480" w:lineRule="auto"/>
        <w:ind w:firstLineChars="200" w:firstLine="480"/>
      </w:pPr>
      <w:r w:rsidRPr="00FD3EE9">
        <w:t xml:space="preserve">We </w:t>
      </w:r>
      <w:r w:rsidR="007B58B3" w:rsidRPr="00FD3EE9">
        <w:t>analyse</w:t>
      </w:r>
      <w:r w:rsidRPr="00FD3EE9">
        <w:t xml:space="preserve"> the institutional impact by dividing the sample into SOE</w:t>
      </w:r>
      <w:r w:rsidR="0000722F" w:rsidRPr="00FD3EE9">
        <w:t>s</w:t>
      </w:r>
      <w:r w:rsidRPr="00FD3EE9">
        <w:t xml:space="preserve"> and non-SOE</w:t>
      </w:r>
      <w:r w:rsidR="0000722F" w:rsidRPr="00FD3EE9">
        <w:t>s presented in</w:t>
      </w:r>
      <w:r w:rsidRPr="00FD3EE9">
        <w:t xml:space="preserve"> </w:t>
      </w:r>
      <w:r w:rsidR="00EF1F9E" w:rsidRPr="00FD3EE9">
        <w:t>Table 8</w:t>
      </w:r>
      <w:r w:rsidR="0000722F" w:rsidRPr="00FD3EE9">
        <w:t>.</w:t>
      </w:r>
      <w:r w:rsidRPr="00FD3EE9">
        <w:t xml:space="preserve"> </w:t>
      </w:r>
      <w:r w:rsidR="0000722F" w:rsidRPr="00FD3EE9">
        <w:t>T</w:t>
      </w:r>
      <w:r w:rsidRPr="00FD3EE9">
        <w:t xml:space="preserve">here is no association between </w:t>
      </w:r>
      <w:r w:rsidR="0000722F" w:rsidRPr="00FD3EE9">
        <w:t xml:space="preserve">the number of </w:t>
      </w:r>
      <w:r w:rsidRPr="00FD3EE9">
        <w:t>acquisitions</w:t>
      </w:r>
      <w:r w:rsidR="0000722F" w:rsidRPr="00FD3EE9">
        <w:t>,</w:t>
      </w:r>
      <w:r w:rsidRPr="00FD3EE9">
        <w:t xml:space="preserve"> stock</w:t>
      </w:r>
      <w:r w:rsidR="008431A6" w:rsidRPr="00FD3EE9">
        <w:t>s</w:t>
      </w:r>
      <w:r w:rsidRPr="00FD3EE9">
        <w:t xml:space="preserve"> option</w:t>
      </w:r>
      <w:r w:rsidR="00F25F4F">
        <w:t>s</w:t>
      </w:r>
      <w:r w:rsidRPr="00FD3EE9">
        <w:t xml:space="preserve"> </w:t>
      </w:r>
      <w:r w:rsidR="0000722F" w:rsidRPr="00FD3EE9">
        <w:t xml:space="preserve">or </w:t>
      </w:r>
      <w:r w:rsidRPr="00FD3EE9">
        <w:t>stock ownership in SOEs</w:t>
      </w:r>
      <w:r w:rsidR="0000722F" w:rsidRPr="00FD3EE9">
        <w:t xml:space="preserve">, confirming </w:t>
      </w:r>
      <w:r w:rsidRPr="00FD3EE9">
        <w:t>Hypothesis 5.</w:t>
      </w:r>
    </w:p>
    <w:p w14:paraId="6AB79E3E" w14:textId="4E721C3D" w:rsidR="008C1021" w:rsidRDefault="008C1021" w:rsidP="008C1021">
      <w:pPr>
        <w:spacing w:line="480" w:lineRule="auto"/>
        <w:ind w:firstLineChars="200" w:firstLine="480"/>
        <w:jc w:val="center"/>
      </w:pPr>
      <w:r>
        <w:t>(</w:t>
      </w:r>
      <w:r w:rsidRPr="00FD3EE9">
        <w:t>Insert Table 8 here</w:t>
      </w:r>
      <w:r>
        <w:t>)</w:t>
      </w:r>
    </w:p>
    <w:p w14:paraId="0AB22CC6" w14:textId="77777777" w:rsidR="008C1021" w:rsidRPr="00FD3EE9" w:rsidRDefault="008C1021" w:rsidP="008C1021">
      <w:pPr>
        <w:spacing w:line="480" w:lineRule="auto"/>
        <w:ind w:firstLineChars="200" w:firstLine="480"/>
        <w:jc w:val="center"/>
      </w:pPr>
    </w:p>
    <w:p w14:paraId="5FBB4318" w14:textId="3D49273C" w:rsidR="00937A34" w:rsidRPr="00FD3EE9" w:rsidRDefault="00825A2B" w:rsidP="0085750E">
      <w:pPr>
        <w:pStyle w:val="ad"/>
        <w:spacing w:before="0" w:after="0" w:line="480" w:lineRule="auto"/>
        <w:jc w:val="left"/>
        <w:rPr>
          <w:rFonts w:ascii="Times New Roman" w:hAnsi="Times New Roman" w:cs="Times New Roman"/>
          <w:b w:val="0"/>
          <w:i/>
          <w:sz w:val="24"/>
        </w:rPr>
      </w:pPr>
      <w:r w:rsidRPr="00FD3EE9">
        <w:rPr>
          <w:rFonts w:ascii="Times New Roman" w:hAnsi="Times New Roman" w:cs="Times New Roman"/>
          <w:b w:val="0"/>
          <w:i/>
          <w:sz w:val="24"/>
        </w:rPr>
        <w:t>5</w:t>
      </w:r>
      <w:r w:rsidR="008431A6" w:rsidRPr="00FD3EE9">
        <w:rPr>
          <w:rFonts w:ascii="Times New Roman" w:hAnsi="Times New Roman" w:cs="Times New Roman"/>
          <w:b w:val="0"/>
          <w:i/>
          <w:sz w:val="24"/>
        </w:rPr>
        <w:t xml:space="preserve">.3. </w:t>
      </w:r>
      <w:r w:rsidR="00937A34" w:rsidRPr="00FD3EE9">
        <w:rPr>
          <w:rFonts w:ascii="Times New Roman" w:hAnsi="Times New Roman" w:cs="Times New Roman"/>
          <w:b w:val="0"/>
          <w:i/>
          <w:sz w:val="24"/>
        </w:rPr>
        <w:t>Executive compensation and post-acquisition performance analysis</w:t>
      </w:r>
    </w:p>
    <w:p w14:paraId="2D41FC17" w14:textId="1A95E30A" w:rsidR="00937A34" w:rsidRDefault="009731E9" w:rsidP="0085750E">
      <w:pPr>
        <w:spacing w:line="480" w:lineRule="auto"/>
        <w:ind w:firstLineChars="200" w:firstLine="480"/>
      </w:pPr>
      <w:r w:rsidRPr="00FD3EE9">
        <w:t>Table</w:t>
      </w:r>
      <w:r w:rsidR="008431A6" w:rsidRPr="00FD3EE9">
        <w:t>s</w:t>
      </w:r>
      <w:r w:rsidRPr="00FD3EE9">
        <w:t xml:space="preserve"> </w:t>
      </w:r>
      <w:r w:rsidR="00EF1F9E" w:rsidRPr="00FD3EE9">
        <w:t>9</w:t>
      </w:r>
      <w:r w:rsidRPr="00FD3EE9">
        <w:t xml:space="preserve"> and </w:t>
      </w:r>
      <w:r w:rsidR="00EF1F9E" w:rsidRPr="00FD3EE9">
        <w:t>10</w:t>
      </w:r>
      <w:r w:rsidRPr="00FD3EE9">
        <w:t xml:space="preserve"> present the impact </w:t>
      </w:r>
      <w:r w:rsidR="00B024D7" w:rsidRPr="00FD3EE9">
        <w:t xml:space="preserve">of executive </w:t>
      </w:r>
      <w:r w:rsidRPr="00FD3EE9">
        <w:t xml:space="preserve">compensation </w:t>
      </w:r>
      <w:r w:rsidR="00B024D7" w:rsidRPr="00FD3EE9">
        <w:t xml:space="preserve">on </w:t>
      </w:r>
      <w:r w:rsidRPr="00FD3EE9">
        <w:t xml:space="preserve">CARs and BHRs. As </w:t>
      </w:r>
      <w:r w:rsidR="008431A6" w:rsidRPr="00FD3EE9">
        <w:lastRenderedPageBreak/>
        <w:t xml:space="preserve">noted </w:t>
      </w:r>
      <w:r w:rsidRPr="00FD3EE9">
        <w:t xml:space="preserve">in </w:t>
      </w:r>
      <w:r w:rsidR="00EF1F9E" w:rsidRPr="00FD3EE9">
        <w:t>Table 9</w:t>
      </w:r>
      <w:r w:rsidRPr="00FD3EE9">
        <w:t xml:space="preserve">, executive compensation does not seem to affect </w:t>
      </w:r>
      <w:r w:rsidR="00B024D7" w:rsidRPr="00FD3EE9">
        <w:t xml:space="preserve">short-term </w:t>
      </w:r>
      <w:r w:rsidRPr="00FD3EE9">
        <w:t xml:space="preserve">market reactions to acquisition announcements. </w:t>
      </w:r>
      <w:r w:rsidR="008431A6" w:rsidRPr="00FD3EE9">
        <w:t xml:space="preserve">The results </w:t>
      </w:r>
      <w:r w:rsidRPr="00FD3EE9">
        <w:t xml:space="preserve">hold in both SOEs and non-SOEs. However, Table </w:t>
      </w:r>
      <w:r w:rsidR="00EF1F9E" w:rsidRPr="00FD3EE9">
        <w:t>10</w:t>
      </w:r>
      <w:r w:rsidRPr="00FD3EE9">
        <w:t xml:space="preserve"> presents a significant relationship between equity-based compensation and long-term BHRs. </w:t>
      </w:r>
      <w:r w:rsidR="00B024D7" w:rsidRPr="00FD3EE9">
        <w:t>T</w:t>
      </w:r>
      <w:r w:rsidRPr="00FD3EE9">
        <w:t xml:space="preserve">here is a negative association between stock ownership and BHRs </w:t>
      </w:r>
      <w:r w:rsidR="00B024D7" w:rsidRPr="00FD3EE9">
        <w:t xml:space="preserve">at low levels of ownership </w:t>
      </w:r>
      <w:r w:rsidRPr="00FD3EE9">
        <w:t xml:space="preserve">and a subsequent positive association, supporting </w:t>
      </w:r>
      <w:r w:rsidR="00B024D7" w:rsidRPr="00FD3EE9">
        <w:t>Hypothesis 4</w:t>
      </w:r>
      <w:r w:rsidRPr="00FD3EE9">
        <w:t xml:space="preserve">. </w:t>
      </w:r>
      <w:r w:rsidR="008C1021">
        <w:t>S</w:t>
      </w:r>
      <w:r w:rsidRPr="00FD3EE9">
        <w:t>tock option</w:t>
      </w:r>
      <w:r w:rsidR="008431A6" w:rsidRPr="00FD3EE9">
        <w:t>s</w:t>
      </w:r>
      <w:r w:rsidRPr="00FD3EE9">
        <w:t xml:space="preserve"> </w:t>
      </w:r>
      <w:r w:rsidR="00B024D7" w:rsidRPr="00FD3EE9">
        <w:t>are</w:t>
      </w:r>
      <w:r w:rsidRPr="00FD3EE9">
        <w:t xml:space="preserve"> negatively associated with BHRs in non-SOEs. In contrast, neither stock option</w:t>
      </w:r>
      <w:r w:rsidR="008431A6" w:rsidRPr="00FD3EE9">
        <w:t>s</w:t>
      </w:r>
      <w:r w:rsidRPr="00FD3EE9">
        <w:t xml:space="preserve"> nor stock ownership </w:t>
      </w:r>
      <w:r w:rsidR="00895159" w:rsidRPr="00FD3EE9">
        <w:t>matter</w:t>
      </w:r>
      <w:r w:rsidRPr="00FD3EE9">
        <w:t xml:space="preserve"> </w:t>
      </w:r>
      <w:r w:rsidR="00B024D7" w:rsidRPr="00FD3EE9">
        <w:t>for</w:t>
      </w:r>
      <w:r w:rsidR="008431A6" w:rsidRPr="00FD3EE9">
        <w:t xml:space="preserve"> </w:t>
      </w:r>
      <w:r w:rsidRPr="00FD3EE9">
        <w:t xml:space="preserve">BHRs </w:t>
      </w:r>
      <w:r w:rsidR="008C1021">
        <w:t>of</w:t>
      </w:r>
      <w:r w:rsidRPr="00FD3EE9">
        <w:t xml:space="preserve"> SOEs, consistent with Hypothesis 5.</w:t>
      </w:r>
    </w:p>
    <w:p w14:paraId="0333BBDF" w14:textId="39D59D4E" w:rsidR="008C1021" w:rsidRPr="00FD3EE9" w:rsidRDefault="008C1021" w:rsidP="008C1021">
      <w:pPr>
        <w:spacing w:line="480" w:lineRule="auto"/>
        <w:ind w:firstLineChars="200" w:firstLine="480"/>
        <w:jc w:val="center"/>
      </w:pPr>
      <w:r>
        <w:t>(</w:t>
      </w:r>
      <w:r w:rsidRPr="00FD3EE9">
        <w:t xml:space="preserve">Insert Table 9 </w:t>
      </w:r>
      <w:r>
        <w:t>and 10 here)</w:t>
      </w:r>
    </w:p>
    <w:p w14:paraId="2DD70933" w14:textId="77777777" w:rsidR="00B024D7" w:rsidRPr="00FD3EE9" w:rsidRDefault="00B024D7">
      <w:pPr>
        <w:pStyle w:val="a4"/>
        <w:spacing w:before="0" w:after="0" w:line="480" w:lineRule="auto"/>
        <w:rPr>
          <w:rFonts w:ascii="Times New Roman" w:hAnsi="Times New Roman" w:cs="Times New Roman"/>
          <w:sz w:val="24"/>
        </w:rPr>
      </w:pPr>
    </w:p>
    <w:p w14:paraId="0A392AA3" w14:textId="7787BFD3" w:rsidR="00CD7465" w:rsidRPr="00FD3EE9" w:rsidRDefault="009114A7" w:rsidP="0085750E">
      <w:pPr>
        <w:pStyle w:val="a4"/>
        <w:spacing w:before="0" w:after="0" w:line="480" w:lineRule="auto"/>
        <w:rPr>
          <w:rFonts w:ascii="Times New Roman" w:hAnsi="Times New Roman" w:cs="Times New Roman"/>
          <w:sz w:val="24"/>
        </w:rPr>
      </w:pPr>
      <w:r w:rsidRPr="00FD3EE9">
        <w:rPr>
          <w:rFonts w:ascii="Times New Roman" w:hAnsi="Times New Roman" w:cs="Times New Roman"/>
          <w:sz w:val="24"/>
        </w:rPr>
        <w:t>6. Discussion</w:t>
      </w:r>
    </w:p>
    <w:p w14:paraId="196448F3" w14:textId="38BF7131" w:rsidR="006F5B62" w:rsidRDefault="006F5B62">
      <w:pPr>
        <w:spacing w:line="480" w:lineRule="auto"/>
        <w:ind w:firstLineChars="300" w:firstLine="720"/>
      </w:pPr>
      <w:r w:rsidRPr="00FD3EE9">
        <w:t>This study explores the role of executive compensation in driving acquisitions and shaping post-merger performance. We selected China as our empirical setting due to a profound regulatory change in 2006, permitting stock options. Hence, the Chinese market serves as a laboratory to explore the impact of new instruments such as stock options on acquisitions.</w:t>
      </w:r>
    </w:p>
    <w:p w14:paraId="236630A1" w14:textId="77777777" w:rsidR="008D2743" w:rsidRDefault="008D2743">
      <w:pPr>
        <w:spacing w:line="480" w:lineRule="auto"/>
        <w:ind w:firstLineChars="300" w:firstLine="720"/>
      </w:pPr>
    </w:p>
    <w:p w14:paraId="1EA5F1CC" w14:textId="15E62252" w:rsidR="008D2743" w:rsidRPr="008D2743" w:rsidRDefault="009C38F8" w:rsidP="008D2743">
      <w:pPr>
        <w:pStyle w:val="ad"/>
        <w:spacing w:before="0" w:after="0" w:line="480" w:lineRule="auto"/>
        <w:jc w:val="left"/>
        <w:rPr>
          <w:rFonts w:ascii="Times New Roman" w:hAnsi="Times New Roman" w:cs="Times New Roman" w:hint="eastAsia"/>
          <w:b w:val="0"/>
          <w:i/>
          <w:sz w:val="24"/>
        </w:rPr>
      </w:pPr>
      <w:r>
        <w:rPr>
          <w:rFonts w:ascii="Times New Roman" w:hAnsi="Times New Roman" w:cs="Times New Roman"/>
          <w:b w:val="0"/>
          <w:i/>
          <w:sz w:val="24"/>
        </w:rPr>
        <w:t>6.1</w:t>
      </w:r>
      <w:r w:rsidRPr="00FD3EE9">
        <w:rPr>
          <w:rFonts w:ascii="Times New Roman" w:hAnsi="Times New Roman" w:cs="Times New Roman"/>
          <w:b w:val="0"/>
          <w:i/>
          <w:sz w:val="24"/>
        </w:rPr>
        <w:t xml:space="preserve">. </w:t>
      </w:r>
      <w:r w:rsidR="008D2743">
        <w:rPr>
          <w:rFonts w:ascii="Times New Roman" w:hAnsi="Times New Roman" w:cs="Times New Roman"/>
          <w:b w:val="0"/>
          <w:i/>
          <w:sz w:val="24"/>
        </w:rPr>
        <w:t>Theoretical implication</w:t>
      </w:r>
    </w:p>
    <w:p w14:paraId="55F6B984" w14:textId="057BB71A" w:rsidR="00487DE4" w:rsidRPr="00FD3EE9" w:rsidRDefault="00016D87" w:rsidP="0085750E">
      <w:pPr>
        <w:spacing w:line="480" w:lineRule="auto"/>
        <w:ind w:firstLineChars="300" w:firstLine="720"/>
      </w:pPr>
      <w:r w:rsidRPr="00FD3EE9">
        <w:lastRenderedPageBreak/>
        <w:t xml:space="preserve">Our work contributes to </w:t>
      </w:r>
      <w:r w:rsidR="006F5B62" w:rsidRPr="00FD3EE9">
        <w:t xml:space="preserve">the </w:t>
      </w:r>
      <w:r w:rsidRPr="00FD3EE9">
        <w:t>compensation literature in terms of how executive pay affects acquisition decisions</w:t>
      </w:r>
      <w:r w:rsidR="006F5B62" w:rsidRPr="00FD3EE9">
        <w:t xml:space="preserve"> and performance</w:t>
      </w:r>
      <w:r w:rsidRPr="00FD3EE9">
        <w:t>. The dominant view posits that by aligning managers' interest</w:t>
      </w:r>
      <w:r w:rsidR="006F5B62" w:rsidRPr="00FD3EE9">
        <w:t>s</w:t>
      </w:r>
      <w:r w:rsidRPr="00FD3EE9">
        <w:t xml:space="preserve"> </w:t>
      </w:r>
      <w:r w:rsidR="006F5B62" w:rsidRPr="00FD3EE9">
        <w:t xml:space="preserve">with </w:t>
      </w:r>
      <w:r w:rsidRPr="00FD3EE9">
        <w:t xml:space="preserve">shareholders, equity compensation should </w:t>
      </w:r>
      <w:r w:rsidR="006F5B62" w:rsidRPr="00FD3EE9">
        <w:t>reduce value-destroying acquisitions</w:t>
      </w:r>
      <w:r w:rsidRPr="00FD3EE9">
        <w:t xml:space="preserve"> </w:t>
      </w:r>
      <w:r w:rsidRPr="00FD3EE9">
        <w:fldChar w:fldCharType="begin"/>
      </w:r>
      <w:r w:rsidRPr="00FD3EE9">
        <w:instrText xml:space="preserve"> ADDIN ZOTERO_ITEM CSL_CITATION {"citationID":"dQ8eNJWq","properties":{"formattedCitation":"(Jensen and Meckling, 1976)","plainCitation":"(Jensen and Meckling, 1976)","noteIndex":0},"citationItems":[{"id":"jwTi0SrD/lwDxLibw","uris":["http://zotero.org/users/local/qiB1P4Y3/items/GAKXXNBZ"],"uri":["http://zotero.org/users/local/qiB1P4Y3/items/GAKXXNBZ"],"itemData":{"id":"jwTi0SrD/lwDxLibw","type":"article-journal","title":"Theory of the firm: Managerial behavior, agency costs and ownership structure","container-title":"Journal of financial economics","page":"305–360","volume":"3","issue":"4","source":"Google Scholar","shortTitle":"Theory of the firm","author":[{"family":"Jensen","given":"Michael C."},{"family":"Meckling","given":"William H."}],"issued":{"date-parts":[["1976"]]}}}],"schema":"https://github.com/citation-style-language/schema/raw/master/csl-citation.json"} </w:instrText>
      </w:r>
      <w:r w:rsidRPr="00FD3EE9">
        <w:fldChar w:fldCharType="separate"/>
      </w:r>
      <w:r w:rsidRPr="00FD3EE9">
        <w:rPr>
          <w:noProof/>
        </w:rPr>
        <w:t>(Jensen and Meckling, 1976)</w:t>
      </w:r>
      <w:r w:rsidRPr="00FD3EE9">
        <w:fldChar w:fldCharType="end"/>
      </w:r>
      <w:r w:rsidRPr="00FD3EE9">
        <w:t xml:space="preserve">. </w:t>
      </w:r>
      <w:r w:rsidR="00487DE4" w:rsidRPr="00FD3EE9">
        <w:t xml:space="preserve">However, </w:t>
      </w:r>
      <w:r w:rsidR="006F5B62" w:rsidRPr="00FD3EE9">
        <w:t>poor acquisition performance seems to prevail</w:t>
      </w:r>
      <w:r w:rsidR="00487DE4" w:rsidRPr="00FD3EE9">
        <w:t xml:space="preserve"> </w:t>
      </w:r>
      <w:r w:rsidR="00487DE4" w:rsidRPr="00FD3EE9">
        <w:fldChar w:fldCharType="begin"/>
      </w:r>
      <w:r w:rsidR="00487DE4" w:rsidRPr="00FD3EE9">
        <w:instrText xml:space="preserve"> ADDIN ZOTERO_ITEM CSL_CITATION {"citationID":"aNiufLZQ","properties":{"formattedCitation":"(Morck et al., 1988)","plainCitation":"(Morck et al., 1988)","noteIndex":0},"citationItems":[{"id":"jwTi0SrD/t8657QlV","uris":["http://zotero.org/users/local/qiB1P4Y3/items/EXNJQUEA"],"uri":["http://zotero.org/users/local/qiB1P4Y3/items/EXNJQUEA"],"itemData":{"id":118,"type":"article-journal","title":"Management ownership and market valuation: An empirical analysis","container-title":"Journal of financial economics","page":"293–315","volume":"20","source":"Google Scholar","shortTitle":"Management ownership and market valuation","author":[{"family":"Morck","given":"Randall"},{"family":"Shleifer","given":"Andrei"},{"family":"Vishny","given":"Robert W."}],"issued":{"date-parts":[["1988"]]}}}],"schema":"https://github.com/citation-style-language/schema/raw/master/csl-citation.json"} </w:instrText>
      </w:r>
      <w:r w:rsidR="00487DE4" w:rsidRPr="00FD3EE9">
        <w:fldChar w:fldCharType="separate"/>
      </w:r>
      <w:r w:rsidR="00487DE4" w:rsidRPr="00FD3EE9">
        <w:t>(Morck et al., 1988)</w:t>
      </w:r>
      <w:r w:rsidR="00487DE4" w:rsidRPr="00FD3EE9">
        <w:fldChar w:fldCharType="end"/>
      </w:r>
      <w:r w:rsidR="00487DE4" w:rsidRPr="00FD3EE9">
        <w:t xml:space="preserve">. </w:t>
      </w:r>
    </w:p>
    <w:p w14:paraId="29718252" w14:textId="0E3843D5" w:rsidR="00016D87" w:rsidRPr="00FD3EE9" w:rsidRDefault="00487DE4" w:rsidP="0085750E">
      <w:pPr>
        <w:spacing w:line="480" w:lineRule="auto"/>
        <w:ind w:firstLineChars="300" w:firstLine="720"/>
      </w:pPr>
      <w:bookmarkStart w:id="14" w:name="_Hlk49516595"/>
      <w:bookmarkStart w:id="15" w:name="_Hlk49517999"/>
      <w:r w:rsidRPr="00FD3EE9">
        <w:t xml:space="preserve">Our findings </w:t>
      </w:r>
      <w:r w:rsidR="006F5B62" w:rsidRPr="00FD3EE9">
        <w:t>show</w:t>
      </w:r>
      <w:r w:rsidR="004567A6" w:rsidRPr="00FD3EE9">
        <w:t xml:space="preserve"> that stock options do not affect acquisition decisions in </w:t>
      </w:r>
      <w:r w:rsidR="00690E05" w:rsidRPr="00FD3EE9">
        <w:t>China</w:t>
      </w:r>
      <w:r w:rsidR="004567A6" w:rsidRPr="00FD3EE9">
        <w:t xml:space="preserve">. </w:t>
      </w:r>
      <w:r w:rsidR="00016D87" w:rsidRPr="00FD3EE9">
        <w:t xml:space="preserve">Managerial stock ownership, </w:t>
      </w:r>
      <w:r w:rsidR="006F5B62" w:rsidRPr="00FD3EE9">
        <w:t>however</w:t>
      </w:r>
      <w:r w:rsidR="00016D87" w:rsidRPr="00FD3EE9">
        <w:t xml:space="preserve">, </w:t>
      </w:r>
      <w:r w:rsidR="00FB2BD0" w:rsidRPr="00FD3EE9">
        <w:t>exhibits</w:t>
      </w:r>
      <w:r w:rsidR="00016D87" w:rsidRPr="00FD3EE9">
        <w:t xml:space="preserve"> a non-linear impact. We find that managers are active in making acquisitions </w:t>
      </w:r>
      <w:r w:rsidR="00FB2BD0" w:rsidRPr="00FD3EE9">
        <w:t>if</w:t>
      </w:r>
      <w:r w:rsidR="00016D87" w:rsidRPr="00FD3EE9">
        <w:t xml:space="preserve"> they </w:t>
      </w:r>
      <w:r w:rsidR="006F5B62" w:rsidRPr="00FD3EE9">
        <w:t xml:space="preserve">only </w:t>
      </w:r>
      <w:r w:rsidR="00016D87" w:rsidRPr="00FD3EE9">
        <w:t>own negligible to moderate level</w:t>
      </w:r>
      <w:r w:rsidR="006F5B62" w:rsidRPr="00FD3EE9">
        <w:t>s</w:t>
      </w:r>
      <w:r w:rsidR="00016D87" w:rsidRPr="00FD3EE9">
        <w:t xml:space="preserve"> of stock.</w:t>
      </w:r>
      <w:r w:rsidR="00FB2BD0" w:rsidRPr="00FD3EE9">
        <w:t xml:space="preserve"> However, they are less active in conducting acquisitions if their stock ownership </w:t>
      </w:r>
      <w:r w:rsidR="006F5B62" w:rsidRPr="00FD3EE9">
        <w:t>is</w:t>
      </w:r>
      <w:r w:rsidR="00FB2BD0" w:rsidRPr="00FD3EE9">
        <w:t xml:space="preserve"> substantial.</w:t>
      </w:r>
      <w:r w:rsidR="004567A6" w:rsidRPr="00FD3EE9">
        <w:t xml:space="preserve"> </w:t>
      </w:r>
      <w:r w:rsidR="00FB2BD0" w:rsidRPr="00FD3EE9">
        <w:t xml:space="preserve">In line with the M&amp;A literature, we show that frequent acquisitions are likely to destroy firm value. The resource-based view can explain this </w:t>
      </w:r>
      <w:r w:rsidR="00690E05" w:rsidRPr="00FD3EE9">
        <w:t>finding</w:t>
      </w:r>
      <w:r w:rsidR="00FB2BD0" w:rsidRPr="00FD3EE9">
        <w:t xml:space="preserve">. </w:t>
      </w:r>
      <w:r w:rsidR="00690E05" w:rsidRPr="00FD3EE9">
        <w:t>M&amp;A</w:t>
      </w:r>
      <w:r w:rsidR="00FB2BD0" w:rsidRPr="00FD3EE9">
        <w:t xml:space="preserve"> success largely depends on whether </w:t>
      </w:r>
      <w:r w:rsidR="00D048BE" w:rsidRPr="00FD3EE9">
        <w:t xml:space="preserve">synergies </w:t>
      </w:r>
      <w:r w:rsidR="00FB2BD0" w:rsidRPr="00FD3EE9">
        <w:t xml:space="preserve">materialise </w:t>
      </w:r>
      <w:r w:rsidR="00FB2BD0" w:rsidRPr="00FD3EE9">
        <w:fldChar w:fldCharType="begin"/>
      </w:r>
      <w:r w:rsidR="00FB2BD0" w:rsidRPr="00FD3EE9">
        <w:instrText xml:space="preserve"> ADDIN ZOTERO_ITEM CSL_CITATION {"citationID":"utuuADlM","properties":{"formattedCitation":"(K. Meyer and Peng, 2016)","plainCitation":"(K. Meyer and Peng, 2016)","noteIndex":0},"citationItems":[{"id":151,"uris":["http://zotero.org/users/local/SsAWob3L/items/FYTAIFVC"],"uri":["http://zotero.org/users/local/SsAWob3L/items/FYTAIFVC"],"itemData":{"id":151,"type":"book","title":"International business","publisher":"Cengage Learning EMEA; 2 edition","author":[{"family":"Meyer","given":"K."},{"family":"Peng","given":"M."}],"issued":{"date-parts":[["2016"]]}}}],"schema":"https://github.com/citation-style-language/schema/raw/master/csl-citation.json"} </w:instrText>
      </w:r>
      <w:r w:rsidR="00FB2BD0" w:rsidRPr="00FD3EE9">
        <w:fldChar w:fldCharType="separate"/>
      </w:r>
      <w:r w:rsidR="00FB2BD0" w:rsidRPr="00FD3EE9">
        <w:rPr>
          <w:noProof/>
        </w:rPr>
        <w:t>(Meyer and Peng, 2016)</w:t>
      </w:r>
      <w:r w:rsidR="00FB2BD0" w:rsidRPr="00FD3EE9">
        <w:fldChar w:fldCharType="end"/>
      </w:r>
      <w:r w:rsidR="00FB2BD0" w:rsidRPr="00FD3EE9">
        <w:t xml:space="preserve">. With limited firm resources, it is difficult for executives to manage many acquisitions within a short period successfully. This is especially the case in emerging countries where resource scarcity is more prevalent. </w:t>
      </w:r>
    </w:p>
    <w:bookmarkEnd w:id="14"/>
    <w:p w14:paraId="7BBA83DD" w14:textId="3BC69690" w:rsidR="008D2743" w:rsidRDefault="008C1021" w:rsidP="008D2743">
      <w:pPr>
        <w:spacing w:line="480" w:lineRule="auto"/>
        <w:ind w:firstLineChars="200" w:firstLine="480"/>
      </w:pPr>
      <w:r>
        <w:t>W</w:t>
      </w:r>
      <w:r w:rsidR="00FB2BD0" w:rsidRPr="00FD3EE9">
        <w:t xml:space="preserve">e find that the impact of compensation differs in SOEs and non-SOEs. </w:t>
      </w:r>
      <w:r w:rsidR="00D048BE" w:rsidRPr="00FD3EE9">
        <w:t>In SOEs</w:t>
      </w:r>
      <w:r w:rsidR="00FB2BD0" w:rsidRPr="00FD3EE9">
        <w:t>, neither stock options nor managerial stock ownership matter</w:t>
      </w:r>
      <w:r w:rsidR="00D048BE" w:rsidRPr="00FD3EE9">
        <w:t>, whereas</w:t>
      </w:r>
      <w:r w:rsidR="00FB2BD0" w:rsidRPr="00FD3EE9">
        <w:t xml:space="preserve"> managerial stock ownership</w:t>
      </w:r>
      <w:r w:rsidR="00D048BE" w:rsidRPr="00FD3EE9">
        <w:t xml:space="preserve"> is</w:t>
      </w:r>
      <w:r w:rsidR="00FB2BD0" w:rsidRPr="00FD3EE9">
        <w:t xml:space="preserve"> </w:t>
      </w:r>
      <w:r w:rsidR="00FB2BD0" w:rsidRPr="00FD3EE9">
        <w:lastRenderedPageBreak/>
        <w:t xml:space="preserve">important in privately-owned firms. </w:t>
      </w:r>
      <w:r w:rsidR="00D048BE" w:rsidRPr="00FD3EE9">
        <w:t>M</w:t>
      </w:r>
      <w:r w:rsidR="00FB2BD0" w:rsidRPr="00FD3EE9">
        <w:t xml:space="preserve">anagers in SOEs are less sensitive to executive pay </w:t>
      </w:r>
      <w:r w:rsidR="00D048BE" w:rsidRPr="00FD3EE9">
        <w:t>as</w:t>
      </w:r>
      <w:r w:rsidR="00FB2BD0" w:rsidRPr="00FD3EE9">
        <w:t xml:space="preserve"> political promotion</w:t>
      </w:r>
      <w:r w:rsidR="00D048BE" w:rsidRPr="00FD3EE9">
        <w:t xml:space="preserve">s matter </w:t>
      </w:r>
      <w:r w:rsidR="00FB2BD0" w:rsidRPr="00FD3EE9">
        <w:fldChar w:fldCharType="begin"/>
      </w:r>
      <w:r w:rsidR="00FB2BD0" w:rsidRPr="00FD3EE9">
        <w:instrText xml:space="preserve"> ADDIN ZOTERO_ITEM CSL_CITATION {"citationID":"lAA1ITLo","properties":{"formattedCitation":"(Chen, 2005; Jiang et al., 2017)","plainCitation":"(Chen, 2005; Jiang et al., 2017)","noteIndex":0},"citationItems":[{"id":"jwTi0SrD/gPoWRI7N","uris":["http://zotero.org/users/local/qiB1P4Y3/items/V5T8F85R"],"uri":["http://zotero.org/users/local/qiB1P4Y3/items/V5T8F85R"],"itemData":{"id":"jwTi0SrD/gPoWRI7N","type":"article-journal","title":"Corporatisation of China’s state-owned enterprises and corporate governance","container-title":"Challenges for China's development: An enterprise perspective","page":"58","volume":"4","source":"Google Scholar","author":[{"family":"Chen","given":"Jean Jinghan"}],"issued":{"date-parts":[["2005"]]}}},{"id":"jwTi0SrD/J86kuRm7","uris":["http://zotero.org/users/local/qiB1P4Y3/items/VTQKKQEF"],"uri":["http://zotero.org/users/local/qiB1P4Y3/items/VTQKKQEF"],"itemData":{"id":"jwTi0SrD/J86kuRm7","type":"article-journal","title":"Why do firms adopt stock options and who benefits? A natural experiment in China","container-title":"Pacific-Basin Finance Journal","page":"124–140","volume":"46","source":"Google Scholar","shortTitle":"Why do firms adopt stock options and who benefits?","author":[{"family":"Jiang","given":"Lin"},{"family":"Kling","given":"Gerhard"},{"family":"Bo","given":"Hong"},{"family":"Driver","given":"Ciaran"}],"issued":{"date-parts":[["2017"]]}}}],"schema":"https://github.com/citation-style-language/schema/raw/master/csl-citation.json"} </w:instrText>
      </w:r>
      <w:r w:rsidR="00FB2BD0" w:rsidRPr="00FD3EE9">
        <w:fldChar w:fldCharType="separate"/>
      </w:r>
      <w:r w:rsidR="00FB2BD0" w:rsidRPr="00FD3EE9">
        <w:rPr>
          <w:noProof/>
        </w:rPr>
        <w:t>(Chen, 2005; Jiang et al., 2017)</w:t>
      </w:r>
      <w:r w:rsidR="00FB2BD0" w:rsidRPr="00FD3EE9">
        <w:fldChar w:fldCharType="end"/>
      </w:r>
      <w:r w:rsidR="00FB2BD0" w:rsidRPr="00FD3EE9">
        <w:t>.</w:t>
      </w:r>
      <w:r w:rsidR="00D64518">
        <w:t>s</w:t>
      </w:r>
    </w:p>
    <w:p w14:paraId="00477617" w14:textId="77777777" w:rsidR="008D2743" w:rsidRPr="00D64518" w:rsidRDefault="008D2743" w:rsidP="008D2743">
      <w:pPr>
        <w:spacing w:line="480" w:lineRule="auto"/>
        <w:ind w:firstLineChars="200" w:firstLine="480"/>
        <w:rPr>
          <w:rFonts w:hint="eastAsia"/>
        </w:rPr>
      </w:pPr>
    </w:p>
    <w:p w14:paraId="605E512E" w14:textId="1B6DA59C" w:rsidR="008D2743" w:rsidRPr="008D2743" w:rsidRDefault="008D2743" w:rsidP="008D2743">
      <w:pPr>
        <w:rPr>
          <w:rFonts w:hint="eastAsia"/>
          <w:i/>
          <w:iCs/>
        </w:rPr>
      </w:pPr>
      <w:r w:rsidRPr="008D2743">
        <w:rPr>
          <w:rFonts w:hint="eastAsia"/>
          <w:i/>
          <w:iCs/>
        </w:rPr>
        <w:t>6</w:t>
      </w:r>
      <w:r w:rsidRPr="008D2743">
        <w:rPr>
          <w:i/>
          <w:iCs/>
        </w:rPr>
        <w:t>.2. Practical implication</w:t>
      </w:r>
    </w:p>
    <w:p w14:paraId="48BD11D6" w14:textId="6074677D" w:rsidR="00016D87" w:rsidRDefault="00016D87" w:rsidP="0085750E">
      <w:pPr>
        <w:spacing w:line="480" w:lineRule="auto"/>
        <w:ind w:firstLineChars="200" w:firstLine="480"/>
      </w:pPr>
      <w:r w:rsidRPr="00FD3EE9">
        <w:t xml:space="preserve">Our study also provides insights </w:t>
      </w:r>
      <w:r w:rsidR="008C1021">
        <w:t>for</w:t>
      </w:r>
      <w:r w:rsidRPr="00FD3EE9">
        <w:t xml:space="preserve"> policy makers. First, although executive compensation is </w:t>
      </w:r>
      <w:r w:rsidR="008C1021">
        <w:t>used</w:t>
      </w:r>
      <w:r w:rsidRPr="00FD3EE9">
        <w:t xml:space="preserve"> </w:t>
      </w:r>
      <w:r w:rsidR="008C1021">
        <w:t>to provide incentives</w:t>
      </w:r>
      <w:r w:rsidRPr="00FD3EE9">
        <w:t xml:space="preserve">, it could become a concealing form of rent extraction by powerful managers when monitoring mechanisms are not in </w:t>
      </w:r>
      <w:r w:rsidR="008C1021">
        <w:t>place</w:t>
      </w:r>
      <w:r w:rsidRPr="00FD3EE9">
        <w:t xml:space="preserve">. </w:t>
      </w:r>
      <w:r w:rsidR="008C1021">
        <w:t>D</w:t>
      </w:r>
      <w:r w:rsidRPr="00FD3EE9">
        <w:t xml:space="preserve">ifferent from </w:t>
      </w:r>
      <w:r w:rsidR="008C1021">
        <w:t>stock options</w:t>
      </w:r>
      <w:r w:rsidRPr="00FD3EE9">
        <w:t xml:space="preserve"> in developed countries, stock options in Chinese firms usually have more relaxed vesting conditions. For example, our data </w:t>
      </w:r>
      <w:r w:rsidR="002A7975">
        <w:t>shows</w:t>
      </w:r>
      <w:r w:rsidRPr="00FD3EE9">
        <w:t xml:space="preserve"> that almost 50% of stock options are in-the-money while over 97% of US firms are at-the-money. A common solution to this problem is to have appropriate vesting conditions for equity compensation. </w:t>
      </w:r>
    </w:p>
    <w:p w14:paraId="6CB31407" w14:textId="77777777" w:rsidR="008D2743" w:rsidRDefault="008D2743" w:rsidP="0085750E">
      <w:pPr>
        <w:spacing w:line="480" w:lineRule="auto"/>
        <w:ind w:firstLineChars="200" w:firstLine="480"/>
      </w:pPr>
    </w:p>
    <w:p w14:paraId="3173930B" w14:textId="2D1446C8" w:rsidR="008D2743" w:rsidRPr="008D2743" w:rsidRDefault="008D2743" w:rsidP="008D2743">
      <w:pPr>
        <w:rPr>
          <w:rFonts w:hint="eastAsia"/>
          <w:i/>
          <w:iCs/>
        </w:rPr>
      </w:pPr>
      <w:r>
        <w:rPr>
          <w:rFonts w:hint="eastAsia"/>
          <w:i/>
          <w:iCs/>
        </w:rPr>
        <w:t>6</w:t>
      </w:r>
      <w:r>
        <w:rPr>
          <w:i/>
          <w:iCs/>
        </w:rPr>
        <w:t xml:space="preserve">.3 Limitations </w:t>
      </w:r>
    </w:p>
    <w:bookmarkEnd w:id="15"/>
    <w:p w14:paraId="6D5EB392" w14:textId="77777777" w:rsidR="008D2743" w:rsidRDefault="00EB0A8F" w:rsidP="008D2743">
      <w:pPr>
        <w:spacing w:line="480" w:lineRule="auto"/>
        <w:ind w:firstLineChars="300" w:firstLine="720"/>
      </w:pPr>
      <w:r>
        <w:t>Inherently,</w:t>
      </w:r>
      <w:r w:rsidR="00487DE4" w:rsidRPr="00FD3EE9">
        <w:t xml:space="preserve"> our study has some limitations. First, since domestic </w:t>
      </w:r>
      <w:r w:rsidR="004567A6" w:rsidRPr="00FD3EE9">
        <w:t>M&amp;A</w:t>
      </w:r>
      <w:r>
        <w:t>s</w:t>
      </w:r>
      <w:r w:rsidR="004567A6" w:rsidRPr="00FD3EE9">
        <w:t xml:space="preserve"> </w:t>
      </w:r>
      <w:r w:rsidR="00487DE4" w:rsidRPr="00FD3EE9">
        <w:t>still dominate the Chinese acquisition market, we exclude</w:t>
      </w:r>
      <w:r w:rsidR="00D048BE" w:rsidRPr="00FD3EE9">
        <w:t>d</w:t>
      </w:r>
      <w:r w:rsidR="00487DE4" w:rsidRPr="00FD3EE9">
        <w:t xml:space="preserve"> cross-border</w:t>
      </w:r>
      <w:r>
        <w:t xml:space="preserve"> transactions</w:t>
      </w:r>
      <w:r w:rsidR="00487DE4" w:rsidRPr="00FD3EE9">
        <w:t xml:space="preserve">. However, both inbound acquisitions and outbound acquisitions of Chinese firms have becoming increasingly important for international business. Further research could consider cross-board </w:t>
      </w:r>
      <w:r w:rsidR="004567A6" w:rsidRPr="00FD3EE9">
        <w:t>M&amp;A</w:t>
      </w:r>
      <w:r>
        <w:t>s</w:t>
      </w:r>
      <w:r w:rsidR="00487DE4" w:rsidRPr="00FD3EE9">
        <w:t xml:space="preserve">. A second </w:t>
      </w:r>
      <w:r w:rsidR="00487DE4" w:rsidRPr="00FD3EE9">
        <w:lastRenderedPageBreak/>
        <w:t xml:space="preserve">limitation relates to </w:t>
      </w:r>
      <w:r>
        <w:t xml:space="preserve">the </w:t>
      </w:r>
      <w:r w:rsidR="00487DE4" w:rsidRPr="00FD3EE9">
        <w:t xml:space="preserve">compensation data. Since Chinese stock options are still in its infancy, we have only around 300 </w:t>
      </w:r>
      <w:r w:rsidR="00D048BE" w:rsidRPr="00FD3EE9">
        <w:t xml:space="preserve">stock </w:t>
      </w:r>
      <w:r w:rsidR="00487DE4" w:rsidRPr="00FD3EE9">
        <w:t>options in our sample</w:t>
      </w:r>
      <w:r w:rsidR="00D048BE" w:rsidRPr="00FD3EE9">
        <w:t>.</w:t>
      </w:r>
      <w:r w:rsidR="00487DE4" w:rsidRPr="00FD3EE9">
        <w:t xml:space="preserve"> Third, since many target firms are non-listed firms, variables such as targets' market capitalization, acquisition premium and their post-acquisitions performance are not available. </w:t>
      </w:r>
    </w:p>
    <w:p w14:paraId="796772C0" w14:textId="415EBCF3" w:rsidR="008D2743" w:rsidRDefault="008D2743" w:rsidP="008D2743">
      <w:pPr>
        <w:pStyle w:val="a4"/>
        <w:spacing w:before="0" w:after="0" w:line="480" w:lineRule="auto"/>
        <w:rPr>
          <w:rFonts w:ascii="Times New Roman" w:hAnsi="Times New Roman" w:cs="Times New Roman"/>
          <w:sz w:val="24"/>
        </w:rPr>
      </w:pPr>
      <w:r>
        <w:tab/>
      </w:r>
      <w:r>
        <w:rPr>
          <w:rFonts w:ascii="Times New Roman" w:hAnsi="Times New Roman" w:cs="Times New Roman"/>
          <w:sz w:val="24"/>
        </w:rPr>
        <w:t>7</w:t>
      </w:r>
      <w:r w:rsidRPr="008D2743">
        <w:rPr>
          <w:rFonts w:ascii="Times New Roman" w:hAnsi="Times New Roman" w:cs="Times New Roman"/>
          <w:sz w:val="24"/>
        </w:rPr>
        <w:t>. C</w:t>
      </w:r>
      <w:r w:rsidRPr="008D2743">
        <w:rPr>
          <w:rFonts w:ascii="Times New Roman" w:hAnsi="Times New Roman" w:cs="Times New Roman" w:hint="eastAsia"/>
          <w:sz w:val="24"/>
        </w:rPr>
        <w:t>onclusion</w:t>
      </w:r>
    </w:p>
    <w:p w14:paraId="6A839941" w14:textId="752C33A7" w:rsidR="008D2743" w:rsidRPr="008D2743" w:rsidRDefault="008D2743" w:rsidP="00192366">
      <w:pPr>
        <w:spacing w:line="480" w:lineRule="auto"/>
        <w:ind w:firstLineChars="300" w:firstLine="720"/>
        <w:rPr>
          <w:rFonts w:hint="eastAsia"/>
        </w:rPr>
      </w:pPr>
      <w:r>
        <w:rPr>
          <w:rFonts w:hint="eastAsia"/>
        </w:rPr>
        <w:t xml:space="preserve"> </w:t>
      </w:r>
      <w:r>
        <w:t xml:space="preserve">    </w:t>
      </w:r>
      <w:r w:rsidR="00192366">
        <w:t>H</w:t>
      </w:r>
      <w:r w:rsidR="00192366" w:rsidRPr="00192366">
        <w:rPr>
          <w:rFonts w:hint="eastAsia"/>
        </w:rPr>
        <w:t>o</w:t>
      </w:r>
      <w:r w:rsidR="00192366" w:rsidRPr="00192366">
        <w:t xml:space="preserve">w </w:t>
      </w:r>
      <w:r w:rsidR="00192366">
        <w:t xml:space="preserve">executive compensation would affect firms’ acquisition decisions has triggered extensive debate over the last decades. This study takes advantage of China’s most recent compensation reform, providing new evidence to both compensation and M&amp;A studies. </w:t>
      </w:r>
      <w:r w:rsidR="00B4301A">
        <w:t xml:space="preserve">Our results show that both compensation type and institutional environment shape managerial decisions on making acquisitions. We argue that </w:t>
      </w:r>
      <w:r w:rsidR="00D64518">
        <w:rPr>
          <w:rFonts w:hint="eastAsia"/>
        </w:rPr>
        <w:t>more</w:t>
      </w:r>
      <w:r w:rsidR="00D64518">
        <w:t xml:space="preserve"> </w:t>
      </w:r>
      <w:r w:rsidR="00D64518">
        <w:rPr>
          <w:rFonts w:hint="eastAsia"/>
        </w:rPr>
        <w:t>res</w:t>
      </w:r>
      <w:r w:rsidR="00D64518">
        <w:t xml:space="preserve">earch, especially in emerging economies, is needed to ensure a richer understanding of the nature of executive compensation design. </w:t>
      </w:r>
    </w:p>
    <w:p w14:paraId="178F993E" w14:textId="42775117" w:rsidR="008D2743" w:rsidRPr="008D2743" w:rsidRDefault="009B5F17" w:rsidP="008D2743">
      <w:pPr>
        <w:spacing w:line="480" w:lineRule="auto"/>
        <w:ind w:firstLineChars="300" w:firstLine="720"/>
        <w:rPr>
          <w:rFonts w:hint="eastAsia"/>
        </w:rPr>
      </w:pPr>
      <w:r w:rsidRPr="008D2743">
        <w:br w:type="page"/>
      </w:r>
    </w:p>
    <w:p w14:paraId="4CA447CC" w14:textId="494FF477" w:rsidR="00996EDC" w:rsidRPr="00FD3EE9" w:rsidRDefault="00996EDC" w:rsidP="00E671BC">
      <w:pPr>
        <w:pStyle w:val="a4"/>
        <w:ind w:firstLineChars="200" w:firstLine="482"/>
        <w:rPr>
          <w:rFonts w:ascii="Times New Roman" w:hAnsi="Times New Roman" w:cs="Times New Roman"/>
          <w:sz w:val="24"/>
          <w:szCs w:val="24"/>
        </w:rPr>
      </w:pPr>
      <w:r w:rsidRPr="00FD3EE9">
        <w:rPr>
          <w:rFonts w:ascii="Times New Roman" w:hAnsi="Times New Roman" w:cs="Times New Roman"/>
          <w:sz w:val="24"/>
          <w:szCs w:val="24"/>
        </w:rPr>
        <w:lastRenderedPageBreak/>
        <w:t>References</w:t>
      </w:r>
    </w:p>
    <w:p w14:paraId="27D59D00" w14:textId="77777777" w:rsidR="00016D87" w:rsidRPr="00FD3EE9" w:rsidRDefault="00996EDC" w:rsidP="00016D87">
      <w:pPr>
        <w:pStyle w:val="11"/>
        <w:ind w:firstLine="480"/>
        <w:rPr>
          <w:rFonts w:cs="Times New Roman"/>
          <w:lang w:val="en-GB"/>
        </w:rPr>
      </w:pPr>
      <w:r w:rsidRPr="00FD3EE9">
        <w:rPr>
          <w:lang w:val="en-GB"/>
        </w:rPr>
        <w:fldChar w:fldCharType="begin"/>
      </w:r>
      <w:r w:rsidR="003D30A6" w:rsidRPr="00FD3EE9">
        <w:rPr>
          <w:lang w:val="en-GB"/>
        </w:rPr>
        <w:instrText xml:space="preserve"> ADDIN ZOTERO_BIBL {"uncited":[],"omitted":[],"custom":[]} CSL_BIBLIOGRAPHY </w:instrText>
      </w:r>
      <w:r w:rsidRPr="00FD3EE9">
        <w:rPr>
          <w:lang w:val="en-GB"/>
        </w:rPr>
        <w:fldChar w:fldCharType="separate"/>
      </w:r>
      <w:r w:rsidR="00016D87" w:rsidRPr="00FD3EE9">
        <w:rPr>
          <w:rFonts w:cs="Times New Roman"/>
          <w:lang w:val="en-GB"/>
        </w:rPr>
        <w:t>Amihud, Y., Lev, B., 1981. Risk reduction as a managerial motive for conglomerate mergers. Bell J. Econ. 605–617.</w:t>
      </w:r>
    </w:p>
    <w:p w14:paraId="48F4D32E" w14:textId="77777777" w:rsidR="00016D87" w:rsidRPr="00FD3EE9" w:rsidRDefault="00016D87" w:rsidP="00016D87">
      <w:pPr>
        <w:pStyle w:val="11"/>
        <w:ind w:firstLine="480"/>
        <w:rPr>
          <w:rFonts w:cs="Times New Roman"/>
          <w:lang w:val="en-GB"/>
        </w:rPr>
      </w:pPr>
      <w:r w:rsidRPr="00FD3EE9">
        <w:rPr>
          <w:rFonts w:cs="Times New Roman"/>
          <w:lang w:val="en-GB"/>
        </w:rPr>
        <w:t>Armstrong, C.S., Vashishtha, R., 2012. Executive stock options, differential risk-taking incentives, and firm value. J. Financ. Econ. 104, 70–88.</w:t>
      </w:r>
    </w:p>
    <w:p w14:paraId="73565ECE" w14:textId="77777777" w:rsidR="00016D87" w:rsidRPr="00FD3EE9" w:rsidRDefault="00016D87" w:rsidP="00016D87">
      <w:pPr>
        <w:pStyle w:val="11"/>
        <w:ind w:firstLine="480"/>
        <w:rPr>
          <w:rFonts w:cs="Times New Roman"/>
          <w:lang w:val="en-GB"/>
        </w:rPr>
      </w:pPr>
      <w:r w:rsidRPr="00FD3EE9">
        <w:rPr>
          <w:rFonts w:cs="Times New Roman"/>
          <w:lang w:val="en-GB"/>
        </w:rPr>
        <w:t>Baker, R.D., Limmack, R., 2001. UK takeovers and acquiring company wealth changes: The impact of survivorship and other potential selection biases on post-outcome performance.</w:t>
      </w:r>
    </w:p>
    <w:p w14:paraId="537FEF88" w14:textId="77777777" w:rsidR="00016D87" w:rsidRPr="00FD3EE9" w:rsidRDefault="00016D87" w:rsidP="00016D87">
      <w:pPr>
        <w:pStyle w:val="11"/>
        <w:ind w:firstLine="480"/>
        <w:rPr>
          <w:rFonts w:cs="Times New Roman"/>
          <w:lang w:val="en-GB"/>
        </w:rPr>
      </w:pPr>
      <w:r w:rsidRPr="00FD3EE9">
        <w:rPr>
          <w:rFonts w:cs="Times New Roman"/>
          <w:lang w:val="en-GB"/>
        </w:rPr>
        <w:t>Bauer, F., Matzler, K., 2014. Antecedents of M&amp;amp;A success: The role of strategic complementarity, cultural fit, and degree and speed of integration. Strateg. Manag. J. 35, 269–291.</w:t>
      </w:r>
    </w:p>
    <w:p w14:paraId="6E15276B" w14:textId="77777777" w:rsidR="00016D87" w:rsidRPr="00FD3EE9" w:rsidRDefault="00016D87" w:rsidP="00016D87">
      <w:pPr>
        <w:pStyle w:val="11"/>
        <w:ind w:firstLine="480"/>
        <w:rPr>
          <w:rFonts w:cs="Times New Roman"/>
          <w:lang w:val="en-GB"/>
        </w:rPr>
      </w:pPr>
      <w:r w:rsidRPr="00FD3EE9">
        <w:rPr>
          <w:rFonts w:cs="Times New Roman"/>
          <w:lang w:val="en-GB"/>
        </w:rPr>
        <w:t>Bebchuk, L.A., Fried, J.M., 2003. Executive compensation as an agency problem. J. Econ. Perspect. 17, 71–92.</w:t>
      </w:r>
    </w:p>
    <w:p w14:paraId="3C962D1B" w14:textId="77777777" w:rsidR="00016D87" w:rsidRPr="00FD3EE9" w:rsidRDefault="00016D87" w:rsidP="00016D87">
      <w:pPr>
        <w:pStyle w:val="11"/>
        <w:ind w:firstLine="480"/>
        <w:rPr>
          <w:rFonts w:cs="Times New Roman"/>
          <w:lang w:val="en-GB"/>
        </w:rPr>
      </w:pPr>
      <w:r w:rsidRPr="00FD3EE9">
        <w:rPr>
          <w:rFonts w:cs="Times New Roman"/>
          <w:lang w:val="en-GB"/>
        </w:rPr>
        <w:t>Bethel, J.E., Liebeskind, J., 1993. The effects of ownership structure on corporate restructuring. Strateg. Manag. J. 14, 15–31.</w:t>
      </w:r>
    </w:p>
    <w:p w14:paraId="684D3AC0" w14:textId="77777777" w:rsidR="00016D87" w:rsidRPr="00FD3EE9" w:rsidRDefault="00016D87" w:rsidP="00016D87">
      <w:pPr>
        <w:pStyle w:val="11"/>
        <w:ind w:firstLine="480"/>
        <w:rPr>
          <w:rFonts w:cs="Times New Roman"/>
          <w:lang w:val="en-GB"/>
        </w:rPr>
      </w:pPr>
      <w:r w:rsidRPr="00FD3EE9">
        <w:rPr>
          <w:rFonts w:cs="Times New Roman"/>
          <w:lang w:val="en-GB"/>
        </w:rPr>
        <w:t>Bliss, R.T., Rosen, R.J., 2001. CEO compensation and bank mergers. J. Financ. Econ. 61, 107–138.</w:t>
      </w:r>
    </w:p>
    <w:p w14:paraId="75D3BEB3" w14:textId="77777777" w:rsidR="00016D87" w:rsidRPr="00FD3EE9" w:rsidRDefault="00016D87" w:rsidP="00016D87">
      <w:pPr>
        <w:pStyle w:val="11"/>
        <w:ind w:firstLine="480"/>
        <w:rPr>
          <w:rFonts w:cs="Times New Roman"/>
          <w:lang w:val="en-GB"/>
        </w:rPr>
      </w:pPr>
      <w:r w:rsidRPr="00FD3EE9">
        <w:rPr>
          <w:rFonts w:cs="Times New Roman"/>
          <w:lang w:val="en-GB"/>
        </w:rPr>
        <w:t>Chen, J.J., 2005. Corporatisation of China’s state-owned enterprises and corporate governance. Chall. Chinas Dev. Enterp. Perspect. 4, 58.</w:t>
      </w:r>
    </w:p>
    <w:p w14:paraId="5747C8E5" w14:textId="77777777" w:rsidR="00016D87" w:rsidRPr="00FD3EE9" w:rsidRDefault="00016D87" w:rsidP="00016D87">
      <w:pPr>
        <w:pStyle w:val="11"/>
        <w:ind w:firstLine="480"/>
        <w:rPr>
          <w:rFonts w:cs="Times New Roman"/>
          <w:lang w:val="en-GB"/>
        </w:rPr>
      </w:pPr>
      <w:r w:rsidRPr="00FD3EE9">
        <w:rPr>
          <w:rFonts w:cs="Times New Roman"/>
          <w:lang w:val="en-GB"/>
        </w:rPr>
        <w:t>Coles, J.L., Daniel, N.D., Naveen, L., 2006. Managerial incentives and risk-taking. J. Financ. Econ. 79, 431–468.</w:t>
      </w:r>
    </w:p>
    <w:p w14:paraId="77F2DA5F" w14:textId="77777777" w:rsidR="00016D87" w:rsidRPr="00FD3EE9" w:rsidRDefault="00016D87" w:rsidP="00016D87">
      <w:pPr>
        <w:pStyle w:val="11"/>
        <w:ind w:firstLine="480"/>
        <w:rPr>
          <w:rFonts w:cs="Times New Roman"/>
          <w:lang w:val="en-GB"/>
        </w:rPr>
      </w:pPr>
      <w:r w:rsidRPr="00FD3EE9">
        <w:rPr>
          <w:rFonts w:cs="Times New Roman"/>
          <w:lang w:val="en-GB"/>
        </w:rPr>
        <w:t>Conyon, M.J., He, L., 2011. Executive compensation and corporate governance in China. J. Corp. Finance 17, 1158–1175.</w:t>
      </w:r>
    </w:p>
    <w:p w14:paraId="3AB05EE8" w14:textId="77777777" w:rsidR="00016D87" w:rsidRPr="00FD3EE9" w:rsidRDefault="00016D87" w:rsidP="00016D87">
      <w:pPr>
        <w:pStyle w:val="11"/>
        <w:ind w:firstLine="480"/>
        <w:rPr>
          <w:rFonts w:cs="Times New Roman"/>
          <w:lang w:val="en-GB"/>
        </w:rPr>
      </w:pPr>
      <w:r w:rsidRPr="00FD3EE9">
        <w:rPr>
          <w:rFonts w:cs="Times New Roman"/>
          <w:lang w:val="en-GB"/>
        </w:rPr>
        <w:t>Datta, S., Iskandar-Datta, M., Raman, K., 2001. Executive compensation and corporate acquisition decisions. J. Finance 56, 2299–2336.</w:t>
      </w:r>
    </w:p>
    <w:p w14:paraId="1B35AF71" w14:textId="77777777" w:rsidR="00016D87" w:rsidRPr="00FD3EE9" w:rsidRDefault="00016D87" w:rsidP="00016D87">
      <w:pPr>
        <w:pStyle w:val="11"/>
        <w:ind w:firstLine="480"/>
        <w:rPr>
          <w:rFonts w:cs="Times New Roman"/>
          <w:lang w:val="en-GB"/>
        </w:rPr>
      </w:pPr>
      <w:r w:rsidRPr="00FD3EE9">
        <w:rPr>
          <w:rFonts w:cs="Times New Roman"/>
          <w:lang w:val="en-GB"/>
        </w:rPr>
        <w:t>Dittmann, I., Maug, E., 2007. Lower salaries and no options? On the optimal structure of executive pay. J. Finance 62, 303–343.</w:t>
      </w:r>
    </w:p>
    <w:p w14:paraId="75984EA0" w14:textId="77777777" w:rsidR="00016D87" w:rsidRPr="00FD3EE9" w:rsidRDefault="00016D87" w:rsidP="00016D87">
      <w:pPr>
        <w:pStyle w:val="11"/>
        <w:ind w:firstLine="480"/>
        <w:rPr>
          <w:rFonts w:cs="Times New Roman"/>
          <w:lang w:val="en-GB"/>
        </w:rPr>
      </w:pPr>
      <w:r w:rsidRPr="00FD3EE9">
        <w:rPr>
          <w:rFonts w:cs="Times New Roman"/>
          <w:lang w:val="en-GB"/>
        </w:rPr>
        <w:t>Edmans, A., Gabaix, X., Jenter, D., 2017. Executive compensation: A survey of theory and evidence, in: The Handbook of the Economics of Corporate Governance. Elsevier, pp. 383–539.</w:t>
      </w:r>
    </w:p>
    <w:p w14:paraId="6F0D4263" w14:textId="77777777" w:rsidR="00016D87" w:rsidRPr="00FD3EE9" w:rsidRDefault="00016D87" w:rsidP="00016D87">
      <w:pPr>
        <w:pStyle w:val="11"/>
        <w:ind w:firstLine="480"/>
        <w:rPr>
          <w:rFonts w:cs="Times New Roman"/>
          <w:lang w:val="en-GB"/>
        </w:rPr>
      </w:pPr>
      <w:r w:rsidRPr="00FD3EE9">
        <w:rPr>
          <w:rFonts w:cs="Times New Roman"/>
          <w:lang w:val="en-GB"/>
        </w:rPr>
        <w:t>Fama, E.F., 1980. Agency problems and the theory of the firm. J. Polit. Econ. 88, 288–307.</w:t>
      </w:r>
    </w:p>
    <w:p w14:paraId="6AB8D051" w14:textId="77777777" w:rsidR="00016D87" w:rsidRPr="00FD3EE9" w:rsidRDefault="00016D87" w:rsidP="00016D87">
      <w:pPr>
        <w:pStyle w:val="11"/>
        <w:ind w:firstLine="480"/>
        <w:rPr>
          <w:rFonts w:cs="Times New Roman"/>
          <w:lang w:val="en-GB"/>
        </w:rPr>
      </w:pPr>
      <w:r w:rsidRPr="00FD3EE9">
        <w:rPr>
          <w:rFonts w:cs="Times New Roman"/>
          <w:lang w:val="en-GB"/>
        </w:rPr>
        <w:t xml:space="preserve">Franks, J., Mayer, C., 2001. Ownership and control of German corporations. Rev. </w:t>
      </w:r>
      <w:r w:rsidRPr="00FD3EE9">
        <w:rPr>
          <w:rFonts w:cs="Times New Roman"/>
          <w:lang w:val="en-GB"/>
        </w:rPr>
        <w:lastRenderedPageBreak/>
        <w:t>Financ. Stud. 14, 943–977.</w:t>
      </w:r>
    </w:p>
    <w:p w14:paraId="4F1C931C" w14:textId="77340E1B" w:rsidR="00016D87" w:rsidRPr="00FD3EE9" w:rsidRDefault="00016D87" w:rsidP="00016D87">
      <w:pPr>
        <w:pStyle w:val="11"/>
        <w:ind w:firstLine="480"/>
        <w:rPr>
          <w:rFonts w:cs="Times New Roman"/>
          <w:lang w:val="en-GB"/>
        </w:rPr>
      </w:pPr>
      <w:r w:rsidRPr="00FD3EE9">
        <w:rPr>
          <w:rFonts w:cs="Times New Roman"/>
          <w:lang w:val="en-GB"/>
        </w:rPr>
        <w:t>Gao, L., Kling, G., 2012. The impact of corporate governance and external audit on compliance to mandatory disclosure requirements in China. J. Int. Account. Audit. Tax. 21, 17–31.</w:t>
      </w:r>
    </w:p>
    <w:p w14:paraId="230E0A56" w14:textId="59A6E75B" w:rsidR="00D52D3B" w:rsidRPr="00FD3EE9" w:rsidRDefault="00D52D3B" w:rsidP="00016D87">
      <w:pPr>
        <w:pStyle w:val="11"/>
        <w:ind w:firstLine="480"/>
        <w:rPr>
          <w:rFonts w:cs="Times New Roman"/>
          <w:lang w:val="en-GB"/>
        </w:rPr>
      </w:pPr>
      <w:r w:rsidRPr="00FD3EE9">
        <w:rPr>
          <w:rFonts w:cs="Times New Roman"/>
          <w:lang w:val="en-GB"/>
        </w:rPr>
        <w:t>Gao, L., Kling, G., 2008. Equity transfers and market reactions: Evidence from Chinese stock markets, Journal of Emerging Market Finance 7(3), 293-308.</w:t>
      </w:r>
    </w:p>
    <w:p w14:paraId="1644714A" w14:textId="77777777" w:rsidR="00016D87" w:rsidRPr="00FD3EE9" w:rsidRDefault="00016D87" w:rsidP="00016D87">
      <w:pPr>
        <w:pStyle w:val="11"/>
        <w:ind w:firstLine="480"/>
        <w:rPr>
          <w:rFonts w:cs="Times New Roman"/>
          <w:lang w:val="en-GB"/>
        </w:rPr>
      </w:pPr>
      <w:r w:rsidRPr="00FD3EE9">
        <w:rPr>
          <w:rFonts w:cs="Times New Roman"/>
          <w:lang w:val="en-GB"/>
        </w:rPr>
        <w:t>Gao, L., Kling, G., 2006. Regulatory changes and market liquidity in Chinese stock markets. Emerg. Mark. Rev. 7, 162–175.</w:t>
      </w:r>
    </w:p>
    <w:p w14:paraId="5ABAEEBC" w14:textId="77777777" w:rsidR="00016D87" w:rsidRPr="00FD3EE9" w:rsidRDefault="00016D87" w:rsidP="00016D87">
      <w:pPr>
        <w:pStyle w:val="11"/>
        <w:ind w:firstLine="480"/>
        <w:rPr>
          <w:rFonts w:cs="Times New Roman"/>
          <w:lang w:val="en-GB"/>
        </w:rPr>
      </w:pPr>
      <w:r w:rsidRPr="00FD3EE9">
        <w:rPr>
          <w:rFonts w:cs="Times New Roman"/>
          <w:lang w:val="en-GB"/>
        </w:rPr>
        <w:t>Goranova, M.L., Priem, R.L., Ndofor, H.A., Trahms, C.A., 2017. Is there a “Dark Side” to Monitoring? B oard and Shareholder Monitoring Effects on M&amp;amp;A Performance Extremeness. Strateg. Manag. J. 38, 2285–2297.</w:t>
      </w:r>
    </w:p>
    <w:p w14:paraId="50658DBE" w14:textId="77777777" w:rsidR="00016D87" w:rsidRPr="00FD3EE9" w:rsidRDefault="00016D87" w:rsidP="00016D87">
      <w:pPr>
        <w:pStyle w:val="11"/>
        <w:ind w:firstLine="480"/>
        <w:rPr>
          <w:rFonts w:cs="Times New Roman"/>
          <w:lang w:val="en-GB"/>
        </w:rPr>
      </w:pPr>
      <w:r w:rsidRPr="00FD3EE9">
        <w:rPr>
          <w:rFonts w:cs="Times New Roman"/>
          <w:lang w:val="en-GB"/>
        </w:rPr>
        <w:t>Grinstein, Y., Hribar, P., 2004. CEO compensation and incentives: Evidence from M&amp;A bonuses. J. Financ. Econ. 73, 119–143.</w:t>
      </w:r>
    </w:p>
    <w:p w14:paraId="62FB9DFE" w14:textId="77777777" w:rsidR="00016D87" w:rsidRPr="00FD3EE9" w:rsidRDefault="00016D87" w:rsidP="00016D87">
      <w:pPr>
        <w:pStyle w:val="11"/>
        <w:ind w:firstLine="480"/>
        <w:rPr>
          <w:rFonts w:cs="Times New Roman"/>
          <w:lang w:val="en-GB"/>
        </w:rPr>
      </w:pPr>
      <w:r w:rsidRPr="00FD3EE9">
        <w:rPr>
          <w:rFonts w:cs="Times New Roman"/>
          <w:lang w:val="en-GB"/>
        </w:rPr>
        <w:t>Gugler, K., Mueller, D.C., Yurtoglu, B.B., Zulehner, C., 2003. The effects of mergers: an international comparison. Int. J. Ind. Organ. 21, 625–653.</w:t>
      </w:r>
    </w:p>
    <w:p w14:paraId="69E90FA8" w14:textId="77777777" w:rsidR="00016D87" w:rsidRPr="00FD3EE9" w:rsidRDefault="00016D87" w:rsidP="00016D87">
      <w:pPr>
        <w:pStyle w:val="11"/>
        <w:ind w:firstLine="480"/>
        <w:rPr>
          <w:rFonts w:cs="Times New Roman"/>
          <w:lang w:val="en-GB"/>
        </w:rPr>
      </w:pPr>
      <w:r w:rsidRPr="00FD3EE9">
        <w:rPr>
          <w:rFonts w:cs="Times New Roman"/>
          <w:lang w:val="en-GB"/>
        </w:rPr>
        <w:t>Haleblian, J., Devers, C.E., McNamara, G., Carpenter, M.A., Davison, R.B., 2009. Taking stock of what we know about mergers and acquisitions: A review and research agenda. J. Manag. 35, 469–502.</w:t>
      </w:r>
    </w:p>
    <w:p w14:paraId="2D0A9FEF" w14:textId="77777777" w:rsidR="00016D87" w:rsidRPr="00FD3EE9" w:rsidRDefault="00016D87" w:rsidP="00016D87">
      <w:pPr>
        <w:pStyle w:val="11"/>
        <w:ind w:firstLine="480"/>
        <w:rPr>
          <w:rFonts w:cs="Times New Roman"/>
          <w:lang w:val="en-GB"/>
        </w:rPr>
      </w:pPr>
      <w:r w:rsidRPr="00FD3EE9">
        <w:rPr>
          <w:rFonts w:cs="Times New Roman"/>
          <w:lang w:val="en-GB"/>
        </w:rPr>
        <w:t>Hall, B.J., Murphy, K.J., 2002. Stock options for undiversified executives. J. Account. Econ. 33, 3–42.</w:t>
      </w:r>
    </w:p>
    <w:p w14:paraId="0BA66FFD" w14:textId="77777777" w:rsidR="00016D87" w:rsidRPr="00FD3EE9" w:rsidRDefault="00016D87" w:rsidP="00016D87">
      <w:pPr>
        <w:pStyle w:val="11"/>
        <w:ind w:firstLine="480"/>
        <w:rPr>
          <w:rFonts w:cs="Times New Roman"/>
          <w:lang w:val="en-GB"/>
        </w:rPr>
      </w:pPr>
      <w:r w:rsidRPr="00FD3EE9">
        <w:rPr>
          <w:rFonts w:cs="Times New Roman"/>
          <w:lang w:val="en-GB"/>
        </w:rPr>
        <w:t>Harrison, J.S., Hitt, M.A., Hoskisson, R.E., Ireland, R.D., 1991. Synergies and post-acquisition performance: Differences versus similarities in resource allocations. J. Manag. 17, 173–190.</w:t>
      </w:r>
    </w:p>
    <w:p w14:paraId="0B23006D" w14:textId="77777777" w:rsidR="00016D87" w:rsidRPr="00FD3EE9" w:rsidRDefault="00016D87" w:rsidP="00016D87">
      <w:pPr>
        <w:pStyle w:val="11"/>
        <w:ind w:firstLine="480"/>
        <w:rPr>
          <w:rFonts w:cs="Times New Roman"/>
          <w:lang w:val="en-GB"/>
        </w:rPr>
      </w:pPr>
      <w:r w:rsidRPr="00FD3EE9">
        <w:rPr>
          <w:rFonts w:cs="Times New Roman"/>
          <w:lang w:val="en-GB"/>
        </w:rPr>
        <w:t>Jensen, M.C., 1986. Agency costs of free cash flow, corporate finance, and takeovers. Am. Econ. Rev. 76, 323–329.</w:t>
      </w:r>
    </w:p>
    <w:p w14:paraId="58D3FBF6" w14:textId="77777777" w:rsidR="00016D87" w:rsidRPr="00FD3EE9" w:rsidRDefault="00016D87" w:rsidP="00016D87">
      <w:pPr>
        <w:pStyle w:val="11"/>
        <w:ind w:firstLine="480"/>
        <w:rPr>
          <w:rFonts w:cs="Times New Roman"/>
          <w:lang w:val="en-GB"/>
        </w:rPr>
      </w:pPr>
      <w:r w:rsidRPr="00FD3EE9">
        <w:rPr>
          <w:rFonts w:cs="Times New Roman"/>
          <w:lang w:val="en-GB"/>
        </w:rPr>
        <w:t>Jensen, M.C., Meckling, W.H., 1976. Theory of the firm: Managerial behavior, agency costs and ownership structure. J. Financ. Econ. 3, 305–360.</w:t>
      </w:r>
    </w:p>
    <w:p w14:paraId="5775E635" w14:textId="77777777" w:rsidR="00016D87" w:rsidRPr="00FD3EE9" w:rsidRDefault="00016D87" w:rsidP="00016D87">
      <w:pPr>
        <w:pStyle w:val="11"/>
        <w:ind w:firstLine="480"/>
        <w:rPr>
          <w:rFonts w:cs="Times New Roman"/>
          <w:lang w:val="en-GB"/>
        </w:rPr>
      </w:pPr>
      <w:r w:rsidRPr="00FD3EE9">
        <w:rPr>
          <w:rFonts w:cs="Times New Roman"/>
          <w:lang w:val="en-GB"/>
        </w:rPr>
        <w:t>Jensen, M.C., Ruback, R.S., 1983. The market for corporate control: The scientific evidence. J. Financ. Econ. 11, 5–50.</w:t>
      </w:r>
    </w:p>
    <w:p w14:paraId="610D50ED" w14:textId="77777777" w:rsidR="00016D87" w:rsidRPr="00FD3EE9" w:rsidRDefault="00016D87" w:rsidP="00016D87">
      <w:pPr>
        <w:pStyle w:val="11"/>
        <w:ind w:firstLine="480"/>
        <w:rPr>
          <w:rFonts w:cs="Times New Roman"/>
          <w:lang w:val="en-GB"/>
        </w:rPr>
      </w:pPr>
      <w:r w:rsidRPr="00FD3EE9">
        <w:rPr>
          <w:rFonts w:cs="Times New Roman"/>
          <w:lang w:val="en-GB"/>
        </w:rPr>
        <w:t>Jenter, D., 2002. Executive compensation, incentives, and risk.</w:t>
      </w:r>
    </w:p>
    <w:p w14:paraId="56E66D7C" w14:textId="77777777" w:rsidR="00016D87" w:rsidRPr="00FD3EE9" w:rsidRDefault="00016D87" w:rsidP="00016D87">
      <w:pPr>
        <w:pStyle w:val="11"/>
        <w:ind w:firstLine="480"/>
        <w:rPr>
          <w:rFonts w:cs="Times New Roman"/>
          <w:lang w:val="en-GB"/>
        </w:rPr>
      </w:pPr>
      <w:r w:rsidRPr="00FD3EE9">
        <w:rPr>
          <w:rFonts w:cs="Times New Roman"/>
          <w:lang w:val="en-GB"/>
        </w:rPr>
        <w:t>Jiang, L., Kling, G., Bo, H., Driver, C., 2017. Why do firms adopt stock options and who benefits? A natural experiment in China. Pac.-Basin Finance J. 46, 124–140.</w:t>
      </w:r>
    </w:p>
    <w:p w14:paraId="610322A2" w14:textId="77777777" w:rsidR="00016D87" w:rsidRPr="00FD3EE9" w:rsidRDefault="00016D87" w:rsidP="00016D87">
      <w:pPr>
        <w:pStyle w:val="11"/>
        <w:ind w:firstLine="480"/>
        <w:rPr>
          <w:rFonts w:cs="Times New Roman"/>
          <w:lang w:val="en-GB"/>
        </w:rPr>
      </w:pPr>
      <w:r w:rsidRPr="00FD3EE9">
        <w:rPr>
          <w:rFonts w:cs="Times New Roman"/>
          <w:lang w:val="en-GB"/>
        </w:rPr>
        <w:t xml:space="preserve">Johnson, R.A., Hoskisson, R.E., Hitt, M.A., 1993. Board of director involvement </w:t>
      </w:r>
      <w:r w:rsidRPr="00FD3EE9">
        <w:rPr>
          <w:rFonts w:cs="Times New Roman"/>
          <w:lang w:val="en-GB"/>
        </w:rPr>
        <w:lastRenderedPageBreak/>
        <w:t>in restructuring: The effects of board versus managerial controls and characteristics. Strateg. Manag. J. 14, 33–50.</w:t>
      </w:r>
    </w:p>
    <w:p w14:paraId="505492F7" w14:textId="77777777" w:rsidR="00016D87" w:rsidRPr="00FD3EE9" w:rsidRDefault="00016D87" w:rsidP="00016D87">
      <w:pPr>
        <w:pStyle w:val="11"/>
        <w:ind w:firstLine="480"/>
        <w:rPr>
          <w:rFonts w:cs="Times New Roman"/>
          <w:lang w:val="en-GB"/>
        </w:rPr>
      </w:pPr>
      <w:r w:rsidRPr="00FD3EE9">
        <w:rPr>
          <w:rFonts w:cs="Times New Roman"/>
          <w:lang w:val="en-GB"/>
        </w:rPr>
        <w:t>Kling, G., Weitzel, U., 2011. The internationalization of Chinese companies: firm characteristics, industry effects and corporate governance. Res. Int. Bus. Finance 25, 357–372.</w:t>
      </w:r>
    </w:p>
    <w:p w14:paraId="57970012" w14:textId="77777777" w:rsidR="00016D87" w:rsidRPr="00FD3EE9" w:rsidRDefault="00016D87" w:rsidP="00016D87">
      <w:pPr>
        <w:pStyle w:val="11"/>
        <w:ind w:firstLine="480"/>
        <w:rPr>
          <w:rFonts w:cs="Times New Roman"/>
          <w:lang w:val="en-GB"/>
        </w:rPr>
      </w:pPr>
      <w:r w:rsidRPr="00FD3EE9">
        <w:rPr>
          <w:rFonts w:cs="Times New Roman"/>
          <w:lang w:val="en-GB"/>
        </w:rPr>
        <w:t>Lang, L.H., Stulz, R., Walkling, R.A., 1991. A test of the free cash flow hypothesis: The case of bidder returns. J. Financ. Econ. 29, 315–335.</w:t>
      </w:r>
    </w:p>
    <w:p w14:paraId="56EA936C" w14:textId="77777777" w:rsidR="00016D87" w:rsidRPr="00FD3EE9" w:rsidRDefault="00016D87" w:rsidP="00016D87">
      <w:pPr>
        <w:pStyle w:val="11"/>
        <w:ind w:firstLine="480"/>
        <w:rPr>
          <w:rFonts w:cs="Times New Roman"/>
          <w:lang w:val="en-GB"/>
        </w:rPr>
      </w:pPr>
      <w:r w:rsidRPr="00FD3EE9">
        <w:rPr>
          <w:rFonts w:cs="Times New Roman"/>
          <w:lang w:val="en-GB"/>
        </w:rPr>
        <w:t>Lewellen, W., Loderer, C., Rosenfeld, A., 1985. Merger decisions and executive stock ownership in acquiring firms. J. Account. Econ. 7, 209–231.</w:t>
      </w:r>
    </w:p>
    <w:p w14:paraId="00266AC2" w14:textId="77777777" w:rsidR="00016D87" w:rsidRPr="00FD3EE9" w:rsidRDefault="00016D87" w:rsidP="00016D87">
      <w:pPr>
        <w:pStyle w:val="11"/>
        <w:ind w:firstLine="480"/>
        <w:rPr>
          <w:rFonts w:cs="Times New Roman"/>
          <w:lang w:val="en-GB"/>
        </w:rPr>
      </w:pPr>
      <w:r w:rsidRPr="00FD3EE9">
        <w:rPr>
          <w:rFonts w:cs="Times New Roman"/>
          <w:lang w:val="en-GB"/>
        </w:rPr>
        <w:t>Loderer, C., Martin, K., 1992. Postacquisition performance of acquiring firms. Financ. Manag. 69–79.</w:t>
      </w:r>
    </w:p>
    <w:p w14:paraId="5CDA43C1" w14:textId="77777777" w:rsidR="00016D87" w:rsidRPr="00FD3EE9" w:rsidRDefault="00016D87" w:rsidP="00016D87">
      <w:pPr>
        <w:pStyle w:val="11"/>
        <w:ind w:firstLine="480"/>
        <w:rPr>
          <w:rFonts w:cs="Times New Roman"/>
          <w:lang w:val="en-GB"/>
        </w:rPr>
      </w:pPr>
      <w:r w:rsidRPr="00FD3EE9">
        <w:rPr>
          <w:rFonts w:cs="Times New Roman"/>
          <w:lang w:val="en-GB"/>
        </w:rPr>
        <w:t>Loughran, T., Vijh, A.M., 1997. Do long-term shareholders benefit from corporate acquisitions? J. Finance 52, 1765–1790.</w:t>
      </w:r>
    </w:p>
    <w:p w14:paraId="3C66348F" w14:textId="77777777" w:rsidR="00016D87" w:rsidRPr="00FD3EE9" w:rsidRDefault="00016D87" w:rsidP="00016D87">
      <w:pPr>
        <w:pStyle w:val="11"/>
        <w:ind w:firstLine="480"/>
        <w:rPr>
          <w:rFonts w:cs="Times New Roman"/>
          <w:lang w:val="en-GB"/>
        </w:rPr>
      </w:pPr>
      <w:r w:rsidRPr="00FD3EE9">
        <w:rPr>
          <w:rFonts w:cs="Times New Roman"/>
          <w:lang w:val="en-GB"/>
        </w:rPr>
        <w:t>Mehran, H., 1995. Executive compensation structure, ownership, and firm performance. J. Financ. Econ. 38, 163–184.</w:t>
      </w:r>
    </w:p>
    <w:p w14:paraId="37FB13F6" w14:textId="77777777" w:rsidR="00016D87" w:rsidRPr="00FD3EE9" w:rsidRDefault="00016D87" w:rsidP="00016D87">
      <w:pPr>
        <w:pStyle w:val="11"/>
        <w:ind w:firstLine="480"/>
        <w:rPr>
          <w:rFonts w:cs="Times New Roman"/>
          <w:lang w:val="en-GB"/>
        </w:rPr>
      </w:pPr>
      <w:r w:rsidRPr="00FD3EE9">
        <w:rPr>
          <w:rFonts w:cs="Times New Roman"/>
          <w:lang w:val="en-GB"/>
        </w:rPr>
        <w:t>Meyer, K., Peng, M., 2016. International business. Cengage Learning EMEA; 2 edition.</w:t>
      </w:r>
    </w:p>
    <w:p w14:paraId="36399F2E" w14:textId="77777777" w:rsidR="00016D87" w:rsidRPr="00FD3EE9" w:rsidRDefault="00016D87" w:rsidP="00016D87">
      <w:pPr>
        <w:pStyle w:val="11"/>
        <w:ind w:firstLine="480"/>
        <w:rPr>
          <w:rFonts w:cs="Times New Roman"/>
          <w:lang w:val="en-GB"/>
        </w:rPr>
      </w:pPr>
      <w:r w:rsidRPr="00FD3EE9">
        <w:rPr>
          <w:rFonts w:cs="Times New Roman"/>
          <w:lang w:val="en-GB"/>
        </w:rPr>
        <w:t>Meyer, Klaus, Peng, M.W., 2016. International business. Cengage Learning.</w:t>
      </w:r>
    </w:p>
    <w:p w14:paraId="5B9C873E" w14:textId="77777777" w:rsidR="00016D87" w:rsidRPr="00FD3EE9" w:rsidRDefault="00016D87" w:rsidP="00016D87">
      <w:pPr>
        <w:pStyle w:val="11"/>
        <w:ind w:firstLine="480"/>
        <w:rPr>
          <w:rFonts w:cs="Times New Roman"/>
          <w:lang w:val="en-GB"/>
        </w:rPr>
      </w:pPr>
      <w:r w:rsidRPr="00FD3EE9">
        <w:rPr>
          <w:rFonts w:cs="Times New Roman"/>
          <w:lang w:val="en-GB"/>
        </w:rPr>
        <w:t>Morck, R., Shleifer, A., Vishny, R.W., 1990. Do managerial objectives drive bad acquisitions? J. Finance 45, 31–48.</w:t>
      </w:r>
    </w:p>
    <w:p w14:paraId="1EFD4611" w14:textId="77777777" w:rsidR="00016D87" w:rsidRPr="00FD3EE9" w:rsidRDefault="00016D87" w:rsidP="00016D87">
      <w:pPr>
        <w:pStyle w:val="11"/>
        <w:ind w:firstLine="480"/>
        <w:rPr>
          <w:rFonts w:cs="Times New Roman"/>
          <w:lang w:val="en-GB"/>
        </w:rPr>
      </w:pPr>
      <w:r w:rsidRPr="00FD3EE9">
        <w:rPr>
          <w:rFonts w:cs="Times New Roman"/>
          <w:lang w:val="en-GB"/>
        </w:rPr>
        <w:t>Morck, R., Shleifer, A., Vishny, R.W., 1988. Management ownership and market valuation: An empirical analysis. J. Financ. Econ. 20, 293–315.</w:t>
      </w:r>
    </w:p>
    <w:p w14:paraId="7575CD45" w14:textId="77777777" w:rsidR="00016D87" w:rsidRPr="00FD3EE9" w:rsidRDefault="00016D87" w:rsidP="00016D87">
      <w:pPr>
        <w:pStyle w:val="11"/>
        <w:ind w:firstLine="480"/>
        <w:rPr>
          <w:rFonts w:cs="Times New Roman"/>
          <w:lang w:val="en-GB"/>
        </w:rPr>
      </w:pPr>
      <w:r w:rsidRPr="00FD3EE9">
        <w:rPr>
          <w:rFonts w:cs="Times New Roman"/>
          <w:lang w:val="en-GB"/>
        </w:rPr>
        <w:t>Murphy, K.J., 2013. Executive compensation: Where we are, and how we got there, in: Handbook of the Economics of Finance. Elsevier, pp. 211–356.</w:t>
      </w:r>
    </w:p>
    <w:p w14:paraId="0B19BDDC" w14:textId="77777777" w:rsidR="00016D87" w:rsidRPr="00FD3EE9" w:rsidRDefault="00016D87" w:rsidP="00016D87">
      <w:pPr>
        <w:pStyle w:val="11"/>
        <w:ind w:firstLine="480"/>
        <w:rPr>
          <w:rFonts w:cs="Times New Roman"/>
          <w:lang w:val="en-GB"/>
        </w:rPr>
      </w:pPr>
      <w:r w:rsidRPr="00FD3EE9">
        <w:rPr>
          <w:rFonts w:cs="Times New Roman"/>
          <w:lang w:val="en-GB"/>
        </w:rPr>
        <w:t>Rhodes–Kropf, M., Robinson, D.T., Viswanathan, S., 2005. Valuation waves and merger activity: The empirical evidence. J. Financ. Econ. 77, 561–603.</w:t>
      </w:r>
    </w:p>
    <w:p w14:paraId="75954D6D" w14:textId="77777777" w:rsidR="00016D87" w:rsidRPr="00FD3EE9" w:rsidRDefault="00016D87" w:rsidP="00016D87">
      <w:pPr>
        <w:pStyle w:val="11"/>
        <w:ind w:firstLine="480"/>
        <w:rPr>
          <w:rFonts w:cs="Times New Roman"/>
          <w:lang w:val="en-GB"/>
        </w:rPr>
      </w:pPr>
      <w:r w:rsidRPr="00FD3EE9">
        <w:rPr>
          <w:rFonts w:cs="Times New Roman"/>
          <w:lang w:val="en-GB"/>
        </w:rPr>
        <w:t>Roll, R., 1986. The hubris hypothesis of corporate takeovers. J. Bus. 197–216.</w:t>
      </w:r>
    </w:p>
    <w:p w14:paraId="7BC84AC0" w14:textId="77777777" w:rsidR="00016D87" w:rsidRPr="00FD3EE9" w:rsidRDefault="00016D87" w:rsidP="00016D87">
      <w:pPr>
        <w:pStyle w:val="11"/>
        <w:ind w:firstLine="480"/>
        <w:rPr>
          <w:rFonts w:cs="Times New Roman"/>
          <w:lang w:val="en-GB"/>
        </w:rPr>
      </w:pPr>
      <w:r w:rsidRPr="00FD3EE9">
        <w:rPr>
          <w:rFonts w:cs="Times New Roman"/>
          <w:lang w:val="en-GB"/>
        </w:rPr>
        <w:t>Sanders, W.G., 2001. Behavioral responses of CEOs to stock ownership and stock option pay. Acad. Manage. J. 44, 477–492.</w:t>
      </w:r>
    </w:p>
    <w:p w14:paraId="4DE8A734" w14:textId="77777777" w:rsidR="00016D87" w:rsidRPr="00FD3EE9" w:rsidRDefault="00016D87" w:rsidP="00016D87">
      <w:pPr>
        <w:pStyle w:val="11"/>
        <w:ind w:firstLine="480"/>
        <w:rPr>
          <w:rFonts w:cs="Times New Roman"/>
          <w:lang w:val="en-GB"/>
        </w:rPr>
      </w:pPr>
      <w:r w:rsidRPr="00FD3EE9">
        <w:rPr>
          <w:rFonts w:cs="Times New Roman"/>
          <w:lang w:val="en-GB"/>
        </w:rPr>
        <w:t>Schmidt, D.R., Fowler, K.L., 1990. Post-acquisition financial performance and executive compensation. Strateg. Manag. J. 11, 559–569.</w:t>
      </w:r>
    </w:p>
    <w:p w14:paraId="71634EAE" w14:textId="77777777" w:rsidR="00016D87" w:rsidRPr="00FD3EE9" w:rsidRDefault="00016D87" w:rsidP="00016D87">
      <w:pPr>
        <w:pStyle w:val="11"/>
        <w:ind w:firstLine="480"/>
        <w:rPr>
          <w:rFonts w:cs="Times New Roman"/>
          <w:lang w:val="en-GB"/>
        </w:rPr>
      </w:pPr>
      <w:r w:rsidRPr="00FD3EE9">
        <w:rPr>
          <w:rFonts w:cs="Times New Roman"/>
          <w:lang w:val="en-GB"/>
        </w:rPr>
        <w:t>Shleifer, A., Vishny, R.W., 1997. A survey of corporate governance. J. Finance 52, 737–783.</w:t>
      </w:r>
    </w:p>
    <w:p w14:paraId="09CE4C6B" w14:textId="77777777" w:rsidR="00016D87" w:rsidRPr="00FD3EE9" w:rsidRDefault="00016D87" w:rsidP="00016D87">
      <w:pPr>
        <w:pStyle w:val="11"/>
        <w:ind w:firstLine="480"/>
        <w:rPr>
          <w:rFonts w:cs="Times New Roman"/>
          <w:lang w:val="en-GB"/>
        </w:rPr>
      </w:pPr>
      <w:r w:rsidRPr="00FD3EE9">
        <w:rPr>
          <w:rFonts w:cs="Times New Roman"/>
          <w:lang w:val="en-GB"/>
        </w:rPr>
        <w:lastRenderedPageBreak/>
        <w:t>Shue, K., Townsend, R.R., 2017. How do quasi-random option grants affect CEO risk-taking? J. Finance 72, 2551–2588.</w:t>
      </w:r>
    </w:p>
    <w:p w14:paraId="56048DCA" w14:textId="77777777" w:rsidR="00B23A6E" w:rsidRPr="00FD3EE9" w:rsidRDefault="00B23A6E" w:rsidP="00B23A6E">
      <w:pPr>
        <w:pStyle w:val="11"/>
        <w:ind w:firstLine="480"/>
        <w:rPr>
          <w:rFonts w:cs="Times New Roman"/>
          <w:lang w:val="en-GB"/>
        </w:rPr>
      </w:pPr>
      <w:r w:rsidRPr="00FD3EE9">
        <w:rPr>
          <w:rFonts w:cs="Times New Roman"/>
          <w:lang w:val="en-GB"/>
        </w:rPr>
        <w:t>Weitzel, U., Kling, G., 2018. Sold below value? Why takeover offers can have negative premiums. Financial Management 47(2), 421--450.</w:t>
      </w:r>
    </w:p>
    <w:p w14:paraId="4A566B3A" w14:textId="77777777" w:rsidR="00016D87" w:rsidRPr="00FD3EE9" w:rsidRDefault="00016D87" w:rsidP="00016D87">
      <w:pPr>
        <w:pStyle w:val="11"/>
        <w:ind w:firstLine="480"/>
        <w:rPr>
          <w:rFonts w:cs="Times New Roman"/>
          <w:lang w:val="en-GB"/>
        </w:rPr>
      </w:pPr>
      <w:r w:rsidRPr="00FD3EE9">
        <w:rPr>
          <w:rFonts w:cs="Times New Roman"/>
          <w:lang w:val="en-GB"/>
        </w:rPr>
        <w:t>Wright, P., Kroll, M., Lado, A., Van Ness, B., 2002. The structure of ownership and corporate acquisition strategies. Strateg. Manag. J. 23, 41–53.</w:t>
      </w:r>
    </w:p>
    <w:p w14:paraId="705C7F69" w14:textId="20CE4294" w:rsidR="00016D87" w:rsidRPr="00FD3EE9" w:rsidRDefault="00016D87" w:rsidP="00016D87">
      <w:pPr>
        <w:pStyle w:val="11"/>
        <w:ind w:firstLine="480"/>
        <w:rPr>
          <w:rFonts w:cs="Times New Roman"/>
          <w:lang w:val="en-GB"/>
        </w:rPr>
      </w:pPr>
      <w:r w:rsidRPr="00FD3EE9">
        <w:rPr>
          <w:rFonts w:cs="Times New Roman"/>
          <w:lang w:val="en-GB"/>
        </w:rPr>
        <w:t xml:space="preserve">Yang, J., Guariglia, A., Guo, J.M., 2019. </w:t>
      </w:r>
      <w:r w:rsidR="00264FF3" w:rsidRPr="00FD3EE9">
        <w:rPr>
          <w:rFonts w:cs="Times New Roman"/>
          <w:lang w:val="en-GB"/>
        </w:rPr>
        <w:t>To what extent does corporate liquidity affect M&amp;A decisions, method of payment and performance? Evidence from China</w:t>
      </w:r>
      <w:r w:rsidRPr="00FD3EE9">
        <w:rPr>
          <w:rFonts w:cs="Times New Roman"/>
          <w:lang w:val="en-GB"/>
        </w:rPr>
        <w:t>. J. Corp. Finance 54, 128–152.</w:t>
      </w:r>
    </w:p>
    <w:p w14:paraId="12D53174" w14:textId="14007011" w:rsidR="00D229F5" w:rsidRPr="00FD3EE9" w:rsidRDefault="00996EDC" w:rsidP="00842BD5">
      <w:pPr>
        <w:ind w:firstLineChars="200" w:firstLine="480"/>
        <w:jc w:val="left"/>
      </w:pPr>
      <w:r w:rsidRPr="00FD3EE9">
        <w:fldChar w:fldCharType="end"/>
      </w:r>
      <w:r w:rsidR="00D229F5" w:rsidRPr="00FD3EE9">
        <w:br w:type="page"/>
      </w:r>
    </w:p>
    <w:p w14:paraId="2ADB31F7" w14:textId="17B6D4A8" w:rsidR="00E745B7" w:rsidRPr="00FD3EE9" w:rsidRDefault="00E745B7" w:rsidP="0085750E">
      <w:pPr>
        <w:pStyle w:val="a4"/>
        <w:rPr>
          <w:rFonts w:ascii="Times New Roman" w:hAnsi="Times New Roman" w:cs="Times New Roman"/>
          <w:sz w:val="24"/>
        </w:rPr>
      </w:pPr>
      <w:r w:rsidRPr="00FD3EE9">
        <w:rPr>
          <w:rFonts w:ascii="Times New Roman" w:hAnsi="Times New Roman" w:cs="Times New Roman"/>
          <w:sz w:val="24"/>
        </w:rPr>
        <w:lastRenderedPageBreak/>
        <w:t>Appendix</w:t>
      </w:r>
      <w:r w:rsidR="000C2F48" w:rsidRPr="00FD3EE9">
        <w:rPr>
          <w:rFonts w:ascii="Times New Roman" w:hAnsi="Times New Roman" w:cs="Times New Roman"/>
          <w:sz w:val="24"/>
        </w:rPr>
        <w:t>:</w:t>
      </w:r>
      <w:r w:rsidRPr="00FD3EE9">
        <w:rPr>
          <w:rFonts w:ascii="Times New Roman" w:hAnsi="Times New Roman" w:cs="Times New Roman"/>
          <w:sz w:val="24"/>
        </w:rPr>
        <w:t xml:space="preserve"> </w:t>
      </w:r>
      <w:r w:rsidR="00825A2B" w:rsidRPr="00FD3EE9">
        <w:rPr>
          <w:rFonts w:ascii="Times New Roman" w:hAnsi="Times New Roman" w:cs="Times New Roman"/>
          <w:sz w:val="24"/>
        </w:rPr>
        <w:t>Equations</w:t>
      </w:r>
    </w:p>
    <w:p w14:paraId="1F2344FD" w14:textId="271A6D09" w:rsidR="000C2F48" w:rsidRPr="00FD3EE9" w:rsidRDefault="000C2F48" w:rsidP="0085750E"/>
    <w:p w14:paraId="73BFD2AD" w14:textId="2E913021" w:rsidR="000C2F48" w:rsidRPr="00FD3EE9" w:rsidRDefault="000C2F48" w:rsidP="007B6FD5">
      <w:pPr>
        <w:ind w:firstLineChars="200" w:firstLine="480"/>
        <w:rPr>
          <w:rFonts w:cs="Times New Roman"/>
        </w:rPr>
      </w:pPr>
      <w:r w:rsidRPr="00FD3EE9">
        <w:t xml:space="preserve">To test Hypotheses 1a, 1b, and 2, we use the following regression model, </w:t>
      </w:r>
      <w:r w:rsidRPr="00FD3EE9">
        <w:rPr>
          <w:rFonts w:cs="Times New Roman"/>
        </w:rPr>
        <w:t xml:space="preserve">where the dependent variable </w:t>
      </w:r>
      <w:proofErr w:type="spellStart"/>
      <w:r w:rsidRPr="00FD3EE9">
        <w:rPr>
          <w:rFonts w:cs="Times New Roman"/>
          <w:i/>
        </w:rPr>
        <w:t>Acquisition</w:t>
      </w:r>
      <w:r w:rsidRPr="00FD3EE9">
        <w:rPr>
          <w:rFonts w:cs="Times New Roman"/>
          <w:i/>
          <w:vertAlign w:val="subscript"/>
        </w:rPr>
        <w:t>i,t</w:t>
      </w:r>
      <w:proofErr w:type="spellEnd"/>
      <w:r w:rsidRPr="00FD3EE9">
        <w:rPr>
          <w:rFonts w:cs="Times New Roman"/>
          <w:i/>
        </w:rPr>
        <w:t xml:space="preserve"> </w:t>
      </w:r>
      <w:r w:rsidRPr="00FD3EE9">
        <w:rPr>
          <w:rFonts w:cs="Times New Roman"/>
        </w:rPr>
        <w:t xml:space="preserve">is the number of acquisitions firm </w:t>
      </w:r>
      <w:proofErr w:type="spellStart"/>
      <w:r w:rsidRPr="00FD3EE9">
        <w:rPr>
          <w:rFonts w:cs="Times New Roman"/>
          <w:i/>
        </w:rPr>
        <w:t>i</w:t>
      </w:r>
      <w:proofErr w:type="spellEnd"/>
      <w:r w:rsidRPr="00FD3EE9">
        <w:rPr>
          <w:rFonts w:cs="Times New Roman"/>
        </w:rPr>
        <w:t xml:space="preserve"> undertook in year </w:t>
      </w:r>
      <w:r w:rsidRPr="00FD3EE9">
        <w:rPr>
          <w:rFonts w:cs="Times New Roman"/>
          <w:i/>
        </w:rPr>
        <w:t xml:space="preserve">t </w:t>
      </w:r>
      <w:r w:rsidRPr="00FD3EE9">
        <w:rPr>
          <w:rFonts w:cs="Times New Roman"/>
        </w:rPr>
        <w:t xml:space="preserve">and the compensation and control </w:t>
      </w:r>
      <w:r w:rsidR="00CD4E37" w:rsidRPr="00FD3EE9">
        <w:rPr>
          <w:rFonts w:cs="Times New Roman"/>
        </w:rPr>
        <w:t xml:space="preserve">variables </w:t>
      </w:r>
      <w:r w:rsidR="007B6FD5" w:rsidRPr="00FD3EE9">
        <w:rPr>
          <w:rFonts w:cs="Times New Roman"/>
        </w:rPr>
        <w:t>are lagged by one year (t-1)</w:t>
      </w:r>
      <w:r w:rsidRPr="00FD3EE9">
        <w:rPr>
          <w:rFonts w:cs="Times New Roman"/>
        </w:rPr>
        <w:t>, unless stated</w:t>
      </w:r>
      <w:r w:rsidR="00CD4E37" w:rsidRPr="00FD3EE9">
        <w:rPr>
          <w:rFonts w:cs="Times New Roman"/>
        </w:rPr>
        <w:t xml:space="preserve"> otherwise</w:t>
      </w:r>
      <w:r w:rsidRPr="00FD3EE9">
        <w:rPr>
          <w:rFonts w:cs="Times New Roman"/>
        </w:rPr>
        <w:t>. We also include the square of stock ownership to capture its anticipated non-linear</w:t>
      </w:r>
      <w:r w:rsidR="00CD4E37" w:rsidRPr="00FD3EE9">
        <w:rPr>
          <w:rFonts w:cs="Times New Roman"/>
        </w:rPr>
        <w:t xml:space="preserve"> </w:t>
      </w:r>
      <w:r w:rsidR="00BD17FE" w:rsidRPr="00FD3EE9">
        <w:rPr>
          <w:rFonts w:cs="Times New Roman"/>
        </w:rPr>
        <w:t>effect</w:t>
      </w:r>
      <w:r w:rsidRPr="00FD3EE9">
        <w:rPr>
          <w:rFonts w:cs="Times New Roman"/>
        </w:rPr>
        <w:t xml:space="preserve">. </w:t>
      </w:r>
    </w:p>
    <w:p w14:paraId="3323875C" w14:textId="77777777" w:rsidR="007B6FD5" w:rsidRPr="00FD3EE9" w:rsidRDefault="007B6FD5" w:rsidP="0085750E">
      <w:pPr>
        <w:ind w:firstLineChars="200" w:firstLine="480"/>
        <w:rPr>
          <w:rFonts w:cs="Times New Roman"/>
        </w:rPr>
      </w:pPr>
    </w:p>
    <w:p w14:paraId="448C88C7" w14:textId="77777777" w:rsidR="000C2F48" w:rsidRPr="00FD3EE9" w:rsidRDefault="009C38F8" w:rsidP="0085750E">
      <w:pPr>
        <w:ind w:firstLineChars="200" w:firstLine="480"/>
        <w:rPr>
          <w:b/>
        </w:rPr>
      </w:pPr>
      <m:oMath>
        <m:sSub>
          <m:sSubPr>
            <m:ctrlPr>
              <w:rPr>
                <w:rFonts w:ascii="Cambria Math" w:hAnsi="Cambria Math"/>
                <w:i/>
              </w:rPr>
            </m:ctrlPr>
          </m:sSubPr>
          <m:e>
            <m:r>
              <w:rPr>
                <w:rFonts w:ascii="Cambria Math" w:hAnsi="Cambria Math"/>
              </w:rPr>
              <m:t>Acquisition</m:t>
            </m:r>
          </m:e>
          <m:sub>
            <m:r>
              <w:rPr>
                <w:rFonts w:ascii="Cambria Math" w:hAnsi="Cambria Math"/>
              </w:rPr>
              <m:t>i, t</m:t>
            </m:r>
          </m:sub>
        </m:sSub>
        <m:r>
          <w:rPr>
            <w:rFonts w:ascii="Cambria Math" w:hAnsi="Cambria Math"/>
          </w:rPr>
          <m:t>=α+</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Option</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Ownership</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Sup>
          <m:sSubSupPr>
            <m:ctrlPr>
              <w:rPr>
                <w:rFonts w:ascii="Cambria Math" w:hAnsi="Cambria Math"/>
                <w:i/>
              </w:rPr>
            </m:ctrlPr>
          </m:sSubSupPr>
          <m:e>
            <m:r>
              <w:rPr>
                <w:rFonts w:ascii="Cambria Math" w:hAnsi="Cambria Math"/>
              </w:rPr>
              <m:t>Ownership</m:t>
            </m:r>
          </m:e>
          <m:sub>
            <m:r>
              <w:rPr>
                <w:rFonts w:ascii="Cambria Math" w:hAnsi="Cambria Math"/>
              </w:rPr>
              <m:t>i, t-1</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Cash Pay</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Debt to Asset Ratio</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Return on Equity</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sub>
        </m:sSub>
        <m:sSub>
          <m:sSubPr>
            <m:ctrlPr>
              <w:rPr>
                <w:rFonts w:ascii="Cambria Math" w:hAnsi="Cambria Math"/>
                <w:i/>
              </w:rPr>
            </m:ctrlPr>
          </m:sSubPr>
          <m:e>
            <m:r>
              <w:rPr>
                <w:rFonts w:ascii="Cambria Math" w:hAnsi="Cambria Math"/>
              </w:rPr>
              <m:t>Stock Return</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sSub>
          <m:sSubPr>
            <m:ctrlPr>
              <w:rPr>
                <w:rFonts w:ascii="Cambria Math" w:hAnsi="Cambria Math"/>
                <w:i/>
              </w:rPr>
            </m:ctrlPr>
          </m:sSubPr>
          <m:e>
            <m:r>
              <w:rPr>
                <w:rFonts w:ascii="Cambria Math" w:hAnsi="Cambria Math"/>
              </w:rPr>
              <m:t>Industry-specific Overvaluation</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9</m:t>
            </m:r>
          </m:sub>
        </m:sSub>
        <m:sSub>
          <m:sSubPr>
            <m:ctrlPr>
              <w:rPr>
                <w:rFonts w:ascii="Cambria Math" w:hAnsi="Cambria Math"/>
                <w:i/>
              </w:rPr>
            </m:ctrlPr>
          </m:sSubPr>
          <m:e>
            <m:r>
              <w:rPr>
                <w:rFonts w:ascii="Cambria Math" w:hAnsi="Cambria Math"/>
              </w:rPr>
              <m:t>Firm-specific Overvaluation</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10</m:t>
            </m:r>
          </m:sub>
        </m:sSub>
        <m:sSub>
          <m:sSubPr>
            <m:ctrlPr>
              <w:rPr>
                <w:rFonts w:ascii="Cambria Math" w:hAnsi="Cambria Math"/>
                <w:i/>
              </w:rPr>
            </m:ctrlPr>
          </m:sSubPr>
          <m:e>
            <m:r>
              <w:rPr>
                <w:rFonts w:ascii="Cambria Math" w:hAnsi="Cambria Math"/>
              </w:rPr>
              <m:t>Long-term Growth Expectation</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11</m:t>
            </m:r>
          </m:sub>
        </m:sSub>
        <m:sSub>
          <m:sSubPr>
            <m:ctrlPr>
              <w:rPr>
                <w:rFonts w:ascii="Cambria Math" w:hAnsi="Cambria Math"/>
                <w:i/>
              </w:rPr>
            </m:ctrlPr>
          </m:sSubPr>
          <m:e>
            <m:r>
              <w:rPr>
                <w:rFonts w:ascii="Cambria Math" w:hAnsi="Cambria Math"/>
              </w:rPr>
              <m:t>Firm Size</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12</m:t>
            </m:r>
          </m:sub>
        </m:sSub>
        <m:sSub>
          <m:sSubPr>
            <m:ctrlPr>
              <w:rPr>
                <w:rFonts w:ascii="Cambria Math" w:hAnsi="Cambria Math"/>
                <w:i/>
              </w:rPr>
            </m:ctrlPr>
          </m:sSubPr>
          <m:e>
            <m:r>
              <w:rPr>
                <w:rFonts w:ascii="Cambria Math" w:hAnsi="Cambria Math"/>
              </w:rPr>
              <m:t>Firm Growth</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13</m:t>
            </m:r>
          </m:sub>
        </m:sSub>
        <m:sSub>
          <m:sSubPr>
            <m:ctrlPr>
              <w:rPr>
                <w:rFonts w:ascii="Cambria Math" w:hAnsi="Cambria Math"/>
                <w:i/>
              </w:rPr>
            </m:ctrlPr>
          </m:sSubPr>
          <m:e>
            <m:r>
              <w:rPr>
                <w:rFonts w:ascii="Cambria Math" w:hAnsi="Cambria Math"/>
              </w:rPr>
              <m:t>M&amp;A experience</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Industry fixed effects+Year fixed effects+∈</m:t>
            </m:r>
          </m:e>
          <m:sub>
            <m:r>
              <w:rPr>
                <w:rFonts w:ascii="Cambria Math" w:hAnsi="Cambria Math"/>
              </w:rPr>
              <m:t>i,t-1</m:t>
            </m:r>
          </m:sub>
        </m:sSub>
      </m:oMath>
      <w:r w:rsidR="000C2F48" w:rsidRPr="00FD3EE9">
        <w:t xml:space="preserve">       (2)</w:t>
      </w:r>
    </w:p>
    <w:p w14:paraId="5E680CF0" w14:textId="77777777" w:rsidR="000C2F48" w:rsidRPr="00FD3EE9" w:rsidRDefault="000C2F48" w:rsidP="0085750E">
      <w:pPr>
        <w:ind w:firstLineChars="200" w:firstLine="482"/>
        <w:jc w:val="center"/>
        <w:rPr>
          <w:b/>
        </w:rPr>
      </w:pPr>
    </w:p>
    <w:p w14:paraId="5F0C6317" w14:textId="750C936F" w:rsidR="007B6FD5" w:rsidRPr="00FD3EE9" w:rsidRDefault="000C2F48" w:rsidP="007B6FD5">
      <w:pPr>
        <w:ind w:firstLineChars="200" w:firstLine="480"/>
        <w:rPr>
          <w:rFonts w:cs="Times New Roman"/>
        </w:rPr>
      </w:pPr>
      <w:r w:rsidRPr="00FD3EE9">
        <w:rPr>
          <w:rFonts w:cs="Times New Roman"/>
        </w:rPr>
        <w:t xml:space="preserve">To test </w:t>
      </w:r>
      <w:r w:rsidR="007B6FD5" w:rsidRPr="00FD3EE9">
        <w:rPr>
          <w:rFonts w:cs="Times New Roman"/>
        </w:rPr>
        <w:t>H</w:t>
      </w:r>
      <w:r w:rsidRPr="00FD3EE9">
        <w:rPr>
          <w:rFonts w:cs="Times New Roman"/>
        </w:rPr>
        <w:t>ypotheses</w:t>
      </w:r>
      <w:r w:rsidR="007B6FD5" w:rsidRPr="00FD3EE9">
        <w:rPr>
          <w:rFonts w:cs="Times New Roman"/>
        </w:rPr>
        <w:t xml:space="preserve"> 3 and 4</w:t>
      </w:r>
      <w:r w:rsidRPr="00FD3EE9">
        <w:rPr>
          <w:rFonts w:cs="Times New Roman"/>
        </w:rPr>
        <w:t xml:space="preserve">, we again use quadratic regression models to investigate the relationship between incentive compensation and </w:t>
      </w:r>
      <w:r w:rsidR="007B6FD5" w:rsidRPr="00FD3EE9">
        <w:rPr>
          <w:rFonts w:cs="Times New Roman"/>
        </w:rPr>
        <w:t>short-term</w:t>
      </w:r>
      <w:r w:rsidRPr="00FD3EE9">
        <w:rPr>
          <w:rFonts w:cs="Times New Roman"/>
        </w:rPr>
        <w:t xml:space="preserve"> post-acquisition performance</w:t>
      </w:r>
      <w:r w:rsidR="007B6FD5" w:rsidRPr="00FD3EE9">
        <w:rPr>
          <w:rFonts w:cs="Times New Roman"/>
        </w:rPr>
        <w:t xml:space="preserve"> shown in (3)</w:t>
      </w:r>
      <w:r w:rsidRPr="00FD3EE9">
        <w:rPr>
          <w:rFonts w:cs="Times New Roman"/>
        </w:rPr>
        <w:t xml:space="preserve">. </w:t>
      </w:r>
      <w:r w:rsidR="007B6FD5" w:rsidRPr="00FD3EE9">
        <w:rPr>
          <w:rFonts w:cs="Times New Roman"/>
        </w:rPr>
        <w:t>To capture long-term stock price performance, use BHRs instead of CARs.</w:t>
      </w:r>
    </w:p>
    <w:p w14:paraId="7E81004F" w14:textId="77777777" w:rsidR="007B6FD5" w:rsidRPr="00FD3EE9" w:rsidRDefault="007B6FD5" w:rsidP="0085750E">
      <w:pPr>
        <w:ind w:firstLineChars="200" w:firstLine="480"/>
        <w:rPr>
          <w:rFonts w:cs="Times New Roman"/>
        </w:rPr>
      </w:pPr>
    </w:p>
    <w:p w14:paraId="71CD288E" w14:textId="77777777" w:rsidR="007B6FD5" w:rsidRPr="00FD3EE9" w:rsidRDefault="009C38F8" w:rsidP="0085750E">
      <m:oMath>
        <m:sSub>
          <m:sSubPr>
            <m:ctrlPr>
              <w:rPr>
                <w:rFonts w:ascii="Cambria Math" w:hAnsi="Cambria Math"/>
                <w:i/>
              </w:rPr>
            </m:ctrlPr>
          </m:sSubPr>
          <m:e>
            <m:r>
              <w:rPr>
                <w:rFonts w:ascii="Cambria Math" w:hAnsi="Cambria Math"/>
              </w:rPr>
              <m:t>CARs(-2,+2)</m:t>
            </m:r>
          </m:e>
          <m:sub>
            <m:r>
              <w:rPr>
                <w:rFonts w:ascii="Cambria Math" w:hAnsi="Cambria Math"/>
              </w:rPr>
              <m:t>i, t</m:t>
            </m:r>
          </m:sub>
        </m:sSub>
        <m:r>
          <w:rPr>
            <w:rFonts w:ascii="Cambria Math" w:hAnsi="Cambria Math"/>
          </w:rPr>
          <m:t>=α+</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Option</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Ownership</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Sup>
          <m:sSubSupPr>
            <m:ctrlPr>
              <w:rPr>
                <w:rFonts w:ascii="Cambria Math" w:hAnsi="Cambria Math"/>
                <w:i/>
              </w:rPr>
            </m:ctrlPr>
          </m:sSubSupPr>
          <m:e>
            <m:r>
              <w:rPr>
                <w:rFonts w:ascii="Cambria Math" w:hAnsi="Cambria Math"/>
              </w:rPr>
              <m:t>Ownership</m:t>
            </m:r>
          </m:e>
          <m:sub>
            <m:r>
              <w:rPr>
                <w:rFonts w:ascii="Cambria Math" w:hAnsi="Cambria Math"/>
              </w:rPr>
              <m:t>i, t-1</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Cash Pay</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Industry Diversity</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Firm Size</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sub>
        </m:sSub>
        <m:sSub>
          <m:sSubPr>
            <m:ctrlPr>
              <w:rPr>
                <w:rFonts w:ascii="Cambria Math" w:hAnsi="Cambria Math"/>
                <w:i/>
              </w:rPr>
            </m:ctrlPr>
          </m:sSubPr>
          <m:e>
            <m:r>
              <w:rPr>
                <w:rFonts w:ascii="Cambria Math" w:hAnsi="Cambria Math"/>
              </w:rPr>
              <m:t>State Control</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sSub>
          <m:sSubPr>
            <m:ctrlPr>
              <w:rPr>
                <w:rFonts w:ascii="Cambria Math" w:hAnsi="Cambria Math"/>
                <w:i/>
              </w:rPr>
            </m:ctrlPr>
          </m:sSubPr>
          <m:e>
            <m:r>
              <w:rPr>
                <w:rFonts w:ascii="Cambria Math" w:hAnsi="Cambria Math"/>
              </w:rPr>
              <m:t>M&amp;A experience</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Industry fixed effects+Year fixed effects+∈</m:t>
            </m:r>
          </m:e>
          <m:sub>
            <m:r>
              <w:rPr>
                <w:rFonts w:ascii="Cambria Math" w:hAnsi="Cambria Math"/>
              </w:rPr>
              <m:t>i,t-1</m:t>
            </m:r>
          </m:sub>
        </m:sSub>
      </m:oMath>
      <w:r w:rsidR="007B6FD5" w:rsidRPr="00FD3EE9">
        <w:t xml:space="preserve">                          (3)</w:t>
      </w:r>
    </w:p>
    <w:p w14:paraId="2CA964FB" w14:textId="77777777" w:rsidR="00E745B7" w:rsidRPr="00FD3EE9" w:rsidRDefault="00E745B7" w:rsidP="00842BD5">
      <w:pPr>
        <w:ind w:firstLineChars="200" w:firstLine="482"/>
        <w:jc w:val="center"/>
        <w:rPr>
          <w:b/>
        </w:rPr>
      </w:pPr>
    </w:p>
    <w:p w14:paraId="333455A2" w14:textId="77777777" w:rsidR="00E745B7" w:rsidRPr="00FD3EE9" w:rsidRDefault="00E745B7" w:rsidP="00842BD5">
      <w:pPr>
        <w:ind w:firstLineChars="200" w:firstLine="482"/>
        <w:jc w:val="center"/>
        <w:rPr>
          <w:b/>
        </w:rPr>
      </w:pPr>
    </w:p>
    <w:p w14:paraId="39AC5276" w14:textId="77777777" w:rsidR="00E745B7" w:rsidRPr="00FD3EE9" w:rsidRDefault="00E745B7" w:rsidP="00842BD5">
      <w:pPr>
        <w:ind w:firstLineChars="200" w:firstLine="482"/>
        <w:jc w:val="center"/>
        <w:rPr>
          <w:b/>
        </w:rPr>
      </w:pPr>
    </w:p>
    <w:p w14:paraId="294EDD92" w14:textId="77777777" w:rsidR="00E745B7" w:rsidRPr="00FD3EE9" w:rsidRDefault="00E745B7" w:rsidP="00842BD5">
      <w:pPr>
        <w:ind w:firstLineChars="200" w:firstLine="482"/>
        <w:jc w:val="center"/>
        <w:rPr>
          <w:b/>
        </w:rPr>
      </w:pPr>
    </w:p>
    <w:p w14:paraId="25BC8B9B" w14:textId="77777777" w:rsidR="00E745B7" w:rsidRPr="00FD3EE9" w:rsidRDefault="00E745B7" w:rsidP="00842BD5">
      <w:pPr>
        <w:ind w:firstLineChars="200" w:firstLine="482"/>
        <w:jc w:val="center"/>
        <w:rPr>
          <w:b/>
        </w:rPr>
      </w:pPr>
    </w:p>
    <w:p w14:paraId="5A0A7345" w14:textId="77777777" w:rsidR="00E745B7" w:rsidRPr="00FD3EE9" w:rsidRDefault="00E745B7" w:rsidP="00842BD5">
      <w:pPr>
        <w:ind w:firstLineChars="200" w:firstLine="482"/>
        <w:jc w:val="center"/>
        <w:rPr>
          <w:b/>
        </w:rPr>
      </w:pPr>
    </w:p>
    <w:p w14:paraId="1B867D8F" w14:textId="35F5C19F" w:rsidR="007B6FD5" w:rsidRPr="00FD3EE9" w:rsidRDefault="007B6FD5">
      <w:pPr>
        <w:widowControl/>
        <w:jc w:val="left"/>
        <w:rPr>
          <w:b/>
        </w:rPr>
      </w:pPr>
      <w:r w:rsidRPr="00FD3EE9">
        <w:rPr>
          <w:b/>
        </w:rPr>
        <w:br w:type="page"/>
      </w:r>
    </w:p>
    <w:p w14:paraId="25324B13" w14:textId="7C289B74" w:rsidR="001A3248" w:rsidRPr="00FD3EE9" w:rsidRDefault="00877481" w:rsidP="001A3248">
      <w:pPr>
        <w:ind w:firstLineChars="200" w:firstLine="482"/>
        <w:jc w:val="center"/>
        <w:rPr>
          <w:b/>
        </w:rPr>
      </w:pPr>
      <w:r w:rsidRPr="00FD3EE9">
        <w:rPr>
          <w:b/>
        </w:rPr>
        <w:lastRenderedPageBreak/>
        <w:t>T</w:t>
      </w:r>
      <w:r w:rsidR="001A3248" w:rsidRPr="00FD3EE9">
        <w:rPr>
          <w:b/>
        </w:rPr>
        <w:t>able 1: Variable and definitions</w:t>
      </w:r>
    </w:p>
    <w:p w14:paraId="3B774A30" w14:textId="6A65F4C4" w:rsidR="001A3248" w:rsidRPr="00FD3EE9" w:rsidRDefault="001A3248" w:rsidP="001A3248">
      <w:pPr>
        <w:ind w:firstLineChars="200" w:firstLine="482"/>
        <w:jc w:val="center"/>
        <w:rPr>
          <w:b/>
        </w:rPr>
      </w:pPr>
    </w:p>
    <w:tbl>
      <w:tblPr>
        <w:tblStyle w:val="af2"/>
        <w:tblW w:w="10986" w:type="dxa"/>
        <w:jc w:val="center"/>
        <w:tblBorders>
          <w:left w:val="none" w:sz="0" w:space="0" w:color="auto"/>
          <w:right w:val="none" w:sz="0" w:space="0" w:color="auto"/>
          <w:insideH w:val="none" w:sz="0" w:space="0" w:color="auto"/>
        </w:tblBorders>
        <w:tblLook w:val="04E0" w:firstRow="1" w:lastRow="1" w:firstColumn="1" w:lastColumn="0" w:noHBand="0" w:noVBand="1"/>
        <w:tblCaption w:val="Table 1: Distribution of M&amp;A deals"/>
      </w:tblPr>
      <w:tblGrid>
        <w:gridCol w:w="2877"/>
        <w:gridCol w:w="8109"/>
      </w:tblGrid>
      <w:tr w:rsidR="001A3248" w:rsidRPr="00FD3EE9" w14:paraId="3241000E" w14:textId="77777777" w:rsidTr="001A3248">
        <w:trPr>
          <w:trHeight w:val="400"/>
          <w:jc w:val="center"/>
        </w:trPr>
        <w:tc>
          <w:tcPr>
            <w:tcW w:w="0" w:type="auto"/>
            <w:tcBorders>
              <w:top w:val="single" w:sz="4" w:space="0" w:color="auto"/>
              <w:bottom w:val="single" w:sz="4" w:space="0" w:color="auto"/>
              <w:right w:val="nil"/>
            </w:tcBorders>
            <w:vAlign w:val="center"/>
          </w:tcPr>
          <w:p w14:paraId="168CCEE0" w14:textId="0EA45118" w:rsidR="001A3248" w:rsidRPr="00FD3EE9" w:rsidRDefault="001A3248" w:rsidP="00D52D3B">
            <w:pPr>
              <w:ind w:firstLineChars="200" w:firstLine="360"/>
              <w:rPr>
                <w:sz w:val="18"/>
              </w:rPr>
            </w:pPr>
            <w:r w:rsidRPr="00FD3EE9">
              <w:rPr>
                <w:sz w:val="18"/>
              </w:rPr>
              <w:t>Variables</w:t>
            </w:r>
          </w:p>
        </w:tc>
        <w:tc>
          <w:tcPr>
            <w:tcW w:w="0" w:type="auto"/>
            <w:tcBorders>
              <w:top w:val="single" w:sz="4" w:space="0" w:color="auto"/>
              <w:left w:val="nil"/>
              <w:bottom w:val="single" w:sz="4" w:space="0" w:color="auto"/>
            </w:tcBorders>
            <w:vAlign w:val="center"/>
          </w:tcPr>
          <w:p w14:paraId="59948862" w14:textId="7AB65412" w:rsidR="001A3248" w:rsidRPr="00FD3EE9" w:rsidRDefault="001A3248" w:rsidP="001A3248">
            <w:pPr>
              <w:ind w:firstLineChars="200" w:firstLine="360"/>
              <w:jc w:val="left"/>
              <w:rPr>
                <w:sz w:val="18"/>
              </w:rPr>
            </w:pPr>
            <w:r w:rsidRPr="00FD3EE9">
              <w:rPr>
                <w:sz w:val="18"/>
              </w:rPr>
              <w:t>Definitions</w:t>
            </w:r>
          </w:p>
        </w:tc>
      </w:tr>
      <w:tr w:rsidR="001A3248" w:rsidRPr="00FD3EE9" w14:paraId="09EFE5AD" w14:textId="77777777" w:rsidTr="001A3248">
        <w:trPr>
          <w:trHeight w:hRule="exact" w:val="402"/>
          <w:jc w:val="center"/>
        </w:trPr>
        <w:tc>
          <w:tcPr>
            <w:tcW w:w="0" w:type="auto"/>
            <w:tcBorders>
              <w:top w:val="single" w:sz="4" w:space="0" w:color="auto"/>
              <w:bottom w:val="nil"/>
              <w:right w:val="nil"/>
            </w:tcBorders>
            <w:vAlign w:val="center"/>
          </w:tcPr>
          <w:p w14:paraId="02ABD482" w14:textId="40617C80" w:rsidR="001A3248" w:rsidRPr="00FD3EE9" w:rsidRDefault="001A3248" w:rsidP="001A3248">
            <w:pPr>
              <w:ind w:rightChars="-64" w:right="-154" w:firstLineChars="200" w:firstLine="360"/>
              <w:jc w:val="left"/>
              <w:rPr>
                <w:sz w:val="18"/>
              </w:rPr>
            </w:pPr>
            <w:r w:rsidRPr="00FD3EE9">
              <w:rPr>
                <w:sz w:val="18"/>
              </w:rPr>
              <w:t>Acquisition</w:t>
            </w:r>
          </w:p>
        </w:tc>
        <w:tc>
          <w:tcPr>
            <w:tcW w:w="0" w:type="auto"/>
            <w:tcBorders>
              <w:top w:val="single" w:sz="4" w:space="0" w:color="auto"/>
              <w:left w:val="nil"/>
              <w:bottom w:val="nil"/>
            </w:tcBorders>
            <w:vAlign w:val="center"/>
          </w:tcPr>
          <w:p w14:paraId="0798E391" w14:textId="77777777" w:rsidR="001A3248" w:rsidRPr="00FD3EE9" w:rsidRDefault="001A3248" w:rsidP="001A3248">
            <w:pPr>
              <w:tabs>
                <w:tab w:val="decimal" w:pos="360"/>
              </w:tabs>
              <w:ind w:leftChars="92" w:left="222" w:hanging="1"/>
              <w:rPr>
                <w:sz w:val="18"/>
              </w:rPr>
            </w:pPr>
            <w:r w:rsidRPr="00FD3EE9">
              <w:rPr>
                <w:sz w:val="18"/>
              </w:rPr>
              <w:t>The number of acquisitions a firm undertakes each year</w:t>
            </w:r>
          </w:p>
          <w:p w14:paraId="53A206E8" w14:textId="5F5F816C" w:rsidR="001A3248" w:rsidRPr="00FD3EE9" w:rsidRDefault="001A3248" w:rsidP="001A3248">
            <w:pPr>
              <w:tabs>
                <w:tab w:val="decimal" w:pos="360"/>
              </w:tabs>
              <w:ind w:leftChars="92" w:left="222" w:hanging="1"/>
              <w:rPr>
                <w:sz w:val="18"/>
              </w:rPr>
            </w:pPr>
          </w:p>
        </w:tc>
      </w:tr>
      <w:tr w:rsidR="001A3248" w:rsidRPr="00FD3EE9" w14:paraId="368EB0BF" w14:textId="77777777" w:rsidTr="001A3248">
        <w:trPr>
          <w:trHeight w:hRule="exact" w:val="402"/>
          <w:jc w:val="center"/>
        </w:trPr>
        <w:tc>
          <w:tcPr>
            <w:tcW w:w="0" w:type="auto"/>
            <w:tcBorders>
              <w:top w:val="nil"/>
              <w:bottom w:val="nil"/>
              <w:right w:val="nil"/>
            </w:tcBorders>
            <w:vAlign w:val="center"/>
          </w:tcPr>
          <w:p w14:paraId="534AC6D5" w14:textId="0392B127" w:rsidR="001A3248" w:rsidRPr="00FD3EE9" w:rsidRDefault="001A3248" w:rsidP="001A3248">
            <w:pPr>
              <w:ind w:rightChars="-64" w:right="-154" w:firstLineChars="200" w:firstLine="360"/>
              <w:jc w:val="left"/>
              <w:rPr>
                <w:sz w:val="18"/>
              </w:rPr>
            </w:pPr>
            <w:r w:rsidRPr="00FD3EE9">
              <w:rPr>
                <w:sz w:val="18"/>
              </w:rPr>
              <w:t>CARs</w:t>
            </w:r>
          </w:p>
        </w:tc>
        <w:tc>
          <w:tcPr>
            <w:tcW w:w="0" w:type="auto"/>
            <w:tcBorders>
              <w:top w:val="nil"/>
              <w:left w:val="nil"/>
              <w:bottom w:val="nil"/>
            </w:tcBorders>
            <w:vAlign w:val="center"/>
          </w:tcPr>
          <w:p w14:paraId="07D94DEA" w14:textId="7FA0951A" w:rsidR="001A3248" w:rsidRPr="00FD3EE9" w:rsidRDefault="001A3248" w:rsidP="001A3248">
            <w:pPr>
              <w:tabs>
                <w:tab w:val="decimal" w:pos="289"/>
              </w:tabs>
              <w:ind w:leftChars="92" w:left="222" w:hanging="1"/>
              <w:rPr>
                <w:sz w:val="18"/>
              </w:rPr>
            </w:pPr>
            <w:r w:rsidRPr="00FD3EE9">
              <w:rPr>
                <w:sz w:val="18"/>
              </w:rPr>
              <w:t>Cumulative abnormal returns</w:t>
            </w:r>
          </w:p>
        </w:tc>
      </w:tr>
      <w:tr w:rsidR="001A3248" w:rsidRPr="00FD3EE9" w14:paraId="650802B4" w14:textId="77777777" w:rsidTr="001A3248">
        <w:trPr>
          <w:trHeight w:hRule="exact" w:val="402"/>
          <w:jc w:val="center"/>
        </w:trPr>
        <w:tc>
          <w:tcPr>
            <w:tcW w:w="0" w:type="auto"/>
            <w:tcBorders>
              <w:top w:val="nil"/>
              <w:bottom w:val="nil"/>
              <w:right w:val="nil"/>
            </w:tcBorders>
            <w:vAlign w:val="center"/>
          </w:tcPr>
          <w:p w14:paraId="1B1F65B5" w14:textId="2AE757A0" w:rsidR="001A3248" w:rsidRPr="00FD3EE9" w:rsidRDefault="001A3248" w:rsidP="001A3248">
            <w:pPr>
              <w:ind w:rightChars="-64" w:right="-154" w:firstLineChars="200" w:firstLine="360"/>
              <w:jc w:val="left"/>
              <w:rPr>
                <w:sz w:val="18"/>
              </w:rPr>
            </w:pPr>
            <w:r w:rsidRPr="00FD3EE9">
              <w:rPr>
                <w:sz w:val="18"/>
              </w:rPr>
              <w:t>BHRs</w:t>
            </w:r>
          </w:p>
        </w:tc>
        <w:tc>
          <w:tcPr>
            <w:tcW w:w="0" w:type="auto"/>
            <w:tcBorders>
              <w:top w:val="nil"/>
              <w:left w:val="nil"/>
              <w:bottom w:val="nil"/>
            </w:tcBorders>
            <w:vAlign w:val="center"/>
          </w:tcPr>
          <w:p w14:paraId="3FCAE034" w14:textId="189E4CC0" w:rsidR="001A3248" w:rsidRPr="00FD3EE9" w:rsidRDefault="001A3248" w:rsidP="001A3248">
            <w:pPr>
              <w:tabs>
                <w:tab w:val="decimal" w:pos="360"/>
              </w:tabs>
              <w:ind w:leftChars="92" w:left="222" w:hanging="1"/>
              <w:rPr>
                <w:sz w:val="18"/>
              </w:rPr>
            </w:pPr>
            <w:r w:rsidRPr="00FD3EE9">
              <w:rPr>
                <w:sz w:val="18"/>
              </w:rPr>
              <w:t>Buy-and-hold returns</w:t>
            </w:r>
          </w:p>
        </w:tc>
      </w:tr>
      <w:tr w:rsidR="001A3248" w:rsidRPr="00FD3EE9" w14:paraId="351F6F6F" w14:textId="77777777" w:rsidTr="001A3248">
        <w:trPr>
          <w:trHeight w:hRule="exact" w:val="402"/>
          <w:jc w:val="center"/>
        </w:trPr>
        <w:tc>
          <w:tcPr>
            <w:tcW w:w="0" w:type="auto"/>
            <w:tcBorders>
              <w:top w:val="nil"/>
              <w:bottom w:val="nil"/>
              <w:right w:val="nil"/>
            </w:tcBorders>
            <w:vAlign w:val="center"/>
          </w:tcPr>
          <w:p w14:paraId="7F5CAF18" w14:textId="10530046" w:rsidR="001A3248" w:rsidRPr="00FD3EE9" w:rsidRDefault="001A3248" w:rsidP="001A3248">
            <w:pPr>
              <w:ind w:rightChars="-64" w:right="-154" w:firstLineChars="200" w:firstLine="360"/>
              <w:jc w:val="left"/>
              <w:rPr>
                <w:sz w:val="18"/>
              </w:rPr>
            </w:pPr>
            <w:r w:rsidRPr="00FD3EE9">
              <w:rPr>
                <w:sz w:val="18"/>
              </w:rPr>
              <w:t>Stock option</w:t>
            </w:r>
          </w:p>
        </w:tc>
        <w:tc>
          <w:tcPr>
            <w:tcW w:w="0" w:type="auto"/>
            <w:tcBorders>
              <w:top w:val="nil"/>
              <w:left w:val="nil"/>
              <w:bottom w:val="nil"/>
            </w:tcBorders>
            <w:vAlign w:val="center"/>
          </w:tcPr>
          <w:p w14:paraId="5C8C4ADF" w14:textId="3821BBFD" w:rsidR="001A3248" w:rsidRPr="00FD3EE9" w:rsidRDefault="001A3248" w:rsidP="001A3248">
            <w:pPr>
              <w:tabs>
                <w:tab w:val="decimal" w:pos="360"/>
              </w:tabs>
              <w:ind w:leftChars="92" w:left="222" w:hanging="1"/>
              <w:rPr>
                <w:sz w:val="18"/>
              </w:rPr>
            </w:pPr>
            <w:r w:rsidRPr="00FD3EE9">
              <w:rPr>
                <w:sz w:val="18"/>
              </w:rPr>
              <w:t>The value of managerial stock options based on dividend adjusted Black-Scholes model at each year end</w:t>
            </w:r>
          </w:p>
          <w:p w14:paraId="4C522590" w14:textId="77777777" w:rsidR="001A3248" w:rsidRPr="00FD3EE9" w:rsidRDefault="001A3248" w:rsidP="001A3248">
            <w:pPr>
              <w:tabs>
                <w:tab w:val="decimal" w:pos="360"/>
              </w:tabs>
              <w:ind w:leftChars="92" w:left="222" w:hanging="1"/>
              <w:rPr>
                <w:sz w:val="18"/>
              </w:rPr>
            </w:pPr>
          </w:p>
          <w:p w14:paraId="1FB67126" w14:textId="0D2129ED" w:rsidR="001A3248" w:rsidRPr="00FD3EE9" w:rsidRDefault="001A3248" w:rsidP="001A3248">
            <w:pPr>
              <w:tabs>
                <w:tab w:val="decimal" w:pos="360"/>
              </w:tabs>
              <w:ind w:leftChars="92" w:left="222" w:hanging="1"/>
              <w:rPr>
                <w:sz w:val="18"/>
              </w:rPr>
            </w:pPr>
            <w:r w:rsidRPr="00FD3EE9">
              <w:rPr>
                <w:sz w:val="18"/>
              </w:rPr>
              <w:t xml:space="preserve"> end</w:t>
            </w:r>
          </w:p>
        </w:tc>
      </w:tr>
      <w:tr w:rsidR="001A3248" w:rsidRPr="00FD3EE9" w14:paraId="5927B337" w14:textId="77777777" w:rsidTr="001A3248">
        <w:trPr>
          <w:trHeight w:hRule="exact" w:val="427"/>
          <w:jc w:val="center"/>
        </w:trPr>
        <w:tc>
          <w:tcPr>
            <w:tcW w:w="0" w:type="auto"/>
            <w:tcBorders>
              <w:top w:val="nil"/>
              <w:bottom w:val="nil"/>
              <w:right w:val="nil"/>
            </w:tcBorders>
            <w:vAlign w:val="center"/>
          </w:tcPr>
          <w:p w14:paraId="1202CABF" w14:textId="03114D9C" w:rsidR="001A3248" w:rsidRPr="00FD3EE9" w:rsidRDefault="001A3248" w:rsidP="001A3248">
            <w:pPr>
              <w:ind w:rightChars="-64" w:right="-154" w:firstLineChars="200" w:firstLine="360"/>
              <w:jc w:val="left"/>
              <w:rPr>
                <w:sz w:val="18"/>
              </w:rPr>
            </w:pPr>
            <w:r w:rsidRPr="00FD3EE9">
              <w:rPr>
                <w:sz w:val="18"/>
              </w:rPr>
              <w:t xml:space="preserve">Stock ownership </w:t>
            </w:r>
          </w:p>
        </w:tc>
        <w:tc>
          <w:tcPr>
            <w:tcW w:w="0" w:type="auto"/>
            <w:tcBorders>
              <w:top w:val="nil"/>
              <w:left w:val="nil"/>
            </w:tcBorders>
            <w:vAlign w:val="center"/>
          </w:tcPr>
          <w:p w14:paraId="571B9B75" w14:textId="49DB0B93" w:rsidR="001A3248" w:rsidRPr="00FD3EE9" w:rsidRDefault="001A3248" w:rsidP="001A3248">
            <w:pPr>
              <w:tabs>
                <w:tab w:val="decimal" w:pos="360"/>
              </w:tabs>
              <w:ind w:leftChars="92" w:left="222" w:hanging="1"/>
              <w:rPr>
                <w:sz w:val="18"/>
              </w:rPr>
            </w:pPr>
            <w:r w:rsidRPr="00FD3EE9">
              <w:rPr>
                <w:sz w:val="18"/>
              </w:rPr>
              <w:t>The percentage of shares managers owned to firm’s total outstanding shares at each year end</w:t>
            </w:r>
          </w:p>
        </w:tc>
      </w:tr>
      <w:tr w:rsidR="001A3248" w:rsidRPr="00FD3EE9" w14:paraId="01272C02" w14:textId="77777777" w:rsidTr="001A3248">
        <w:trPr>
          <w:trHeight w:hRule="exact" w:val="402"/>
          <w:jc w:val="center"/>
        </w:trPr>
        <w:tc>
          <w:tcPr>
            <w:tcW w:w="0" w:type="auto"/>
            <w:tcBorders>
              <w:top w:val="nil"/>
              <w:bottom w:val="nil"/>
              <w:right w:val="nil"/>
            </w:tcBorders>
            <w:vAlign w:val="center"/>
          </w:tcPr>
          <w:p w14:paraId="63132B68" w14:textId="0D1A5503" w:rsidR="001A3248" w:rsidRPr="00FD3EE9" w:rsidRDefault="001A3248" w:rsidP="001A3248">
            <w:pPr>
              <w:ind w:rightChars="-64" w:right="-154" w:firstLineChars="200" w:firstLine="360"/>
              <w:jc w:val="left"/>
              <w:rPr>
                <w:sz w:val="18"/>
              </w:rPr>
            </w:pPr>
            <w:r w:rsidRPr="00FD3EE9">
              <w:rPr>
                <w:sz w:val="18"/>
              </w:rPr>
              <w:t xml:space="preserve">Cash pay </w:t>
            </w:r>
          </w:p>
        </w:tc>
        <w:tc>
          <w:tcPr>
            <w:tcW w:w="0" w:type="auto"/>
            <w:tcBorders>
              <w:top w:val="nil"/>
              <w:left w:val="nil"/>
              <w:bottom w:val="nil"/>
            </w:tcBorders>
            <w:vAlign w:val="center"/>
          </w:tcPr>
          <w:p w14:paraId="1ECB87D8" w14:textId="09768648" w:rsidR="001A3248" w:rsidRPr="00FD3EE9" w:rsidRDefault="001A3248" w:rsidP="001A3248">
            <w:pPr>
              <w:tabs>
                <w:tab w:val="decimal" w:pos="360"/>
              </w:tabs>
              <w:ind w:leftChars="92" w:left="222" w:hanging="1"/>
              <w:rPr>
                <w:sz w:val="18"/>
              </w:rPr>
            </w:pPr>
            <w:r w:rsidRPr="00FD3EE9">
              <w:rPr>
                <w:sz w:val="18"/>
              </w:rPr>
              <w:t>Executive’s salary, bonus, and other cash payments reported in the annual report</w:t>
            </w:r>
          </w:p>
        </w:tc>
      </w:tr>
      <w:tr w:rsidR="001A3248" w:rsidRPr="00FD3EE9" w14:paraId="06AF4A83" w14:textId="77777777" w:rsidTr="001A3248">
        <w:trPr>
          <w:trHeight w:hRule="exact" w:val="402"/>
          <w:jc w:val="center"/>
        </w:trPr>
        <w:tc>
          <w:tcPr>
            <w:tcW w:w="0" w:type="auto"/>
            <w:tcBorders>
              <w:top w:val="nil"/>
              <w:bottom w:val="nil"/>
              <w:right w:val="nil"/>
            </w:tcBorders>
            <w:vAlign w:val="center"/>
          </w:tcPr>
          <w:p w14:paraId="56D00797" w14:textId="571F0432" w:rsidR="001A3248" w:rsidRPr="00FD3EE9" w:rsidRDefault="001A3248" w:rsidP="001A3248">
            <w:pPr>
              <w:ind w:rightChars="-64" w:right="-154" w:firstLineChars="200" w:firstLine="360"/>
              <w:jc w:val="left"/>
              <w:rPr>
                <w:sz w:val="18"/>
              </w:rPr>
            </w:pPr>
            <w:r w:rsidRPr="00FD3EE9">
              <w:rPr>
                <w:sz w:val="18"/>
              </w:rPr>
              <w:t>Debt to equity ratio</w:t>
            </w:r>
          </w:p>
        </w:tc>
        <w:tc>
          <w:tcPr>
            <w:tcW w:w="0" w:type="auto"/>
            <w:tcBorders>
              <w:top w:val="nil"/>
              <w:left w:val="nil"/>
              <w:bottom w:val="nil"/>
            </w:tcBorders>
            <w:vAlign w:val="center"/>
          </w:tcPr>
          <w:p w14:paraId="4B2933A6" w14:textId="42C5F1E5" w:rsidR="001A3248" w:rsidRPr="00FD3EE9" w:rsidRDefault="001A3248" w:rsidP="001A3248">
            <w:pPr>
              <w:tabs>
                <w:tab w:val="decimal" w:pos="360"/>
              </w:tabs>
              <w:ind w:leftChars="92" w:left="222" w:hanging="1"/>
              <w:rPr>
                <w:sz w:val="18"/>
              </w:rPr>
            </w:pPr>
            <w:r w:rsidRPr="00FD3EE9">
              <w:rPr>
                <w:sz w:val="18"/>
              </w:rPr>
              <w:t>Long and short-term debt to total assets</w:t>
            </w:r>
          </w:p>
        </w:tc>
      </w:tr>
      <w:tr w:rsidR="001A3248" w:rsidRPr="00FD3EE9" w14:paraId="47871B90" w14:textId="77777777" w:rsidTr="001A3248">
        <w:trPr>
          <w:trHeight w:hRule="exact" w:val="402"/>
          <w:jc w:val="center"/>
        </w:trPr>
        <w:tc>
          <w:tcPr>
            <w:tcW w:w="0" w:type="auto"/>
            <w:tcBorders>
              <w:top w:val="nil"/>
              <w:bottom w:val="nil"/>
              <w:right w:val="nil"/>
            </w:tcBorders>
            <w:vAlign w:val="center"/>
          </w:tcPr>
          <w:p w14:paraId="0DCA49F3" w14:textId="58C7B526" w:rsidR="001A3248" w:rsidRPr="00FD3EE9" w:rsidRDefault="001A3248" w:rsidP="001A3248">
            <w:pPr>
              <w:ind w:rightChars="-64" w:right="-154" w:firstLineChars="200" w:firstLine="360"/>
              <w:jc w:val="left"/>
              <w:rPr>
                <w:sz w:val="18"/>
              </w:rPr>
            </w:pPr>
            <w:r w:rsidRPr="00FD3EE9">
              <w:rPr>
                <w:sz w:val="18"/>
              </w:rPr>
              <w:t>Firm size</w:t>
            </w:r>
          </w:p>
        </w:tc>
        <w:tc>
          <w:tcPr>
            <w:tcW w:w="0" w:type="auto"/>
            <w:tcBorders>
              <w:top w:val="nil"/>
              <w:left w:val="nil"/>
              <w:bottom w:val="nil"/>
            </w:tcBorders>
            <w:vAlign w:val="center"/>
          </w:tcPr>
          <w:p w14:paraId="04478A09" w14:textId="643C8D3B" w:rsidR="001A3248" w:rsidRPr="00FD3EE9" w:rsidRDefault="001A3248" w:rsidP="001A3248">
            <w:pPr>
              <w:tabs>
                <w:tab w:val="decimal" w:pos="360"/>
              </w:tabs>
              <w:ind w:leftChars="92" w:left="222" w:hanging="1"/>
              <w:rPr>
                <w:sz w:val="18"/>
              </w:rPr>
            </w:pPr>
            <w:r w:rsidRPr="00FD3EE9">
              <w:rPr>
                <w:sz w:val="18"/>
              </w:rPr>
              <w:t>Natural log of total assets</w:t>
            </w:r>
          </w:p>
        </w:tc>
      </w:tr>
      <w:tr w:rsidR="001A3248" w:rsidRPr="00FD3EE9" w14:paraId="3A6597C8" w14:textId="77777777" w:rsidTr="001A3248">
        <w:trPr>
          <w:trHeight w:hRule="exact" w:val="402"/>
          <w:jc w:val="center"/>
        </w:trPr>
        <w:tc>
          <w:tcPr>
            <w:tcW w:w="0" w:type="auto"/>
            <w:tcBorders>
              <w:top w:val="nil"/>
              <w:bottom w:val="nil"/>
              <w:right w:val="nil"/>
            </w:tcBorders>
            <w:vAlign w:val="center"/>
          </w:tcPr>
          <w:p w14:paraId="454F97A7" w14:textId="77777777" w:rsidR="001A3248" w:rsidRPr="00FD3EE9" w:rsidRDefault="001A3248" w:rsidP="001A3248">
            <w:pPr>
              <w:ind w:rightChars="-64" w:right="-154" w:firstLineChars="200" w:firstLine="360"/>
              <w:jc w:val="left"/>
              <w:rPr>
                <w:sz w:val="18"/>
              </w:rPr>
            </w:pPr>
            <w:r w:rsidRPr="00FD3EE9">
              <w:rPr>
                <w:sz w:val="18"/>
              </w:rPr>
              <w:t>Firm growth</w:t>
            </w:r>
          </w:p>
          <w:p w14:paraId="1979AFE6" w14:textId="77777777" w:rsidR="001A3248" w:rsidRPr="00FD3EE9" w:rsidRDefault="001A3248" w:rsidP="001A3248">
            <w:pPr>
              <w:ind w:rightChars="-64" w:right="-154" w:firstLineChars="200" w:firstLine="360"/>
              <w:jc w:val="left"/>
              <w:rPr>
                <w:sz w:val="18"/>
              </w:rPr>
            </w:pPr>
          </w:p>
          <w:p w14:paraId="6C5DC6F2" w14:textId="77777777" w:rsidR="001A3248" w:rsidRPr="00FD3EE9" w:rsidRDefault="001A3248" w:rsidP="001A3248">
            <w:pPr>
              <w:ind w:rightChars="-64" w:right="-154" w:firstLineChars="200" w:firstLine="360"/>
              <w:jc w:val="left"/>
              <w:rPr>
                <w:sz w:val="18"/>
              </w:rPr>
            </w:pPr>
          </w:p>
          <w:p w14:paraId="64A61B30" w14:textId="77777777" w:rsidR="001A3248" w:rsidRPr="00FD3EE9" w:rsidRDefault="001A3248" w:rsidP="001A3248">
            <w:pPr>
              <w:ind w:rightChars="-64" w:right="-154" w:firstLineChars="200" w:firstLine="360"/>
              <w:jc w:val="left"/>
              <w:rPr>
                <w:sz w:val="18"/>
              </w:rPr>
            </w:pPr>
          </w:p>
          <w:p w14:paraId="2539482B" w14:textId="0202ED20" w:rsidR="001A3248" w:rsidRPr="00FD3EE9" w:rsidRDefault="001A3248" w:rsidP="001A3248">
            <w:pPr>
              <w:ind w:rightChars="-64" w:right="-154" w:firstLineChars="200" w:firstLine="360"/>
              <w:jc w:val="left"/>
              <w:rPr>
                <w:sz w:val="18"/>
              </w:rPr>
            </w:pPr>
          </w:p>
        </w:tc>
        <w:tc>
          <w:tcPr>
            <w:tcW w:w="0" w:type="auto"/>
            <w:tcBorders>
              <w:top w:val="nil"/>
              <w:left w:val="nil"/>
              <w:bottom w:val="nil"/>
            </w:tcBorders>
            <w:vAlign w:val="center"/>
          </w:tcPr>
          <w:p w14:paraId="6808F32B" w14:textId="45B8E5D5" w:rsidR="001A3248" w:rsidRPr="00FD3EE9" w:rsidRDefault="001A3248" w:rsidP="001A3248">
            <w:pPr>
              <w:tabs>
                <w:tab w:val="decimal" w:pos="360"/>
              </w:tabs>
              <w:ind w:leftChars="92" w:left="222" w:hanging="1"/>
              <w:rPr>
                <w:sz w:val="18"/>
              </w:rPr>
            </w:pPr>
            <w:r w:rsidRPr="00FD3EE9">
              <w:rPr>
                <w:sz w:val="18"/>
              </w:rPr>
              <w:t>Annual growth rate of total assets</w:t>
            </w:r>
          </w:p>
        </w:tc>
      </w:tr>
      <w:tr w:rsidR="001A3248" w:rsidRPr="00FD3EE9" w14:paraId="1B83C2C2" w14:textId="77777777" w:rsidTr="001A3248">
        <w:trPr>
          <w:trHeight w:hRule="exact" w:val="402"/>
          <w:jc w:val="center"/>
        </w:trPr>
        <w:tc>
          <w:tcPr>
            <w:tcW w:w="0" w:type="auto"/>
            <w:tcBorders>
              <w:top w:val="nil"/>
              <w:bottom w:val="nil"/>
              <w:right w:val="nil"/>
            </w:tcBorders>
            <w:vAlign w:val="center"/>
          </w:tcPr>
          <w:p w14:paraId="667CA15B" w14:textId="585C3207" w:rsidR="001A3248" w:rsidRPr="00FD3EE9" w:rsidRDefault="001A3248" w:rsidP="001A3248">
            <w:pPr>
              <w:ind w:rightChars="-64" w:right="-154" w:firstLineChars="200" w:firstLine="360"/>
              <w:jc w:val="left"/>
              <w:rPr>
                <w:sz w:val="18"/>
              </w:rPr>
            </w:pPr>
            <w:r w:rsidRPr="00FD3EE9">
              <w:rPr>
                <w:sz w:val="18"/>
              </w:rPr>
              <w:t>ROE</w:t>
            </w:r>
          </w:p>
        </w:tc>
        <w:tc>
          <w:tcPr>
            <w:tcW w:w="0" w:type="auto"/>
            <w:tcBorders>
              <w:top w:val="nil"/>
              <w:left w:val="nil"/>
              <w:bottom w:val="nil"/>
            </w:tcBorders>
            <w:vAlign w:val="center"/>
          </w:tcPr>
          <w:p w14:paraId="1B8A163C" w14:textId="42CF40C7" w:rsidR="001A3248" w:rsidRPr="00FD3EE9" w:rsidRDefault="001A3248" w:rsidP="001A3248">
            <w:pPr>
              <w:tabs>
                <w:tab w:val="decimal" w:pos="360"/>
              </w:tabs>
              <w:ind w:leftChars="-56" w:left="-134" w:firstLineChars="197" w:firstLine="355"/>
              <w:rPr>
                <w:sz w:val="18"/>
              </w:rPr>
            </w:pPr>
            <w:r w:rsidRPr="00FD3EE9">
              <w:rPr>
                <w:sz w:val="18"/>
              </w:rPr>
              <w:t>Return on equity</w:t>
            </w:r>
          </w:p>
        </w:tc>
      </w:tr>
      <w:tr w:rsidR="001A3248" w:rsidRPr="00FD3EE9" w14:paraId="74CD9F9F" w14:textId="77777777" w:rsidTr="001A3248">
        <w:trPr>
          <w:trHeight w:hRule="exact" w:val="402"/>
          <w:jc w:val="center"/>
        </w:trPr>
        <w:tc>
          <w:tcPr>
            <w:tcW w:w="0" w:type="auto"/>
            <w:tcBorders>
              <w:top w:val="nil"/>
              <w:bottom w:val="nil"/>
              <w:right w:val="nil"/>
            </w:tcBorders>
            <w:vAlign w:val="center"/>
          </w:tcPr>
          <w:p w14:paraId="501F4F49" w14:textId="0461998E" w:rsidR="001A3248" w:rsidRPr="00FD3EE9" w:rsidRDefault="001A3248" w:rsidP="001A3248">
            <w:pPr>
              <w:ind w:rightChars="-64" w:right="-154" w:firstLineChars="200" w:firstLine="360"/>
              <w:jc w:val="left"/>
              <w:rPr>
                <w:sz w:val="18"/>
              </w:rPr>
            </w:pPr>
            <w:r w:rsidRPr="00FD3EE9">
              <w:rPr>
                <w:sz w:val="18"/>
              </w:rPr>
              <w:t xml:space="preserve">Stock return </w:t>
            </w:r>
          </w:p>
        </w:tc>
        <w:tc>
          <w:tcPr>
            <w:tcW w:w="0" w:type="auto"/>
            <w:tcBorders>
              <w:top w:val="nil"/>
              <w:left w:val="nil"/>
              <w:bottom w:val="nil"/>
            </w:tcBorders>
            <w:vAlign w:val="center"/>
          </w:tcPr>
          <w:p w14:paraId="5C31927D" w14:textId="287319A6" w:rsidR="001A3248" w:rsidRPr="00FD3EE9" w:rsidRDefault="001A3248" w:rsidP="001A3248">
            <w:pPr>
              <w:tabs>
                <w:tab w:val="decimal" w:pos="360"/>
              </w:tabs>
              <w:ind w:leftChars="-56" w:left="-134" w:firstLineChars="197" w:firstLine="355"/>
              <w:rPr>
                <w:sz w:val="18"/>
              </w:rPr>
            </w:pPr>
            <w:r w:rsidRPr="00FD3EE9">
              <w:rPr>
                <w:sz w:val="18"/>
              </w:rPr>
              <w:t xml:space="preserve">Annual stock return </w:t>
            </w:r>
          </w:p>
        </w:tc>
      </w:tr>
      <w:tr w:rsidR="001A3248" w:rsidRPr="00FD3EE9" w14:paraId="15533A57" w14:textId="77777777" w:rsidTr="001A3248">
        <w:trPr>
          <w:trHeight w:hRule="exact" w:val="402"/>
          <w:jc w:val="center"/>
        </w:trPr>
        <w:tc>
          <w:tcPr>
            <w:tcW w:w="0" w:type="auto"/>
            <w:tcBorders>
              <w:top w:val="nil"/>
              <w:right w:val="nil"/>
            </w:tcBorders>
            <w:vAlign w:val="center"/>
          </w:tcPr>
          <w:p w14:paraId="02D38A55" w14:textId="714E119B" w:rsidR="001A3248" w:rsidRPr="00FD3EE9" w:rsidRDefault="001A3248" w:rsidP="001A3248">
            <w:pPr>
              <w:ind w:rightChars="-64" w:right="-154" w:firstLineChars="200" w:firstLine="360"/>
              <w:jc w:val="left"/>
              <w:rPr>
                <w:sz w:val="18"/>
              </w:rPr>
            </w:pPr>
            <w:r w:rsidRPr="00FD3EE9">
              <w:rPr>
                <w:sz w:val="18"/>
              </w:rPr>
              <w:t>Industry-specific overvaluation</w:t>
            </w:r>
          </w:p>
        </w:tc>
        <w:tc>
          <w:tcPr>
            <w:tcW w:w="0" w:type="auto"/>
            <w:tcBorders>
              <w:top w:val="nil"/>
              <w:left w:val="nil"/>
              <w:bottom w:val="nil"/>
            </w:tcBorders>
            <w:vAlign w:val="center"/>
          </w:tcPr>
          <w:p w14:paraId="086E94E8" w14:textId="5DDFF753" w:rsidR="001A3248" w:rsidRPr="00FD3EE9" w:rsidRDefault="001A3248" w:rsidP="001A3248">
            <w:pPr>
              <w:tabs>
                <w:tab w:val="decimal" w:pos="360"/>
              </w:tabs>
              <w:ind w:leftChars="-56" w:left="-134" w:firstLineChars="197" w:firstLine="355"/>
              <w:rPr>
                <w:sz w:val="18"/>
              </w:rPr>
            </w:pPr>
            <w:r w:rsidRPr="00FD3EE9">
              <w:rPr>
                <w:sz w:val="18"/>
              </w:rPr>
              <w:t xml:space="preserve">Decomposition of Tobin’s Q to capture industry related overvaluation </w:t>
            </w:r>
          </w:p>
        </w:tc>
      </w:tr>
      <w:tr w:rsidR="001A3248" w:rsidRPr="00FD3EE9" w14:paraId="6D7B68CA" w14:textId="77777777" w:rsidTr="001A3248">
        <w:trPr>
          <w:trHeight w:hRule="exact" w:val="402"/>
          <w:jc w:val="center"/>
        </w:trPr>
        <w:tc>
          <w:tcPr>
            <w:tcW w:w="0" w:type="auto"/>
            <w:tcBorders>
              <w:right w:val="nil"/>
            </w:tcBorders>
            <w:vAlign w:val="center"/>
          </w:tcPr>
          <w:p w14:paraId="793202B2" w14:textId="15099E93" w:rsidR="001A3248" w:rsidRPr="00FD3EE9" w:rsidRDefault="001A3248" w:rsidP="001A3248">
            <w:pPr>
              <w:ind w:rightChars="-64" w:right="-154" w:firstLineChars="200" w:firstLine="360"/>
              <w:jc w:val="left"/>
              <w:rPr>
                <w:sz w:val="18"/>
              </w:rPr>
            </w:pPr>
            <w:r w:rsidRPr="00FD3EE9">
              <w:rPr>
                <w:sz w:val="18"/>
              </w:rPr>
              <w:t>Firm-specific overvaluation</w:t>
            </w:r>
          </w:p>
        </w:tc>
        <w:tc>
          <w:tcPr>
            <w:tcW w:w="0" w:type="auto"/>
            <w:tcBorders>
              <w:top w:val="nil"/>
              <w:left w:val="nil"/>
              <w:bottom w:val="nil"/>
            </w:tcBorders>
            <w:vAlign w:val="center"/>
          </w:tcPr>
          <w:p w14:paraId="0E9E6452" w14:textId="3C8B1DA9" w:rsidR="001A3248" w:rsidRPr="00FD3EE9" w:rsidRDefault="001A3248" w:rsidP="001A3248">
            <w:pPr>
              <w:tabs>
                <w:tab w:val="decimal" w:pos="360"/>
              </w:tabs>
              <w:ind w:leftChars="-56" w:left="-134" w:firstLineChars="197" w:firstLine="355"/>
              <w:rPr>
                <w:sz w:val="18"/>
              </w:rPr>
            </w:pPr>
            <w:r w:rsidRPr="00FD3EE9">
              <w:rPr>
                <w:sz w:val="18"/>
              </w:rPr>
              <w:t>Decomposition of Tobin’s Q to capture firm related overvaluation</w:t>
            </w:r>
          </w:p>
        </w:tc>
      </w:tr>
      <w:tr w:rsidR="001A3248" w:rsidRPr="00FD3EE9" w14:paraId="67574E5E" w14:textId="77777777" w:rsidTr="001A3248">
        <w:trPr>
          <w:trHeight w:hRule="exact" w:val="402"/>
          <w:jc w:val="center"/>
        </w:trPr>
        <w:tc>
          <w:tcPr>
            <w:tcW w:w="0" w:type="auto"/>
            <w:tcBorders>
              <w:right w:val="nil"/>
            </w:tcBorders>
            <w:vAlign w:val="center"/>
          </w:tcPr>
          <w:p w14:paraId="0431CFB6" w14:textId="7E9D6997" w:rsidR="001A3248" w:rsidRPr="00FD3EE9" w:rsidRDefault="001A3248" w:rsidP="001A3248">
            <w:pPr>
              <w:ind w:rightChars="-64" w:right="-154" w:firstLineChars="200" w:firstLine="360"/>
              <w:jc w:val="left"/>
              <w:rPr>
                <w:sz w:val="18"/>
              </w:rPr>
            </w:pPr>
            <w:r w:rsidRPr="00FD3EE9">
              <w:rPr>
                <w:sz w:val="18"/>
              </w:rPr>
              <w:t xml:space="preserve">Long-term growth expectation </w:t>
            </w:r>
          </w:p>
        </w:tc>
        <w:tc>
          <w:tcPr>
            <w:tcW w:w="0" w:type="auto"/>
            <w:tcBorders>
              <w:top w:val="nil"/>
              <w:left w:val="nil"/>
              <w:bottom w:val="nil"/>
            </w:tcBorders>
            <w:vAlign w:val="center"/>
          </w:tcPr>
          <w:p w14:paraId="05FA1DD6" w14:textId="74C95EAE" w:rsidR="001A3248" w:rsidRPr="00FD3EE9" w:rsidRDefault="001A3248" w:rsidP="001A3248">
            <w:pPr>
              <w:tabs>
                <w:tab w:val="decimal" w:pos="360"/>
              </w:tabs>
              <w:ind w:leftChars="-56" w:left="-134" w:firstLineChars="197" w:firstLine="355"/>
              <w:rPr>
                <w:sz w:val="18"/>
              </w:rPr>
            </w:pPr>
            <w:r w:rsidRPr="00FD3EE9">
              <w:rPr>
                <w:sz w:val="18"/>
              </w:rPr>
              <w:t>Decomposition of Tobin’s Q to capture long-term growth expectation</w:t>
            </w:r>
          </w:p>
        </w:tc>
      </w:tr>
      <w:tr w:rsidR="001A3248" w:rsidRPr="00FD3EE9" w14:paraId="5CBD7D63" w14:textId="77777777" w:rsidTr="001A3248">
        <w:trPr>
          <w:trHeight w:hRule="exact" w:val="402"/>
          <w:jc w:val="center"/>
        </w:trPr>
        <w:tc>
          <w:tcPr>
            <w:tcW w:w="0" w:type="auto"/>
            <w:tcBorders>
              <w:right w:val="nil"/>
            </w:tcBorders>
            <w:vAlign w:val="center"/>
          </w:tcPr>
          <w:p w14:paraId="51E6F64A" w14:textId="4DE5216D" w:rsidR="001A3248" w:rsidRPr="00FD3EE9" w:rsidRDefault="001A3248" w:rsidP="001A3248">
            <w:pPr>
              <w:ind w:rightChars="-64" w:right="-154" w:firstLineChars="200" w:firstLine="360"/>
              <w:jc w:val="left"/>
              <w:rPr>
                <w:sz w:val="18"/>
              </w:rPr>
            </w:pPr>
            <w:r w:rsidRPr="00FD3EE9">
              <w:rPr>
                <w:sz w:val="18"/>
              </w:rPr>
              <w:t xml:space="preserve">MA experience </w:t>
            </w:r>
          </w:p>
        </w:tc>
        <w:tc>
          <w:tcPr>
            <w:tcW w:w="0" w:type="auto"/>
            <w:tcBorders>
              <w:top w:val="nil"/>
              <w:left w:val="nil"/>
              <w:bottom w:val="nil"/>
            </w:tcBorders>
            <w:vAlign w:val="center"/>
          </w:tcPr>
          <w:p w14:paraId="248350BF" w14:textId="46A75837" w:rsidR="001A3248" w:rsidRPr="00FD3EE9" w:rsidRDefault="001A3248" w:rsidP="001A3248">
            <w:pPr>
              <w:tabs>
                <w:tab w:val="decimal" w:pos="360"/>
              </w:tabs>
              <w:ind w:leftChars="-56" w:left="-134" w:firstLineChars="197" w:firstLine="355"/>
              <w:rPr>
                <w:sz w:val="18"/>
              </w:rPr>
            </w:pPr>
            <w:r w:rsidRPr="00FD3EE9">
              <w:rPr>
                <w:sz w:val="18"/>
              </w:rPr>
              <w:t>Dummy if firm have prior acquisition experience</w:t>
            </w:r>
          </w:p>
        </w:tc>
      </w:tr>
      <w:tr w:rsidR="001A3248" w:rsidRPr="00FD3EE9" w14:paraId="392BF944" w14:textId="77777777" w:rsidTr="001A3248">
        <w:trPr>
          <w:trHeight w:hRule="exact" w:val="402"/>
          <w:jc w:val="center"/>
        </w:trPr>
        <w:tc>
          <w:tcPr>
            <w:tcW w:w="0" w:type="auto"/>
            <w:tcBorders>
              <w:bottom w:val="single" w:sz="4" w:space="0" w:color="auto"/>
              <w:right w:val="nil"/>
            </w:tcBorders>
            <w:vAlign w:val="center"/>
          </w:tcPr>
          <w:p w14:paraId="7C03CBFF" w14:textId="1C340806" w:rsidR="001A3248" w:rsidRPr="00FD3EE9" w:rsidRDefault="001A3248" w:rsidP="001A3248">
            <w:pPr>
              <w:ind w:rightChars="-64" w:right="-154" w:firstLineChars="200" w:firstLine="360"/>
              <w:jc w:val="left"/>
              <w:rPr>
                <w:sz w:val="18"/>
              </w:rPr>
            </w:pPr>
            <w:r w:rsidRPr="00FD3EE9">
              <w:rPr>
                <w:sz w:val="18"/>
              </w:rPr>
              <w:t xml:space="preserve">State control </w:t>
            </w:r>
          </w:p>
        </w:tc>
        <w:tc>
          <w:tcPr>
            <w:tcW w:w="0" w:type="auto"/>
            <w:tcBorders>
              <w:top w:val="nil"/>
              <w:left w:val="nil"/>
              <w:bottom w:val="single" w:sz="4" w:space="0" w:color="auto"/>
            </w:tcBorders>
            <w:vAlign w:val="center"/>
          </w:tcPr>
          <w:p w14:paraId="38B60008" w14:textId="0091D4B5" w:rsidR="001A3248" w:rsidRPr="00FD3EE9" w:rsidRDefault="001A3248" w:rsidP="001A3248">
            <w:pPr>
              <w:tabs>
                <w:tab w:val="decimal" w:pos="360"/>
              </w:tabs>
              <w:ind w:leftChars="-56" w:left="-134" w:firstLineChars="197" w:firstLine="355"/>
              <w:rPr>
                <w:sz w:val="18"/>
              </w:rPr>
            </w:pPr>
            <w:r w:rsidRPr="00FD3EE9">
              <w:rPr>
                <w:sz w:val="18"/>
              </w:rPr>
              <w:t>Dummy if firm’s controlling shareholder is government</w:t>
            </w:r>
          </w:p>
        </w:tc>
      </w:tr>
    </w:tbl>
    <w:p w14:paraId="646C0188" w14:textId="1E83A1B0" w:rsidR="001A3248" w:rsidRPr="00FD3EE9" w:rsidRDefault="001A3248" w:rsidP="001A3248">
      <w:pPr>
        <w:jc w:val="left"/>
        <w:rPr>
          <w:b/>
        </w:rPr>
      </w:pPr>
    </w:p>
    <w:p w14:paraId="3ADEAA44" w14:textId="0B36B791" w:rsidR="001A3248" w:rsidRPr="00FD3EE9" w:rsidRDefault="001A3248" w:rsidP="001A3248">
      <w:pPr>
        <w:ind w:firstLineChars="200" w:firstLine="482"/>
        <w:jc w:val="center"/>
        <w:rPr>
          <w:b/>
        </w:rPr>
      </w:pPr>
    </w:p>
    <w:p w14:paraId="4D2CE661" w14:textId="4E8EF3A0" w:rsidR="001A3248" w:rsidRPr="00FD3EE9" w:rsidRDefault="001A3248" w:rsidP="001A3248">
      <w:pPr>
        <w:ind w:firstLineChars="200" w:firstLine="482"/>
        <w:jc w:val="center"/>
        <w:rPr>
          <w:b/>
        </w:rPr>
      </w:pPr>
    </w:p>
    <w:p w14:paraId="5D25198A" w14:textId="602539B6" w:rsidR="001A3248" w:rsidRPr="00FD3EE9" w:rsidRDefault="001A3248" w:rsidP="001A3248">
      <w:pPr>
        <w:ind w:firstLineChars="200" w:firstLine="482"/>
        <w:jc w:val="center"/>
        <w:rPr>
          <w:b/>
        </w:rPr>
      </w:pPr>
    </w:p>
    <w:p w14:paraId="0F23ECF0" w14:textId="138C13C7" w:rsidR="00E9285E" w:rsidRPr="00FD3EE9" w:rsidRDefault="00E9285E" w:rsidP="001A3248">
      <w:pPr>
        <w:ind w:firstLineChars="200" w:firstLine="482"/>
        <w:jc w:val="center"/>
        <w:rPr>
          <w:b/>
        </w:rPr>
      </w:pPr>
    </w:p>
    <w:p w14:paraId="7FDF65CC" w14:textId="38513F44" w:rsidR="00E9285E" w:rsidRPr="00FD3EE9" w:rsidRDefault="00E9285E" w:rsidP="001A3248">
      <w:pPr>
        <w:ind w:firstLineChars="200" w:firstLine="482"/>
        <w:jc w:val="center"/>
        <w:rPr>
          <w:b/>
        </w:rPr>
      </w:pPr>
    </w:p>
    <w:p w14:paraId="1FF4ECCC" w14:textId="122D0077" w:rsidR="00E9285E" w:rsidRPr="00FD3EE9" w:rsidRDefault="00E9285E" w:rsidP="001A3248">
      <w:pPr>
        <w:ind w:firstLineChars="200" w:firstLine="482"/>
        <w:jc w:val="center"/>
        <w:rPr>
          <w:b/>
        </w:rPr>
      </w:pPr>
    </w:p>
    <w:p w14:paraId="63778B1A" w14:textId="7C205549" w:rsidR="00E9285E" w:rsidRPr="00FD3EE9" w:rsidRDefault="00E9285E" w:rsidP="001A3248">
      <w:pPr>
        <w:ind w:firstLineChars="200" w:firstLine="482"/>
        <w:jc w:val="center"/>
        <w:rPr>
          <w:b/>
        </w:rPr>
      </w:pPr>
    </w:p>
    <w:p w14:paraId="7F74C07C" w14:textId="3D0955B3" w:rsidR="00E9285E" w:rsidRPr="00FD3EE9" w:rsidRDefault="00E9285E" w:rsidP="001A3248">
      <w:pPr>
        <w:ind w:firstLineChars="200" w:firstLine="482"/>
        <w:jc w:val="center"/>
        <w:rPr>
          <w:b/>
        </w:rPr>
      </w:pPr>
    </w:p>
    <w:p w14:paraId="2A298939" w14:textId="16821757" w:rsidR="00E9285E" w:rsidRPr="00FD3EE9" w:rsidRDefault="00E9285E" w:rsidP="001A3248">
      <w:pPr>
        <w:ind w:firstLineChars="200" w:firstLine="482"/>
        <w:jc w:val="center"/>
        <w:rPr>
          <w:b/>
        </w:rPr>
      </w:pPr>
    </w:p>
    <w:p w14:paraId="17C630F6" w14:textId="77777777" w:rsidR="00E9285E" w:rsidRPr="00FD3EE9" w:rsidRDefault="00E9285E" w:rsidP="001A3248">
      <w:pPr>
        <w:ind w:firstLineChars="200" w:firstLine="482"/>
        <w:jc w:val="center"/>
        <w:rPr>
          <w:b/>
        </w:rPr>
      </w:pPr>
    </w:p>
    <w:p w14:paraId="4E0F1B06" w14:textId="77777777" w:rsidR="001A3248" w:rsidRPr="00FD3EE9" w:rsidRDefault="001A3248" w:rsidP="001A3248"/>
    <w:p w14:paraId="0EB9EDD4" w14:textId="0DE59CE2" w:rsidR="00825A2B" w:rsidRPr="00FD3EE9" w:rsidRDefault="00825A2B" w:rsidP="00825A2B">
      <w:pPr>
        <w:rPr>
          <w:b/>
        </w:rPr>
      </w:pPr>
    </w:p>
    <w:p w14:paraId="5B1C13FB" w14:textId="77777777" w:rsidR="009B5F17" w:rsidRPr="00FD3EE9" w:rsidRDefault="009B5F17">
      <w:pPr>
        <w:widowControl/>
        <w:jc w:val="left"/>
        <w:rPr>
          <w:b/>
        </w:rPr>
      </w:pPr>
      <w:r w:rsidRPr="00FD3EE9">
        <w:rPr>
          <w:b/>
        </w:rPr>
        <w:br w:type="page"/>
      </w:r>
    </w:p>
    <w:p w14:paraId="07BA4F73" w14:textId="4CBF1F2E" w:rsidR="00BB2FD6" w:rsidRPr="00FD3EE9" w:rsidRDefault="00EF1F9E" w:rsidP="00842BD5">
      <w:pPr>
        <w:ind w:firstLineChars="200" w:firstLine="482"/>
        <w:jc w:val="center"/>
        <w:rPr>
          <w:b/>
        </w:rPr>
      </w:pPr>
      <w:r w:rsidRPr="00FD3EE9">
        <w:rPr>
          <w:b/>
        </w:rPr>
        <w:lastRenderedPageBreak/>
        <w:t>Table 2</w:t>
      </w:r>
      <w:r w:rsidR="00BB2FD6" w:rsidRPr="00FD3EE9">
        <w:rPr>
          <w:b/>
        </w:rPr>
        <w:t>: Distribution of M&amp;A deals</w:t>
      </w:r>
    </w:p>
    <w:tbl>
      <w:tblPr>
        <w:tblStyle w:val="af2"/>
        <w:tblW w:w="0" w:type="auto"/>
        <w:jc w:val="center"/>
        <w:tblBorders>
          <w:left w:val="none" w:sz="0" w:space="0" w:color="auto"/>
          <w:right w:val="none" w:sz="0" w:space="0" w:color="auto"/>
          <w:insideH w:val="none" w:sz="0" w:space="0" w:color="auto"/>
        </w:tblBorders>
        <w:tblLook w:val="04E0" w:firstRow="1" w:lastRow="1" w:firstColumn="1" w:lastColumn="0" w:noHBand="0" w:noVBand="1"/>
        <w:tblCaption w:val="Table 1: Distribution of M&amp;A deals"/>
      </w:tblPr>
      <w:tblGrid>
        <w:gridCol w:w="1588"/>
        <w:gridCol w:w="1588"/>
        <w:gridCol w:w="1588"/>
        <w:gridCol w:w="1985"/>
      </w:tblGrid>
      <w:tr w:rsidR="00847726" w:rsidRPr="00FD3EE9" w14:paraId="7E55B77F" w14:textId="77777777" w:rsidTr="00FF0269">
        <w:trPr>
          <w:trHeight w:val="338"/>
          <w:jc w:val="center"/>
        </w:trPr>
        <w:tc>
          <w:tcPr>
            <w:tcW w:w="1588" w:type="dxa"/>
            <w:tcBorders>
              <w:top w:val="single" w:sz="4" w:space="0" w:color="auto"/>
              <w:bottom w:val="single" w:sz="4" w:space="0" w:color="auto"/>
              <w:right w:val="nil"/>
            </w:tcBorders>
            <w:vAlign w:val="center"/>
          </w:tcPr>
          <w:p w14:paraId="052B0633" w14:textId="77777777" w:rsidR="00847726" w:rsidRPr="00FD3EE9" w:rsidRDefault="00847726" w:rsidP="00842BD5">
            <w:pPr>
              <w:ind w:firstLineChars="200" w:firstLine="360"/>
              <w:rPr>
                <w:sz w:val="18"/>
              </w:rPr>
            </w:pPr>
          </w:p>
        </w:tc>
        <w:tc>
          <w:tcPr>
            <w:tcW w:w="1588" w:type="dxa"/>
            <w:tcBorders>
              <w:top w:val="single" w:sz="4" w:space="0" w:color="auto"/>
              <w:left w:val="nil"/>
              <w:bottom w:val="single" w:sz="4" w:space="0" w:color="auto"/>
              <w:right w:val="nil"/>
            </w:tcBorders>
            <w:vAlign w:val="center"/>
          </w:tcPr>
          <w:p w14:paraId="5E99882D" w14:textId="215A574A" w:rsidR="00975206" w:rsidRPr="00FD3EE9" w:rsidRDefault="00847726" w:rsidP="00842BD5">
            <w:pPr>
              <w:ind w:firstLineChars="200" w:firstLine="360"/>
              <w:jc w:val="center"/>
              <w:rPr>
                <w:sz w:val="18"/>
              </w:rPr>
            </w:pPr>
            <w:r w:rsidRPr="00FD3EE9">
              <w:rPr>
                <w:sz w:val="18"/>
              </w:rPr>
              <w:t>Number of Acquisitions</w:t>
            </w:r>
          </w:p>
        </w:tc>
        <w:tc>
          <w:tcPr>
            <w:tcW w:w="1588" w:type="dxa"/>
            <w:tcBorders>
              <w:top w:val="single" w:sz="4" w:space="0" w:color="auto"/>
              <w:left w:val="nil"/>
              <w:bottom w:val="single" w:sz="4" w:space="0" w:color="auto"/>
              <w:right w:val="nil"/>
            </w:tcBorders>
            <w:vAlign w:val="center"/>
          </w:tcPr>
          <w:p w14:paraId="430A0249" w14:textId="7A2EE470" w:rsidR="00975206" w:rsidRPr="00FD3EE9" w:rsidRDefault="00847726" w:rsidP="00C40762">
            <w:pPr>
              <w:rPr>
                <w:sz w:val="18"/>
              </w:rPr>
            </w:pPr>
            <w:r w:rsidRPr="00FD3EE9">
              <w:rPr>
                <w:sz w:val="18"/>
              </w:rPr>
              <w:t xml:space="preserve">% of </w:t>
            </w:r>
            <w:r w:rsidR="00EA4F8D" w:rsidRPr="00FD3EE9">
              <w:rPr>
                <w:sz w:val="18"/>
              </w:rPr>
              <w:t>Sample</w:t>
            </w:r>
          </w:p>
        </w:tc>
        <w:tc>
          <w:tcPr>
            <w:tcW w:w="1985" w:type="dxa"/>
            <w:tcBorders>
              <w:top w:val="single" w:sz="4" w:space="0" w:color="auto"/>
              <w:left w:val="nil"/>
              <w:bottom w:val="single" w:sz="4" w:space="0" w:color="auto"/>
            </w:tcBorders>
            <w:vAlign w:val="center"/>
          </w:tcPr>
          <w:p w14:paraId="72067F7C" w14:textId="29C348CA" w:rsidR="00975206" w:rsidRPr="00FD3EE9" w:rsidRDefault="00847726" w:rsidP="00842BD5">
            <w:pPr>
              <w:ind w:firstLineChars="200" w:firstLine="360"/>
              <w:jc w:val="center"/>
              <w:rPr>
                <w:sz w:val="18"/>
              </w:rPr>
            </w:pPr>
            <w:r w:rsidRPr="00FD3EE9">
              <w:rPr>
                <w:sz w:val="18"/>
              </w:rPr>
              <w:t>Avg. Deal Value (in million yuan)</w:t>
            </w:r>
          </w:p>
        </w:tc>
      </w:tr>
      <w:tr w:rsidR="00847726" w:rsidRPr="00FD3EE9" w14:paraId="777512D5" w14:textId="77777777" w:rsidTr="00667C6C">
        <w:trPr>
          <w:trHeight w:hRule="exact" w:val="340"/>
          <w:jc w:val="center"/>
        </w:trPr>
        <w:tc>
          <w:tcPr>
            <w:tcW w:w="1588" w:type="dxa"/>
            <w:tcBorders>
              <w:top w:val="single" w:sz="4" w:space="0" w:color="auto"/>
              <w:bottom w:val="nil"/>
              <w:right w:val="nil"/>
            </w:tcBorders>
            <w:vAlign w:val="center"/>
          </w:tcPr>
          <w:p w14:paraId="396D824A" w14:textId="736513FB" w:rsidR="00975206" w:rsidRPr="00FD3EE9" w:rsidRDefault="00847726" w:rsidP="00842BD5">
            <w:pPr>
              <w:ind w:firstLineChars="200" w:firstLine="360"/>
              <w:jc w:val="center"/>
              <w:rPr>
                <w:sz w:val="18"/>
              </w:rPr>
            </w:pPr>
            <w:r w:rsidRPr="00FD3EE9">
              <w:rPr>
                <w:sz w:val="18"/>
              </w:rPr>
              <w:t>2005</w:t>
            </w:r>
          </w:p>
        </w:tc>
        <w:tc>
          <w:tcPr>
            <w:tcW w:w="1588" w:type="dxa"/>
            <w:tcBorders>
              <w:top w:val="single" w:sz="4" w:space="0" w:color="auto"/>
              <w:left w:val="nil"/>
              <w:bottom w:val="nil"/>
              <w:right w:val="nil"/>
            </w:tcBorders>
            <w:vAlign w:val="center"/>
          </w:tcPr>
          <w:p w14:paraId="392C342A" w14:textId="31C029A9" w:rsidR="00975206" w:rsidRPr="00FD3EE9" w:rsidRDefault="00847726" w:rsidP="00842BD5">
            <w:pPr>
              <w:tabs>
                <w:tab w:val="decimal" w:pos="873"/>
              </w:tabs>
              <w:ind w:firstLineChars="200" w:firstLine="360"/>
              <w:jc w:val="left"/>
              <w:rPr>
                <w:sz w:val="18"/>
              </w:rPr>
            </w:pPr>
            <w:r w:rsidRPr="00FD3EE9">
              <w:rPr>
                <w:sz w:val="18"/>
              </w:rPr>
              <w:t>476</w:t>
            </w:r>
          </w:p>
        </w:tc>
        <w:tc>
          <w:tcPr>
            <w:tcW w:w="1588" w:type="dxa"/>
            <w:tcBorders>
              <w:top w:val="single" w:sz="4" w:space="0" w:color="auto"/>
              <w:left w:val="nil"/>
              <w:bottom w:val="nil"/>
              <w:right w:val="nil"/>
            </w:tcBorders>
            <w:vAlign w:val="center"/>
          </w:tcPr>
          <w:p w14:paraId="6FD9FC95" w14:textId="5741B04D" w:rsidR="00975206" w:rsidRPr="00FD3EE9" w:rsidRDefault="00847726" w:rsidP="00842BD5">
            <w:pPr>
              <w:tabs>
                <w:tab w:val="decimal" w:pos="360"/>
              </w:tabs>
              <w:ind w:firstLineChars="200" w:firstLine="360"/>
              <w:jc w:val="left"/>
              <w:rPr>
                <w:sz w:val="18"/>
              </w:rPr>
            </w:pPr>
            <w:r w:rsidRPr="00FD3EE9">
              <w:rPr>
                <w:sz w:val="18"/>
              </w:rPr>
              <w:t>4.51</w:t>
            </w:r>
          </w:p>
        </w:tc>
        <w:tc>
          <w:tcPr>
            <w:tcW w:w="1985" w:type="dxa"/>
            <w:tcBorders>
              <w:top w:val="single" w:sz="4" w:space="0" w:color="auto"/>
              <w:left w:val="nil"/>
              <w:bottom w:val="nil"/>
            </w:tcBorders>
            <w:vAlign w:val="center"/>
          </w:tcPr>
          <w:p w14:paraId="18BBCB5B" w14:textId="5B829D09" w:rsidR="00975206" w:rsidRPr="00FD3EE9" w:rsidRDefault="00847726" w:rsidP="00842BD5">
            <w:pPr>
              <w:tabs>
                <w:tab w:val="decimal" w:pos="360"/>
              </w:tabs>
              <w:ind w:firstLineChars="200" w:firstLine="360"/>
              <w:jc w:val="left"/>
              <w:rPr>
                <w:sz w:val="18"/>
              </w:rPr>
            </w:pPr>
            <w:r w:rsidRPr="00FD3EE9">
              <w:rPr>
                <w:sz w:val="18"/>
              </w:rPr>
              <w:t>193.36</w:t>
            </w:r>
          </w:p>
        </w:tc>
      </w:tr>
      <w:tr w:rsidR="00847726" w:rsidRPr="00FD3EE9" w14:paraId="34E6B89D" w14:textId="77777777" w:rsidTr="00667C6C">
        <w:trPr>
          <w:trHeight w:hRule="exact" w:val="340"/>
          <w:jc w:val="center"/>
        </w:trPr>
        <w:tc>
          <w:tcPr>
            <w:tcW w:w="1588" w:type="dxa"/>
            <w:tcBorders>
              <w:top w:val="nil"/>
              <w:bottom w:val="nil"/>
              <w:right w:val="nil"/>
            </w:tcBorders>
            <w:vAlign w:val="center"/>
          </w:tcPr>
          <w:p w14:paraId="61607F18" w14:textId="5B0E9830" w:rsidR="00975206" w:rsidRPr="00FD3EE9" w:rsidRDefault="00847726" w:rsidP="00842BD5">
            <w:pPr>
              <w:ind w:firstLineChars="200" w:firstLine="360"/>
              <w:jc w:val="center"/>
              <w:rPr>
                <w:sz w:val="18"/>
              </w:rPr>
            </w:pPr>
            <w:r w:rsidRPr="00FD3EE9">
              <w:rPr>
                <w:sz w:val="18"/>
              </w:rPr>
              <w:t>2006</w:t>
            </w:r>
          </w:p>
        </w:tc>
        <w:tc>
          <w:tcPr>
            <w:tcW w:w="1588" w:type="dxa"/>
            <w:tcBorders>
              <w:top w:val="nil"/>
              <w:left w:val="nil"/>
              <w:bottom w:val="nil"/>
              <w:right w:val="nil"/>
            </w:tcBorders>
            <w:vAlign w:val="center"/>
          </w:tcPr>
          <w:p w14:paraId="4DF8B687" w14:textId="72ADF74A" w:rsidR="00975206" w:rsidRPr="00FD3EE9" w:rsidRDefault="00847726" w:rsidP="00842BD5">
            <w:pPr>
              <w:tabs>
                <w:tab w:val="decimal" w:pos="873"/>
              </w:tabs>
              <w:ind w:firstLineChars="200" w:firstLine="360"/>
              <w:jc w:val="left"/>
              <w:rPr>
                <w:sz w:val="18"/>
              </w:rPr>
            </w:pPr>
            <w:r w:rsidRPr="00FD3EE9">
              <w:rPr>
                <w:sz w:val="18"/>
              </w:rPr>
              <w:t>424</w:t>
            </w:r>
          </w:p>
        </w:tc>
        <w:tc>
          <w:tcPr>
            <w:tcW w:w="1588" w:type="dxa"/>
            <w:tcBorders>
              <w:top w:val="nil"/>
              <w:left w:val="nil"/>
              <w:bottom w:val="nil"/>
              <w:right w:val="nil"/>
            </w:tcBorders>
            <w:vAlign w:val="center"/>
          </w:tcPr>
          <w:p w14:paraId="597F27B7" w14:textId="16F4D982" w:rsidR="00975206" w:rsidRPr="00FD3EE9" w:rsidRDefault="00847726" w:rsidP="00842BD5">
            <w:pPr>
              <w:tabs>
                <w:tab w:val="decimal" w:pos="360"/>
              </w:tabs>
              <w:ind w:firstLineChars="200" w:firstLine="360"/>
              <w:jc w:val="left"/>
              <w:rPr>
                <w:sz w:val="18"/>
              </w:rPr>
            </w:pPr>
            <w:r w:rsidRPr="00FD3EE9">
              <w:rPr>
                <w:sz w:val="18"/>
              </w:rPr>
              <w:t>4.02</w:t>
            </w:r>
          </w:p>
        </w:tc>
        <w:tc>
          <w:tcPr>
            <w:tcW w:w="1985" w:type="dxa"/>
            <w:tcBorders>
              <w:top w:val="nil"/>
              <w:left w:val="nil"/>
              <w:bottom w:val="nil"/>
            </w:tcBorders>
            <w:vAlign w:val="center"/>
          </w:tcPr>
          <w:p w14:paraId="7E238D0A" w14:textId="0AC0DA59" w:rsidR="00975206" w:rsidRPr="00FD3EE9" w:rsidRDefault="00847726" w:rsidP="00842BD5">
            <w:pPr>
              <w:tabs>
                <w:tab w:val="decimal" w:pos="360"/>
              </w:tabs>
              <w:ind w:firstLineChars="200" w:firstLine="360"/>
              <w:jc w:val="left"/>
              <w:rPr>
                <w:sz w:val="18"/>
              </w:rPr>
            </w:pPr>
            <w:r w:rsidRPr="00FD3EE9">
              <w:rPr>
                <w:sz w:val="18"/>
              </w:rPr>
              <w:t>712.52</w:t>
            </w:r>
          </w:p>
        </w:tc>
      </w:tr>
      <w:tr w:rsidR="00847726" w:rsidRPr="00FD3EE9" w14:paraId="64F380C9" w14:textId="77777777" w:rsidTr="00667C6C">
        <w:trPr>
          <w:trHeight w:hRule="exact" w:val="340"/>
          <w:jc w:val="center"/>
        </w:trPr>
        <w:tc>
          <w:tcPr>
            <w:tcW w:w="1588" w:type="dxa"/>
            <w:tcBorders>
              <w:top w:val="nil"/>
              <w:bottom w:val="nil"/>
              <w:right w:val="nil"/>
            </w:tcBorders>
            <w:vAlign w:val="center"/>
          </w:tcPr>
          <w:p w14:paraId="12451BCE" w14:textId="0FF90CA6" w:rsidR="00975206" w:rsidRPr="00FD3EE9" w:rsidRDefault="00847726" w:rsidP="00842BD5">
            <w:pPr>
              <w:ind w:firstLineChars="200" w:firstLine="360"/>
              <w:jc w:val="center"/>
              <w:rPr>
                <w:sz w:val="18"/>
              </w:rPr>
            </w:pPr>
            <w:r w:rsidRPr="00FD3EE9">
              <w:rPr>
                <w:sz w:val="18"/>
              </w:rPr>
              <w:t>2007</w:t>
            </w:r>
          </w:p>
        </w:tc>
        <w:tc>
          <w:tcPr>
            <w:tcW w:w="1588" w:type="dxa"/>
            <w:tcBorders>
              <w:top w:val="nil"/>
              <w:left w:val="nil"/>
              <w:bottom w:val="nil"/>
              <w:right w:val="nil"/>
            </w:tcBorders>
            <w:vAlign w:val="center"/>
          </w:tcPr>
          <w:p w14:paraId="00486D3B" w14:textId="7FC867E7" w:rsidR="00975206" w:rsidRPr="00FD3EE9" w:rsidRDefault="00847726" w:rsidP="00842BD5">
            <w:pPr>
              <w:tabs>
                <w:tab w:val="decimal" w:pos="873"/>
              </w:tabs>
              <w:ind w:firstLineChars="200" w:firstLine="360"/>
              <w:jc w:val="left"/>
              <w:rPr>
                <w:sz w:val="18"/>
              </w:rPr>
            </w:pPr>
            <w:r w:rsidRPr="00FD3EE9">
              <w:rPr>
                <w:sz w:val="18"/>
              </w:rPr>
              <w:t>751</w:t>
            </w:r>
          </w:p>
        </w:tc>
        <w:tc>
          <w:tcPr>
            <w:tcW w:w="1588" w:type="dxa"/>
            <w:tcBorders>
              <w:top w:val="nil"/>
              <w:left w:val="nil"/>
              <w:bottom w:val="nil"/>
              <w:right w:val="nil"/>
            </w:tcBorders>
            <w:vAlign w:val="center"/>
          </w:tcPr>
          <w:p w14:paraId="7593172B" w14:textId="2EEA3CEF" w:rsidR="00975206" w:rsidRPr="00FD3EE9" w:rsidRDefault="00847726" w:rsidP="00842BD5">
            <w:pPr>
              <w:tabs>
                <w:tab w:val="decimal" w:pos="360"/>
              </w:tabs>
              <w:ind w:firstLineChars="200" w:firstLine="360"/>
              <w:jc w:val="left"/>
              <w:rPr>
                <w:sz w:val="18"/>
              </w:rPr>
            </w:pPr>
            <w:r w:rsidRPr="00FD3EE9">
              <w:rPr>
                <w:sz w:val="18"/>
              </w:rPr>
              <w:t>7.12</w:t>
            </w:r>
          </w:p>
        </w:tc>
        <w:tc>
          <w:tcPr>
            <w:tcW w:w="1985" w:type="dxa"/>
            <w:tcBorders>
              <w:top w:val="nil"/>
              <w:left w:val="nil"/>
              <w:bottom w:val="nil"/>
            </w:tcBorders>
            <w:vAlign w:val="center"/>
          </w:tcPr>
          <w:p w14:paraId="26ECC94E" w14:textId="7469DBCC" w:rsidR="00975206" w:rsidRPr="00FD3EE9" w:rsidRDefault="00847726" w:rsidP="00842BD5">
            <w:pPr>
              <w:tabs>
                <w:tab w:val="decimal" w:pos="360"/>
              </w:tabs>
              <w:ind w:firstLineChars="200" w:firstLine="360"/>
              <w:jc w:val="left"/>
              <w:rPr>
                <w:sz w:val="18"/>
              </w:rPr>
            </w:pPr>
            <w:r w:rsidRPr="00FD3EE9">
              <w:rPr>
                <w:sz w:val="18"/>
              </w:rPr>
              <w:t>400.57</w:t>
            </w:r>
          </w:p>
        </w:tc>
      </w:tr>
      <w:tr w:rsidR="00847726" w:rsidRPr="00FD3EE9" w14:paraId="0F26C986" w14:textId="77777777" w:rsidTr="00667C6C">
        <w:trPr>
          <w:trHeight w:hRule="exact" w:val="340"/>
          <w:jc w:val="center"/>
        </w:trPr>
        <w:tc>
          <w:tcPr>
            <w:tcW w:w="1588" w:type="dxa"/>
            <w:tcBorders>
              <w:top w:val="nil"/>
              <w:bottom w:val="nil"/>
              <w:right w:val="nil"/>
            </w:tcBorders>
            <w:vAlign w:val="center"/>
          </w:tcPr>
          <w:p w14:paraId="6CA09BD9" w14:textId="72861DA6" w:rsidR="00975206" w:rsidRPr="00FD3EE9" w:rsidRDefault="00847726" w:rsidP="00842BD5">
            <w:pPr>
              <w:ind w:firstLineChars="200" w:firstLine="360"/>
              <w:jc w:val="center"/>
              <w:rPr>
                <w:sz w:val="18"/>
              </w:rPr>
            </w:pPr>
            <w:r w:rsidRPr="00FD3EE9">
              <w:rPr>
                <w:sz w:val="18"/>
              </w:rPr>
              <w:t>2008</w:t>
            </w:r>
          </w:p>
        </w:tc>
        <w:tc>
          <w:tcPr>
            <w:tcW w:w="1588" w:type="dxa"/>
            <w:tcBorders>
              <w:top w:val="nil"/>
              <w:left w:val="nil"/>
              <w:bottom w:val="nil"/>
              <w:right w:val="nil"/>
            </w:tcBorders>
            <w:vAlign w:val="center"/>
          </w:tcPr>
          <w:p w14:paraId="6887C532" w14:textId="1C899702" w:rsidR="00975206" w:rsidRPr="00FD3EE9" w:rsidRDefault="00847726" w:rsidP="00842BD5">
            <w:pPr>
              <w:tabs>
                <w:tab w:val="decimal" w:pos="873"/>
              </w:tabs>
              <w:ind w:firstLineChars="200" w:firstLine="360"/>
              <w:jc w:val="left"/>
              <w:rPr>
                <w:sz w:val="18"/>
              </w:rPr>
            </w:pPr>
            <w:r w:rsidRPr="00FD3EE9">
              <w:rPr>
                <w:sz w:val="18"/>
              </w:rPr>
              <w:t>835</w:t>
            </w:r>
          </w:p>
        </w:tc>
        <w:tc>
          <w:tcPr>
            <w:tcW w:w="1588" w:type="dxa"/>
            <w:tcBorders>
              <w:top w:val="nil"/>
              <w:left w:val="nil"/>
              <w:bottom w:val="nil"/>
              <w:right w:val="nil"/>
            </w:tcBorders>
            <w:vAlign w:val="center"/>
          </w:tcPr>
          <w:p w14:paraId="3BA508A0" w14:textId="0F7DFC22" w:rsidR="00975206" w:rsidRPr="00FD3EE9" w:rsidRDefault="00847726" w:rsidP="00842BD5">
            <w:pPr>
              <w:tabs>
                <w:tab w:val="decimal" w:pos="360"/>
              </w:tabs>
              <w:ind w:firstLineChars="200" w:firstLine="360"/>
              <w:jc w:val="left"/>
              <w:rPr>
                <w:sz w:val="18"/>
              </w:rPr>
            </w:pPr>
            <w:r w:rsidRPr="00FD3EE9">
              <w:rPr>
                <w:sz w:val="18"/>
              </w:rPr>
              <w:t>7.91</w:t>
            </w:r>
          </w:p>
        </w:tc>
        <w:tc>
          <w:tcPr>
            <w:tcW w:w="1985" w:type="dxa"/>
            <w:tcBorders>
              <w:top w:val="nil"/>
              <w:left w:val="nil"/>
              <w:bottom w:val="nil"/>
            </w:tcBorders>
            <w:vAlign w:val="center"/>
          </w:tcPr>
          <w:p w14:paraId="4548A676" w14:textId="310467DF" w:rsidR="00975206" w:rsidRPr="00FD3EE9" w:rsidRDefault="00847726" w:rsidP="00842BD5">
            <w:pPr>
              <w:tabs>
                <w:tab w:val="decimal" w:pos="360"/>
              </w:tabs>
              <w:ind w:firstLineChars="200" w:firstLine="360"/>
              <w:jc w:val="left"/>
              <w:rPr>
                <w:sz w:val="18"/>
              </w:rPr>
            </w:pPr>
            <w:r w:rsidRPr="00FD3EE9">
              <w:rPr>
                <w:sz w:val="18"/>
              </w:rPr>
              <w:t>273.97</w:t>
            </w:r>
          </w:p>
        </w:tc>
      </w:tr>
      <w:tr w:rsidR="00847726" w:rsidRPr="00FD3EE9" w14:paraId="07B5A70B" w14:textId="77777777" w:rsidTr="00667C6C">
        <w:trPr>
          <w:trHeight w:hRule="exact" w:val="340"/>
          <w:jc w:val="center"/>
        </w:trPr>
        <w:tc>
          <w:tcPr>
            <w:tcW w:w="1588" w:type="dxa"/>
            <w:tcBorders>
              <w:top w:val="nil"/>
              <w:bottom w:val="nil"/>
              <w:right w:val="nil"/>
            </w:tcBorders>
            <w:vAlign w:val="center"/>
          </w:tcPr>
          <w:p w14:paraId="5E0DC630" w14:textId="39E13E98" w:rsidR="00975206" w:rsidRPr="00FD3EE9" w:rsidRDefault="00847726" w:rsidP="00842BD5">
            <w:pPr>
              <w:ind w:firstLineChars="200" w:firstLine="360"/>
              <w:jc w:val="center"/>
              <w:rPr>
                <w:sz w:val="18"/>
              </w:rPr>
            </w:pPr>
            <w:r w:rsidRPr="00FD3EE9">
              <w:rPr>
                <w:sz w:val="18"/>
              </w:rPr>
              <w:t>2009</w:t>
            </w:r>
          </w:p>
        </w:tc>
        <w:tc>
          <w:tcPr>
            <w:tcW w:w="1588" w:type="dxa"/>
            <w:tcBorders>
              <w:top w:val="nil"/>
              <w:left w:val="nil"/>
              <w:bottom w:val="nil"/>
              <w:right w:val="nil"/>
            </w:tcBorders>
            <w:vAlign w:val="center"/>
          </w:tcPr>
          <w:p w14:paraId="5178F53B" w14:textId="08A2B028" w:rsidR="00975206" w:rsidRPr="00FD3EE9" w:rsidRDefault="00847726" w:rsidP="00842BD5">
            <w:pPr>
              <w:tabs>
                <w:tab w:val="decimal" w:pos="873"/>
              </w:tabs>
              <w:ind w:firstLineChars="200" w:firstLine="360"/>
              <w:jc w:val="left"/>
              <w:rPr>
                <w:sz w:val="18"/>
              </w:rPr>
            </w:pPr>
            <w:r w:rsidRPr="00FD3EE9">
              <w:rPr>
                <w:sz w:val="18"/>
              </w:rPr>
              <w:t>884</w:t>
            </w:r>
          </w:p>
        </w:tc>
        <w:tc>
          <w:tcPr>
            <w:tcW w:w="1588" w:type="dxa"/>
            <w:tcBorders>
              <w:top w:val="nil"/>
              <w:left w:val="nil"/>
              <w:bottom w:val="nil"/>
              <w:right w:val="nil"/>
            </w:tcBorders>
            <w:vAlign w:val="center"/>
          </w:tcPr>
          <w:p w14:paraId="2864B173" w14:textId="6B4B9BB9" w:rsidR="00975206" w:rsidRPr="00FD3EE9" w:rsidRDefault="00847726" w:rsidP="00842BD5">
            <w:pPr>
              <w:tabs>
                <w:tab w:val="decimal" w:pos="360"/>
              </w:tabs>
              <w:ind w:firstLineChars="200" w:firstLine="360"/>
              <w:jc w:val="left"/>
              <w:rPr>
                <w:sz w:val="18"/>
              </w:rPr>
            </w:pPr>
            <w:r w:rsidRPr="00FD3EE9">
              <w:rPr>
                <w:sz w:val="18"/>
              </w:rPr>
              <w:t>8.38</w:t>
            </w:r>
          </w:p>
        </w:tc>
        <w:tc>
          <w:tcPr>
            <w:tcW w:w="1985" w:type="dxa"/>
            <w:tcBorders>
              <w:top w:val="nil"/>
              <w:left w:val="nil"/>
              <w:bottom w:val="nil"/>
            </w:tcBorders>
            <w:vAlign w:val="center"/>
          </w:tcPr>
          <w:p w14:paraId="39F85A86" w14:textId="10AAB01E" w:rsidR="00975206" w:rsidRPr="00FD3EE9" w:rsidRDefault="00847726" w:rsidP="00842BD5">
            <w:pPr>
              <w:tabs>
                <w:tab w:val="decimal" w:pos="360"/>
              </w:tabs>
              <w:ind w:firstLineChars="200" w:firstLine="360"/>
              <w:jc w:val="left"/>
              <w:rPr>
                <w:sz w:val="18"/>
              </w:rPr>
            </w:pPr>
            <w:r w:rsidRPr="00FD3EE9">
              <w:rPr>
                <w:sz w:val="18"/>
              </w:rPr>
              <w:t>413.94</w:t>
            </w:r>
          </w:p>
        </w:tc>
      </w:tr>
      <w:tr w:rsidR="00847726" w:rsidRPr="00FD3EE9" w14:paraId="5C89F8FE" w14:textId="77777777" w:rsidTr="00667C6C">
        <w:trPr>
          <w:trHeight w:hRule="exact" w:val="340"/>
          <w:jc w:val="center"/>
        </w:trPr>
        <w:tc>
          <w:tcPr>
            <w:tcW w:w="1588" w:type="dxa"/>
            <w:tcBorders>
              <w:top w:val="nil"/>
              <w:bottom w:val="nil"/>
              <w:right w:val="nil"/>
            </w:tcBorders>
            <w:vAlign w:val="center"/>
          </w:tcPr>
          <w:p w14:paraId="5ED5F4BC" w14:textId="424D8AF4" w:rsidR="00975206" w:rsidRPr="00FD3EE9" w:rsidRDefault="00847726" w:rsidP="00842BD5">
            <w:pPr>
              <w:ind w:firstLineChars="200" w:firstLine="360"/>
              <w:jc w:val="center"/>
              <w:rPr>
                <w:sz w:val="18"/>
              </w:rPr>
            </w:pPr>
            <w:r w:rsidRPr="00FD3EE9">
              <w:rPr>
                <w:sz w:val="18"/>
              </w:rPr>
              <w:t>2010</w:t>
            </w:r>
          </w:p>
        </w:tc>
        <w:tc>
          <w:tcPr>
            <w:tcW w:w="1588" w:type="dxa"/>
            <w:tcBorders>
              <w:top w:val="nil"/>
              <w:left w:val="nil"/>
              <w:bottom w:val="nil"/>
              <w:right w:val="nil"/>
            </w:tcBorders>
            <w:vAlign w:val="center"/>
          </w:tcPr>
          <w:p w14:paraId="511AC2C9" w14:textId="5569F597" w:rsidR="00975206" w:rsidRPr="00FD3EE9" w:rsidRDefault="00847726" w:rsidP="00842BD5">
            <w:pPr>
              <w:tabs>
                <w:tab w:val="decimal" w:pos="873"/>
              </w:tabs>
              <w:ind w:firstLineChars="200" w:firstLine="360"/>
              <w:jc w:val="left"/>
              <w:rPr>
                <w:sz w:val="18"/>
              </w:rPr>
            </w:pPr>
            <w:r w:rsidRPr="00FD3EE9">
              <w:rPr>
                <w:sz w:val="18"/>
              </w:rPr>
              <w:t>1</w:t>
            </w:r>
            <w:r w:rsidR="00EA4F8D" w:rsidRPr="00FD3EE9">
              <w:rPr>
                <w:sz w:val="18"/>
              </w:rPr>
              <w:t>,</w:t>
            </w:r>
            <w:r w:rsidRPr="00FD3EE9">
              <w:rPr>
                <w:sz w:val="18"/>
              </w:rPr>
              <w:t>357</w:t>
            </w:r>
          </w:p>
        </w:tc>
        <w:tc>
          <w:tcPr>
            <w:tcW w:w="1588" w:type="dxa"/>
            <w:tcBorders>
              <w:top w:val="nil"/>
              <w:left w:val="nil"/>
              <w:bottom w:val="nil"/>
              <w:right w:val="nil"/>
            </w:tcBorders>
            <w:vAlign w:val="center"/>
          </w:tcPr>
          <w:p w14:paraId="0AAF87D8" w14:textId="258B1080" w:rsidR="00975206" w:rsidRPr="00FD3EE9" w:rsidRDefault="00847726" w:rsidP="00842BD5">
            <w:pPr>
              <w:tabs>
                <w:tab w:val="decimal" w:pos="360"/>
              </w:tabs>
              <w:ind w:firstLineChars="200" w:firstLine="360"/>
              <w:jc w:val="left"/>
              <w:rPr>
                <w:sz w:val="18"/>
              </w:rPr>
            </w:pPr>
            <w:r w:rsidRPr="00FD3EE9">
              <w:rPr>
                <w:sz w:val="18"/>
              </w:rPr>
              <w:t>12.86</w:t>
            </w:r>
          </w:p>
        </w:tc>
        <w:tc>
          <w:tcPr>
            <w:tcW w:w="1985" w:type="dxa"/>
            <w:tcBorders>
              <w:top w:val="nil"/>
              <w:left w:val="nil"/>
              <w:bottom w:val="nil"/>
            </w:tcBorders>
            <w:vAlign w:val="center"/>
          </w:tcPr>
          <w:p w14:paraId="0AFB0F63" w14:textId="347D57E3" w:rsidR="00975206" w:rsidRPr="00FD3EE9" w:rsidRDefault="00847726" w:rsidP="00842BD5">
            <w:pPr>
              <w:tabs>
                <w:tab w:val="decimal" w:pos="360"/>
              </w:tabs>
              <w:ind w:firstLineChars="200" w:firstLine="360"/>
              <w:jc w:val="left"/>
              <w:rPr>
                <w:sz w:val="18"/>
              </w:rPr>
            </w:pPr>
            <w:r w:rsidRPr="00FD3EE9">
              <w:rPr>
                <w:sz w:val="18"/>
              </w:rPr>
              <w:t>332.22</w:t>
            </w:r>
          </w:p>
        </w:tc>
      </w:tr>
      <w:tr w:rsidR="00847726" w:rsidRPr="00FD3EE9" w14:paraId="21EB9FEC" w14:textId="77777777" w:rsidTr="00667C6C">
        <w:trPr>
          <w:trHeight w:hRule="exact" w:val="340"/>
          <w:jc w:val="center"/>
        </w:trPr>
        <w:tc>
          <w:tcPr>
            <w:tcW w:w="1588" w:type="dxa"/>
            <w:tcBorders>
              <w:top w:val="nil"/>
              <w:bottom w:val="nil"/>
              <w:right w:val="nil"/>
            </w:tcBorders>
            <w:vAlign w:val="center"/>
          </w:tcPr>
          <w:p w14:paraId="342212AC" w14:textId="2F24020F" w:rsidR="00975206" w:rsidRPr="00FD3EE9" w:rsidRDefault="00847726" w:rsidP="00842BD5">
            <w:pPr>
              <w:ind w:firstLineChars="200" w:firstLine="360"/>
              <w:jc w:val="center"/>
              <w:rPr>
                <w:sz w:val="18"/>
              </w:rPr>
            </w:pPr>
            <w:r w:rsidRPr="00FD3EE9">
              <w:rPr>
                <w:sz w:val="18"/>
              </w:rPr>
              <w:t>2011</w:t>
            </w:r>
          </w:p>
        </w:tc>
        <w:tc>
          <w:tcPr>
            <w:tcW w:w="1588" w:type="dxa"/>
            <w:tcBorders>
              <w:top w:val="nil"/>
              <w:left w:val="nil"/>
              <w:bottom w:val="nil"/>
              <w:right w:val="nil"/>
            </w:tcBorders>
            <w:vAlign w:val="center"/>
          </w:tcPr>
          <w:p w14:paraId="1A3327A1" w14:textId="1F204D5A" w:rsidR="00975206" w:rsidRPr="00FD3EE9" w:rsidRDefault="00847726" w:rsidP="00842BD5">
            <w:pPr>
              <w:tabs>
                <w:tab w:val="decimal" w:pos="873"/>
              </w:tabs>
              <w:ind w:firstLineChars="200" w:firstLine="360"/>
              <w:jc w:val="left"/>
              <w:rPr>
                <w:sz w:val="18"/>
              </w:rPr>
            </w:pPr>
            <w:r w:rsidRPr="00FD3EE9">
              <w:rPr>
                <w:sz w:val="18"/>
              </w:rPr>
              <w:t>1</w:t>
            </w:r>
            <w:r w:rsidR="00EA4F8D" w:rsidRPr="00FD3EE9">
              <w:rPr>
                <w:sz w:val="18"/>
              </w:rPr>
              <w:t>,</w:t>
            </w:r>
            <w:r w:rsidRPr="00FD3EE9">
              <w:rPr>
                <w:sz w:val="18"/>
              </w:rPr>
              <w:t>587</w:t>
            </w:r>
          </w:p>
        </w:tc>
        <w:tc>
          <w:tcPr>
            <w:tcW w:w="1588" w:type="dxa"/>
            <w:tcBorders>
              <w:top w:val="nil"/>
              <w:left w:val="nil"/>
              <w:bottom w:val="nil"/>
              <w:right w:val="nil"/>
            </w:tcBorders>
            <w:vAlign w:val="center"/>
          </w:tcPr>
          <w:p w14:paraId="3784087B" w14:textId="23015D9B" w:rsidR="00975206" w:rsidRPr="00FD3EE9" w:rsidRDefault="00847726" w:rsidP="00842BD5">
            <w:pPr>
              <w:tabs>
                <w:tab w:val="decimal" w:pos="360"/>
              </w:tabs>
              <w:ind w:firstLineChars="200" w:firstLine="360"/>
              <w:jc w:val="left"/>
              <w:rPr>
                <w:sz w:val="18"/>
              </w:rPr>
            </w:pPr>
            <w:r w:rsidRPr="00FD3EE9">
              <w:rPr>
                <w:sz w:val="18"/>
              </w:rPr>
              <w:t>15.04</w:t>
            </w:r>
          </w:p>
        </w:tc>
        <w:tc>
          <w:tcPr>
            <w:tcW w:w="1985" w:type="dxa"/>
            <w:tcBorders>
              <w:top w:val="nil"/>
              <w:left w:val="nil"/>
              <w:bottom w:val="nil"/>
            </w:tcBorders>
            <w:vAlign w:val="center"/>
          </w:tcPr>
          <w:p w14:paraId="5F462AFA" w14:textId="72F28AFF" w:rsidR="00975206" w:rsidRPr="00FD3EE9" w:rsidRDefault="00847726" w:rsidP="00842BD5">
            <w:pPr>
              <w:tabs>
                <w:tab w:val="decimal" w:pos="360"/>
              </w:tabs>
              <w:ind w:firstLineChars="200" w:firstLine="360"/>
              <w:jc w:val="left"/>
              <w:rPr>
                <w:sz w:val="18"/>
              </w:rPr>
            </w:pPr>
            <w:r w:rsidRPr="00FD3EE9">
              <w:rPr>
                <w:sz w:val="18"/>
              </w:rPr>
              <w:t>233.67</w:t>
            </w:r>
          </w:p>
        </w:tc>
      </w:tr>
      <w:tr w:rsidR="00847726" w:rsidRPr="00FD3EE9" w14:paraId="6AB919E6" w14:textId="77777777" w:rsidTr="00667C6C">
        <w:trPr>
          <w:trHeight w:hRule="exact" w:val="340"/>
          <w:jc w:val="center"/>
        </w:trPr>
        <w:tc>
          <w:tcPr>
            <w:tcW w:w="1588" w:type="dxa"/>
            <w:tcBorders>
              <w:top w:val="nil"/>
              <w:bottom w:val="nil"/>
              <w:right w:val="nil"/>
            </w:tcBorders>
            <w:vAlign w:val="center"/>
          </w:tcPr>
          <w:p w14:paraId="6762F82C" w14:textId="48F10D58" w:rsidR="00975206" w:rsidRPr="00FD3EE9" w:rsidRDefault="00847726" w:rsidP="00842BD5">
            <w:pPr>
              <w:ind w:firstLineChars="200" w:firstLine="360"/>
              <w:jc w:val="center"/>
              <w:rPr>
                <w:sz w:val="18"/>
              </w:rPr>
            </w:pPr>
            <w:r w:rsidRPr="00FD3EE9">
              <w:rPr>
                <w:sz w:val="18"/>
              </w:rPr>
              <w:t>2012</w:t>
            </w:r>
          </w:p>
        </w:tc>
        <w:tc>
          <w:tcPr>
            <w:tcW w:w="1588" w:type="dxa"/>
            <w:tcBorders>
              <w:top w:val="nil"/>
              <w:left w:val="nil"/>
              <w:bottom w:val="nil"/>
              <w:right w:val="nil"/>
            </w:tcBorders>
            <w:vAlign w:val="center"/>
          </w:tcPr>
          <w:p w14:paraId="5AD7AF36" w14:textId="02509855" w:rsidR="00975206" w:rsidRPr="00FD3EE9" w:rsidRDefault="00847726" w:rsidP="00842BD5">
            <w:pPr>
              <w:tabs>
                <w:tab w:val="decimal" w:pos="873"/>
              </w:tabs>
              <w:ind w:firstLineChars="200" w:firstLine="360"/>
              <w:jc w:val="left"/>
              <w:rPr>
                <w:sz w:val="18"/>
              </w:rPr>
            </w:pPr>
            <w:r w:rsidRPr="00FD3EE9">
              <w:rPr>
                <w:sz w:val="18"/>
              </w:rPr>
              <w:t>1</w:t>
            </w:r>
            <w:r w:rsidR="00EA4F8D" w:rsidRPr="00FD3EE9">
              <w:rPr>
                <w:sz w:val="18"/>
              </w:rPr>
              <w:t>,</w:t>
            </w:r>
            <w:r w:rsidRPr="00FD3EE9">
              <w:rPr>
                <w:sz w:val="18"/>
              </w:rPr>
              <w:t>149</w:t>
            </w:r>
          </w:p>
        </w:tc>
        <w:tc>
          <w:tcPr>
            <w:tcW w:w="1588" w:type="dxa"/>
            <w:tcBorders>
              <w:top w:val="nil"/>
              <w:left w:val="nil"/>
              <w:bottom w:val="nil"/>
              <w:right w:val="nil"/>
            </w:tcBorders>
            <w:vAlign w:val="center"/>
          </w:tcPr>
          <w:p w14:paraId="1F6994CB" w14:textId="21A1DC6A" w:rsidR="00975206" w:rsidRPr="00FD3EE9" w:rsidRDefault="00847726" w:rsidP="00842BD5">
            <w:pPr>
              <w:tabs>
                <w:tab w:val="decimal" w:pos="360"/>
              </w:tabs>
              <w:ind w:firstLineChars="200" w:firstLine="360"/>
              <w:jc w:val="left"/>
              <w:rPr>
                <w:sz w:val="18"/>
              </w:rPr>
            </w:pPr>
            <w:r w:rsidRPr="00FD3EE9">
              <w:rPr>
                <w:sz w:val="18"/>
              </w:rPr>
              <w:t>10.89</w:t>
            </w:r>
          </w:p>
        </w:tc>
        <w:tc>
          <w:tcPr>
            <w:tcW w:w="1985" w:type="dxa"/>
            <w:tcBorders>
              <w:top w:val="nil"/>
              <w:left w:val="nil"/>
              <w:bottom w:val="nil"/>
            </w:tcBorders>
            <w:vAlign w:val="center"/>
          </w:tcPr>
          <w:p w14:paraId="307DF1FC" w14:textId="4BB3B20D" w:rsidR="00975206" w:rsidRPr="00FD3EE9" w:rsidRDefault="00847726" w:rsidP="00842BD5">
            <w:pPr>
              <w:tabs>
                <w:tab w:val="decimal" w:pos="360"/>
              </w:tabs>
              <w:ind w:firstLineChars="200" w:firstLine="360"/>
              <w:jc w:val="left"/>
              <w:rPr>
                <w:sz w:val="18"/>
              </w:rPr>
            </w:pPr>
            <w:r w:rsidRPr="00FD3EE9">
              <w:rPr>
                <w:sz w:val="18"/>
              </w:rPr>
              <w:t>290.82</w:t>
            </w:r>
          </w:p>
        </w:tc>
      </w:tr>
      <w:tr w:rsidR="00847726" w:rsidRPr="00FD3EE9" w14:paraId="6051673D" w14:textId="77777777" w:rsidTr="00667C6C">
        <w:trPr>
          <w:trHeight w:hRule="exact" w:val="340"/>
          <w:jc w:val="center"/>
        </w:trPr>
        <w:tc>
          <w:tcPr>
            <w:tcW w:w="1588" w:type="dxa"/>
            <w:tcBorders>
              <w:top w:val="nil"/>
              <w:bottom w:val="nil"/>
              <w:right w:val="nil"/>
            </w:tcBorders>
            <w:vAlign w:val="center"/>
          </w:tcPr>
          <w:p w14:paraId="5A238616" w14:textId="316EBBEC" w:rsidR="00975206" w:rsidRPr="00FD3EE9" w:rsidRDefault="00847726" w:rsidP="00842BD5">
            <w:pPr>
              <w:ind w:firstLineChars="200" w:firstLine="360"/>
              <w:jc w:val="center"/>
              <w:rPr>
                <w:sz w:val="18"/>
              </w:rPr>
            </w:pPr>
            <w:r w:rsidRPr="00FD3EE9">
              <w:rPr>
                <w:sz w:val="18"/>
              </w:rPr>
              <w:t>2013</w:t>
            </w:r>
          </w:p>
        </w:tc>
        <w:tc>
          <w:tcPr>
            <w:tcW w:w="1588" w:type="dxa"/>
            <w:tcBorders>
              <w:top w:val="nil"/>
              <w:left w:val="nil"/>
              <w:bottom w:val="nil"/>
              <w:right w:val="nil"/>
            </w:tcBorders>
            <w:vAlign w:val="center"/>
          </w:tcPr>
          <w:p w14:paraId="1FDBEBA9" w14:textId="44797511" w:rsidR="00975206" w:rsidRPr="00FD3EE9" w:rsidRDefault="00847726" w:rsidP="00842BD5">
            <w:pPr>
              <w:tabs>
                <w:tab w:val="decimal" w:pos="873"/>
              </w:tabs>
              <w:ind w:firstLineChars="200" w:firstLine="360"/>
              <w:jc w:val="left"/>
              <w:rPr>
                <w:sz w:val="18"/>
              </w:rPr>
            </w:pPr>
            <w:r w:rsidRPr="00FD3EE9">
              <w:rPr>
                <w:sz w:val="18"/>
              </w:rPr>
              <w:t>1</w:t>
            </w:r>
            <w:r w:rsidR="00EA4F8D" w:rsidRPr="00FD3EE9">
              <w:rPr>
                <w:sz w:val="18"/>
              </w:rPr>
              <w:t>,</w:t>
            </w:r>
            <w:r w:rsidRPr="00FD3EE9">
              <w:rPr>
                <w:sz w:val="18"/>
              </w:rPr>
              <w:t>349</w:t>
            </w:r>
          </w:p>
        </w:tc>
        <w:tc>
          <w:tcPr>
            <w:tcW w:w="1588" w:type="dxa"/>
            <w:tcBorders>
              <w:top w:val="nil"/>
              <w:left w:val="nil"/>
              <w:bottom w:val="nil"/>
              <w:right w:val="nil"/>
            </w:tcBorders>
            <w:vAlign w:val="center"/>
          </w:tcPr>
          <w:p w14:paraId="52EC7AED" w14:textId="46CFFAA0" w:rsidR="00975206" w:rsidRPr="00FD3EE9" w:rsidRDefault="00847726" w:rsidP="00842BD5">
            <w:pPr>
              <w:tabs>
                <w:tab w:val="decimal" w:pos="360"/>
              </w:tabs>
              <w:ind w:firstLineChars="200" w:firstLine="360"/>
              <w:jc w:val="left"/>
              <w:rPr>
                <w:sz w:val="18"/>
              </w:rPr>
            </w:pPr>
            <w:r w:rsidRPr="00FD3EE9">
              <w:rPr>
                <w:sz w:val="18"/>
              </w:rPr>
              <w:t>12.78</w:t>
            </w:r>
          </w:p>
        </w:tc>
        <w:tc>
          <w:tcPr>
            <w:tcW w:w="1985" w:type="dxa"/>
            <w:tcBorders>
              <w:top w:val="nil"/>
              <w:left w:val="nil"/>
              <w:bottom w:val="nil"/>
            </w:tcBorders>
            <w:vAlign w:val="center"/>
          </w:tcPr>
          <w:p w14:paraId="5534A958" w14:textId="6DB65818" w:rsidR="00975206" w:rsidRPr="00FD3EE9" w:rsidRDefault="00847726" w:rsidP="00842BD5">
            <w:pPr>
              <w:tabs>
                <w:tab w:val="decimal" w:pos="360"/>
              </w:tabs>
              <w:ind w:firstLineChars="200" w:firstLine="360"/>
              <w:jc w:val="left"/>
              <w:rPr>
                <w:sz w:val="18"/>
              </w:rPr>
            </w:pPr>
            <w:r w:rsidRPr="00FD3EE9">
              <w:rPr>
                <w:sz w:val="18"/>
              </w:rPr>
              <w:t>359.05</w:t>
            </w:r>
          </w:p>
        </w:tc>
      </w:tr>
      <w:tr w:rsidR="00847726" w:rsidRPr="00FD3EE9" w14:paraId="25792918" w14:textId="77777777" w:rsidTr="00523F5B">
        <w:trPr>
          <w:trHeight w:hRule="exact" w:val="340"/>
          <w:jc w:val="center"/>
        </w:trPr>
        <w:tc>
          <w:tcPr>
            <w:tcW w:w="1588" w:type="dxa"/>
            <w:tcBorders>
              <w:top w:val="nil"/>
              <w:bottom w:val="single" w:sz="4" w:space="0" w:color="auto"/>
              <w:right w:val="nil"/>
            </w:tcBorders>
            <w:vAlign w:val="center"/>
          </w:tcPr>
          <w:p w14:paraId="2DF279EF" w14:textId="33500E2E" w:rsidR="00975206" w:rsidRPr="00FD3EE9" w:rsidRDefault="00847726" w:rsidP="00842BD5">
            <w:pPr>
              <w:ind w:firstLineChars="200" w:firstLine="360"/>
              <w:jc w:val="center"/>
              <w:rPr>
                <w:sz w:val="18"/>
              </w:rPr>
            </w:pPr>
            <w:r w:rsidRPr="00FD3EE9">
              <w:rPr>
                <w:sz w:val="18"/>
              </w:rPr>
              <w:t>2014</w:t>
            </w:r>
          </w:p>
        </w:tc>
        <w:tc>
          <w:tcPr>
            <w:tcW w:w="1588" w:type="dxa"/>
            <w:tcBorders>
              <w:top w:val="nil"/>
              <w:left w:val="nil"/>
              <w:bottom w:val="single" w:sz="4" w:space="0" w:color="auto"/>
              <w:right w:val="nil"/>
            </w:tcBorders>
            <w:vAlign w:val="center"/>
          </w:tcPr>
          <w:p w14:paraId="4A3C9972" w14:textId="5B5832E9" w:rsidR="00975206" w:rsidRPr="00FD3EE9" w:rsidRDefault="00847726" w:rsidP="00842BD5">
            <w:pPr>
              <w:tabs>
                <w:tab w:val="decimal" w:pos="873"/>
              </w:tabs>
              <w:ind w:firstLineChars="200" w:firstLine="360"/>
              <w:jc w:val="left"/>
              <w:rPr>
                <w:sz w:val="18"/>
              </w:rPr>
            </w:pPr>
            <w:r w:rsidRPr="00FD3EE9">
              <w:rPr>
                <w:sz w:val="18"/>
              </w:rPr>
              <w:t>1</w:t>
            </w:r>
            <w:r w:rsidR="00EA4F8D" w:rsidRPr="00FD3EE9">
              <w:rPr>
                <w:sz w:val="18"/>
              </w:rPr>
              <w:t>,</w:t>
            </w:r>
            <w:r w:rsidRPr="00FD3EE9">
              <w:rPr>
                <w:sz w:val="18"/>
              </w:rPr>
              <w:t>741</w:t>
            </w:r>
          </w:p>
        </w:tc>
        <w:tc>
          <w:tcPr>
            <w:tcW w:w="1588" w:type="dxa"/>
            <w:tcBorders>
              <w:top w:val="nil"/>
              <w:left w:val="nil"/>
              <w:bottom w:val="single" w:sz="4" w:space="0" w:color="auto"/>
              <w:right w:val="nil"/>
            </w:tcBorders>
            <w:vAlign w:val="center"/>
          </w:tcPr>
          <w:p w14:paraId="11D7792B" w14:textId="5C435368" w:rsidR="00975206" w:rsidRPr="00FD3EE9" w:rsidRDefault="00847726" w:rsidP="00842BD5">
            <w:pPr>
              <w:tabs>
                <w:tab w:val="decimal" w:pos="360"/>
              </w:tabs>
              <w:ind w:firstLineChars="200" w:firstLine="360"/>
              <w:jc w:val="left"/>
              <w:rPr>
                <w:sz w:val="18"/>
              </w:rPr>
            </w:pPr>
            <w:r w:rsidRPr="00FD3EE9">
              <w:rPr>
                <w:sz w:val="18"/>
              </w:rPr>
              <w:t>16.50</w:t>
            </w:r>
          </w:p>
        </w:tc>
        <w:tc>
          <w:tcPr>
            <w:tcW w:w="1985" w:type="dxa"/>
            <w:tcBorders>
              <w:top w:val="nil"/>
              <w:left w:val="nil"/>
              <w:bottom w:val="single" w:sz="4" w:space="0" w:color="auto"/>
            </w:tcBorders>
            <w:vAlign w:val="center"/>
          </w:tcPr>
          <w:p w14:paraId="1250166E" w14:textId="64F7E38E" w:rsidR="00975206" w:rsidRPr="00FD3EE9" w:rsidRDefault="00847726" w:rsidP="00842BD5">
            <w:pPr>
              <w:tabs>
                <w:tab w:val="decimal" w:pos="360"/>
              </w:tabs>
              <w:ind w:firstLineChars="200" w:firstLine="360"/>
              <w:jc w:val="left"/>
              <w:rPr>
                <w:sz w:val="18"/>
              </w:rPr>
            </w:pPr>
            <w:r w:rsidRPr="00FD3EE9">
              <w:rPr>
                <w:sz w:val="18"/>
              </w:rPr>
              <w:t>514.27</w:t>
            </w:r>
          </w:p>
        </w:tc>
      </w:tr>
      <w:tr w:rsidR="00847726" w:rsidRPr="00FD3EE9" w14:paraId="76DE1D1E" w14:textId="77777777" w:rsidTr="00523F5B">
        <w:trPr>
          <w:trHeight w:hRule="exact" w:val="340"/>
          <w:jc w:val="center"/>
        </w:trPr>
        <w:tc>
          <w:tcPr>
            <w:tcW w:w="1588" w:type="dxa"/>
            <w:tcBorders>
              <w:top w:val="single" w:sz="4" w:space="0" w:color="auto"/>
              <w:bottom w:val="single" w:sz="4" w:space="0" w:color="auto"/>
              <w:right w:val="nil"/>
            </w:tcBorders>
            <w:vAlign w:val="center"/>
          </w:tcPr>
          <w:p w14:paraId="342A3ADC" w14:textId="34967A0F" w:rsidR="00975206" w:rsidRPr="00FD3EE9" w:rsidRDefault="00847726" w:rsidP="00842BD5">
            <w:pPr>
              <w:ind w:firstLineChars="200" w:firstLine="360"/>
              <w:jc w:val="center"/>
              <w:rPr>
                <w:sz w:val="18"/>
              </w:rPr>
            </w:pPr>
            <w:r w:rsidRPr="00FD3EE9">
              <w:rPr>
                <w:sz w:val="18"/>
              </w:rPr>
              <w:t>Total</w:t>
            </w:r>
          </w:p>
        </w:tc>
        <w:tc>
          <w:tcPr>
            <w:tcW w:w="1588" w:type="dxa"/>
            <w:tcBorders>
              <w:top w:val="single" w:sz="4" w:space="0" w:color="auto"/>
              <w:left w:val="nil"/>
              <w:bottom w:val="single" w:sz="4" w:space="0" w:color="auto"/>
              <w:right w:val="nil"/>
            </w:tcBorders>
            <w:vAlign w:val="center"/>
          </w:tcPr>
          <w:p w14:paraId="5320EC27" w14:textId="28758C12" w:rsidR="00975206" w:rsidRPr="00FD3EE9" w:rsidRDefault="00847726" w:rsidP="00842BD5">
            <w:pPr>
              <w:tabs>
                <w:tab w:val="decimal" w:pos="873"/>
              </w:tabs>
              <w:ind w:firstLineChars="200" w:firstLine="360"/>
              <w:jc w:val="left"/>
              <w:rPr>
                <w:sz w:val="18"/>
              </w:rPr>
            </w:pPr>
            <w:r w:rsidRPr="00FD3EE9">
              <w:rPr>
                <w:sz w:val="18"/>
              </w:rPr>
              <w:t>10</w:t>
            </w:r>
            <w:r w:rsidR="00EA4F8D" w:rsidRPr="00FD3EE9">
              <w:rPr>
                <w:sz w:val="18"/>
              </w:rPr>
              <w:t>,</w:t>
            </w:r>
            <w:r w:rsidRPr="00FD3EE9">
              <w:rPr>
                <w:sz w:val="18"/>
              </w:rPr>
              <w:t>553</w:t>
            </w:r>
          </w:p>
        </w:tc>
        <w:tc>
          <w:tcPr>
            <w:tcW w:w="1588" w:type="dxa"/>
            <w:tcBorders>
              <w:top w:val="single" w:sz="4" w:space="0" w:color="auto"/>
              <w:left w:val="nil"/>
              <w:bottom w:val="single" w:sz="4" w:space="0" w:color="auto"/>
              <w:right w:val="nil"/>
            </w:tcBorders>
            <w:vAlign w:val="center"/>
          </w:tcPr>
          <w:p w14:paraId="31107307" w14:textId="13FA1AEB" w:rsidR="00975206" w:rsidRPr="00FD3EE9" w:rsidRDefault="00847726" w:rsidP="00842BD5">
            <w:pPr>
              <w:tabs>
                <w:tab w:val="decimal" w:pos="360"/>
              </w:tabs>
              <w:ind w:firstLineChars="200" w:firstLine="360"/>
              <w:jc w:val="left"/>
              <w:rPr>
                <w:sz w:val="18"/>
              </w:rPr>
            </w:pPr>
            <w:r w:rsidRPr="00FD3EE9">
              <w:rPr>
                <w:sz w:val="18"/>
              </w:rPr>
              <w:t>100%</w:t>
            </w:r>
          </w:p>
        </w:tc>
        <w:tc>
          <w:tcPr>
            <w:tcW w:w="1985" w:type="dxa"/>
            <w:tcBorders>
              <w:top w:val="single" w:sz="4" w:space="0" w:color="auto"/>
              <w:left w:val="nil"/>
              <w:bottom w:val="single" w:sz="4" w:space="0" w:color="auto"/>
            </w:tcBorders>
            <w:vAlign w:val="center"/>
          </w:tcPr>
          <w:p w14:paraId="5F19ABBB" w14:textId="2C668CDF" w:rsidR="00975206" w:rsidRPr="00FD3EE9" w:rsidRDefault="00847726" w:rsidP="00842BD5">
            <w:pPr>
              <w:tabs>
                <w:tab w:val="decimal" w:pos="360"/>
              </w:tabs>
              <w:ind w:firstLineChars="200" w:firstLine="360"/>
              <w:jc w:val="left"/>
              <w:rPr>
                <w:sz w:val="18"/>
              </w:rPr>
            </w:pPr>
            <w:r w:rsidRPr="00FD3EE9">
              <w:rPr>
                <w:sz w:val="18"/>
              </w:rPr>
              <w:t>361.88</w:t>
            </w:r>
          </w:p>
        </w:tc>
      </w:tr>
    </w:tbl>
    <w:p w14:paraId="78E5356B" w14:textId="77777777" w:rsidR="001E43CD" w:rsidRPr="00FD3EE9" w:rsidRDefault="001E43CD" w:rsidP="00842BD5">
      <w:pPr>
        <w:widowControl/>
        <w:ind w:firstLineChars="200" w:firstLine="480"/>
        <w:jc w:val="left"/>
      </w:pPr>
      <w:r w:rsidRPr="00FD3EE9">
        <w:br w:type="page"/>
      </w:r>
    </w:p>
    <w:p w14:paraId="5BBF5312" w14:textId="6CB81F10" w:rsidR="00996EDC" w:rsidRPr="00FD3EE9" w:rsidRDefault="00EF1F9E" w:rsidP="00842BD5">
      <w:pPr>
        <w:ind w:firstLineChars="200" w:firstLine="482"/>
        <w:jc w:val="center"/>
        <w:rPr>
          <w:b/>
        </w:rPr>
      </w:pPr>
      <w:r w:rsidRPr="00FD3EE9">
        <w:rPr>
          <w:b/>
        </w:rPr>
        <w:lastRenderedPageBreak/>
        <w:t>Table 3</w:t>
      </w:r>
      <w:r w:rsidR="002469FA" w:rsidRPr="00FD3EE9">
        <w:rPr>
          <w:b/>
        </w:rPr>
        <w:t>: Descriptive of Deal</w:t>
      </w:r>
    </w:p>
    <w:tbl>
      <w:tblPr>
        <w:tblStyle w:val="21"/>
        <w:tblW w:w="10137" w:type="dxa"/>
        <w:jc w:val="center"/>
        <w:tblLook w:val="04A0" w:firstRow="1" w:lastRow="0" w:firstColumn="1" w:lastColumn="0" w:noHBand="0" w:noVBand="1"/>
      </w:tblPr>
      <w:tblGrid>
        <w:gridCol w:w="2498"/>
        <w:gridCol w:w="1364"/>
        <w:gridCol w:w="1650"/>
        <w:gridCol w:w="1658"/>
        <w:gridCol w:w="2967"/>
      </w:tblGrid>
      <w:tr w:rsidR="002469FA" w:rsidRPr="00FD3EE9" w14:paraId="5A3B1C67" w14:textId="77777777" w:rsidTr="00E9285E">
        <w:trPr>
          <w:cnfStyle w:val="100000000000" w:firstRow="1" w:lastRow="0" w:firstColumn="0" w:lastColumn="0" w:oddVBand="0" w:evenVBand="0" w:oddHBand="0"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10137" w:type="dxa"/>
            <w:gridSpan w:val="5"/>
            <w:tcBorders>
              <w:top w:val="single" w:sz="4" w:space="0" w:color="7F7F7F" w:themeColor="text1" w:themeTint="80"/>
            </w:tcBorders>
          </w:tcPr>
          <w:p w14:paraId="57EDD617" w14:textId="2D82AB75" w:rsidR="002469FA" w:rsidRPr="00FD3EE9" w:rsidRDefault="002469FA" w:rsidP="00842BD5">
            <w:pPr>
              <w:ind w:firstLineChars="200" w:firstLine="420"/>
              <w:jc w:val="center"/>
              <w:rPr>
                <w:b w:val="0"/>
                <w:sz w:val="21"/>
              </w:rPr>
            </w:pPr>
            <w:r w:rsidRPr="00FD3EE9">
              <w:rPr>
                <w:b w:val="0"/>
                <w:sz w:val="21"/>
              </w:rPr>
              <w:t xml:space="preserve">Panel A: Deal </w:t>
            </w:r>
            <w:r w:rsidR="00EA4F8D" w:rsidRPr="00FD3EE9">
              <w:rPr>
                <w:b w:val="0"/>
                <w:sz w:val="21"/>
              </w:rPr>
              <w:t>C</w:t>
            </w:r>
            <w:r w:rsidRPr="00FD3EE9">
              <w:rPr>
                <w:b w:val="0"/>
                <w:sz w:val="21"/>
              </w:rPr>
              <w:t>haracteristics</w:t>
            </w:r>
          </w:p>
        </w:tc>
      </w:tr>
      <w:tr w:rsidR="002469FA" w:rsidRPr="00FD3EE9" w14:paraId="6C8C0CA9" w14:textId="77777777" w:rsidTr="00E9285E">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2498" w:type="dxa"/>
          </w:tcPr>
          <w:p w14:paraId="28BD7269" w14:textId="77777777" w:rsidR="002469FA" w:rsidRPr="00FD3EE9" w:rsidRDefault="002469FA" w:rsidP="00842BD5">
            <w:pPr>
              <w:ind w:firstLineChars="200" w:firstLine="420"/>
              <w:jc w:val="left"/>
              <w:rPr>
                <w:b w:val="0"/>
                <w:sz w:val="21"/>
              </w:rPr>
            </w:pPr>
          </w:p>
        </w:tc>
        <w:tc>
          <w:tcPr>
            <w:tcW w:w="1364" w:type="dxa"/>
          </w:tcPr>
          <w:p w14:paraId="06DAFB91" w14:textId="1C04899F" w:rsidR="002469FA" w:rsidRPr="00FD3EE9" w:rsidRDefault="002469FA" w:rsidP="00842BD5">
            <w:pPr>
              <w:ind w:firstLineChars="200" w:firstLine="420"/>
              <w:jc w:val="center"/>
              <w:cnfStyle w:val="000000100000" w:firstRow="0" w:lastRow="0" w:firstColumn="0" w:lastColumn="0" w:oddVBand="0" w:evenVBand="0" w:oddHBand="1" w:evenHBand="0" w:firstRowFirstColumn="0" w:firstRowLastColumn="0" w:lastRowFirstColumn="0" w:lastRowLastColumn="0"/>
              <w:rPr>
                <w:sz w:val="21"/>
              </w:rPr>
            </w:pPr>
            <w:r w:rsidRPr="00FD3EE9">
              <w:rPr>
                <w:sz w:val="21"/>
              </w:rPr>
              <w:t>N</w:t>
            </w:r>
          </w:p>
        </w:tc>
        <w:tc>
          <w:tcPr>
            <w:tcW w:w="1650" w:type="dxa"/>
          </w:tcPr>
          <w:p w14:paraId="19F19FDA" w14:textId="752069E8" w:rsidR="002469FA" w:rsidRPr="00FD3EE9" w:rsidRDefault="002469FA" w:rsidP="0085750E">
            <w:pPr>
              <w:ind w:firstLineChars="200" w:firstLine="420"/>
              <w:cnfStyle w:val="000000100000" w:firstRow="0" w:lastRow="0" w:firstColumn="0" w:lastColumn="0" w:oddVBand="0" w:evenVBand="0" w:oddHBand="1" w:evenHBand="0" w:firstRowFirstColumn="0" w:firstRowLastColumn="0" w:lastRowFirstColumn="0" w:lastRowLastColumn="0"/>
              <w:rPr>
                <w:sz w:val="21"/>
              </w:rPr>
            </w:pPr>
            <w:r w:rsidRPr="00FD3EE9">
              <w:rPr>
                <w:sz w:val="21"/>
              </w:rPr>
              <w:t>mean</w:t>
            </w:r>
          </w:p>
        </w:tc>
        <w:tc>
          <w:tcPr>
            <w:tcW w:w="1658" w:type="dxa"/>
          </w:tcPr>
          <w:p w14:paraId="658E2E2F" w14:textId="778BDE9E" w:rsidR="002469FA" w:rsidRPr="00FD3EE9" w:rsidRDefault="002469FA" w:rsidP="0085750E">
            <w:pPr>
              <w:ind w:firstLineChars="200" w:firstLine="420"/>
              <w:cnfStyle w:val="000000100000" w:firstRow="0" w:lastRow="0" w:firstColumn="0" w:lastColumn="0" w:oddVBand="0" w:evenVBand="0" w:oddHBand="1" w:evenHBand="0" w:firstRowFirstColumn="0" w:firstRowLastColumn="0" w:lastRowFirstColumn="0" w:lastRowLastColumn="0"/>
              <w:rPr>
                <w:sz w:val="21"/>
              </w:rPr>
            </w:pPr>
            <w:proofErr w:type="spellStart"/>
            <w:r w:rsidRPr="00FD3EE9">
              <w:rPr>
                <w:sz w:val="21"/>
              </w:rPr>
              <w:t>sd</w:t>
            </w:r>
            <w:proofErr w:type="spellEnd"/>
          </w:p>
        </w:tc>
        <w:tc>
          <w:tcPr>
            <w:tcW w:w="2964" w:type="dxa"/>
          </w:tcPr>
          <w:p w14:paraId="1A8E9F90" w14:textId="4BE83E9F" w:rsidR="002469FA" w:rsidRPr="00FD3EE9" w:rsidRDefault="002469FA" w:rsidP="0085750E">
            <w:pPr>
              <w:ind w:firstLineChars="200" w:firstLine="420"/>
              <w:cnfStyle w:val="000000100000" w:firstRow="0" w:lastRow="0" w:firstColumn="0" w:lastColumn="0" w:oddVBand="0" w:evenVBand="0" w:oddHBand="1" w:evenHBand="0" w:firstRowFirstColumn="0" w:firstRowLastColumn="0" w:lastRowFirstColumn="0" w:lastRowLastColumn="0"/>
              <w:rPr>
                <w:sz w:val="21"/>
              </w:rPr>
            </w:pPr>
            <w:r w:rsidRPr="00FD3EE9">
              <w:rPr>
                <w:sz w:val="21"/>
              </w:rPr>
              <w:t>median</w:t>
            </w:r>
          </w:p>
        </w:tc>
      </w:tr>
      <w:tr w:rsidR="002469FA" w:rsidRPr="00FD3EE9" w14:paraId="2CDDD134" w14:textId="77777777" w:rsidTr="00E9285E">
        <w:trPr>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single" w:sz="4" w:space="0" w:color="7F7F7F" w:themeColor="text1" w:themeTint="80"/>
              <w:bottom w:val="nil"/>
            </w:tcBorders>
          </w:tcPr>
          <w:p w14:paraId="53CE95D2" w14:textId="08F87D3A" w:rsidR="002469FA" w:rsidRPr="00FD3EE9" w:rsidRDefault="002469FA" w:rsidP="00842BD5">
            <w:pPr>
              <w:ind w:firstLineChars="200" w:firstLine="420"/>
              <w:jc w:val="left"/>
              <w:rPr>
                <w:b w:val="0"/>
                <w:sz w:val="21"/>
              </w:rPr>
            </w:pPr>
            <w:r w:rsidRPr="00FD3EE9">
              <w:rPr>
                <w:b w:val="0"/>
                <w:sz w:val="21"/>
              </w:rPr>
              <w:t>Acquisition</w:t>
            </w:r>
          </w:p>
        </w:tc>
        <w:tc>
          <w:tcPr>
            <w:tcW w:w="1364" w:type="dxa"/>
            <w:tcBorders>
              <w:top w:val="single" w:sz="4" w:space="0" w:color="7F7F7F" w:themeColor="text1" w:themeTint="80"/>
              <w:bottom w:val="nil"/>
            </w:tcBorders>
          </w:tcPr>
          <w:p w14:paraId="37567ED1" w14:textId="67B95DED" w:rsidR="002469FA" w:rsidRPr="00FD3EE9" w:rsidRDefault="002469FA"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10</w:t>
            </w:r>
            <w:r w:rsidR="00EA4F8D" w:rsidRPr="00FD3EE9">
              <w:rPr>
                <w:sz w:val="21"/>
              </w:rPr>
              <w:t>,</w:t>
            </w:r>
            <w:r w:rsidRPr="00FD3EE9">
              <w:rPr>
                <w:sz w:val="21"/>
              </w:rPr>
              <w:t>553</w:t>
            </w:r>
          </w:p>
        </w:tc>
        <w:tc>
          <w:tcPr>
            <w:tcW w:w="1650" w:type="dxa"/>
            <w:tcBorders>
              <w:top w:val="single" w:sz="4" w:space="0" w:color="7F7F7F" w:themeColor="text1" w:themeTint="80"/>
              <w:bottom w:val="nil"/>
            </w:tcBorders>
          </w:tcPr>
          <w:p w14:paraId="0C4BF67D" w14:textId="3FE8C5C1" w:rsidR="002469FA" w:rsidRPr="00FD3EE9" w:rsidRDefault="002469FA"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2.94</w:t>
            </w:r>
          </w:p>
        </w:tc>
        <w:tc>
          <w:tcPr>
            <w:tcW w:w="1658" w:type="dxa"/>
            <w:tcBorders>
              <w:top w:val="single" w:sz="4" w:space="0" w:color="7F7F7F" w:themeColor="text1" w:themeTint="80"/>
              <w:bottom w:val="nil"/>
            </w:tcBorders>
          </w:tcPr>
          <w:p w14:paraId="593BD5BA" w14:textId="06444650" w:rsidR="002469FA" w:rsidRPr="00FD3EE9" w:rsidRDefault="002469FA"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2.53</w:t>
            </w:r>
          </w:p>
        </w:tc>
        <w:tc>
          <w:tcPr>
            <w:tcW w:w="2964" w:type="dxa"/>
            <w:tcBorders>
              <w:top w:val="single" w:sz="4" w:space="0" w:color="7F7F7F" w:themeColor="text1" w:themeTint="80"/>
              <w:bottom w:val="nil"/>
            </w:tcBorders>
          </w:tcPr>
          <w:p w14:paraId="678322E0" w14:textId="044A1C25" w:rsidR="002469FA" w:rsidRPr="00FD3EE9" w:rsidRDefault="002469FA"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2.00</w:t>
            </w:r>
          </w:p>
        </w:tc>
      </w:tr>
      <w:tr w:rsidR="002469FA" w:rsidRPr="00FD3EE9" w14:paraId="74431354" w14:textId="77777777" w:rsidTr="00E9285E">
        <w:trPr>
          <w:cnfStyle w:val="000000100000" w:firstRow="0" w:lastRow="0" w:firstColumn="0" w:lastColumn="0" w:oddVBand="0" w:evenVBand="0" w:oddHBand="1" w:evenHBand="0" w:firstRowFirstColumn="0" w:firstRowLastColumn="0" w:lastRowFirstColumn="0" w:lastRowLastColumn="0"/>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bottom w:val="nil"/>
            </w:tcBorders>
          </w:tcPr>
          <w:p w14:paraId="54AF8BF6" w14:textId="5E3FF39E" w:rsidR="002469FA" w:rsidRPr="00FD3EE9" w:rsidRDefault="002469FA" w:rsidP="00842BD5">
            <w:pPr>
              <w:ind w:firstLineChars="200" w:firstLine="420"/>
              <w:jc w:val="left"/>
              <w:rPr>
                <w:b w:val="0"/>
                <w:sz w:val="21"/>
              </w:rPr>
            </w:pPr>
            <w:r w:rsidRPr="00FD3EE9">
              <w:rPr>
                <w:b w:val="0"/>
                <w:sz w:val="21"/>
              </w:rPr>
              <w:t>Acquir</w:t>
            </w:r>
            <w:r w:rsidR="00EA4F8D" w:rsidRPr="00FD3EE9">
              <w:rPr>
                <w:b w:val="0"/>
                <w:sz w:val="21"/>
              </w:rPr>
              <w:t>e</w:t>
            </w:r>
            <w:r w:rsidRPr="00FD3EE9">
              <w:rPr>
                <w:b w:val="0"/>
                <w:sz w:val="21"/>
              </w:rPr>
              <w:t xml:space="preserve">r </w:t>
            </w:r>
            <w:r w:rsidR="00EA4F8D" w:rsidRPr="00FD3EE9">
              <w:rPr>
                <w:b w:val="0"/>
                <w:sz w:val="21"/>
              </w:rPr>
              <w:t>M</w:t>
            </w:r>
            <w:r w:rsidRPr="00FD3EE9">
              <w:rPr>
                <w:b w:val="0"/>
                <w:sz w:val="21"/>
              </w:rPr>
              <w:t xml:space="preserve">arket </w:t>
            </w:r>
            <w:r w:rsidR="00EA4F8D" w:rsidRPr="00FD3EE9">
              <w:rPr>
                <w:b w:val="0"/>
                <w:sz w:val="21"/>
              </w:rPr>
              <w:t>C</w:t>
            </w:r>
            <w:r w:rsidRPr="00FD3EE9">
              <w:rPr>
                <w:b w:val="0"/>
                <w:sz w:val="21"/>
              </w:rPr>
              <w:t>apitalization(million</w:t>
            </w:r>
            <w:r w:rsidR="00EA4F8D" w:rsidRPr="00FD3EE9">
              <w:rPr>
                <w:b w:val="0"/>
                <w:sz w:val="21"/>
              </w:rPr>
              <w:t>s</w:t>
            </w:r>
            <w:r w:rsidRPr="00FD3EE9">
              <w:rPr>
                <w:b w:val="0"/>
                <w:sz w:val="21"/>
              </w:rPr>
              <w:t>)</w:t>
            </w:r>
          </w:p>
        </w:tc>
        <w:tc>
          <w:tcPr>
            <w:tcW w:w="1364" w:type="dxa"/>
            <w:tcBorders>
              <w:top w:val="nil"/>
              <w:bottom w:val="nil"/>
            </w:tcBorders>
          </w:tcPr>
          <w:p w14:paraId="6D992E90" w14:textId="4D554582" w:rsidR="002469FA" w:rsidRPr="00FD3EE9" w:rsidRDefault="002469FA"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7</w:t>
            </w:r>
            <w:r w:rsidR="00EA4F8D" w:rsidRPr="00FD3EE9">
              <w:rPr>
                <w:sz w:val="21"/>
              </w:rPr>
              <w:t>,</w:t>
            </w:r>
            <w:r w:rsidRPr="00FD3EE9">
              <w:rPr>
                <w:sz w:val="21"/>
              </w:rPr>
              <w:t>329</w:t>
            </w:r>
          </w:p>
        </w:tc>
        <w:tc>
          <w:tcPr>
            <w:tcW w:w="1650" w:type="dxa"/>
            <w:tcBorders>
              <w:top w:val="nil"/>
              <w:bottom w:val="nil"/>
            </w:tcBorders>
          </w:tcPr>
          <w:p w14:paraId="289C2E1E" w14:textId="1E73431B" w:rsidR="002469FA" w:rsidRPr="00FD3EE9" w:rsidRDefault="002469FA"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11</w:t>
            </w:r>
            <w:r w:rsidR="00EA4F8D" w:rsidRPr="00FD3EE9">
              <w:rPr>
                <w:sz w:val="21"/>
              </w:rPr>
              <w:t>,</w:t>
            </w:r>
            <w:r w:rsidRPr="00FD3EE9">
              <w:rPr>
                <w:sz w:val="21"/>
              </w:rPr>
              <w:t>888.31</w:t>
            </w:r>
          </w:p>
        </w:tc>
        <w:tc>
          <w:tcPr>
            <w:tcW w:w="1658" w:type="dxa"/>
            <w:tcBorders>
              <w:top w:val="nil"/>
              <w:bottom w:val="nil"/>
            </w:tcBorders>
          </w:tcPr>
          <w:p w14:paraId="0AA20CA5" w14:textId="46E218C2" w:rsidR="002469FA" w:rsidRPr="00FD3EE9" w:rsidRDefault="002469FA"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29</w:t>
            </w:r>
            <w:r w:rsidR="00EA4F8D" w:rsidRPr="00FD3EE9">
              <w:rPr>
                <w:sz w:val="21"/>
              </w:rPr>
              <w:t>,</w:t>
            </w:r>
            <w:r w:rsidRPr="00FD3EE9">
              <w:rPr>
                <w:sz w:val="21"/>
              </w:rPr>
              <w:t>998.85</w:t>
            </w:r>
          </w:p>
        </w:tc>
        <w:tc>
          <w:tcPr>
            <w:tcW w:w="2964" w:type="dxa"/>
            <w:tcBorders>
              <w:top w:val="nil"/>
              <w:bottom w:val="nil"/>
            </w:tcBorders>
          </w:tcPr>
          <w:p w14:paraId="05CBBDF5" w14:textId="6ADC9BEC" w:rsidR="002469FA" w:rsidRPr="00FD3EE9" w:rsidRDefault="002469FA"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6</w:t>
            </w:r>
            <w:r w:rsidR="00EA4F8D" w:rsidRPr="00FD3EE9">
              <w:rPr>
                <w:sz w:val="21"/>
              </w:rPr>
              <w:t>,</w:t>
            </w:r>
            <w:r w:rsidRPr="00FD3EE9">
              <w:rPr>
                <w:sz w:val="21"/>
              </w:rPr>
              <w:t>059.18</w:t>
            </w:r>
          </w:p>
        </w:tc>
      </w:tr>
      <w:tr w:rsidR="002469FA" w:rsidRPr="00FD3EE9" w14:paraId="32F15EF3" w14:textId="77777777" w:rsidTr="00E9285E">
        <w:trPr>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bottom w:val="nil"/>
            </w:tcBorders>
          </w:tcPr>
          <w:p w14:paraId="4C49679D" w14:textId="69DECADA" w:rsidR="002469FA" w:rsidRPr="00FD3EE9" w:rsidRDefault="002469FA" w:rsidP="00842BD5">
            <w:pPr>
              <w:ind w:firstLineChars="200" w:firstLine="420"/>
              <w:jc w:val="left"/>
              <w:rPr>
                <w:b w:val="0"/>
                <w:sz w:val="21"/>
              </w:rPr>
            </w:pPr>
            <w:r w:rsidRPr="00FD3EE9">
              <w:rPr>
                <w:b w:val="0"/>
                <w:sz w:val="21"/>
              </w:rPr>
              <w:t xml:space="preserve">Deal </w:t>
            </w:r>
            <w:r w:rsidR="00EA4F8D" w:rsidRPr="00FD3EE9">
              <w:rPr>
                <w:b w:val="0"/>
                <w:sz w:val="21"/>
              </w:rPr>
              <w:t>E</w:t>
            </w:r>
            <w:r w:rsidRPr="00FD3EE9">
              <w:rPr>
                <w:b w:val="0"/>
                <w:sz w:val="21"/>
              </w:rPr>
              <w:t xml:space="preserve">quity </w:t>
            </w:r>
            <w:r w:rsidR="00EA4F8D" w:rsidRPr="00FD3EE9">
              <w:rPr>
                <w:b w:val="0"/>
                <w:sz w:val="21"/>
              </w:rPr>
              <w:t>V</w:t>
            </w:r>
            <w:r w:rsidRPr="00FD3EE9">
              <w:rPr>
                <w:b w:val="0"/>
                <w:sz w:val="21"/>
              </w:rPr>
              <w:t>alue (million</w:t>
            </w:r>
            <w:r w:rsidR="00EA4F8D" w:rsidRPr="00FD3EE9">
              <w:rPr>
                <w:b w:val="0"/>
                <w:sz w:val="21"/>
              </w:rPr>
              <w:t>s</w:t>
            </w:r>
            <w:r w:rsidRPr="00FD3EE9">
              <w:rPr>
                <w:b w:val="0"/>
                <w:sz w:val="21"/>
              </w:rPr>
              <w:t>)</w:t>
            </w:r>
          </w:p>
        </w:tc>
        <w:tc>
          <w:tcPr>
            <w:tcW w:w="1364" w:type="dxa"/>
            <w:tcBorders>
              <w:top w:val="nil"/>
              <w:bottom w:val="nil"/>
            </w:tcBorders>
          </w:tcPr>
          <w:p w14:paraId="3718D3AB" w14:textId="2318FDE4" w:rsidR="002469FA" w:rsidRPr="00FD3EE9" w:rsidRDefault="002469FA"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8</w:t>
            </w:r>
            <w:r w:rsidR="00EA4F8D" w:rsidRPr="00FD3EE9">
              <w:rPr>
                <w:sz w:val="21"/>
              </w:rPr>
              <w:t>,</w:t>
            </w:r>
            <w:r w:rsidRPr="00FD3EE9">
              <w:rPr>
                <w:sz w:val="21"/>
              </w:rPr>
              <w:t>513</w:t>
            </w:r>
          </w:p>
        </w:tc>
        <w:tc>
          <w:tcPr>
            <w:tcW w:w="1650" w:type="dxa"/>
            <w:tcBorders>
              <w:top w:val="nil"/>
              <w:bottom w:val="nil"/>
            </w:tcBorders>
          </w:tcPr>
          <w:p w14:paraId="4E7D1499" w14:textId="582876BA" w:rsidR="002469FA" w:rsidRPr="00FD3EE9" w:rsidRDefault="002469FA"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314.46</w:t>
            </w:r>
          </w:p>
        </w:tc>
        <w:tc>
          <w:tcPr>
            <w:tcW w:w="1658" w:type="dxa"/>
            <w:tcBorders>
              <w:top w:val="nil"/>
              <w:bottom w:val="nil"/>
            </w:tcBorders>
          </w:tcPr>
          <w:p w14:paraId="2F8C0461" w14:textId="1AE162D4" w:rsidR="002469FA" w:rsidRPr="00FD3EE9" w:rsidRDefault="002469FA"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1414.23</w:t>
            </w:r>
          </w:p>
        </w:tc>
        <w:tc>
          <w:tcPr>
            <w:tcW w:w="2964" w:type="dxa"/>
            <w:tcBorders>
              <w:top w:val="nil"/>
              <w:bottom w:val="nil"/>
            </w:tcBorders>
          </w:tcPr>
          <w:p w14:paraId="2990CC11" w14:textId="42BD8006" w:rsidR="002469FA" w:rsidRPr="00FD3EE9" w:rsidRDefault="002469FA"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60.00</w:t>
            </w:r>
          </w:p>
        </w:tc>
      </w:tr>
      <w:tr w:rsidR="002469FA" w:rsidRPr="00FD3EE9" w14:paraId="1C7D028E" w14:textId="77777777" w:rsidTr="00E9285E">
        <w:trPr>
          <w:cnfStyle w:val="000000100000" w:firstRow="0" w:lastRow="0" w:firstColumn="0" w:lastColumn="0" w:oddVBand="0" w:evenVBand="0" w:oddHBand="1" w:evenHBand="0" w:firstRowFirstColumn="0" w:firstRowLastColumn="0" w:lastRowFirstColumn="0" w:lastRowLastColumn="0"/>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bottom w:val="nil"/>
            </w:tcBorders>
          </w:tcPr>
          <w:p w14:paraId="70D461A6" w14:textId="358EC098" w:rsidR="002469FA" w:rsidRPr="00FD3EE9" w:rsidRDefault="002469FA" w:rsidP="00842BD5">
            <w:pPr>
              <w:ind w:firstLineChars="200" w:firstLine="420"/>
              <w:jc w:val="left"/>
              <w:rPr>
                <w:b w:val="0"/>
                <w:sz w:val="21"/>
              </w:rPr>
            </w:pPr>
            <w:r w:rsidRPr="00FD3EE9">
              <w:rPr>
                <w:b w:val="0"/>
                <w:sz w:val="21"/>
              </w:rPr>
              <w:t xml:space="preserve">Deal </w:t>
            </w:r>
            <w:r w:rsidR="00EA4F8D" w:rsidRPr="00FD3EE9">
              <w:rPr>
                <w:b w:val="0"/>
                <w:sz w:val="21"/>
              </w:rPr>
              <w:t>T</w:t>
            </w:r>
            <w:r w:rsidRPr="00FD3EE9">
              <w:rPr>
                <w:b w:val="0"/>
                <w:sz w:val="21"/>
              </w:rPr>
              <w:t xml:space="preserve">arget </w:t>
            </w:r>
            <w:r w:rsidR="00EA4F8D" w:rsidRPr="00FD3EE9">
              <w:rPr>
                <w:b w:val="0"/>
                <w:sz w:val="21"/>
              </w:rPr>
              <w:t>V</w:t>
            </w:r>
            <w:r w:rsidRPr="00FD3EE9">
              <w:rPr>
                <w:b w:val="0"/>
                <w:sz w:val="21"/>
              </w:rPr>
              <w:t>alue (million</w:t>
            </w:r>
            <w:r w:rsidR="00EA4F8D" w:rsidRPr="00FD3EE9">
              <w:rPr>
                <w:b w:val="0"/>
                <w:sz w:val="21"/>
              </w:rPr>
              <w:t>s</w:t>
            </w:r>
            <w:r w:rsidRPr="00FD3EE9">
              <w:rPr>
                <w:b w:val="0"/>
                <w:sz w:val="21"/>
              </w:rPr>
              <w:t>)</w:t>
            </w:r>
          </w:p>
        </w:tc>
        <w:tc>
          <w:tcPr>
            <w:tcW w:w="1364" w:type="dxa"/>
            <w:tcBorders>
              <w:top w:val="nil"/>
              <w:bottom w:val="nil"/>
            </w:tcBorders>
          </w:tcPr>
          <w:p w14:paraId="1EB30130" w14:textId="68B812B3" w:rsidR="002469FA" w:rsidRPr="00FD3EE9" w:rsidRDefault="002469FA"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7</w:t>
            </w:r>
            <w:r w:rsidR="00EA4F8D" w:rsidRPr="00FD3EE9">
              <w:rPr>
                <w:sz w:val="21"/>
              </w:rPr>
              <w:t>,</w:t>
            </w:r>
            <w:r w:rsidRPr="00FD3EE9">
              <w:rPr>
                <w:sz w:val="21"/>
              </w:rPr>
              <w:t>576</w:t>
            </w:r>
          </w:p>
        </w:tc>
        <w:tc>
          <w:tcPr>
            <w:tcW w:w="1650" w:type="dxa"/>
            <w:tcBorders>
              <w:top w:val="nil"/>
              <w:bottom w:val="nil"/>
            </w:tcBorders>
          </w:tcPr>
          <w:p w14:paraId="544146DC" w14:textId="7738DAE5" w:rsidR="002469FA" w:rsidRPr="00FD3EE9" w:rsidRDefault="002469FA"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988.33</w:t>
            </w:r>
          </w:p>
        </w:tc>
        <w:tc>
          <w:tcPr>
            <w:tcW w:w="1658" w:type="dxa"/>
            <w:tcBorders>
              <w:top w:val="nil"/>
              <w:bottom w:val="nil"/>
            </w:tcBorders>
          </w:tcPr>
          <w:p w14:paraId="67483724" w14:textId="076E0114" w:rsidR="002469FA" w:rsidRPr="00FD3EE9" w:rsidRDefault="002469FA"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5138.17</w:t>
            </w:r>
          </w:p>
        </w:tc>
        <w:tc>
          <w:tcPr>
            <w:tcW w:w="2964" w:type="dxa"/>
            <w:tcBorders>
              <w:top w:val="nil"/>
              <w:bottom w:val="nil"/>
            </w:tcBorders>
          </w:tcPr>
          <w:p w14:paraId="58785C62" w14:textId="5CECABB1" w:rsidR="002469FA" w:rsidRPr="00FD3EE9" w:rsidRDefault="002469FA"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120.00</w:t>
            </w:r>
          </w:p>
        </w:tc>
      </w:tr>
      <w:tr w:rsidR="002469FA" w:rsidRPr="00FD3EE9" w14:paraId="6CC827BE" w14:textId="77777777" w:rsidTr="00E9285E">
        <w:trPr>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bottom w:val="nil"/>
            </w:tcBorders>
          </w:tcPr>
          <w:p w14:paraId="02D7CB18" w14:textId="5F9E73E2" w:rsidR="002469FA" w:rsidRPr="00FD3EE9" w:rsidRDefault="00EA4F8D" w:rsidP="00842BD5">
            <w:pPr>
              <w:ind w:firstLineChars="200" w:firstLine="420"/>
              <w:jc w:val="left"/>
              <w:rPr>
                <w:b w:val="0"/>
                <w:sz w:val="21"/>
              </w:rPr>
            </w:pPr>
            <w:r w:rsidRPr="00FD3EE9">
              <w:rPr>
                <w:b w:val="0"/>
                <w:sz w:val="21"/>
              </w:rPr>
              <w:t>C</w:t>
            </w:r>
            <w:r w:rsidR="002469FA" w:rsidRPr="00FD3EE9">
              <w:rPr>
                <w:b w:val="0"/>
                <w:sz w:val="21"/>
              </w:rPr>
              <w:t>omplet</w:t>
            </w:r>
            <w:r w:rsidR="00523F5B" w:rsidRPr="00FD3EE9">
              <w:rPr>
                <w:b w:val="0"/>
                <w:sz w:val="21"/>
              </w:rPr>
              <w:t xml:space="preserve">ion </w:t>
            </w:r>
            <w:r w:rsidR="002469FA" w:rsidRPr="00FD3EE9">
              <w:rPr>
                <w:b w:val="0"/>
                <w:sz w:val="21"/>
              </w:rPr>
              <w:t>(days)</w:t>
            </w:r>
          </w:p>
        </w:tc>
        <w:tc>
          <w:tcPr>
            <w:tcW w:w="1364" w:type="dxa"/>
            <w:tcBorders>
              <w:top w:val="nil"/>
              <w:bottom w:val="nil"/>
            </w:tcBorders>
          </w:tcPr>
          <w:p w14:paraId="2B971277" w14:textId="78B25103" w:rsidR="002469FA" w:rsidRPr="00FD3EE9" w:rsidRDefault="002469FA"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2</w:t>
            </w:r>
            <w:r w:rsidR="00EA4F8D" w:rsidRPr="00FD3EE9">
              <w:rPr>
                <w:sz w:val="21"/>
              </w:rPr>
              <w:t>,</w:t>
            </w:r>
            <w:r w:rsidRPr="00FD3EE9">
              <w:rPr>
                <w:sz w:val="21"/>
              </w:rPr>
              <w:t>739</w:t>
            </w:r>
          </w:p>
        </w:tc>
        <w:tc>
          <w:tcPr>
            <w:tcW w:w="1650" w:type="dxa"/>
            <w:tcBorders>
              <w:top w:val="nil"/>
              <w:bottom w:val="nil"/>
            </w:tcBorders>
          </w:tcPr>
          <w:p w14:paraId="5DAC224B" w14:textId="4D7DF293" w:rsidR="002469FA" w:rsidRPr="00FD3EE9" w:rsidRDefault="002469FA"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87.04</w:t>
            </w:r>
          </w:p>
        </w:tc>
        <w:tc>
          <w:tcPr>
            <w:tcW w:w="1658" w:type="dxa"/>
            <w:tcBorders>
              <w:top w:val="nil"/>
              <w:bottom w:val="nil"/>
            </w:tcBorders>
          </w:tcPr>
          <w:p w14:paraId="2FAC7788" w14:textId="53A83B8D" w:rsidR="002469FA" w:rsidRPr="00FD3EE9" w:rsidRDefault="002469FA"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152.57</w:t>
            </w:r>
          </w:p>
        </w:tc>
        <w:tc>
          <w:tcPr>
            <w:tcW w:w="2964" w:type="dxa"/>
            <w:tcBorders>
              <w:top w:val="nil"/>
              <w:bottom w:val="nil"/>
            </w:tcBorders>
          </w:tcPr>
          <w:p w14:paraId="06725F8C" w14:textId="6AD0DC9F" w:rsidR="002469FA" w:rsidRPr="00FD3EE9" w:rsidRDefault="002469FA"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27.00</w:t>
            </w:r>
          </w:p>
        </w:tc>
      </w:tr>
      <w:tr w:rsidR="002469FA" w:rsidRPr="00FD3EE9" w14:paraId="2005549D" w14:textId="77777777" w:rsidTr="00E9285E">
        <w:trPr>
          <w:cnfStyle w:val="000000100000" w:firstRow="0" w:lastRow="0" w:firstColumn="0" w:lastColumn="0" w:oddVBand="0" w:evenVBand="0" w:oddHBand="1" w:evenHBand="0" w:firstRowFirstColumn="0" w:firstRowLastColumn="0" w:lastRowFirstColumn="0" w:lastRowLastColumn="0"/>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bottom w:val="nil"/>
            </w:tcBorders>
          </w:tcPr>
          <w:p w14:paraId="55A99277" w14:textId="416E5A3F" w:rsidR="002469FA" w:rsidRPr="00FD3EE9" w:rsidRDefault="007B1AA2" w:rsidP="00842BD5">
            <w:pPr>
              <w:ind w:firstLineChars="200" w:firstLine="420"/>
              <w:jc w:val="left"/>
              <w:rPr>
                <w:b w:val="0"/>
                <w:sz w:val="21"/>
              </w:rPr>
            </w:pPr>
            <w:r w:rsidRPr="00FD3EE9">
              <w:rPr>
                <w:b w:val="0"/>
                <w:sz w:val="21"/>
              </w:rPr>
              <w:t>CAR (%)</w:t>
            </w:r>
          </w:p>
        </w:tc>
        <w:tc>
          <w:tcPr>
            <w:tcW w:w="1364" w:type="dxa"/>
            <w:tcBorders>
              <w:top w:val="nil"/>
              <w:bottom w:val="nil"/>
            </w:tcBorders>
          </w:tcPr>
          <w:p w14:paraId="6564D58A" w14:textId="6BDAE72F"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9</w:t>
            </w:r>
            <w:r w:rsidR="00EA4F8D" w:rsidRPr="00FD3EE9">
              <w:rPr>
                <w:sz w:val="21"/>
              </w:rPr>
              <w:t>,</w:t>
            </w:r>
            <w:r w:rsidRPr="00FD3EE9">
              <w:rPr>
                <w:sz w:val="21"/>
              </w:rPr>
              <w:t>166</w:t>
            </w:r>
          </w:p>
        </w:tc>
        <w:tc>
          <w:tcPr>
            <w:tcW w:w="1650" w:type="dxa"/>
            <w:tcBorders>
              <w:top w:val="nil"/>
              <w:bottom w:val="nil"/>
            </w:tcBorders>
          </w:tcPr>
          <w:p w14:paraId="68610811" w14:textId="7D58F64A"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1.37</w:t>
            </w:r>
          </w:p>
        </w:tc>
        <w:tc>
          <w:tcPr>
            <w:tcW w:w="1658" w:type="dxa"/>
            <w:tcBorders>
              <w:top w:val="nil"/>
              <w:bottom w:val="nil"/>
            </w:tcBorders>
          </w:tcPr>
          <w:p w14:paraId="6D7F5475" w14:textId="108DDA9A"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10.50</w:t>
            </w:r>
          </w:p>
        </w:tc>
        <w:tc>
          <w:tcPr>
            <w:tcW w:w="2964" w:type="dxa"/>
            <w:tcBorders>
              <w:top w:val="nil"/>
              <w:bottom w:val="nil"/>
            </w:tcBorders>
          </w:tcPr>
          <w:p w14:paraId="48D7F601" w14:textId="43966CFA"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0.53</w:t>
            </w:r>
          </w:p>
        </w:tc>
      </w:tr>
      <w:tr w:rsidR="002469FA" w:rsidRPr="00FD3EE9" w14:paraId="7F87678D" w14:textId="77777777" w:rsidTr="00E9285E">
        <w:trPr>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bottom w:val="nil"/>
            </w:tcBorders>
          </w:tcPr>
          <w:p w14:paraId="078BD31F" w14:textId="38082ACD" w:rsidR="002469FA" w:rsidRPr="00FD3EE9" w:rsidRDefault="007B1AA2" w:rsidP="00842BD5">
            <w:pPr>
              <w:ind w:firstLineChars="200" w:firstLine="420"/>
              <w:jc w:val="left"/>
              <w:rPr>
                <w:b w:val="0"/>
                <w:sz w:val="21"/>
              </w:rPr>
            </w:pPr>
            <w:r w:rsidRPr="00FD3EE9">
              <w:rPr>
                <w:b w:val="0"/>
                <w:sz w:val="21"/>
              </w:rPr>
              <w:t>BHR</w:t>
            </w:r>
          </w:p>
        </w:tc>
        <w:tc>
          <w:tcPr>
            <w:tcW w:w="1364" w:type="dxa"/>
            <w:tcBorders>
              <w:top w:val="nil"/>
              <w:bottom w:val="nil"/>
            </w:tcBorders>
          </w:tcPr>
          <w:p w14:paraId="1A2EF5B3" w14:textId="47E3E318" w:rsidR="002469FA" w:rsidRPr="00FD3EE9" w:rsidRDefault="007B1AA2"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9</w:t>
            </w:r>
            <w:r w:rsidR="00EA4F8D" w:rsidRPr="00FD3EE9">
              <w:rPr>
                <w:sz w:val="21"/>
              </w:rPr>
              <w:t>,</w:t>
            </w:r>
            <w:r w:rsidRPr="00FD3EE9">
              <w:rPr>
                <w:sz w:val="21"/>
              </w:rPr>
              <w:t>734</w:t>
            </w:r>
          </w:p>
        </w:tc>
        <w:tc>
          <w:tcPr>
            <w:tcW w:w="1650" w:type="dxa"/>
            <w:tcBorders>
              <w:top w:val="nil"/>
              <w:bottom w:val="nil"/>
            </w:tcBorders>
          </w:tcPr>
          <w:p w14:paraId="169498AA" w14:textId="32A61106" w:rsidR="002469FA" w:rsidRPr="00FD3EE9" w:rsidRDefault="007B1AA2"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-17.54</w:t>
            </w:r>
          </w:p>
        </w:tc>
        <w:tc>
          <w:tcPr>
            <w:tcW w:w="1658" w:type="dxa"/>
            <w:tcBorders>
              <w:top w:val="nil"/>
              <w:bottom w:val="nil"/>
            </w:tcBorders>
          </w:tcPr>
          <w:p w14:paraId="5DB173EB" w14:textId="09A6FF06" w:rsidR="002469FA" w:rsidRPr="00FD3EE9" w:rsidRDefault="007B1AA2"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57.78</w:t>
            </w:r>
          </w:p>
        </w:tc>
        <w:tc>
          <w:tcPr>
            <w:tcW w:w="2964" w:type="dxa"/>
            <w:tcBorders>
              <w:top w:val="nil"/>
              <w:bottom w:val="nil"/>
            </w:tcBorders>
          </w:tcPr>
          <w:p w14:paraId="7BB8E71E" w14:textId="6F60FB72" w:rsidR="002469FA" w:rsidRPr="00FD3EE9" w:rsidRDefault="00E9285E"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w:t>
            </w:r>
            <w:r w:rsidR="007B1AA2" w:rsidRPr="00FD3EE9">
              <w:rPr>
                <w:sz w:val="21"/>
              </w:rPr>
              <w:t>34.44</w:t>
            </w:r>
          </w:p>
        </w:tc>
      </w:tr>
      <w:tr w:rsidR="002469FA" w:rsidRPr="00FD3EE9" w14:paraId="740919CE" w14:textId="77777777" w:rsidTr="00E9285E">
        <w:trPr>
          <w:cnfStyle w:val="000000100000" w:firstRow="0" w:lastRow="0" w:firstColumn="0" w:lastColumn="0" w:oddVBand="0" w:evenVBand="0" w:oddHBand="1" w:evenHBand="0" w:firstRowFirstColumn="0" w:firstRowLastColumn="0" w:lastRowFirstColumn="0" w:lastRowLastColumn="0"/>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tcBorders>
          </w:tcPr>
          <w:p w14:paraId="089C7D98" w14:textId="66337A99" w:rsidR="002469FA" w:rsidRPr="00FD3EE9" w:rsidRDefault="007B1AA2" w:rsidP="00842BD5">
            <w:pPr>
              <w:ind w:firstLineChars="200" w:firstLine="420"/>
              <w:jc w:val="left"/>
              <w:rPr>
                <w:b w:val="0"/>
                <w:sz w:val="21"/>
              </w:rPr>
            </w:pPr>
            <w:r w:rsidRPr="00FD3EE9">
              <w:rPr>
                <w:b w:val="0"/>
                <w:sz w:val="21"/>
              </w:rPr>
              <w:t>Industry Diversity (%)</w:t>
            </w:r>
          </w:p>
        </w:tc>
        <w:tc>
          <w:tcPr>
            <w:tcW w:w="1364" w:type="dxa"/>
            <w:tcBorders>
              <w:top w:val="nil"/>
            </w:tcBorders>
          </w:tcPr>
          <w:p w14:paraId="768ADCF3" w14:textId="0C8BF4A7"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10</w:t>
            </w:r>
            <w:r w:rsidR="00EA4F8D" w:rsidRPr="00FD3EE9">
              <w:rPr>
                <w:sz w:val="21"/>
              </w:rPr>
              <w:t>,</w:t>
            </w:r>
            <w:r w:rsidRPr="00FD3EE9">
              <w:rPr>
                <w:sz w:val="21"/>
              </w:rPr>
              <w:t>539</w:t>
            </w:r>
          </w:p>
        </w:tc>
        <w:tc>
          <w:tcPr>
            <w:tcW w:w="1650" w:type="dxa"/>
            <w:tcBorders>
              <w:top w:val="nil"/>
            </w:tcBorders>
          </w:tcPr>
          <w:p w14:paraId="484B40FA" w14:textId="47E89E8A"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59.13</w:t>
            </w:r>
          </w:p>
        </w:tc>
        <w:tc>
          <w:tcPr>
            <w:tcW w:w="1658" w:type="dxa"/>
            <w:tcBorders>
              <w:top w:val="nil"/>
            </w:tcBorders>
          </w:tcPr>
          <w:p w14:paraId="0A08837A" w14:textId="15F7D474"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49.16</w:t>
            </w:r>
          </w:p>
        </w:tc>
        <w:tc>
          <w:tcPr>
            <w:tcW w:w="2964" w:type="dxa"/>
            <w:tcBorders>
              <w:top w:val="nil"/>
            </w:tcBorders>
          </w:tcPr>
          <w:p w14:paraId="03A88BD5" w14:textId="5FBCBD87"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100.00</w:t>
            </w:r>
          </w:p>
        </w:tc>
      </w:tr>
      <w:tr w:rsidR="007B1AA2" w:rsidRPr="00FD3EE9" w14:paraId="55EC2E12" w14:textId="77777777" w:rsidTr="00E9285E">
        <w:trPr>
          <w:trHeight w:val="423"/>
          <w:jc w:val="center"/>
        </w:trPr>
        <w:tc>
          <w:tcPr>
            <w:cnfStyle w:val="001000000000" w:firstRow="0" w:lastRow="0" w:firstColumn="1" w:lastColumn="0" w:oddVBand="0" w:evenVBand="0" w:oddHBand="0" w:evenHBand="0" w:firstRowFirstColumn="0" w:firstRowLastColumn="0" w:lastRowFirstColumn="0" w:lastRowLastColumn="0"/>
            <w:tcW w:w="10137" w:type="dxa"/>
            <w:gridSpan w:val="5"/>
            <w:tcBorders>
              <w:bottom w:val="single" w:sz="4" w:space="0" w:color="7F7F7F" w:themeColor="text1" w:themeTint="80"/>
            </w:tcBorders>
          </w:tcPr>
          <w:p w14:paraId="1C070F8C" w14:textId="4D76CD90" w:rsidR="007B1AA2" w:rsidRPr="00FD3EE9" w:rsidRDefault="007B1AA2" w:rsidP="00842BD5">
            <w:pPr>
              <w:ind w:firstLineChars="200" w:firstLine="420"/>
              <w:jc w:val="center"/>
              <w:rPr>
                <w:sz w:val="21"/>
              </w:rPr>
            </w:pPr>
            <w:r w:rsidRPr="00FD3EE9">
              <w:rPr>
                <w:b w:val="0"/>
                <w:sz w:val="21"/>
              </w:rPr>
              <w:t xml:space="preserve">Panel B: Acquiring </w:t>
            </w:r>
            <w:r w:rsidR="00EA4F8D" w:rsidRPr="00FD3EE9">
              <w:rPr>
                <w:b w:val="0"/>
                <w:sz w:val="21"/>
              </w:rPr>
              <w:t>Firm C</w:t>
            </w:r>
            <w:r w:rsidRPr="00FD3EE9">
              <w:rPr>
                <w:b w:val="0"/>
                <w:sz w:val="21"/>
              </w:rPr>
              <w:t>haracteristics</w:t>
            </w:r>
          </w:p>
        </w:tc>
      </w:tr>
      <w:tr w:rsidR="002469FA" w:rsidRPr="00FD3EE9" w14:paraId="006DC3E8" w14:textId="77777777" w:rsidTr="00E9285E">
        <w:trPr>
          <w:cnfStyle w:val="000000100000" w:firstRow="0" w:lastRow="0" w:firstColumn="0" w:lastColumn="0" w:oddVBand="0" w:evenVBand="0" w:oddHBand="1" w:evenHBand="0" w:firstRowFirstColumn="0" w:firstRowLastColumn="0" w:lastRowFirstColumn="0" w:lastRowLastColumn="0"/>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bottom w:val="nil"/>
            </w:tcBorders>
          </w:tcPr>
          <w:p w14:paraId="60B05BED" w14:textId="40245877" w:rsidR="002469FA" w:rsidRPr="00FD3EE9" w:rsidRDefault="007B1AA2" w:rsidP="00842BD5">
            <w:pPr>
              <w:ind w:firstLineChars="200" w:firstLine="420"/>
              <w:jc w:val="left"/>
              <w:rPr>
                <w:b w:val="0"/>
                <w:sz w:val="21"/>
              </w:rPr>
            </w:pPr>
            <w:r w:rsidRPr="00FD3EE9">
              <w:rPr>
                <w:b w:val="0"/>
                <w:sz w:val="21"/>
              </w:rPr>
              <w:t>Debt to Asset Ratio</w:t>
            </w:r>
          </w:p>
        </w:tc>
        <w:tc>
          <w:tcPr>
            <w:tcW w:w="1364" w:type="dxa"/>
            <w:tcBorders>
              <w:bottom w:val="nil"/>
            </w:tcBorders>
          </w:tcPr>
          <w:p w14:paraId="68C388CF" w14:textId="2C569795"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10</w:t>
            </w:r>
            <w:r w:rsidR="00EA4F8D" w:rsidRPr="00FD3EE9">
              <w:rPr>
                <w:sz w:val="21"/>
              </w:rPr>
              <w:t>,</w:t>
            </w:r>
            <w:r w:rsidRPr="00FD3EE9">
              <w:rPr>
                <w:sz w:val="21"/>
              </w:rPr>
              <w:t>553</w:t>
            </w:r>
          </w:p>
        </w:tc>
        <w:tc>
          <w:tcPr>
            <w:tcW w:w="1650" w:type="dxa"/>
            <w:tcBorders>
              <w:bottom w:val="nil"/>
            </w:tcBorders>
          </w:tcPr>
          <w:p w14:paraId="306454C0" w14:textId="56BBA696" w:rsidR="002469FA" w:rsidRPr="00FD3EE9" w:rsidRDefault="007B1AA2" w:rsidP="00842BD5">
            <w:pPr>
              <w:tabs>
                <w:tab w:val="decimal" w:pos="662"/>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0.46</w:t>
            </w:r>
          </w:p>
        </w:tc>
        <w:tc>
          <w:tcPr>
            <w:tcW w:w="1658" w:type="dxa"/>
            <w:tcBorders>
              <w:bottom w:val="nil"/>
            </w:tcBorders>
          </w:tcPr>
          <w:p w14:paraId="141424A4" w14:textId="320468BD" w:rsidR="002469FA" w:rsidRPr="00FD3EE9" w:rsidRDefault="007B1AA2" w:rsidP="00842BD5">
            <w:pPr>
              <w:tabs>
                <w:tab w:val="decimal" w:pos="69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0.21</w:t>
            </w:r>
          </w:p>
        </w:tc>
        <w:tc>
          <w:tcPr>
            <w:tcW w:w="2964" w:type="dxa"/>
            <w:tcBorders>
              <w:bottom w:val="nil"/>
            </w:tcBorders>
          </w:tcPr>
          <w:p w14:paraId="63CE67B7" w14:textId="1015EF1E"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0.48</w:t>
            </w:r>
          </w:p>
        </w:tc>
      </w:tr>
      <w:tr w:rsidR="002469FA" w:rsidRPr="00FD3EE9" w14:paraId="0D6F01BE" w14:textId="77777777" w:rsidTr="00E9285E">
        <w:trPr>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bottom w:val="nil"/>
            </w:tcBorders>
          </w:tcPr>
          <w:p w14:paraId="0E014864" w14:textId="5362F45A" w:rsidR="002469FA" w:rsidRPr="00FD3EE9" w:rsidRDefault="007B1AA2" w:rsidP="00842BD5">
            <w:pPr>
              <w:ind w:firstLineChars="200" w:firstLine="420"/>
              <w:jc w:val="left"/>
              <w:rPr>
                <w:b w:val="0"/>
                <w:sz w:val="21"/>
              </w:rPr>
            </w:pPr>
            <w:r w:rsidRPr="00FD3EE9">
              <w:rPr>
                <w:b w:val="0"/>
                <w:sz w:val="21"/>
              </w:rPr>
              <w:t>Firm Size</w:t>
            </w:r>
          </w:p>
        </w:tc>
        <w:tc>
          <w:tcPr>
            <w:tcW w:w="1364" w:type="dxa"/>
            <w:tcBorders>
              <w:top w:val="nil"/>
              <w:bottom w:val="nil"/>
            </w:tcBorders>
          </w:tcPr>
          <w:p w14:paraId="6242E524" w14:textId="110209DF" w:rsidR="002469FA" w:rsidRPr="00FD3EE9" w:rsidRDefault="007B1AA2"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10</w:t>
            </w:r>
            <w:r w:rsidR="00EA4F8D" w:rsidRPr="00FD3EE9">
              <w:rPr>
                <w:sz w:val="21"/>
              </w:rPr>
              <w:t>,</w:t>
            </w:r>
            <w:r w:rsidRPr="00FD3EE9">
              <w:rPr>
                <w:sz w:val="21"/>
              </w:rPr>
              <w:t>552</w:t>
            </w:r>
          </w:p>
        </w:tc>
        <w:tc>
          <w:tcPr>
            <w:tcW w:w="1650" w:type="dxa"/>
            <w:tcBorders>
              <w:top w:val="nil"/>
              <w:bottom w:val="nil"/>
            </w:tcBorders>
          </w:tcPr>
          <w:p w14:paraId="3B5D7FFD" w14:textId="753FA28D" w:rsidR="002469FA" w:rsidRPr="00FD3EE9" w:rsidRDefault="007B1AA2" w:rsidP="00842BD5">
            <w:pPr>
              <w:tabs>
                <w:tab w:val="decimal" w:pos="662"/>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21.80</w:t>
            </w:r>
          </w:p>
        </w:tc>
        <w:tc>
          <w:tcPr>
            <w:tcW w:w="1658" w:type="dxa"/>
            <w:tcBorders>
              <w:top w:val="nil"/>
              <w:bottom w:val="nil"/>
            </w:tcBorders>
          </w:tcPr>
          <w:p w14:paraId="0D03F045" w14:textId="0046047D" w:rsidR="002469FA" w:rsidRPr="00FD3EE9" w:rsidRDefault="007B1AA2" w:rsidP="00842BD5">
            <w:pPr>
              <w:tabs>
                <w:tab w:val="decimal" w:pos="69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1.14</w:t>
            </w:r>
          </w:p>
        </w:tc>
        <w:tc>
          <w:tcPr>
            <w:tcW w:w="2964" w:type="dxa"/>
            <w:tcBorders>
              <w:top w:val="nil"/>
              <w:bottom w:val="nil"/>
            </w:tcBorders>
          </w:tcPr>
          <w:p w14:paraId="6B2534FF" w14:textId="5A908983" w:rsidR="002469FA" w:rsidRPr="00FD3EE9" w:rsidRDefault="007B1AA2"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21.68</w:t>
            </w:r>
          </w:p>
        </w:tc>
      </w:tr>
      <w:tr w:rsidR="002469FA" w:rsidRPr="00FD3EE9" w14:paraId="7D9F83E7" w14:textId="77777777" w:rsidTr="00E9285E">
        <w:trPr>
          <w:cnfStyle w:val="000000100000" w:firstRow="0" w:lastRow="0" w:firstColumn="0" w:lastColumn="0" w:oddVBand="0" w:evenVBand="0" w:oddHBand="1" w:evenHBand="0" w:firstRowFirstColumn="0" w:firstRowLastColumn="0" w:lastRowFirstColumn="0" w:lastRowLastColumn="0"/>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bottom w:val="nil"/>
            </w:tcBorders>
          </w:tcPr>
          <w:p w14:paraId="76A28719" w14:textId="2A87967D" w:rsidR="002469FA" w:rsidRPr="00FD3EE9" w:rsidRDefault="007B1AA2" w:rsidP="00842BD5">
            <w:pPr>
              <w:ind w:firstLineChars="200" w:firstLine="420"/>
              <w:jc w:val="left"/>
              <w:rPr>
                <w:b w:val="0"/>
                <w:sz w:val="21"/>
              </w:rPr>
            </w:pPr>
            <w:r w:rsidRPr="00FD3EE9">
              <w:rPr>
                <w:b w:val="0"/>
                <w:sz w:val="21"/>
              </w:rPr>
              <w:t>Return on Equity</w:t>
            </w:r>
          </w:p>
        </w:tc>
        <w:tc>
          <w:tcPr>
            <w:tcW w:w="1364" w:type="dxa"/>
            <w:tcBorders>
              <w:top w:val="nil"/>
              <w:bottom w:val="nil"/>
            </w:tcBorders>
          </w:tcPr>
          <w:p w14:paraId="5425C94F" w14:textId="16416237"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10</w:t>
            </w:r>
            <w:r w:rsidR="00EA4F8D" w:rsidRPr="00FD3EE9">
              <w:rPr>
                <w:sz w:val="21"/>
              </w:rPr>
              <w:t>,</w:t>
            </w:r>
            <w:r w:rsidRPr="00FD3EE9">
              <w:rPr>
                <w:sz w:val="21"/>
              </w:rPr>
              <w:t>552</w:t>
            </w:r>
          </w:p>
        </w:tc>
        <w:tc>
          <w:tcPr>
            <w:tcW w:w="1650" w:type="dxa"/>
            <w:tcBorders>
              <w:top w:val="nil"/>
              <w:bottom w:val="nil"/>
            </w:tcBorders>
          </w:tcPr>
          <w:p w14:paraId="48A8C606" w14:textId="3AC1AB40" w:rsidR="002469FA" w:rsidRPr="00FD3EE9" w:rsidRDefault="007B1AA2" w:rsidP="00842BD5">
            <w:pPr>
              <w:tabs>
                <w:tab w:val="decimal" w:pos="662"/>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0.09</w:t>
            </w:r>
          </w:p>
        </w:tc>
        <w:tc>
          <w:tcPr>
            <w:tcW w:w="1658" w:type="dxa"/>
            <w:tcBorders>
              <w:top w:val="nil"/>
              <w:bottom w:val="nil"/>
            </w:tcBorders>
          </w:tcPr>
          <w:p w14:paraId="0DC1A45B" w14:textId="12250DDC" w:rsidR="002469FA" w:rsidRPr="00FD3EE9" w:rsidRDefault="007B1AA2" w:rsidP="00842BD5">
            <w:pPr>
              <w:tabs>
                <w:tab w:val="decimal" w:pos="69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0.08</w:t>
            </w:r>
          </w:p>
        </w:tc>
        <w:tc>
          <w:tcPr>
            <w:tcW w:w="2964" w:type="dxa"/>
            <w:tcBorders>
              <w:top w:val="nil"/>
              <w:bottom w:val="nil"/>
            </w:tcBorders>
          </w:tcPr>
          <w:p w14:paraId="58CAF82C" w14:textId="22D35BF9"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0.08</w:t>
            </w:r>
          </w:p>
        </w:tc>
      </w:tr>
      <w:tr w:rsidR="002469FA" w:rsidRPr="00FD3EE9" w14:paraId="5D87C938" w14:textId="77777777" w:rsidTr="00E9285E">
        <w:trPr>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bottom w:val="nil"/>
            </w:tcBorders>
          </w:tcPr>
          <w:p w14:paraId="6B941F8A" w14:textId="4D12BF21" w:rsidR="002469FA" w:rsidRPr="00FD3EE9" w:rsidRDefault="007B1AA2" w:rsidP="00842BD5">
            <w:pPr>
              <w:ind w:firstLineChars="200" w:firstLine="420"/>
              <w:jc w:val="left"/>
              <w:rPr>
                <w:b w:val="0"/>
                <w:sz w:val="21"/>
              </w:rPr>
            </w:pPr>
            <w:r w:rsidRPr="00FD3EE9">
              <w:rPr>
                <w:b w:val="0"/>
                <w:sz w:val="21"/>
              </w:rPr>
              <w:t>Stock Return</w:t>
            </w:r>
          </w:p>
        </w:tc>
        <w:tc>
          <w:tcPr>
            <w:tcW w:w="1364" w:type="dxa"/>
            <w:tcBorders>
              <w:top w:val="nil"/>
              <w:bottom w:val="nil"/>
            </w:tcBorders>
          </w:tcPr>
          <w:p w14:paraId="2C8ADD41" w14:textId="6561A647" w:rsidR="002469FA" w:rsidRPr="00FD3EE9" w:rsidRDefault="007B1AA2"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10</w:t>
            </w:r>
            <w:r w:rsidR="00EA4F8D" w:rsidRPr="00FD3EE9">
              <w:rPr>
                <w:sz w:val="21"/>
              </w:rPr>
              <w:t>,</w:t>
            </w:r>
            <w:r w:rsidRPr="00FD3EE9">
              <w:rPr>
                <w:sz w:val="21"/>
              </w:rPr>
              <w:t>251</w:t>
            </w:r>
          </w:p>
        </w:tc>
        <w:tc>
          <w:tcPr>
            <w:tcW w:w="1650" w:type="dxa"/>
            <w:tcBorders>
              <w:top w:val="nil"/>
              <w:bottom w:val="nil"/>
            </w:tcBorders>
          </w:tcPr>
          <w:p w14:paraId="6656E4A5" w14:textId="26FC0827" w:rsidR="002469FA" w:rsidRPr="00FD3EE9" w:rsidRDefault="007B1AA2" w:rsidP="00842BD5">
            <w:pPr>
              <w:tabs>
                <w:tab w:val="decimal" w:pos="662"/>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0.36</w:t>
            </w:r>
          </w:p>
        </w:tc>
        <w:tc>
          <w:tcPr>
            <w:tcW w:w="1658" w:type="dxa"/>
            <w:tcBorders>
              <w:top w:val="nil"/>
              <w:bottom w:val="nil"/>
            </w:tcBorders>
          </w:tcPr>
          <w:p w14:paraId="2E8E8C92" w14:textId="073BDAEB" w:rsidR="002469FA" w:rsidRPr="00FD3EE9" w:rsidRDefault="007B1AA2" w:rsidP="00842BD5">
            <w:pPr>
              <w:tabs>
                <w:tab w:val="decimal" w:pos="69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0.76</w:t>
            </w:r>
          </w:p>
        </w:tc>
        <w:tc>
          <w:tcPr>
            <w:tcW w:w="2964" w:type="dxa"/>
            <w:tcBorders>
              <w:top w:val="nil"/>
              <w:bottom w:val="nil"/>
            </w:tcBorders>
          </w:tcPr>
          <w:p w14:paraId="2DB395D5" w14:textId="2010C951" w:rsidR="002469FA" w:rsidRPr="00FD3EE9" w:rsidRDefault="007B1AA2"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0.05</w:t>
            </w:r>
          </w:p>
        </w:tc>
      </w:tr>
      <w:tr w:rsidR="002469FA" w:rsidRPr="00FD3EE9" w14:paraId="63DF87F0" w14:textId="77777777" w:rsidTr="00E9285E">
        <w:trPr>
          <w:cnfStyle w:val="000000100000" w:firstRow="0" w:lastRow="0" w:firstColumn="0" w:lastColumn="0" w:oddVBand="0" w:evenVBand="0" w:oddHBand="1" w:evenHBand="0" w:firstRowFirstColumn="0" w:firstRowLastColumn="0" w:lastRowFirstColumn="0" w:lastRowLastColumn="0"/>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bottom w:val="nil"/>
            </w:tcBorders>
          </w:tcPr>
          <w:p w14:paraId="3D3F5611" w14:textId="47EA3F32" w:rsidR="002469FA" w:rsidRPr="00FD3EE9" w:rsidRDefault="007B1AA2" w:rsidP="00842BD5">
            <w:pPr>
              <w:ind w:firstLineChars="200" w:firstLine="420"/>
              <w:jc w:val="left"/>
              <w:rPr>
                <w:b w:val="0"/>
                <w:sz w:val="21"/>
              </w:rPr>
            </w:pPr>
            <w:r w:rsidRPr="00FD3EE9">
              <w:rPr>
                <w:b w:val="0"/>
                <w:sz w:val="21"/>
              </w:rPr>
              <w:t>Firm Growth</w:t>
            </w:r>
          </w:p>
        </w:tc>
        <w:tc>
          <w:tcPr>
            <w:tcW w:w="1364" w:type="dxa"/>
            <w:tcBorders>
              <w:top w:val="nil"/>
              <w:bottom w:val="nil"/>
            </w:tcBorders>
          </w:tcPr>
          <w:p w14:paraId="41D59328" w14:textId="6E34EAE0"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9</w:t>
            </w:r>
            <w:r w:rsidR="00EA4F8D" w:rsidRPr="00FD3EE9">
              <w:rPr>
                <w:sz w:val="21"/>
              </w:rPr>
              <w:t>,</w:t>
            </w:r>
            <w:r w:rsidRPr="00FD3EE9">
              <w:rPr>
                <w:sz w:val="21"/>
              </w:rPr>
              <w:t>103</w:t>
            </w:r>
          </w:p>
        </w:tc>
        <w:tc>
          <w:tcPr>
            <w:tcW w:w="1650" w:type="dxa"/>
            <w:tcBorders>
              <w:top w:val="nil"/>
              <w:bottom w:val="nil"/>
            </w:tcBorders>
          </w:tcPr>
          <w:p w14:paraId="397B3C39" w14:textId="0DDC1A3A" w:rsidR="002469FA" w:rsidRPr="00FD3EE9" w:rsidRDefault="007B1AA2" w:rsidP="00842BD5">
            <w:pPr>
              <w:tabs>
                <w:tab w:val="decimal" w:pos="662"/>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0.20</w:t>
            </w:r>
          </w:p>
        </w:tc>
        <w:tc>
          <w:tcPr>
            <w:tcW w:w="1658" w:type="dxa"/>
            <w:tcBorders>
              <w:top w:val="nil"/>
              <w:bottom w:val="nil"/>
            </w:tcBorders>
          </w:tcPr>
          <w:p w14:paraId="47C2369D" w14:textId="4FE6C935" w:rsidR="002469FA" w:rsidRPr="00FD3EE9" w:rsidRDefault="007B1AA2" w:rsidP="00842BD5">
            <w:pPr>
              <w:tabs>
                <w:tab w:val="decimal" w:pos="69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0.24</w:t>
            </w:r>
          </w:p>
        </w:tc>
        <w:tc>
          <w:tcPr>
            <w:tcW w:w="2964" w:type="dxa"/>
            <w:tcBorders>
              <w:top w:val="nil"/>
              <w:bottom w:val="nil"/>
            </w:tcBorders>
          </w:tcPr>
          <w:p w14:paraId="00B6120F" w14:textId="2887169B"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0.14</w:t>
            </w:r>
          </w:p>
        </w:tc>
      </w:tr>
      <w:tr w:rsidR="002469FA" w:rsidRPr="00FD3EE9" w14:paraId="6852D98D" w14:textId="77777777" w:rsidTr="00E9285E">
        <w:trPr>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bottom w:val="nil"/>
            </w:tcBorders>
          </w:tcPr>
          <w:p w14:paraId="116EEEC3" w14:textId="54BE7B65" w:rsidR="002469FA" w:rsidRPr="00FD3EE9" w:rsidRDefault="007B1AA2" w:rsidP="00842BD5">
            <w:pPr>
              <w:ind w:firstLineChars="200" w:firstLine="420"/>
              <w:jc w:val="left"/>
              <w:rPr>
                <w:b w:val="0"/>
                <w:sz w:val="21"/>
              </w:rPr>
            </w:pPr>
            <w:r w:rsidRPr="00FD3EE9">
              <w:rPr>
                <w:b w:val="0"/>
                <w:sz w:val="21"/>
              </w:rPr>
              <w:t>Tobin's Q</w:t>
            </w:r>
          </w:p>
        </w:tc>
        <w:tc>
          <w:tcPr>
            <w:tcW w:w="1364" w:type="dxa"/>
            <w:tcBorders>
              <w:top w:val="nil"/>
              <w:bottom w:val="nil"/>
            </w:tcBorders>
          </w:tcPr>
          <w:p w14:paraId="67CA7558" w14:textId="7F238197" w:rsidR="002469FA" w:rsidRPr="00FD3EE9" w:rsidRDefault="007B1AA2"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10</w:t>
            </w:r>
            <w:r w:rsidR="00EA4F8D" w:rsidRPr="00FD3EE9">
              <w:rPr>
                <w:sz w:val="21"/>
              </w:rPr>
              <w:t>,</w:t>
            </w:r>
            <w:r w:rsidRPr="00FD3EE9">
              <w:rPr>
                <w:sz w:val="21"/>
              </w:rPr>
              <w:t>553</w:t>
            </w:r>
          </w:p>
        </w:tc>
        <w:tc>
          <w:tcPr>
            <w:tcW w:w="1650" w:type="dxa"/>
            <w:tcBorders>
              <w:top w:val="nil"/>
              <w:bottom w:val="nil"/>
            </w:tcBorders>
          </w:tcPr>
          <w:p w14:paraId="5D04AE3F" w14:textId="4A58FE35" w:rsidR="002469FA" w:rsidRPr="00FD3EE9" w:rsidRDefault="007B1AA2" w:rsidP="00842BD5">
            <w:pPr>
              <w:tabs>
                <w:tab w:val="decimal" w:pos="662"/>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1.78</w:t>
            </w:r>
          </w:p>
        </w:tc>
        <w:tc>
          <w:tcPr>
            <w:tcW w:w="1658" w:type="dxa"/>
            <w:tcBorders>
              <w:top w:val="nil"/>
              <w:bottom w:val="nil"/>
            </w:tcBorders>
          </w:tcPr>
          <w:p w14:paraId="179D9BB4" w14:textId="63C1E18D" w:rsidR="002469FA" w:rsidRPr="00FD3EE9" w:rsidRDefault="007B1AA2" w:rsidP="00842BD5">
            <w:pPr>
              <w:tabs>
                <w:tab w:val="decimal" w:pos="69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1.36</w:t>
            </w:r>
          </w:p>
        </w:tc>
        <w:tc>
          <w:tcPr>
            <w:tcW w:w="2964" w:type="dxa"/>
            <w:tcBorders>
              <w:top w:val="nil"/>
              <w:bottom w:val="nil"/>
            </w:tcBorders>
          </w:tcPr>
          <w:p w14:paraId="146B02B0" w14:textId="1FF6BC43" w:rsidR="002469FA" w:rsidRPr="00FD3EE9" w:rsidRDefault="007B1AA2"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1.39</w:t>
            </w:r>
          </w:p>
        </w:tc>
      </w:tr>
      <w:tr w:rsidR="002469FA" w:rsidRPr="00FD3EE9" w14:paraId="12928446" w14:textId="77777777" w:rsidTr="00E9285E">
        <w:trPr>
          <w:cnfStyle w:val="000000100000" w:firstRow="0" w:lastRow="0" w:firstColumn="0" w:lastColumn="0" w:oddVBand="0" w:evenVBand="0" w:oddHBand="1" w:evenHBand="0" w:firstRowFirstColumn="0" w:firstRowLastColumn="0" w:lastRowFirstColumn="0" w:lastRowLastColumn="0"/>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bottom w:val="nil"/>
            </w:tcBorders>
          </w:tcPr>
          <w:p w14:paraId="4D70D83A" w14:textId="0CF40040" w:rsidR="002469FA" w:rsidRPr="00FD3EE9" w:rsidRDefault="007B1AA2" w:rsidP="00842BD5">
            <w:pPr>
              <w:ind w:firstLineChars="200" w:firstLine="420"/>
              <w:jc w:val="left"/>
              <w:rPr>
                <w:b w:val="0"/>
                <w:sz w:val="21"/>
              </w:rPr>
            </w:pPr>
            <w:r w:rsidRPr="00FD3EE9">
              <w:rPr>
                <w:b w:val="0"/>
                <w:sz w:val="21"/>
              </w:rPr>
              <w:t>Firm-specific Overvaluation</w:t>
            </w:r>
          </w:p>
        </w:tc>
        <w:tc>
          <w:tcPr>
            <w:tcW w:w="1364" w:type="dxa"/>
            <w:tcBorders>
              <w:top w:val="nil"/>
              <w:bottom w:val="nil"/>
            </w:tcBorders>
          </w:tcPr>
          <w:p w14:paraId="7D241962" w14:textId="102F858E"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10</w:t>
            </w:r>
            <w:r w:rsidR="00EA4F8D" w:rsidRPr="00FD3EE9">
              <w:rPr>
                <w:sz w:val="21"/>
              </w:rPr>
              <w:t>,</w:t>
            </w:r>
            <w:r w:rsidRPr="00FD3EE9">
              <w:rPr>
                <w:sz w:val="21"/>
              </w:rPr>
              <w:t>552</w:t>
            </w:r>
          </w:p>
        </w:tc>
        <w:tc>
          <w:tcPr>
            <w:tcW w:w="1650" w:type="dxa"/>
            <w:tcBorders>
              <w:top w:val="nil"/>
              <w:bottom w:val="nil"/>
            </w:tcBorders>
          </w:tcPr>
          <w:p w14:paraId="6CEECF84" w14:textId="5ED0977A" w:rsidR="002469FA" w:rsidRPr="00FD3EE9" w:rsidRDefault="007B1AA2" w:rsidP="00842BD5">
            <w:pPr>
              <w:tabs>
                <w:tab w:val="decimal" w:pos="662"/>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0.06</w:t>
            </w:r>
          </w:p>
        </w:tc>
        <w:tc>
          <w:tcPr>
            <w:tcW w:w="1658" w:type="dxa"/>
            <w:tcBorders>
              <w:top w:val="nil"/>
              <w:bottom w:val="nil"/>
            </w:tcBorders>
          </w:tcPr>
          <w:p w14:paraId="209BF22B" w14:textId="57A1083E" w:rsidR="002469FA" w:rsidRPr="00FD3EE9" w:rsidRDefault="007B1AA2" w:rsidP="00842BD5">
            <w:pPr>
              <w:tabs>
                <w:tab w:val="decimal" w:pos="69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0.74</w:t>
            </w:r>
          </w:p>
        </w:tc>
        <w:tc>
          <w:tcPr>
            <w:tcW w:w="2964" w:type="dxa"/>
            <w:tcBorders>
              <w:top w:val="nil"/>
              <w:bottom w:val="nil"/>
            </w:tcBorders>
          </w:tcPr>
          <w:p w14:paraId="19A60ECD" w14:textId="57C60B50" w:rsidR="002469FA" w:rsidRPr="00FD3EE9" w:rsidRDefault="007B1AA2"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0.12</w:t>
            </w:r>
          </w:p>
        </w:tc>
      </w:tr>
      <w:tr w:rsidR="002469FA" w:rsidRPr="00FD3EE9" w14:paraId="14796DC4" w14:textId="77777777" w:rsidTr="00E9285E">
        <w:trPr>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bottom w:val="nil"/>
            </w:tcBorders>
          </w:tcPr>
          <w:p w14:paraId="19E934F1" w14:textId="61A59296" w:rsidR="002469FA" w:rsidRPr="00FD3EE9" w:rsidRDefault="007B1AA2" w:rsidP="00842BD5">
            <w:pPr>
              <w:ind w:firstLineChars="200" w:firstLine="420"/>
              <w:jc w:val="left"/>
              <w:rPr>
                <w:b w:val="0"/>
                <w:sz w:val="21"/>
              </w:rPr>
            </w:pPr>
            <w:r w:rsidRPr="00FD3EE9">
              <w:rPr>
                <w:b w:val="0"/>
                <w:sz w:val="21"/>
              </w:rPr>
              <w:t>Industry-specific Overvaluation</w:t>
            </w:r>
          </w:p>
        </w:tc>
        <w:tc>
          <w:tcPr>
            <w:tcW w:w="1364" w:type="dxa"/>
            <w:tcBorders>
              <w:top w:val="nil"/>
              <w:bottom w:val="nil"/>
            </w:tcBorders>
          </w:tcPr>
          <w:p w14:paraId="22A0CE48" w14:textId="0A234A44" w:rsidR="002469FA" w:rsidRPr="00FD3EE9" w:rsidRDefault="007B1AA2"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10</w:t>
            </w:r>
            <w:r w:rsidR="00EA4F8D" w:rsidRPr="00FD3EE9">
              <w:rPr>
                <w:sz w:val="21"/>
              </w:rPr>
              <w:t>,</w:t>
            </w:r>
            <w:r w:rsidRPr="00FD3EE9">
              <w:rPr>
                <w:sz w:val="21"/>
              </w:rPr>
              <w:t>552</w:t>
            </w:r>
          </w:p>
        </w:tc>
        <w:tc>
          <w:tcPr>
            <w:tcW w:w="1650" w:type="dxa"/>
            <w:tcBorders>
              <w:top w:val="nil"/>
              <w:bottom w:val="nil"/>
            </w:tcBorders>
          </w:tcPr>
          <w:p w14:paraId="0E1653A3" w14:textId="29EB1B33" w:rsidR="002469FA" w:rsidRPr="00FD3EE9" w:rsidRDefault="007B1AA2" w:rsidP="00842BD5">
            <w:pPr>
              <w:tabs>
                <w:tab w:val="decimal" w:pos="662"/>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0.04</w:t>
            </w:r>
          </w:p>
        </w:tc>
        <w:tc>
          <w:tcPr>
            <w:tcW w:w="1658" w:type="dxa"/>
            <w:tcBorders>
              <w:top w:val="nil"/>
              <w:bottom w:val="nil"/>
            </w:tcBorders>
          </w:tcPr>
          <w:p w14:paraId="09933F87" w14:textId="17A6E711" w:rsidR="002469FA" w:rsidRPr="00FD3EE9" w:rsidRDefault="007B1AA2" w:rsidP="00842BD5">
            <w:pPr>
              <w:tabs>
                <w:tab w:val="decimal" w:pos="69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0.35</w:t>
            </w:r>
          </w:p>
        </w:tc>
        <w:tc>
          <w:tcPr>
            <w:tcW w:w="2964" w:type="dxa"/>
            <w:tcBorders>
              <w:top w:val="nil"/>
              <w:bottom w:val="nil"/>
            </w:tcBorders>
          </w:tcPr>
          <w:p w14:paraId="70F8D111" w14:textId="0BB982EE" w:rsidR="002469FA" w:rsidRPr="00FD3EE9" w:rsidRDefault="007B1AA2"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0.05</w:t>
            </w:r>
          </w:p>
        </w:tc>
      </w:tr>
      <w:tr w:rsidR="002469FA" w:rsidRPr="00FD3EE9" w14:paraId="34235AC7" w14:textId="77777777" w:rsidTr="00E9285E">
        <w:trPr>
          <w:cnfStyle w:val="000000100000" w:firstRow="0" w:lastRow="0" w:firstColumn="0" w:lastColumn="0" w:oddVBand="0" w:evenVBand="0" w:oddHBand="1" w:evenHBand="0" w:firstRowFirstColumn="0" w:firstRowLastColumn="0" w:lastRowFirstColumn="0" w:lastRowLastColumn="0"/>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bottom w:val="nil"/>
            </w:tcBorders>
          </w:tcPr>
          <w:p w14:paraId="1174C3F5" w14:textId="27F56A19" w:rsidR="002469FA" w:rsidRPr="00FD3EE9" w:rsidRDefault="00BB2FD6" w:rsidP="00842BD5">
            <w:pPr>
              <w:ind w:firstLineChars="200" w:firstLine="420"/>
              <w:jc w:val="left"/>
              <w:rPr>
                <w:b w:val="0"/>
                <w:sz w:val="21"/>
              </w:rPr>
            </w:pPr>
            <w:r w:rsidRPr="00FD3EE9">
              <w:rPr>
                <w:b w:val="0"/>
                <w:sz w:val="21"/>
              </w:rPr>
              <w:t>Long-term Growth Expectation</w:t>
            </w:r>
          </w:p>
        </w:tc>
        <w:tc>
          <w:tcPr>
            <w:tcW w:w="1364" w:type="dxa"/>
            <w:tcBorders>
              <w:top w:val="nil"/>
              <w:bottom w:val="nil"/>
            </w:tcBorders>
          </w:tcPr>
          <w:p w14:paraId="478E59FB" w14:textId="06E4D698" w:rsidR="002469FA" w:rsidRPr="00FD3EE9" w:rsidRDefault="00BB2FD6"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10</w:t>
            </w:r>
            <w:r w:rsidR="00EA4F8D" w:rsidRPr="00FD3EE9">
              <w:rPr>
                <w:sz w:val="21"/>
              </w:rPr>
              <w:t>,</w:t>
            </w:r>
            <w:r w:rsidRPr="00FD3EE9">
              <w:rPr>
                <w:sz w:val="21"/>
              </w:rPr>
              <w:t>552</w:t>
            </w:r>
          </w:p>
        </w:tc>
        <w:tc>
          <w:tcPr>
            <w:tcW w:w="1650" w:type="dxa"/>
            <w:tcBorders>
              <w:top w:val="nil"/>
              <w:bottom w:val="nil"/>
            </w:tcBorders>
          </w:tcPr>
          <w:p w14:paraId="3B1ED311" w14:textId="36DAF5D1" w:rsidR="002469FA" w:rsidRPr="00FD3EE9" w:rsidRDefault="00BB2FD6" w:rsidP="00842BD5">
            <w:pPr>
              <w:tabs>
                <w:tab w:val="decimal" w:pos="662"/>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0.14</w:t>
            </w:r>
          </w:p>
        </w:tc>
        <w:tc>
          <w:tcPr>
            <w:tcW w:w="1658" w:type="dxa"/>
            <w:tcBorders>
              <w:top w:val="nil"/>
              <w:bottom w:val="nil"/>
            </w:tcBorders>
          </w:tcPr>
          <w:p w14:paraId="289407B2" w14:textId="61B8DB50" w:rsidR="002469FA" w:rsidRPr="00FD3EE9" w:rsidRDefault="00BB2FD6" w:rsidP="00842BD5">
            <w:pPr>
              <w:tabs>
                <w:tab w:val="decimal" w:pos="69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0.39</w:t>
            </w:r>
          </w:p>
        </w:tc>
        <w:tc>
          <w:tcPr>
            <w:tcW w:w="2964" w:type="dxa"/>
            <w:tcBorders>
              <w:top w:val="nil"/>
              <w:bottom w:val="nil"/>
            </w:tcBorders>
          </w:tcPr>
          <w:p w14:paraId="51F80D4E" w14:textId="0E4DE9CA" w:rsidR="002469FA" w:rsidRPr="00FD3EE9" w:rsidRDefault="00BB2FD6" w:rsidP="00842BD5">
            <w:pPr>
              <w:tabs>
                <w:tab w:val="decimal" w:pos="664"/>
              </w:tabs>
              <w:ind w:firstLineChars="200" w:firstLine="420"/>
              <w:jc w:val="left"/>
              <w:cnfStyle w:val="000000100000" w:firstRow="0" w:lastRow="0" w:firstColumn="0" w:lastColumn="0" w:oddVBand="0" w:evenVBand="0" w:oddHBand="1" w:evenHBand="0" w:firstRowFirstColumn="0" w:firstRowLastColumn="0" w:lastRowFirstColumn="0" w:lastRowLastColumn="0"/>
              <w:rPr>
                <w:sz w:val="21"/>
              </w:rPr>
            </w:pPr>
            <w:r w:rsidRPr="00FD3EE9">
              <w:rPr>
                <w:sz w:val="21"/>
              </w:rPr>
              <w:t>0.20</w:t>
            </w:r>
          </w:p>
        </w:tc>
      </w:tr>
      <w:tr w:rsidR="002469FA" w:rsidRPr="00FD3EE9" w14:paraId="0D0BE20F" w14:textId="77777777" w:rsidTr="00E9285E">
        <w:trPr>
          <w:trHeight w:hRule="exact" w:val="337"/>
          <w:jc w:val="center"/>
        </w:trPr>
        <w:tc>
          <w:tcPr>
            <w:cnfStyle w:val="001000000000" w:firstRow="0" w:lastRow="0" w:firstColumn="1" w:lastColumn="0" w:oddVBand="0" w:evenVBand="0" w:oddHBand="0" w:evenHBand="0" w:firstRowFirstColumn="0" w:firstRowLastColumn="0" w:lastRowFirstColumn="0" w:lastRowLastColumn="0"/>
            <w:tcW w:w="2498" w:type="dxa"/>
            <w:tcBorders>
              <w:top w:val="nil"/>
              <w:bottom w:val="single" w:sz="4" w:space="0" w:color="000000" w:themeColor="text1"/>
            </w:tcBorders>
          </w:tcPr>
          <w:p w14:paraId="4B5E5E48" w14:textId="3E190A1B" w:rsidR="002469FA" w:rsidRPr="00FD3EE9" w:rsidRDefault="00BB2FD6" w:rsidP="00842BD5">
            <w:pPr>
              <w:ind w:firstLineChars="200" w:firstLine="420"/>
              <w:jc w:val="left"/>
              <w:rPr>
                <w:b w:val="0"/>
                <w:sz w:val="21"/>
              </w:rPr>
            </w:pPr>
            <w:r w:rsidRPr="00FD3EE9">
              <w:rPr>
                <w:b w:val="0"/>
                <w:sz w:val="21"/>
              </w:rPr>
              <w:t>State Control</w:t>
            </w:r>
          </w:p>
        </w:tc>
        <w:tc>
          <w:tcPr>
            <w:tcW w:w="1364" w:type="dxa"/>
            <w:tcBorders>
              <w:top w:val="nil"/>
              <w:bottom w:val="single" w:sz="4" w:space="0" w:color="000000" w:themeColor="text1"/>
            </w:tcBorders>
          </w:tcPr>
          <w:p w14:paraId="7E53CFC3" w14:textId="14092810" w:rsidR="002469FA" w:rsidRPr="00FD3EE9" w:rsidRDefault="00BB2FD6"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10</w:t>
            </w:r>
            <w:r w:rsidR="00EA4F8D" w:rsidRPr="00FD3EE9">
              <w:rPr>
                <w:sz w:val="21"/>
              </w:rPr>
              <w:t>,</w:t>
            </w:r>
            <w:r w:rsidRPr="00FD3EE9">
              <w:rPr>
                <w:sz w:val="21"/>
              </w:rPr>
              <w:t>551</w:t>
            </w:r>
          </w:p>
        </w:tc>
        <w:tc>
          <w:tcPr>
            <w:tcW w:w="1650" w:type="dxa"/>
            <w:tcBorders>
              <w:top w:val="nil"/>
              <w:bottom w:val="single" w:sz="4" w:space="0" w:color="000000" w:themeColor="text1"/>
            </w:tcBorders>
          </w:tcPr>
          <w:p w14:paraId="70566359" w14:textId="77A154B8" w:rsidR="002469FA" w:rsidRPr="00FD3EE9" w:rsidRDefault="00BB2FD6" w:rsidP="00842BD5">
            <w:pPr>
              <w:tabs>
                <w:tab w:val="decimal" w:pos="662"/>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0.31</w:t>
            </w:r>
          </w:p>
        </w:tc>
        <w:tc>
          <w:tcPr>
            <w:tcW w:w="1658" w:type="dxa"/>
            <w:tcBorders>
              <w:top w:val="nil"/>
              <w:bottom w:val="single" w:sz="4" w:space="0" w:color="000000" w:themeColor="text1"/>
            </w:tcBorders>
          </w:tcPr>
          <w:p w14:paraId="3D2E42BF" w14:textId="0BC26947" w:rsidR="002469FA" w:rsidRPr="00FD3EE9" w:rsidRDefault="00BB2FD6" w:rsidP="00842BD5">
            <w:pPr>
              <w:tabs>
                <w:tab w:val="decimal" w:pos="69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0.46</w:t>
            </w:r>
          </w:p>
        </w:tc>
        <w:tc>
          <w:tcPr>
            <w:tcW w:w="2964" w:type="dxa"/>
            <w:tcBorders>
              <w:top w:val="nil"/>
              <w:bottom w:val="single" w:sz="4" w:space="0" w:color="000000" w:themeColor="text1"/>
            </w:tcBorders>
          </w:tcPr>
          <w:p w14:paraId="32C36524" w14:textId="2DDCE8E8" w:rsidR="002469FA" w:rsidRPr="00FD3EE9" w:rsidRDefault="00BB2FD6" w:rsidP="00842BD5">
            <w:pPr>
              <w:tabs>
                <w:tab w:val="decimal" w:pos="664"/>
              </w:tabs>
              <w:ind w:firstLineChars="200" w:firstLine="420"/>
              <w:jc w:val="left"/>
              <w:cnfStyle w:val="000000000000" w:firstRow="0" w:lastRow="0" w:firstColumn="0" w:lastColumn="0" w:oddVBand="0" w:evenVBand="0" w:oddHBand="0" w:evenHBand="0" w:firstRowFirstColumn="0" w:firstRowLastColumn="0" w:lastRowFirstColumn="0" w:lastRowLastColumn="0"/>
              <w:rPr>
                <w:sz w:val="21"/>
              </w:rPr>
            </w:pPr>
            <w:r w:rsidRPr="00FD3EE9">
              <w:rPr>
                <w:sz w:val="21"/>
              </w:rPr>
              <w:t>0.00</w:t>
            </w:r>
          </w:p>
        </w:tc>
      </w:tr>
    </w:tbl>
    <w:p w14:paraId="1613BEC4" w14:textId="77777777" w:rsidR="00BB2FD6" w:rsidRPr="00FD3EE9" w:rsidRDefault="00BB2FD6" w:rsidP="00842BD5">
      <w:pPr>
        <w:widowControl/>
        <w:ind w:firstLineChars="200" w:firstLine="480"/>
        <w:jc w:val="left"/>
      </w:pPr>
      <w:r w:rsidRPr="00FD3EE9">
        <w:br w:type="page"/>
      </w:r>
    </w:p>
    <w:p w14:paraId="0E8A1BC2" w14:textId="3F8E59EC" w:rsidR="00BB2FD6" w:rsidRPr="00FD3EE9" w:rsidRDefault="00EF1F9E" w:rsidP="00842BD5">
      <w:pPr>
        <w:ind w:firstLineChars="200" w:firstLine="482"/>
        <w:jc w:val="center"/>
        <w:rPr>
          <w:b/>
        </w:rPr>
      </w:pPr>
      <w:r w:rsidRPr="00FD3EE9">
        <w:rPr>
          <w:b/>
        </w:rPr>
        <w:lastRenderedPageBreak/>
        <w:t>Table 4</w:t>
      </w:r>
      <w:r w:rsidR="00BB2FD6" w:rsidRPr="00FD3EE9">
        <w:rPr>
          <w:b/>
        </w:rPr>
        <w:t xml:space="preserve">: Executive </w:t>
      </w:r>
      <w:r w:rsidR="00EA4F8D" w:rsidRPr="00FD3EE9">
        <w:rPr>
          <w:b/>
        </w:rPr>
        <w:t>C</w:t>
      </w:r>
      <w:r w:rsidR="00BB2FD6" w:rsidRPr="00FD3EE9">
        <w:rPr>
          <w:b/>
        </w:rPr>
        <w:t xml:space="preserve">ompensation of </w:t>
      </w:r>
      <w:r w:rsidR="00EA4F8D" w:rsidRPr="00FD3EE9">
        <w:rPr>
          <w:b/>
        </w:rPr>
        <w:t>A</w:t>
      </w:r>
      <w:r w:rsidR="00BB2FD6" w:rsidRPr="00FD3EE9">
        <w:rPr>
          <w:b/>
        </w:rPr>
        <w:t xml:space="preserve">cquiring </w:t>
      </w:r>
      <w:r w:rsidR="00EA4F8D" w:rsidRPr="00FD3EE9">
        <w:rPr>
          <w:b/>
        </w:rPr>
        <w:t>F</w:t>
      </w:r>
      <w:r w:rsidR="00BB2FD6" w:rsidRPr="00FD3EE9">
        <w:rPr>
          <w:b/>
        </w:rPr>
        <w:t>irms</w:t>
      </w:r>
    </w:p>
    <w:tbl>
      <w:tblPr>
        <w:tblStyle w:val="21"/>
        <w:tblW w:w="9356" w:type="dxa"/>
        <w:jc w:val="center"/>
        <w:tblLayout w:type="fixed"/>
        <w:tblLook w:val="04A0" w:firstRow="1" w:lastRow="0" w:firstColumn="1" w:lastColumn="0" w:noHBand="0" w:noVBand="1"/>
      </w:tblPr>
      <w:tblGrid>
        <w:gridCol w:w="3686"/>
        <w:gridCol w:w="1134"/>
        <w:gridCol w:w="1134"/>
        <w:gridCol w:w="567"/>
        <w:gridCol w:w="567"/>
        <w:gridCol w:w="1134"/>
        <w:gridCol w:w="1134"/>
      </w:tblGrid>
      <w:tr w:rsidR="00D43434" w:rsidRPr="00FD3EE9" w14:paraId="31C48203" w14:textId="77777777" w:rsidTr="00E76A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gridSpan w:val="7"/>
            <w:tcBorders>
              <w:top w:val="single" w:sz="4" w:space="0" w:color="000000"/>
              <w:bottom w:val="single" w:sz="4" w:space="0" w:color="000000"/>
            </w:tcBorders>
          </w:tcPr>
          <w:p w14:paraId="4E6C74AA" w14:textId="73AF4CE4" w:rsidR="00BB2FD6" w:rsidRPr="00FD3EE9" w:rsidRDefault="00BB2FD6" w:rsidP="00842BD5">
            <w:pPr>
              <w:ind w:firstLineChars="200" w:firstLine="420"/>
              <w:jc w:val="center"/>
              <w:rPr>
                <w:b w:val="0"/>
                <w:sz w:val="21"/>
              </w:rPr>
            </w:pPr>
            <w:r w:rsidRPr="00FD3EE9">
              <w:rPr>
                <w:b w:val="0"/>
                <w:sz w:val="21"/>
              </w:rPr>
              <w:t>Panel A: Compensation</w:t>
            </w:r>
            <w:r w:rsidR="00D43434" w:rsidRPr="00FD3EE9">
              <w:rPr>
                <w:b w:val="0"/>
                <w:sz w:val="21"/>
              </w:rPr>
              <w:t xml:space="preserve"> of </w:t>
            </w:r>
            <w:r w:rsidR="00EA4F8D" w:rsidRPr="00FD3EE9">
              <w:rPr>
                <w:b w:val="0"/>
                <w:sz w:val="21"/>
              </w:rPr>
              <w:t>E</w:t>
            </w:r>
            <w:r w:rsidR="00D43434" w:rsidRPr="00FD3EE9">
              <w:rPr>
                <w:b w:val="0"/>
                <w:sz w:val="21"/>
              </w:rPr>
              <w:t>xecu</w:t>
            </w:r>
            <w:r w:rsidRPr="00FD3EE9">
              <w:rPr>
                <w:b w:val="0"/>
                <w:sz w:val="21"/>
              </w:rPr>
              <w:t>tives</w:t>
            </w:r>
          </w:p>
        </w:tc>
      </w:tr>
      <w:tr w:rsidR="00D43434" w:rsidRPr="00FD3EE9" w14:paraId="1EFBF824" w14:textId="77777777" w:rsidTr="008D0C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000000"/>
            </w:tcBorders>
          </w:tcPr>
          <w:p w14:paraId="5ABC8847" w14:textId="23626372" w:rsidR="00BB2FD6" w:rsidRPr="00FD3EE9" w:rsidRDefault="00BB2FD6" w:rsidP="00842BD5">
            <w:pPr>
              <w:ind w:firstLineChars="200" w:firstLine="420"/>
              <w:rPr>
                <w:b w:val="0"/>
                <w:sz w:val="21"/>
              </w:rPr>
            </w:pPr>
            <w:r w:rsidRPr="00FD3EE9">
              <w:rPr>
                <w:b w:val="0"/>
                <w:sz w:val="21"/>
              </w:rPr>
              <w:t>Compensation (in 1000 CNY)</w:t>
            </w:r>
            <w:r w:rsidR="00D43434" w:rsidRPr="00FD3EE9">
              <w:rPr>
                <w:b w:val="0"/>
                <w:sz w:val="21"/>
              </w:rPr>
              <w:t xml:space="preserve"> </w:t>
            </w:r>
          </w:p>
        </w:tc>
        <w:tc>
          <w:tcPr>
            <w:tcW w:w="1134" w:type="dxa"/>
            <w:tcBorders>
              <w:top w:val="single" w:sz="4" w:space="0" w:color="000000"/>
            </w:tcBorders>
          </w:tcPr>
          <w:p w14:paraId="0DC4E7CF" w14:textId="5CDA3372" w:rsidR="00BB2FD6" w:rsidRPr="00FD3EE9" w:rsidRDefault="00BB2FD6" w:rsidP="00842BD5">
            <w:pPr>
              <w:ind w:firstLineChars="200" w:firstLine="420"/>
              <w:jc w:val="center"/>
              <w:cnfStyle w:val="000000100000" w:firstRow="0" w:lastRow="0" w:firstColumn="0" w:lastColumn="0" w:oddVBand="0" w:evenVBand="0" w:oddHBand="1" w:evenHBand="0" w:firstRowFirstColumn="0" w:firstRowLastColumn="0" w:lastRowFirstColumn="0" w:lastRowLastColumn="0"/>
              <w:rPr>
                <w:sz w:val="21"/>
              </w:rPr>
            </w:pPr>
            <w:r w:rsidRPr="00FD3EE9">
              <w:rPr>
                <w:sz w:val="21"/>
              </w:rPr>
              <w:t>N</w:t>
            </w:r>
          </w:p>
        </w:tc>
        <w:tc>
          <w:tcPr>
            <w:tcW w:w="1134" w:type="dxa"/>
            <w:tcBorders>
              <w:top w:val="single" w:sz="4" w:space="0" w:color="000000"/>
            </w:tcBorders>
          </w:tcPr>
          <w:p w14:paraId="55FDA5C6" w14:textId="3F5C585F" w:rsidR="00BB2FD6" w:rsidRPr="00FD3EE9" w:rsidRDefault="00BB2FD6" w:rsidP="00842BD5">
            <w:pPr>
              <w:ind w:firstLineChars="200" w:firstLine="420"/>
              <w:jc w:val="center"/>
              <w:cnfStyle w:val="000000100000" w:firstRow="0" w:lastRow="0" w:firstColumn="0" w:lastColumn="0" w:oddVBand="0" w:evenVBand="0" w:oddHBand="1" w:evenHBand="0" w:firstRowFirstColumn="0" w:firstRowLastColumn="0" w:lastRowFirstColumn="0" w:lastRowLastColumn="0"/>
              <w:rPr>
                <w:sz w:val="21"/>
              </w:rPr>
            </w:pPr>
            <w:r w:rsidRPr="00FD3EE9">
              <w:rPr>
                <w:sz w:val="21"/>
              </w:rPr>
              <w:t>Mean</w:t>
            </w:r>
          </w:p>
        </w:tc>
        <w:tc>
          <w:tcPr>
            <w:tcW w:w="1134" w:type="dxa"/>
            <w:gridSpan w:val="2"/>
            <w:tcBorders>
              <w:top w:val="single" w:sz="4" w:space="0" w:color="000000"/>
            </w:tcBorders>
          </w:tcPr>
          <w:p w14:paraId="7ECD71E5" w14:textId="625C37D4" w:rsidR="00BB2FD6" w:rsidRPr="00FD3EE9" w:rsidRDefault="00D43434" w:rsidP="00842BD5">
            <w:pPr>
              <w:ind w:firstLineChars="200" w:firstLine="420"/>
              <w:jc w:val="center"/>
              <w:cnfStyle w:val="000000100000" w:firstRow="0" w:lastRow="0" w:firstColumn="0" w:lastColumn="0" w:oddVBand="0" w:evenVBand="0" w:oddHBand="1" w:evenHBand="0" w:firstRowFirstColumn="0" w:firstRowLastColumn="0" w:lastRowFirstColumn="0" w:lastRowLastColumn="0"/>
              <w:rPr>
                <w:sz w:val="21"/>
              </w:rPr>
            </w:pPr>
            <w:r w:rsidRPr="00FD3EE9">
              <w:rPr>
                <w:sz w:val="21"/>
              </w:rPr>
              <w:t>P25</w:t>
            </w:r>
          </w:p>
        </w:tc>
        <w:tc>
          <w:tcPr>
            <w:tcW w:w="1134" w:type="dxa"/>
            <w:tcBorders>
              <w:top w:val="single" w:sz="4" w:space="0" w:color="000000"/>
            </w:tcBorders>
          </w:tcPr>
          <w:p w14:paraId="2A975DA5" w14:textId="313B03FF" w:rsidR="00BB2FD6" w:rsidRPr="00FD3EE9" w:rsidRDefault="00D43434" w:rsidP="00842BD5">
            <w:pPr>
              <w:ind w:firstLineChars="200" w:firstLine="420"/>
              <w:jc w:val="center"/>
              <w:cnfStyle w:val="000000100000" w:firstRow="0" w:lastRow="0" w:firstColumn="0" w:lastColumn="0" w:oddVBand="0" w:evenVBand="0" w:oddHBand="1" w:evenHBand="0" w:firstRowFirstColumn="0" w:firstRowLastColumn="0" w:lastRowFirstColumn="0" w:lastRowLastColumn="0"/>
              <w:rPr>
                <w:sz w:val="21"/>
              </w:rPr>
            </w:pPr>
            <w:r w:rsidRPr="00FD3EE9">
              <w:rPr>
                <w:sz w:val="21"/>
              </w:rPr>
              <w:t>P50</w:t>
            </w:r>
          </w:p>
        </w:tc>
        <w:tc>
          <w:tcPr>
            <w:tcW w:w="1134" w:type="dxa"/>
            <w:tcBorders>
              <w:top w:val="single" w:sz="4" w:space="0" w:color="000000"/>
            </w:tcBorders>
          </w:tcPr>
          <w:p w14:paraId="0BF05BBC" w14:textId="305AEEE7" w:rsidR="00BB2FD6" w:rsidRPr="00FD3EE9" w:rsidRDefault="00D43434" w:rsidP="00842BD5">
            <w:pPr>
              <w:ind w:firstLineChars="200" w:firstLine="420"/>
              <w:jc w:val="center"/>
              <w:cnfStyle w:val="000000100000" w:firstRow="0" w:lastRow="0" w:firstColumn="0" w:lastColumn="0" w:oddVBand="0" w:evenVBand="0" w:oddHBand="1" w:evenHBand="0" w:firstRowFirstColumn="0" w:firstRowLastColumn="0" w:lastRowFirstColumn="0" w:lastRowLastColumn="0"/>
              <w:rPr>
                <w:sz w:val="21"/>
              </w:rPr>
            </w:pPr>
            <w:r w:rsidRPr="00FD3EE9">
              <w:rPr>
                <w:sz w:val="21"/>
              </w:rPr>
              <w:t>P75</w:t>
            </w:r>
          </w:p>
        </w:tc>
      </w:tr>
      <w:tr w:rsidR="00D43434" w:rsidRPr="00FD3EE9" w14:paraId="62F14D2F" w14:textId="77777777" w:rsidTr="00667C6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7F7F7F" w:themeColor="text1" w:themeTint="80"/>
              <w:bottom w:val="nil"/>
            </w:tcBorders>
          </w:tcPr>
          <w:p w14:paraId="436B4370" w14:textId="2725B2A7" w:rsidR="00BB2FD6" w:rsidRPr="00FD3EE9" w:rsidRDefault="00D43434" w:rsidP="00842BD5">
            <w:pPr>
              <w:ind w:firstLineChars="200" w:firstLine="420"/>
              <w:rPr>
                <w:b w:val="0"/>
                <w:sz w:val="21"/>
              </w:rPr>
            </w:pPr>
            <w:r w:rsidRPr="00FD3EE9">
              <w:rPr>
                <w:b w:val="0"/>
                <w:sz w:val="21"/>
              </w:rPr>
              <w:t>Cash Compensation</w:t>
            </w:r>
          </w:p>
        </w:tc>
        <w:tc>
          <w:tcPr>
            <w:tcW w:w="1134" w:type="dxa"/>
            <w:tcBorders>
              <w:top w:val="single" w:sz="4" w:space="0" w:color="7F7F7F" w:themeColor="text1" w:themeTint="80"/>
              <w:bottom w:val="nil"/>
            </w:tcBorders>
          </w:tcPr>
          <w:p w14:paraId="0506E8AC" w14:textId="2B1215BA" w:rsidR="00BB2FD6" w:rsidRPr="00FD3EE9" w:rsidRDefault="00D43434" w:rsidP="00842BD5">
            <w:pPr>
              <w:tabs>
                <w:tab w:val="decimal" w:pos="694"/>
              </w:tabs>
              <w:ind w:firstLineChars="200" w:firstLine="420"/>
              <w:jc w:val="left"/>
              <w:cnfStyle w:val="000000000000" w:firstRow="0" w:lastRow="0" w:firstColumn="0" w:lastColumn="0" w:oddVBand="0" w:evenVBand="0" w:oddHBand="0" w:evenHBand="0" w:firstRowFirstColumn="0" w:firstRowLastColumn="0" w:lastRowFirstColumn="0" w:lastRowLastColumn="0"/>
              <w:rPr>
                <w:b/>
                <w:sz w:val="21"/>
              </w:rPr>
            </w:pPr>
            <w:r w:rsidRPr="00FD3EE9">
              <w:rPr>
                <w:sz w:val="21"/>
              </w:rPr>
              <w:t>10</w:t>
            </w:r>
            <w:r w:rsidR="00EA4F8D" w:rsidRPr="00FD3EE9">
              <w:rPr>
                <w:sz w:val="21"/>
              </w:rPr>
              <w:t>,</w:t>
            </w:r>
            <w:r w:rsidRPr="00FD3EE9">
              <w:rPr>
                <w:sz w:val="21"/>
              </w:rPr>
              <w:t>530</w:t>
            </w:r>
          </w:p>
        </w:tc>
        <w:tc>
          <w:tcPr>
            <w:tcW w:w="1134" w:type="dxa"/>
            <w:tcBorders>
              <w:top w:val="single" w:sz="4" w:space="0" w:color="7F7F7F" w:themeColor="text1" w:themeTint="80"/>
              <w:bottom w:val="nil"/>
            </w:tcBorders>
          </w:tcPr>
          <w:p w14:paraId="7518BECF" w14:textId="569BE7A6" w:rsidR="00BB2FD6" w:rsidRPr="00FD3EE9" w:rsidRDefault="00D43434" w:rsidP="00842BD5">
            <w:pPr>
              <w:tabs>
                <w:tab w:val="decimal" w:pos="550"/>
              </w:tabs>
              <w:ind w:firstLineChars="200" w:firstLine="420"/>
              <w:jc w:val="left"/>
              <w:cnfStyle w:val="000000000000" w:firstRow="0" w:lastRow="0" w:firstColumn="0" w:lastColumn="0" w:oddVBand="0" w:evenVBand="0" w:oddHBand="0" w:evenHBand="0" w:firstRowFirstColumn="0" w:firstRowLastColumn="0" w:lastRowFirstColumn="0" w:lastRowLastColumn="0"/>
              <w:rPr>
                <w:b/>
                <w:sz w:val="21"/>
              </w:rPr>
            </w:pPr>
            <w:r w:rsidRPr="00FD3EE9">
              <w:rPr>
                <w:sz w:val="21"/>
              </w:rPr>
              <w:t>4</w:t>
            </w:r>
            <w:r w:rsidR="00EA4F8D" w:rsidRPr="00FD3EE9">
              <w:rPr>
                <w:sz w:val="21"/>
              </w:rPr>
              <w:t>,</w:t>
            </w:r>
            <w:r w:rsidRPr="00FD3EE9">
              <w:rPr>
                <w:sz w:val="21"/>
              </w:rPr>
              <w:t>170.60</w:t>
            </w:r>
          </w:p>
        </w:tc>
        <w:tc>
          <w:tcPr>
            <w:tcW w:w="1134" w:type="dxa"/>
            <w:gridSpan w:val="2"/>
            <w:tcBorders>
              <w:top w:val="single" w:sz="4" w:space="0" w:color="7F7F7F" w:themeColor="text1" w:themeTint="80"/>
              <w:bottom w:val="nil"/>
            </w:tcBorders>
          </w:tcPr>
          <w:p w14:paraId="515D1178" w14:textId="04C948F2" w:rsidR="00BB2FD6" w:rsidRPr="00FD3EE9" w:rsidRDefault="00D43434" w:rsidP="00842BD5">
            <w:pPr>
              <w:tabs>
                <w:tab w:val="decimal" w:pos="694"/>
              </w:tabs>
              <w:ind w:firstLineChars="200" w:firstLine="420"/>
              <w:jc w:val="left"/>
              <w:cnfStyle w:val="000000000000" w:firstRow="0" w:lastRow="0" w:firstColumn="0" w:lastColumn="0" w:oddVBand="0" w:evenVBand="0" w:oddHBand="0" w:evenHBand="0" w:firstRowFirstColumn="0" w:firstRowLastColumn="0" w:lastRowFirstColumn="0" w:lastRowLastColumn="0"/>
              <w:rPr>
                <w:b/>
                <w:sz w:val="21"/>
              </w:rPr>
            </w:pPr>
            <w:r w:rsidRPr="00FD3EE9">
              <w:rPr>
                <w:sz w:val="21"/>
              </w:rPr>
              <w:t>1</w:t>
            </w:r>
            <w:r w:rsidR="00EA4F8D" w:rsidRPr="00FD3EE9">
              <w:rPr>
                <w:sz w:val="21"/>
              </w:rPr>
              <w:t>,</w:t>
            </w:r>
            <w:r w:rsidRPr="00FD3EE9">
              <w:rPr>
                <w:sz w:val="21"/>
              </w:rPr>
              <w:t>579.31</w:t>
            </w:r>
          </w:p>
        </w:tc>
        <w:tc>
          <w:tcPr>
            <w:tcW w:w="1134" w:type="dxa"/>
            <w:tcBorders>
              <w:top w:val="single" w:sz="4" w:space="0" w:color="7F7F7F" w:themeColor="text1" w:themeTint="80"/>
              <w:bottom w:val="nil"/>
            </w:tcBorders>
          </w:tcPr>
          <w:p w14:paraId="7A74159C" w14:textId="52FAE56F" w:rsidR="00BB2FD6" w:rsidRPr="00FD3EE9" w:rsidRDefault="00D43434" w:rsidP="00842BD5">
            <w:pPr>
              <w:tabs>
                <w:tab w:val="decimal" w:pos="694"/>
              </w:tabs>
              <w:ind w:right="-64" w:firstLineChars="200" w:firstLine="420"/>
              <w:jc w:val="left"/>
              <w:cnfStyle w:val="000000000000" w:firstRow="0" w:lastRow="0" w:firstColumn="0" w:lastColumn="0" w:oddVBand="0" w:evenVBand="0" w:oddHBand="0" w:evenHBand="0" w:firstRowFirstColumn="0" w:firstRowLastColumn="0" w:lastRowFirstColumn="0" w:lastRowLastColumn="0"/>
              <w:rPr>
                <w:b/>
                <w:sz w:val="21"/>
              </w:rPr>
            </w:pPr>
            <w:r w:rsidRPr="00FD3EE9">
              <w:rPr>
                <w:sz w:val="21"/>
              </w:rPr>
              <w:t>2</w:t>
            </w:r>
            <w:r w:rsidR="00EA4F8D" w:rsidRPr="00FD3EE9">
              <w:rPr>
                <w:sz w:val="21"/>
              </w:rPr>
              <w:t>,</w:t>
            </w:r>
            <w:r w:rsidRPr="00FD3EE9">
              <w:rPr>
                <w:sz w:val="21"/>
              </w:rPr>
              <w:t>741.15</w:t>
            </w:r>
          </w:p>
        </w:tc>
        <w:tc>
          <w:tcPr>
            <w:tcW w:w="1134" w:type="dxa"/>
            <w:tcBorders>
              <w:top w:val="single" w:sz="4" w:space="0" w:color="7F7F7F" w:themeColor="text1" w:themeTint="80"/>
              <w:bottom w:val="nil"/>
            </w:tcBorders>
          </w:tcPr>
          <w:p w14:paraId="526E0CE3" w14:textId="1D4A3F30" w:rsidR="00BB2FD6" w:rsidRPr="00FD3EE9" w:rsidRDefault="00D43434" w:rsidP="00842BD5">
            <w:pPr>
              <w:tabs>
                <w:tab w:val="decimal" w:pos="694"/>
              </w:tabs>
              <w:ind w:right="-100" w:firstLineChars="200" w:firstLine="420"/>
              <w:jc w:val="left"/>
              <w:cnfStyle w:val="000000000000" w:firstRow="0" w:lastRow="0" w:firstColumn="0" w:lastColumn="0" w:oddVBand="0" w:evenVBand="0" w:oddHBand="0" w:evenHBand="0" w:firstRowFirstColumn="0" w:firstRowLastColumn="0" w:lastRowFirstColumn="0" w:lastRowLastColumn="0"/>
              <w:rPr>
                <w:b/>
                <w:sz w:val="21"/>
              </w:rPr>
            </w:pPr>
            <w:r w:rsidRPr="00FD3EE9">
              <w:rPr>
                <w:sz w:val="21"/>
              </w:rPr>
              <w:t>4</w:t>
            </w:r>
            <w:r w:rsidR="00EA4F8D" w:rsidRPr="00FD3EE9">
              <w:rPr>
                <w:sz w:val="21"/>
              </w:rPr>
              <w:t>,</w:t>
            </w:r>
            <w:r w:rsidRPr="00FD3EE9">
              <w:rPr>
                <w:sz w:val="21"/>
              </w:rPr>
              <w:t>657.80</w:t>
            </w:r>
          </w:p>
        </w:tc>
      </w:tr>
      <w:tr w:rsidR="00D43434" w:rsidRPr="00FD3EE9" w14:paraId="7126406C" w14:textId="77777777" w:rsidTr="00194DF3">
        <w:trPr>
          <w:cnfStyle w:val="000000100000" w:firstRow="0" w:lastRow="0" w:firstColumn="0" w:lastColumn="0" w:oddVBand="0" w:evenVBand="0" w:oddHBand="1" w:evenHBand="0" w:firstRowFirstColumn="0" w:firstRowLastColumn="0" w:lastRowFirstColumn="0" w:lastRowLastColumn="0"/>
          <w:trHeight w:hRule="exact" w:val="377"/>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tcPr>
          <w:p w14:paraId="5E2AF36B" w14:textId="6C4372D4" w:rsidR="00BB2FD6" w:rsidRPr="00FD3EE9" w:rsidRDefault="00D43434" w:rsidP="00842BD5">
            <w:pPr>
              <w:ind w:firstLineChars="200" w:firstLine="420"/>
              <w:rPr>
                <w:b w:val="0"/>
                <w:sz w:val="21"/>
              </w:rPr>
            </w:pPr>
            <w:r w:rsidRPr="00FD3EE9">
              <w:rPr>
                <w:b w:val="0"/>
                <w:sz w:val="21"/>
              </w:rPr>
              <w:t xml:space="preserve">Stock Option </w:t>
            </w:r>
            <w:r w:rsidR="00EA4F8D" w:rsidRPr="00FD3EE9">
              <w:rPr>
                <w:b w:val="0"/>
                <w:sz w:val="21"/>
              </w:rPr>
              <w:t>P</w:t>
            </w:r>
            <w:r w:rsidRPr="00FD3EE9">
              <w:rPr>
                <w:b w:val="0"/>
                <w:sz w:val="21"/>
              </w:rPr>
              <w:t>ay</w:t>
            </w:r>
          </w:p>
        </w:tc>
        <w:tc>
          <w:tcPr>
            <w:tcW w:w="1134" w:type="dxa"/>
            <w:tcBorders>
              <w:top w:val="nil"/>
              <w:bottom w:val="nil"/>
            </w:tcBorders>
          </w:tcPr>
          <w:p w14:paraId="30C92690" w14:textId="729917C3" w:rsidR="00BB2FD6" w:rsidRPr="00FD3EE9" w:rsidRDefault="00D43434" w:rsidP="00842BD5">
            <w:pPr>
              <w:tabs>
                <w:tab w:val="decimal" w:pos="694"/>
              </w:tabs>
              <w:ind w:firstLineChars="200" w:firstLine="420"/>
              <w:jc w:val="left"/>
              <w:cnfStyle w:val="000000100000" w:firstRow="0" w:lastRow="0" w:firstColumn="0" w:lastColumn="0" w:oddVBand="0" w:evenVBand="0" w:oddHBand="1" w:evenHBand="0" w:firstRowFirstColumn="0" w:firstRowLastColumn="0" w:lastRowFirstColumn="0" w:lastRowLastColumn="0"/>
              <w:rPr>
                <w:b/>
                <w:sz w:val="21"/>
              </w:rPr>
            </w:pPr>
            <w:r w:rsidRPr="00FD3EE9">
              <w:rPr>
                <w:sz w:val="21"/>
              </w:rPr>
              <w:t>356</w:t>
            </w:r>
          </w:p>
        </w:tc>
        <w:tc>
          <w:tcPr>
            <w:tcW w:w="1134" w:type="dxa"/>
            <w:tcBorders>
              <w:top w:val="nil"/>
              <w:bottom w:val="nil"/>
            </w:tcBorders>
          </w:tcPr>
          <w:p w14:paraId="2FD94239" w14:textId="763191A4" w:rsidR="00BB2FD6" w:rsidRPr="00FD3EE9" w:rsidRDefault="00D43434" w:rsidP="00842BD5">
            <w:pPr>
              <w:tabs>
                <w:tab w:val="decimal" w:pos="550"/>
              </w:tabs>
              <w:ind w:right="-82" w:firstLineChars="200" w:firstLine="420"/>
              <w:jc w:val="left"/>
              <w:cnfStyle w:val="000000100000" w:firstRow="0" w:lastRow="0" w:firstColumn="0" w:lastColumn="0" w:oddVBand="0" w:evenVBand="0" w:oddHBand="1" w:evenHBand="0" w:firstRowFirstColumn="0" w:firstRowLastColumn="0" w:lastRowFirstColumn="0" w:lastRowLastColumn="0"/>
              <w:rPr>
                <w:b/>
                <w:sz w:val="21"/>
              </w:rPr>
            </w:pPr>
            <w:r w:rsidRPr="00FD3EE9">
              <w:rPr>
                <w:sz w:val="21"/>
              </w:rPr>
              <w:t>65</w:t>
            </w:r>
            <w:r w:rsidR="00EA4F8D" w:rsidRPr="00FD3EE9">
              <w:rPr>
                <w:sz w:val="21"/>
              </w:rPr>
              <w:t>,</w:t>
            </w:r>
            <w:r w:rsidRPr="00FD3EE9">
              <w:rPr>
                <w:sz w:val="21"/>
              </w:rPr>
              <w:t>470.3</w:t>
            </w:r>
            <w:r w:rsidR="00EA4F8D" w:rsidRPr="00FD3EE9">
              <w:rPr>
                <w:sz w:val="21"/>
              </w:rPr>
              <w:t>9</w:t>
            </w:r>
          </w:p>
        </w:tc>
        <w:tc>
          <w:tcPr>
            <w:tcW w:w="1134" w:type="dxa"/>
            <w:gridSpan w:val="2"/>
            <w:tcBorders>
              <w:top w:val="nil"/>
              <w:bottom w:val="nil"/>
            </w:tcBorders>
          </w:tcPr>
          <w:p w14:paraId="3CCE4B5D" w14:textId="3900138D" w:rsidR="00BB2FD6" w:rsidRPr="00FD3EE9" w:rsidRDefault="00D43434" w:rsidP="00842BD5">
            <w:pPr>
              <w:tabs>
                <w:tab w:val="decimal" w:pos="694"/>
              </w:tabs>
              <w:ind w:firstLineChars="200" w:firstLine="420"/>
              <w:jc w:val="left"/>
              <w:cnfStyle w:val="000000100000" w:firstRow="0" w:lastRow="0" w:firstColumn="0" w:lastColumn="0" w:oddVBand="0" w:evenVBand="0" w:oddHBand="1" w:evenHBand="0" w:firstRowFirstColumn="0" w:firstRowLastColumn="0" w:lastRowFirstColumn="0" w:lastRowLastColumn="0"/>
              <w:rPr>
                <w:b/>
                <w:sz w:val="21"/>
              </w:rPr>
            </w:pPr>
            <w:r w:rsidRPr="00FD3EE9">
              <w:rPr>
                <w:sz w:val="21"/>
              </w:rPr>
              <w:t>8</w:t>
            </w:r>
            <w:r w:rsidR="00EA4F8D" w:rsidRPr="00FD3EE9">
              <w:rPr>
                <w:sz w:val="21"/>
              </w:rPr>
              <w:t>,</w:t>
            </w:r>
            <w:r w:rsidRPr="00FD3EE9">
              <w:rPr>
                <w:sz w:val="21"/>
              </w:rPr>
              <w:t>079.57</w:t>
            </w:r>
          </w:p>
        </w:tc>
        <w:tc>
          <w:tcPr>
            <w:tcW w:w="1134" w:type="dxa"/>
            <w:tcBorders>
              <w:top w:val="nil"/>
              <w:bottom w:val="nil"/>
            </w:tcBorders>
          </w:tcPr>
          <w:p w14:paraId="512E13A3" w14:textId="7E40ABA9" w:rsidR="00BB2FD6" w:rsidRPr="00FD3EE9" w:rsidRDefault="00D43434" w:rsidP="00842BD5">
            <w:pPr>
              <w:tabs>
                <w:tab w:val="decimal" w:pos="694"/>
              </w:tabs>
              <w:ind w:right="-64" w:firstLineChars="200" w:firstLine="420"/>
              <w:jc w:val="left"/>
              <w:cnfStyle w:val="000000100000" w:firstRow="0" w:lastRow="0" w:firstColumn="0" w:lastColumn="0" w:oddVBand="0" w:evenVBand="0" w:oddHBand="1" w:evenHBand="0" w:firstRowFirstColumn="0" w:firstRowLastColumn="0" w:lastRowFirstColumn="0" w:lastRowLastColumn="0"/>
              <w:rPr>
                <w:b/>
                <w:sz w:val="21"/>
              </w:rPr>
            </w:pPr>
            <w:r w:rsidRPr="00FD3EE9">
              <w:rPr>
                <w:sz w:val="21"/>
              </w:rPr>
              <w:t>35</w:t>
            </w:r>
            <w:r w:rsidR="00EA4F8D" w:rsidRPr="00FD3EE9">
              <w:rPr>
                <w:sz w:val="21"/>
              </w:rPr>
              <w:t>,</w:t>
            </w:r>
            <w:r w:rsidRPr="00FD3EE9">
              <w:rPr>
                <w:sz w:val="21"/>
              </w:rPr>
              <w:t>815.55</w:t>
            </w:r>
          </w:p>
        </w:tc>
        <w:tc>
          <w:tcPr>
            <w:tcW w:w="1134" w:type="dxa"/>
            <w:tcBorders>
              <w:top w:val="nil"/>
              <w:bottom w:val="nil"/>
            </w:tcBorders>
          </w:tcPr>
          <w:p w14:paraId="6FB440C9" w14:textId="12067885" w:rsidR="00BB2FD6" w:rsidRPr="00FD3EE9" w:rsidRDefault="00D43434" w:rsidP="00842BD5">
            <w:pPr>
              <w:tabs>
                <w:tab w:val="decimal" w:pos="694"/>
              </w:tabs>
              <w:ind w:right="-100" w:firstLineChars="200" w:firstLine="420"/>
              <w:jc w:val="left"/>
              <w:cnfStyle w:val="000000100000" w:firstRow="0" w:lastRow="0" w:firstColumn="0" w:lastColumn="0" w:oddVBand="0" w:evenVBand="0" w:oddHBand="1" w:evenHBand="0" w:firstRowFirstColumn="0" w:firstRowLastColumn="0" w:lastRowFirstColumn="0" w:lastRowLastColumn="0"/>
              <w:rPr>
                <w:b/>
                <w:sz w:val="21"/>
              </w:rPr>
            </w:pPr>
            <w:r w:rsidRPr="00FD3EE9">
              <w:rPr>
                <w:sz w:val="21"/>
              </w:rPr>
              <w:t>79</w:t>
            </w:r>
            <w:r w:rsidR="00EA4F8D" w:rsidRPr="00FD3EE9">
              <w:rPr>
                <w:sz w:val="21"/>
              </w:rPr>
              <w:t>,</w:t>
            </w:r>
            <w:r w:rsidRPr="00FD3EE9">
              <w:rPr>
                <w:sz w:val="21"/>
              </w:rPr>
              <w:t>796.79</w:t>
            </w:r>
          </w:p>
        </w:tc>
      </w:tr>
      <w:tr w:rsidR="00D43434" w:rsidRPr="00FD3EE9" w14:paraId="7D343797" w14:textId="77777777" w:rsidTr="00667C6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tcPr>
          <w:p w14:paraId="63827488" w14:textId="1F788BF5" w:rsidR="00BB2FD6" w:rsidRPr="00FD3EE9" w:rsidRDefault="00D43434" w:rsidP="00842BD5">
            <w:pPr>
              <w:ind w:firstLineChars="200" w:firstLine="420"/>
              <w:rPr>
                <w:b w:val="0"/>
                <w:sz w:val="21"/>
              </w:rPr>
            </w:pPr>
            <w:r w:rsidRPr="00FD3EE9">
              <w:rPr>
                <w:b w:val="0"/>
                <w:sz w:val="21"/>
              </w:rPr>
              <w:t xml:space="preserve">Stock Option </w:t>
            </w:r>
            <w:r w:rsidR="00EA4F8D" w:rsidRPr="00FD3EE9">
              <w:rPr>
                <w:b w:val="0"/>
                <w:sz w:val="21"/>
              </w:rPr>
              <w:t>P</w:t>
            </w:r>
            <w:r w:rsidRPr="00FD3EE9">
              <w:rPr>
                <w:b w:val="0"/>
                <w:sz w:val="21"/>
              </w:rPr>
              <w:t>ay (%)</w:t>
            </w:r>
          </w:p>
        </w:tc>
        <w:tc>
          <w:tcPr>
            <w:tcW w:w="1134" w:type="dxa"/>
            <w:tcBorders>
              <w:top w:val="nil"/>
              <w:bottom w:val="nil"/>
            </w:tcBorders>
          </w:tcPr>
          <w:p w14:paraId="1EBD64A4" w14:textId="2157087A" w:rsidR="00BB2FD6" w:rsidRPr="00FD3EE9" w:rsidRDefault="00D43434" w:rsidP="00842BD5">
            <w:pPr>
              <w:tabs>
                <w:tab w:val="decimal" w:pos="694"/>
              </w:tabs>
              <w:ind w:firstLineChars="200" w:firstLine="420"/>
              <w:jc w:val="left"/>
              <w:cnfStyle w:val="000000000000" w:firstRow="0" w:lastRow="0" w:firstColumn="0" w:lastColumn="0" w:oddVBand="0" w:evenVBand="0" w:oddHBand="0" w:evenHBand="0" w:firstRowFirstColumn="0" w:firstRowLastColumn="0" w:lastRowFirstColumn="0" w:lastRowLastColumn="0"/>
              <w:rPr>
                <w:b/>
                <w:sz w:val="21"/>
              </w:rPr>
            </w:pPr>
            <w:r w:rsidRPr="00FD3EE9">
              <w:rPr>
                <w:sz w:val="21"/>
              </w:rPr>
              <w:t>355</w:t>
            </w:r>
          </w:p>
        </w:tc>
        <w:tc>
          <w:tcPr>
            <w:tcW w:w="1134" w:type="dxa"/>
            <w:tcBorders>
              <w:top w:val="nil"/>
              <w:bottom w:val="nil"/>
            </w:tcBorders>
          </w:tcPr>
          <w:p w14:paraId="62CABC3F" w14:textId="74EF16CE" w:rsidR="00BB2FD6" w:rsidRPr="00FD3EE9" w:rsidRDefault="00D43434" w:rsidP="00842BD5">
            <w:pPr>
              <w:tabs>
                <w:tab w:val="decimal" w:pos="550"/>
              </w:tabs>
              <w:ind w:firstLineChars="200" w:firstLine="420"/>
              <w:jc w:val="left"/>
              <w:cnfStyle w:val="000000000000" w:firstRow="0" w:lastRow="0" w:firstColumn="0" w:lastColumn="0" w:oddVBand="0" w:evenVBand="0" w:oddHBand="0" w:evenHBand="0" w:firstRowFirstColumn="0" w:firstRowLastColumn="0" w:lastRowFirstColumn="0" w:lastRowLastColumn="0"/>
              <w:rPr>
                <w:b/>
                <w:sz w:val="21"/>
              </w:rPr>
            </w:pPr>
            <w:r w:rsidRPr="00FD3EE9">
              <w:rPr>
                <w:sz w:val="21"/>
              </w:rPr>
              <w:t>77.17</w:t>
            </w:r>
          </w:p>
        </w:tc>
        <w:tc>
          <w:tcPr>
            <w:tcW w:w="1134" w:type="dxa"/>
            <w:gridSpan w:val="2"/>
            <w:tcBorders>
              <w:top w:val="nil"/>
              <w:bottom w:val="nil"/>
            </w:tcBorders>
          </w:tcPr>
          <w:p w14:paraId="16A4A078" w14:textId="54F83B10" w:rsidR="00BB2FD6" w:rsidRPr="00FD3EE9" w:rsidRDefault="00D43434" w:rsidP="00842BD5">
            <w:pPr>
              <w:tabs>
                <w:tab w:val="decimal" w:pos="694"/>
              </w:tabs>
              <w:ind w:firstLineChars="200" w:firstLine="420"/>
              <w:jc w:val="left"/>
              <w:cnfStyle w:val="000000000000" w:firstRow="0" w:lastRow="0" w:firstColumn="0" w:lastColumn="0" w:oddVBand="0" w:evenVBand="0" w:oddHBand="0" w:evenHBand="0" w:firstRowFirstColumn="0" w:firstRowLastColumn="0" w:lastRowFirstColumn="0" w:lastRowLastColumn="0"/>
              <w:rPr>
                <w:b/>
                <w:sz w:val="21"/>
              </w:rPr>
            </w:pPr>
            <w:r w:rsidRPr="00FD3EE9">
              <w:rPr>
                <w:sz w:val="21"/>
              </w:rPr>
              <w:t>99.96</w:t>
            </w:r>
          </w:p>
        </w:tc>
        <w:tc>
          <w:tcPr>
            <w:tcW w:w="1134" w:type="dxa"/>
            <w:tcBorders>
              <w:top w:val="nil"/>
              <w:bottom w:val="nil"/>
            </w:tcBorders>
          </w:tcPr>
          <w:p w14:paraId="44ACDE6E" w14:textId="601FEEC2" w:rsidR="00BB2FD6" w:rsidRPr="00FD3EE9" w:rsidRDefault="00D43434" w:rsidP="00842BD5">
            <w:pPr>
              <w:tabs>
                <w:tab w:val="decimal" w:pos="694"/>
              </w:tabs>
              <w:ind w:right="-64" w:firstLineChars="200" w:firstLine="420"/>
              <w:jc w:val="left"/>
              <w:cnfStyle w:val="000000000000" w:firstRow="0" w:lastRow="0" w:firstColumn="0" w:lastColumn="0" w:oddVBand="0" w:evenVBand="0" w:oddHBand="0" w:evenHBand="0" w:firstRowFirstColumn="0" w:firstRowLastColumn="0" w:lastRowFirstColumn="0" w:lastRowLastColumn="0"/>
              <w:rPr>
                <w:b/>
                <w:sz w:val="21"/>
              </w:rPr>
            </w:pPr>
            <w:r w:rsidRPr="00FD3EE9">
              <w:rPr>
                <w:sz w:val="21"/>
              </w:rPr>
              <w:t>99.99</w:t>
            </w:r>
          </w:p>
        </w:tc>
        <w:tc>
          <w:tcPr>
            <w:tcW w:w="1134" w:type="dxa"/>
            <w:tcBorders>
              <w:top w:val="nil"/>
              <w:bottom w:val="nil"/>
            </w:tcBorders>
          </w:tcPr>
          <w:p w14:paraId="36DDFCB3" w14:textId="0920921E" w:rsidR="00BB2FD6" w:rsidRPr="00FD3EE9" w:rsidRDefault="00D43434" w:rsidP="00842BD5">
            <w:pPr>
              <w:tabs>
                <w:tab w:val="decimal" w:pos="694"/>
              </w:tabs>
              <w:ind w:right="-100" w:firstLineChars="200" w:firstLine="420"/>
              <w:jc w:val="left"/>
              <w:cnfStyle w:val="000000000000" w:firstRow="0" w:lastRow="0" w:firstColumn="0" w:lastColumn="0" w:oddVBand="0" w:evenVBand="0" w:oddHBand="0" w:evenHBand="0" w:firstRowFirstColumn="0" w:firstRowLastColumn="0" w:lastRowFirstColumn="0" w:lastRowLastColumn="0"/>
              <w:rPr>
                <w:b/>
                <w:sz w:val="21"/>
              </w:rPr>
            </w:pPr>
            <w:r w:rsidRPr="00FD3EE9">
              <w:rPr>
                <w:sz w:val="21"/>
              </w:rPr>
              <w:t>100.00</w:t>
            </w:r>
          </w:p>
        </w:tc>
      </w:tr>
      <w:tr w:rsidR="00D43434" w:rsidRPr="00FD3EE9" w14:paraId="062120D6" w14:textId="77777777" w:rsidTr="00667C6C">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tcBorders>
          </w:tcPr>
          <w:p w14:paraId="57459085" w14:textId="64012AF8" w:rsidR="00BB2FD6" w:rsidRPr="00FD3EE9" w:rsidRDefault="00417031" w:rsidP="00842BD5">
            <w:pPr>
              <w:ind w:firstLineChars="200" w:firstLine="420"/>
              <w:rPr>
                <w:b w:val="0"/>
                <w:sz w:val="21"/>
              </w:rPr>
            </w:pPr>
            <w:r w:rsidRPr="00FD3EE9">
              <w:rPr>
                <w:b w:val="0"/>
                <w:sz w:val="21"/>
              </w:rPr>
              <w:t>Stock Ownership</w:t>
            </w:r>
          </w:p>
        </w:tc>
        <w:tc>
          <w:tcPr>
            <w:tcW w:w="1134" w:type="dxa"/>
            <w:tcBorders>
              <w:top w:val="nil"/>
            </w:tcBorders>
          </w:tcPr>
          <w:p w14:paraId="22C6111D" w14:textId="6FD84354" w:rsidR="00BB2FD6" w:rsidRPr="00FD3EE9" w:rsidRDefault="00417031" w:rsidP="00842BD5">
            <w:pPr>
              <w:tabs>
                <w:tab w:val="decimal" w:pos="694"/>
              </w:tabs>
              <w:ind w:firstLineChars="200" w:firstLine="420"/>
              <w:jc w:val="left"/>
              <w:cnfStyle w:val="000000100000" w:firstRow="0" w:lastRow="0" w:firstColumn="0" w:lastColumn="0" w:oddVBand="0" w:evenVBand="0" w:oddHBand="1" w:evenHBand="0" w:firstRowFirstColumn="0" w:firstRowLastColumn="0" w:lastRowFirstColumn="0" w:lastRowLastColumn="0"/>
              <w:rPr>
                <w:b/>
                <w:sz w:val="21"/>
              </w:rPr>
            </w:pPr>
            <w:r w:rsidRPr="00FD3EE9">
              <w:rPr>
                <w:sz w:val="21"/>
              </w:rPr>
              <w:t>10</w:t>
            </w:r>
            <w:r w:rsidR="00EA4F8D" w:rsidRPr="00FD3EE9">
              <w:rPr>
                <w:sz w:val="21"/>
              </w:rPr>
              <w:t>,</w:t>
            </w:r>
            <w:r w:rsidRPr="00FD3EE9">
              <w:rPr>
                <w:sz w:val="21"/>
              </w:rPr>
              <w:t>552</w:t>
            </w:r>
          </w:p>
        </w:tc>
        <w:tc>
          <w:tcPr>
            <w:tcW w:w="1134" w:type="dxa"/>
            <w:tcBorders>
              <w:top w:val="nil"/>
            </w:tcBorders>
          </w:tcPr>
          <w:p w14:paraId="238B545D" w14:textId="65953E6A" w:rsidR="00BB2FD6" w:rsidRPr="00FD3EE9" w:rsidRDefault="00417031" w:rsidP="00842BD5">
            <w:pPr>
              <w:tabs>
                <w:tab w:val="decimal" w:pos="550"/>
              </w:tabs>
              <w:ind w:firstLineChars="200" w:firstLine="420"/>
              <w:jc w:val="left"/>
              <w:cnfStyle w:val="000000100000" w:firstRow="0" w:lastRow="0" w:firstColumn="0" w:lastColumn="0" w:oddVBand="0" w:evenVBand="0" w:oddHBand="1" w:evenHBand="0" w:firstRowFirstColumn="0" w:firstRowLastColumn="0" w:lastRowFirstColumn="0" w:lastRowLastColumn="0"/>
              <w:rPr>
                <w:b/>
                <w:sz w:val="21"/>
              </w:rPr>
            </w:pPr>
            <w:r w:rsidRPr="00FD3EE9">
              <w:rPr>
                <w:sz w:val="21"/>
              </w:rPr>
              <w:t>10.46</w:t>
            </w:r>
          </w:p>
        </w:tc>
        <w:tc>
          <w:tcPr>
            <w:tcW w:w="1134" w:type="dxa"/>
            <w:gridSpan w:val="2"/>
            <w:tcBorders>
              <w:top w:val="nil"/>
            </w:tcBorders>
          </w:tcPr>
          <w:p w14:paraId="33302A8F" w14:textId="4AC734AF" w:rsidR="00BB2FD6" w:rsidRPr="00FD3EE9" w:rsidRDefault="00417031" w:rsidP="00842BD5">
            <w:pPr>
              <w:tabs>
                <w:tab w:val="decimal" w:pos="694"/>
              </w:tabs>
              <w:ind w:firstLineChars="200" w:firstLine="420"/>
              <w:jc w:val="left"/>
              <w:cnfStyle w:val="000000100000" w:firstRow="0" w:lastRow="0" w:firstColumn="0" w:lastColumn="0" w:oddVBand="0" w:evenVBand="0" w:oddHBand="1" w:evenHBand="0" w:firstRowFirstColumn="0" w:firstRowLastColumn="0" w:lastRowFirstColumn="0" w:lastRowLastColumn="0"/>
              <w:rPr>
                <w:b/>
                <w:sz w:val="21"/>
              </w:rPr>
            </w:pPr>
            <w:r w:rsidRPr="00FD3EE9">
              <w:rPr>
                <w:sz w:val="21"/>
              </w:rPr>
              <w:t>0.00</w:t>
            </w:r>
          </w:p>
        </w:tc>
        <w:tc>
          <w:tcPr>
            <w:tcW w:w="1134" w:type="dxa"/>
            <w:tcBorders>
              <w:top w:val="nil"/>
            </w:tcBorders>
          </w:tcPr>
          <w:p w14:paraId="59DD8152" w14:textId="659BCD47" w:rsidR="00BB2FD6" w:rsidRPr="00FD3EE9" w:rsidRDefault="00417031" w:rsidP="00842BD5">
            <w:pPr>
              <w:tabs>
                <w:tab w:val="decimal" w:pos="694"/>
              </w:tabs>
              <w:ind w:right="-64" w:firstLineChars="200" w:firstLine="420"/>
              <w:jc w:val="left"/>
              <w:cnfStyle w:val="000000100000" w:firstRow="0" w:lastRow="0" w:firstColumn="0" w:lastColumn="0" w:oddVBand="0" w:evenVBand="0" w:oddHBand="1" w:evenHBand="0" w:firstRowFirstColumn="0" w:firstRowLastColumn="0" w:lastRowFirstColumn="0" w:lastRowLastColumn="0"/>
              <w:rPr>
                <w:b/>
                <w:sz w:val="21"/>
              </w:rPr>
            </w:pPr>
            <w:r w:rsidRPr="00FD3EE9">
              <w:rPr>
                <w:sz w:val="21"/>
              </w:rPr>
              <w:t>0.01</w:t>
            </w:r>
          </w:p>
        </w:tc>
        <w:tc>
          <w:tcPr>
            <w:tcW w:w="1134" w:type="dxa"/>
            <w:tcBorders>
              <w:top w:val="nil"/>
            </w:tcBorders>
          </w:tcPr>
          <w:p w14:paraId="21B70AAC" w14:textId="02C2CA30" w:rsidR="00BB2FD6" w:rsidRPr="00FD3EE9" w:rsidRDefault="00417031" w:rsidP="00842BD5">
            <w:pPr>
              <w:tabs>
                <w:tab w:val="decimal" w:pos="694"/>
              </w:tabs>
              <w:ind w:right="-100" w:firstLineChars="200" w:firstLine="420"/>
              <w:jc w:val="left"/>
              <w:cnfStyle w:val="000000100000" w:firstRow="0" w:lastRow="0" w:firstColumn="0" w:lastColumn="0" w:oddVBand="0" w:evenVBand="0" w:oddHBand="1" w:evenHBand="0" w:firstRowFirstColumn="0" w:firstRowLastColumn="0" w:lastRowFirstColumn="0" w:lastRowLastColumn="0"/>
              <w:rPr>
                <w:b/>
                <w:sz w:val="21"/>
              </w:rPr>
            </w:pPr>
            <w:r w:rsidRPr="00FD3EE9">
              <w:rPr>
                <w:sz w:val="21"/>
              </w:rPr>
              <w:t>8.64</w:t>
            </w:r>
          </w:p>
        </w:tc>
      </w:tr>
      <w:tr w:rsidR="008D0C53" w:rsidRPr="00FD3EE9" w14:paraId="02434A97" w14:textId="77777777" w:rsidTr="008D0C53">
        <w:trPr>
          <w:jc w:val="center"/>
        </w:trPr>
        <w:tc>
          <w:tcPr>
            <w:cnfStyle w:val="001000000000" w:firstRow="0" w:lastRow="0" w:firstColumn="1" w:lastColumn="0" w:oddVBand="0" w:evenVBand="0" w:oddHBand="0" w:evenHBand="0" w:firstRowFirstColumn="0" w:firstRowLastColumn="0" w:lastRowFirstColumn="0" w:lastRowLastColumn="0"/>
            <w:tcW w:w="9356" w:type="dxa"/>
            <w:gridSpan w:val="7"/>
          </w:tcPr>
          <w:p w14:paraId="7AD96D4E" w14:textId="3DB666F7" w:rsidR="008D0C53" w:rsidRPr="00FD3EE9" w:rsidRDefault="008D0C53" w:rsidP="00842BD5">
            <w:pPr>
              <w:ind w:firstLineChars="200" w:firstLine="420"/>
              <w:jc w:val="center"/>
              <w:rPr>
                <w:b w:val="0"/>
                <w:sz w:val="21"/>
              </w:rPr>
            </w:pPr>
            <w:r w:rsidRPr="00FD3EE9">
              <w:rPr>
                <w:b w:val="0"/>
                <w:sz w:val="21"/>
              </w:rPr>
              <w:t xml:space="preserve">Panel B: Type of </w:t>
            </w:r>
            <w:r w:rsidR="00EA4F8D" w:rsidRPr="00FD3EE9">
              <w:rPr>
                <w:b w:val="0"/>
                <w:sz w:val="21"/>
              </w:rPr>
              <w:t>S</w:t>
            </w:r>
            <w:r w:rsidRPr="00FD3EE9">
              <w:rPr>
                <w:b w:val="0"/>
                <w:sz w:val="21"/>
              </w:rPr>
              <w:t xml:space="preserve">tock </w:t>
            </w:r>
            <w:r w:rsidR="00EA4F8D" w:rsidRPr="00FD3EE9">
              <w:rPr>
                <w:b w:val="0"/>
                <w:sz w:val="21"/>
              </w:rPr>
              <w:t>O</w:t>
            </w:r>
            <w:r w:rsidRPr="00FD3EE9">
              <w:rPr>
                <w:b w:val="0"/>
                <w:sz w:val="21"/>
              </w:rPr>
              <w:t>ption</w:t>
            </w:r>
          </w:p>
        </w:tc>
      </w:tr>
      <w:tr w:rsidR="008D0C53" w:rsidRPr="00FD3EE9" w14:paraId="34F94716" w14:textId="77777777" w:rsidTr="008D0C53">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3686" w:type="dxa"/>
          </w:tcPr>
          <w:p w14:paraId="6A914311" w14:textId="191C6287" w:rsidR="008D0C53" w:rsidRPr="00FD3EE9" w:rsidRDefault="008D0C53" w:rsidP="00842BD5">
            <w:pPr>
              <w:ind w:firstLineChars="200" w:firstLine="420"/>
              <w:rPr>
                <w:b w:val="0"/>
                <w:sz w:val="21"/>
              </w:rPr>
            </w:pPr>
            <w:r w:rsidRPr="00FD3EE9">
              <w:rPr>
                <w:b w:val="0"/>
                <w:sz w:val="21"/>
              </w:rPr>
              <w:t xml:space="preserve">Type of </w:t>
            </w:r>
            <w:r w:rsidR="00EA4F8D" w:rsidRPr="00FD3EE9">
              <w:rPr>
                <w:b w:val="0"/>
                <w:sz w:val="21"/>
              </w:rPr>
              <w:t>Option</w:t>
            </w:r>
          </w:p>
        </w:tc>
        <w:tc>
          <w:tcPr>
            <w:tcW w:w="2835" w:type="dxa"/>
            <w:gridSpan w:val="3"/>
          </w:tcPr>
          <w:p w14:paraId="36D2BE86" w14:textId="6E703D9C" w:rsidR="008D0C53" w:rsidRPr="00FD3EE9" w:rsidRDefault="008D0C53" w:rsidP="00842BD5">
            <w:pPr>
              <w:ind w:firstLineChars="200" w:firstLine="420"/>
              <w:jc w:val="center"/>
              <w:cnfStyle w:val="000000100000" w:firstRow="0" w:lastRow="0" w:firstColumn="0" w:lastColumn="0" w:oddVBand="0" w:evenVBand="0" w:oddHBand="1" w:evenHBand="0" w:firstRowFirstColumn="0" w:firstRowLastColumn="0" w:lastRowFirstColumn="0" w:lastRowLastColumn="0"/>
              <w:rPr>
                <w:b/>
                <w:sz w:val="21"/>
              </w:rPr>
            </w:pPr>
            <w:r w:rsidRPr="00FD3EE9">
              <w:rPr>
                <w:sz w:val="21"/>
              </w:rPr>
              <w:t>Frequency</w:t>
            </w:r>
          </w:p>
        </w:tc>
        <w:tc>
          <w:tcPr>
            <w:tcW w:w="2835" w:type="dxa"/>
            <w:gridSpan w:val="3"/>
          </w:tcPr>
          <w:p w14:paraId="34E44A0B" w14:textId="70FC86B8" w:rsidR="008D0C53" w:rsidRPr="00FD3EE9" w:rsidRDefault="008D0C53" w:rsidP="00842BD5">
            <w:pPr>
              <w:ind w:firstLineChars="200" w:firstLine="420"/>
              <w:jc w:val="center"/>
              <w:cnfStyle w:val="000000100000" w:firstRow="0" w:lastRow="0" w:firstColumn="0" w:lastColumn="0" w:oddVBand="0" w:evenVBand="0" w:oddHBand="1" w:evenHBand="0" w:firstRowFirstColumn="0" w:firstRowLastColumn="0" w:lastRowFirstColumn="0" w:lastRowLastColumn="0"/>
              <w:rPr>
                <w:b/>
                <w:sz w:val="21"/>
              </w:rPr>
            </w:pPr>
            <w:r w:rsidRPr="00FD3EE9">
              <w:rPr>
                <w:sz w:val="21"/>
              </w:rPr>
              <w:t xml:space="preserve">% of </w:t>
            </w:r>
            <w:r w:rsidR="00EA4F8D" w:rsidRPr="00FD3EE9">
              <w:rPr>
                <w:sz w:val="21"/>
              </w:rPr>
              <w:t>S</w:t>
            </w:r>
            <w:r w:rsidRPr="00FD3EE9">
              <w:rPr>
                <w:sz w:val="21"/>
              </w:rPr>
              <w:t>ample</w:t>
            </w:r>
          </w:p>
        </w:tc>
      </w:tr>
      <w:tr w:rsidR="008D0C53" w:rsidRPr="00FD3EE9" w14:paraId="2F0668B1" w14:textId="77777777" w:rsidTr="00667C6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7F7F7F" w:themeColor="text1" w:themeTint="80"/>
              <w:bottom w:val="nil"/>
            </w:tcBorders>
          </w:tcPr>
          <w:p w14:paraId="5A28EE95" w14:textId="1A870113" w:rsidR="008D0C53" w:rsidRPr="00FD3EE9" w:rsidRDefault="008D0C53" w:rsidP="00842BD5">
            <w:pPr>
              <w:ind w:firstLineChars="200" w:firstLine="420"/>
              <w:rPr>
                <w:b w:val="0"/>
                <w:sz w:val="21"/>
              </w:rPr>
            </w:pPr>
            <w:r w:rsidRPr="00FD3EE9">
              <w:rPr>
                <w:b w:val="0"/>
                <w:sz w:val="21"/>
              </w:rPr>
              <w:t xml:space="preserve">Out of the </w:t>
            </w:r>
            <w:r w:rsidR="00EA4F8D" w:rsidRPr="00FD3EE9">
              <w:rPr>
                <w:b w:val="0"/>
                <w:sz w:val="21"/>
              </w:rPr>
              <w:t>M</w:t>
            </w:r>
            <w:r w:rsidRPr="00FD3EE9">
              <w:rPr>
                <w:b w:val="0"/>
                <w:sz w:val="21"/>
              </w:rPr>
              <w:t>oney</w:t>
            </w:r>
          </w:p>
        </w:tc>
        <w:tc>
          <w:tcPr>
            <w:tcW w:w="2835" w:type="dxa"/>
            <w:gridSpan w:val="3"/>
            <w:tcBorders>
              <w:top w:val="single" w:sz="4" w:space="0" w:color="7F7F7F" w:themeColor="text1" w:themeTint="80"/>
              <w:bottom w:val="nil"/>
            </w:tcBorders>
          </w:tcPr>
          <w:p w14:paraId="11D4C9D7" w14:textId="359152F2" w:rsidR="008D0C53" w:rsidRPr="00FD3EE9" w:rsidRDefault="008D0C53" w:rsidP="00842BD5">
            <w:pPr>
              <w:ind w:firstLineChars="200" w:firstLine="420"/>
              <w:jc w:val="center"/>
              <w:cnfStyle w:val="000000000000" w:firstRow="0" w:lastRow="0" w:firstColumn="0" w:lastColumn="0" w:oddVBand="0" w:evenVBand="0" w:oddHBand="0" w:evenHBand="0" w:firstRowFirstColumn="0" w:firstRowLastColumn="0" w:lastRowFirstColumn="0" w:lastRowLastColumn="0"/>
              <w:rPr>
                <w:b/>
                <w:sz w:val="21"/>
              </w:rPr>
            </w:pPr>
            <w:r w:rsidRPr="00FD3EE9">
              <w:rPr>
                <w:sz w:val="21"/>
              </w:rPr>
              <w:t>148</w:t>
            </w:r>
          </w:p>
        </w:tc>
        <w:tc>
          <w:tcPr>
            <w:tcW w:w="2835" w:type="dxa"/>
            <w:gridSpan w:val="3"/>
            <w:tcBorders>
              <w:top w:val="single" w:sz="4" w:space="0" w:color="7F7F7F" w:themeColor="text1" w:themeTint="80"/>
              <w:bottom w:val="nil"/>
            </w:tcBorders>
          </w:tcPr>
          <w:p w14:paraId="1E2FE8E5" w14:textId="13A9B7B8" w:rsidR="008D0C53" w:rsidRPr="00FD3EE9" w:rsidRDefault="008D0C53" w:rsidP="00842BD5">
            <w:pPr>
              <w:ind w:firstLineChars="200" w:firstLine="420"/>
              <w:jc w:val="center"/>
              <w:cnfStyle w:val="000000000000" w:firstRow="0" w:lastRow="0" w:firstColumn="0" w:lastColumn="0" w:oddVBand="0" w:evenVBand="0" w:oddHBand="0" w:evenHBand="0" w:firstRowFirstColumn="0" w:firstRowLastColumn="0" w:lastRowFirstColumn="0" w:lastRowLastColumn="0"/>
              <w:rPr>
                <w:b/>
                <w:sz w:val="21"/>
              </w:rPr>
            </w:pPr>
            <w:r w:rsidRPr="00FD3EE9">
              <w:rPr>
                <w:sz w:val="21"/>
              </w:rPr>
              <w:t>50.51</w:t>
            </w:r>
          </w:p>
        </w:tc>
      </w:tr>
      <w:tr w:rsidR="008D0C53" w:rsidRPr="00FD3EE9" w14:paraId="0883DDAD" w14:textId="77777777" w:rsidTr="00667C6C">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tcPr>
          <w:p w14:paraId="23EB1D6D" w14:textId="48410913" w:rsidR="008D0C53" w:rsidRPr="00FD3EE9" w:rsidRDefault="008D0C53" w:rsidP="00842BD5">
            <w:pPr>
              <w:ind w:firstLineChars="200" w:firstLine="420"/>
              <w:rPr>
                <w:b w:val="0"/>
                <w:sz w:val="21"/>
              </w:rPr>
            </w:pPr>
            <w:r w:rsidRPr="00FD3EE9">
              <w:rPr>
                <w:b w:val="0"/>
                <w:sz w:val="21"/>
              </w:rPr>
              <w:t xml:space="preserve">At the </w:t>
            </w:r>
            <w:r w:rsidR="00EA4F8D" w:rsidRPr="00FD3EE9">
              <w:rPr>
                <w:b w:val="0"/>
                <w:sz w:val="21"/>
              </w:rPr>
              <w:t>M</w:t>
            </w:r>
            <w:r w:rsidRPr="00FD3EE9">
              <w:rPr>
                <w:b w:val="0"/>
                <w:sz w:val="21"/>
              </w:rPr>
              <w:t>oney</w:t>
            </w:r>
          </w:p>
        </w:tc>
        <w:tc>
          <w:tcPr>
            <w:tcW w:w="2835" w:type="dxa"/>
            <w:gridSpan w:val="3"/>
            <w:tcBorders>
              <w:top w:val="nil"/>
              <w:bottom w:val="nil"/>
            </w:tcBorders>
          </w:tcPr>
          <w:p w14:paraId="3E45C769" w14:textId="4DED8259" w:rsidR="008D0C53" w:rsidRPr="00FD3EE9" w:rsidRDefault="008D0C53" w:rsidP="00842BD5">
            <w:pPr>
              <w:ind w:firstLineChars="200" w:firstLine="420"/>
              <w:jc w:val="center"/>
              <w:cnfStyle w:val="000000100000" w:firstRow="0" w:lastRow="0" w:firstColumn="0" w:lastColumn="0" w:oddVBand="0" w:evenVBand="0" w:oddHBand="1" w:evenHBand="0" w:firstRowFirstColumn="0" w:firstRowLastColumn="0" w:lastRowFirstColumn="0" w:lastRowLastColumn="0"/>
              <w:rPr>
                <w:sz w:val="21"/>
              </w:rPr>
            </w:pPr>
            <w:r w:rsidRPr="00FD3EE9">
              <w:rPr>
                <w:sz w:val="21"/>
              </w:rPr>
              <w:t>0</w:t>
            </w:r>
          </w:p>
        </w:tc>
        <w:tc>
          <w:tcPr>
            <w:tcW w:w="2835" w:type="dxa"/>
            <w:gridSpan w:val="3"/>
            <w:tcBorders>
              <w:top w:val="nil"/>
              <w:bottom w:val="nil"/>
            </w:tcBorders>
          </w:tcPr>
          <w:p w14:paraId="4AE32EB6" w14:textId="2BAE7FD4" w:rsidR="008D0C53" w:rsidRPr="00FD3EE9" w:rsidRDefault="008D0C53" w:rsidP="00842BD5">
            <w:pPr>
              <w:ind w:firstLineChars="200" w:firstLine="420"/>
              <w:jc w:val="center"/>
              <w:cnfStyle w:val="000000100000" w:firstRow="0" w:lastRow="0" w:firstColumn="0" w:lastColumn="0" w:oddVBand="0" w:evenVBand="0" w:oddHBand="1" w:evenHBand="0" w:firstRowFirstColumn="0" w:firstRowLastColumn="0" w:lastRowFirstColumn="0" w:lastRowLastColumn="0"/>
              <w:rPr>
                <w:sz w:val="21"/>
              </w:rPr>
            </w:pPr>
            <w:r w:rsidRPr="00FD3EE9">
              <w:rPr>
                <w:sz w:val="21"/>
              </w:rPr>
              <w:t>0</w:t>
            </w:r>
          </w:p>
        </w:tc>
      </w:tr>
      <w:tr w:rsidR="008D0C53" w:rsidRPr="00FD3EE9" w14:paraId="2698C875" w14:textId="77777777" w:rsidTr="00667C6C">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single" w:sz="4" w:space="0" w:color="7F7F7F" w:themeColor="text1" w:themeTint="80"/>
            </w:tcBorders>
          </w:tcPr>
          <w:p w14:paraId="45DBFC5B" w14:textId="37D05EC9" w:rsidR="008D0C53" w:rsidRPr="00FD3EE9" w:rsidRDefault="008D0C53" w:rsidP="00842BD5">
            <w:pPr>
              <w:ind w:firstLineChars="200" w:firstLine="420"/>
              <w:rPr>
                <w:b w:val="0"/>
                <w:sz w:val="21"/>
              </w:rPr>
            </w:pPr>
            <w:r w:rsidRPr="00FD3EE9">
              <w:rPr>
                <w:b w:val="0"/>
                <w:sz w:val="21"/>
              </w:rPr>
              <w:t xml:space="preserve">In the </w:t>
            </w:r>
            <w:r w:rsidR="00EA4F8D" w:rsidRPr="00FD3EE9">
              <w:rPr>
                <w:b w:val="0"/>
                <w:sz w:val="21"/>
              </w:rPr>
              <w:t>M</w:t>
            </w:r>
            <w:r w:rsidRPr="00FD3EE9">
              <w:rPr>
                <w:b w:val="0"/>
                <w:sz w:val="21"/>
              </w:rPr>
              <w:t>oney</w:t>
            </w:r>
          </w:p>
        </w:tc>
        <w:tc>
          <w:tcPr>
            <w:tcW w:w="2835" w:type="dxa"/>
            <w:gridSpan w:val="3"/>
            <w:tcBorders>
              <w:top w:val="nil"/>
              <w:bottom w:val="single" w:sz="4" w:space="0" w:color="7F7F7F" w:themeColor="text1" w:themeTint="80"/>
            </w:tcBorders>
          </w:tcPr>
          <w:p w14:paraId="239E1294" w14:textId="2400FE12" w:rsidR="008D0C53" w:rsidRPr="00FD3EE9" w:rsidRDefault="008D0C53" w:rsidP="00842BD5">
            <w:pPr>
              <w:ind w:firstLineChars="200" w:firstLine="420"/>
              <w:jc w:val="center"/>
              <w:cnfStyle w:val="000000000000" w:firstRow="0" w:lastRow="0" w:firstColumn="0" w:lastColumn="0" w:oddVBand="0" w:evenVBand="0" w:oddHBand="0" w:evenHBand="0" w:firstRowFirstColumn="0" w:firstRowLastColumn="0" w:lastRowFirstColumn="0" w:lastRowLastColumn="0"/>
              <w:rPr>
                <w:b/>
                <w:sz w:val="21"/>
              </w:rPr>
            </w:pPr>
            <w:r w:rsidRPr="00FD3EE9">
              <w:rPr>
                <w:sz w:val="21"/>
              </w:rPr>
              <w:t>145</w:t>
            </w:r>
          </w:p>
        </w:tc>
        <w:tc>
          <w:tcPr>
            <w:tcW w:w="2835" w:type="dxa"/>
            <w:gridSpan w:val="3"/>
            <w:tcBorders>
              <w:top w:val="nil"/>
              <w:bottom w:val="single" w:sz="4" w:space="0" w:color="7F7F7F" w:themeColor="text1" w:themeTint="80"/>
            </w:tcBorders>
          </w:tcPr>
          <w:p w14:paraId="082C4D29" w14:textId="5D5840B1" w:rsidR="008D0C53" w:rsidRPr="00FD3EE9" w:rsidRDefault="008D0C53" w:rsidP="00842BD5">
            <w:pPr>
              <w:ind w:firstLineChars="200" w:firstLine="420"/>
              <w:jc w:val="center"/>
              <w:cnfStyle w:val="000000000000" w:firstRow="0" w:lastRow="0" w:firstColumn="0" w:lastColumn="0" w:oddVBand="0" w:evenVBand="0" w:oddHBand="0" w:evenHBand="0" w:firstRowFirstColumn="0" w:firstRowLastColumn="0" w:lastRowFirstColumn="0" w:lastRowLastColumn="0"/>
              <w:rPr>
                <w:b/>
                <w:sz w:val="21"/>
              </w:rPr>
            </w:pPr>
            <w:r w:rsidRPr="00FD3EE9">
              <w:rPr>
                <w:sz w:val="21"/>
              </w:rPr>
              <w:t>49.49</w:t>
            </w:r>
          </w:p>
        </w:tc>
      </w:tr>
      <w:tr w:rsidR="008D0C53" w:rsidRPr="00FD3EE9" w14:paraId="2F4C495A" w14:textId="77777777" w:rsidTr="00B127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6" w:type="dxa"/>
            <w:gridSpan w:val="7"/>
          </w:tcPr>
          <w:p w14:paraId="5E925824" w14:textId="52304587" w:rsidR="008D0C53" w:rsidRPr="00FD3EE9" w:rsidRDefault="008D0C53" w:rsidP="00842BD5">
            <w:pPr>
              <w:ind w:firstLineChars="200" w:firstLine="420"/>
              <w:jc w:val="center"/>
              <w:rPr>
                <w:b w:val="0"/>
                <w:sz w:val="21"/>
              </w:rPr>
            </w:pPr>
            <w:r w:rsidRPr="00FD3EE9">
              <w:rPr>
                <w:b w:val="0"/>
                <w:sz w:val="21"/>
              </w:rPr>
              <w:t xml:space="preserve">Panel C: Vesting </w:t>
            </w:r>
            <w:r w:rsidR="00EA4F8D" w:rsidRPr="00FD3EE9">
              <w:rPr>
                <w:b w:val="0"/>
                <w:sz w:val="21"/>
              </w:rPr>
              <w:t>P</w:t>
            </w:r>
            <w:r w:rsidRPr="00FD3EE9">
              <w:rPr>
                <w:b w:val="0"/>
                <w:sz w:val="21"/>
              </w:rPr>
              <w:t xml:space="preserve">eriod of </w:t>
            </w:r>
            <w:r w:rsidR="00EA4F8D" w:rsidRPr="00FD3EE9">
              <w:rPr>
                <w:b w:val="0"/>
                <w:sz w:val="21"/>
              </w:rPr>
              <w:t>S</w:t>
            </w:r>
            <w:r w:rsidRPr="00FD3EE9">
              <w:rPr>
                <w:b w:val="0"/>
                <w:sz w:val="21"/>
              </w:rPr>
              <w:t xml:space="preserve">tock </w:t>
            </w:r>
            <w:r w:rsidR="00EA4F8D" w:rsidRPr="00FD3EE9">
              <w:rPr>
                <w:b w:val="0"/>
                <w:sz w:val="21"/>
              </w:rPr>
              <w:t>O</w:t>
            </w:r>
            <w:r w:rsidRPr="00FD3EE9">
              <w:rPr>
                <w:b w:val="0"/>
                <w:sz w:val="21"/>
              </w:rPr>
              <w:t>ptions</w:t>
            </w:r>
          </w:p>
        </w:tc>
      </w:tr>
      <w:tr w:rsidR="008D0C53" w:rsidRPr="00FD3EE9" w14:paraId="79B35EC3" w14:textId="77777777" w:rsidTr="001F232C">
        <w:trPr>
          <w:jc w:val="center"/>
        </w:trPr>
        <w:tc>
          <w:tcPr>
            <w:cnfStyle w:val="001000000000" w:firstRow="0" w:lastRow="0" w:firstColumn="1" w:lastColumn="0" w:oddVBand="0" w:evenVBand="0" w:oddHBand="0" w:evenHBand="0" w:firstRowFirstColumn="0" w:firstRowLastColumn="0" w:lastRowFirstColumn="0" w:lastRowLastColumn="0"/>
            <w:tcW w:w="3686" w:type="dxa"/>
            <w:tcBorders>
              <w:bottom w:val="single" w:sz="4" w:space="0" w:color="7F7F7F" w:themeColor="text1" w:themeTint="80"/>
            </w:tcBorders>
          </w:tcPr>
          <w:p w14:paraId="1CA6C73B" w14:textId="20E8207D" w:rsidR="008D0C53" w:rsidRPr="00FD3EE9" w:rsidRDefault="008D0C53" w:rsidP="00842BD5">
            <w:pPr>
              <w:ind w:firstLineChars="200" w:firstLine="420"/>
              <w:rPr>
                <w:b w:val="0"/>
                <w:sz w:val="21"/>
              </w:rPr>
            </w:pPr>
            <w:r w:rsidRPr="00FD3EE9">
              <w:rPr>
                <w:b w:val="0"/>
                <w:sz w:val="21"/>
              </w:rPr>
              <w:t xml:space="preserve">Vesting </w:t>
            </w:r>
            <w:r w:rsidR="00EA4F8D" w:rsidRPr="00FD3EE9">
              <w:rPr>
                <w:b w:val="0"/>
                <w:sz w:val="21"/>
              </w:rPr>
              <w:t>T</w:t>
            </w:r>
            <w:r w:rsidRPr="00FD3EE9">
              <w:rPr>
                <w:b w:val="0"/>
                <w:sz w:val="21"/>
              </w:rPr>
              <w:t>ime (in years)</w:t>
            </w:r>
          </w:p>
        </w:tc>
        <w:tc>
          <w:tcPr>
            <w:tcW w:w="2835" w:type="dxa"/>
            <w:gridSpan w:val="3"/>
            <w:tcBorders>
              <w:bottom w:val="single" w:sz="4" w:space="0" w:color="7F7F7F" w:themeColor="text1" w:themeTint="80"/>
            </w:tcBorders>
          </w:tcPr>
          <w:p w14:paraId="0A9D1907" w14:textId="373B8745" w:rsidR="008D0C53" w:rsidRPr="00FD3EE9" w:rsidRDefault="008D0C53" w:rsidP="00842BD5">
            <w:pPr>
              <w:ind w:firstLineChars="200" w:firstLine="420"/>
              <w:jc w:val="center"/>
              <w:cnfStyle w:val="000000000000" w:firstRow="0" w:lastRow="0" w:firstColumn="0" w:lastColumn="0" w:oddVBand="0" w:evenVBand="0" w:oddHBand="0" w:evenHBand="0" w:firstRowFirstColumn="0" w:firstRowLastColumn="0" w:lastRowFirstColumn="0" w:lastRowLastColumn="0"/>
              <w:rPr>
                <w:b/>
                <w:sz w:val="21"/>
              </w:rPr>
            </w:pPr>
            <w:r w:rsidRPr="00FD3EE9">
              <w:rPr>
                <w:sz w:val="21"/>
              </w:rPr>
              <w:t>Frequency</w:t>
            </w:r>
          </w:p>
        </w:tc>
        <w:tc>
          <w:tcPr>
            <w:tcW w:w="2835" w:type="dxa"/>
            <w:gridSpan w:val="3"/>
            <w:tcBorders>
              <w:bottom w:val="single" w:sz="4" w:space="0" w:color="7F7F7F" w:themeColor="text1" w:themeTint="80"/>
            </w:tcBorders>
          </w:tcPr>
          <w:p w14:paraId="48EAFB31" w14:textId="04332A17" w:rsidR="008D0C53" w:rsidRPr="00FD3EE9" w:rsidRDefault="008D0C53" w:rsidP="00842BD5">
            <w:pPr>
              <w:ind w:firstLineChars="200" w:firstLine="420"/>
              <w:jc w:val="center"/>
              <w:cnfStyle w:val="000000000000" w:firstRow="0" w:lastRow="0" w:firstColumn="0" w:lastColumn="0" w:oddVBand="0" w:evenVBand="0" w:oddHBand="0" w:evenHBand="0" w:firstRowFirstColumn="0" w:firstRowLastColumn="0" w:lastRowFirstColumn="0" w:lastRowLastColumn="0"/>
              <w:rPr>
                <w:b/>
                <w:sz w:val="21"/>
              </w:rPr>
            </w:pPr>
            <w:r w:rsidRPr="00FD3EE9">
              <w:rPr>
                <w:sz w:val="21"/>
              </w:rPr>
              <w:t xml:space="preserve">% of </w:t>
            </w:r>
            <w:r w:rsidR="00EA4F8D" w:rsidRPr="00FD3EE9">
              <w:rPr>
                <w:sz w:val="21"/>
              </w:rPr>
              <w:t>S</w:t>
            </w:r>
            <w:r w:rsidRPr="00FD3EE9">
              <w:rPr>
                <w:sz w:val="21"/>
              </w:rPr>
              <w:t>ample</w:t>
            </w:r>
          </w:p>
        </w:tc>
      </w:tr>
      <w:tr w:rsidR="008D0C53" w:rsidRPr="00FD3EE9" w14:paraId="40F8EE35" w14:textId="77777777" w:rsidTr="00667C6C">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3686" w:type="dxa"/>
            <w:tcBorders>
              <w:bottom w:val="nil"/>
            </w:tcBorders>
          </w:tcPr>
          <w:p w14:paraId="7147687B" w14:textId="2ABC11AD" w:rsidR="008D0C53" w:rsidRPr="00FD3EE9" w:rsidRDefault="008D0C53" w:rsidP="00842BD5">
            <w:pPr>
              <w:ind w:firstLineChars="200" w:firstLine="420"/>
              <w:rPr>
                <w:b w:val="0"/>
                <w:sz w:val="21"/>
              </w:rPr>
            </w:pPr>
            <w:r w:rsidRPr="00FD3EE9">
              <w:rPr>
                <w:b w:val="0"/>
                <w:sz w:val="21"/>
              </w:rPr>
              <w:t xml:space="preserve">VEST </w:t>
            </w:r>
            <w:r w:rsidR="00667C6C" w:rsidRPr="00FD3EE9">
              <w:rPr>
                <w:rFonts w:cs="Times New Roman"/>
                <w:b w:val="0"/>
                <w:sz w:val="21"/>
              </w:rPr>
              <w:t xml:space="preserve">≤ </w:t>
            </w:r>
            <w:r w:rsidRPr="00FD3EE9">
              <w:rPr>
                <w:b w:val="0"/>
                <w:sz w:val="21"/>
              </w:rPr>
              <w:t>3</w:t>
            </w:r>
          </w:p>
        </w:tc>
        <w:tc>
          <w:tcPr>
            <w:tcW w:w="2835" w:type="dxa"/>
            <w:gridSpan w:val="3"/>
            <w:tcBorders>
              <w:bottom w:val="nil"/>
            </w:tcBorders>
          </w:tcPr>
          <w:p w14:paraId="532DAE0F" w14:textId="6988E176" w:rsidR="008D0C53" w:rsidRPr="00FD3EE9" w:rsidRDefault="008D0C53" w:rsidP="00842BD5">
            <w:pPr>
              <w:ind w:firstLineChars="200" w:firstLine="420"/>
              <w:jc w:val="center"/>
              <w:cnfStyle w:val="000000100000" w:firstRow="0" w:lastRow="0" w:firstColumn="0" w:lastColumn="0" w:oddVBand="0" w:evenVBand="0" w:oddHBand="1" w:evenHBand="0" w:firstRowFirstColumn="0" w:firstRowLastColumn="0" w:lastRowFirstColumn="0" w:lastRowLastColumn="0"/>
              <w:rPr>
                <w:b/>
                <w:sz w:val="21"/>
              </w:rPr>
            </w:pPr>
            <w:r w:rsidRPr="00FD3EE9">
              <w:rPr>
                <w:sz w:val="21"/>
              </w:rPr>
              <w:t>3</w:t>
            </w:r>
          </w:p>
        </w:tc>
        <w:tc>
          <w:tcPr>
            <w:tcW w:w="2835" w:type="dxa"/>
            <w:gridSpan w:val="3"/>
            <w:tcBorders>
              <w:bottom w:val="nil"/>
            </w:tcBorders>
          </w:tcPr>
          <w:p w14:paraId="36F71BF9" w14:textId="34D97E97" w:rsidR="008D0C53" w:rsidRPr="00FD3EE9" w:rsidRDefault="008D0C53" w:rsidP="00842BD5">
            <w:pPr>
              <w:ind w:firstLineChars="200" w:firstLine="420"/>
              <w:jc w:val="center"/>
              <w:cnfStyle w:val="000000100000" w:firstRow="0" w:lastRow="0" w:firstColumn="0" w:lastColumn="0" w:oddVBand="0" w:evenVBand="0" w:oddHBand="1" w:evenHBand="0" w:firstRowFirstColumn="0" w:firstRowLastColumn="0" w:lastRowFirstColumn="0" w:lastRowLastColumn="0"/>
              <w:rPr>
                <w:b/>
                <w:sz w:val="21"/>
              </w:rPr>
            </w:pPr>
            <w:r w:rsidRPr="00FD3EE9">
              <w:rPr>
                <w:sz w:val="21"/>
              </w:rPr>
              <w:t>0.79</w:t>
            </w:r>
          </w:p>
        </w:tc>
      </w:tr>
      <w:tr w:rsidR="008D0C53" w:rsidRPr="00FD3EE9" w14:paraId="7040DBC2" w14:textId="77777777" w:rsidTr="00E76AB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0" w:type="dxa"/>
            <w:tcBorders>
              <w:top w:val="nil"/>
              <w:bottom w:val="nil"/>
            </w:tcBorders>
          </w:tcPr>
          <w:p w14:paraId="28D73D6C" w14:textId="27FCD928" w:rsidR="008D0C53" w:rsidRPr="00FD3EE9" w:rsidRDefault="00667C6C" w:rsidP="00842BD5">
            <w:pPr>
              <w:ind w:firstLineChars="200" w:firstLine="420"/>
              <w:rPr>
                <w:b w:val="0"/>
                <w:sz w:val="21"/>
              </w:rPr>
            </w:pPr>
            <w:r w:rsidRPr="00FD3EE9">
              <w:rPr>
                <w:rFonts w:cs="Times New Roman"/>
                <w:b w:val="0"/>
                <w:sz w:val="21"/>
              </w:rPr>
              <w:t xml:space="preserve">3 &lt; </w:t>
            </w:r>
            <w:r w:rsidRPr="00FD3EE9">
              <w:rPr>
                <w:b w:val="0"/>
                <w:sz w:val="21"/>
              </w:rPr>
              <w:t xml:space="preserve">VEST </w:t>
            </w:r>
            <w:r w:rsidRPr="00FD3EE9">
              <w:rPr>
                <w:rFonts w:cs="Times New Roman"/>
                <w:b w:val="0"/>
                <w:sz w:val="21"/>
              </w:rPr>
              <w:t>≤ 5</w:t>
            </w:r>
          </w:p>
        </w:tc>
        <w:tc>
          <w:tcPr>
            <w:tcW w:w="0" w:type="dxa"/>
            <w:gridSpan w:val="3"/>
            <w:tcBorders>
              <w:top w:val="nil"/>
              <w:bottom w:val="nil"/>
            </w:tcBorders>
          </w:tcPr>
          <w:p w14:paraId="05993420" w14:textId="48EBDD29" w:rsidR="008D0C53" w:rsidRPr="00FD3EE9" w:rsidRDefault="00667C6C" w:rsidP="00842BD5">
            <w:pPr>
              <w:ind w:firstLineChars="200" w:firstLine="420"/>
              <w:jc w:val="center"/>
              <w:cnfStyle w:val="000000000000" w:firstRow="0" w:lastRow="0" w:firstColumn="0" w:lastColumn="0" w:oddVBand="0" w:evenVBand="0" w:oddHBand="0" w:evenHBand="0" w:firstRowFirstColumn="0" w:firstRowLastColumn="0" w:lastRowFirstColumn="0" w:lastRowLastColumn="0"/>
              <w:rPr>
                <w:sz w:val="21"/>
              </w:rPr>
            </w:pPr>
            <w:r w:rsidRPr="00FD3EE9">
              <w:rPr>
                <w:sz w:val="21"/>
              </w:rPr>
              <w:t>311</w:t>
            </w:r>
          </w:p>
        </w:tc>
        <w:tc>
          <w:tcPr>
            <w:tcW w:w="0" w:type="dxa"/>
            <w:gridSpan w:val="3"/>
            <w:tcBorders>
              <w:top w:val="nil"/>
              <w:bottom w:val="nil"/>
            </w:tcBorders>
          </w:tcPr>
          <w:p w14:paraId="3B2E09F5" w14:textId="1B9047A0" w:rsidR="008D0C53" w:rsidRPr="00FD3EE9" w:rsidRDefault="00667C6C" w:rsidP="00842BD5">
            <w:pPr>
              <w:ind w:firstLineChars="200" w:firstLine="420"/>
              <w:jc w:val="center"/>
              <w:cnfStyle w:val="000000000000" w:firstRow="0" w:lastRow="0" w:firstColumn="0" w:lastColumn="0" w:oddVBand="0" w:evenVBand="0" w:oddHBand="0" w:evenHBand="0" w:firstRowFirstColumn="0" w:firstRowLastColumn="0" w:lastRowFirstColumn="0" w:lastRowLastColumn="0"/>
              <w:rPr>
                <w:sz w:val="21"/>
              </w:rPr>
            </w:pPr>
            <w:r w:rsidRPr="00FD3EE9">
              <w:rPr>
                <w:sz w:val="21"/>
              </w:rPr>
              <w:t>82.27</w:t>
            </w:r>
          </w:p>
        </w:tc>
      </w:tr>
      <w:tr w:rsidR="008D0C53" w:rsidRPr="00FD3EE9" w14:paraId="7C002E34" w14:textId="77777777" w:rsidTr="00E76ABD">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000000" w:themeColor="text1"/>
            </w:tcBorders>
          </w:tcPr>
          <w:p w14:paraId="033BA6EE" w14:textId="317AA3D5" w:rsidR="008D0C53" w:rsidRPr="00FD3EE9" w:rsidRDefault="00667C6C" w:rsidP="00842BD5">
            <w:pPr>
              <w:ind w:firstLineChars="200" w:firstLine="420"/>
              <w:rPr>
                <w:b w:val="0"/>
                <w:sz w:val="21"/>
              </w:rPr>
            </w:pPr>
            <w:r w:rsidRPr="00FD3EE9">
              <w:rPr>
                <w:rFonts w:cs="Times New Roman"/>
                <w:b w:val="0"/>
                <w:sz w:val="21"/>
              </w:rPr>
              <w:t xml:space="preserve">5 &lt; </w:t>
            </w:r>
            <w:r w:rsidRPr="00FD3EE9">
              <w:rPr>
                <w:b w:val="0"/>
                <w:sz w:val="21"/>
              </w:rPr>
              <w:t xml:space="preserve">VEST </w:t>
            </w:r>
            <w:r w:rsidRPr="00FD3EE9">
              <w:rPr>
                <w:rFonts w:cs="Times New Roman"/>
                <w:b w:val="0"/>
                <w:sz w:val="21"/>
              </w:rPr>
              <w:t>≤ 10</w:t>
            </w:r>
          </w:p>
        </w:tc>
        <w:tc>
          <w:tcPr>
            <w:tcW w:w="0" w:type="dxa"/>
            <w:gridSpan w:val="3"/>
            <w:tcBorders>
              <w:top w:val="nil"/>
              <w:bottom w:val="single" w:sz="4" w:space="0" w:color="000000" w:themeColor="text1"/>
            </w:tcBorders>
          </w:tcPr>
          <w:p w14:paraId="0FC04A4A" w14:textId="09187921" w:rsidR="008D0C53" w:rsidRPr="00FD3EE9" w:rsidRDefault="00667C6C" w:rsidP="00842BD5">
            <w:pPr>
              <w:ind w:firstLineChars="200" w:firstLine="420"/>
              <w:jc w:val="center"/>
              <w:cnfStyle w:val="000000100000" w:firstRow="0" w:lastRow="0" w:firstColumn="0" w:lastColumn="0" w:oddVBand="0" w:evenVBand="0" w:oddHBand="1" w:evenHBand="0" w:firstRowFirstColumn="0" w:firstRowLastColumn="0" w:lastRowFirstColumn="0" w:lastRowLastColumn="0"/>
              <w:rPr>
                <w:sz w:val="21"/>
              </w:rPr>
            </w:pPr>
            <w:r w:rsidRPr="00FD3EE9">
              <w:rPr>
                <w:sz w:val="21"/>
              </w:rPr>
              <w:t>64</w:t>
            </w:r>
          </w:p>
        </w:tc>
        <w:tc>
          <w:tcPr>
            <w:tcW w:w="0" w:type="dxa"/>
            <w:gridSpan w:val="3"/>
            <w:tcBorders>
              <w:top w:val="nil"/>
              <w:bottom w:val="single" w:sz="4" w:space="0" w:color="000000" w:themeColor="text1"/>
            </w:tcBorders>
          </w:tcPr>
          <w:p w14:paraId="49988A58" w14:textId="0AEB9CB7" w:rsidR="008D0C53" w:rsidRPr="00FD3EE9" w:rsidRDefault="00667C6C" w:rsidP="00842BD5">
            <w:pPr>
              <w:ind w:firstLineChars="200" w:firstLine="420"/>
              <w:jc w:val="center"/>
              <w:cnfStyle w:val="000000100000" w:firstRow="0" w:lastRow="0" w:firstColumn="0" w:lastColumn="0" w:oddVBand="0" w:evenVBand="0" w:oddHBand="1" w:evenHBand="0" w:firstRowFirstColumn="0" w:firstRowLastColumn="0" w:lastRowFirstColumn="0" w:lastRowLastColumn="0"/>
              <w:rPr>
                <w:sz w:val="21"/>
              </w:rPr>
            </w:pPr>
            <w:r w:rsidRPr="00FD3EE9">
              <w:rPr>
                <w:sz w:val="21"/>
              </w:rPr>
              <w:t>16.93</w:t>
            </w:r>
          </w:p>
        </w:tc>
      </w:tr>
    </w:tbl>
    <w:p w14:paraId="522226D1" w14:textId="2D9B7CCF" w:rsidR="00194DF3" w:rsidRPr="00FD3EE9" w:rsidRDefault="00194DF3" w:rsidP="00842BD5">
      <w:pPr>
        <w:widowControl/>
        <w:ind w:firstLineChars="200" w:firstLine="480"/>
        <w:jc w:val="left"/>
      </w:pPr>
      <w:r w:rsidRPr="00FD3EE9">
        <w:br w:type="page"/>
      </w:r>
    </w:p>
    <w:p w14:paraId="0B8227AA" w14:textId="027480B0" w:rsidR="00194DF3" w:rsidRPr="00FD3EE9" w:rsidRDefault="00EF1F9E" w:rsidP="00842BD5">
      <w:pPr>
        <w:ind w:firstLineChars="200" w:firstLine="482"/>
        <w:jc w:val="center"/>
        <w:rPr>
          <w:b/>
        </w:rPr>
      </w:pPr>
      <w:r w:rsidRPr="00FD3EE9">
        <w:rPr>
          <w:b/>
        </w:rPr>
        <w:lastRenderedPageBreak/>
        <w:t>Table 5</w:t>
      </w:r>
      <w:r w:rsidR="00194DF3" w:rsidRPr="00FD3EE9">
        <w:rPr>
          <w:b/>
        </w:rPr>
        <w:t xml:space="preserve">: Executive </w:t>
      </w:r>
      <w:r w:rsidR="00F00CD4" w:rsidRPr="00FD3EE9">
        <w:rPr>
          <w:b/>
        </w:rPr>
        <w:t>C</w:t>
      </w:r>
      <w:r w:rsidR="00194DF3" w:rsidRPr="00FD3EE9">
        <w:rPr>
          <w:b/>
        </w:rPr>
        <w:t xml:space="preserve">ompensation </w:t>
      </w:r>
      <w:r w:rsidR="00F00CD4" w:rsidRPr="00FD3EE9">
        <w:rPr>
          <w:b/>
        </w:rPr>
        <w:t>C</w:t>
      </w:r>
      <w:r w:rsidR="00194DF3" w:rsidRPr="00FD3EE9">
        <w:rPr>
          <w:b/>
        </w:rPr>
        <w:t xml:space="preserve">ategorized by </w:t>
      </w:r>
      <w:r w:rsidR="00F00CD4" w:rsidRPr="00FD3EE9">
        <w:rPr>
          <w:b/>
        </w:rPr>
        <w:t>F</w:t>
      </w:r>
      <w:r w:rsidR="00194DF3" w:rsidRPr="00FD3EE9">
        <w:rPr>
          <w:b/>
        </w:rPr>
        <w:t xml:space="preserve">requency of </w:t>
      </w:r>
      <w:r w:rsidR="00F00CD4" w:rsidRPr="00FD3EE9">
        <w:rPr>
          <w:b/>
        </w:rPr>
        <w:t>M</w:t>
      </w:r>
      <w:r w:rsidR="00194DF3" w:rsidRPr="00FD3EE9">
        <w:rPr>
          <w:b/>
        </w:rPr>
        <w:t xml:space="preserve">aking </w:t>
      </w:r>
      <w:r w:rsidR="00F00CD4" w:rsidRPr="00FD3EE9">
        <w:rPr>
          <w:b/>
        </w:rPr>
        <w:t>A</w:t>
      </w:r>
      <w:r w:rsidR="00194DF3" w:rsidRPr="00FD3EE9">
        <w:rPr>
          <w:b/>
        </w:rPr>
        <w:t>cquisitions</w:t>
      </w:r>
    </w:p>
    <w:tbl>
      <w:tblPr>
        <w:tblStyle w:val="21"/>
        <w:tblW w:w="10079" w:type="dxa"/>
        <w:jc w:val="center"/>
        <w:tblLook w:val="04A0" w:firstRow="1" w:lastRow="0" w:firstColumn="1" w:lastColumn="0" w:noHBand="0" w:noVBand="1"/>
      </w:tblPr>
      <w:tblGrid>
        <w:gridCol w:w="1497"/>
        <w:gridCol w:w="495"/>
        <w:gridCol w:w="1696"/>
        <w:gridCol w:w="1637"/>
        <w:gridCol w:w="1637"/>
        <w:gridCol w:w="1662"/>
        <w:gridCol w:w="1455"/>
      </w:tblGrid>
      <w:tr w:rsidR="00194DF3" w:rsidRPr="00FD3EE9" w14:paraId="2D385668" w14:textId="77777777" w:rsidTr="00945084">
        <w:trPr>
          <w:cnfStyle w:val="100000000000" w:firstRow="1" w:lastRow="0" w:firstColumn="0" w:lastColumn="0" w:oddVBand="0" w:evenVBand="0" w:oddHBand="0"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10079" w:type="dxa"/>
            <w:gridSpan w:val="7"/>
            <w:tcBorders>
              <w:top w:val="single" w:sz="4" w:space="0" w:color="000000" w:themeColor="text1"/>
              <w:bottom w:val="single" w:sz="4" w:space="0" w:color="000000" w:themeColor="text1"/>
            </w:tcBorders>
          </w:tcPr>
          <w:p w14:paraId="1134AF5E" w14:textId="0B0A35EF" w:rsidR="00194DF3" w:rsidRPr="00FD3EE9" w:rsidRDefault="00194DF3" w:rsidP="00842BD5">
            <w:pPr>
              <w:ind w:firstLineChars="200" w:firstLine="400"/>
              <w:jc w:val="center"/>
              <w:rPr>
                <w:b w:val="0"/>
                <w:sz w:val="20"/>
                <w:szCs w:val="20"/>
              </w:rPr>
            </w:pPr>
            <w:r w:rsidRPr="00FD3EE9">
              <w:rPr>
                <w:b w:val="0"/>
                <w:sz w:val="20"/>
                <w:szCs w:val="20"/>
              </w:rPr>
              <w:t>Panel A: Managerial Stock Ownership (%)</w:t>
            </w:r>
          </w:p>
        </w:tc>
      </w:tr>
      <w:tr w:rsidR="00B12793" w:rsidRPr="00FD3EE9" w14:paraId="115C661F" w14:textId="77777777" w:rsidTr="0094508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497" w:type="dxa"/>
            <w:tcBorders>
              <w:top w:val="single" w:sz="4" w:space="0" w:color="000000" w:themeColor="text1"/>
            </w:tcBorders>
          </w:tcPr>
          <w:p w14:paraId="6557A287" w14:textId="77777777" w:rsidR="00194DF3" w:rsidRPr="00FD3EE9" w:rsidRDefault="00194DF3" w:rsidP="00842BD5">
            <w:pPr>
              <w:ind w:firstLineChars="200" w:firstLine="400"/>
              <w:rPr>
                <w:b w:val="0"/>
                <w:sz w:val="20"/>
                <w:szCs w:val="20"/>
              </w:rPr>
            </w:pPr>
          </w:p>
        </w:tc>
        <w:tc>
          <w:tcPr>
            <w:tcW w:w="2191" w:type="dxa"/>
            <w:gridSpan w:val="2"/>
            <w:tcBorders>
              <w:top w:val="single" w:sz="4" w:space="0" w:color="000000" w:themeColor="text1"/>
            </w:tcBorders>
          </w:tcPr>
          <w:p w14:paraId="6E031192" w14:textId="3743647B" w:rsidR="00194DF3" w:rsidRPr="00FD3EE9" w:rsidRDefault="00194DF3" w:rsidP="000A6696">
            <w:pPr>
              <w:ind w:firstLineChars="200" w:firstLine="400"/>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 xml:space="preserve">Full </w:t>
            </w:r>
            <w:r w:rsidR="00F00CD4" w:rsidRPr="00FD3EE9">
              <w:rPr>
                <w:sz w:val="20"/>
                <w:szCs w:val="20"/>
              </w:rPr>
              <w:t>S</w:t>
            </w:r>
            <w:r w:rsidRPr="00FD3EE9">
              <w:rPr>
                <w:sz w:val="20"/>
                <w:szCs w:val="20"/>
              </w:rPr>
              <w:t>ample</w:t>
            </w:r>
          </w:p>
        </w:tc>
        <w:tc>
          <w:tcPr>
            <w:tcW w:w="0" w:type="auto"/>
            <w:tcBorders>
              <w:top w:val="single" w:sz="4" w:space="0" w:color="000000" w:themeColor="text1"/>
            </w:tcBorders>
          </w:tcPr>
          <w:p w14:paraId="06C609E6" w14:textId="6C25E5DB" w:rsidR="00194DF3" w:rsidRPr="00FD3EE9" w:rsidRDefault="00194DF3" w:rsidP="00945084">
            <w:pPr>
              <w:ind w:firstLineChars="200" w:firstLine="400"/>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Active</w:t>
            </w:r>
          </w:p>
        </w:tc>
        <w:tc>
          <w:tcPr>
            <w:tcW w:w="0" w:type="auto"/>
            <w:tcBorders>
              <w:top w:val="single" w:sz="4" w:space="0" w:color="000000" w:themeColor="text1"/>
            </w:tcBorders>
          </w:tcPr>
          <w:p w14:paraId="767679C5" w14:textId="04EFF7AD" w:rsidR="00194DF3" w:rsidRPr="00FD3EE9" w:rsidRDefault="00194DF3" w:rsidP="00842BD5">
            <w:pPr>
              <w:ind w:firstLineChars="200" w:firstLine="400"/>
              <w:jc w:val="center"/>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Less Active</w:t>
            </w:r>
          </w:p>
        </w:tc>
        <w:tc>
          <w:tcPr>
            <w:tcW w:w="0" w:type="auto"/>
            <w:tcBorders>
              <w:top w:val="single" w:sz="4" w:space="0" w:color="000000" w:themeColor="text1"/>
            </w:tcBorders>
          </w:tcPr>
          <w:p w14:paraId="3A2A63C4" w14:textId="22CC3D58" w:rsidR="00194DF3" w:rsidRPr="00FD3EE9" w:rsidRDefault="00194DF3" w:rsidP="00842BD5">
            <w:pPr>
              <w:ind w:firstLineChars="200" w:firstLine="400"/>
              <w:jc w:val="center"/>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Difference</w:t>
            </w:r>
          </w:p>
        </w:tc>
        <w:tc>
          <w:tcPr>
            <w:tcW w:w="0" w:type="auto"/>
            <w:tcBorders>
              <w:top w:val="single" w:sz="4" w:space="0" w:color="000000" w:themeColor="text1"/>
            </w:tcBorders>
          </w:tcPr>
          <w:p w14:paraId="074230F2" w14:textId="105A1D62" w:rsidR="00194DF3" w:rsidRPr="00FD3EE9" w:rsidRDefault="00194DF3" w:rsidP="00842BD5">
            <w:pPr>
              <w:ind w:firstLineChars="200" w:firstLine="400"/>
              <w:jc w:val="center"/>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Std. Error</w:t>
            </w:r>
          </w:p>
        </w:tc>
      </w:tr>
      <w:tr w:rsidR="00B12793" w:rsidRPr="00FD3EE9" w14:paraId="07AE591F" w14:textId="77777777" w:rsidTr="00945084">
        <w:trPr>
          <w:trHeight w:hRule="exact" w:val="309"/>
          <w:jc w:val="center"/>
        </w:trPr>
        <w:tc>
          <w:tcPr>
            <w:cnfStyle w:val="001000000000" w:firstRow="0" w:lastRow="0" w:firstColumn="1" w:lastColumn="0" w:oddVBand="0" w:evenVBand="0" w:oddHBand="0" w:evenHBand="0" w:firstRowFirstColumn="0" w:firstRowLastColumn="0" w:lastRowFirstColumn="0" w:lastRowLastColumn="0"/>
            <w:tcW w:w="1497" w:type="dxa"/>
            <w:tcBorders>
              <w:top w:val="single" w:sz="4" w:space="0" w:color="7F7F7F" w:themeColor="text1" w:themeTint="80"/>
              <w:bottom w:val="nil"/>
            </w:tcBorders>
          </w:tcPr>
          <w:p w14:paraId="20C65B33" w14:textId="2F72A61D" w:rsidR="00194DF3" w:rsidRPr="00FD3EE9" w:rsidRDefault="00194DF3" w:rsidP="00842BD5">
            <w:pPr>
              <w:ind w:firstLineChars="200" w:firstLine="400"/>
              <w:jc w:val="left"/>
              <w:rPr>
                <w:b w:val="0"/>
                <w:sz w:val="20"/>
                <w:szCs w:val="20"/>
              </w:rPr>
            </w:pPr>
            <w:r w:rsidRPr="00FD3EE9">
              <w:rPr>
                <w:b w:val="0"/>
                <w:sz w:val="20"/>
                <w:szCs w:val="20"/>
              </w:rPr>
              <w:t>MEAN</w:t>
            </w:r>
          </w:p>
        </w:tc>
        <w:tc>
          <w:tcPr>
            <w:tcW w:w="2191" w:type="dxa"/>
            <w:gridSpan w:val="2"/>
            <w:tcBorders>
              <w:top w:val="single" w:sz="4" w:space="0" w:color="7F7F7F" w:themeColor="text1" w:themeTint="80"/>
              <w:bottom w:val="nil"/>
            </w:tcBorders>
          </w:tcPr>
          <w:p w14:paraId="74A5863F" w14:textId="05EE7788" w:rsidR="00194DF3" w:rsidRPr="00FD3EE9" w:rsidRDefault="00194DF3" w:rsidP="00842BD5">
            <w:pPr>
              <w:tabs>
                <w:tab w:val="decimal" w:pos="654"/>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10.46</w:t>
            </w:r>
          </w:p>
        </w:tc>
        <w:tc>
          <w:tcPr>
            <w:tcW w:w="0" w:type="auto"/>
            <w:tcBorders>
              <w:top w:val="single" w:sz="4" w:space="0" w:color="7F7F7F" w:themeColor="text1" w:themeTint="80"/>
              <w:bottom w:val="nil"/>
            </w:tcBorders>
          </w:tcPr>
          <w:p w14:paraId="0D1C0D1C" w14:textId="39C336B3" w:rsidR="00194DF3" w:rsidRPr="00FD3EE9" w:rsidRDefault="00194DF3" w:rsidP="00945084">
            <w:pPr>
              <w:tabs>
                <w:tab w:val="decimal" w:pos="654"/>
              </w:tabs>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8.78</w:t>
            </w:r>
          </w:p>
        </w:tc>
        <w:tc>
          <w:tcPr>
            <w:tcW w:w="0" w:type="auto"/>
            <w:tcBorders>
              <w:top w:val="single" w:sz="4" w:space="0" w:color="7F7F7F" w:themeColor="text1" w:themeTint="80"/>
              <w:bottom w:val="nil"/>
            </w:tcBorders>
          </w:tcPr>
          <w:p w14:paraId="082FA625" w14:textId="7856B631" w:rsidR="00194DF3" w:rsidRPr="00FD3EE9" w:rsidRDefault="00194DF3" w:rsidP="00842BD5">
            <w:pPr>
              <w:tabs>
                <w:tab w:val="decimal" w:pos="654"/>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13.96</w:t>
            </w:r>
          </w:p>
        </w:tc>
        <w:tc>
          <w:tcPr>
            <w:tcW w:w="0" w:type="auto"/>
            <w:tcBorders>
              <w:top w:val="single" w:sz="4" w:space="0" w:color="7F7F7F" w:themeColor="text1" w:themeTint="80"/>
              <w:bottom w:val="nil"/>
            </w:tcBorders>
          </w:tcPr>
          <w:p w14:paraId="27058B0C" w14:textId="6EC7E6CF" w:rsidR="00194DF3" w:rsidRPr="00FD3EE9" w:rsidRDefault="00194DF3" w:rsidP="00842BD5">
            <w:pPr>
              <w:tabs>
                <w:tab w:val="decimal" w:pos="654"/>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5.17***</w:t>
            </w:r>
          </w:p>
        </w:tc>
        <w:tc>
          <w:tcPr>
            <w:tcW w:w="0" w:type="auto"/>
            <w:tcBorders>
              <w:top w:val="single" w:sz="4" w:space="0" w:color="7F7F7F" w:themeColor="text1" w:themeTint="80"/>
              <w:bottom w:val="nil"/>
            </w:tcBorders>
          </w:tcPr>
          <w:p w14:paraId="1AB40847" w14:textId="2144780D" w:rsidR="00194DF3" w:rsidRPr="00FD3EE9" w:rsidRDefault="00194DF3" w:rsidP="00842BD5">
            <w:pPr>
              <w:tabs>
                <w:tab w:val="decimal" w:pos="654"/>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0.41</w:t>
            </w:r>
          </w:p>
        </w:tc>
      </w:tr>
      <w:tr w:rsidR="00B12793" w:rsidRPr="00FD3EE9" w14:paraId="18649369" w14:textId="77777777" w:rsidTr="00945084">
        <w:trPr>
          <w:cnfStyle w:val="000000100000" w:firstRow="0" w:lastRow="0" w:firstColumn="0" w:lastColumn="0" w:oddVBand="0" w:evenVBand="0" w:oddHBand="1" w:evenHBand="0" w:firstRowFirstColumn="0" w:firstRowLastColumn="0" w:lastRowFirstColumn="0" w:lastRowLastColumn="0"/>
          <w:trHeight w:hRule="exact" w:val="309"/>
          <w:jc w:val="center"/>
        </w:trPr>
        <w:tc>
          <w:tcPr>
            <w:cnfStyle w:val="001000000000" w:firstRow="0" w:lastRow="0" w:firstColumn="1" w:lastColumn="0" w:oddVBand="0" w:evenVBand="0" w:oddHBand="0" w:evenHBand="0" w:firstRowFirstColumn="0" w:firstRowLastColumn="0" w:lastRowFirstColumn="0" w:lastRowLastColumn="0"/>
            <w:tcW w:w="1497" w:type="dxa"/>
            <w:tcBorders>
              <w:top w:val="nil"/>
            </w:tcBorders>
          </w:tcPr>
          <w:p w14:paraId="469DBF1F" w14:textId="286C5847" w:rsidR="00194DF3" w:rsidRPr="00FD3EE9" w:rsidRDefault="00194DF3" w:rsidP="00842BD5">
            <w:pPr>
              <w:ind w:firstLineChars="200" w:firstLine="400"/>
              <w:jc w:val="left"/>
              <w:rPr>
                <w:b w:val="0"/>
                <w:sz w:val="20"/>
                <w:szCs w:val="20"/>
              </w:rPr>
            </w:pPr>
            <w:r w:rsidRPr="00FD3EE9">
              <w:rPr>
                <w:b w:val="0"/>
                <w:sz w:val="20"/>
                <w:szCs w:val="20"/>
              </w:rPr>
              <w:t>N</w:t>
            </w:r>
          </w:p>
        </w:tc>
        <w:tc>
          <w:tcPr>
            <w:tcW w:w="2191" w:type="dxa"/>
            <w:gridSpan w:val="2"/>
            <w:tcBorders>
              <w:top w:val="nil"/>
            </w:tcBorders>
          </w:tcPr>
          <w:p w14:paraId="2CB9DF54" w14:textId="5C5B81CC" w:rsidR="00194DF3" w:rsidRPr="00FD3EE9" w:rsidRDefault="00194DF3" w:rsidP="00842BD5">
            <w:pPr>
              <w:tabs>
                <w:tab w:val="decimal" w:pos="654"/>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10</w:t>
            </w:r>
            <w:r w:rsidR="00F00CD4" w:rsidRPr="00FD3EE9">
              <w:rPr>
                <w:sz w:val="20"/>
                <w:szCs w:val="20"/>
              </w:rPr>
              <w:t>,</w:t>
            </w:r>
            <w:r w:rsidRPr="00FD3EE9">
              <w:rPr>
                <w:sz w:val="20"/>
                <w:szCs w:val="20"/>
              </w:rPr>
              <w:t>552</w:t>
            </w:r>
          </w:p>
        </w:tc>
        <w:tc>
          <w:tcPr>
            <w:tcW w:w="0" w:type="auto"/>
            <w:tcBorders>
              <w:top w:val="nil"/>
            </w:tcBorders>
          </w:tcPr>
          <w:p w14:paraId="71B975E6" w14:textId="6F918687" w:rsidR="00194DF3" w:rsidRPr="00FD3EE9" w:rsidRDefault="00194DF3" w:rsidP="00945084">
            <w:pPr>
              <w:tabs>
                <w:tab w:val="decimal" w:pos="654"/>
              </w:tabs>
              <w:ind w:firstLineChars="300" w:firstLine="6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7</w:t>
            </w:r>
            <w:r w:rsidR="00F00CD4" w:rsidRPr="00FD3EE9">
              <w:rPr>
                <w:sz w:val="20"/>
                <w:szCs w:val="20"/>
              </w:rPr>
              <w:t>,</w:t>
            </w:r>
            <w:r w:rsidRPr="00FD3EE9">
              <w:rPr>
                <w:sz w:val="20"/>
                <w:szCs w:val="20"/>
              </w:rPr>
              <w:t>134</w:t>
            </w:r>
          </w:p>
        </w:tc>
        <w:tc>
          <w:tcPr>
            <w:tcW w:w="0" w:type="auto"/>
            <w:tcBorders>
              <w:top w:val="nil"/>
            </w:tcBorders>
          </w:tcPr>
          <w:p w14:paraId="72ECF755" w14:textId="3CE2CFEC" w:rsidR="00194DF3" w:rsidRPr="00FD3EE9" w:rsidRDefault="00194DF3" w:rsidP="00945084">
            <w:pPr>
              <w:tabs>
                <w:tab w:val="decimal" w:pos="654"/>
              </w:tabs>
              <w:ind w:firstLineChars="250" w:firstLine="5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3</w:t>
            </w:r>
            <w:r w:rsidR="00F00CD4" w:rsidRPr="00FD3EE9">
              <w:rPr>
                <w:sz w:val="20"/>
                <w:szCs w:val="20"/>
              </w:rPr>
              <w:t>,</w:t>
            </w:r>
            <w:r w:rsidRPr="00FD3EE9">
              <w:rPr>
                <w:sz w:val="20"/>
                <w:szCs w:val="20"/>
              </w:rPr>
              <w:t>418</w:t>
            </w:r>
          </w:p>
        </w:tc>
        <w:tc>
          <w:tcPr>
            <w:tcW w:w="0" w:type="auto"/>
            <w:tcBorders>
              <w:top w:val="nil"/>
            </w:tcBorders>
          </w:tcPr>
          <w:p w14:paraId="07D95E9C" w14:textId="77777777" w:rsidR="00194DF3" w:rsidRPr="00FD3EE9" w:rsidRDefault="00194DF3" w:rsidP="00842BD5">
            <w:pPr>
              <w:tabs>
                <w:tab w:val="decimal" w:pos="654"/>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Borders>
              <w:top w:val="nil"/>
            </w:tcBorders>
          </w:tcPr>
          <w:p w14:paraId="390F3B59" w14:textId="77777777" w:rsidR="00194DF3" w:rsidRPr="00FD3EE9" w:rsidRDefault="00194DF3" w:rsidP="00842BD5">
            <w:pPr>
              <w:tabs>
                <w:tab w:val="decimal" w:pos="654"/>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B12793" w:rsidRPr="00FD3EE9" w14:paraId="00B2C318" w14:textId="77777777" w:rsidTr="00945084">
        <w:trPr>
          <w:trHeight w:val="388"/>
          <w:jc w:val="center"/>
        </w:trPr>
        <w:tc>
          <w:tcPr>
            <w:cnfStyle w:val="001000000000" w:firstRow="0" w:lastRow="0" w:firstColumn="1" w:lastColumn="0" w:oddVBand="0" w:evenVBand="0" w:oddHBand="0" w:evenHBand="0" w:firstRowFirstColumn="0" w:firstRowLastColumn="0" w:lastRowFirstColumn="0" w:lastRowLastColumn="0"/>
            <w:tcW w:w="10079" w:type="dxa"/>
            <w:gridSpan w:val="7"/>
            <w:tcBorders>
              <w:bottom w:val="single" w:sz="4" w:space="0" w:color="7F7F7F" w:themeColor="text1" w:themeTint="80"/>
            </w:tcBorders>
          </w:tcPr>
          <w:p w14:paraId="151C7B4C" w14:textId="6A0C31CC" w:rsidR="00B12793" w:rsidRPr="00FD3EE9" w:rsidRDefault="00B12793" w:rsidP="00842BD5">
            <w:pPr>
              <w:ind w:firstLineChars="200" w:firstLine="400"/>
              <w:jc w:val="center"/>
              <w:rPr>
                <w:b w:val="0"/>
                <w:sz w:val="20"/>
                <w:szCs w:val="20"/>
              </w:rPr>
            </w:pPr>
            <w:r w:rsidRPr="00FD3EE9">
              <w:rPr>
                <w:b w:val="0"/>
                <w:sz w:val="20"/>
                <w:szCs w:val="20"/>
              </w:rPr>
              <w:t>Panel B: Stock Option Pay (%)</w:t>
            </w:r>
          </w:p>
        </w:tc>
      </w:tr>
      <w:tr w:rsidR="00945084" w:rsidRPr="00FD3EE9" w14:paraId="7815F863" w14:textId="77777777" w:rsidTr="00E9285E">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1992" w:type="dxa"/>
            <w:gridSpan w:val="2"/>
          </w:tcPr>
          <w:p w14:paraId="73E7155B" w14:textId="77777777" w:rsidR="00B12793" w:rsidRPr="00FD3EE9" w:rsidRDefault="00B12793" w:rsidP="00842BD5">
            <w:pPr>
              <w:ind w:firstLineChars="200" w:firstLine="400"/>
              <w:jc w:val="center"/>
              <w:rPr>
                <w:b w:val="0"/>
                <w:bCs w:val="0"/>
                <w:sz w:val="20"/>
                <w:szCs w:val="20"/>
              </w:rPr>
            </w:pPr>
          </w:p>
        </w:tc>
        <w:tc>
          <w:tcPr>
            <w:tcW w:w="1696" w:type="dxa"/>
          </w:tcPr>
          <w:p w14:paraId="032B4251" w14:textId="3D8F5217" w:rsidR="00B12793" w:rsidRPr="00FD3EE9" w:rsidRDefault="00B12793" w:rsidP="000A6696">
            <w:pPr>
              <w:cnfStyle w:val="000000100000" w:firstRow="0" w:lastRow="0" w:firstColumn="0" w:lastColumn="0" w:oddVBand="0" w:evenVBand="0" w:oddHBand="1" w:evenHBand="0" w:firstRowFirstColumn="0" w:firstRowLastColumn="0" w:lastRowFirstColumn="0" w:lastRowLastColumn="0"/>
              <w:rPr>
                <w:b/>
                <w:bCs/>
                <w:sz w:val="20"/>
                <w:szCs w:val="20"/>
              </w:rPr>
            </w:pPr>
            <w:r w:rsidRPr="00FD3EE9">
              <w:rPr>
                <w:sz w:val="20"/>
                <w:szCs w:val="20"/>
              </w:rPr>
              <w:t>Ful</w:t>
            </w:r>
            <w:r w:rsidR="00F00CD4" w:rsidRPr="00FD3EE9">
              <w:rPr>
                <w:sz w:val="20"/>
                <w:szCs w:val="20"/>
              </w:rPr>
              <w:t>l S</w:t>
            </w:r>
            <w:r w:rsidRPr="00FD3EE9">
              <w:rPr>
                <w:sz w:val="20"/>
                <w:szCs w:val="20"/>
              </w:rPr>
              <w:t>ample</w:t>
            </w:r>
          </w:p>
        </w:tc>
        <w:tc>
          <w:tcPr>
            <w:tcW w:w="1637" w:type="dxa"/>
          </w:tcPr>
          <w:p w14:paraId="2D9BD373" w14:textId="641D6A18" w:rsidR="00B12793" w:rsidRPr="00FD3EE9" w:rsidRDefault="00B12793" w:rsidP="00945084">
            <w:pPr>
              <w:ind w:firstLineChars="250" w:firstLine="500"/>
              <w:cnfStyle w:val="000000100000" w:firstRow="0" w:lastRow="0" w:firstColumn="0" w:lastColumn="0" w:oddVBand="0" w:evenVBand="0" w:oddHBand="1" w:evenHBand="0" w:firstRowFirstColumn="0" w:firstRowLastColumn="0" w:lastRowFirstColumn="0" w:lastRowLastColumn="0"/>
              <w:rPr>
                <w:b/>
                <w:bCs/>
                <w:sz w:val="20"/>
                <w:szCs w:val="20"/>
              </w:rPr>
            </w:pPr>
            <w:r w:rsidRPr="00FD3EE9">
              <w:rPr>
                <w:sz w:val="20"/>
                <w:szCs w:val="20"/>
              </w:rPr>
              <w:t>Active</w:t>
            </w:r>
          </w:p>
        </w:tc>
        <w:tc>
          <w:tcPr>
            <w:tcW w:w="1637" w:type="dxa"/>
          </w:tcPr>
          <w:p w14:paraId="4E0BBB32" w14:textId="577C185F" w:rsidR="00B12793" w:rsidRPr="00FD3EE9" w:rsidRDefault="00B12793" w:rsidP="00842BD5">
            <w:pPr>
              <w:ind w:firstLineChars="200" w:firstLine="40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FD3EE9">
              <w:rPr>
                <w:sz w:val="20"/>
                <w:szCs w:val="20"/>
              </w:rPr>
              <w:t>Less Active</w:t>
            </w:r>
          </w:p>
        </w:tc>
        <w:tc>
          <w:tcPr>
            <w:tcW w:w="1662" w:type="dxa"/>
          </w:tcPr>
          <w:p w14:paraId="33194488" w14:textId="4EBFE5CD" w:rsidR="00B12793" w:rsidRPr="00FD3EE9" w:rsidRDefault="00B12793" w:rsidP="00842BD5">
            <w:pPr>
              <w:ind w:firstLineChars="200" w:firstLine="40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FD3EE9">
              <w:rPr>
                <w:sz w:val="20"/>
                <w:szCs w:val="20"/>
              </w:rPr>
              <w:t>Difference</w:t>
            </w:r>
          </w:p>
        </w:tc>
        <w:tc>
          <w:tcPr>
            <w:tcW w:w="1455" w:type="dxa"/>
          </w:tcPr>
          <w:p w14:paraId="4A4C9C53" w14:textId="32DFDBE4" w:rsidR="00B12793" w:rsidRPr="00FD3EE9" w:rsidRDefault="00B12793" w:rsidP="00842BD5">
            <w:pPr>
              <w:ind w:firstLineChars="200" w:firstLine="400"/>
              <w:jc w:val="center"/>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Std. Error</w:t>
            </w:r>
          </w:p>
        </w:tc>
      </w:tr>
      <w:tr w:rsidR="00B12793" w:rsidRPr="00FD3EE9" w14:paraId="606BC99D" w14:textId="77777777" w:rsidTr="00945084">
        <w:trPr>
          <w:trHeight w:hRule="exact" w:val="309"/>
          <w:jc w:val="center"/>
        </w:trPr>
        <w:tc>
          <w:tcPr>
            <w:cnfStyle w:val="001000000000" w:firstRow="0" w:lastRow="0" w:firstColumn="1" w:lastColumn="0" w:oddVBand="0" w:evenVBand="0" w:oddHBand="0" w:evenHBand="0" w:firstRowFirstColumn="0" w:firstRowLastColumn="0" w:lastRowFirstColumn="0" w:lastRowLastColumn="0"/>
            <w:tcW w:w="1497" w:type="dxa"/>
            <w:tcBorders>
              <w:bottom w:val="nil"/>
            </w:tcBorders>
          </w:tcPr>
          <w:p w14:paraId="64F310D6" w14:textId="70DF5EA2" w:rsidR="00B12793" w:rsidRPr="00FD3EE9" w:rsidRDefault="00B12793" w:rsidP="00842BD5">
            <w:pPr>
              <w:ind w:firstLineChars="200" w:firstLine="400"/>
              <w:jc w:val="left"/>
              <w:rPr>
                <w:b w:val="0"/>
                <w:sz w:val="20"/>
                <w:szCs w:val="20"/>
              </w:rPr>
            </w:pPr>
            <w:r w:rsidRPr="00FD3EE9">
              <w:rPr>
                <w:b w:val="0"/>
                <w:sz w:val="20"/>
                <w:szCs w:val="20"/>
              </w:rPr>
              <w:t>MEAN</w:t>
            </w:r>
          </w:p>
        </w:tc>
        <w:tc>
          <w:tcPr>
            <w:tcW w:w="2191" w:type="dxa"/>
            <w:gridSpan w:val="2"/>
            <w:tcBorders>
              <w:bottom w:val="nil"/>
            </w:tcBorders>
          </w:tcPr>
          <w:p w14:paraId="5BD9C685" w14:textId="3E4D142C" w:rsidR="00B12793" w:rsidRPr="00FD3EE9" w:rsidRDefault="00B12793" w:rsidP="00842BD5">
            <w:pPr>
              <w:tabs>
                <w:tab w:val="decimal" w:pos="654"/>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5.51</w:t>
            </w:r>
          </w:p>
        </w:tc>
        <w:tc>
          <w:tcPr>
            <w:tcW w:w="0" w:type="auto"/>
            <w:tcBorders>
              <w:bottom w:val="nil"/>
            </w:tcBorders>
          </w:tcPr>
          <w:p w14:paraId="4CA1CD62" w14:textId="5594C195" w:rsidR="00B12793" w:rsidRPr="00FD3EE9" w:rsidRDefault="00B12793" w:rsidP="00945084">
            <w:pPr>
              <w:tabs>
                <w:tab w:val="decimal" w:pos="654"/>
              </w:tabs>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6.74</w:t>
            </w:r>
          </w:p>
        </w:tc>
        <w:tc>
          <w:tcPr>
            <w:tcW w:w="0" w:type="auto"/>
            <w:tcBorders>
              <w:bottom w:val="nil"/>
            </w:tcBorders>
          </w:tcPr>
          <w:p w14:paraId="7651061C" w14:textId="3A9FA309" w:rsidR="00B12793" w:rsidRPr="00FD3EE9" w:rsidRDefault="00B12793" w:rsidP="00842BD5">
            <w:pPr>
              <w:tabs>
                <w:tab w:val="decimal" w:pos="654"/>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2.95</w:t>
            </w:r>
          </w:p>
        </w:tc>
        <w:tc>
          <w:tcPr>
            <w:tcW w:w="1662" w:type="dxa"/>
            <w:tcBorders>
              <w:bottom w:val="nil"/>
            </w:tcBorders>
          </w:tcPr>
          <w:p w14:paraId="1D645463" w14:textId="4916F089" w:rsidR="00B12793" w:rsidRPr="00FD3EE9" w:rsidRDefault="00B12793" w:rsidP="00842BD5">
            <w:pPr>
              <w:tabs>
                <w:tab w:val="decimal" w:pos="654"/>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-3.79***</w:t>
            </w:r>
          </w:p>
        </w:tc>
        <w:tc>
          <w:tcPr>
            <w:tcW w:w="0" w:type="auto"/>
            <w:tcBorders>
              <w:bottom w:val="nil"/>
            </w:tcBorders>
          </w:tcPr>
          <w:p w14:paraId="2D062951" w14:textId="148E6D16" w:rsidR="00B12793" w:rsidRPr="00FD3EE9" w:rsidRDefault="00B12793" w:rsidP="00842BD5">
            <w:pPr>
              <w:tabs>
                <w:tab w:val="decimal" w:pos="654"/>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0.47</w:t>
            </w:r>
          </w:p>
        </w:tc>
      </w:tr>
      <w:tr w:rsidR="00B12793" w:rsidRPr="00FD3EE9" w14:paraId="79045110" w14:textId="77777777" w:rsidTr="00945084">
        <w:trPr>
          <w:cnfStyle w:val="000000100000" w:firstRow="0" w:lastRow="0" w:firstColumn="0" w:lastColumn="0" w:oddVBand="0" w:evenVBand="0" w:oddHBand="1" w:evenHBand="0" w:firstRowFirstColumn="0" w:firstRowLastColumn="0" w:lastRowFirstColumn="0" w:lastRowLastColumn="0"/>
          <w:trHeight w:hRule="exact" w:val="309"/>
          <w:jc w:val="center"/>
        </w:trPr>
        <w:tc>
          <w:tcPr>
            <w:cnfStyle w:val="001000000000" w:firstRow="0" w:lastRow="0" w:firstColumn="1" w:lastColumn="0" w:oddVBand="0" w:evenVBand="0" w:oddHBand="0" w:evenHBand="0" w:firstRowFirstColumn="0" w:firstRowLastColumn="0" w:lastRowFirstColumn="0" w:lastRowLastColumn="0"/>
            <w:tcW w:w="1497" w:type="dxa"/>
            <w:tcBorders>
              <w:top w:val="nil"/>
            </w:tcBorders>
          </w:tcPr>
          <w:p w14:paraId="222266ED" w14:textId="443E72E6" w:rsidR="00B12793" w:rsidRPr="00FD3EE9" w:rsidRDefault="00B12793" w:rsidP="00842BD5">
            <w:pPr>
              <w:ind w:firstLineChars="200" w:firstLine="400"/>
              <w:jc w:val="left"/>
              <w:rPr>
                <w:b w:val="0"/>
                <w:sz w:val="20"/>
                <w:szCs w:val="20"/>
              </w:rPr>
            </w:pPr>
            <w:r w:rsidRPr="00FD3EE9">
              <w:rPr>
                <w:b w:val="0"/>
                <w:sz w:val="20"/>
                <w:szCs w:val="20"/>
              </w:rPr>
              <w:t>N</w:t>
            </w:r>
          </w:p>
        </w:tc>
        <w:tc>
          <w:tcPr>
            <w:tcW w:w="2191" w:type="dxa"/>
            <w:gridSpan w:val="2"/>
            <w:tcBorders>
              <w:top w:val="nil"/>
            </w:tcBorders>
          </w:tcPr>
          <w:p w14:paraId="1CD3523D" w14:textId="2E0BB154" w:rsidR="00B12793" w:rsidRPr="00FD3EE9" w:rsidRDefault="00B12793" w:rsidP="00842BD5">
            <w:pPr>
              <w:tabs>
                <w:tab w:val="decimal" w:pos="654"/>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10</w:t>
            </w:r>
            <w:r w:rsidR="00F00CD4" w:rsidRPr="00FD3EE9">
              <w:rPr>
                <w:sz w:val="20"/>
                <w:szCs w:val="20"/>
              </w:rPr>
              <w:t>,</w:t>
            </w:r>
            <w:r w:rsidRPr="00FD3EE9">
              <w:rPr>
                <w:sz w:val="20"/>
                <w:szCs w:val="20"/>
              </w:rPr>
              <w:t>553</w:t>
            </w:r>
          </w:p>
        </w:tc>
        <w:tc>
          <w:tcPr>
            <w:tcW w:w="0" w:type="auto"/>
            <w:tcBorders>
              <w:top w:val="nil"/>
            </w:tcBorders>
          </w:tcPr>
          <w:p w14:paraId="7206B437" w14:textId="2199CAD2" w:rsidR="00B12793" w:rsidRPr="00FD3EE9" w:rsidRDefault="00B12793" w:rsidP="00945084">
            <w:pPr>
              <w:tabs>
                <w:tab w:val="decimal" w:pos="654"/>
              </w:tabs>
              <w:ind w:firstLineChars="300" w:firstLine="6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7</w:t>
            </w:r>
            <w:r w:rsidR="00F00CD4" w:rsidRPr="00FD3EE9">
              <w:rPr>
                <w:sz w:val="20"/>
                <w:szCs w:val="20"/>
              </w:rPr>
              <w:t>,</w:t>
            </w:r>
            <w:r w:rsidRPr="00FD3EE9">
              <w:rPr>
                <w:sz w:val="20"/>
                <w:szCs w:val="20"/>
              </w:rPr>
              <w:t>135</w:t>
            </w:r>
          </w:p>
        </w:tc>
        <w:tc>
          <w:tcPr>
            <w:tcW w:w="0" w:type="auto"/>
            <w:tcBorders>
              <w:top w:val="nil"/>
            </w:tcBorders>
          </w:tcPr>
          <w:p w14:paraId="063C9BD1" w14:textId="24069602" w:rsidR="00B12793" w:rsidRPr="00FD3EE9" w:rsidRDefault="00B12793" w:rsidP="00945084">
            <w:pPr>
              <w:tabs>
                <w:tab w:val="decimal" w:pos="654"/>
              </w:tabs>
              <w:ind w:firstLineChars="300" w:firstLine="6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3</w:t>
            </w:r>
            <w:r w:rsidR="00F00CD4" w:rsidRPr="00FD3EE9">
              <w:rPr>
                <w:sz w:val="20"/>
                <w:szCs w:val="20"/>
              </w:rPr>
              <w:t>,</w:t>
            </w:r>
            <w:r w:rsidRPr="00FD3EE9">
              <w:rPr>
                <w:sz w:val="20"/>
                <w:szCs w:val="20"/>
              </w:rPr>
              <w:t>418</w:t>
            </w:r>
          </w:p>
        </w:tc>
        <w:tc>
          <w:tcPr>
            <w:tcW w:w="1662" w:type="dxa"/>
            <w:tcBorders>
              <w:top w:val="nil"/>
            </w:tcBorders>
          </w:tcPr>
          <w:p w14:paraId="5E3261E3" w14:textId="77777777" w:rsidR="00B12793" w:rsidRPr="00FD3EE9" w:rsidRDefault="00B12793" w:rsidP="00842BD5">
            <w:pPr>
              <w:tabs>
                <w:tab w:val="decimal" w:pos="654"/>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Borders>
              <w:top w:val="nil"/>
            </w:tcBorders>
          </w:tcPr>
          <w:p w14:paraId="4DE22DD0" w14:textId="77777777" w:rsidR="00B12793" w:rsidRPr="00FD3EE9" w:rsidRDefault="00B12793" w:rsidP="00842BD5">
            <w:pPr>
              <w:tabs>
                <w:tab w:val="decimal" w:pos="654"/>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B12793" w:rsidRPr="00FD3EE9" w14:paraId="104DE270" w14:textId="77777777" w:rsidTr="00945084">
        <w:trPr>
          <w:trHeight w:val="388"/>
          <w:jc w:val="center"/>
        </w:trPr>
        <w:tc>
          <w:tcPr>
            <w:cnfStyle w:val="001000000000" w:firstRow="0" w:lastRow="0" w:firstColumn="1" w:lastColumn="0" w:oddVBand="0" w:evenVBand="0" w:oddHBand="0" w:evenHBand="0" w:firstRowFirstColumn="0" w:firstRowLastColumn="0" w:lastRowFirstColumn="0" w:lastRowLastColumn="0"/>
            <w:tcW w:w="10079" w:type="dxa"/>
            <w:gridSpan w:val="7"/>
            <w:tcBorders>
              <w:top w:val="single" w:sz="4" w:space="0" w:color="7F7F7F" w:themeColor="text1" w:themeTint="80"/>
              <w:bottom w:val="single" w:sz="4" w:space="0" w:color="7F7F7F" w:themeColor="text1" w:themeTint="80"/>
            </w:tcBorders>
          </w:tcPr>
          <w:p w14:paraId="150C34AF" w14:textId="5D844DB8" w:rsidR="00B12793" w:rsidRPr="00FD3EE9" w:rsidRDefault="00B12793" w:rsidP="00842BD5">
            <w:pPr>
              <w:ind w:firstLineChars="200" w:firstLine="400"/>
              <w:jc w:val="center"/>
              <w:rPr>
                <w:b w:val="0"/>
                <w:sz w:val="20"/>
                <w:szCs w:val="20"/>
              </w:rPr>
            </w:pPr>
            <w:r w:rsidRPr="00FD3EE9">
              <w:rPr>
                <w:b w:val="0"/>
                <w:sz w:val="20"/>
                <w:szCs w:val="20"/>
              </w:rPr>
              <w:t>Panel C: Cash Compensation (in 1000 CNY)</w:t>
            </w:r>
          </w:p>
        </w:tc>
      </w:tr>
      <w:tr w:rsidR="00945084" w:rsidRPr="00FD3EE9" w14:paraId="0DCE3C70" w14:textId="77777777" w:rsidTr="00E9285E">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992" w:type="dxa"/>
            <w:gridSpan w:val="2"/>
          </w:tcPr>
          <w:p w14:paraId="4142A9EA" w14:textId="77777777" w:rsidR="00B12793" w:rsidRPr="00FD3EE9" w:rsidRDefault="00B12793" w:rsidP="000A6696">
            <w:pPr>
              <w:rPr>
                <w:b w:val="0"/>
                <w:bCs w:val="0"/>
                <w:sz w:val="20"/>
                <w:szCs w:val="20"/>
              </w:rPr>
            </w:pPr>
          </w:p>
        </w:tc>
        <w:tc>
          <w:tcPr>
            <w:tcW w:w="1696" w:type="dxa"/>
          </w:tcPr>
          <w:p w14:paraId="357D5D09" w14:textId="119EB916" w:rsidR="00B12793" w:rsidRPr="00FD3EE9" w:rsidRDefault="00B12793" w:rsidP="000A6696">
            <w:pPr>
              <w:cnfStyle w:val="000000100000" w:firstRow="0" w:lastRow="0" w:firstColumn="0" w:lastColumn="0" w:oddVBand="0" w:evenVBand="0" w:oddHBand="1" w:evenHBand="0" w:firstRowFirstColumn="0" w:firstRowLastColumn="0" w:lastRowFirstColumn="0" w:lastRowLastColumn="0"/>
              <w:rPr>
                <w:b/>
                <w:bCs/>
                <w:sz w:val="20"/>
                <w:szCs w:val="20"/>
              </w:rPr>
            </w:pPr>
            <w:r w:rsidRPr="00FD3EE9">
              <w:rPr>
                <w:sz w:val="20"/>
                <w:szCs w:val="20"/>
              </w:rPr>
              <w:t xml:space="preserve">Full </w:t>
            </w:r>
            <w:r w:rsidR="00F00CD4" w:rsidRPr="00FD3EE9">
              <w:rPr>
                <w:sz w:val="20"/>
                <w:szCs w:val="20"/>
              </w:rPr>
              <w:t>S</w:t>
            </w:r>
            <w:r w:rsidRPr="00FD3EE9">
              <w:rPr>
                <w:sz w:val="20"/>
                <w:szCs w:val="20"/>
              </w:rPr>
              <w:t>ample</w:t>
            </w:r>
          </w:p>
        </w:tc>
        <w:tc>
          <w:tcPr>
            <w:tcW w:w="1637" w:type="dxa"/>
          </w:tcPr>
          <w:p w14:paraId="2566F2BF" w14:textId="77777777" w:rsidR="00B12793" w:rsidRPr="00FD3EE9" w:rsidRDefault="00B12793" w:rsidP="000A6696">
            <w:pPr>
              <w:ind w:firstLineChars="200" w:firstLine="400"/>
              <w:cnfStyle w:val="000000100000" w:firstRow="0" w:lastRow="0" w:firstColumn="0" w:lastColumn="0" w:oddVBand="0" w:evenVBand="0" w:oddHBand="1" w:evenHBand="0" w:firstRowFirstColumn="0" w:firstRowLastColumn="0" w:lastRowFirstColumn="0" w:lastRowLastColumn="0"/>
              <w:rPr>
                <w:b/>
                <w:bCs/>
                <w:sz w:val="20"/>
                <w:szCs w:val="20"/>
              </w:rPr>
            </w:pPr>
            <w:r w:rsidRPr="00FD3EE9">
              <w:rPr>
                <w:sz w:val="20"/>
                <w:szCs w:val="20"/>
              </w:rPr>
              <w:t>Active</w:t>
            </w:r>
          </w:p>
        </w:tc>
        <w:tc>
          <w:tcPr>
            <w:tcW w:w="1637" w:type="dxa"/>
          </w:tcPr>
          <w:p w14:paraId="797B4002" w14:textId="77777777" w:rsidR="00B12793" w:rsidRPr="00FD3EE9" w:rsidRDefault="00B12793" w:rsidP="000A6696">
            <w:pPr>
              <w:ind w:firstLineChars="200" w:firstLine="400"/>
              <w:cnfStyle w:val="000000100000" w:firstRow="0" w:lastRow="0" w:firstColumn="0" w:lastColumn="0" w:oddVBand="0" w:evenVBand="0" w:oddHBand="1" w:evenHBand="0" w:firstRowFirstColumn="0" w:firstRowLastColumn="0" w:lastRowFirstColumn="0" w:lastRowLastColumn="0"/>
              <w:rPr>
                <w:b/>
                <w:bCs/>
                <w:sz w:val="20"/>
                <w:szCs w:val="20"/>
              </w:rPr>
            </w:pPr>
            <w:r w:rsidRPr="00FD3EE9">
              <w:rPr>
                <w:sz w:val="20"/>
                <w:szCs w:val="20"/>
              </w:rPr>
              <w:t>Less Active</w:t>
            </w:r>
          </w:p>
        </w:tc>
        <w:tc>
          <w:tcPr>
            <w:tcW w:w="1662" w:type="dxa"/>
          </w:tcPr>
          <w:p w14:paraId="08537687" w14:textId="77777777" w:rsidR="00B12793" w:rsidRPr="00FD3EE9" w:rsidRDefault="00B12793" w:rsidP="000A6696">
            <w:pPr>
              <w:ind w:firstLineChars="200" w:firstLine="400"/>
              <w:cnfStyle w:val="000000100000" w:firstRow="0" w:lastRow="0" w:firstColumn="0" w:lastColumn="0" w:oddVBand="0" w:evenVBand="0" w:oddHBand="1" w:evenHBand="0" w:firstRowFirstColumn="0" w:firstRowLastColumn="0" w:lastRowFirstColumn="0" w:lastRowLastColumn="0"/>
              <w:rPr>
                <w:b/>
                <w:bCs/>
                <w:sz w:val="20"/>
                <w:szCs w:val="20"/>
              </w:rPr>
            </w:pPr>
            <w:r w:rsidRPr="00FD3EE9">
              <w:rPr>
                <w:sz w:val="20"/>
                <w:szCs w:val="20"/>
              </w:rPr>
              <w:t>Difference</w:t>
            </w:r>
          </w:p>
        </w:tc>
        <w:tc>
          <w:tcPr>
            <w:tcW w:w="1455" w:type="dxa"/>
          </w:tcPr>
          <w:p w14:paraId="04F6DECE" w14:textId="77777777" w:rsidR="00B12793" w:rsidRPr="00FD3EE9" w:rsidRDefault="00B12793" w:rsidP="000A6696">
            <w:pPr>
              <w:ind w:firstLineChars="200" w:firstLine="400"/>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Std. Error</w:t>
            </w:r>
          </w:p>
        </w:tc>
      </w:tr>
      <w:tr w:rsidR="00B12793" w:rsidRPr="00FD3EE9" w14:paraId="558A0CA2" w14:textId="77777777" w:rsidTr="00E9285E">
        <w:trPr>
          <w:trHeight w:hRule="exact" w:val="309"/>
          <w:jc w:val="center"/>
        </w:trPr>
        <w:tc>
          <w:tcPr>
            <w:cnfStyle w:val="001000000000" w:firstRow="0" w:lastRow="0" w:firstColumn="1" w:lastColumn="0" w:oddVBand="0" w:evenVBand="0" w:oddHBand="0" w:evenHBand="0" w:firstRowFirstColumn="0" w:firstRowLastColumn="0" w:lastRowFirstColumn="0" w:lastRowLastColumn="0"/>
            <w:tcW w:w="1497" w:type="dxa"/>
            <w:tcBorders>
              <w:top w:val="single" w:sz="4" w:space="0" w:color="7F7F7F" w:themeColor="text1" w:themeTint="80"/>
              <w:bottom w:val="nil"/>
            </w:tcBorders>
          </w:tcPr>
          <w:p w14:paraId="16F49365" w14:textId="3BF13F9F" w:rsidR="00B12793" w:rsidRPr="00FD3EE9" w:rsidRDefault="00B12793" w:rsidP="000F44D3">
            <w:pPr>
              <w:tabs>
                <w:tab w:val="decimal" w:pos="654"/>
              </w:tabs>
              <w:ind w:firstLineChars="200" w:firstLine="400"/>
              <w:jc w:val="left"/>
              <w:rPr>
                <w:b w:val="0"/>
                <w:sz w:val="20"/>
                <w:szCs w:val="20"/>
              </w:rPr>
            </w:pPr>
            <w:r w:rsidRPr="00FD3EE9">
              <w:rPr>
                <w:b w:val="0"/>
                <w:sz w:val="20"/>
                <w:szCs w:val="20"/>
              </w:rPr>
              <w:t>MEAN</w:t>
            </w:r>
          </w:p>
        </w:tc>
        <w:tc>
          <w:tcPr>
            <w:tcW w:w="2191" w:type="dxa"/>
            <w:gridSpan w:val="2"/>
            <w:tcBorders>
              <w:top w:val="single" w:sz="4" w:space="0" w:color="7F7F7F" w:themeColor="text1" w:themeTint="80"/>
              <w:bottom w:val="nil"/>
            </w:tcBorders>
          </w:tcPr>
          <w:p w14:paraId="3FC73FB7" w14:textId="112F451B" w:rsidR="00B12793" w:rsidRPr="00FD3EE9" w:rsidRDefault="00B12793" w:rsidP="000F44D3">
            <w:pPr>
              <w:tabs>
                <w:tab w:val="decimal" w:pos="654"/>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4</w:t>
            </w:r>
            <w:r w:rsidR="00F00CD4" w:rsidRPr="00FD3EE9">
              <w:rPr>
                <w:sz w:val="20"/>
                <w:szCs w:val="20"/>
              </w:rPr>
              <w:t>,</w:t>
            </w:r>
            <w:r w:rsidRPr="00FD3EE9">
              <w:rPr>
                <w:sz w:val="20"/>
                <w:szCs w:val="20"/>
              </w:rPr>
              <w:t>170.60</w:t>
            </w:r>
          </w:p>
        </w:tc>
        <w:tc>
          <w:tcPr>
            <w:tcW w:w="0" w:type="auto"/>
            <w:tcBorders>
              <w:top w:val="single" w:sz="4" w:space="0" w:color="7F7F7F" w:themeColor="text1" w:themeTint="80"/>
              <w:bottom w:val="nil"/>
            </w:tcBorders>
          </w:tcPr>
          <w:p w14:paraId="59E427E5" w14:textId="05047776" w:rsidR="00B12793" w:rsidRPr="00FD3EE9" w:rsidRDefault="00B12793" w:rsidP="000F44D3">
            <w:pPr>
              <w:tabs>
                <w:tab w:val="decimal" w:pos="654"/>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4</w:t>
            </w:r>
            <w:r w:rsidR="00F00CD4" w:rsidRPr="00FD3EE9">
              <w:rPr>
                <w:sz w:val="20"/>
                <w:szCs w:val="20"/>
              </w:rPr>
              <w:t>,</w:t>
            </w:r>
            <w:r w:rsidRPr="00FD3EE9">
              <w:rPr>
                <w:sz w:val="20"/>
                <w:szCs w:val="20"/>
              </w:rPr>
              <w:t>710.06</w:t>
            </w:r>
          </w:p>
        </w:tc>
        <w:tc>
          <w:tcPr>
            <w:tcW w:w="0" w:type="auto"/>
            <w:tcBorders>
              <w:top w:val="single" w:sz="4" w:space="0" w:color="7F7F7F" w:themeColor="text1" w:themeTint="80"/>
              <w:bottom w:val="nil"/>
            </w:tcBorders>
          </w:tcPr>
          <w:p w14:paraId="20DB62EC" w14:textId="7F0BB39E" w:rsidR="00B12793" w:rsidRPr="00FD3EE9" w:rsidRDefault="00B12793" w:rsidP="000F44D3">
            <w:pPr>
              <w:tabs>
                <w:tab w:val="decimal" w:pos="654"/>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3</w:t>
            </w:r>
            <w:r w:rsidR="00F00CD4" w:rsidRPr="00FD3EE9">
              <w:rPr>
                <w:sz w:val="20"/>
                <w:szCs w:val="20"/>
              </w:rPr>
              <w:t>,</w:t>
            </w:r>
            <w:r w:rsidRPr="00FD3EE9">
              <w:rPr>
                <w:sz w:val="20"/>
                <w:szCs w:val="20"/>
              </w:rPr>
              <w:t>043.25</w:t>
            </w:r>
          </w:p>
        </w:tc>
        <w:tc>
          <w:tcPr>
            <w:tcW w:w="1662" w:type="dxa"/>
            <w:tcBorders>
              <w:top w:val="single" w:sz="4" w:space="0" w:color="7F7F7F" w:themeColor="text1" w:themeTint="80"/>
              <w:bottom w:val="nil"/>
            </w:tcBorders>
          </w:tcPr>
          <w:p w14:paraId="1B6EAC56" w14:textId="58B7D27C" w:rsidR="00B12793" w:rsidRPr="00FD3EE9" w:rsidRDefault="00FB26F9" w:rsidP="000F44D3">
            <w:pPr>
              <w:tabs>
                <w:tab w:val="decimal" w:pos="654"/>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w:t>
            </w:r>
            <w:r w:rsidR="00B12793" w:rsidRPr="00FD3EE9">
              <w:rPr>
                <w:sz w:val="20"/>
                <w:szCs w:val="20"/>
              </w:rPr>
              <w:t>1</w:t>
            </w:r>
            <w:r w:rsidR="00F00CD4" w:rsidRPr="00FD3EE9">
              <w:rPr>
                <w:sz w:val="20"/>
                <w:szCs w:val="20"/>
              </w:rPr>
              <w:t>,</w:t>
            </w:r>
            <w:r w:rsidR="00B12793" w:rsidRPr="00FD3EE9">
              <w:rPr>
                <w:sz w:val="20"/>
                <w:szCs w:val="20"/>
              </w:rPr>
              <w:t>666.81***</w:t>
            </w:r>
          </w:p>
        </w:tc>
        <w:tc>
          <w:tcPr>
            <w:tcW w:w="0" w:type="auto"/>
            <w:tcBorders>
              <w:top w:val="single" w:sz="4" w:space="0" w:color="7F7F7F" w:themeColor="text1" w:themeTint="80"/>
              <w:bottom w:val="nil"/>
            </w:tcBorders>
          </w:tcPr>
          <w:p w14:paraId="7FD62658" w14:textId="21407C94" w:rsidR="00B12793" w:rsidRPr="00FD3EE9" w:rsidRDefault="00B12793" w:rsidP="000F44D3">
            <w:pPr>
              <w:tabs>
                <w:tab w:val="decimal" w:pos="654"/>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111.50</w:t>
            </w:r>
          </w:p>
        </w:tc>
      </w:tr>
      <w:tr w:rsidR="00B12793" w:rsidRPr="00FD3EE9" w14:paraId="6AF9B559" w14:textId="77777777" w:rsidTr="00E9285E">
        <w:trPr>
          <w:cnfStyle w:val="000000100000" w:firstRow="0" w:lastRow="0" w:firstColumn="0" w:lastColumn="0" w:oddVBand="0" w:evenVBand="0" w:oddHBand="1" w:evenHBand="0" w:firstRowFirstColumn="0" w:firstRowLastColumn="0" w:lastRowFirstColumn="0" w:lastRowLastColumn="0"/>
          <w:trHeight w:hRule="exact" w:val="309"/>
          <w:jc w:val="center"/>
        </w:trPr>
        <w:tc>
          <w:tcPr>
            <w:cnfStyle w:val="001000000000" w:firstRow="0" w:lastRow="0" w:firstColumn="1" w:lastColumn="0" w:oddVBand="0" w:evenVBand="0" w:oddHBand="0" w:evenHBand="0" w:firstRowFirstColumn="0" w:firstRowLastColumn="0" w:lastRowFirstColumn="0" w:lastRowLastColumn="0"/>
            <w:tcW w:w="1497" w:type="dxa"/>
            <w:tcBorders>
              <w:top w:val="nil"/>
              <w:bottom w:val="single" w:sz="4" w:space="0" w:color="auto"/>
            </w:tcBorders>
          </w:tcPr>
          <w:p w14:paraId="2C1376B3" w14:textId="312293AD" w:rsidR="00B12793" w:rsidRPr="00FD3EE9" w:rsidRDefault="00B12793" w:rsidP="000F44D3">
            <w:pPr>
              <w:tabs>
                <w:tab w:val="decimal" w:pos="654"/>
              </w:tabs>
              <w:ind w:firstLineChars="200" w:firstLine="400"/>
              <w:jc w:val="left"/>
              <w:rPr>
                <w:b w:val="0"/>
                <w:sz w:val="20"/>
                <w:szCs w:val="20"/>
              </w:rPr>
            </w:pPr>
            <w:r w:rsidRPr="00FD3EE9">
              <w:rPr>
                <w:b w:val="0"/>
                <w:sz w:val="20"/>
                <w:szCs w:val="20"/>
              </w:rPr>
              <w:t>N</w:t>
            </w:r>
          </w:p>
        </w:tc>
        <w:tc>
          <w:tcPr>
            <w:tcW w:w="2191" w:type="dxa"/>
            <w:gridSpan w:val="2"/>
            <w:tcBorders>
              <w:top w:val="nil"/>
              <w:bottom w:val="single" w:sz="4" w:space="0" w:color="auto"/>
            </w:tcBorders>
          </w:tcPr>
          <w:p w14:paraId="01BD6E53" w14:textId="5D7AD48E" w:rsidR="00B12793" w:rsidRPr="00FD3EE9" w:rsidRDefault="00B12793" w:rsidP="000F44D3">
            <w:pPr>
              <w:tabs>
                <w:tab w:val="decimal" w:pos="654"/>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10</w:t>
            </w:r>
            <w:r w:rsidR="00F00CD4" w:rsidRPr="00FD3EE9">
              <w:rPr>
                <w:sz w:val="20"/>
                <w:szCs w:val="20"/>
              </w:rPr>
              <w:t>,</w:t>
            </w:r>
            <w:r w:rsidRPr="00FD3EE9">
              <w:rPr>
                <w:sz w:val="20"/>
                <w:szCs w:val="20"/>
              </w:rPr>
              <w:t>530</w:t>
            </w:r>
          </w:p>
        </w:tc>
        <w:tc>
          <w:tcPr>
            <w:tcW w:w="0" w:type="auto"/>
            <w:tcBorders>
              <w:top w:val="nil"/>
              <w:bottom w:val="single" w:sz="4" w:space="0" w:color="auto"/>
            </w:tcBorders>
          </w:tcPr>
          <w:p w14:paraId="5B3E0998" w14:textId="1767AAAF" w:rsidR="00B12793" w:rsidRPr="00FD3EE9" w:rsidRDefault="00B12793" w:rsidP="000F44D3">
            <w:pPr>
              <w:tabs>
                <w:tab w:val="decimal" w:pos="654"/>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7</w:t>
            </w:r>
            <w:r w:rsidR="00F00CD4" w:rsidRPr="00FD3EE9">
              <w:rPr>
                <w:sz w:val="20"/>
                <w:szCs w:val="20"/>
              </w:rPr>
              <w:t>,</w:t>
            </w:r>
            <w:r w:rsidRPr="00FD3EE9">
              <w:rPr>
                <w:sz w:val="20"/>
                <w:szCs w:val="20"/>
              </w:rPr>
              <w:t>122</w:t>
            </w:r>
          </w:p>
        </w:tc>
        <w:tc>
          <w:tcPr>
            <w:tcW w:w="0" w:type="auto"/>
            <w:tcBorders>
              <w:top w:val="nil"/>
              <w:bottom w:val="single" w:sz="4" w:space="0" w:color="auto"/>
            </w:tcBorders>
          </w:tcPr>
          <w:p w14:paraId="7602E2D6" w14:textId="7EF6AF81" w:rsidR="00B12793" w:rsidRPr="00FD3EE9" w:rsidRDefault="00B12793" w:rsidP="000F44D3">
            <w:pPr>
              <w:tabs>
                <w:tab w:val="decimal" w:pos="654"/>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3</w:t>
            </w:r>
            <w:r w:rsidR="00F00CD4" w:rsidRPr="00FD3EE9">
              <w:rPr>
                <w:sz w:val="20"/>
                <w:szCs w:val="20"/>
              </w:rPr>
              <w:t>,</w:t>
            </w:r>
            <w:r w:rsidRPr="00FD3EE9">
              <w:rPr>
                <w:sz w:val="20"/>
                <w:szCs w:val="20"/>
              </w:rPr>
              <w:t>408</w:t>
            </w:r>
          </w:p>
        </w:tc>
        <w:tc>
          <w:tcPr>
            <w:tcW w:w="1662" w:type="dxa"/>
            <w:tcBorders>
              <w:top w:val="nil"/>
              <w:bottom w:val="single" w:sz="4" w:space="0" w:color="auto"/>
            </w:tcBorders>
          </w:tcPr>
          <w:p w14:paraId="67C51BAF" w14:textId="77777777" w:rsidR="00B12793" w:rsidRPr="00FD3EE9" w:rsidRDefault="00B12793" w:rsidP="000F44D3">
            <w:pPr>
              <w:tabs>
                <w:tab w:val="decimal" w:pos="654"/>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Borders>
              <w:top w:val="nil"/>
              <w:bottom w:val="single" w:sz="4" w:space="0" w:color="auto"/>
            </w:tcBorders>
          </w:tcPr>
          <w:p w14:paraId="0FC3F0CE" w14:textId="77777777" w:rsidR="00B12793" w:rsidRPr="00FD3EE9" w:rsidRDefault="00B12793" w:rsidP="000F44D3">
            <w:pPr>
              <w:tabs>
                <w:tab w:val="decimal" w:pos="654"/>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p>
        </w:tc>
      </w:tr>
    </w:tbl>
    <w:p w14:paraId="20B6F5FE" w14:textId="68D5C237" w:rsidR="00E9285E" w:rsidRPr="00FD3EE9" w:rsidRDefault="00E9285E" w:rsidP="00E9285E">
      <w:pPr>
        <w:rPr>
          <w:sz w:val="21"/>
        </w:rPr>
      </w:pPr>
      <w:r w:rsidRPr="00FD3EE9">
        <w:rPr>
          <w:sz w:val="21"/>
        </w:rPr>
        <w:t xml:space="preserve">Note: Table </w:t>
      </w:r>
      <w:r w:rsidR="00B73BE8" w:rsidRPr="00FD3EE9">
        <w:rPr>
          <w:sz w:val="21"/>
        </w:rPr>
        <w:t>5</w:t>
      </w:r>
      <w:r w:rsidRPr="00FD3EE9">
        <w:rPr>
          <w:sz w:val="21"/>
        </w:rPr>
        <w:t xml:space="preserve"> reports three types of executive compensation in the two subgroups, active acquiring firms and less active ones. We divide the sample according to the average number of acquisitions they conducted during the 10-year sample period. A firm is defined as an active acquirer if it undertook more than five acquisitions in the sample period. Panel A compares managerial stock ownership in the two groups. Results show that managers in less active acquiring firms own more firm equity than those in the active group. By contrast, Panel B shows that managers of less active acquiring firms have lower levels of stock option pay in their compensation package than those in the active group. The difference is also statistically significant. Similarly, Panel C shows the difference of cash compensation in the two groups. Less acquiring firms pay significantly lower cash pay than active acquiring firms. </w:t>
      </w:r>
    </w:p>
    <w:p w14:paraId="2607D490" w14:textId="77777777" w:rsidR="00E9285E" w:rsidRPr="00FD3EE9" w:rsidRDefault="00E9285E" w:rsidP="00E9285E">
      <w:pPr>
        <w:jc w:val="left"/>
      </w:pPr>
    </w:p>
    <w:p w14:paraId="3ED3A575" w14:textId="72169C87" w:rsidR="00E9285E" w:rsidRPr="00FD3EE9" w:rsidRDefault="00E9285E" w:rsidP="00842BD5">
      <w:pPr>
        <w:widowControl/>
        <w:ind w:firstLineChars="200" w:firstLine="480"/>
        <w:jc w:val="left"/>
      </w:pPr>
    </w:p>
    <w:p w14:paraId="687FDD21" w14:textId="0C531F05" w:rsidR="00E9285E" w:rsidRPr="00FD3EE9" w:rsidRDefault="00E9285E" w:rsidP="00842BD5">
      <w:pPr>
        <w:widowControl/>
        <w:ind w:firstLineChars="200" w:firstLine="480"/>
        <w:jc w:val="left"/>
      </w:pPr>
    </w:p>
    <w:p w14:paraId="6BD9C919" w14:textId="1D04AC76" w:rsidR="00E9285E" w:rsidRPr="00FD3EE9" w:rsidRDefault="00E9285E" w:rsidP="00842BD5">
      <w:pPr>
        <w:widowControl/>
        <w:ind w:firstLineChars="200" w:firstLine="480"/>
        <w:jc w:val="left"/>
      </w:pPr>
    </w:p>
    <w:p w14:paraId="5758DF64" w14:textId="077EE5D5" w:rsidR="00E9285E" w:rsidRPr="00FD3EE9" w:rsidRDefault="00E9285E" w:rsidP="00842BD5">
      <w:pPr>
        <w:widowControl/>
        <w:ind w:firstLineChars="200" w:firstLine="480"/>
        <w:jc w:val="left"/>
      </w:pPr>
    </w:p>
    <w:p w14:paraId="2A43E270" w14:textId="0952B629" w:rsidR="00E9285E" w:rsidRPr="00FD3EE9" w:rsidRDefault="00E9285E" w:rsidP="00842BD5">
      <w:pPr>
        <w:widowControl/>
        <w:ind w:firstLineChars="200" w:firstLine="480"/>
        <w:jc w:val="left"/>
      </w:pPr>
    </w:p>
    <w:p w14:paraId="452303B5" w14:textId="6B521529" w:rsidR="00E9285E" w:rsidRPr="00FD3EE9" w:rsidRDefault="00E9285E" w:rsidP="00842BD5">
      <w:pPr>
        <w:widowControl/>
        <w:ind w:firstLineChars="200" w:firstLine="480"/>
        <w:jc w:val="left"/>
      </w:pPr>
    </w:p>
    <w:p w14:paraId="4702C100" w14:textId="4FB3079F" w:rsidR="00E9285E" w:rsidRPr="00FD3EE9" w:rsidRDefault="00E9285E" w:rsidP="00842BD5">
      <w:pPr>
        <w:widowControl/>
        <w:ind w:firstLineChars="200" w:firstLine="480"/>
        <w:jc w:val="left"/>
      </w:pPr>
    </w:p>
    <w:p w14:paraId="22384ACF" w14:textId="649ABE30" w:rsidR="00E9285E" w:rsidRPr="00FD3EE9" w:rsidRDefault="00E9285E" w:rsidP="00842BD5">
      <w:pPr>
        <w:widowControl/>
        <w:ind w:firstLineChars="200" w:firstLine="480"/>
        <w:jc w:val="left"/>
      </w:pPr>
    </w:p>
    <w:p w14:paraId="1F7F3339" w14:textId="77777777" w:rsidR="00E9285E" w:rsidRPr="00FD3EE9" w:rsidRDefault="00E9285E" w:rsidP="00842BD5">
      <w:pPr>
        <w:widowControl/>
        <w:ind w:firstLineChars="200" w:firstLine="480"/>
        <w:jc w:val="left"/>
      </w:pPr>
    </w:p>
    <w:p w14:paraId="27B8A820" w14:textId="77777777" w:rsidR="00E9285E" w:rsidRPr="00FD3EE9" w:rsidRDefault="00E9285E" w:rsidP="00842BD5">
      <w:pPr>
        <w:widowControl/>
        <w:ind w:firstLineChars="200" w:firstLine="480"/>
        <w:jc w:val="left"/>
      </w:pPr>
    </w:p>
    <w:p w14:paraId="3DC208BA" w14:textId="1305651E" w:rsidR="002469FA" w:rsidRPr="00FD3EE9" w:rsidRDefault="00EF1F9E" w:rsidP="00842BD5">
      <w:pPr>
        <w:ind w:firstLineChars="200" w:firstLine="482"/>
        <w:jc w:val="center"/>
        <w:rPr>
          <w:b/>
        </w:rPr>
      </w:pPr>
      <w:r w:rsidRPr="00FD3EE9">
        <w:rPr>
          <w:b/>
        </w:rPr>
        <w:lastRenderedPageBreak/>
        <w:t>Table 6</w:t>
      </w:r>
      <w:r w:rsidR="001F232C" w:rsidRPr="00FD3EE9">
        <w:rPr>
          <w:b/>
        </w:rPr>
        <w:t xml:space="preserve">: Post-acquisition </w:t>
      </w:r>
      <w:r w:rsidR="00F00CD4" w:rsidRPr="00FD3EE9">
        <w:rPr>
          <w:b/>
        </w:rPr>
        <w:t>P</w:t>
      </w:r>
      <w:r w:rsidR="001F232C" w:rsidRPr="00FD3EE9">
        <w:rPr>
          <w:b/>
        </w:rPr>
        <w:t xml:space="preserve">erformance </w:t>
      </w:r>
      <w:r w:rsidR="00F00CD4" w:rsidRPr="00FD3EE9">
        <w:rPr>
          <w:b/>
        </w:rPr>
        <w:t>C</w:t>
      </w:r>
      <w:r w:rsidR="001F232C" w:rsidRPr="00FD3EE9">
        <w:rPr>
          <w:b/>
        </w:rPr>
        <w:t xml:space="preserve">ategorized by </w:t>
      </w:r>
      <w:r w:rsidR="00F00CD4" w:rsidRPr="00FD3EE9">
        <w:rPr>
          <w:b/>
        </w:rPr>
        <w:t>F</w:t>
      </w:r>
      <w:r w:rsidR="001F232C" w:rsidRPr="00FD3EE9">
        <w:rPr>
          <w:b/>
        </w:rPr>
        <w:t xml:space="preserve">requency of </w:t>
      </w:r>
      <w:r w:rsidR="00F00CD4" w:rsidRPr="00FD3EE9">
        <w:rPr>
          <w:b/>
        </w:rPr>
        <w:t>M</w:t>
      </w:r>
      <w:r w:rsidR="001F232C" w:rsidRPr="00FD3EE9">
        <w:rPr>
          <w:b/>
        </w:rPr>
        <w:t xml:space="preserve">aking </w:t>
      </w:r>
      <w:r w:rsidR="00F00CD4" w:rsidRPr="00FD3EE9">
        <w:rPr>
          <w:b/>
        </w:rPr>
        <w:t>A</w:t>
      </w:r>
      <w:r w:rsidR="001F232C" w:rsidRPr="00FD3EE9">
        <w:rPr>
          <w:b/>
        </w:rPr>
        <w:t>cquisitions</w:t>
      </w:r>
    </w:p>
    <w:tbl>
      <w:tblPr>
        <w:tblStyle w:val="21"/>
        <w:tblW w:w="0" w:type="auto"/>
        <w:jc w:val="center"/>
        <w:tblLook w:val="04A0" w:firstRow="1" w:lastRow="0" w:firstColumn="1" w:lastColumn="0" w:noHBand="0" w:noVBand="1"/>
      </w:tblPr>
      <w:tblGrid>
        <w:gridCol w:w="1187"/>
        <w:gridCol w:w="1418"/>
        <w:gridCol w:w="1418"/>
        <w:gridCol w:w="1418"/>
        <w:gridCol w:w="1743"/>
        <w:gridCol w:w="1425"/>
      </w:tblGrid>
      <w:tr w:rsidR="001F232C" w:rsidRPr="00FD3EE9" w14:paraId="35B3ABD0" w14:textId="77777777" w:rsidTr="007624F0">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8609" w:type="dxa"/>
            <w:gridSpan w:val="6"/>
            <w:tcBorders>
              <w:top w:val="single" w:sz="4" w:space="0" w:color="7F7F7F" w:themeColor="text1" w:themeTint="80"/>
            </w:tcBorders>
          </w:tcPr>
          <w:p w14:paraId="3587CC41" w14:textId="2594E76C" w:rsidR="001F232C" w:rsidRPr="00FD3EE9" w:rsidRDefault="001F232C" w:rsidP="00842BD5">
            <w:pPr>
              <w:ind w:firstLineChars="200" w:firstLine="400"/>
              <w:jc w:val="center"/>
              <w:rPr>
                <w:b w:val="0"/>
                <w:sz w:val="20"/>
                <w:szCs w:val="20"/>
              </w:rPr>
            </w:pPr>
            <w:r w:rsidRPr="00FD3EE9">
              <w:rPr>
                <w:b w:val="0"/>
                <w:sz w:val="20"/>
                <w:szCs w:val="20"/>
              </w:rPr>
              <w:t xml:space="preserve">Panel A: Five-day (-2, +2) CARs </w:t>
            </w:r>
            <w:r w:rsidR="00F00CD4" w:rsidRPr="00FD3EE9">
              <w:rPr>
                <w:b w:val="0"/>
                <w:sz w:val="20"/>
                <w:szCs w:val="20"/>
              </w:rPr>
              <w:t xml:space="preserve">Categorized </w:t>
            </w:r>
            <w:r w:rsidRPr="00FD3EE9">
              <w:rPr>
                <w:b w:val="0"/>
                <w:sz w:val="20"/>
                <w:szCs w:val="20"/>
              </w:rPr>
              <w:t xml:space="preserve">by </w:t>
            </w:r>
            <w:r w:rsidR="00F00CD4" w:rsidRPr="00FD3EE9">
              <w:rPr>
                <w:b w:val="0"/>
                <w:sz w:val="20"/>
                <w:szCs w:val="20"/>
              </w:rPr>
              <w:t>F</w:t>
            </w:r>
            <w:r w:rsidRPr="00FD3EE9">
              <w:rPr>
                <w:b w:val="0"/>
                <w:sz w:val="20"/>
                <w:szCs w:val="20"/>
              </w:rPr>
              <w:t xml:space="preserve">requency of </w:t>
            </w:r>
            <w:r w:rsidR="00F00CD4" w:rsidRPr="00FD3EE9">
              <w:rPr>
                <w:b w:val="0"/>
                <w:sz w:val="20"/>
                <w:szCs w:val="20"/>
              </w:rPr>
              <w:t>M</w:t>
            </w:r>
            <w:r w:rsidRPr="00FD3EE9">
              <w:rPr>
                <w:b w:val="0"/>
                <w:sz w:val="20"/>
                <w:szCs w:val="20"/>
              </w:rPr>
              <w:t xml:space="preserve">aking </w:t>
            </w:r>
            <w:r w:rsidR="00F00CD4" w:rsidRPr="00FD3EE9">
              <w:rPr>
                <w:b w:val="0"/>
                <w:sz w:val="20"/>
                <w:szCs w:val="20"/>
              </w:rPr>
              <w:t>A</w:t>
            </w:r>
            <w:r w:rsidRPr="00FD3EE9">
              <w:rPr>
                <w:b w:val="0"/>
                <w:sz w:val="20"/>
                <w:szCs w:val="20"/>
              </w:rPr>
              <w:t>cquisitions</w:t>
            </w:r>
          </w:p>
        </w:tc>
      </w:tr>
      <w:tr w:rsidR="001F232C" w:rsidRPr="00FD3EE9" w14:paraId="1BCFCBC4" w14:textId="77777777" w:rsidTr="00A036F8">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187" w:type="dxa"/>
          </w:tcPr>
          <w:p w14:paraId="48D30801" w14:textId="77777777" w:rsidR="001F232C" w:rsidRPr="00FD3EE9" w:rsidRDefault="001F232C" w:rsidP="00842BD5">
            <w:pPr>
              <w:ind w:firstLineChars="200" w:firstLine="402"/>
              <w:rPr>
                <w:sz w:val="20"/>
                <w:szCs w:val="20"/>
              </w:rPr>
            </w:pPr>
          </w:p>
        </w:tc>
        <w:tc>
          <w:tcPr>
            <w:tcW w:w="1418" w:type="dxa"/>
          </w:tcPr>
          <w:p w14:paraId="62E6E61A" w14:textId="5C7ED520" w:rsidR="001F232C" w:rsidRPr="00FD3EE9" w:rsidRDefault="001F232C" w:rsidP="006E1A7A">
            <w:pPr>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 xml:space="preserve">Full </w:t>
            </w:r>
            <w:r w:rsidR="00F00CD4" w:rsidRPr="00FD3EE9">
              <w:rPr>
                <w:sz w:val="20"/>
                <w:szCs w:val="20"/>
              </w:rPr>
              <w:t>S</w:t>
            </w:r>
            <w:r w:rsidRPr="00FD3EE9">
              <w:rPr>
                <w:sz w:val="20"/>
                <w:szCs w:val="20"/>
              </w:rPr>
              <w:t>ample</w:t>
            </w:r>
          </w:p>
        </w:tc>
        <w:tc>
          <w:tcPr>
            <w:tcW w:w="1418" w:type="dxa"/>
          </w:tcPr>
          <w:p w14:paraId="4F16682F" w14:textId="6FD33658" w:rsidR="001F232C" w:rsidRPr="00FD3EE9" w:rsidRDefault="001F232C" w:rsidP="006E1A7A">
            <w:pPr>
              <w:ind w:firstLineChars="150" w:firstLine="300"/>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Active</w:t>
            </w:r>
          </w:p>
        </w:tc>
        <w:tc>
          <w:tcPr>
            <w:tcW w:w="1418" w:type="dxa"/>
          </w:tcPr>
          <w:p w14:paraId="29A7ACC4" w14:textId="14D8C0FD" w:rsidR="001F232C" w:rsidRPr="00FD3EE9" w:rsidRDefault="001F232C" w:rsidP="006E1A7A">
            <w:pPr>
              <w:ind w:firstLineChars="100" w:firstLine="200"/>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Less Active</w:t>
            </w:r>
          </w:p>
        </w:tc>
        <w:tc>
          <w:tcPr>
            <w:tcW w:w="1743" w:type="dxa"/>
          </w:tcPr>
          <w:p w14:paraId="209B9EF1" w14:textId="5A70567E" w:rsidR="001F232C" w:rsidRPr="00FD3EE9" w:rsidRDefault="001F232C" w:rsidP="00842BD5">
            <w:pPr>
              <w:ind w:firstLineChars="200" w:firstLine="400"/>
              <w:jc w:val="center"/>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Difference</w:t>
            </w:r>
          </w:p>
        </w:tc>
        <w:tc>
          <w:tcPr>
            <w:tcW w:w="1425" w:type="dxa"/>
          </w:tcPr>
          <w:p w14:paraId="0D2D3ED3" w14:textId="22B2FC89" w:rsidR="001F232C" w:rsidRPr="00FD3EE9" w:rsidRDefault="001F232C" w:rsidP="00842BD5">
            <w:pPr>
              <w:ind w:firstLineChars="200" w:firstLine="400"/>
              <w:jc w:val="center"/>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Std. Error</w:t>
            </w:r>
          </w:p>
        </w:tc>
      </w:tr>
      <w:tr w:rsidR="001F232C" w:rsidRPr="00FD3EE9" w14:paraId="4160F301" w14:textId="77777777" w:rsidTr="00A036F8">
        <w:trPr>
          <w:trHeight w:hRule="exact" w:val="322"/>
          <w:jc w:val="center"/>
        </w:trPr>
        <w:tc>
          <w:tcPr>
            <w:cnfStyle w:val="001000000000" w:firstRow="0" w:lastRow="0" w:firstColumn="1" w:lastColumn="0" w:oddVBand="0" w:evenVBand="0" w:oddHBand="0" w:evenHBand="0" w:firstRowFirstColumn="0" w:firstRowLastColumn="0" w:lastRowFirstColumn="0" w:lastRowLastColumn="0"/>
            <w:tcW w:w="1187" w:type="dxa"/>
            <w:tcBorders>
              <w:top w:val="single" w:sz="4" w:space="0" w:color="7F7F7F" w:themeColor="text1" w:themeTint="80"/>
              <w:bottom w:val="nil"/>
            </w:tcBorders>
          </w:tcPr>
          <w:p w14:paraId="0DC8F101" w14:textId="508093E1" w:rsidR="001F232C" w:rsidRPr="00FD3EE9" w:rsidRDefault="001F232C" w:rsidP="00842BD5">
            <w:pPr>
              <w:ind w:firstLineChars="200" w:firstLine="400"/>
              <w:rPr>
                <w:b w:val="0"/>
                <w:sz w:val="20"/>
                <w:szCs w:val="20"/>
              </w:rPr>
            </w:pPr>
            <w:r w:rsidRPr="00FD3EE9">
              <w:rPr>
                <w:b w:val="0"/>
                <w:sz w:val="20"/>
                <w:szCs w:val="20"/>
              </w:rPr>
              <w:t>CAR</w:t>
            </w:r>
          </w:p>
        </w:tc>
        <w:tc>
          <w:tcPr>
            <w:tcW w:w="1418" w:type="dxa"/>
            <w:tcBorders>
              <w:top w:val="single" w:sz="4" w:space="0" w:color="7F7F7F" w:themeColor="text1" w:themeTint="80"/>
              <w:bottom w:val="nil"/>
            </w:tcBorders>
          </w:tcPr>
          <w:p w14:paraId="70D25BD2" w14:textId="4F10639B" w:rsidR="001F232C" w:rsidRPr="00FD3EE9" w:rsidRDefault="00CB5AA3" w:rsidP="00842BD5">
            <w:pPr>
              <w:tabs>
                <w:tab w:val="decimal" w:pos="581"/>
              </w:tabs>
              <w:ind w:firstLineChars="200" w:firstLine="400"/>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0.01</w:t>
            </w:r>
          </w:p>
        </w:tc>
        <w:tc>
          <w:tcPr>
            <w:tcW w:w="1418" w:type="dxa"/>
            <w:tcBorders>
              <w:top w:val="single" w:sz="4" w:space="0" w:color="7F7F7F" w:themeColor="text1" w:themeTint="80"/>
              <w:bottom w:val="nil"/>
            </w:tcBorders>
          </w:tcPr>
          <w:p w14:paraId="51198ACA" w14:textId="42CA1D0E" w:rsidR="001F232C" w:rsidRPr="00FD3EE9" w:rsidRDefault="00CB5AA3" w:rsidP="00842BD5">
            <w:pPr>
              <w:tabs>
                <w:tab w:val="decimal" w:pos="581"/>
              </w:tabs>
              <w:ind w:firstLineChars="200" w:firstLine="400"/>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0.01</w:t>
            </w:r>
          </w:p>
        </w:tc>
        <w:tc>
          <w:tcPr>
            <w:tcW w:w="1418" w:type="dxa"/>
            <w:tcBorders>
              <w:top w:val="single" w:sz="4" w:space="0" w:color="7F7F7F" w:themeColor="text1" w:themeTint="80"/>
              <w:bottom w:val="nil"/>
            </w:tcBorders>
          </w:tcPr>
          <w:p w14:paraId="5BEE38D4" w14:textId="5EC98391" w:rsidR="001F232C" w:rsidRPr="00FD3EE9" w:rsidRDefault="00CB5AA3" w:rsidP="00842BD5">
            <w:pPr>
              <w:tabs>
                <w:tab w:val="decimal" w:pos="581"/>
              </w:tabs>
              <w:ind w:firstLineChars="200" w:firstLine="400"/>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0.02</w:t>
            </w:r>
          </w:p>
        </w:tc>
        <w:tc>
          <w:tcPr>
            <w:tcW w:w="1743" w:type="dxa"/>
            <w:tcBorders>
              <w:top w:val="single" w:sz="4" w:space="0" w:color="7F7F7F" w:themeColor="text1" w:themeTint="80"/>
              <w:bottom w:val="nil"/>
            </w:tcBorders>
          </w:tcPr>
          <w:p w14:paraId="5D0707DD" w14:textId="73C93793" w:rsidR="001F232C" w:rsidRPr="00FD3EE9" w:rsidRDefault="00CB5AA3" w:rsidP="00842BD5">
            <w:pPr>
              <w:tabs>
                <w:tab w:val="decimal" w:pos="581"/>
              </w:tabs>
              <w:ind w:firstLineChars="200" w:firstLine="400"/>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0.01***</w:t>
            </w:r>
          </w:p>
        </w:tc>
        <w:tc>
          <w:tcPr>
            <w:tcW w:w="1425" w:type="dxa"/>
            <w:tcBorders>
              <w:top w:val="single" w:sz="4" w:space="0" w:color="7F7F7F" w:themeColor="text1" w:themeTint="80"/>
              <w:bottom w:val="nil"/>
            </w:tcBorders>
          </w:tcPr>
          <w:p w14:paraId="71C583DF" w14:textId="096603CF" w:rsidR="001F232C" w:rsidRPr="00FD3EE9" w:rsidRDefault="00CB5AA3" w:rsidP="00842BD5">
            <w:pPr>
              <w:tabs>
                <w:tab w:val="decimal" w:pos="581"/>
              </w:tabs>
              <w:ind w:firstLineChars="200" w:firstLine="400"/>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w:t>
            </w:r>
          </w:p>
        </w:tc>
      </w:tr>
      <w:tr w:rsidR="001F232C" w:rsidRPr="00FD3EE9" w14:paraId="0BA63588" w14:textId="77777777" w:rsidTr="00A036F8">
        <w:trPr>
          <w:cnfStyle w:val="000000100000" w:firstRow="0" w:lastRow="0" w:firstColumn="0" w:lastColumn="0" w:oddVBand="0" w:evenVBand="0" w:oddHBand="1" w:evenHBand="0" w:firstRowFirstColumn="0" w:firstRowLastColumn="0" w:lastRowFirstColumn="0" w:lastRowLastColumn="0"/>
          <w:trHeight w:hRule="exact" w:val="322"/>
          <w:jc w:val="center"/>
        </w:trPr>
        <w:tc>
          <w:tcPr>
            <w:cnfStyle w:val="001000000000" w:firstRow="0" w:lastRow="0" w:firstColumn="1" w:lastColumn="0" w:oddVBand="0" w:evenVBand="0" w:oddHBand="0" w:evenHBand="0" w:firstRowFirstColumn="0" w:firstRowLastColumn="0" w:lastRowFirstColumn="0" w:lastRowLastColumn="0"/>
            <w:tcW w:w="1187" w:type="dxa"/>
            <w:tcBorders>
              <w:top w:val="nil"/>
            </w:tcBorders>
          </w:tcPr>
          <w:p w14:paraId="3F5743E8" w14:textId="6FB5FB92" w:rsidR="001F232C" w:rsidRPr="00FD3EE9" w:rsidRDefault="001F232C" w:rsidP="00842BD5">
            <w:pPr>
              <w:ind w:firstLineChars="200" w:firstLine="400"/>
              <w:rPr>
                <w:b w:val="0"/>
                <w:sz w:val="20"/>
                <w:szCs w:val="20"/>
              </w:rPr>
            </w:pPr>
            <w:r w:rsidRPr="00FD3EE9">
              <w:rPr>
                <w:b w:val="0"/>
                <w:sz w:val="20"/>
                <w:szCs w:val="20"/>
              </w:rPr>
              <w:t>N</w:t>
            </w:r>
          </w:p>
        </w:tc>
        <w:tc>
          <w:tcPr>
            <w:tcW w:w="1418" w:type="dxa"/>
            <w:tcBorders>
              <w:top w:val="nil"/>
            </w:tcBorders>
          </w:tcPr>
          <w:p w14:paraId="11D4ED42" w14:textId="7FC87F71" w:rsidR="001F232C" w:rsidRPr="00FD3EE9" w:rsidRDefault="00CB5AA3" w:rsidP="006E1A7A">
            <w:pPr>
              <w:tabs>
                <w:tab w:val="decimal" w:pos="581"/>
              </w:tabs>
              <w:ind w:firstLineChars="300" w:firstLine="600"/>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9</w:t>
            </w:r>
            <w:r w:rsidR="00F00CD4" w:rsidRPr="00FD3EE9">
              <w:rPr>
                <w:sz w:val="20"/>
                <w:szCs w:val="20"/>
              </w:rPr>
              <w:t>,</w:t>
            </w:r>
            <w:r w:rsidRPr="00FD3EE9">
              <w:rPr>
                <w:sz w:val="20"/>
                <w:szCs w:val="20"/>
              </w:rPr>
              <w:t>166</w:t>
            </w:r>
          </w:p>
        </w:tc>
        <w:tc>
          <w:tcPr>
            <w:tcW w:w="1418" w:type="dxa"/>
            <w:tcBorders>
              <w:top w:val="nil"/>
            </w:tcBorders>
          </w:tcPr>
          <w:p w14:paraId="309EA584" w14:textId="49CDFFBF" w:rsidR="001F232C" w:rsidRPr="00FD3EE9" w:rsidRDefault="00CB5AA3" w:rsidP="00842BD5">
            <w:pPr>
              <w:tabs>
                <w:tab w:val="decimal" w:pos="581"/>
              </w:tabs>
              <w:ind w:firstLineChars="200" w:firstLine="400"/>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6</w:t>
            </w:r>
            <w:r w:rsidR="00F00CD4" w:rsidRPr="00FD3EE9">
              <w:rPr>
                <w:sz w:val="20"/>
                <w:szCs w:val="20"/>
              </w:rPr>
              <w:t>,</w:t>
            </w:r>
            <w:r w:rsidRPr="00FD3EE9">
              <w:rPr>
                <w:sz w:val="20"/>
                <w:szCs w:val="20"/>
              </w:rPr>
              <w:t>278</w:t>
            </w:r>
          </w:p>
        </w:tc>
        <w:tc>
          <w:tcPr>
            <w:tcW w:w="1418" w:type="dxa"/>
            <w:tcBorders>
              <w:top w:val="nil"/>
            </w:tcBorders>
          </w:tcPr>
          <w:p w14:paraId="514076B1" w14:textId="7ED9193A" w:rsidR="001F232C" w:rsidRPr="00FD3EE9" w:rsidRDefault="00CB5AA3" w:rsidP="00842BD5">
            <w:pPr>
              <w:tabs>
                <w:tab w:val="decimal" w:pos="581"/>
              </w:tabs>
              <w:ind w:firstLineChars="200" w:firstLine="400"/>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2</w:t>
            </w:r>
            <w:r w:rsidR="00F00CD4" w:rsidRPr="00FD3EE9">
              <w:rPr>
                <w:sz w:val="20"/>
                <w:szCs w:val="20"/>
              </w:rPr>
              <w:t>,</w:t>
            </w:r>
            <w:r w:rsidRPr="00FD3EE9">
              <w:rPr>
                <w:sz w:val="20"/>
                <w:szCs w:val="20"/>
              </w:rPr>
              <w:t>888</w:t>
            </w:r>
          </w:p>
        </w:tc>
        <w:tc>
          <w:tcPr>
            <w:tcW w:w="1743" w:type="dxa"/>
            <w:tcBorders>
              <w:top w:val="nil"/>
            </w:tcBorders>
          </w:tcPr>
          <w:p w14:paraId="311657EB" w14:textId="77777777" w:rsidR="001F232C" w:rsidRPr="00FD3EE9" w:rsidRDefault="001F232C" w:rsidP="00842BD5">
            <w:pPr>
              <w:tabs>
                <w:tab w:val="decimal" w:pos="581"/>
              </w:tabs>
              <w:ind w:firstLineChars="200" w:firstLine="400"/>
              <w:cnfStyle w:val="000000100000" w:firstRow="0" w:lastRow="0" w:firstColumn="0" w:lastColumn="0" w:oddVBand="0" w:evenVBand="0" w:oddHBand="1" w:evenHBand="0" w:firstRowFirstColumn="0" w:firstRowLastColumn="0" w:lastRowFirstColumn="0" w:lastRowLastColumn="0"/>
              <w:rPr>
                <w:sz w:val="20"/>
                <w:szCs w:val="20"/>
              </w:rPr>
            </w:pPr>
          </w:p>
        </w:tc>
        <w:tc>
          <w:tcPr>
            <w:tcW w:w="1425" w:type="dxa"/>
            <w:tcBorders>
              <w:top w:val="nil"/>
            </w:tcBorders>
          </w:tcPr>
          <w:p w14:paraId="41379043" w14:textId="77777777" w:rsidR="001F232C" w:rsidRPr="00FD3EE9" w:rsidRDefault="001F232C" w:rsidP="00842BD5">
            <w:pPr>
              <w:tabs>
                <w:tab w:val="decimal" w:pos="581"/>
              </w:tabs>
              <w:ind w:firstLineChars="200" w:firstLine="400"/>
              <w:cnfStyle w:val="000000100000" w:firstRow="0" w:lastRow="0" w:firstColumn="0" w:lastColumn="0" w:oddVBand="0" w:evenVBand="0" w:oddHBand="1" w:evenHBand="0" w:firstRowFirstColumn="0" w:firstRowLastColumn="0" w:lastRowFirstColumn="0" w:lastRowLastColumn="0"/>
              <w:rPr>
                <w:sz w:val="20"/>
                <w:szCs w:val="20"/>
              </w:rPr>
            </w:pPr>
          </w:p>
        </w:tc>
      </w:tr>
      <w:tr w:rsidR="00CB5AA3" w:rsidRPr="00FD3EE9" w14:paraId="494AFE32" w14:textId="77777777" w:rsidTr="007624F0">
        <w:trPr>
          <w:trHeight w:val="403"/>
          <w:jc w:val="center"/>
        </w:trPr>
        <w:tc>
          <w:tcPr>
            <w:cnfStyle w:val="001000000000" w:firstRow="0" w:lastRow="0" w:firstColumn="1" w:lastColumn="0" w:oddVBand="0" w:evenVBand="0" w:oddHBand="0" w:evenHBand="0" w:firstRowFirstColumn="0" w:firstRowLastColumn="0" w:lastRowFirstColumn="0" w:lastRowLastColumn="0"/>
            <w:tcW w:w="8609" w:type="dxa"/>
            <w:gridSpan w:val="6"/>
          </w:tcPr>
          <w:p w14:paraId="033FFFF5" w14:textId="337FE831" w:rsidR="00CB5AA3" w:rsidRPr="00FD3EE9" w:rsidRDefault="00CB5AA3" w:rsidP="00842BD5">
            <w:pPr>
              <w:ind w:firstLineChars="200" w:firstLine="400"/>
              <w:jc w:val="center"/>
              <w:rPr>
                <w:b w:val="0"/>
                <w:sz w:val="20"/>
                <w:szCs w:val="20"/>
              </w:rPr>
            </w:pPr>
            <w:r w:rsidRPr="00FD3EE9">
              <w:rPr>
                <w:b w:val="0"/>
                <w:sz w:val="20"/>
                <w:szCs w:val="20"/>
              </w:rPr>
              <w:t xml:space="preserve">Panel B: Three-year BHRs </w:t>
            </w:r>
            <w:r w:rsidR="00F00CD4" w:rsidRPr="00FD3EE9">
              <w:rPr>
                <w:b w:val="0"/>
                <w:sz w:val="20"/>
                <w:szCs w:val="20"/>
              </w:rPr>
              <w:t>C</w:t>
            </w:r>
            <w:r w:rsidRPr="00FD3EE9">
              <w:rPr>
                <w:b w:val="0"/>
                <w:sz w:val="20"/>
                <w:szCs w:val="20"/>
              </w:rPr>
              <w:t xml:space="preserve">ategorized by </w:t>
            </w:r>
            <w:r w:rsidR="00F00CD4" w:rsidRPr="00FD3EE9">
              <w:rPr>
                <w:b w:val="0"/>
                <w:sz w:val="20"/>
                <w:szCs w:val="20"/>
              </w:rPr>
              <w:t>F</w:t>
            </w:r>
            <w:r w:rsidRPr="00FD3EE9">
              <w:rPr>
                <w:b w:val="0"/>
                <w:sz w:val="20"/>
                <w:szCs w:val="20"/>
              </w:rPr>
              <w:t xml:space="preserve">requency of </w:t>
            </w:r>
            <w:r w:rsidR="00F00CD4" w:rsidRPr="00FD3EE9">
              <w:rPr>
                <w:b w:val="0"/>
                <w:sz w:val="20"/>
                <w:szCs w:val="20"/>
              </w:rPr>
              <w:t>M</w:t>
            </w:r>
            <w:r w:rsidRPr="00FD3EE9">
              <w:rPr>
                <w:b w:val="0"/>
                <w:sz w:val="20"/>
                <w:szCs w:val="20"/>
              </w:rPr>
              <w:t xml:space="preserve">aking </w:t>
            </w:r>
            <w:r w:rsidR="00957AEA" w:rsidRPr="00FD3EE9">
              <w:rPr>
                <w:b w:val="0"/>
                <w:sz w:val="20"/>
                <w:szCs w:val="20"/>
              </w:rPr>
              <w:t>Acquisitions</w:t>
            </w:r>
          </w:p>
        </w:tc>
      </w:tr>
      <w:tr w:rsidR="00CB5AA3" w:rsidRPr="00FD3EE9" w14:paraId="0BBAE7AB" w14:textId="77777777" w:rsidTr="00A036F8">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1187" w:type="dxa"/>
          </w:tcPr>
          <w:p w14:paraId="48FD5AA4" w14:textId="77777777" w:rsidR="00CB5AA3" w:rsidRPr="00FD3EE9" w:rsidRDefault="00CB5AA3" w:rsidP="00842BD5">
            <w:pPr>
              <w:ind w:firstLineChars="200" w:firstLine="402"/>
              <w:rPr>
                <w:sz w:val="20"/>
                <w:szCs w:val="20"/>
              </w:rPr>
            </w:pPr>
          </w:p>
        </w:tc>
        <w:tc>
          <w:tcPr>
            <w:tcW w:w="1418" w:type="dxa"/>
          </w:tcPr>
          <w:p w14:paraId="3A8B22F0" w14:textId="2511EE3D" w:rsidR="00CB5AA3" w:rsidRPr="00FD3EE9" w:rsidRDefault="00CB5AA3" w:rsidP="006E1A7A">
            <w:pPr>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 xml:space="preserve">Full </w:t>
            </w:r>
            <w:r w:rsidR="00F00CD4" w:rsidRPr="00FD3EE9">
              <w:rPr>
                <w:sz w:val="20"/>
                <w:szCs w:val="20"/>
              </w:rPr>
              <w:t>S</w:t>
            </w:r>
            <w:r w:rsidRPr="00FD3EE9">
              <w:rPr>
                <w:sz w:val="20"/>
                <w:szCs w:val="20"/>
              </w:rPr>
              <w:t>ample</w:t>
            </w:r>
          </w:p>
        </w:tc>
        <w:tc>
          <w:tcPr>
            <w:tcW w:w="1418" w:type="dxa"/>
          </w:tcPr>
          <w:p w14:paraId="06C83778" w14:textId="77777777" w:rsidR="00CB5AA3" w:rsidRPr="00FD3EE9" w:rsidRDefault="00CB5AA3" w:rsidP="006E1A7A">
            <w:pPr>
              <w:ind w:firstLineChars="200" w:firstLine="400"/>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Active</w:t>
            </w:r>
          </w:p>
        </w:tc>
        <w:tc>
          <w:tcPr>
            <w:tcW w:w="1418" w:type="dxa"/>
          </w:tcPr>
          <w:p w14:paraId="4A04A7BF" w14:textId="77777777" w:rsidR="00CB5AA3" w:rsidRPr="00FD3EE9" w:rsidRDefault="00CB5AA3" w:rsidP="006E1A7A">
            <w:pPr>
              <w:ind w:firstLineChars="100" w:firstLine="200"/>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Less Active</w:t>
            </w:r>
          </w:p>
        </w:tc>
        <w:tc>
          <w:tcPr>
            <w:tcW w:w="1743" w:type="dxa"/>
          </w:tcPr>
          <w:p w14:paraId="2FA42A39" w14:textId="77777777" w:rsidR="00CB5AA3" w:rsidRPr="00FD3EE9" w:rsidRDefault="00CB5AA3" w:rsidP="00842BD5">
            <w:pPr>
              <w:ind w:firstLineChars="200" w:firstLine="400"/>
              <w:jc w:val="center"/>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Difference</w:t>
            </w:r>
          </w:p>
        </w:tc>
        <w:tc>
          <w:tcPr>
            <w:tcW w:w="1425" w:type="dxa"/>
          </w:tcPr>
          <w:p w14:paraId="47F48C65" w14:textId="77777777" w:rsidR="00CB5AA3" w:rsidRPr="00FD3EE9" w:rsidRDefault="00CB5AA3" w:rsidP="00842BD5">
            <w:pPr>
              <w:ind w:firstLineChars="200" w:firstLine="400"/>
              <w:jc w:val="center"/>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Std. Error</w:t>
            </w:r>
          </w:p>
        </w:tc>
      </w:tr>
      <w:tr w:rsidR="001F232C" w:rsidRPr="00FD3EE9" w14:paraId="60D65392" w14:textId="77777777" w:rsidTr="00A036F8">
        <w:trPr>
          <w:trHeight w:hRule="exact" w:val="322"/>
          <w:jc w:val="center"/>
        </w:trPr>
        <w:tc>
          <w:tcPr>
            <w:cnfStyle w:val="001000000000" w:firstRow="0" w:lastRow="0" w:firstColumn="1" w:lastColumn="0" w:oddVBand="0" w:evenVBand="0" w:oddHBand="0" w:evenHBand="0" w:firstRowFirstColumn="0" w:firstRowLastColumn="0" w:lastRowFirstColumn="0" w:lastRowLastColumn="0"/>
            <w:tcW w:w="1187" w:type="dxa"/>
            <w:tcBorders>
              <w:top w:val="single" w:sz="4" w:space="0" w:color="7F7F7F" w:themeColor="text1" w:themeTint="80"/>
              <w:bottom w:val="nil"/>
            </w:tcBorders>
          </w:tcPr>
          <w:p w14:paraId="1E3C5772" w14:textId="46105EC5" w:rsidR="001F232C" w:rsidRPr="00FD3EE9" w:rsidRDefault="00CB5AA3" w:rsidP="00842BD5">
            <w:pPr>
              <w:ind w:firstLineChars="200" w:firstLine="400"/>
              <w:rPr>
                <w:b w:val="0"/>
                <w:sz w:val="20"/>
                <w:szCs w:val="20"/>
              </w:rPr>
            </w:pPr>
            <w:r w:rsidRPr="00FD3EE9">
              <w:rPr>
                <w:b w:val="0"/>
                <w:sz w:val="20"/>
                <w:szCs w:val="20"/>
              </w:rPr>
              <w:t>BHR</w:t>
            </w:r>
          </w:p>
        </w:tc>
        <w:tc>
          <w:tcPr>
            <w:tcW w:w="1418" w:type="dxa"/>
            <w:tcBorders>
              <w:top w:val="single" w:sz="4" w:space="0" w:color="7F7F7F" w:themeColor="text1" w:themeTint="80"/>
              <w:bottom w:val="nil"/>
            </w:tcBorders>
          </w:tcPr>
          <w:p w14:paraId="0BF3604C" w14:textId="1C5650F5" w:rsidR="001F232C" w:rsidRPr="00FD3EE9" w:rsidRDefault="00CB5AA3" w:rsidP="00842BD5">
            <w:pPr>
              <w:tabs>
                <w:tab w:val="decimal" w:pos="581"/>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-12.62</w:t>
            </w:r>
          </w:p>
        </w:tc>
        <w:tc>
          <w:tcPr>
            <w:tcW w:w="1418" w:type="dxa"/>
            <w:tcBorders>
              <w:top w:val="single" w:sz="4" w:space="0" w:color="7F7F7F" w:themeColor="text1" w:themeTint="80"/>
              <w:bottom w:val="nil"/>
            </w:tcBorders>
          </w:tcPr>
          <w:p w14:paraId="12C1F9B6" w14:textId="366C8592" w:rsidR="001F232C" w:rsidRPr="00FD3EE9" w:rsidRDefault="00CB5AA3" w:rsidP="00842BD5">
            <w:pPr>
              <w:tabs>
                <w:tab w:val="decimal" w:pos="581"/>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-16.93</w:t>
            </w:r>
          </w:p>
        </w:tc>
        <w:tc>
          <w:tcPr>
            <w:tcW w:w="1418" w:type="dxa"/>
            <w:tcBorders>
              <w:top w:val="single" w:sz="4" w:space="0" w:color="7F7F7F" w:themeColor="text1" w:themeTint="80"/>
              <w:bottom w:val="nil"/>
            </w:tcBorders>
          </w:tcPr>
          <w:p w14:paraId="36957423" w14:textId="7C4CFF36" w:rsidR="001F232C" w:rsidRPr="00FD3EE9" w:rsidRDefault="00CB5AA3" w:rsidP="00842BD5">
            <w:pPr>
              <w:tabs>
                <w:tab w:val="decimal" w:pos="581"/>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-3.44</w:t>
            </w:r>
          </w:p>
        </w:tc>
        <w:tc>
          <w:tcPr>
            <w:tcW w:w="1743" w:type="dxa"/>
            <w:tcBorders>
              <w:top w:val="single" w:sz="4" w:space="0" w:color="7F7F7F" w:themeColor="text1" w:themeTint="80"/>
              <w:bottom w:val="nil"/>
            </w:tcBorders>
          </w:tcPr>
          <w:p w14:paraId="1E954553" w14:textId="30E7BE44" w:rsidR="001F232C" w:rsidRPr="00FD3EE9" w:rsidRDefault="00CB5AA3" w:rsidP="00842BD5">
            <w:pPr>
              <w:tabs>
                <w:tab w:val="decimal" w:pos="581"/>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13.48***</w:t>
            </w:r>
          </w:p>
        </w:tc>
        <w:tc>
          <w:tcPr>
            <w:tcW w:w="1425" w:type="dxa"/>
            <w:tcBorders>
              <w:top w:val="single" w:sz="4" w:space="0" w:color="7F7F7F" w:themeColor="text1" w:themeTint="80"/>
              <w:bottom w:val="nil"/>
            </w:tcBorders>
          </w:tcPr>
          <w:p w14:paraId="5F913620" w14:textId="457B1616" w:rsidR="001F232C" w:rsidRPr="00FD3EE9" w:rsidRDefault="00CB5AA3" w:rsidP="00842BD5">
            <w:pPr>
              <w:tabs>
                <w:tab w:val="decimal" w:pos="581"/>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1.75</w:t>
            </w:r>
          </w:p>
        </w:tc>
      </w:tr>
      <w:tr w:rsidR="001F232C" w:rsidRPr="00FD3EE9" w14:paraId="3EFFA9A3" w14:textId="77777777" w:rsidTr="00A036F8">
        <w:trPr>
          <w:cnfStyle w:val="000000100000" w:firstRow="0" w:lastRow="0" w:firstColumn="0" w:lastColumn="0" w:oddVBand="0" w:evenVBand="0" w:oddHBand="1" w:evenHBand="0" w:firstRowFirstColumn="0" w:firstRowLastColumn="0" w:lastRowFirstColumn="0" w:lastRowLastColumn="0"/>
          <w:trHeight w:hRule="exact" w:val="322"/>
          <w:jc w:val="center"/>
        </w:trPr>
        <w:tc>
          <w:tcPr>
            <w:cnfStyle w:val="001000000000" w:firstRow="0" w:lastRow="0" w:firstColumn="1" w:lastColumn="0" w:oddVBand="0" w:evenVBand="0" w:oddHBand="0" w:evenHBand="0" w:firstRowFirstColumn="0" w:firstRowLastColumn="0" w:lastRowFirstColumn="0" w:lastRowLastColumn="0"/>
            <w:tcW w:w="1187" w:type="dxa"/>
            <w:tcBorders>
              <w:top w:val="nil"/>
              <w:bottom w:val="single" w:sz="4" w:space="0" w:color="000000" w:themeColor="text1"/>
            </w:tcBorders>
          </w:tcPr>
          <w:p w14:paraId="1951021A" w14:textId="7D108E65" w:rsidR="001F232C" w:rsidRPr="00FD3EE9" w:rsidRDefault="00CB5AA3" w:rsidP="00842BD5">
            <w:pPr>
              <w:ind w:firstLineChars="200" w:firstLine="400"/>
              <w:rPr>
                <w:b w:val="0"/>
                <w:sz w:val="20"/>
                <w:szCs w:val="20"/>
              </w:rPr>
            </w:pPr>
            <w:r w:rsidRPr="00FD3EE9">
              <w:rPr>
                <w:b w:val="0"/>
                <w:sz w:val="20"/>
                <w:szCs w:val="20"/>
              </w:rPr>
              <w:t>N</w:t>
            </w:r>
          </w:p>
        </w:tc>
        <w:tc>
          <w:tcPr>
            <w:tcW w:w="1418" w:type="dxa"/>
            <w:tcBorders>
              <w:top w:val="nil"/>
              <w:bottom w:val="single" w:sz="4" w:space="0" w:color="000000" w:themeColor="text1"/>
            </w:tcBorders>
          </w:tcPr>
          <w:p w14:paraId="53CA4ECD" w14:textId="665F505D" w:rsidR="001F232C" w:rsidRPr="00FD3EE9" w:rsidRDefault="00CB5AA3" w:rsidP="00842BD5">
            <w:pPr>
              <w:tabs>
                <w:tab w:val="decimal" w:pos="581"/>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9</w:t>
            </w:r>
            <w:r w:rsidR="00F00CD4" w:rsidRPr="00FD3EE9">
              <w:rPr>
                <w:sz w:val="20"/>
                <w:szCs w:val="20"/>
              </w:rPr>
              <w:t>,</w:t>
            </w:r>
            <w:r w:rsidRPr="00FD3EE9">
              <w:rPr>
                <w:sz w:val="20"/>
                <w:szCs w:val="20"/>
              </w:rPr>
              <w:t>734</w:t>
            </w:r>
          </w:p>
        </w:tc>
        <w:tc>
          <w:tcPr>
            <w:tcW w:w="1418" w:type="dxa"/>
            <w:tcBorders>
              <w:top w:val="nil"/>
              <w:bottom w:val="single" w:sz="4" w:space="0" w:color="000000" w:themeColor="text1"/>
            </w:tcBorders>
          </w:tcPr>
          <w:p w14:paraId="133DE086" w14:textId="2E67FCF0" w:rsidR="001F232C" w:rsidRPr="00FD3EE9" w:rsidRDefault="00CB5AA3" w:rsidP="00842BD5">
            <w:pPr>
              <w:tabs>
                <w:tab w:val="decimal" w:pos="581"/>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6</w:t>
            </w:r>
            <w:r w:rsidR="00F00CD4" w:rsidRPr="00FD3EE9">
              <w:rPr>
                <w:sz w:val="20"/>
                <w:szCs w:val="20"/>
              </w:rPr>
              <w:t>,</w:t>
            </w:r>
            <w:r w:rsidRPr="00FD3EE9">
              <w:rPr>
                <w:sz w:val="20"/>
                <w:szCs w:val="20"/>
              </w:rPr>
              <w:t>627</w:t>
            </w:r>
          </w:p>
        </w:tc>
        <w:tc>
          <w:tcPr>
            <w:tcW w:w="1418" w:type="dxa"/>
            <w:tcBorders>
              <w:top w:val="nil"/>
              <w:bottom w:val="single" w:sz="4" w:space="0" w:color="000000" w:themeColor="text1"/>
            </w:tcBorders>
          </w:tcPr>
          <w:p w14:paraId="47DB242F" w14:textId="69A9B3EA" w:rsidR="001F232C" w:rsidRPr="00FD3EE9" w:rsidRDefault="00CB5AA3" w:rsidP="00842BD5">
            <w:pPr>
              <w:tabs>
                <w:tab w:val="decimal" w:pos="581"/>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3</w:t>
            </w:r>
            <w:r w:rsidR="00F00CD4" w:rsidRPr="00FD3EE9">
              <w:rPr>
                <w:sz w:val="20"/>
                <w:szCs w:val="20"/>
              </w:rPr>
              <w:t>,</w:t>
            </w:r>
            <w:r w:rsidRPr="00FD3EE9">
              <w:rPr>
                <w:sz w:val="20"/>
                <w:szCs w:val="20"/>
              </w:rPr>
              <w:t>107</w:t>
            </w:r>
          </w:p>
        </w:tc>
        <w:tc>
          <w:tcPr>
            <w:tcW w:w="1743" w:type="dxa"/>
            <w:tcBorders>
              <w:top w:val="nil"/>
              <w:bottom w:val="single" w:sz="4" w:space="0" w:color="000000" w:themeColor="text1"/>
            </w:tcBorders>
          </w:tcPr>
          <w:p w14:paraId="3D07FF0F" w14:textId="77777777" w:rsidR="001F232C" w:rsidRPr="00FD3EE9" w:rsidRDefault="001F232C" w:rsidP="00842BD5">
            <w:pPr>
              <w:tabs>
                <w:tab w:val="decimal" w:pos="581"/>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425" w:type="dxa"/>
            <w:tcBorders>
              <w:top w:val="nil"/>
              <w:bottom w:val="single" w:sz="4" w:space="0" w:color="000000" w:themeColor="text1"/>
            </w:tcBorders>
          </w:tcPr>
          <w:p w14:paraId="76D0B012" w14:textId="77777777" w:rsidR="001F232C" w:rsidRPr="00FD3EE9" w:rsidRDefault="001F232C" w:rsidP="00842BD5">
            <w:pPr>
              <w:tabs>
                <w:tab w:val="decimal" w:pos="581"/>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p>
        </w:tc>
      </w:tr>
    </w:tbl>
    <w:p w14:paraId="0A794D5A" w14:textId="3997CEF5" w:rsidR="00A036F8" w:rsidRPr="00FD3EE9" w:rsidRDefault="00A036F8" w:rsidP="00A036F8">
      <w:pPr>
        <w:rPr>
          <w:sz w:val="21"/>
        </w:rPr>
        <w:sectPr w:rsidR="00A036F8" w:rsidRPr="00FD3EE9" w:rsidSect="00CC45BA">
          <w:footerReference w:type="default" r:id="rId8"/>
          <w:pgSz w:w="11900" w:h="16840"/>
          <w:pgMar w:top="1440" w:right="1440" w:bottom="1440" w:left="1440" w:header="851" w:footer="992" w:gutter="0"/>
          <w:cols w:space="425"/>
          <w:docGrid w:type="lines" w:linePitch="423"/>
        </w:sectPr>
      </w:pPr>
      <w:r w:rsidRPr="00FD3EE9">
        <w:rPr>
          <w:sz w:val="21"/>
        </w:rPr>
        <w:t xml:space="preserve">Note: Table </w:t>
      </w:r>
      <w:r w:rsidR="004A61F3" w:rsidRPr="00FD3EE9">
        <w:rPr>
          <w:sz w:val="21"/>
        </w:rPr>
        <w:t>6</w:t>
      </w:r>
      <w:r w:rsidRPr="00FD3EE9">
        <w:rPr>
          <w:sz w:val="21"/>
        </w:rPr>
        <w:t xml:space="preserve"> compares short and long-term post-acquisition performance in active acquiring firms and less active ones. Short-term post acquisition performance is measured as cumulative abnormal returns (CARs), and long-term post acquisition performance is measured as three-year buy-and-hold returns (BHRs). The table shows that less active acquiring firms on average exhibit higher CARs than active acquiring ones; however, the difference is small. Both groups of firms exhibit negative three-year BHR. However, the performance of active acquiring firms is significantly worse.</w:t>
      </w:r>
    </w:p>
    <w:p w14:paraId="6BC0B26A" w14:textId="77777777" w:rsidR="00A036F8" w:rsidRPr="00FD3EE9" w:rsidRDefault="00A036F8" w:rsidP="00A036F8">
      <w:pPr>
        <w:rPr>
          <w:sz w:val="21"/>
        </w:rPr>
      </w:pPr>
    </w:p>
    <w:p w14:paraId="79970235" w14:textId="259DD2AE" w:rsidR="00CB5AA3" w:rsidRPr="00FD3EE9" w:rsidRDefault="00EF1F9E" w:rsidP="00842BD5">
      <w:pPr>
        <w:ind w:firstLineChars="200" w:firstLine="482"/>
        <w:jc w:val="center"/>
        <w:rPr>
          <w:b/>
        </w:rPr>
      </w:pPr>
      <w:r w:rsidRPr="00FD3EE9">
        <w:rPr>
          <w:b/>
        </w:rPr>
        <w:t>Table7</w:t>
      </w:r>
      <w:r w:rsidR="00CB5AA3" w:rsidRPr="00FD3EE9">
        <w:rPr>
          <w:b/>
        </w:rPr>
        <w:t xml:space="preserve">: Impact of </w:t>
      </w:r>
      <w:r w:rsidR="00537CB0" w:rsidRPr="00FD3EE9">
        <w:rPr>
          <w:b/>
        </w:rPr>
        <w:t>I</w:t>
      </w:r>
      <w:r w:rsidR="00CB5AA3" w:rsidRPr="00FD3EE9">
        <w:rPr>
          <w:b/>
        </w:rPr>
        <w:t xml:space="preserve">ncentive </w:t>
      </w:r>
      <w:r w:rsidR="00537CB0" w:rsidRPr="00FD3EE9">
        <w:rPr>
          <w:b/>
        </w:rPr>
        <w:t>C</w:t>
      </w:r>
      <w:r w:rsidR="00CB5AA3" w:rsidRPr="00FD3EE9">
        <w:rPr>
          <w:b/>
        </w:rPr>
        <w:t xml:space="preserve">ompensation on </w:t>
      </w:r>
      <w:r w:rsidR="00537CB0" w:rsidRPr="00FD3EE9">
        <w:rPr>
          <w:b/>
        </w:rPr>
        <w:t>A</w:t>
      </w:r>
      <w:r w:rsidR="00CB5AA3" w:rsidRPr="00FD3EE9">
        <w:rPr>
          <w:b/>
        </w:rPr>
        <w:t>cquisitions</w:t>
      </w:r>
    </w:p>
    <w:tbl>
      <w:tblPr>
        <w:tblStyle w:val="21"/>
        <w:tblW w:w="10099" w:type="dxa"/>
        <w:jc w:val="center"/>
        <w:tblLook w:val="04A0" w:firstRow="1" w:lastRow="0" w:firstColumn="1" w:lastColumn="0" w:noHBand="0" w:noVBand="1"/>
      </w:tblPr>
      <w:tblGrid>
        <w:gridCol w:w="3811"/>
        <w:gridCol w:w="1572"/>
        <w:gridCol w:w="1572"/>
        <w:gridCol w:w="1572"/>
        <w:gridCol w:w="1572"/>
      </w:tblGrid>
      <w:tr w:rsidR="009A48C9" w:rsidRPr="00FD3EE9" w14:paraId="604A6838" w14:textId="77777777" w:rsidTr="002D7023">
        <w:trPr>
          <w:cnfStyle w:val="100000000000" w:firstRow="1" w:lastRow="0" w:firstColumn="0" w:lastColumn="0" w:oddVBand="0" w:evenVBand="0" w:oddHBand="0"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3810" w:type="dxa"/>
            <w:tcBorders>
              <w:top w:val="single" w:sz="4" w:space="0" w:color="7F7F7F" w:themeColor="text1" w:themeTint="80"/>
            </w:tcBorders>
          </w:tcPr>
          <w:p w14:paraId="4DE6ED91" w14:textId="77777777" w:rsidR="00CB5AA3" w:rsidRPr="00FD3EE9" w:rsidRDefault="00CB5AA3" w:rsidP="00842BD5">
            <w:pPr>
              <w:ind w:firstLineChars="200" w:firstLine="360"/>
              <w:jc w:val="center"/>
              <w:rPr>
                <w:b w:val="0"/>
                <w:sz w:val="18"/>
                <w:szCs w:val="20"/>
              </w:rPr>
            </w:pPr>
          </w:p>
        </w:tc>
        <w:tc>
          <w:tcPr>
            <w:tcW w:w="0" w:type="auto"/>
            <w:tcBorders>
              <w:top w:val="single" w:sz="4" w:space="0" w:color="7F7F7F" w:themeColor="text1" w:themeTint="80"/>
            </w:tcBorders>
          </w:tcPr>
          <w:p w14:paraId="2F34A280" w14:textId="1170FCF9" w:rsidR="00CB5AA3" w:rsidRPr="00FD3EE9" w:rsidRDefault="00CB5AA3" w:rsidP="00842BD5">
            <w:pPr>
              <w:ind w:firstLineChars="200" w:firstLine="360"/>
              <w:jc w:val="center"/>
              <w:cnfStyle w:val="100000000000" w:firstRow="1" w:lastRow="0" w:firstColumn="0" w:lastColumn="0" w:oddVBand="0" w:evenVBand="0" w:oddHBand="0" w:evenHBand="0" w:firstRowFirstColumn="0" w:firstRowLastColumn="0" w:lastRowFirstColumn="0" w:lastRowLastColumn="0"/>
              <w:rPr>
                <w:b w:val="0"/>
                <w:sz w:val="18"/>
                <w:szCs w:val="20"/>
              </w:rPr>
            </w:pPr>
            <w:r w:rsidRPr="00FD3EE9">
              <w:rPr>
                <w:b w:val="0"/>
                <w:sz w:val="18"/>
                <w:szCs w:val="20"/>
              </w:rPr>
              <w:t>[1]</w:t>
            </w:r>
          </w:p>
        </w:tc>
        <w:tc>
          <w:tcPr>
            <w:tcW w:w="0" w:type="auto"/>
            <w:tcBorders>
              <w:top w:val="single" w:sz="4" w:space="0" w:color="7F7F7F" w:themeColor="text1" w:themeTint="80"/>
            </w:tcBorders>
          </w:tcPr>
          <w:p w14:paraId="114AE5A4" w14:textId="36A59960" w:rsidR="00CB5AA3" w:rsidRPr="00FD3EE9" w:rsidRDefault="00CB5AA3" w:rsidP="00842BD5">
            <w:pPr>
              <w:ind w:firstLineChars="200" w:firstLine="360"/>
              <w:jc w:val="center"/>
              <w:cnfStyle w:val="100000000000" w:firstRow="1" w:lastRow="0" w:firstColumn="0" w:lastColumn="0" w:oddVBand="0" w:evenVBand="0" w:oddHBand="0" w:evenHBand="0" w:firstRowFirstColumn="0" w:firstRowLastColumn="0" w:lastRowFirstColumn="0" w:lastRowLastColumn="0"/>
              <w:rPr>
                <w:b w:val="0"/>
                <w:sz w:val="18"/>
                <w:szCs w:val="20"/>
              </w:rPr>
            </w:pPr>
            <w:r w:rsidRPr="00FD3EE9">
              <w:rPr>
                <w:b w:val="0"/>
                <w:sz w:val="18"/>
                <w:szCs w:val="20"/>
              </w:rPr>
              <w:t>[2]</w:t>
            </w:r>
          </w:p>
        </w:tc>
        <w:tc>
          <w:tcPr>
            <w:tcW w:w="0" w:type="auto"/>
            <w:tcBorders>
              <w:top w:val="single" w:sz="4" w:space="0" w:color="7F7F7F" w:themeColor="text1" w:themeTint="80"/>
            </w:tcBorders>
          </w:tcPr>
          <w:p w14:paraId="01586F97" w14:textId="09F9C534" w:rsidR="00CB5AA3" w:rsidRPr="00FD3EE9" w:rsidRDefault="00CB5AA3" w:rsidP="00842BD5">
            <w:pPr>
              <w:ind w:firstLineChars="200" w:firstLine="360"/>
              <w:jc w:val="center"/>
              <w:cnfStyle w:val="100000000000" w:firstRow="1" w:lastRow="0" w:firstColumn="0" w:lastColumn="0" w:oddVBand="0" w:evenVBand="0" w:oddHBand="0" w:evenHBand="0" w:firstRowFirstColumn="0" w:firstRowLastColumn="0" w:lastRowFirstColumn="0" w:lastRowLastColumn="0"/>
              <w:rPr>
                <w:b w:val="0"/>
                <w:sz w:val="18"/>
                <w:szCs w:val="20"/>
              </w:rPr>
            </w:pPr>
            <w:r w:rsidRPr="00FD3EE9">
              <w:rPr>
                <w:b w:val="0"/>
                <w:sz w:val="18"/>
                <w:szCs w:val="20"/>
              </w:rPr>
              <w:t>[3]</w:t>
            </w:r>
          </w:p>
        </w:tc>
        <w:tc>
          <w:tcPr>
            <w:tcW w:w="0" w:type="auto"/>
            <w:tcBorders>
              <w:top w:val="single" w:sz="4" w:space="0" w:color="7F7F7F" w:themeColor="text1" w:themeTint="80"/>
            </w:tcBorders>
          </w:tcPr>
          <w:p w14:paraId="38BDB15F" w14:textId="4E0F20C0" w:rsidR="00CB5AA3" w:rsidRPr="00FD3EE9" w:rsidRDefault="00CB5AA3" w:rsidP="00842BD5">
            <w:pPr>
              <w:ind w:firstLineChars="200" w:firstLine="360"/>
              <w:jc w:val="center"/>
              <w:cnfStyle w:val="100000000000" w:firstRow="1" w:lastRow="0" w:firstColumn="0" w:lastColumn="0" w:oddVBand="0" w:evenVBand="0" w:oddHBand="0" w:evenHBand="0" w:firstRowFirstColumn="0" w:firstRowLastColumn="0" w:lastRowFirstColumn="0" w:lastRowLastColumn="0"/>
              <w:rPr>
                <w:b w:val="0"/>
                <w:sz w:val="18"/>
                <w:szCs w:val="20"/>
              </w:rPr>
            </w:pPr>
            <w:r w:rsidRPr="00FD3EE9">
              <w:rPr>
                <w:b w:val="0"/>
                <w:sz w:val="18"/>
                <w:szCs w:val="20"/>
              </w:rPr>
              <w:t>[4]</w:t>
            </w:r>
          </w:p>
        </w:tc>
      </w:tr>
      <w:tr w:rsidR="009A48C9" w:rsidRPr="00FD3EE9" w14:paraId="5EF4A2C2"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bottom w:val="nil"/>
            </w:tcBorders>
          </w:tcPr>
          <w:p w14:paraId="218D286D" w14:textId="257EE99C" w:rsidR="00CB5AA3" w:rsidRPr="00FD3EE9" w:rsidRDefault="00CB5AA3" w:rsidP="00842BD5">
            <w:pPr>
              <w:ind w:firstLineChars="200" w:firstLine="360"/>
              <w:jc w:val="left"/>
              <w:rPr>
                <w:b w:val="0"/>
                <w:sz w:val="18"/>
                <w:szCs w:val="20"/>
              </w:rPr>
            </w:pPr>
            <w:r w:rsidRPr="00FD3EE9">
              <w:rPr>
                <w:b w:val="0"/>
                <w:sz w:val="18"/>
                <w:szCs w:val="20"/>
              </w:rPr>
              <w:t>Stock Option</w:t>
            </w:r>
          </w:p>
        </w:tc>
        <w:tc>
          <w:tcPr>
            <w:tcW w:w="0" w:type="auto"/>
            <w:tcBorders>
              <w:bottom w:val="nil"/>
            </w:tcBorders>
          </w:tcPr>
          <w:p w14:paraId="3F54AFA5" w14:textId="20F2B605" w:rsidR="00CB5AA3" w:rsidRPr="00FD3EE9" w:rsidRDefault="00CB5AA3"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0.280**</w:t>
            </w:r>
          </w:p>
        </w:tc>
        <w:tc>
          <w:tcPr>
            <w:tcW w:w="0" w:type="auto"/>
            <w:tcBorders>
              <w:bottom w:val="nil"/>
            </w:tcBorders>
          </w:tcPr>
          <w:p w14:paraId="2EE322D0"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bottom w:val="nil"/>
            </w:tcBorders>
          </w:tcPr>
          <w:p w14:paraId="5ABB3F2E" w14:textId="76246FA3" w:rsidR="00CB5AA3" w:rsidRPr="00FD3EE9" w:rsidRDefault="00CB5AA3"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w:t>
            </w:r>
            <w:r w:rsidR="00771DA4" w:rsidRPr="00FD3EE9">
              <w:rPr>
                <w:sz w:val="18"/>
                <w:szCs w:val="20"/>
              </w:rPr>
              <w:t>120</w:t>
            </w:r>
          </w:p>
        </w:tc>
        <w:tc>
          <w:tcPr>
            <w:tcW w:w="0" w:type="auto"/>
            <w:tcBorders>
              <w:bottom w:val="nil"/>
            </w:tcBorders>
          </w:tcPr>
          <w:p w14:paraId="5C73BBB3" w14:textId="501497D9" w:rsidR="00CB5AA3" w:rsidRPr="00FD3EE9" w:rsidRDefault="00CB5AA3"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0.096</w:t>
            </w:r>
          </w:p>
        </w:tc>
      </w:tr>
      <w:tr w:rsidR="00C722CA" w:rsidRPr="00FD3EE9" w14:paraId="7EE4F2C4"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bottom w:val="nil"/>
            </w:tcBorders>
          </w:tcPr>
          <w:p w14:paraId="28CB5D40" w14:textId="77777777" w:rsidR="00C722CA" w:rsidRPr="00FD3EE9" w:rsidRDefault="00C722CA" w:rsidP="00842BD5">
            <w:pPr>
              <w:ind w:firstLineChars="200" w:firstLine="361"/>
              <w:jc w:val="left"/>
              <w:rPr>
                <w:sz w:val="18"/>
                <w:szCs w:val="20"/>
              </w:rPr>
            </w:pPr>
          </w:p>
        </w:tc>
        <w:tc>
          <w:tcPr>
            <w:tcW w:w="0" w:type="auto"/>
            <w:tcBorders>
              <w:bottom w:val="nil"/>
            </w:tcBorders>
          </w:tcPr>
          <w:p w14:paraId="1CC51BE5" w14:textId="1A3DAD51"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w:t>
            </w:r>
            <w:r w:rsidR="00E05EA1" w:rsidRPr="00FD3EE9">
              <w:rPr>
                <w:sz w:val="18"/>
                <w:szCs w:val="20"/>
              </w:rPr>
              <w:t>85</w:t>
            </w:r>
            <w:r w:rsidRPr="00FD3EE9">
              <w:rPr>
                <w:sz w:val="18"/>
                <w:szCs w:val="20"/>
              </w:rPr>
              <w:t>)</w:t>
            </w:r>
          </w:p>
        </w:tc>
        <w:tc>
          <w:tcPr>
            <w:tcW w:w="0" w:type="auto"/>
            <w:tcBorders>
              <w:bottom w:val="nil"/>
            </w:tcBorders>
          </w:tcPr>
          <w:p w14:paraId="50CBEA25"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bottom w:val="nil"/>
            </w:tcBorders>
          </w:tcPr>
          <w:p w14:paraId="39E271FF" w14:textId="6EDBA6DD"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w:t>
            </w:r>
            <w:r w:rsidR="00771DA4" w:rsidRPr="00FD3EE9">
              <w:rPr>
                <w:sz w:val="18"/>
                <w:szCs w:val="20"/>
              </w:rPr>
              <w:t>7</w:t>
            </w:r>
            <w:r w:rsidR="00203136" w:rsidRPr="00FD3EE9">
              <w:rPr>
                <w:sz w:val="18"/>
                <w:szCs w:val="20"/>
              </w:rPr>
              <w:t>8</w:t>
            </w:r>
            <w:r w:rsidRPr="00FD3EE9">
              <w:rPr>
                <w:sz w:val="18"/>
                <w:szCs w:val="20"/>
              </w:rPr>
              <w:t>)</w:t>
            </w:r>
          </w:p>
        </w:tc>
        <w:tc>
          <w:tcPr>
            <w:tcW w:w="0" w:type="auto"/>
            <w:tcBorders>
              <w:bottom w:val="nil"/>
            </w:tcBorders>
          </w:tcPr>
          <w:p w14:paraId="3F3C1456" w14:textId="02D51756"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w:t>
            </w:r>
            <w:r w:rsidR="00203136" w:rsidRPr="00FD3EE9">
              <w:rPr>
                <w:sz w:val="18"/>
                <w:szCs w:val="20"/>
              </w:rPr>
              <w:t>6</w:t>
            </w:r>
            <w:r w:rsidRPr="00FD3EE9">
              <w:rPr>
                <w:sz w:val="18"/>
                <w:szCs w:val="20"/>
              </w:rPr>
              <w:t>8)</w:t>
            </w:r>
          </w:p>
        </w:tc>
      </w:tr>
      <w:tr w:rsidR="009A48C9" w:rsidRPr="00FD3EE9" w14:paraId="4E25AF22"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6A14D96C" w14:textId="22FE4566" w:rsidR="00CB5AA3" w:rsidRPr="00FD3EE9" w:rsidRDefault="00CB5AA3" w:rsidP="00842BD5">
            <w:pPr>
              <w:ind w:firstLineChars="200" w:firstLine="360"/>
              <w:jc w:val="left"/>
              <w:rPr>
                <w:b w:val="0"/>
                <w:sz w:val="18"/>
                <w:szCs w:val="20"/>
              </w:rPr>
            </w:pPr>
            <w:r w:rsidRPr="00FD3EE9">
              <w:rPr>
                <w:b w:val="0"/>
                <w:sz w:val="18"/>
                <w:szCs w:val="20"/>
              </w:rPr>
              <w:t xml:space="preserve">Stock Ownership </w:t>
            </w:r>
          </w:p>
        </w:tc>
        <w:tc>
          <w:tcPr>
            <w:tcW w:w="0" w:type="auto"/>
            <w:tcBorders>
              <w:top w:val="nil"/>
              <w:bottom w:val="nil"/>
            </w:tcBorders>
          </w:tcPr>
          <w:p w14:paraId="3CE5E21F" w14:textId="5B69C71A" w:rsidR="00CB5AA3" w:rsidRPr="00FD3EE9" w:rsidRDefault="00CB5AA3"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1.514***</w:t>
            </w:r>
          </w:p>
        </w:tc>
        <w:tc>
          <w:tcPr>
            <w:tcW w:w="0" w:type="auto"/>
            <w:tcBorders>
              <w:top w:val="nil"/>
              <w:bottom w:val="nil"/>
            </w:tcBorders>
          </w:tcPr>
          <w:p w14:paraId="5A208997"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bottom w:val="nil"/>
            </w:tcBorders>
          </w:tcPr>
          <w:p w14:paraId="2D4B46E4" w14:textId="7B9D66CA" w:rsidR="00CB5AA3" w:rsidRPr="00FD3EE9" w:rsidRDefault="00CB5AA3"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1.2</w:t>
            </w:r>
            <w:r w:rsidR="00771DA4" w:rsidRPr="00FD3EE9">
              <w:rPr>
                <w:sz w:val="18"/>
                <w:szCs w:val="20"/>
              </w:rPr>
              <w:t>60</w:t>
            </w:r>
            <w:r w:rsidRPr="00FD3EE9">
              <w:rPr>
                <w:sz w:val="18"/>
                <w:szCs w:val="20"/>
              </w:rPr>
              <w:t>***</w:t>
            </w:r>
          </w:p>
        </w:tc>
        <w:tc>
          <w:tcPr>
            <w:tcW w:w="0" w:type="auto"/>
            <w:tcBorders>
              <w:top w:val="nil"/>
              <w:bottom w:val="nil"/>
            </w:tcBorders>
          </w:tcPr>
          <w:p w14:paraId="3BEB54EC" w14:textId="447EC0D0" w:rsidR="00CB5AA3" w:rsidRPr="00FD3EE9" w:rsidRDefault="00CB5AA3"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1.272***</w:t>
            </w:r>
          </w:p>
        </w:tc>
      </w:tr>
      <w:tr w:rsidR="00C722CA" w:rsidRPr="00FD3EE9" w14:paraId="202E79A4"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35EB0AB1" w14:textId="77777777" w:rsidR="00C722CA" w:rsidRPr="00FD3EE9" w:rsidRDefault="00C722CA" w:rsidP="00842BD5">
            <w:pPr>
              <w:ind w:firstLineChars="200" w:firstLine="361"/>
              <w:jc w:val="left"/>
              <w:rPr>
                <w:sz w:val="18"/>
                <w:szCs w:val="20"/>
              </w:rPr>
            </w:pPr>
          </w:p>
        </w:tc>
        <w:tc>
          <w:tcPr>
            <w:tcW w:w="0" w:type="auto"/>
            <w:tcBorders>
              <w:top w:val="nil"/>
              <w:bottom w:val="nil"/>
            </w:tcBorders>
          </w:tcPr>
          <w:p w14:paraId="1505FE65" w14:textId="4B2ECB8D"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w:t>
            </w:r>
            <w:r w:rsidR="00E05EA1" w:rsidRPr="00FD3EE9">
              <w:rPr>
                <w:sz w:val="18"/>
                <w:szCs w:val="20"/>
              </w:rPr>
              <w:t>346</w:t>
            </w:r>
            <w:r w:rsidRPr="00FD3EE9">
              <w:rPr>
                <w:sz w:val="18"/>
                <w:szCs w:val="20"/>
              </w:rPr>
              <w:t>)</w:t>
            </w:r>
          </w:p>
        </w:tc>
        <w:tc>
          <w:tcPr>
            <w:tcW w:w="0" w:type="auto"/>
            <w:tcBorders>
              <w:top w:val="nil"/>
              <w:bottom w:val="nil"/>
            </w:tcBorders>
          </w:tcPr>
          <w:p w14:paraId="21FD3738"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0A3C209C" w14:textId="607D52FC"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(0.3</w:t>
            </w:r>
            <w:r w:rsidR="00203136" w:rsidRPr="00FD3EE9">
              <w:rPr>
                <w:sz w:val="18"/>
                <w:szCs w:val="20"/>
              </w:rPr>
              <w:t>5</w:t>
            </w:r>
            <w:r w:rsidR="00771DA4" w:rsidRPr="00FD3EE9">
              <w:rPr>
                <w:sz w:val="18"/>
                <w:szCs w:val="20"/>
              </w:rPr>
              <w:t>6</w:t>
            </w:r>
            <w:r w:rsidRPr="00FD3EE9">
              <w:rPr>
                <w:sz w:val="18"/>
                <w:szCs w:val="20"/>
              </w:rPr>
              <w:t>)</w:t>
            </w:r>
          </w:p>
        </w:tc>
        <w:tc>
          <w:tcPr>
            <w:tcW w:w="0" w:type="auto"/>
            <w:tcBorders>
              <w:top w:val="nil"/>
              <w:bottom w:val="nil"/>
            </w:tcBorders>
          </w:tcPr>
          <w:p w14:paraId="3FBBBC2A" w14:textId="3AFA3F8C"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(0.3</w:t>
            </w:r>
            <w:r w:rsidR="00A31E40" w:rsidRPr="00FD3EE9">
              <w:rPr>
                <w:sz w:val="18"/>
                <w:szCs w:val="20"/>
              </w:rPr>
              <w:t>53</w:t>
            </w:r>
            <w:r w:rsidRPr="00FD3EE9">
              <w:rPr>
                <w:sz w:val="18"/>
                <w:szCs w:val="20"/>
              </w:rPr>
              <w:t>)</w:t>
            </w:r>
          </w:p>
        </w:tc>
      </w:tr>
      <w:tr w:rsidR="009A48C9" w:rsidRPr="00FD3EE9" w14:paraId="3DD42FF6"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16BC9D8C" w14:textId="10D4D819" w:rsidR="00CB5AA3" w:rsidRPr="00FD3EE9" w:rsidRDefault="00CB5AA3" w:rsidP="00842BD5">
            <w:pPr>
              <w:ind w:firstLineChars="200" w:firstLine="360"/>
              <w:jc w:val="left"/>
              <w:rPr>
                <w:b w:val="0"/>
                <w:sz w:val="18"/>
                <w:szCs w:val="20"/>
              </w:rPr>
            </w:pPr>
            <w:r w:rsidRPr="00FD3EE9">
              <w:rPr>
                <w:b w:val="0"/>
                <w:sz w:val="18"/>
                <w:szCs w:val="20"/>
              </w:rPr>
              <w:t>Stock Ownership2</w:t>
            </w:r>
          </w:p>
        </w:tc>
        <w:tc>
          <w:tcPr>
            <w:tcW w:w="0" w:type="auto"/>
            <w:tcBorders>
              <w:top w:val="nil"/>
              <w:bottom w:val="nil"/>
            </w:tcBorders>
          </w:tcPr>
          <w:p w14:paraId="5CF4B071" w14:textId="3443FCC6" w:rsidR="00CB5AA3" w:rsidRPr="00FD3EE9" w:rsidRDefault="002D7023" w:rsidP="002D7023">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w:t>
            </w:r>
            <w:r w:rsidR="00CB5AA3" w:rsidRPr="00FD3EE9">
              <w:rPr>
                <w:sz w:val="18"/>
                <w:szCs w:val="20"/>
              </w:rPr>
              <w:t>1.560**</w:t>
            </w:r>
          </w:p>
        </w:tc>
        <w:tc>
          <w:tcPr>
            <w:tcW w:w="0" w:type="auto"/>
            <w:tcBorders>
              <w:top w:val="nil"/>
              <w:bottom w:val="nil"/>
            </w:tcBorders>
          </w:tcPr>
          <w:p w14:paraId="3221BBD0"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bottom w:val="nil"/>
            </w:tcBorders>
          </w:tcPr>
          <w:p w14:paraId="532EEF75" w14:textId="21F4D16E" w:rsidR="00CB5AA3" w:rsidRPr="00FD3EE9" w:rsidRDefault="00CB5AA3"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-1.3</w:t>
            </w:r>
            <w:r w:rsidR="00771DA4" w:rsidRPr="00FD3EE9">
              <w:rPr>
                <w:sz w:val="18"/>
                <w:szCs w:val="20"/>
              </w:rPr>
              <w:t>27</w:t>
            </w:r>
            <w:r w:rsidRPr="00FD3EE9">
              <w:rPr>
                <w:sz w:val="18"/>
                <w:szCs w:val="20"/>
              </w:rPr>
              <w:t>*</w:t>
            </w:r>
          </w:p>
        </w:tc>
        <w:tc>
          <w:tcPr>
            <w:tcW w:w="0" w:type="auto"/>
            <w:tcBorders>
              <w:top w:val="nil"/>
              <w:bottom w:val="nil"/>
            </w:tcBorders>
          </w:tcPr>
          <w:p w14:paraId="4AA52DA0" w14:textId="43F1F51E" w:rsidR="00CB5AA3" w:rsidRPr="00FD3EE9" w:rsidRDefault="00CB5AA3"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-1.308*</w:t>
            </w:r>
          </w:p>
        </w:tc>
      </w:tr>
      <w:tr w:rsidR="00C722CA" w:rsidRPr="00FD3EE9" w14:paraId="3708C231"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227BD154" w14:textId="77777777" w:rsidR="00C722CA" w:rsidRPr="00FD3EE9" w:rsidRDefault="00C722CA" w:rsidP="00842BD5">
            <w:pPr>
              <w:ind w:firstLineChars="200" w:firstLine="361"/>
              <w:jc w:val="left"/>
              <w:rPr>
                <w:sz w:val="18"/>
                <w:szCs w:val="20"/>
              </w:rPr>
            </w:pPr>
          </w:p>
        </w:tc>
        <w:tc>
          <w:tcPr>
            <w:tcW w:w="0" w:type="auto"/>
            <w:tcBorders>
              <w:top w:val="nil"/>
              <w:bottom w:val="nil"/>
            </w:tcBorders>
          </w:tcPr>
          <w:p w14:paraId="031A3C3E" w14:textId="5D43B2DE" w:rsidR="00C722CA" w:rsidRPr="00FD3EE9" w:rsidRDefault="00C722CA" w:rsidP="002D7023">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w:t>
            </w:r>
            <w:r w:rsidR="00E05EA1" w:rsidRPr="00FD3EE9">
              <w:rPr>
                <w:sz w:val="18"/>
                <w:szCs w:val="20"/>
              </w:rPr>
              <w:t>584</w:t>
            </w:r>
            <w:r w:rsidRPr="00FD3EE9">
              <w:rPr>
                <w:sz w:val="18"/>
                <w:szCs w:val="20"/>
              </w:rPr>
              <w:t>)</w:t>
            </w:r>
          </w:p>
        </w:tc>
        <w:tc>
          <w:tcPr>
            <w:tcW w:w="0" w:type="auto"/>
            <w:tcBorders>
              <w:top w:val="nil"/>
              <w:bottom w:val="nil"/>
            </w:tcBorders>
          </w:tcPr>
          <w:p w14:paraId="2085B6E5"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44C634A7" w14:textId="4813214F"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(0.5</w:t>
            </w:r>
            <w:r w:rsidR="00203136" w:rsidRPr="00FD3EE9">
              <w:rPr>
                <w:sz w:val="18"/>
                <w:szCs w:val="20"/>
              </w:rPr>
              <w:t>9</w:t>
            </w:r>
            <w:r w:rsidR="00771DA4" w:rsidRPr="00FD3EE9">
              <w:rPr>
                <w:sz w:val="18"/>
                <w:szCs w:val="20"/>
              </w:rPr>
              <w:t>7</w:t>
            </w:r>
            <w:r w:rsidRPr="00FD3EE9">
              <w:rPr>
                <w:sz w:val="18"/>
                <w:szCs w:val="20"/>
              </w:rPr>
              <w:t>)</w:t>
            </w:r>
          </w:p>
        </w:tc>
        <w:tc>
          <w:tcPr>
            <w:tcW w:w="0" w:type="auto"/>
            <w:tcBorders>
              <w:top w:val="nil"/>
              <w:bottom w:val="nil"/>
            </w:tcBorders>
          </w:tcPr>
          <w:p w14:paraId="02DEC3C3" w14:textId="711FDA81"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(0.5</w:t>
            </w:r>
            <w:r w:rsidR="00A31E40" w:rsidRPr="00FD3EE9">
              <w:rPr>
                <w:sz w:val="18"/>
                <w:szCs w:val="20"/>
              </w:rPr>
              <w:t>92</w:t>
            </w:r>
            <w:r w:rsidRPr="00FD3EE9">
              <w:rPr>
                <w:sz w:val="18"/>
                <w:szCs w:val="20"/>
              </w:rPr>
              <w:t>)</w:t>
            </w:r>
          </w:p>
        </w:tc>
      </w:tr>
      <w:tr w:rsidR="009A48C9" w:rsidRPr="00FD3EE9" w14:paraId="05A8026B"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1040CC3C" w14:textId="5D2BA060" w:rsidR="00CB5AA3" w:rsidRPr="00FD3EE9" w:rsidRDefault="007E1F1A" w:rsidP="00842BD5">
            <w:pPr>
              <w:ind w:firstLineChars="200" w:firstLine="360"/>
              <w:jc w:val="left"/>
              <w:rPr>
                <w:b w:val="0"/>
                <w:sz w:val="18"/>
                <w:szCs w:val="20"/>
              </w:rPr>
            </w:pPr>
            <w:r w:rsidRPr="00FD3EE9">
              <w:rPr>
                <w:b w:val="0"/>
                <w:sz w:val="18"/>
                <w:szCs w:val="20"/>
              </w:rPr>
              <w:t xml:space="preserve">Cash Pay </w:t>
            </w:r>
          </w:p>
        </w:tc>
        <w:tc>
          <w:tcPr>
            <w:tcW w:w="0" w:type="auto"/>
            <w:tcBorders>
              <w:top w:val="nil"/>
              <w:bottom w:val="nil"/>
            </w:tcBorders>
          </w:tcPr>
          <w:p w14:paraId="20E7C170" w14:textId="0F122D82"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bottom w:val="nil"/>
            </w:tcBorders>
          </w:tcPr>
          <w:p w14:paraId="75F49C88" w14:textId="0931D5E7" w:rsidR="00CB5AA3" w:rsidRPr="00FD3EE9" w:rsidRDefault="007E1F1A"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0.000**</w:t>
            </w:r>
          </w:p>
        </w:tc>
        <w:tc>
          <w:tcPr>
            <w:tcW w:w="0" w:type="auto"/>
            <w:tcBorders>
              <w:top w:val="nil"/>
              <w:bottom w:val="nil"/>
            </w:tcBorders>
          </w:tcPr>
          <w:p w14:paraId="44260C1C" w14:textId="6E0E6E1D" w:rsidR="00CB5AA3" w:rsidRPr="00FD3EE9" w:rsidRDefault="007E1F1A"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0.000*</w:t>
            </w:r>
          </w:p>
        </w:tc>
        <w:tc>
          <w:tcPr>
            <w:tcW w:w="0" w:type="auto"/>
            <w:tcBorders>
              <w:top w:val="nil"/>
              <w:bottom w:val="nil"/>
            </w:tcBorders>
          </w:tcPr>
          <w:p w14:paraId="02AB6E02" w14:textId="3AA33410" w:rsidR="00CB5AA3" w:rsidRPr="00FD3EE9" w:rsidRDefault="007E1F1A"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0.000*</w:t>
            </w:r>
          </w:p>
        </w:tc>
      </w:tr>
      <w:tr w:rsidR="00C722CA" w:rsidRPr="00FD3EE9" w14:paraId="36BDA262"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0BA54441" w14:textId="77777777" w:rsidR="00C722CA" w:rsidRPr="00FD3EE9" w:rsidRDefault="00C722CA" w:rsidP="00842BD5">
            <w:pPr>
              <w:ind w:firstLineChars="200" w:firstLine="361"/>
              <w:jc w:val="left"/>
              <w:rPr>
                <w:sz w:val="18"/>
                <w:szCs w:val="20"/>
              </w:rPr>
            </w:pPr>
          </w:p>
        </w:tc>
        <w:tc>
          <w:tcPr>
            <w:tcW w:w="0" w:type="auto"/>
            <w:tcBorders>
              <w:top w:val="nil"/>
              <w:bottom w:val="nil"/>
            </w:tcBorders>
          </w:tcPr>
          <w:p w14:paraId="5E381FFE"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2A303DD3" w14:textId="392A2F31"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(0.000)</w:t>
            </w:r>
          </w:p>
        </w:tc>
        <w:tc>
          <w:tcPr>
            <w:tcW w:w="0" w:type="auto"/>
            <w:tcBorders>
              <w:top w:val="nil"/>
              <w:bottom w:val="nil"/>
            </w:tcBorders>
          </w:tcPr>
          <w:p w14:paraId="17C0865F" w14:textId="2279BA27"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(0.000)</w:t>
            </w:r>
          </w:p>
        </w:tc>
        <w:tc>
          <w:tcPr>
            <w:tcW w:w="0" w:type="auto"/>
            <w:tcBorders>
              <w:top w:val="nil"/>
              <w:bottom w:val="nil"/>
            </w:tcBorders>
          </w:tcPr>
          <w:p w14:paraId="4FEF9F43" w14:textId="22D10755"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(0.000)</w:t>
            </w:r>
          </w:p>
        </w:tc>
      </w:tr>
      <w:tr w:rsidR="009A48C9" w:rsidRPr="00FD3EE9" w14:paraId="4AF66200"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1971857D" w14:textId="566BCCAD" w:rsidR="00CB5AA3" w:rsidRPr="00FD3EE9" w:rsidRDefault="007E1F1A" w:rsidP="00842BD5">
            <w:pPr>
              <w:ind w:firstLineChars="200" w:firstLine="360"/>
              <w:jc w:val="left"/>
              <w:rPr>
                <w:b w:val="0"/>
                <w:sz w:val="18"/>
                <w:szCs w:val="20"/>
              </w:rPr>
            </w:pPr>
            <w:r w:rsidRPr="00FD3EE9">
              <w:rPr>
                <w:b w:val="0"/>
                <w:sz w:val="18"/>
                <w:szCs w:val="20"/>
              </w:rPr>
              <w:t>Debt to Asset Ratio</w:t>
            </w:r>
          </w:p>
        </w:tc>
        <w:tc>
          <w:tcPr>
            <w:tcW w:w="0" w:type="auto"/>
            <w:tcBorders>
              <w:top w:val="nil"/>
              <w:bottom w:val="nil"/>
            </w:tcBorders>
          </w:tcPr>
          <w:p w14:paraId="331AC2E0"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bottom w:val="nil"/>
            </w:tcBorders>
          </w:tcPr>
          <w:p w14:paraId="24B2D7FE" w14:textId="7EDA94FF" w:rsidR="00CB5AA3" w:rsidRPr="00FD3EE9" w:rsidRDefault="007E1F1A"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-0.499***</w:t>
            </w:r>
          </w:p>
        </w:tc>
        <w:tc>
          <w:tcPr>
            <w:tcW w:w="0" w:type="auto"/>
            <w:tcBorders>
              <w:top w:val="nil"/>
              <w:bottom w:val="nil"/>
            </w:tcBorders>
          </w:tcPr>
          <w:p w14:paraId="7C14E77A" w14:textId="20F1AB98" w:rsidR="00CB5AA3" w:rsidRPr="00FD3EE9" w:rsidRDefault="007E1F1A"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w:t>
            </w:r>
            <w:r w:rsidR="00771DA4" w:rsidRPr="00FD3EE9">
              <w:rPr>
                <w:sz w:val="18"/>
                <w:szCs w:val="20"/>
              </w:rPr>
              <w:t>400</w:t>
            </w:r>
            <w:r w:rsidRPr="00FD3EE9">
              <w:rPr>
                <w:sz w:val="18"/>
                <w:szCs w:val="20"/>
              </w:rPr>
              <w:t>***</w:t>
            </w:r>
          </w:p>
        </w:tc>
        <w:tc>
          <w:tcPr>
            <w:tcW w:w="0" w:type="auto"/>
            <w:tcBorders>
              <w:top w:val="nil"/>
              <w:bottom w:val="nil"/>
            </w:tcBorders>
          </w:tcPr>
          <w:p w14:paraId="49011E5B" w14:textId="403E7EC9" w:rsidR="00CB5AA3" w:rsidRPr="00FD3EE9" w:rsidRDefault="007E1F1A"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0.387***</w:t>
            </w:r>
          </w:p>
        </w:tc>
      </w:tr>
      <w:tr w:rsidR="00C722CA" w:rsidRPr="00FD3EE9" w14:paraId="4F473C82"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50BE1F03" w14:textId="77777777" w:rsidR="00C722CA" w:rsidRPr="00FD3EE9" w:rsidRDefault="00C722CA" w:rsidP="00842BD5">
            <w:pPr>
              <w:ind w:firstLineChars="200" w:firstLine="361"/>
              <w:jc w:val="left"/>
              <w:rPr>
                <w:sz w:val="18"/>
                <w:szCs w:val="20"/>
              </w:rPr>
            </w:pPr>
          </w:p>
        </w:tc>
        <w:tc>
          <w:tcPr>
            <w:tcW w:w="0" w:type="auto"/>
            <w:tcBorders>
              <w:top w:val="nil"/>
              <w:bottom w:val="nil"/>
            </w:tcBorders>
          </w:tcPr>
          <w:p w14:paraId="28B88CC9"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4AFDB490" w14:textId="57E7BDEE"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(0.09</w:t>
            </w:r>
            <w:r w:rsidR="00E05EA1" w:rsidRPr="00FD3EE9">
              <w:rPr>
                <w:sz w:val="18"/>
                <w:szCs w:val="20"/>
              </w:rPr>
              <w:t>9</w:t>
            </w:r>
            <w:r w:rsidRPr="00FD3EE9">
              <w:rPr>
                <w:sz w:val="18"/>
                <w:szCs w:val="20"/>
              </w:rPr>
              <w:t>)</w:t>
            </w:r>
          </w:p>
        </w:tc>
        <w:tc>
          <w:tcPr>
            <w:tcW w:w="0" w:type="auto"/>
            <w:tcBorders>
              <w:top w:val="nil"/>
              <w:bottom w:val="nil"/>
            </w:tcBorders>
          </w:tcPr>
          <w:p w14:paraId="0204E556" w14:textId="72509C2A"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w:t>
            </w:r>
            <w:r w:rsidR="00203136" w:rsidRPr="00FD3EE9">
              <w:rPr>
                <w:sz w:val="18"/>
                <w:szCs w:val="20"/>
              </w:rPr>
              <w:t>9</w:t>
            </w:r>
            <w:r w:rsidR="00771DA4" w:rsidRPr="00FD3EE9">
              <w:rPr>
                <w:sz w:val="18"/>
                <w:szCs w:val="20"/>
              </w:rPr>
              <w:t>7</w:t>
            </w:r>
            <w:r w:rsidRPr="00FD3EE9">
              <w:rPr>
                <w:sz w:val="18"/>
                <w:szCs w:val="20"/>
              </w:rPr>
              <w:t>)</w:t>
            </w:r>
          </w:p>
        </w:tc>
        <w:tc>
          <w:tcPr>
            <w:tcW w:w="0" w:type="auto"/>
            <w:tcBorders>
              <w:top w:val="nil"/>
              <w:bottom w:val="nil"/>
            </w:tcBorders>
          </w:tcPr>
          <w:p w14:paraId="10DED2BC" w14:textId="2ACF4F00"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w:t>
            </w:r>
            <w:r w:rsidR="00A31E40" w:rsidRPr="00FD3EE9">
              <w:rPr>
                <w:sz w:val="18"/>
                <w:szCs w:val="20"/>
              </w:rPr>
              <w:t>099</w:t>
            </w:r>
            <w:r w:rsidRPr="00FD3EE9">
              <w:rPr>
                <w:sz w:val="18"/>
                <w:szCs w:val="20"/>
              </w:rPr>
              <w:t>)</w:t>
            </w:r>
          </w:p>
        </w:tc>
      </w:tr>
      <w:tr w:rsidR="009A48C9" w:rsidRPr="00FD3EE9" w14:paraId="12C56EBA"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691A64C7" w14:textId="5072E310" w:rsidR="00CB5AA3" w:rsidRPr="00FD3EE9" w:rsidRDefault="00F51062" w:rsidP="00842BD5">
            <w:pPr>
              <w:ind w:firstLineChars="200" w:firstLine="360"/>
              <w:jc w:val="left"/>
              <w:rPr>
                <w:b w:val="0"/>
                <w:sz w:val="18"/>
                <w:szCs w:val="20"/>
              </w:rPr>
            </w:pPr>
            <w:r w:rsidRPr="00FD3EE9">
              <w:rPr>
                <w:b w:val="0"/>
                <w:sz w:val="18"/>
                <w:szCs w:val="20"/>
              </w:rPr>
              <w:t>Return on Equity</w:t>
            </w:r>
          </w:p>
        </w:tc>
        <w:tc>
          <w:tcPr>
            <w:tcW w:w="0" w:type="auto"/>
            <w:tcBorders>
              <w:top w:val="nil"/>
              <w:bottom w:val="nil"/>
            </w:tcBorders>
          </w:tcPr>
          <w:p w14:paraId="34990AC6"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bottom w:val="nil"/>
            </w:tcBorders>
          </w:tcPr>
          <w:p w14:paraId="6E3F17A8" w14:textId="5239DEDF" w:rsidR="00CB5AA3" w:rsidRPr="00FD3EE9" w:rsidRDefault="00F51062"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w:t>
            </w:r>
            <w:r w:rsidR="00E05EA1" w:rsidRPr="00FD3EE9">
              <w:rPr>
                <w:sz w:val="18"/>
                <w:szCs w:val="20"/>
              </w:rPr>
              <w:t>294</w:t>
            </w:r>
          </w:p>
        </w:tc>
        <w:tc>
          <w:tcPr>
            <w:tcW w:w="0" w:type="auto"/>
            <w:tcBorders>
              <w:top w:val="nil"/>
              <w:bottom w:val="nil"/>
            </w:tcBorders>
          </w:tcPr>
          <w:p w14:paraId="057B7E0C" w14:textId="1983EF12" w:rsidR="00CB5AA3" w:rsidRPr="00FD3EE9" w:rsidRDefault="00F51062"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0.32</w:t>
            </w:r>
            <w:r w:rsidR="00771DA4" w:rsidRPr="00FD3EE9">
              <w:rPr>
                <w:sz w:val="18"/>
                <w:szCs w:val="20"/>
              </w:rPr>
              <w:t>3</w:t>
            </w:r>
          </w:p>
        </w:tc>
        <w:tc>
          <w:tcPr>
            <w:tcW w:w="0" w:type="auto"/>
            <w:tcBorders>
              <w:top w:val="nil"/>
              <w:bottom w:val="nil"/>
            </w:tcBorders>
          </w:tcPr>
          <w:p w14:paraId="6D9F4921" w14:textId="5803BCDD" w:rsidR="00CB5AA3" w:rsidRPr="00FD3EE9" w:rsidRDefault="00F51062"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0.325</w:t>
            </w:r>
          </w:p>
        </w:tc>
      </w:tr>
      <w:tr w:rsidR="00C722CA" w:rsidRPr="00FD3EE9" w14:paraId="2CD61916"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3D3AC824" w14:textId="77777777" w:rsidR="00C722CA" w:rsidRPr="00FD3EE9" w:rsidRDefault="00C722CA" w:rsidP="00842BD5">
            <w:pPr>
              <w:ind w:firstLineChars="200" w:firstLine="361"/>
              <w:jc w:val="left"/>
              <w:rPr>
                <w:sz w:val="18"/>
                <w:szCs w:val="20"/>
              </w:rPr>
            </w:pPr>
          </w:p>
        </w:tc>
        <w:tc>
          <w:tcPr>
            <w:tcW w:w="0" w:type="auto"/>
            <w:tcBorders>
              <w:top w:val="nil"/>
              <w:bottom w:val="nil"/>
            </w:tcBorders>
          </w:tcPr>
          <w:p w14:paraId="131CF262"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588B6341" w14:textId="112804DB"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w:t>
            </w:r>
            <w:r w:rsidR="00E05EA1" w:rsidRPr="00FD3EE9">
              <w:rPr>
                <w:sz w:val="18"/>
                <w:szCs w:val="20"/>
              </w:rPr>
              <w:t>214</w:t>
            </w:r>
            <w:r w:rsidRPr="00FD3EE9">
              <w:rPr>
                <w:sz w:val="18"/>
                <w:szCs w:val="20"/>
              </w:rPr>
              <w:t>)</w:t>
            </w:r>
          </w:p>
        </w:tc>
        <w:tc>
          <w:tcPr>
            <w:tcW w:w="0" w:type="auto"/>
            <w:tcBorders>
              <w:top w:val="nil"/>
              <w:bottom w:val="nil"/>
            </w:tcBorders>
          </w:tcPr>
          <w:p w14:paraId="766BA3A7" w14:textId="75774A18"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w:t>
            </w:r>
            <w:r w:rsidR="00203136" w:rsidRPr="00FD3EE9">
              <w:rPr>
                <w:sz w:val="18"/>
                <w:szCs w:val="20"/>
              </w:rPr>
              <w:t>20</w:t>
            </w:r>
            <w:r w:rsidR="00771DA4" w:rsidRPr="00FD3EE9">
              <w:rPr>
                <w:sz w:val="18"/>
                <w:szCs w:val="20"/>
              </w:rPr>
              <w:t>5</w:t>
            </w:r>
            <w:r w:rsidRPr="00FD3EE9">
              <w:rPr>
                <w:sz w:val="18"/>
                <w:szCs w:val="20"/>
              </w:rPr>
              <w:t>)</w:t>
            </w:r>
          </w:p>
        </w:tc>
        <w:tc>
          <w:tcPr>
            <w:tcW w:w="0" w:type="auto"/>
            <w:tcBorders>
              <w:top w:val="nil"/>
              <w:bottom w:val="nil"/>
            </w:tcBorders>
          </w:tcPr>
          <w:p w14:paraId="1A724537" w14:textId="4B6D1D62"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w:t>
            </w:r>
            <w:r w:rsidR="00A31E40" w:rsidRPr="00FD3EE9">
              <w:rPr>
                <w:sz w:val="18"/>
                <w:szCs w:val="20"/>
              </w:rPr>
              <w:t>207</w:t>
            </w:r>
            <w:r w:rsidRPr="00FD3EE9">
              <w:rPr>
                <w:sz w:val="18"/>
                <w:szCs w:val="20"/>
              </w:rPr>
              <w:t>)</w:t>
            </w:r>
          </w:p>
        </w:tc>
      </w:tr>
      <w:tr w:rsidR="009A48C9" w:rsidRPr="00FD3EE9" w14:paraId="270C3064"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3B35933D" w14:textId="627DCE8D" w:rsidR="00CB5AA3" w:rsidRPr="00FD3EE9" w:rsidRDefault="00F51062" w:rsidP="00842BD5">
            <w:pPr>
              <w:ind w:firstLineChars="200" w:firstLine="360"/>
              <w:jc w:val="left"/>
              <w:rPr>
                <w:b w:val="0"/>
                <w:sz w:val="18"/>
                <w:szCs w:val="20"/>
              </w:rPr>
            </w:pPr>
            <w:r w:rsidRPr="00FD3EE9">
              <w:rPr>
                <w:b w:val="0"/>
                <w:sz w:val="18"/>
                <w:szCs w:val="20"/>
              </w:rPr>
              <w:t>Stock Return</w:t>
            </w:r>
          </w:p>
        </w:tc>
        <w:tc>
          <w:tcPr>
            <w:tcW w:w="0" w:type="auto"/>
            <w:tcBorders>
              <w:top w:val="nil"/>
              <w:bottom w:val="nil"/>
            </w:tcBorders>
          </w:tcPr>
          <w:p w14:paraId="115E5172"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bottom w:val="nil"/>
            </w:tcBorders>
          </w:tcPr>
          <w:p w14:paraId="6A67446C" w14:textId="474EF1FE" w:rsidR="00CB5AA3" w:rsidRPr="00FD3EE9" w:rsidRDefault="00F51062"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w:t>
            </w:r>
            <w:r w:rsidR="00E05EA1" w:rsidRPr="00FD3EE9">
              <w:rPr>
                <w:sz w:val="18"/>
                <w:szCs w:val="20"/>
              </w:rPr>
              <w:t>103</w:t>
            </w:r>
            <w:r w:rsidRPr="00FD3EE9">
              <w:rPr>
                <w:sz w:val="18"/>
                <w:szCs w:val="20"/>
              </w:rPr>
              <w:t>***</w:t>
            </w:r>
          </w:p>
        </w:tc>
        <w:tc>
          <w:tcPr>
            <w:tcW w:w="0" w:type="auto"/>
            <w:tcBorders>
              <w:top w:val="nil"/>
              <w:bottom w:val="nil"/>
            </w:tcBorders>
          </w:tcPr>
          <w:p w14:paraId="16B8E46A" w14:textId="7C6282A3" w:rsidR="00CB5AA3" w:rsidRPr="00FD3EE9" w:rsidRDefault="00F51062"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0.1</w:t>
            </w:r>
            <w:r w:rsidR="00771DA4" w:rsidRPr="00FD3EE9">
              <w:rPr>
                <w:sz w:val="18"/>
                <w:szCs w:val="20"/>
              </w:rPr>
              <w:t>25</w:t>
            </w:r>
            <w:r w:rsidRPr="00FD3EE9">
              <w:rPr>
                <w:sz w:val="18"/>
                <w:szCs w:val="20"/>
              </w:rPr>
              <w:t>***</w:t>
            </w:r>
          </w:p>
        </w:tc>
        <w:tc>
          <w:tcPr>
            <w:tcW w:w="0" w:type="auto"/>
            <w:tcBorders>
              <w:top w:val="nil"/>
              <w:bottom w:val="nil"/>
            </w:tcBorders>
          </w:tcPr>
          <w:p w14:paraId="4E1F6FAD" w14:textId="11B0EF80" w:rsidR="00CB5AA3" w:rsidRPr="00FD3EE9" w:rsidRDefault="00F51062"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0.119***</w:t>
            </w:r>
          </w:p>
        </w:tc>
      </w:tr>
      <w:tr w:rsidR="00C722CA" w:rsidRPr="00FD3EE9" w14:paraId="5D8B2BFA"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1097631E" w14:textId="77777777" w:rsidR="00C722CA" w:rsidRPr="00FD3EE9" w:rsidRDefault="00C722CA" w:rsidP="00842BD5">
            <w:pPr>
              <w:ind w:firstLineChars="200" w:firstLine="361"/>
              <w:jc w:val="left"/>
              <w:rPr>
                <w:sz w:val="18"/>
                <w:szCs w:val="20"/>
              </w:rPr>
            </w:pPr>
          </w:p>
        </w:tc>
        <w:tc>
          <w:tcPr>
            <w:tcW w:w="0" w:type="auto"/>
            <w:tcBorders>
              <w:top w:val="nil"/>
              <w:bottom w:val="nil"/>
            </w:tcBorders>
          </w:tcPr>
          <w:p w14:paraId="1AC22A93"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25E8177B" w14:textId="76A00360"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(0.022)</w:t>
            </w:r>
          </w:p>
        </w:tc>
        <w:tc>
          <w:tcPr>
            <w:tcW w:w="0" w:type="auto"/>
            <w:tcBorders>
              <w:top w:val="nil"/>
              <w:bottom w:val="nil"/>
            </w:tcBorders>
          </w:tcPr>
          <w:p w14:paraId="53D98780" w14:textId="6A3A943C"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w:t>
            </w:r>
            <w:r w:rsidR="00771DA4" w:rsidRPr="00FD3EE9">
              <w:rPr>
                <w:sz w:val="18"/>
                <w:szCs w:val="20"/>
              </w:rPr>
              <w:t>22</w:t>
            </w:r>
            <w:r w:rsidRPr="00FD3EE9">
              <w:rPr>
                <w:sz w:val="18"/>
                <w:szCs w:val="20"/>
              </w:rPr>
              <w:t>)</w:t>
            </w:r>
          </w:p>
        </w:tc>
        <w:tc>
          <w:tcPr>
            <w:tcW w:w="0" w:type="auto"/>
            <w:tcBorders>
              <w:top w:val="nil"/>
              <w:bottom w:val="nil"/>
            </w:tcBorders>
          </w:tcPr>
          <w:p w14:paraId="5B300DB8" w14:textId="72F52B37"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(0.03</w:t>
            </w:r>
            <w:r w:rsidR="00A31E40" w:rsidRPr="00FD3EE9">
              <w:rPr>
                <w:sz w:val="18"/>
                <w:szCs w:val="20"/>
              </w:rPr>
              <w:t>2</w:t>
            </w:r>
            <w:r w:rsidRPr="00FD3EE9">
              <w:rPr>
                <w:sz w:val="18"/>
                <w:szCs w:val="20"/>
              </w:rPr>
              <w:t>)</w:t>
            </w:r>
          </w:p>
        </w:tc>
      </w:tr>
      <w:tr w:rsidR="009A48C9" w:rsidRPr="00FD3EE9" w14:paraId="16DFF93D"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19A93F6D" w14:textId="0F69ED17" w:rsidR="00CB5AA3" w:rsidRPr="00FD3EE9" w:rsidRDefault="00F51062" w:rsidP="00842BD5">
            <w:pPr>
              <w:ind w:firstLineChars="200" w:firstLine="360"/>
              <w:jc w:val="left"/>
              <w:rPr>
                <w:b w:val="0"/>
                <w:sz w:val="18"/>
                <w:szCs w:val="20"/>
              </w:rPr>
            </w:pPr>
            <w:r w:rsidRPr="00FD3EE9">
              <w:rPr>
                <w:b w:val="0"/>
                <w:sz w:val="18"/>
                <w:szCs w:val="20"/>
              </w:rPr>
              <w:t>Industry-specific Overvaluation</w:t>
            </w:r>
          </w:p>
        </w:tc>
        <w:tc>
          <w:tcPr>
            <w:tcW w:w="0" w:type="auto"/>
            <w:tcBorders>
              <w:top w:val="nil"/>
              <w:bottom w:val="nil"/>
            </w:tcBorders>
          </w:tcPr>
          <w:p w14:paraId="0CF2FCF0"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bottom w:val="nil"/>
            </w:tcBorders>
          </w:tcPr>
          <w:p w14:paraId="60DE2979" w14:textId="3AA66C19" w:rsidR="00CB5AA3" w:rsidRPr="00FD3EE9" w:rsidRDefault="00F51062"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0.2</w:t>
            </w:r>
            <w:r w:rsidR="00E05EA1" w:rsidRPr="00FD3EE9">
              <w:rPr>
                <w:sz w:val="18"/>
                <w:szCs w:val="20"/>
              </w:rPr>
              <w:t>1</w:t>
            </w:r>
            <w:r w:rsidRPr="00FD3EE9">
              <w:rPr>
                <w:sz w:val="18"/>
                <w:szCs w:val="20"/>
              </w:rPr>
              <w:t>5***</w:t>
            </w:r>
          </w:p>
        </w:tc>
        <w:tc>
          <w:tcPr>
            <w:tcW w:w="0" w:type="auto"/>
            <w:tcBorders>
              <w:top w:val="nil"/>
              <w:bottom w:val="nil"/>
            </w:tcBorders>
          </w:tcPr>
          <w:p w14:paraId="45EA0031" w14:textId="6455A6B9" w:rsidR="00CB5AA3" w:rsidRPr="00FD3EE9" w:rsidRDefault="00F51062"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w:t>
            </w:r>
            <w:r w:rsidR="00771DA4" w:rsidRPr="00FD3EE9">
              <w:rPr>
                <w:sz w:val="18"/>
                <w:szCs w:val="20"/>
              </w:rPr>
              <w:t>183</w:t>
            </w:r>
            <w:r w:rsidRPr="00FD3EE9">
              <w:rPr>
                <w:sz w:val="18"/>
                <w:szCs w:val="20"/>
              </w:rPr>
              <w:t>***</w:t>
            </w:r>
          </w:p>
        </w:tc>
        <w:tc>
          <w:tcPr>
            <w:tcW w:w="0" w:type="auto"/>
            <w:tcBorders>
              <w:top w:val="nil"/>
              <w:bottom w:val="nil"/>
            </w:tcBorders>
          </w:tcPr>
          <w:p w14:paraId="3D162D98" w14:textId="6D7FCFB8" w:rsidR="00CB5AA3" w:rsidRPr="00FD3EE9" w:rsidRDefault="00F51062"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w:t>
            </w:r>
            <w:r w:rsidR="00771DA4" w:rsidRPr="00FD3EE9">
              <w:rPr>
                <w:sz w:val="18"/>
                <w:szCs w:val="20"/>
              </w:rPr>
              <w:t>.</w:t>
            </w:r>
            <w:r w:rsidR="00A31E40" w:rsidRPr="00FD3EE9">
              <w:rPr>
                <w:sz w:val="18"/>
                <w:szCs w:val="20"/>
              </w:rPr>
              <w:t>467</w:t>
            </w:r>
            <w:r w:rsidRPr="00FD3EE9">
              <w:rPr>
                <w:sz w:val="18"/>
                <w:szCs w:val="20"/>
              </w:rPr>
              <w:t>***</w:t>
            </w:r>
          </w:p>
        </w:tc>
      </w:tr>
      <w:tr w:rsidR="00C722CA" w:rsidRPr="00FD3EE9" w14:paraId="2FF58D6C"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497CFCD2" w14:textId="77777777" w:rsidR="00C722CA" w:rsidRPr="00FD3EE9" w:rsidRDefault="00C722CA" w:rsidP="00842BD5">
            <w:pPr>
              <w:ind w:firstLineChars="200" w:firstLine="361"/>
              <w:jc w:val="left"/>
              <w:rPr>
                <w:sz w:val="18"/>
                <w:szCs w:val="20"/>
              </w:rPr>
            </w:pPr>
          </w:p>
        </w:tc>
        <w:tc>
          <w:tcPr>
            <w:tcW w:w="0" w:type="auto"/>
            <w:tcBorders>
              <w:top w:val="nil"/>
              <w:bottom w:val="nil"/>
            </w:tcBorders>
          </w:tcPr>
          <w:p w14:paraId="5AFBE3F9"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0C659F94" w14:textId="1D8DD838"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(0.04</w:t>
            </w:r>
            <w:r w:rsidR="00E05EA1" w:rsidRPr="00FD3EE9">
              <w:rPr>
                <w:sz w:val="18"/>
                <w:szCs w:val="20"/>
              </w:rPr>
              <w:t>9</w:t>
            </w:r>
            <w:r w:rsidRPr="00FD3EE9">
              <w:rPr>
                <w:sz w:val="18"/>
                <w:szCs w:val="20"/>
              </w:rPr>
              <w:t>)</w:t>
            </w:r>
          </w:p>
        </w:tc>
        <w:tc>
          <w:tcPr>
            <w:tcW w:w="0" w:type="auto"/>
            <w:tcBorders>
              <w:top w:val="nil"/>
              <w:bottom w:val="nil"/>
            </w:tcBorders>
          </w:tcPr>
          <w:p w14:paraId="31A79542" w14:textId="44E9FABF"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w:t>
            </w:r>
            <w:r w:rsidR="00771DA4" w:rsidRPr="00FD3EE9">
              <w:rPr>
                <w:sz w:val="18"/>
                <w:szCs w:val="20"/>
              </w:rPr>
              <w:t>48</w:t>
            </w:r>
            <w:r w:rsidRPr="00FD3EE9">
              <w:rPr>
                <w:sz w:val="18"/>
                <w:szCs w:val="20"/>
              </w:rPr>
              <w:t>)</w:t>
            </w:r>
          </w:p>
        </w:tc>
        <w:tc>
          <w:tcPr>
            <w:tcW w:w="0" w:type="auto"/>
            <w:tcBorders>
              <w:top w:val="nil"/>
              <w:bottom w:val="nil"/>
            </w:tcBorders>
          </w:tcPr>
          <w:p w14:paraId="0515CA10" w14:textId="6B547BA6"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(0.09</w:t>
            </w:r>
            <w:r w:rsidR="00A31E40" w:rsidRPr="00FD3EE9">
              <w:rPr>
                <w:sz w:val="18"/>
                <w:szCs w:val="20"/>
              </w:rPr>
              <w:t>5</w:t>
            </w:r>
            <w:r w:rsidRPr="00FD3EE9">
              <w:rPr>
                <w:sz w:val="18"/>
                <w:szCs w:val="20"/>
              </w:rPr>
              <w:t>)</w:t>
            </w:r>
          </w:p>
        </w:tc>
      </w:tr>
      <w:tr w:rsidR="009A48C9" w:rsidRPr="00FD3EE9" w14:paraId="76C56202"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2969448C" w14:textId="6DB9341D" w:rsidR="00CB5AA3" w:rsidRPr="00FD3EE9" w:rsidRDefault="00444BE0" w:rsidP="00842BD5">
            <w:pPr>
              <w:ind w:firstLineChars="200" w:firstLine="360"/>
              <w:jc w:val="left"/>
              <w:rPr>
                <w:b w:val="0"/>
                <w:sz w:val="18"/>
                <w:szCs w:val="20"/>
              </w:rPr>
            </w:pPr>
            <w:r w:rsidRPr="00FD3EE9">
              <w:rPr>
                <w:b w:val="0"/>
                <w:sz w:val="18"/>
                <w:szCs w:val="20"/>
              </w:rPr>
              <w:t>Firm-specific Overvaluation</w:t>
            </w:r>
          </w:p>
        </w:tc>
        <w:tc>
          <w:tcPr>
            <w:tcW w:w="0" w:type="auto"/>
            <w:tcBorders>
              <w:top w:val="nil"/>
              <w:bottom w:val="nil"/>
            </w:tcBorders>
          </w:tcPr>
          <w:p w14:paraId="467768DB"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bottom w:val="nil"/>
            </w:tcBorders>
          </w:tcPr>
          <w:p w14:paraId="6DFE63A9" w14:textId="65ACADB7" w:rsidR="00CB5AA3" w:rsidRPr="00FD3EE9" w:rsidRDefault="00444BE0"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0.0</w:t>
            </w:r>
            <w:r w:rsidR="00E05EA1" w:rsidRPr="00FD3EE9">
              <w:rPr>
                <w:sz w:val="18"/>
                <w:szCs w:val="20"/>
              </w:rPr>
              <w:t>29</w:t>
            </w:r>
          </w:p>
        </w:tc>
        <w:tc>
          <w:tcPr>
            <w:tcW w:w="0" w:type="auto"/>
            <w:tcBorders>
              <w:top w:val="nil"/>
              <w:bottom w:val="nil"/>
            </w:tcBorders>
          </w:tcPr>
          <w:p w14:paraId="53423CE2"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bottom w:val="nil"/>
            </w:tcBorders>
          </w:tcPr>
          <w:p w14:paraId="2F2698EC"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r>
      <w:tr w:rsidR="00C722CA" w:rsidRPr="00FD3EE9" w14:paraId="7C10DE29"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2B7C34CE" w14:textId="77777777" w:rsidR="00C722CA" w:rsidRPr="00FD3EE9" w:rsidRDefault="00C722CA" w:rsidP="00842BD5">
            <w:pPr>
              <w:ind w:firstLineChars="200" w:firstLine="361"/>
              <w:jc w:val="left"/>
              <w:rPr>
                <w:sz w:val="18"/>
                <w:szCs w:val="20"/>
              </w:rPr>
            </w:pPr>
          </w:p>
        </w:tc>
        <w:tc>
          <w:tcPr>
            <w:tcW w:w="0" w:type="auto"/>
            <w:tcBorders>
              <w:top w:val="nil"/>
              <w:bottom w:val="nil"/>
            </w:tcBorders>
          </w:tcPr>
          <w:p w14:paraId="57028A3E"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177E4A56" w14:textId="2C91295D"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w:t>
            </w:r>
            <w:r w:rsidR="00E05EA1" w:rsidRPr="00FD3EE9">
              <w:rPr>
                <w:sz w:val="18"/>
                <w:szCs w:val="20"/>
              </w:rPr>
              <w:t>32</w:t>
            </w:r>
            <w:r w:rsidRPr="00FD3EE9">
              <w:rPr>
                <w:sz w:val="18"/>
                <w:szCs w:val="20"/>
              </w:rPr>
              <w:t>)</w:t>
            </w:r>
          </w:p>
        </w:tc>
        <w:tc>
          <w:tcPr>
            <w:tcW w:w="0" w:type="auto"/>
            <w:tcBorders>
              <w:top w:val="nil"/>
              <w:bottom w:val="nil"/>
            </w:tcBorders>
          </w:tcPr>
          <w:p w14:paraId="62F6889A"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26E3611A"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r>
      <w:tr w:rsidR="009A48C9" w:rsidRPr="00FD3EE9" w14:paraId="4E41200E"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0D4DE37C" w14:textId="7511358B" w:rsidR="00CB5AA3" w:rsidRPr="00FD3EE9" w:rsidRDefault="00444BE0" w:rsidP="00842BD5">
            <w:pPr>
              <w:ind w:firstLineChars="200" w:firstLine="360"/>
              <w:jc w:val="left"/>
              <w:rPr>
                <w:b w:val="0"/>
                <w:sz w:val="18"/>
                <w:szCs w:val="20"/>
              </w:rPr>
            </w:pPr>
            <w:r w:rsidRPr="00FD3EE9">
              <w:rPr>
                <w:b w:val="0"/>
                <w:sz w:val="18"/>
                <w:szCs w:val="20"/>
              </w:rPr>
              <w:t>Long-term Growth Expectation</w:t>
            </w:r>
          </w:p>
        </w:tc>
        <w:tc>
          <w:tcPr>
            <w:tcW w:w="0" w:type="auto"/>
            <w:tcBorders>
              <w:top w:val="nil"/>
              <w:bottom w:val="nil"/>
            </w:tcBorders>
          </w:tcPr>
          <w:p w14:paraId="001CD029"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bottom w:val="nil"/>
            </w:tcBorders>
          </w:tcPr>
          <w:p w14:paraId="6C6A6CA4" w14:textId="57EC8D21" w:rsidR="00CB5AA3" w:rsidRPr="00FD3EE9" w:rsidRDefault="00444BE0"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w:t>
            </w:r>
            <w:r w:rsidR="00E05EA1" w:rsidRPr="00FD3EE9">
              <w:rPr>
                <w:sz w:val="18"/>
                <w:szCs w:val="20"/>
              </w:rPr>
              <w:t>182</w:t>
            </w:r>
          </w:p>
        </w:tc>
        <w:tc>
          <w:tcPr>
            <w:tcW w:w="0" w:type="auto"/>
            <w:tcBorders>
              <w:top w:val="nil"/>
              <w:bottom w:val="nil"/>
            </w:tcBorders>
          </w:tcPr>
          <w:p w14:paraId="49D6AED0"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bottom w:val="nil"/>
            </w:tcBorders>
          </w:tcPr>
          <w:p w14:paraId="4BFD44B1"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r>
      <w:tr w:rsidR="00C722CA" w:rsidRPr="00FD3EE9" w14:paraId="5011DCCE"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09159AA7" w14:textId="77777777" w:rsidR="00C722CA" w:rsidRPr="00FD3EE9" w:rsidRDefault="00C722CA" w:rsidP="00842BD5">
            <w:pPr>
              <w:ind w:firstLineChars="200" w:firstLine="361"/>
              <w:jc w:val="left"/>
              <w:rPr>
                <w:sz w:val="18"/>
                <w:szCs w:val="20"/>
              </w:rPr>
            </w:pPr>
          </w:p>
        </w:tc>
        <w:tc>
          <w:tcPr>
            <w:tcW w:w="0" w:type="auto"/>
            <w:tcBorders>
              <w:top w:val="nil"/>
              <w:bottom w:val="nil"/>
            </w:tcBorders>
          </w:tcPr>
          <w:p w14:paraId="1CDAB3A4"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0D2A4C2F" w14:textId="28EF1B9B"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w:t>
            </w:r>
            <w:r w:rsidR="00E05EA1" w:rsidRPr="00FD3EE9">
              <w:rPr>
                <w:sz w:val="18"/>
                <w:szCs w:val="20"/>
              </w:rPr>
              <w:t>113</w:t>
            </w:r>
            <w:r w:rsidRPr="00FD3EE9">
              <w:rPr>
                <w:sz w:val="18"/>
                <w:szCs w:val="20"/>
              </w:rPr>
              <w:t>)</w:t>
            </w:r>
          </w:p>
        </w:tc>
        <w:tc>
          <w:tcPr>
            <w:tcW w:w="0" w:type="auto"/>
            <w:tcBorders>
              <w:top w:val="nil"/>
              <w:bottom w:val="nil"/>
            </w:tcBorders>
          </w:tcPr>
          <w:p w14:paraId="2AB963FE"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253DD49A"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r>
      <w:tr w:rsidR="009A48C9" w:rsidRPr="00FD3EE9" w14:paraId="49229852"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33778630" w14:textId="303FFCD3" w:rsidR="00CB5AA3" w:rsidRPr="00FD3EE9" w:rsidRDefault="00560AEA" w:rsidP="00842BD5">
            <w:pPr>
              <w:ind w:firstLineChars="200" w:firstLine="360"/>
              <w:jc w:val="left"/>
              <w:rPr>
                <w:b w:val="0"/>
                <w:sz w:val="18"/>
                <w:szCs w:val="20"/>
              </w:rPr>
            </w:pPr>
            <w:r w:rsidRPr="00FD3EE9">
              <w:rPr>
                <w:b w:val="0"/>
                <w:sz w:val="18"/>
                <w:szCs w:val="20"/>
              </w:rPr>
              <w:t>Firm Size</w:t>
            </w:r>
          </w:p>
        </w:tc>
        <w:tc>
          <w:tcPr>
            <w:tcW w:w="0" w:type="auto"/>
            <w:tcBorders>
              <w:top w:val="nil"/>
              <w:bottom w:val="nil"/>
            </w:tcBorders>
          </w:tcPr>
          <w:p w14:paraId="0B63B5C2"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bottom w:val="nil"/>
            </w:tcBorders>
          </w:tcPr>
          <w:p w14:paraId="0B40908C" w14:textId="7802E35F" w:rsidR="00CB5AA3" w:rsidRPr="00FD3EE9" w:rsidRDefault="00560AEA"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0.2</w:t>
            </w:r>
            <w:r w:rsidR="00E05EA1" w:rsidRPr="00FD3EE9">
              <w:rPr>
                <w:sz w:val="18"/>
                <w:szCs w:val="20"/>
              </w:rPr>
              <w:t>05</w:t>
            </w:r>
            <w:r w:rsidRPr="00FD3EE9">
              <w:rPr>
                <w:sz w:val="18"/>
                <w:szCs w:val="20"/>
              </w:rPr>
              <w:t>***</w:t>
            </w:r>
          </w:p>
        </w:tc>
        <w:tc>
          <w:tcPr>
            <w:tcW w:w="0" w:type="auto"/>
            <w:tcBorders>
              <w:top w:val="nil"/>
              <w:bottom w:val="nil"/>
            </w:tcBorders>
          </w:tcPr>
          <w:p w14:paraId="46F5FFC2" w14:textId="5F454EAC" w:rsidR="00CB5AA3" w:rsidRPr="00FD3EE9" w:rsidRDefault="00560AEA"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0.17</w:t>
            </w:r>
            <w:r w:rsidR="00771DA4" w:rsidRPr="00FD3EE9">
              <w:rPr>
                <w:sz w:val="18"/>
                <w:szCs w:val="20"/>
              </w:rPr>
              <w:t>6</w:t>
            </w:r>
            <w:r w:rsidRPr="00FD3EE9">
              <w:rPr>
                <w:sz w:val="18"/>
                <w:szCs w:val="20"/>
              </w:rPr>
              <w:t>***</w:t>
            </w:r>
          </w:p>
        </w:tc>
        <w:tc>
          <w:tcPr>
            <w:tcW w:w="0" w:type="auto"/>
            <w:tcBorders>
              <w:top w:val="nil"/>
              <w:bottom w:val="nil"/>
            </w:tcBorders>
          </w:tcPr>
          <w:p w14:paraId="66619874" w14:textId="58DBDD86" w:rsidR="00CB5AA3" w:rsidRPr="00FD3EE9" w:rsidRDefault="00560AEA"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0.180***</w:t>
            </w:r>
          </w:p>
        </w:tc>
      </w:tr>
      <w:tr w:rsidR="00C722CA" w:rsidRPr="00FD3EE9" w14:paraId="65ABC79F"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3154280E" w14:textId="77777777" w:rsidR="00C722CA" w:rsidRPr="00FD3EE9" w:rsidRDefault="00C722CA" w:rsidP="00842BD5">
            <w:pPr>
              <w:ind w:firstLineChars="200" w:firstLine="361"/>
              <w:jc w:val="left"/>
              <w:rPr>
                <w:sz w:val="18"/>
                <w:szCs w:val="20"/>
              </w:rPr>
            </w:pPr>
          </w:p>
        </w:tc>
        <w:tc>
          <w:tcPr>
            <w:tcW w:w="0" w:type="auto"/>
            <w:tcBorders>
              <w:top w:val="nil"/>
              <w:bottom w:val="nil"/>
            </w:tcBorders>
          </w:tcPr>
          <w:p w14:paraId="04916F3D"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5A653BF1" w14:textId="21D99A17"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w:t>
            </w:r>
            <w:r w:rsidR="00E05EA1" w:rsidRPr="00FD3EE9">
              <w:rPr>
                <w:sz w:val="18"/>
                <w:szCs w:val="20"/>
              </w:rPr>
              <w:t>39</w:t>
            </w:r>
            <w:r w:rsidRPr="00FD3EE9">
              <w:rPr>
                <w:sz w:val="18"/>
                <w:szCs w:val="20"/>
              </w:rPr>
              <w:t>)</w:t>
            </w:r>
          </w:p>
        </w:tc>
        <w:tc>
          <w:tcPr>
            <w:tcW w:w="0" w:type="auto"/>
            <w:tcBorders>
              <w:top w:val="nil"/>
              <w:bottom w:val="nil"/>
            </w:tcBorders>
          </w:tcPr>
          <w:p w14:paraId="78B98302" w14:textId="00E7FBCC"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w:t>
            </w:r>
            <w:r w:rsidR="00771DA4" w:rsidRPr="00FD3EE9">
              <w:rPr>
                <w:sz w:val="18"/>
                <w:szCs w:val="20"/>
              </w:rPr>
              <w:t>21</w:t>
            </w:r>
            <w:r w:rsidRPr="00FD3EE9">
              <w:rPr>
                <w:sz w:val="18"/>
                <w:szCs w:val="20"/>
              </w:rPr>
              <w:t>)</w:t>
            </w:r>
          </w:p>
        </w:tc>
        <w:tc>
          <w:tcPr>
            <w:tcW w:w="0" w:type="auto"/>
            <w:tcBorders>
              <w:top w:val="nil"/>
              <w:bottom w:val="nil"/>
            </w:tcBorders>
          </w:tcPr>
          <w:p w14:paraId="7FE3EA98" w14:textId="267D4D5A"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w:t>
            </w:r>
            <w:r w:rsidR="00A31E40" w:rsidRPr="00FD3EE9">
              <w:rPr>
                <w:sz w:val="18"/>
                <w:szCs w:val="20"/>
              </w:rPr>
              <w:t>22</w:t>
            </w:r>
            <w:r w:rsidRPr="00FD3EE9">
              <w:rPr>
                <w:sz w:val="18"/>
                <w:szCs w:val="20"/>
              </w:rPr>
              <w:t>)</w:t>
            </w:r>
          </w:p>
        </w:tc>
      </w:tr>
      <w:tr w:rsidR="009A48C9" w:rsidRPr="00FD3EE9" w14:paraId="422356AB"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4F3A5722" w14:textId="34694997" w:rsidR="00CB5AA3" w:rsidRPr="00FD3EE9" w:rsidRDefault="00461712" w:rsidP="00842BD5">
            <w:pPr>
              <w:ind w:firstLineChars="200" w:firstLine="360"/>
              <w:jc w:val="left"/>
              <w:rPr>
                <w:b w:val="0"/>
                <w:sz w:val="18"/>
                <w:szCs w:val="20"/>
              </w:rPr>
            </w:pPr>
            <w:r w:rsidRPr="00FD3EE9">
              <w:rPr>
                <w:b w:val="0"/>
                <w:sz w:val="18"/>
                <w:szCs w:val="20"/>
              </w:rPr>
              <w:t>Firm Growth</w:t>
            </w:r>
          </w:p>
        </w:tc>
        <w:tc>
          <w:tcPr>
            <w:tcW w:w="0" w:type="auto"/>
            <w:tcBorders>
              <w:top w:val="nil"/>
              <w:bottom w:val="nil"/>
            </w:tcBorders>
          </w:tcPr>
          <w:p w14:paraId="0C2D88EC"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bottom w:val="nil"/>
            </w:tcBorders>
          </w:tcPr>
          <w:p w14:paraId="49EA89D8" w14:textId="33F93175" w:rsidR="00CB5AA3" w:rsidRPr="00FD3EE9" w:rsidRDefault="00461712"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0.6</w:t>
            </w:r>
            <w:r w:rsidR="00E05EA1" w:rsidRPr="00FD3EE9">
              <w:rPr>
                <w:sz w:val="18"/>
                <w:szCs w:val="20"/>
              </w:rPr>
              <w:t>44</w:t>
            </w:r>
            <w:r w:rsidRPr="00FD3EE9">
              <w:rPr>
                <w:sz w:val="18"/>
                <w:szCs w:val="20"/>
              </w:rPr>
              <w:t>***</w:t>
            </w:r>
          </w:p>
        </w:tc>
        <w:tc>
          <w:tcPr>
            <w:tcW w:w="0" w:type="auto"/>
            <w:tcBorders>
              <w:top w:val="nil"/>
              <w:bottom w:val="nil"/>
            </w:tcBorders>
          </w:tcPr>
          <w:p w14:paraId="45B70194" w14:textId="5EB37662" w:rsidR="00CB5AA3" w:rsidRPr="00FD3EE9" w:rsidRDefault="00461712"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0.5</w:t>
            </w:r>
            <w:r w:rsidR="00771DA4" w:rsidRPr="00FD3EE9">
              <w:rPr>
                <w:sz w:val="18"/>
                <w:szCs w:val="20"/>
              </w:rPr>
              <w:t>76</w:t>
            </w:r>
            <w:r w:rsidRPr="00FD3EE9">
              <w:rPr>
                <w:sz w:val="18"/>
                <w:szCs w:val="20"/>
              </w:rPr>
              <w:t>***</w:t>
            </w:r>
          </w:p>
        </w:tc>
        <w:tc>
          <w:tcPr>
            <w:tcW w:w="0" w:type="auto"/>
            <w:tcBorders>
              <w:top w:val="nil"/>
              <w:bottom w:val="nil"/>
            </w:tcBorders>
          </w:tcPr>
          <w:p w14:paraId="18C46A01" w14:textId="656C36DC" w:rsidR="00CB5AA3" w:rsidRPr="00FD3EE9" w:rsidRDefault="00461712"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0.589***</w:t>
            </w:r>
          </w:p>
        </w:tc>
      </w:tr>
      <w:tr w:rsidR="00C722CA" w:rsidRPr="00FD3EE9" w14:paraId="72F2BC18"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4C83A857" w14:textId="77777777" w:rsidR="00C722CA" w:rsidRPr="00FD3EE9" w:rsidRDefault="00C722CA" w:rsidP="00842BD5">
            <w:pPr>
              <w:ind w:firstLineChars="200" w:firstLine="361"/>
              <w:jc w:val="left"/>
              <w:rPr>
                <w:sz w:val="18"/>
                <w:szCs w:val="20"/>
              </w:rPr>
            </w:pPr>
          </w:p>
        </w:tc>
        <w:tc>
          <w:tcPr>
            <w:tcW w:w="0" w:type="auto"/>
            <w:tcBorders>
              <w:top w:val="nil"/>
              <w:bottom w:val="nil"/>
            </w:tcBorders>
          </w:tcPr>
          <w:p w14:paraId="71DDEF57"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6A33D65D" w14:textId="43D1C493"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(0.070)</w:t>
            </w:r>
          </w:p>
        </w:tc>
        <w:tc>
          <w:tcPr>
            <w:tcW w:w="0" w:type="auto"/>
            <w:tcBorders>
              <w:top w:val="nil"/>
              <w:bottom w:val="nil"/>
            </w:tcBorders>
          </w:tcPr>
          <w:p w14:paraId="61B38E11" w14:textId="04084DA0"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(0.07</w:t>
            </w:r>
            <w:r w:rsidR="00203136" w:rsidRPr="00FD3EE9">
              <w:rPr>
                <w:sz w:val="18"/>
                <w:szCs w:val="20"/>
              </w:rPr>
              <w:t>1</w:t>
            </w:r>
            <w:r w:rsidRPr="00FD3EE9">
              <w:rPr>
                <w:sz w:val="18"/>
                <w:szCs w:val="20"/>
              </w:rPr>
              <w:t>)</w:t>
            </w:r>
          </w:p>
        </w:tc>
        <w:tc>
          <w:tcPr>
            <w:tcW w:w="0" w:type="auto"/>
            <w:tcBorders>
              <w:top w:val="nil"/>
              <w:bottom w:val="nil"/>
            </w:tcBorders>
          </w:tcPr>
          <w:p w14:paraId="405E0BAD" w14:textId="4D96AB8C"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(0.07</w:t>
            </w:r>
            <w:r w:rsidR="00A31E40" w:rsidRPr="00FD3EE9">
              <w:rPr>
                <w:sz w:val="18"/>
                <w:szCs w:val="20"/>
              </w:rPr>
              <w:t>1</w:t>
            </w:r>
            <w:r w:rsidRPr="00FD3EE9">
              <w:rPr>
                <w:sz w:val="18"/>
                <w:szCs w:val="20"/>
              </w:rPr>
              <w:t>)</w:t>
            </w:r>
          </w:p>
        </w:tc>
      </w:tr>
      <w:tr w:rsidR="009A48C9" w:rsidRPr="00FD3EE9" w14:paraId="3A00E596"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60C0C1B3" w14:textId="0FF60C89" w:rsidR="00CB5AA3" w:rsidRPr="00FD3EE9" w:rsidRDefault="00812DAB" w:rsidP="00842BD5">
            <w:pPr>
              <w:ind w:firstLineChars="200" w:firstLine="360"/>
              <w:jc w:val="left"/>
              <w:rPr>
                <w:b w:val="0"/>
                <w:sz w:val="18"/>
                <w:szCs w:val="20"/>
              </w:rPr>
            </w:pPr>
            <w:r w:rsidRPr="00FD3EE9">
              <w:rPr>
                <w:b w:val="0"/>
                <w:sz w:val="18"/>
                <w:szCs w:val="20"/>
              </w:rPr>
              <w:t>MA Experience</w:t>
            </w:r>
          </w:p>
        </w:tc>
        <w:tc>
          <w:tcPr>
            <w:tcW w:w="0" w:type="auto"/>
            <w:tcBorders>
              <w:top w:val="nil"/>
              <w:bottom w:val="nil"/>
            </w:tcBorders>
          </w:tcPr>
          <w:p w14:paraId="5DD3D93A" w14:textId="77777777" w:rsidR="00CB5AA3" w:rsidRPr="00FD3EE9" w:rsidRDefault="00CB5AA3" w:rsidP="00842BD5">
            <w:pPr>
              <w:tabs>
                <w:tab w:val="decimal" w:pos="360"/>
              </w:tabs>
              <w:ind w:firstLineChars="200" w:firstLine="361"/>
              <w:jc w:val="left"/>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bottom w:val="nil"/>
            </w:tcBorders>
          </w:tcPr>
          <w:p w14:paraId="234160D0" w14:textId="79EB2BD1" w:rsidR="00CB5AA3" w:rsidRPr="00FD3EE9" w:rsidRDefault="00812DAB"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0.28</w:t>
            </w:r>
            <w:r w:rsidR="00E05EA1" w:rsidRPr="00FD3EE9">
              <w:rPr>
                <w:sz w:val="18"/>
                <w:szCs w:val="20"/>
              </w:rPr>
              <w:t>5</w:t>
            </w:r>
            <w:r w:rsidRPr="00FD3EE9">
              <w:rPr>
                <w:sz w:val="18"/>
                <w:szCs w:val="20"/>
              </w:rPr>
              <w:t>***</w:t>
            </w:r>
          </w:p>
        </w:tc>
        <w:tc>
          <w:tcPr>
            <w:tcW w:w="0" w:type="auto"/>
            <w:tcBorders>
              <w:top w:val="nil"/>
              <w:bottom w:val="nil"/>
            </w:tcBorders>
          </w:tcPr>
          <w:p w14:paraId="1E2BBDC4" w14:textId="25D16D10" w:rsidR="00CB5AA3" w:rsidRPr="00FD3EE9" w:rsidRDefault="00812DAB"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0.27</w:t>
            </w:r>
            <w:r w:rsidR="00714151" w:rsidRPr="00FD3EE9">
              <w:rPr>
                <w:sz w:val="18"/>
                <w:szCs w:val="20"/>
              </w:rPr>
              <w:t>6</w:t>
            </w:r>
            <w:r w:rsidRPr="00FD3EE9">
              <w:rPr>
                <w:sz w:val="18"/>
                <w:szCs w:val="20"/>
              </w:rPr>
              <w:t>***</w:t>
            </w:r>
          </w:p>
        </w:tc>
        <w:tc>
          <w:tcPr>
            <w:tcW w:w="0" w:type="auto"/>
            <w:tcBorders>
              <w:top w:val="nil"/>
              <w:bottom w:val="nil"/>
            </w:tcBorders>
          </w:tcPr>
          <w:p w14:paraId="0F1BD682" w14:textId="4753922D" w:rsidR="00CB5AA3" w:rsidRPr="00FD3EE9" w:rsidRDefault="00812DAB"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0.265***</w:t>
            </w:r>
          </w:p>
        </w:tc>
      </w:tr>
      <w:tr w:rsidR="00C722CA" w:rsidRPr="00FD3EE9" w14:paraId="4A563FD6"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6BF39A16" w14:textId="77777777" w:rsidR="00C722CA" w:rsidRPr="00FD3EE9" w:rsidRDefault="00C722CA" w:rsidP="00842BD5">
            <w:pPr>
              <w:ind w:firstLineChars="200" w:firstLine="361"/>
              <w:jc w:val="left"/>
              <w:rPr>
                <w:sz w:val="18"/>
                <w:szCs w:val="20"/>
              </w:rPr>
            </w:pPr>
          </w:p>
        </w:tc>
        <w:tc>
          <w:tcPr>
            <w:tcW w:w="0" w:type="auto"/>
            <w:tcBorders>
              <w:top w:val="nil"/>
              <w:bottom w:val="nil"/>
            </w:tcBorders>
          </w:tcPr>
          <w:p w14:paraId="7B6B392C" w14:textId="77777777" w:rsidR="00C722CA" w:rsidRPr="00FD3EE9" w:rsidRDefault="00C722CA" w:rsidP="00842BD5">
            <w:pPr>
              <w:tabs>
                <w:tab w:val="decimal" w:pos="360"/>
              </w:tabs>
              <w:ind w:firstLineChars="200" w:firstLine="361"/>
              <w:jc w:val="left"/>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5B7D3E80" w14:textId="4DFCFAB8"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(0.03</w:t>
            </w:r>
            <w:r w:rsidR="00E05EA1" w:rsidRPr="00FD3EE9">
              <w:rPr>
                <w:sz w:val="18"/>
                <w:szCs w:val="20"/>
              </w:rPr>
              <w:t>4</w:t>
            </w:r>
            <w:r w:rsidRPr="00FD3EE9">
              <w:rPr>
                <w:sz w:val="18"/>
                <w:szCs w:val="20"/>
              </w:rPr>
              <w:t>)</w:t>
            </w:r>
          </w:p>
        </w:tc>
        <w:tc>
          <w:tcPr>
            <w:tcW w:w="0" w:type="auto"/>
            <w:tcBorders>
              <w:top w:val="nil"/>
              <w:bottom w:val="nil"/>
            </w:tcBorders>
          </w:tcPr>
          <w:p w14:paraId="6ED39588" w14:textId="372A5A93"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(0.03</w:t>
            </w:r>
            <w:r w:rsidR="00203136" w:rsidRPr="00FD3EE9">
              <w:rPr>
                <w:sz w:val="18"/>
                <w:szCs w:val="20"/>
              </w:rPr>
              <w:t>4</w:t>
            </w:r>
            <w:r w:rsidRPr="00FD3EE9">
              <w:rPr>
                <w:sz w:val="18"/>
                <w:szCs w:val="20"/>
              </w:rPr>
              <w:t>)</w:t>
            </w:r>
          </w:p>
        </w:tc>
        <w:tc>
          <w:tcPr>
            <w:tcW w:w="0" w:type="auto"/>
            <w:tcBorders>
              <w:top w:val="nil"/>
              <w:bottom w:val="nil"/>
            </w:tcBorders>
          </w:tcPr>
          <w:p w14:paraId="461C64DD" w14:textId="6EE179FD" w:rsidR="00C722CA" w:rsidRPr="00FD3EE9" w:rsidRDefault="00C722CA"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(0.03</w:t>
            </w:r>
            <w:r w:rsidR="00A31E40" w:rsidRPr="00FD3EE9">
              <w:rPr>
                <w:sz w:val="18"/>
                <w:szCs w:val="20"/>
              </w:rPr>
              <w:t>4</w:t>
            </w:r>
            <w:r w:rsidRPr="00FD3EE9">
              <w:rPr>
                <w:sz w:val="18"/>
                <w:szCs w:val="20"/>
              </w:rPr>
              <w:t>)</w:t>
            </w:r>
          </w:p>
        </w:tc>
      </w:tr>
      <w:tr w:rsidR="009A48C9" w:rsidRPr="00FD3EE9" w14:paraId="530D2589"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4F747359" w14:textId="6D4B9226" w:rsidR="00CB5AA3" w:rsidRPr="00FD3EE9" w:rsidRDefault="00E951C6" w:rsidP="00842BD5">
            <w:pPr>
              <w:ind w:firstLineChars="200" w:firstLine="360"/>
              <w:jc w:val="left"/>
              <w:rPr>
                <w:b w:val="0"/>
                <w:sz w:val="18"/>
                <w:szCs w:val="20"/>
              </w:rPr>
            </w:pPr>
            <w:proofErr w:type="spellStart"/>
            <w:r w:rsidRPr="00FD3EE9">
              <w:rPr>
                <w:b w:val="0"/>
                <w:sz w:val="18"/>
                <w:szCs w:val="20"/>
              </w:rPr>
              <w:t>lnalpha</w:t>
            </w:r>
            <w:proofErr w:type="spellEnd"/>
            <w:r w:rsidRPr="00FD3EE9">
              <w:rPr>
                <w:b w:val="0"/>
                <w:sz w:val="18"/>
                <w:szCs w:val="20"/>
              </w:rPr>
              <w:t xml:space="preserve"> </w:t>
            </w:r>
          </w:p>
        </w:tc>
        <w:tc>
          <w:tcPr>
            <w:tcW w:w="0" w:type="auto"/>
            <w:tcBorders>
              <w:top w:val="nil"/>
              <w:bottom w:val="nil"/>
            </w:tcBorders>
          </w:tcPr>
          <w:p w14:paraId="4179FE97" w14:textId="736DEAD0" w:rsidR="00CB5AA3" w:rsidRPr="00FD3EE9" w:rsidRDefault="00E951C6"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0.310***</w:t>
            </w:r>
          </w:p>
        </w:tc>
        <w:tc>
          <w:tcPr>
            <w:tcW w:w="0" w:type="auto"/>
            <w:tcBorders>
              <w:top w:val="nil"/>
              <w:bottom w:val="nil"/>
            </w:tcBorders>
          </w:tcPr>
          <w:p w14:paraId="0028B7DB" w14:textId="1C948A42" w:rsidR="00CB5AA3" w:rsidRPr="00FD3EE9" w:rsidRDefault="00E951C6"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0.188***</w:t>
            </w:r>
          </w:p>
        </w:tc>
        <w:tc>
          <w:tcPr>
            <w:tcW w:w="0" w:type="auto"/>
            <w:tcBorders>
              <w:top w:val="nil"/>
              <w:bottom w:val="nil"/>
            </w:tcBorders>
          </w:tcPr>
          <w:p w14:paraId="35220D99" w14:textId="39E9A22C" w:rsidR="00CB5AA3" w:rsidRPr="00FD3EE9" w:rsidRDefault="00E951C6"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0.170***</w:t>
            </w:r>
          </w:p>
        </w:tc>
        <w:tc>
          <w:tcPr>
            <w:tcW w:w="0" w:type="auto"/>
            <w:tcBorders>
              <w:top w:val="nil"/>
              <w:bottom w:val="nil"/>
            </w:tcBorders>
          </w:tcPr>
          <w:p w14:paraId="76707388" w14:textId="52FF44EE" w:rsidR="00CB5AA3" w:rsidRPr="00FD3EE9" w:rsidRDefault="00E951C6"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0.132***</w:t>
            </w:r>
          </w:p>
        </w:tc>
      </w:tr>
      <w:tr w:rsidR="009A48C9" w:rsidRPr="00FD3EE9" w14:paraId="2AE6E8DA"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3A65DFCC" w14:textId="6E5A314D" w:rsidR="00CB5AA3" w:rsidRPr="00FD3EE9" w:rsidRDefault="009A48C9" w:rsidP="00842BD5">
            <w:pPr>
              <w:ind w:firstLineChars="200" w:firstLine="360"/>
              <w:jc w:val="left"/>
              <w:rPr>
                <w:b w:val="0"/>
                <w:sz w:val="18"/>
                <w:szCs w:val="20"/>
              </w:rPr>
            </w:pPr>
            <w:r w:rsidRPr="00FD3EE9">
              <w:rPr>
                <w:b w:val="0"/>
                <w:sz w:val="18"/>
                <w:szCs w:val="20"/>
              </w:rPr>
              <w:t xml:space="preserve">YEAR </w:t>
            </w:r>
            <w:r w:rsidR="00E8331F" w:rsidRPr="00FD3EE9">
              <w:rPr>
                <w:b w:val="0"/>
                <w:sz w:val="18"/>
                <w:szCs w:val="20"/>
              </w:rPr>
              <w:t>FE</w:t>
            </w:r>
          </w:p>
        </w:tc>
        <w:tc>
          <w:tcPr>
            <w:tcW w:w="0" w:type="auto"/>
            <w:tcBorders>
              <w:top w:val="nil"/>
              <w:bottom w:val="nil"/>
            </w:tcBorders>
          </w:tcPr>
          <w:p w14:paraId="71476594" w14:textId="77777777" w:rsidR="00CB5AA3" w:rsidRPr="00FD3EE9" w:rsidRDefault="00CB5AA3" w:rsidP="00842BD5">
            <w:pPr>
              <w:ind w:firstLineChars="200" w:firstLine="361"/>
              <w:jc w:val="center"/>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5B10E21D" w14:textId="77777777" w:rsidR="00CB5AA3" w:rsidRPr="00FD3EE9" w:rsidRDefault="00CB5AA3" w:rsidP="00842BD5">
            <w:pPr>
              <w:ind w:firstLineChars="200" w:firstLine="361"/>
              <w:jc w:val="center"/>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31BF5C69" w14:textId="77777777" w:rsidR="00CB5AA3" w:rsidRPr="00FD3EE9" w:rsidRDefault="00CB5AA3" w:rsidP="00842BD5">
            <w:pPr>
              <w:ind w:firstLineChars="200" w:firstLine="361"/>
              <w:jc w:val="center"/>
              <w:cnfStyle w:val="000000000000" w:firstRow="0" w:lastRow="0" w:firstColumn="0" w:lastColumn="0" w:oddVBand="0" w:evenVBand="0" w:oddHBand="0" w:evenHBand="0" w:firstRowFirstColumn="0" w:firstRowLastColumn="0" w:lastRowFirstColumn="0" w:lastRowLastColumn="0"/>
              <w:rPr>
                <w:b/>
                <w:sz w:val="18"/>
                <w:szCs w:val="20"/>
              </w:rPr>
            </w:pPr>
          </w:p>
        </w:tc>
        <w:tc>
          <w:tcPr>
            <w:tcW w:w="0" w:type="auto"/>
            <w:tcBorders>
              <w:top w:val="nil"/>
              <w:bottom w:val="nil"/>
            </w:tcBorders>
          </w:tcPr>
          <w:p w14:paraId="1548F4E0" w14:textId="2EA73F09" w:rsidR="00CB5AA3" w:rsidRPr="00FD3EE9" w:rsidRDefault="009A48C9" w:rsidP="00842BD5">
            <w:pPr>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YES</w:t>
            </w:r>
          </w:p>
        </w:tc>
      </w:tr>
      <w:tr w:rsidR="009A48C9" w:rsidRPr="00FD3EE9" w14:paraId="1C659FA1"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tcBorders>
          </w:tcPr>
          <w:p w14:paraId="777FC4DD" w14:textId="02BB7533" w:rsidR="00CB5AA3" w:rsidRPr="00FD3EE9" w:rsidRDefault="009A48C9" w:rsidP="00842BD5">
            <w:pPr>
              <w:ind w:firstLineChars="200" w:firstLine="360"/>
              <w:jc w:val="left"/>
              <w:rPr>
                <w:b w:val="0"/>
                <w:sz w:val="18"/>
                <w:szCs w:val="20"/>
              </w:rPr>
            </w:pPr>
            <w:r w:rsidRPr="00FD3EE9">
              <w:rPr>
                <w:b w:val="0"/>
                <w:sz w:val="18"/>
                <w:szCs w:val="20"/>
              </w:rPr>
              <w:t xml:space="preserve">INDUSTRY </w:t>
            </w:r>
            <w:r w:rsidR="00E8331F" w:rsidRPr="00FD3EE9">
              <w:rPr>
                <w:b w:val="0"/>
                <w:sz w:val="18"/>
                <w:szCs w:val="20"/>
              </w:rPr>
              <w:t>FE</w:t>
            </w:r>
          </w:p>
        </w:tc>
        <w:tc>
          <w:tcPr>
            <w:tcW w:w="0" w:type="auto"/>
            <w:tcBorders>
              <w:top w:val="nil"/>
            </w:tcBorders>
          </w:tcPr>
          <w:p w14:paraId="7BB05209" w14:textId="77777777" w:rsidR="00CB5AA3" w:rsidRPr="00FD3EE9" w:rsidRDefault="00CB5AA3" w:rsidP="00842BD5">
            <w:pPr>
              <w:ind w:firstLineChars="200" w:firstLine="361"/>
              <w:jc w:val="center"/>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tcBorders>
          </w:tcPr>
          <w:p w14:paraId="364817EF" w14:textId="77777777" w:rsidR="00CB5AA3" w:rsidRPr="00FD3EE9" w:rsidRDefault="00CB5AA3" w:rsidP="00842BD5">
            <w:pPr>
              <w:ind w:firstLineChars="200" w:firstLine="361"/>
              <w:jc w:val="center"/>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tcBorders>
          </w:tcPr>
          <w:p w14:paraId="06CAFEA0" w14:textId="77777777" w:rsidR="00CB5AA3" w:rsidRPr="00FD3EE9" w:rsidRDefault="00CB5AA3" w:rsidP="00842BD5">
            <w:pPr>
              <w:ind w:firstLineChars="200" w:firstLine="361"/>
              <w:jc w:val="center"/>
              <w:cnfStyle w:val="000000100000" w:firstRow="0" w:lastRow="0" w:firstColumn="0" w:lastColumn="0" w:oddVBand="0" w:evenVBand="0" w:oddHBand="1" w:evenHBand="0" w:firstRowFirstColumn="0" w:firstRowLastColumn="0" w:lastRowFirstColumn="0" w:lastRowLastColumn="0"/>
              <w:rPr>
                <w:b/>
                <w:sz w:val="18"/>
                <w:szCs w:val="20"/>
              </w:rPr>
            </w:pPr>
          </w:p>
        </w:tc>
        <w:tc>
          <w:tcPr>
            <w:tcW w:w="0" w:type="auto"/>
            <w:tcBorders>
              <w:top w:val="nil"/>
            </w:tcBorders>
          </w:tcPr>
          <w:p w14:paraId="3496E896" w14:textId="6129FE5B" w:rsidR="00CB5AA3" w:rsidRPr="00FD3EE9" w:rsidRDefault="009A48C9" w:rsidP="00842BD5">
            <w:pPr>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20"/>
              </w:rPr>
            </w:pPr>
            <w:r w:rsidRPr="00FD3EE9">
              <w:rPr>
                <w:sz w:val="18"/>
                <w:szCs w:val="20"/>
              </w:rPr>
              <w:t>YES</w:t>
            </w:r>
          </w:p>
        </w:tc>
      </w:tr>
      <w:tr w:rsidR="009A48C9" w:rsidRPr="00FD3EE9" w14:paraId="0493AC9F"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bottom w:val="nil"/>
            </w:tcBorders>
          </w:tcPr>
          <w:p w14:paraId="01A9B4DD" w14:textId="0732A65B" w:rsidR="00CB5AA3" w:rsidRPr="00FD3EE9" w:rsidRDefault="009A48C9" w:rsidP="00842BD5">
            <w:pPr>
              <w:ind w:firstLineChars="200" w:firstLine="360"/>
              <w:jc w:val="left"/>
              <w:rPr>
                <w:b w:val="0"/>
                <w:sz w:val="18"/>
                <w:szCs w:val="20"/>
              </w:rPr>
            </w:pPr>
            <w:proofErr w:type="spellStart"/>
            <w:r w:rsidRPr="00FD3EE9">
              <w:rPr>
                <w:b w:val="0"/>
                <w:sz w:val="18"/>
                <w:szCs w:val="20"/>
              </w:rPr>
              <w:t>ll</w:t>
            </w:r>
            <w:proofErr w:type="spellEnd"/>
          </w:p>
        </w:tc>
        <w:tc>
          <w:tcPr>
            <w:tcW w:w="0" w:type="auto"/>
            <w:tcBorders>
              <w:bottom w:val="nil"/>
            </w:tcBorders>
          </w:tcPr>
          <w:p w14:paraId="668C3FCD" w14:textId="66CD8114" w:rsidR="00CB5AA3" w:rsidRPr="00FD3EE9" w:rsidRDefault="009A48C9"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b/>
                <w:sz w:val="18"/>
                <w:szCs w:val="20"/>
              </w:rPr>
            </w:pPr>
            <w:r w:rsidRPr="00FD3EE9">
              <w:rPr>
                <w:sz w:val="18"/>
                <w:szCs w:val="20"/>
              </w:rPr>
              <w:t>-1.73e+04</w:t>
            </w:r>
          </w:p>
        </w:tc>
        <w:tc>
          <w:tcPr>
            <w:tcW w:w="0" w:type="auto"/>
            <w:tcBorders>
              <w:bottom w:val="nil"/>
            </w:tcBorders>
          </w:tcPr>
          <w:p w14:paraId="2D787A2F" w14:textId="3441FEDE" w:rsidR="00CB5AA3" w:rsidRPr="00FD3EE9" w:rsidRDefault="009A48C9"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b/>
                <w:sz w:val="18"/>
                <w:szCs w:val="20"/>
              </w:rPr>
            </w:pPr>
            <w:r w:rsidRPr="00FD3EE9">
              <w:rPr>
                <w:sz w:val="18"/>
                <w:szCs w:val="20"/>
              </w:rPr>
              <w:t>-1.46e+04</w:t>
            </w:r>
          </w:p>
        </w:tc>
        <w:tc>
          <w:tcPr>
            <w:tcW w:w="0" w:type="auto"/>
            <w:tcBorders>
              <w:bottom w:val="nil"/>
            </w:tcBorders>
          </w:tcPr>
          <w:p w14:paraId="01F432CC" w14:textId="6A66D3AA" w:rsidR="00CB5AA3" w:rsidRPr="00FD3EE9" w:rsidRDefault="009A48C9"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b/>
                <w:sz w:val="18"/>
                <w:szCs w:val="20"/>
              </w:rPr>
            </w:pPr>
            <w:r w:rsidRPr="00FD3EE9">
              <w:rPr>
                <w:sz w:val="18"/>
                <w:szCs w:val="20"/>
              </w:rPr>
              <w:t>-1.45e+04</w:t>
            </w:r>
          </w:p>
        </w:tc>
        <w:tc>
          <w:tcPr>
            <w:tcW w:w="0" w:type="auto"/>
            <w:tcBorders>
              <w:bottom w:val="nil"/>
            </w:tcBorders>
          </w:tcPr>
          <w:p w14:paraId="104D67CC" w14:textId="6A42E579" w:rsidR="00CB5AA3" w:rsidRPr="00FD3EE9" w:rsidRDefault="009A48C9"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b/>
                <w:sz w:val="18"/>
                <w:szCs w:val="20"/>
              </w:rPr>
            </w:pPr>
            <w:r w:rsidRPr="00FD3EE9">
              <w:rPr>
                <w:sz w:val="18"/>
                <w:szCs w:val="20"/>
              </w:rPr>
              <w:t>-1.45e+04</w:t>
            </w:r>
          </w:p>
        </w:tc>
      </w:tr>
      <w:tr w:rsidR="009A48C9" w:rsidRPr="00FD3EE9" w14:paraId="3B007ADB" w14:textId="77777777" w:rsidTr="002D7023">
        <w:trPr>
          <w:cnfStyle w:val="000000100000" w:firstRow="0" w:lastRow="0" w:firstColumn="0" w:lastColumn="0" w:oddVBand="0" w:evenVBand="0" w:oddHBand="1" w:evenHBand="0" w:firstRowFirstColumn="0" w:firstRowLastColumn="0" w:lastRowFirstColumn="0" w:lastRowLastColumn="0"/>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bottom w:val="nil"/>
            </w:tcBorders>
          </w:tcPr>
          <w:p w14:paraId="3051FA06" w14:textId="3D24AFED" w:rsidR="00CB5AA3" w:rsidRPr="00FD3EE9" w:rsidRDefault="009A48C9" w:rsidP="00842BD5">
            <w:pPr>
              <w:ind w:firstLineChars="200" w:firstLine="360"/>
              <w:jc w:val="left"/>
              <w:rPr>
                <w:b w:val="0"/>
                <w:sz w:val="18"/>
                <w:szCs w:val="20"/>
              </w:rPr>
            </w:pPr>
            <w:r w:rsidRPr="00FD3EE9">
              <w:rPr>
                <w:b w:val="0"/>
                <w:sz w:val="18"/>
                <w:szCs w:val="20"/>
              </w:rPr>
              <w:t xml:space="preserve">chi2 </w:t>
            </w:r>
          </w:p>
        </w:tc>
        <w:tc>
          <w:tcPr>
            <w:tcW w:w="0" w:type="auto"/>
            <w:tcBorders>
              <w:top w:val="nil"/>
              <w:bottom w:val="nil"/>
            </w:tcBorders>
          </w:tcPr>
          <w:p w14:paraId="53F17CBD" w14:textId="3DBBCD94" w:rsidR="00CB5AA3" w:rsidRPr="00FD3EE9" w:rsidRDefault="009A48C9"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306.799</w:t>
            </w:r>
          </w:p>
        </w:tc>
        <w:tc>
          <w:tcPr>
            <w:tcW w:w="0" w:type="auto"/>
            <w:tcBorders>
              <w:top w:val="nil"/>
              <w:bottom w:val="nil"/>
            </w:tcBorders>
          </w:tcPr>
          <w:p w14:paraId="724B4037" w14:textId="0953AA0B" w:rsidR="00CB5AA3" w:rsidRPr="00FD3EE9" w:rsidRDefault="009A48C9"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662.678</w:t>
            </w:r>
          </w:p>
        </w:tc>
        <w:tc>
          <w:tcPr>
            <w:tcW w:w="0" w:type="auto"/>
            <w:tcBorders>
              <w:top w:val="nil"/>
              <w:bottom w:val="nil"/>
            </w:tcBorders>
          </w:tcPr>
          <w:p w14:paraId="4BEB6ADA" w14:textId="437DD9C9" w:rsidR="00CB5AA3" w:rsidRPr="00FD3EE9" w:rsidRDefault="009A48C9"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726.162</w:t>
            </w:r>
          </w:p>
        </w:tc>
        <w:tc>
          <w:tcPr>
            <w:tcW w:w="0" w:type="auto"/>
            <w:tcBorders>
              <w:top w:val="nil"/>
              <w:bottom w:val="nil"/>
            </w:tcBorders>
          </w:tcPr>
          <w:p w14:paraId="216F0430" w14:textId="0F4A8139" w:rsidR="00CB5AA3" w:rsidRPr="00FD3EE9" w:rsidRDefault="009A48C9" w:rsidP="00842BD5">
            <w:pPr>
              <w:tabs>
                <w:tab w:val="decimal" w:pos="360"/>
              </w:tabs>
              <w:ind w:firstLineChars="200" w:firstLine="360"/>
              <w:jc w:val="left"/>
              <w:cnfStyle w:val="000000100000" w:firstRow="0" w:lastRow="0" w:firstColumn="0" w:lastColumn="0" w:oddVBand="0" w:evenVBand="0" w:oddHBand="1" w:evenHBand="0" w:firstRowFirstColumn="0" w:firstRowLastColumn="0" w:lastRowFirstColumn="0" w:lastRowLastColumn="0"/>
              <w:rPr>
                <w:b/>
                <w:sz w:val="18"/>
                <w:szCs w:val="20"/>
              </w:rPr>
            </w:pPr>
            <w:r w:rsidRPr="00FD3EE9">
              <w:rPr>
                <w:sz w:val="18"/>
                <w:szCs w:val="20"/>
              </w:rPr>
              <w:t>434.110</w:t>
            </w:r>
          </w:p>
        </w:tc>
      </w:tr>
      <w:tr w:rsidR="009A48C9" w:rsidRPr="00FD3EE9" w14:paraId="1AAA46F6" w14:textId="77777777" w:rsidTr="002D7023">
        <w:trPr>
          <w:trHeight w:hRule="exact" w:val="347"/>
          <w:jc w:val="center"/>
        </w:trPr>
        <w:tc>
          <w:tcPr>
            <w:cnfStyle w:val="001000000000" w:firstRow="0" w:lastRow="0" w:firstColumn="1" w:lastColumn="0" w:oddVBand="0" w:evenVBand="0" w:oddHBand="0" w:evenHBand="0" w:firstRowFirstColumn="0" w:firstRowLastColumn="0" w:lastRowFirstColumn="0" w:lastRowLastColumn="0"/>
            <w:tcW w:w="3810" w:type="dxa"/>
            <w:tcBorders>
              <w:top w:val="nil"/>
            </w:tcBorders>
          </w:tcPr>
          <w:p w14:paraId="1C760019" w14:textId="7BEFB849" w:rsidR="00CB5AA3" w:rsidRPr="00FD3EE9" w:rsidRDefault="009A48C9" w:rsidP="00842BD5">
            <w:pPr>
              <w:ind w:firstLineChars="200" w:firstLine="360"/>
              <w:jc w:val="left"/>
              <w:rPr>
                <w:b w:val="0"/>
                <w:sz w:val="18"/>
                <w:szCs w:val="20"/>
              </w:rPr>
            </w:pPr>
            <w:r w:rsidRPr="00FD3EE9">
              <w:rPr>
                <w:b w:val="0"/>
                <w:sz w:val="18"/>
                <w:szCs w:val="20"/>
              </w:rPr>
              <w:t>N</w:t>
            </w:r>
          </w:p>
        </w:tc>
        <w:tc>
          <w:tcPr>
            <w:tcW w:w="0" w:type="auto"/>
            <w:tcBorders>
              <w:top w:val="nil"/>
            </w:tcBorders>
          </w:tcPr>
          <w:p w14:paraId="75EE7F11" w14:textId="4E18C0D2" w:rsidR="00CB5AA3" w:rsidRPr="00FD3EE9" w:rsidRDefault="009A48C9"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sz w:val="18"/>
                <w:szCs w:val="20"/>
              </w:rPr>
            </w:pPr>
            <w:r w:rsidRPr="00FD3EE9">
              <w:rPr>
                <w:sz w:val="18"/>
                <w:szCs w:val="20"/>
              </w:rPr>
              <w:t>15</w:t>
            </w:r>
            <w:r w:rsidR="00667D9C" w:rsidRPr="00FD3EE9">
              <w:rPr>
                <w:sz w:val="18"/>
                <w:szCs w:val="20"/>
              </w:rPr>
              <w:t>,</w:t>
            </w:r>
            <w:r w:rsidRPr="00FD3EE9">
              <w:rPr>
                <w:sz w:val="18"/>
                <w:szCs w:val="20"/>
              </w:rPr>
              <w:t>056</w:t>
            </w:r>
          </w:p>
        </w:tc>
        <w:tc>
          <w:tcPr>
            <w:tcW w:w="0" w:type="auto"/>
            <w:tcBorders>
              <w:top w:val="nil"/>
            </w:tcBorders>
          </w:tcPr>
          <w:p w14:paraId="598DB406" w14:textId="28FDBFC9" w:rsidR="00CB5AA3" w:rsidRPr="00FD3EE9" w:rsidRDefault="009A48C9"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b/>
                <w:sz w:val="18"/>
                <w:szCs w:val="20"/>
              </w:rPr>
            </w:pPr>
            <w:r w:rsidRPr="00FD3EE9">
              <w:rPr>
                <w:sz w:val="18"/>
                <w:szCs w:val="20"/>
              </w:rPr>
              <w:t>12</w:t>
            </w:r>
            <w:r w:rsidR="00667D9C" w:rsidRPr="00FD3EE9">
              <w:rPr>
                <w:sz w:val="18"/>
                <w:szCs w:val="20"/>
              </w:rPr>
              <w:t>,</w:t>
            </w:r>
            <w:r w:rsidRPr="00FD3EE9">
              <w:rPr>
                <w:sz w:val="18"/>
                <w:szCs w:val="20"/>
              </w:rPr>
              <w:t>779</w:t>
            </w:r>
          </w:p>
        </w:tc>
        <w:tc>
          <w:tcPr>
            <w:tcW w:w="0" w:type="auto"/>
            <w:tcBorders>
              <w:top w:val="nil"/>
            </w:tcBorders>
          </w:tcPr>
          <w:p w14:paraId="2C4025F8" w14:textId="29B34EE6" w:rsidR="00CB5AA3" w:rsidRPr="00FD3EE9" w:rsidRDefault="009A48C9"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b/>
                <w:sz w:val="18"/>
                <w:szCs w:val="20"/>
              </w:rPr>
            </w:pPr>
            <w:r w:rsidRPr="00FD3EE9">
              <w:rPr>
                <w:sz w:val="18"/>
                <w:szCs w:val="20"/>
              </w:rPr>
              <w:t>12</w:t>
            </w:r>
            <w:r w:rsidR="00667D9C" w:rsidRPr="00FD3EE9">
              <w:rPr>
                <w:sz w:val="18"/>
                <w:szCs w:val="20"/>
              </w:rPr>
              <w:t>,</w:t>
            </w:r>
            <w:r w:rsidRPr="00FD3EE9">
              <w:rPr>
                <w:sz w:val="18"/>
                <w:szCs w:val="20"/>
              </w:rPr>
              <w:t>779</w:t>
            </w:r>
          </w:p>
        </w:tc>
        <w:tc>
          <w:tcPr>
            <w:tcW w:w="0" w:type="auto"/>
            <w:tcBorders>
              <w:top w:val="nil"/>
            </w:tcBorders>
          </w:tcPr>
          <w:p w14:paraId="33FD6220" w14:textId="5EE68EF7" w:rsidR="00CB5AA3" w:rsidRPr="00FD3EE9" w:rsidRDefault="009A48C9" w:rsidP="00842BD5">
            <w:pPr>
              <w:tabs>
                <w:tab w:val="decimal" w:pos="360"/>
              </w:tabs>
              <w:ind w:firstLineChars="200" w:firstLine="360"/>
              <w:jc w:val="left"/>
              <w:cnfStyle w:val="000000000000" w:firstRow="0" w:lastRow="0" w:firstColumn="0" w:lastColumn="0" w:oddVBand="0" w:evenVBand="0" w:oddHBand="0" w:evenHBand="0" w:firstRowFirstColumn="0" w:firstRowLastColumn="0" w:lastRowFirstColumn="0" w:lastRowLastColumn="0"/>
              <w:rPr>
                <w:b/>
                <w:sz w:val="18"/>
                <w:szCs w:val="20"/>
              </w:rPr>
            </w:pPr>
            <w:r w:rsidRPr="00FD3EE9">
              <w:rPr>
                <w:sz w:val="18"/>
                <w:szCs w:val="20"/>
              </w:rPr>
              <w:t>12</w:t>
            </w:r>
            <w:r w:rsidR="00667D9C" w:rsidRPr="00FD3EE9">
              <w:rPr>
                <w:sz w:val="18"/>
                <w:szCs w:val="20"/>
              </w:rPr>
              <w:t>,</w:t>
            </w:r>
            <w:r w:rsidRPr="00FD3EE9">
              <w:rPr>
                <w:sz w:val="18"/>
                <w:szCs w:val="20"/>
              </w:rPr>
              <w:t>779</w:t>
            </w:r>
          </w:p>
        </w:tc>
      </w:tr>
    </w:tbl>
    <w:p w14:paraId="0A6DAAE6" w14:textId="33DA584D" w:rsidR="00A036F8" w:rsidRPr="00FD3EE9" w:rsidRDefault="00A036F8" w:rsidP="00A036F8">
      <w:pPr>
        <w:rPr>
          <w:sz w:val="21"/>
          <w:szCs w:val="21"/>
        </w:rPr>
        <w:sectPr w:rsidR="00A036F8" w:rsidRPr="00FD3EE9" w:rsidSect="00CC45BA">
          <w:pgSz w:w="11900" w:h="16840"/>
          <w:pgMar w:top="1440" w:right="1440" w:bottom="1440" w:left="1440" w:header="851" w:footer="992" w:gutter="0"/>
          <w:cols w:space="425"/>
          <w:docGrid w:type="lines" w:linePitch="423"/>
        </w:sectPr>
      </w:pPr>
      <w:r w:rsidRPr="00FD3EE9">
        <w:rPr>
          <w:sz w:val="21"/>
          <w:szCs w:val="21"/>
        </w:rPr>
        <w:t xml:space="preserve">Note: Table 7 shows the negative binomial regression results explaining the association between incentive compensation and acquisition activities. The dependent variable is the number of acquisitions a firm made during the sample period, and independent variables include different types of executive compensation. </w:t>
      </w:r>
      <w:r w:rsidRPr="00FD3EE9">
        <w:rPr>
          <w:sz w:val="21"/>
          <w:szCs w:val="21"/>
        </w:rPr>
        <w:lastRenderedPageBreak/>
        <w:t xml:space="preserve">Apart from Stock Option and Stock Ownership, we also include the square of stock ownership (Stock Ownership2) to capture its non-linear impact. Model (1) only includes equity compensation to capture their main effects. Model (2) reports effects of all other control variables. Model (3) considers compensation variables and control variables, excluding two insignificant control variables in Model (2). Finally, year and industry fixed effects are added in Model (4). </w:t>
      </w:r>
      <w:r w:rsidR="00562EC3" w:rsidRPr="00FD3EE9">
        <w:rPr>
          <w:sz w:val="21"/>
          <w:szCs w:val="21"/>
        </w:rPr>
        <w:t xml:space="preserve">All regressions are clustered within firm units. </w:t>
      </w:r>
      <w:r w:rsidRPr="00FD3EE9">
        <w:rPr>
          <w:sz w:val="21"/>
          <w:szCs w:val="21"/>
        </w:rPr>
        <w:t xml:space="preserve">*, ** and *** indicate significance at the 10%, 5% and 1% levels, respectively. </w:t>
      </w:r>
    </w:p>
    <w:p w14:paraId="00156F95" w14:textId="5E1944B5" w:rsidR="00A036F8" w:rsidRPr="00FD3EE9" w:rsidRDefault="00A036F8" w:rsidP="00A036F8">
      <w:pPr>
        <w:rPr>
          <w:sz w:val="21"/>
          <w:szCs w:val="21"/>
        </w:rPr>
      </w:pPr>
    </w:p>
    <w:p w14:paraId="72B23845" w14:textId="7BFAE78B" w:rsidR="009A48C9" w:rsidRPr="00FD3EE9" w:rsidRDefault="00EF1F9E" w:rsidP="00E8331F">
      <w:pPr>
        <w:tabs>
          <w:tab w:val="decimal" w:pos="360"/>
        </w:tabs>
        <w:ind w:firstLineChars="200" w:firstLine="482"/>
        <w:jc w:val="center"/>
      </w:pPr>
      <w:r w:rsidRPr="00FD3EE9">
        <w:rPr>
          <w:b/>
        </w:rPr>
        <w:t>Table 8</w:t>
      </w:r>
      <w:r w:rsidR="009A48C9" w:rsidRPr="00FD3EE9">
        <w:rPr>
          <w:b/>
        </w:rPr>
        <w:t xml:space="preserve">: Impact of </w:t>
      </w:r>
      <w:r w:rsidR="00667D9C" w:rsidRPr="00FD3EE9">
        <w:rPr>
          <w:b/>
        </w:rPr>
        <w:t>I</w:t>
      </w:r>
      <w:r w:rsidR="009A48C9" w:rsidRPr="00FD3EE9">
        <w:rPr>
          <w:b/>
        </w:rPr>
        <w:t xml:space="preserve">ncentive </w:t>
      </w:r>
      <w:r w:rsidR="00667D9C" w:rsidRPr="00FD3EE9">
        <w:rPr>
          <w:b/>
        </w:rPr>
        <w:t>C</w:t>
      </w:r>
      <w:r w:rsidR="009A48C9" w:rsidRPr="00FD3EE9">
        <w:rPr>
          <w:b/>
        </w:rPr>
        <w:t xml:space="preserve">ompensation on </w:t>
      </w:r>
      <w:r w:rsidR="00667D9C" w:rsidRPr="00FD3EE9">
        <w:rPr>
          <w:b/>
        </w:rPr>
        <w:t>A</w:t>
      </w:r>
      <w:r w:rsidR="009A48C9" w:rsidRPr="00FD3EE9">
        <w:rPr>
          <w:b/>
        </w:rPr>
        <w:t xml:space="preserve">cquisitions in SOE and </w:t>
      </w:r>
      <w:r w:rsidR="00667D9C" w:rsidRPr="00FD3EE9">
        <w:rPr>
          <w:b/>
        </w:rPr>
        <w:t>N</w:t>
      </w:r>
      <w:r w:rsidR="009A48C9" w:rsidRPr="00FD3EE9">
        <w:rPr>
          <w:b/>
        </w:rPr>
        <w:t xml:space="preserve">on-SOE </w:t>
      </w:r>
      <w:r w:rsidR="00667D9C" w:rsidRPr="00FD3EE9">
        <w:rPr>
          <w:b/>
        </w:rPr>
        <w:t>S</w:t>
      </w:r>
      <w:r w:rsidR="009A48C9" w:rsidRPr="00FD3EE9">
        <w:rPr>
          <w:b/>
        </w:rPr>
        <w:t>ubgroups</w:t>
      </w:r>
    </w:p>
    <w:tbl>
      <w:tblPr>
        <w:tblStyle w:val="21"/>
        <w:tblW w:w="5702" w:type="pct"/>
        <w:jc w:val="center"/>
        <w:tblLook w:val="04A0" w:firstRow="1" w:lastRow="0" w:firstColumn="1" w:lastColumn="0" w:noHBand="0" w:noVBand="1"/>
      </w:tblPr>
      <w:tblGrid>
        <w:gridCol w:w="1402"/>
        <w:gridCol w:w="827"/>
        <w:gridCol w:w="105"/>
        <w:gridCol w:w="1181"/>
        <w:gridCol w:w="173"/>
        <w:gridCol w:w="202"/>
        <w:gridCol w:w="183"/>
        <w:gridCol w:w="1734"/>
        <w:gridCol w:w="496"/>
        <w:gridCol w:w="21"/>
        <w:gridCol w:w="290"/>
        <w:gridCol w:w="253"/>
        <w:gridCol w:w="646"/>
        <w:gridCol w:w="403"/>
        <w:gridCol w:w="313"/>
        <w:gridCol w:w="37"/>
        <w:gridCol w:w="216"/>
        <w:gridCol w:w="1197"/>
        <w:gridCol w:w="189"/>
        <w:gridCol w:w="29"/>
        <w:gridCol w:w="101"/>
        <w:gridCol w:w="288"/>
      </w:tblGrid>
      <w:tr w:rsidR="00EE1B55" w:rsidRPr="00FD3EE9" w14:paraId="253FB960" w14:textId="77777777" w:rsidTr="0032486A">
        <w:trPr>
          <w:cnfStyle w:val="100000000000" w:firstRow="1" w:lastRow="0" w:firstColumn="0" w:lastColumn="0" w:oddVBand="0" w:evenVBand="0" w:oddHBand="0"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single" w:sz="4" w:space="0" w:color="7F7F7F" w:themeColor="text1" w:themeTint="80"/>
            </w:tcBorders>
          </w:tcPr>
          <w:p w14:paraId="7DD7A654" w14:textId="77777777" w:rsidR="00152D09" w:rsidRPr="00FD3EE9" w:rsidRDefault="00152D09" w:rsidP="00E8331F">
            <w:pPr>
              <w:tabs>
                <w:tab w:val="decimal" w:pos="360"/>
              </w:tabs>
              <w:ind w:firstLineChars="200" w:firstLine="361"/>
              <w:jc w:val="center"/>
              <w:rPr>
                <w:sz w:val="18"/>
                <w:szCs w:val="16"/>
              </w:rPr>
            </w:pPr>
          </w:p>
        </w:tc>
        <w:tc>
          <w:tcPr>
            <w:tcW w:w="2203" w:type="pct"/>
            <w:gridSpan w:val="9"/>
            <w:tcBorders>
              <w:top w:val="single" w:sz="4" w:space="0" w:color="7F7F7F" w:themeColor="text1" w:themeTint="80"/>
            </w:tcBorders>
          </w:tcPr>
          <w:p w14:paraId="1A4FDE5B" w14:textId="06CC8A73" w:rsidR="00152D09" w:rsidRPr="00FD3EE9" w:rsidRDefault="00152D09" w:rsidP="00E8331F">
            <w:pPr>
              <w:tabs>
                <w:tab w:val="decimal" w:pos="360"/>
              </w:tabs>
              <w:ind w:firstLineChars="700" w:firstLine="1265"/>
              <w:cnfStyle w:val="100000000000" w:firstRow="1" w:lastRow="0" w:firstColumn="0" w:lastColumn="0" w:oddVBand="0" w:evenVBand="0" w:oddHBand="0" w:evenHBand="0" w:firstRowFirstColumn="0" w:firstRowLastColumn="0" w:lastRowFirstColumn="0" w:lastRowLastColumn="0"/>
              <w:rPr>
                <w:sz w:val="18"/>
                <w:szCs w:val="16"/>
              </w:rPr>
            </w:pPr>
            <w:r w:rsidRPr="00FD3EE9">
              <w:rPr>
                <w:sz w:val="18"/>
                <w:szCs w:val="16"/>
              </w:rPr>
              <w:t>Non-SOE</w:t>
            </w:r>
          </w:p>
        </w:tc>
        <w:tc>
          <w:tcPr>
            <w:tcW w:w="1662" w:type="pct"/>
            <w:gridSpan w:val="10"/>
            <w:tcBorders>
              <w:top w:val="single" w:sz="4" w:space="0" w:color="7F7F7F" w:themeColor="text1" w:themeTint="80"/>
            </w:tcBorders>
          </w:tcPr>
          <w:p w14:paraId="212861E1" w14:textId="32BFF53F" w:rsidR="00152D09" w:rsidRPr="00FD3EE9" w:rsidRDefault="00152D09" w:rsidP="00E8331F">
            <w:pPr>
              <w:tabs>
                <w:tab w:val="decimal" w:pos="360"/>
              </w:tabs>
              <w:ind w:firstLineChars="500" w:firstLine="904"/>
              <w:cnfStyle w:val="100000000000" w:firstRow="1" w:lastRow="0" w:firstColumn="0" w:lastColumn="0" w:oddVBand="0" w:evenVBand="0" w:oddHBand="0" w:evenHBand="0" w:firstRowFirstColumn="0" w:firstRowLastColumn="0" w:lastRowFirstColumn="0" w:lastRowLastColumn="0"/>
              <w:rPr>
                <w:sz w:val="18"/>
                <w:szCs w:val="16"/>
              </w:rPr>
            </w:pPr>
            <w:r w:rsidRPr="00FD3EE9">
              <w:rPr>
                <w:sz w:val="18"/>
                <w:szCs w:val="16"/>
              </w:rPr>
              <w:t>SOE</w:t>
            </w:r>
          </w:p>
        </w:tc>
      </w:tr>
      <w:tr w:rsidR="00EE1B55" w:rsidRPr="00FD3EE9" w14:paraId="7B2B90F5" w14:textId="77777777" w:rsidTr="0032486A">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1135" w:type="pct"/>
            <w:gridSpan w:val="3"/>
          </w:tcPr>
          <w:p w14:paraId="6AAE7746" w14:textId="77777777" w:rsidR="00152D09" w:rsidRPr="00FD3EE9" w:rsidRDefault="00152D09" w:rsidP="00E8331F">
            <w:pPr>
              <w:tabs>
                <w:tab w:val="decimal" w:pos="360"/>
              </w:tabs>
              <w:ind w:firstLineChars="200" w:firstLine="361"/>
              <w:jc w:val="center"/>
              <w:rPr>
                <w:sz w:val="18"/>
                <w:szCs w:val="16"/>
              </w:rPr>
            </w:pPr>
          </w:p>
        </w:tc>
        <w:tc>
          <w:tcPr>
            <w:tcW w:w="845" w:type="pct"/>
            <w:gridSpan w:val="4"/>
          </w:tcPr>
          <w:p w14:paraId="42229E08" w14:textId="7355FC08" w:rsidR="00152D09" w:rsidRPr="00FD3EE9" w:rsidRDefault="00152D09"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[1]</w:t>
            </w:r>
          </w:p>
        </w:tc>
        <w:tc>
          <w:tcPr>
            <w:tcW w:w="1358" w:type="pct"/>
            <w:gridSpan w:val="5"/>
          </w:tcPr>
          <w:p w14:paraId="45157E6F" w14:textId="44B2A8EE" w:rsidR="00152D09" w:rsidRPr="00FD3EE9" w:rsidRDefault="00152D09" w:rsidP="00E8331F">
            <w:pPr>
              <w:tabs>
                <w:tab w:val="decimal" w:pos="360"/>
              </w:tabs>
              <w:ind w:firstLineChars="350" w:firstLine="630"/>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[2]</w:t>
            </w:r>
          </w:p>
        </w:tc>
        <w:tc>
          <w:tcPr>
            <w:tcW w:w="785" w:type="pct"/>
            <w:gridSpan w:val="5"/>
          </w:tcPr>
          <w:p w14:paraId="64A046E2" w14:textId="15078D34" w:rsidR="00152D09" w:rsidRPr="00FD3EE9" w:rsidRDefault="00152D09" w:rsidP="00E8331F">
            <w:pPr>
              <w:tabs>
                <w:tab w:val="decimal" w:pos="360"/>
              </w:tabs>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[3]</w:t>
            </w:r>
          </w:p>
        </w:tc>
        <w:tc>
          <w:tcPr>
            <w:tcW w:w="877" w:type="pct"/>
            <w:gridSpan w:val="5"/>
          </w:tcPr>
          <w:p w14:paraId="73CC2EC7" w14:textId="5DC0B617" w:rsidR="00152D09" w:rsidRPr="00FD3EE9" w:rsidRDefault="00152D09" w:rsidP="00E8331F">
            <w:pPr>
              <w:tabs>
                <w:tab w:val="decimal" w:pos="360"/>
              </w:tabs>
              <w:ind w:firstLineChars="200" w:firstLine="360"/>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[4]</w:t>
            </w:r>
          </w:p>
        </w:tc>
      </w:tr>
      <w:tr w:rsidR="00EE1B55" w:rsidRPr="00FD3EE9" w14:paraId="63179AFC" w14:textId="77777777" w:rsidTr="007644DD">
        <w:trPr>
          <w:gridAfter w:val="2"/>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single" w:sz="4" w:space="0" w:color="7F7F7F" w:themeColor="text1" w:themeTint="80"/>
              <w:bottom w:val="nil"/>
            </w:tcBorders>
          </w:tcPr>
          <w:p w14:paraId="045D4091" w14:textId="77777777" w:rsidR="00152D09" w:rsidRPr="00FD3EE9" w:rsidRDefault="00152D09" w:rsidP="00E8331F">
            <w:pPr>
              <w:tabs>
                <w:tab w:val="decimal" w:pos="360"/>
              </w:tabs>
              <w:ind w:firstLineChars="200" w:firstLine="360"/>
              <w:jc w:val="left"/>
              <w:rPr>
                <w:sz w:val="18"/>
                <w:szCs w:val="16"/>
              </w:rPr>
            </w:pPr>
            <w:r w:rsidRPr="00FD3EE9">
              <w:rPr>
                <w:b w:val="0"/>
                <w:sz w:val="18"/>
                <w:szCs w:val="16"/>
              </w:rPr>
              <w:t xml:space="preserve">Stock Option </w:t>
            </w:r>
          </w:p>
        </w:tc>
        <w:tc>
          <w:tcPr>
            <w:tcW w:w="756" w:type="pct"/>
            <w:gridSpan w:val="3"/>
            <w:tcBorders>
              <w:top w:val="single" w:sz="4" w:space="0" w:color="7F7F7F" w:themeColor="text1" w:themeTint="80"/>
              <w:bottom w:val="nil"/>
            </w:tcBorders>
          </w:tcPr>
          <w:p w14:paraId="0882BDBE" w14:textId="0B5797E3"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0.135</w:t>
            </w:r>
          </w:p>
        </w:tc>
        <w:tc>
          <w:tcPr>
            <w:tcW w:w="932" w:type="pct"/>
            <w:gridSpan w:val="2"/>
            <w:tcBorders>
              <w:top w:val="single" w:sz="4" w:space="0" w:color="7F7F7F" w:themeColor="text1" w:themeTint="80"/>
              <w:bottom w:val="nil"/>
            </w:tcBorders>
          </w:tcPr>
          <w:p w14:paraId="1AB5D070" w14:textId="7D1ED5B8"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0.093</w:t>
            </w:r>
          </w:p>
        </w:tc>
        <w:tc>
          <w:tcPr>
            <w:tcW w:w="1195" w:type="pct"/>
            <w:gridSpan w:val="8"/>
            <w:tcBorders>
              <w:top w:val="single" w:sz="4" w:space="0" w:color="7F7F7F" w:themeColor="text1" w:themeTint="80"/>
              <w:bottom w:val="nil"/>
            </w:tcBorders>
          </w:tcPr>
          <w:p w14:paraId="4C0A2BEA" w14:textId="6B2555E5"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-0.038</w:t>
            </w:r>
          </w:p>
        </w:tc>
        <w:tc>
          <w:tcPr>
            <w:tcW w:w="793" w:type="pct"/>
            <w:gridSpan w:val="4"/>
            <w:tcBorders>
              <w:top w:val="single" w:sz="4" w:space="0" w:color="7F7F7F" w:themeColor="text1" w:themeTint="80"/>
              <w:bottom w:val="nil"/>
            </w:tcBorders>
          </w:tcPr>
          <w:p w14:paraId="3D438A26" w14:textId="125D11A7"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-0.015</w:t>
            </w:r>
          </w:p>
        </w:tc>
      </w:tr>
      <w:tr w:rsidR="00EE1B55" w:rsidRPr="00FD3EE9" w14:paraId="6DE5F681" w14:textId="77777777" w:rsidTr="007644DD">
        <w:trPr>
          <w:gridAfter w:val="2"/>
          <w:cnfStyle w:val="000000100000" w:firstRow="0" w:lastRow="0" w:firstColumn="0" w:lastColumn="0" w:oddVBand="0" w:evenVBand="0" w:oddHBand="1" w:evenHBand="0" w:firstRowFirstColumn="0" w:firstRowLastColumn="0" w:lastRowFirstColumn="0" w:lastRowLastColumn="0"/>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7EF42DEE" w14:textId="77777777" w:rsidR="003A3600" w:rsidRPr="00FD3EE9" w:rsidRDefault="003A3600" w:rsidP="00E8331F">
            <w:pPr>
              <w:tabs>
                <w:tab w:val="decimal" w:pos="360"/>
              </w:tabs>
              <w:ind w:firstLineChars="200" w:firstLine="361"/>
              <w:jc w:val="left"/>
              <w:rPr>
                <w:sz w:val="18"/>
                <w:szCs w:val="16"/>
              </w:rPr>
            </w:pPr>
          </w:p>
        </w:tc>
        <w:tc>
          <w:tcPr>
            <w:tcW w:w="756" w:type="pct"/>
            <w:gridSpan w:val="3"/>
            <w:tcBorders>
              <w:top w:val="nil"/>
              <w:bottom w:val="nil"/>
            </w:tcBorders>
          </w:tcPr>
          <w:p w14:paraId="789310C6" w14:textId="3A6AA18D"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w:t>
            </w:r>
            <w:r w:rsidR="00714151" w:rsidRPr="00FD3EE9">
              <w:rPr>
                <w:sz w:val="18"/>
                <w:szCs w:val="16"/>
              </w:rPr>
              <w:t>81</w:t>
            </w:r>
            <w:r w:rsidRPr="00FD3EE9">
              <w:rPr>
                <w:sz w:val="18"/>
                <w:szCs w:val="16"/>
              </w:rPr>
              <w:t>)</w:t>
            </w:r>
          </w:p>
        </w:tc>
        <w:tc>
          <w:tcPr>
            <w:tcW w:w="932" w:type="pct"/>
            <w:gridSpan w:val="2"/>
            <w:tcBorders>
              <w:top w:val="nil"/>
              <w:bottom w:val="nil"/>
            </w:tcBorders>
          </w:tcPr>
          <w:p w14:paraId="3CF76BF3" w14:textId="63D8E20C"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(0.06</w:t>
            </w:r>
            <w:r w:rsidR="004B3902" w:rsidRPr="00FD3EE9">
              <w:rPr>
                <w:sz w:val="18"/>
                <w:szCs w:val="16"/>
              </w:rPr>
              <w:t>7</w:t>
            </w:r>
            <w:r w:rsidRPr="00FD3EE9">
              <w:rPr>
                <w:sz w:val="18"/>
                <w:szCs w:val="16"/>
              </w:rPr>
              <w:t>)</w:t>
            </w:r>
          </w:p>
        </w:tc>
        <w:tc>
          <w:tcPr>
            <w:tcW w:w="1195" w:type="pct"/>
            <w:gridSpan w:val="8"/>
            <w:tcBorders>
              <w:top w:val="nil"/>
              <w:bottom w:val="nil"/>
            </w:tcBorders>
          </w:tcPr>
          <w:p w14:paraId="7AF51208" w14:textId="0B4F9CCC"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w:t>
            </w:r>
            <w:r w:rsidR="004B3902" w:rsidRPr="00FD3EE9">
              <w:rPr>
                <w:sz w:val="18"/>
                <w:szCs w:val="16"/>
              </w:rPr>
              <w:t>169</w:t>
            </w:r>
            <w:r w:rsidRPr="00FD3EE9">
              <w:rPr>
                <w:sz w:val="18"/>
                <w:szCs w:val="16"/>
              </w:rPr>
              <w:t>)</w:t>
            </w:r>
          </w:p>
        </w:tc>
        <w:tc>
          <w:tcPr>
            <w:tcW w:w="793" w:type="pct"/>
            <w:gridSpan w:val="4"/>
            <w:tcBorders>
              <w:top w:val="nil"/>
              <w:bottom w:val="nil"/>
            </w:tcBorders>
          </w:tcPr>
          <w:p w14:paraId="26C1A50F" w14:textId="1AC92D87"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w:t>
            </w:r>
            <w:r w:rsidR="004B3902" w:rsidRPr="00FD3EE9">
              <w:rPr>
                <w:sz w:val="18"/>
                <w:szCs w:val="16"/>
              </w:rPr>
              <w:t>181</w:t>
            </w:r>
            <w:r w:rsidRPr="00FD3EE9">
              <w:rPr>
                <w:sz w:val="18"/>
                <w:szCs w:val="16"/>
              </w:rPr>
              <w:t>)</w:t>
            </w:r>
          </w:p>
        </w:tc>
      </w:tr>
      <w:tr w:rsidR="00EE1B55" w:rsidRPr="00FD3EE9" w14:paraId="11C8E6A5" w14:textId="77777777" w:rsidTr="0032486A">
        <w:trPr>
          <w:gridAfter w:val="2"/>
          <w:wAfter w:w="189" w:type="pct"/>
          <w:trHeight w:hRule="exact" w:val="366"/>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1BA1A4D1" w14:textId="755EC28B" w:rsidR="00152D09" w:rsidRPr="00FD3EE9" w:rsidRDefault="00E86971" w:rsidP="00E8331F">
            <w:pPr>
              <w:tabs>
                <w:tab w:val="decimal" w:pos="360"/>
              </w:tabs>
              <w:ind w:firstLineChars="200" w:firstLine="360"/>
              <w:jc w:val="left"/>
              <w:rPr>
                <w:sz w:val="18"/>
                <w:szCs w:val="16"/>
              </w:rPr>
            </w:pPr>
            <w:r w:rsidRPr="00FD3EE9">
              <w:rPr>
                <w:b w:val="0"/>
                <w:sz w:val="18"/>
                <w:szCs w:val="16"/>
              </w:rPr>
              <w:t>Stock</w:t>
            </w:r>
            <w:r w:rsidR="002065B9" w:rsidRPr="00FD3EE9">
              <w:rPr>
                <w:b w:val="0"/>
                <w:sz w:val="18"/>
                <w:szCs w:val="16"/>
              </w:rPr>
              <w:t xml:space="preserve"> </w:t>
            </w:r>
            <w:r w:rsidR="00152D09" w:rsidRPr="00FD3EE9">
              <w:rPr>
                <w:b w:val="0"/>
                <w:sz w:val="18"/>
                <w:szCs w:val="16"/>
              </w:rPr>
              <w:t xml:space="preserve">Ownership </w:t>
            </w:r>
          </w:p>
        </w:tc>
        <w:tc>
          <w:tcPr>
            <w:tcW w:w="756" w:type="pct"/>
            <w:gridSpan w:val="3"/>
            <w:tcBorders>
              <w:top w:val="nil"/>
              <w:bottom w:val="nil"/>
            </w:tcBorders>
          </w:tcPr>
          <w:p w14:paraId="233CB5A7" w14:textId="27C48002"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1.138**</w:t>
            </w:r>
          </w:p>
        </w:tc>
        <w:tc>
          <w:tcPr>
            <w:tcW w:w="932" w:type="pct"/>
            <w:gridSpan w:val="2"/>
            <w:tcBorders>
              <w:top w:val="nil"/>
              <w:bottom w:val="nil"/>
            </w:tcBorders>
          </w:tcPr>
          <w:p w14:paraId="6B118555" w14:textId="1264E345"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1.100**</w:t>
            </w:r>
          </w:p>
        </w:tc>
        <w:tc>
          <w:tcPr>
            <w:tcW w:w="1195" w:type="pct"/>
            <w:gridSpan w:val="8"/>
            <w:tcBorders>
              <w:top w:val="nil"/>
              <w:bottom w:val="nil"/>
            </w:tcBorders>
          </w:tcPr>
          <w:p w14:paraId="1A34FA87" w14:textId="254CF6DE"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3.343</w:t>
            </w:r>
          </w:p>
        </w:tc>
        <w:tc>
          <w:tcPr>
            <w:tcW w:w="793" w:type="pct"/>
            <w:gridSpan w:val="4"/>
            <w:tcBorders>
              <w:top w:val="nil"/>
              <w:bottom w:val="nil"/>
            </w:tcBorders>
          </w:tcPr>
          <w:p w14:paraId="7D7BCF34" w14:textId="14A765B6"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4.309</w:t>
            </w:r>
          </w:p>
        </w:tc>
      </w:tr>
      <w:tr w:rsidR="00EE1B55" w:rsidRPr="00FD3EE9" w14:paraId="37F77B3B" w14:textId="77777777" w:rsidTr="0032486A">
        <w:trPr>
          <w:gridAfter w:val="2"/>
          <w:cnfStyle w:val="000000100000" w:firstRow="0" w:lastRow="0" w:firstColumn="0" w:lastColumn="0" w:oddVBand="0" w:evenVBand="0" w:oddHBand="1" w:evenHBand="0" w:firstRowFirstColumn="0" w:firstRowLastColumn="0" w:lastRowFirstColumn="0" w:lastRowLastColumn="0"/>
          <w:wAfter w:w="189" w:type="pct"/>
          <w:trHeight w:hRule="exact" w:val="366"/>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243F5818" w14:textId="77777777" w:rsidR="003A3600" w:rsidRPr="00FD3EE9" w:rsidRDefault="003A3600" w:rsidP="00E8331F">
            <w:pPr>
              <w:tabs>
                <w:tab w:val="decimal" w:pos="360"/>
              </w:tabs>
              <w:ind w:firstLineChars="200" w:firstLine="361"/>
              <w:jc w:val="left"/>
              <w:rPr>
                <w:sz w:val="18"/>
                <w:szCs w:val="16"/>
              </w:rPr>
            </w:pPr>
          </w:p>
        </w:tc>
        <w:tc>
          <w:tcPr>
            <w:tcW w:w="756" w:type="pct"/>
            <w:gridSpan w:val="3"/>
            <w:tcBorders>
              <w:top w:val="nil"/>
              <w:bottom w:val="nil"/>
            </w:tcBorders>
          </w:tcPr>
          <w:p w14:paraId="2D2347CB" w14:textId="386F81C7"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(0.3</w:t>
            </w:r>
            <w:r w:rsidR="00714151" w:rsidRPr="00FD3EE9">
              <w:rPr>
                <w:sz w:val="18"/>
                <w:szCs w:val="16"/>
              </w:rPr>
              <w:t>70</w:t>
            </w:r>
            <w:r w:rsidRPr="00FD3EE9">
              <w:rPr>
                <w:sz w:val="18"/>
                <w:szCs w:val="16"/>
              </w:rPr>
              <w:t>)</w:t>
            </w:r>
          </w:p>
        </w:tc>
        <w:tc>
          <w:tcPr>
            <w:tcW w:w="932" w:type="pct"/>
            <w:gridSpan w:val="2"/>
            <w:tcBorders>
              <w:top w:val="nil"/>
              <w:bottom w:val="nil"/>
            </w:tcBorders>
          </w:tcPr>
          <w:p w14:paraId="3D85FDA1" w14:textId="436F79AD"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(0.3</w:t>
            </w:r>
            <w:r w:rsidR="004B3902" w:rsidRPr="00FD3EE9">
              <w:rPr>
                <w:sz w:val="18"/>
                <w:szCs w:val="16"/>
              </w:rPr>
              <w:t>60</w:t>
            </w:r>
            <w:r w:rsidRPr="00FD3EE9">
              <w:rPr>
                <w:sz w:val="18"/>
                <w:szCs w:val="16"/>
              </w:rPr>
              <w:t>)</w:t>
            </w:r>
          </w:p>
        </w:tc>
        <w:tc>
          <w:tcPr>
            <w:tcW w:w="1195" w:type="pct"/>
            <w:gridSpan w:val="8"/>
            <w:tcBorders>
              <w:top w:val="nil"/>
              <w:bottom w:val="nil"/>
            </w:tcBorders>
          </w:tcPr>
          <w:p w14:paraId="585FDCE2" w14:textId="083EFE2D"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(2.</w:t>
            </w:r>
            <w:r w:rsidR="004B3902" w:rsidRPr="00FD3EE9">
              <w:rPr>
                <w:sz w:val="18"/>
                <w:szCs w:val="16"/>
              </w:rPr>
              <w:t>684</w:t>
            </w:r>
            <w:r w:rsidRPr="00FD3EE9">
              <w:rPr>
                <w:sz w:val="18"/>
                <w:szCs w:val="16"/>
              </w:rPr>
              <w:t>)</w:t>
            </w:r>
          </w:p>
        </w:tc>
        <w:tc>
          <w:tcPr>
            <w:tcW w:w="793" w:type="pct"/>
            <w:gridSpan w:val="4"/>
            <w:tcBorders>
              <w:top w:val="nil"/>
              <w:bottom w:val="nil"/>
            </w:tcBorders>
          </w:tcPr>
          <w:p w14:paraId="70A9AA4F" w14:textId="32E449FE"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(2.</w:t>
            </w:r>
            <w:r w:rsidR="004B3902" w:rsidRPr="00FD3EE9">
              <w:rPr>
                <w:sz w:val="18"/>
                <w:szCs w:val="16"/>
              </w:rPr>
              <w:t>77</w:t>
            </w:r>
            <w:r w:rsidRPr="00FD3EE9">
              <w:rPr>
                <w:sz w:val="18"/>
                <w:szCs w:val="16"/>
              </w:rPr>
              <w:t>)</w:t>
            </w:r>
          </w:p>
        </w:tc>
      </w:tr>
      <w:tr w:rsidR="00EE1B55" w:rsidRPr="00FD3EE9" w14:paraId="6DCCEE21" w14:textId="77777777" w:rsidTr="0032486A">
        <w:trPr>
          <w:gridAfter w:val="2"/>
          <w:wAfter w:w="189" w:type="pct"/>
          <w:trHeight w:hRule="exact" w:val="351"/>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6344F905" w14:textId="5411973A" w:rsidR="00152D09" w:rsidRPr="00FD3EE9" w:rsidRDefault="002065B9" w:rsidP="00E8331F">
            <w:pPr>
              <w:tabs>
                <w:tab w:val="decimal" w:pos="360"/>
              </w:tabs>
              <w:ind w:firstLineChars="200" w:firstLine="360"/>
              <w:jc w:val="left"/>
              <w:rPr>
                <w:sz w:val="18"/>
                <w:szCs w:val="16"/>
              </w:rPr>
            </w:pPr>
            <w:r w:rsidRPr="00FD3EE9">
              <w:rPr>
                <w:b w:val="0"/>
                <w:sz w:val="18"/>
                <w:szCs w:val="16"/>
              </w:rPr>
              <w:t>Stock</w:t>
            </w:r>
            <w:r w:rsidR="00152D09" w:rsidRPr="00FD3EE9">
              <w:rPr>
                <w:b w:val="0"/>
                <w:sz w:val="18"/>
                <w:szCs w:val="16"/>
              </w:rPr>
              <w:t>Ownership2</w:t>
            </w:r>
          </w:p>
        </w:tc>
        <w:tc>
          <w:tcPr>
            <w:tcW w:w="756" w:type="pct"/>
            <w:gridSpan w:val="3"/>
            <w:tcBorders>
              <w:top w:val="nil"/>
              <w:bottom w:val="nil"/>
            </w:tcBorders>
          </w:tcPr>
          <w:p w14:paraId="68120DAE" w14:textId="28D279D9" w:rsidR="00152D09" w:rsidRPr="00FD3EE9" w:rsidRDefault="00152D09" w:rsidP="00E8331F">
            <w:pPr>
              <w:tabs>
                <w:tab w:val="decimal" w:pos="360"/>
              </w:tabs>
              <w:ind w:firstLineChars="300" w:firstLine="540"/>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w:t>
            </w:r>
            <w:r w:rsidR="003A3600" w:rsidRPr="00FD3EE9">
              <w:rPr>
                <w:sz w:val="18"/>
                <w:szCs w:val="16"/>
              </w:rPr>
              <w:t>1.</w:t>
            </w:r>
            <w:r w:rsidRPr="00FD3EE9">
              <w:rPr>
                <w:sz w:val="18"/>
                <w:szCs w:val="16"/>
              </w:rPr>
              <w:t>201*</w:t>
            </w:r>
          </w:p>
        </w:tc>
        <w:tc>
          <w:tcPr>
            <w:tcW w:w="932" w:type="pct"/>
            <w:gridSpan w:val="2"/>
            <w:tcBorders>
              <w:top w:val="nil"/>
              <w:bottom w:val="nil"/>
            </w:tcBorders>
          </w:tcPr>
          <w:p w14:paraId="17A3B663" w14:textId="269BB0C0"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-1.116</w:t>
            </w:r>
          </w:p>
        </w:tc>
        <w:tc>
          <w:tcPr>
            <w:tcW w:w="1195" w:type="pct"/>
            <w:gridSpan w:val="8"/>
            <w:tcBorders>
              <w:top w:val="nil"/>
              <w:bottom w:val="nil"/>
            </w:tcBorders>
          </w:tcPr>
          <w:p w14:paraId="7E98B633" w14:textId="231C147A"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-13.813</w:t>
            </w:r>
          </w:p>
        </w:tc>
        <w:tc>
          <w:tcPr>
            <w:tcW w:w="793" w:type="pct"/>
            <w:gridSpan w:val="4"/>
            <w:tcBorders>
              <w:top w:val="nil"/>
              <w:bottom w:val="nil"/>
            </w:tcBorders>
          </w:tcPr>
          <w:p w14:paraId="4392B23F" w14:textId="074A5B73"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-15.651</w:t>
            </w:r>
          </w:p>
        </w:tc>
      </w:tr>
      <w:tr w:rsidR="0032486A" w:rsidRPr="00FD3EE9" w14:paraId="1EAFA6A5" w14:textId="77777777" w:rsidTr="0032486A">
        <w:trPr>
          <w:gridAfter w:val="2"/>
          <w:cnfStyle w:val="000000100000" w:firstRow="0" w:lastRow="0" w:firstColumn="0" w:lastColumn="0" w:oddVBand="0" w:evenVBand="0" w:oddHBand="1" w:evenHBand="0" w:firstRowFirstColumn="0" w:firstRowLastColumn="0" w:lastRowFirstColumn="0" w:lastRowLastColumn="0"/>
          <w:wAfter w:w="189" w:type="pct"/>
          <w:trHeight w:hRule="exact" w:val="351"/>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33B8F795" w14:textId="77777777" w:rsidR="003A3600" w:rsidRPr="00FD3EE9" w:rsidRDefault="003A3600" w:rsidP="00E8331F">
            <w:pPr>
              <w:tabs>
                <w:tab w:val="decimal" w:pos="360"/>
              </w:tabs>
              <w:ind w:firstLineChars="200" w:firstLine="361"/>
              <w:jc w:val="left"/>
              <w:rPr>
                <w:sz w:val="18"/>
                <w:szCs w:val="16"/>
              </w:rPr>
            </w:pPr>
          </w:p>
        </w:tc>
        <w:tc>
          <w:tcPr>
            <w:tcW w:w="756" w:type="pct"/>
            <w:gridSpan w:val="3"/>
            <w:tcBorders>
              <w:top w:val="nil"/>
              <w:bottom w:val="nil"/>
            </w:tcBorders>
          </w:tcPr>
          <w:p w14:paraId="59FEE944" w14:textId="2D994968"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(0.5</w:t>
            </w:r>
            <w:r w:rsidR="00714151" w:rsidRPr="00FD3EE9">
              <w:rPr>
                <w:sz w:val="18"/>
                <w:szCs w:val="16"/>
              </w:rPr>
              <w:t>612</w:t>
            </w:r>
            <w:r w:rsidRPr="00FD3EE9">
              <w:rPr>
                <w:sz w:val="18"/>
                <w:szCs w:val="16"/>
              </w:rPr>
              <w:t>)</w:t>
            </w:r>
          </w:p>
        </w:tc>
        <w:tc>
          <w:tcPr>
            <w:tcW w:w="932" w:type="pct"/>
            <w:gridSpan w:val="2"/>
            <w:tcBorders>
              <w:top w:val="nil"/>
              <w:bottom w:val="nil"/>
            </w:tcBorders>
          </w:tcPr>
          <w:p w14:paraId="2347C340" w14:textId="2A0D62F9"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(0.558)</w:t>
            </w:r>
          </w:p>
        </w:tc>
        <w:tc>
          <w:tcPr>
            <w:tcW w:w="1195" w:type="pct"/>
            <w:gridSpan w:val="8"/>
            <w:tcBorders>
              <w:top w:val="nil"/>
              <w:bottom w:val="nil"/>
            </w:tcBorders>
          </w:tcPr>
          <w:p w14:paraId="131A3729" w14:textId="52BB7747"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(1</w:t>
            </w:r>
            <w:r w:rsidR="004B3902" w:rsidRPr="00FD3EE9">
              <w:rPr>
                <w:sz w:val="18"/>
                <w:szCs w:val="16"/>
              </w:rPr>
              <w:t>4</w:t>
            </w:r>
            <w:r w:rsidRPr="00FD3EE9">
              <w:rPr>
                <w:sz w:val="18"/>
                <w:szCs w:val="16"/>
              </w:rPr>
              <w:t>.</w:t>
            </w:r>
            <w:r w:rsidR="004B3902" w:rsidRPr="00FD3EE9">
              <w:rPr>
                <w:sz w:val="18"/>
                <w:szCs w:val="16"/>
              </w:rPr>
              <w:t>878</w:t>
            </w:r>
            <w:r w:rsidRPr="00FD3EE9">
              <w:rPr>
                <w:sz w:val="18"/>
                <w:szCs w:val="16"/>
              </w:rPr>
              <w:t>)</w:t>
            </w:r>
          </w:p>
        </w:tc>
        <w:tc>
          <w:tcPr>
            <w:tcW w:w="793" w:type="pct"/>
            <w:gridSpan w:val="4"/>
            <w:tcBorders>
              <w:top w:val="nil"/>
              <w:bottom w:val="nil"/>
            </w:tcBorders>
          </w:tcPr>
          <w:p w14:paraId="6FC2C941" w14:textId="002C8BB2"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(1</w:t>
            </w:r>
            <w:r w:rsidR="004B3902" w:rsidRPr="00FD3EE9">
              <w:rPr>
                <w:sz w:val="18"/>
                <w:szCs w:val="16"/>
              </w:rPr>
              <w:t>4</w:t>
            </w:r>
            <w:r w:rsidRPr="00FD3EE9">
              <w:rPr>
                <w:sz w:val="18"/>
                <w:szCs w:val="16"/>
              </w:rPr>
              <w:t>.</w:t>
            </w:r>
            <w:r w:rsidR="004B3902" w:rsidRPr="00FD3EE9">
              <w:rPr>
                <w:sz w:val="18"/>
                <w:szCs w:val="16"/>
              </w:rPr>
              <w:t>792</w:t>
            </w:r>
            <w:r w:rsidRPr="00FD3EE9">
              <w:rPr>
                <w:sz w:val="18"/>
                <w:szCs w:val="16"/>
              </w:rPr>
              <w:t>)</w:t>
            </w:r>
          </w:p>
        </w:tc>
      </w:tr>
      <w:tr w:rsidR="00EE1B55" w:rsidRPr="00FD3EE9" w14:paraId="066FAF8F" w14:textId="77777777" w:rsidTr="0032486A">
        <w:trPr>
          <w:gridAfter w:val="2"/>
          <w:wAfter w:w="189" w:type="pct"/>
          <w:trHeight w:hRule="exact" w:val="366"/>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69D8609F" w14:textId="6363ACB2" w:rsidR="00152D09" w:rsidRPr="00FD3EE9" w:rsidRDefault="00152D09" w:rsidP="00E8331F">
            <w:pPr>
              <w:tabs>
                <w:tab w:val="decimal" w:pos="360"/>
              </w:tabs>
              <w:ind w:firstLineChars="200" w:firstLine="360"/>
              <w:jc w:val="left"/>
              <w:rPr>
                <w:sz w:val="18"/>
                <w:szCs w:val="16"/>
              </w:rPr>
            </w:pPr>
            <w:r w:rsidRPr="00FD3EE9">
              <w:rPr>
                <w:b w:val="0"/>
                <w:sz w:val="18"/>
                <w:szCs w:val="16"/>
              </w:rPr>
              <w:t>Cash Pay</w:t>
            </w:r>
          </w:p>
        </w:tc>
        <w:tc>
          <w:tcPr>
            <w:tcW w:w="756" w:type="pct"/>
            <w:gridSpan w:val="3"/>
            <w:tcBorders>
              <w:top w:val="nil"/>
              <w:bottom w:val="nil"/>
            </w:tcBorders>
          </w:tcPr>
          <w:p w14:paraId="2CFF9EB0" w14:textId="6CA1F0DF"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0.000*</w:t>
            </w:r>
          </w:p>
        </w:tc>
        <w:tc>
          <w:tcPr>
            <w:tcW w:w="932" w:type="pct"/>
            <w:gridSpan w:val="2"/>
            <w:tcBorders>
              <w:top w:val="nil"/>
              <w:bottom w:val="nil"/>
            </w:tcBorders>
          </w:tcPr>
          <w:p w14:paraId="65778121" w14:textId="3DD8737E"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0.000*</w:t>
            </w:r>
          </w:p>
        </w:tc>
        <w:tc>
          <w:tcPr>
            <w:tcW w:w="1195" w:type="pct"/>
            <w:gridSpan w:val="8"/>
            <w:tcBorders>
              <w:top w:val="nil"/>
              <w:bottom w:val="nil"/>
            </w:tcBorders>
          </w:tcPr>
          <w:p w14:paraId="34A1BBDC" w14:textId="1A786806"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0.000</w:t>
            </w:r>
          </w:p>
        </w:tc>
        <w:tc>
          <w:tcPr>
            <w:tcW w:w="793" w:type="pct"/>
            <w:gridSpan w:val="4"/>
            <w:tcBorders>
              <w:top w:val="nil"/>
              <w:bottom w:val="nil"/>
            </w:tcBorders>
          </w:tcPr>
          <w:p w14:paraId="3BB0BDD7" w14:textId="5F451B41"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0.000</w:t>
            </w:r>
            <w:r w:rsidR="004B3902" w:rsidRPr="00FD3EE9">
              <w:rPr>
                <w:sz w:val="18"/>
                <w:szCs w:val="16"/>
              </w:rPr>
              <w:t>*</w:t>
            </w:r>
          </w:p>
        </w:tc>
      </w:tr>
      <w:tr w:rsidR="0032486A" w:rsidRPr="00FD3EE9" w14:paraId="4890A4E7" w14:textId="77777777" w:rsidTr="0032486A">
        <w:trPr>
          <w:gridAfter w:val="2"/>
          <w:cnfStyle w:val="000000100000" w:firstRow="0" w:lastRow="0" w:firstColumn="0" w:lastColumn="0" w:oddVBand="0" w:evenVBand="0" w:oddHBand="1" w:evenHBand="0" w:firstRowFirstColumn="0" w:firstRowLastColumn="0" w:lastRowFirstColumn="0" w:lastRowLastColumn="0"/>
          <w:wAfter w:w="189" w:type="pct"/>
          <w:trHeight w:hRule="exact" w:val="366"/>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2CF52E3E" w14:textId="77777777" w:rsidR="003A3600" w:rsidRPr="00FD3EE9" w:rsidRDefault="003A3600" w:rsidP="00E8331F">
            <w:pPr>
              <w:tabs>
                <w:tab w:val="decimal" w:pos="360"/>
              </w:tabs>
              <w:ind w:firstLineChars="200" w:firstLine="361"/>
              <w:jc w:val="left"/>
              <w:rPr>
                <w:sz w:val="18"/>
                <w:szCs w:val="16"/>
              </w:rPr>
            </w:pPr>
          </w:p>
        </w:tc>
        <w:tc>
          <w:tcPr>
            <w:tcW w:w="756" w:type="pct"/>
            <w:gridSpan w:val="3"/>
            <w:tcBorders>
              <w:top w:val="nil"/>
              <w:bottom w:val="nil"/>
            </w:tcBorders>
          </w:tcPr>
          <w:p w14:paraId="54FBC109" w14:textId="083173EE"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(0.000)</w:t>
            </w:r>
          </w:p>
        </w:tc>
        <w:tc>
          <w:tcPr>
            <w:tcW w:w="932" w:type="pct"/>
            <w:gridSpan w:val="2"/>
            <w:tcBorders>
              <w:top w:val="nil"/>
              <w:bottom w:val="nil"/>
            </w:tcBorders>
          </w:tcPr>
          <w:p w14:paraId="59295F2B" w14:textId="0D25379E"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(0.000)</w:t>
            </w:r>
          </w:p>
        </w:tc>
        <w:tc>
          <w:tcPr>
            <w:tcW w:w="1195" w:type="pct"/>
            <w:gridSpan w:val="8"/>
            <w:tcBorders>
              <w:top w:val="nil"/>
              <w:bottom w:val="nil"/>
            </w:tcBorders>
          </w:tcPr>
          <w:p w14:paraId="2334D9DA" w14:textId="32E2CD43"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(0.000)</w:t>
            </w:r>
          </w:p>
        </w:tc>
        <w:tc>
          <w:tcPr>
            <w:tcW w:w="793" w:type="pct"/>
            <w:gridSpan w:val="4"/>
            <w:tcBorders>
              <w:top w:val="nil"/>
              <w:bottom w:val="nil"/>
            </w:tcBorders>
          </w:tcPr>
          <w:p w14:paraId="3D9642E2" w14:textId="30BC9E7B"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(0.000)</w:t>
            </w:r>
          </w:p>
        </w:tc>
      </w:tr>
      <w:tr w:rsidR="00EE1B55" w:rsidRPr="00FD3EE9" w14:paraId="7808D28C" w14:textId="77777777" w:rsidTr="0032486A">
        <w:trPr>
          <w:gridAfter w:val="2"/>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05AEBB3F" w14:textId="77777777" w:rsidR="00152D09" w:rsidRPr="00FD3EE9" w:rsidRDefault="00152D09" w:rsidP="00E8331F">
            <w:pPr>
              <w:tabs>
                <w:tab w:val="decimal" w:pos="360"/>
              </w:tabs>
              <w:ind w:firstLineChars="200" w:firstLine="360"/>
              <w:jc w:val="left"/>
              <w:rPr>
                <w:sz w:val="18"/>
                <w:szCs w:val="16"/>
              </w:rPr>
            </w:pPr>
            <w:r w:rsidRPr="00FD3EE9">
              <w:rPr>
                <w:b w:val="0"/>
                <w:sz w:val="18"/>
                <w:szCs w:val="16"/>
              </w:rPr>
              <w:t>Debt to Asset Ratio</w:t>
            </w:r>
          </w:p>
        </w:tc>
        <w:tc>
          <w:tcPr>
            <w:tcW w:w="756" w:type="pct"/>
            <w:gridSpan w:val="3"/>
            <w:tcBorders>
              <w:top w:val="nil"/>
              <w:bottom w:val="nil"/>
            </w:tcBorders>
          </w:tcPr>
          <w:p w14:paraId="1B521F81" w14:textId="1BA28FE7"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-0.346**</w:t>
            </w:r>
          </w:p>
        </w:tc>
        <w:tc>
          <w:tcPr>
            <w:tcW w:w="932" w:type="pct"/>
            <w:gridSpan w:val="2"/>
            <w:tcBorders>
              <w:top w:val="nil"/>
              <w:bottom w:val="nil"/>
            </w:tcBorders>
          </w:tcPr>
          <w:p w14:paraId="388F5382" w14:textId="33D37607"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-0.338**</w:t>
            </w:r>
          </w:p>
        </w:tc>
        <w:tc>
          <w:tcPr>
            <w:tcW w:w="1195" w:type="pct"/>
            <w:gridSpan w:val="8"/>
            <w:tcBorders>
              <w:top w:val="nil"/>
              <w:bottom w:val="nil"/>
            </w:tcBorders>
          </w:tcPr>
          <w:p w14:paraId="6D836C2E" w14:textId="204FA945"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-0.518**</w:t>
            </w:r>
          </w:p>
        </w:tc>
        <w:tc>
          <w:tcPr>
            <w:tcW w:w="793" w:type="pct"/>
            <w:gridSpan w:val="4"/>
            <w:tcBorders>
              <w:top w:val="nil"/>
              <w:bottom w:val="nil"/>
            </w:tcBorders>
          </w:tcPr>
          <w:p w14:paraId="65DA0543" w14:textId="47F7E00A"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-0.596**</w:t>
            </w:r>
          </w:p>
        </w:tc>
      </w:tr>
      <w:tr w:rsidR="0032486A" w:rsidRPr="00FD3EE9" w14:paraId="52E0C777" w14:textId="77777777" w:rsidTr="0032486A">
        <w:trPr>
          <w:gridAfter w:val="2"/>
          <w:cnfStyle w:val="000000100000" w:firstRow="0" w:lastRow="0" w:firstColumn="0" w:lastColumn="0" w:oddVBand="0" w:evenVBand="0" w:oddHBand="1" w:evenHBand="0" w:firstRowFirstColumn="0" w:firstRowLastColumn="0" w:lastRowFirstColumn="0" w:lastRowLastColumn="0"/>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708E1757" w14:textId="77777777" w:rsidR="003A3600" w:rsidRPr="00FD3EE9" w:rsidRDefault="003A3600" w:rsidP="00E8331F">
            <w:pPr>
              <w:tabs>
                <w:tab w:val="decimal" w:pos="360"/>
              </w:tabs>
              <w:ind w:firstLineChars="200" w:firstLine="361"/>
              <w:jc w:val="left"/>
              <w:rPr>
                <w:sz w:val="18"/>
                <w:szCs w:val="16"/>
              </w:rPr>
            </w:pPr>
          </w:p>
        </w:tc>
        <w:tc>
          <w:tcPr>
            <w:tcW w:w="756" w:type="pct"/>
            <w:gridSpan w:val="3"/>
            <w:tcBorders>
              <w:top w:val="nil"/>
              <w:bottom w:val="nil"/>
            </w:tcBorders>
          </w:tcPr>
          <w:p w14:paraId="16226A35" w14:textId="4677522E"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w:t>
            </w:r>
            <w:r w:rsidR="00714151" w:rsidRPr="00FD3EE9">
              <w:rPr>
                <w:sz w:val="18"/>
                <w:szCs w:val="16"/>
              </w:rPr>
              <w:t>110</w:t>
            </w:r>
            <w:r w:rsidRPr="00FD3EE9">
              <w:rPr>
                <w:sz w:val="18"/>
                <w:szCs w:val="16"/>
              </w:rPr>
              <w:t>)</w:t>
            </w:r>
          </w:p>
        </w:tc>
        <w:tc>
          <w:tcPr>
            <w:tcW w:w="932" w:type="pct"/>
            <w:gridSpan w:val="2"/>
            <w:tcBorders>
              <w:top w:val="nil"/>
              <w:bottom w:val="nil"/>
            </w:tcBorders>
          </w:tcPr>
          <w:p w14:paraId="415121A3" w14:textId="5263A86F"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(0.1</w:t>
            </w:r>
            <w:r w:rsidR="004B3902" w:rsidRPr="00FD3EE9">
              <w:rPr>
                <w:sz w:val="18"/>
                <w:szCs w:val="16"/>
              </w:rPr>
              <w:t>13</w:t>
            </w:r>
            <w:r w:rsidRPr="00FD3EE9">
              <w:rPr>
                <w:sz w:val="18"/>
                <w:szCs w:val="16"/>
              </w:rPr>
              <w:t>)</w:t>
            </w:r>
          </w:p>
        </w:tc>
        <w:tc>
          <w:tcPr>
            <w:tcW w:w="1195" w:type="pct"/>
            <w:gridSpan w:val="8"/>
            <w:tcBorders>
              <w:top w:val="nil"/>
              <w:bottom w:val="nil"/>
            </w:tcBorders>
          </w:tcPr>
          <w:p w14:paraId="60842E66" w14:textId="7CDBC5AB"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(0.1</w:t>
            </w:r>
            <w:r w:rsidR="004B3902" w:rsidRPr="00FD3EE9">
              <w:rPr>
                <w:sz w:val="18"/>
                <w:szCs w:val="16"/>
              </w:rPr>
              <w:t>73</w:t>
            </w:r>
            <w:r w:rsidRPr="00FD3EE9">
              <w:rPr>
                <w:sz w:val="18"/>
                <w:szCs w:val="16"/>
              </w:rPr>
              <w:t>)</w:t>
            </w:r>
          </w:p>
        </w:tc>
        <w:tc>
          <w:tcPr>
            <w:tcW w:w="793" w:type="pct"/>
            <w:gridSpan w:val="4"/>
            <w:tcBorders>
              <w:top w:val="nil"/>
              <w:bottom w:val="nil"/>
            </w:tcBorders>
          </w:tcPr>
          <w:p w14:paraId="49F4E422" w14:textId="0B5AB834"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(0.1</w:t>
            </w:r>
            <w:r w:rsidR="004B3902" w:rsidRPr="00FD3EE9">
              <w:rPr>
                <w:sz w:val="18"/>
                <w:szCs w:val="16"/>
              </w:rPr>
              <w:t>75</w:t>
            </w:r>
            <w:r w:rsidRPr="00FD3EE9">
              <w:rPr>
                <w:sz w:val="18"/>
                <w:szCs w:val="16"/>
              </w:rPr>
              <w:t>)</w:t>
            </w:r>
          </w:p>
        </w:tc>
      </w:tr>
      <w:tr w:rsidR="00EE1B55" w:rsidRPr="00FD3EE9" w14:paraId="225CD8CE" w14:textId="77777777" w:rsidTr="0032486A">
        <w:trPr>
          <w:gridAfter w:val="2"/>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058244B1" w14:textId="01E50AC0" w:rsidR="00152D09" w:rsidRPr="00FD3EE9" w:rsidRDefault="00152D09" w:rsidP="00E8331F">
            <w:pPr>
              <w:tabs>
                <w:tab w:val="decimal" w:pos="360"/>
              </w:tabs>
              <w:ind w:firstLineChars="200" w:firstLine="360"/>
              <w:jc w:val="left"/>
              <w:rPr>
                <w:sz w:val="18"/>
                <w:szCs w:val="16"/>
              </w:rPr>
            </w:pPr>
            <w:r w:rsidRPr="00FD3EE9">
              <w:rPr>
                <w:b w:val="0"/>
                <w:sz w:val="18"/>
                <w:szCs w:val="16"/>
              </w:rPr>
              <w:t>Return on Equity</w:t>
            </w:r>
          </w:p>
        </w:tc>
        <w:tc>
          <w:tcPr>
            <w:tcW w:w="756" w:type="pct"/>
            <w:gridSpan w:val="3"/>
            <w:tcBorders>
              <w:top w:val="nil"/>
              <w:bottom w:val="nil"/>
            </w:tcBorders>
          </w:tcPr>
          <w:p w14:paraId="7191E947" w14:textId="7AC1612F"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0.065</w:t>
            </w:r>
          </w:p>
        </w:tc>
        <w:tc>
          <w:tcPr>
            <w:tcW w:w="932" w:type="pct"/>
            <w:gridSpan w:val="2"/>
            <w:tcBorders>
              <w:top w:val="nil"/>
              <w:bottom w:val="nil"/>
            </w:tcBorders>
          </w:tcPr>
          <w:p w14:paraId="05AF44BA" w14:textId="251044DE"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p>
        </w:tc>
        <w:tc>
          <w:tcPr>
            <w:tcW w:w="1195" w:type="pct"/>
            <w:gridSpan w:val="8"/>
            <w:tcBorders>
              <w:top w:val="nil"/>
              <w:bottom w:val="nil"/>
            </w:tcBorders>
          </w:tcPr>
          <w:p w14:paraId="2FEC57D5" w14:textId="0EA51816"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0.880*</w:t>
            </w:r>
            <w:r w:rsidR="004B3902" w:rsidRPr="00FD3EE9">
              <w:rPr>
                <w:sz w:val="18"/>
                <w:szCs w:val="16"/>
              </w:rPr>
              <w:t>*</w:t>
            </w:r>
          </w:p>
        </w:tc>
        <w:tc>
          <w:tcPr>
            <w:tcW w:w="793" w:type="pct"/>
            <w:gridSpan w:val="4"/>
            <w:tcBorders>
              <w:top w:val="nil"/>
              <w:bottom w:val="nil"/>
            </w:tcBorders>
          </w:tcPr>
          <w:p w14:paraId="18F24C11" w14:textId="26433127"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p>
        </w:tc>
      </w:tr>
      <w:tr w:rsidR="0032486A" w:rsidRPr="00FD3EE9" w14:paraId="6959AC8F" w14:textId="77777777" w:rsidTr="0032486A">
        <w:trPr>
          <w:gridAfter w:val="2"/>
          <w:cnfStyle w:val="000000100000" w:firstRow="0" w:lastRow="0" w:firstColumn="0" w:lastColumn="0" w:oddVBand="0" w:evenVBand="0" w:oddHBand="1" w:evenHBand="0" w:firstRowFirstColumn="0" w:firstRowLastColumn="0" w:lastRowFirstColumn="0" w:lastRowLastColumn="0"/>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57AC46B5" w14:textId="77777777" w:rsidR="003A3600" w:rsidRPr="00FD3EE9" w:rsidRDefault="003A3600" w:rsidP="00E8331F">
            <w:pPr>
              <w:tabs>
                <w:tab w:val="decimal" w:pos="360"/>
              </w:tabs>
              <w:ind w:firstLineChars="200" w:firstLine="361"/>
              <w:jc w:val="left"/>
              <w:rPr>
                <w:sz w:val="18"/>
                <w:szCs w:val="16"/>
              </w:rPr>
            </w:pPr>
          </w:p>
        </w:tc>
        <w:tc>
          <w:tcPr>
            <w:tcW w:w="756" w:type="pct"/>
            <w:gridSpan w:val="3"/>
            <w:tcBorders>
              <w:top w:val="nil"/>
              <w:bottom w:val="nil"/>
            </w:tcBorders>
          </w:tcPr>
          <w:p w14:paraId="07216C04" w14:textId="6A989091"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(0.2</w:t>
            </w:r>
            <w:r w:rsidR="00714151" w:rsidRPr="00FD3EE9">
              <w:rPr>
                <w:sz w:val="18"/>
                <w:szCs w:val="16"/>
              </w:rPr>
              <w:t>47</w:t>
            </w:r>
            <w:r w:rsidRPr="00FD3EE9">
              <w:rPr>
                <w:sz w:val="18"/>
                <w:szCs w:val="16"/>
              </w:rPr>
              <w:t>)</w:t>
            </w:r>
          </w:p>
        </w:tc>
        <w:tc>
          <w:tcPr>
            <w:tcW w:w="932" w:type="pct"/>
            <w:gridSpan w:val="2"/>
            <w:tcBorders>
              <w:top w:val="nil"/>
              <w:bottom w:val="nil"/>
            </w:tcBorders>
          </w:tcPr>
          <w:p w14:paraId="28399C43" w14:textId="77777777"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p>
        </w:tc>
        <w:tc>
          <w:tcPr>
            <w:tcW w:w="1195" w:type="pct"/>
            <w:gridSpan w:val="8"/>
            <w:tcBorders>
              <w:top w:val="nil"/>
              <w:bottom w:val="nil"/>
            </w:tcBorders>
          </w:tcPr>
          <w:p w14:paraId="452C82C4" w14:textId="163B1A06"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(0.3</w:t>
            </w:r>
            <w:r w:rsidR="004B3902" w:rsidRPr="00FD3EE9">
              <w:rPr>
                <w:sz w:val="18"/>
                <w:szCs w:val="16"/>
              </w:rPr>
              <w:t>35</w:t>
            </w:r>
            <w:r w:rsidRPr="00FD3EE9">
              <w:rPr>
                <w:sz w:val="18"/>
                <w:szCs w:val="16"/>
              </w:rPr>
              <w:t>)</w:t>
            </w:r>
          </w:p>
        </w:tc>
        <w:tc>
          <w:tcPr>
            <w:tcW w:w="793" w:type="pct"/>
            <w:gridSpan w:val="4"/>
            <w:tcBorders>
              <w:top w:val="nil"/>
              <w:bottom w:val="nil"/>
            </w:tcBorders>
          </w:tcPr>
          <w:p w14:paraId="57A17D88" w14:textId="77777777"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p>
        </w:tc>
      </w:tr>
      <w:tr w:rsidR="00EE1B55" w:rsidRPr="00FD3EE9" w14:paraId="660D85A1" w14:textId="77777777" w:rsidTr="0032486A">
        <w:trPr>
          <w:gridAfter w:val="2"/>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5EF62C41" w14:textId="4ADA124F" w:rsidR="00152D09" w:rsidRPr="00FD3EE9" w:rsidRDefault="00152D09" w:rsidP="00E8331F">
            <w:pPr>
              <w:tabs>
                <w:tab w:val="decimal" w:pos="360"/>
              </w:tabs>
              <w:ind w:firstLineChars="200" w:firstLine="360"/>
              <w:jc w:val="left"/>
              <w:rPr>
                <w:sz w:val="18"/>
                <w:szCs w:val="16"/>
              </w:rPr>
            </w:pPr>
            <w:r w:rsidRPr="00FD3EE9">
              <w:rPr>
                <w:b w:val="0"/>
                <w:sz w:val="18"/>
                <w:szCs w:val="16"/>
              </w:rPr>
              <w:t>Stock Return</w:t>
            </w:r>
          </w:p>
        </w:tc>
        <w:tc>
          <w:tcPr>
            <w:tcW w:w="756" w:type="pct"/>
            <w:gridSpan w:val="3"/>
            <w:tcBorders>
              <w:top w:val="nil"/>
              <w:bottom w:val="nil"/>
            </w:tcBorders>
          </w:tcPr>
          <w:p w14:paraId="250C9627" w14:textId="15C5BE12"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0.138***</w:t>
            </w:r>
          </w:p>
        </w:tc>
        <w:tc>
          <w:tcPr>
            <w:tcW w:w="932" w:type="pct"/>
            <w:gridSpan w:val="2"/>
            <w:tcBorders>
              <w:top w:val="nil"/>
              <w:bottom w:val="nil"/>
            </w:tcBorders>
          </w:tcPr>
          <w:p w14:paraId="6EE91627" w14:textId="5E198291"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0.101*</w:t>
            </w:r>
          </w:p>
        </w:tc>
        <w:tc>
          <w:tcPr>
            <w:tcW w:w="1195" w:type="pct"/>
            <w:gridSpan w:val="8"/>
            <w:tcBorders>
              <w:top w:val="nil"/>
              <w:bottom w:val="nil"/>
            </w:tcBorders>
          </w:tcPr>
          <w:p w14:paraId="7F03DB03" w14:textId="7462170B"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0.129**</w:t>
            </w:r>
          </w:p>
        </w:tc>
        <w:tc>
          <w:tcPr>
            <w:tcW w:w="793" w:type="pct"/>
            <w:gridSpan w:val="4"/>
            <w:tcBorders>
              <w:top w:val="nil"/>
              <w:bottom w:val="nil"/>
            </w:tcBorders>
          </w:tcPr>
          <w:p w14:paraId="51F6043D" w14:textId="504FD11A"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0.180**</w:t>
            </w:r>
          </w:p>
        </w:tc>
      </w:tr>
      <w:tr w:rsidR="0032486A" w:rsidRPr="00FD3EE9" w14:paraId="38BC9290" w14:textId="77777777" w:rsidTr="0032486A">
        <w:trPr>
          <w:gridAfter w:val="2"/>
          <w:cnfStyle w:val="000000100000" w:firstRow="0" w:lastRow="0" w:firstColumn="0" w:lastColumn="0" w:oddVBand="0" w:evenVBand="0" w:oddHBand="1" w:evenHBand="0" w:firstRowFirstColumn="0" w:firstRowLastColumn="0" w:lastRowFirstColumn="0" w:lastRowLastColumn="0"/>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2641F986" w14:textId="77777777" w:rsidR="003A3600" w:rsidRPr="00FD3EE9" w:rsidRDefault="003A3600" w:rsidP="00E8331F">
            <w:pPr>
              <w:tabs>
                <w:tab w:val="decimal" w:pos="360"/>
              </w:tabs>
              <w:ind w:firstLineChars="200" w:firstLine="361"/>
              <w:jc w:val="left"/>
              <w:rPr>
                <w:sz w:val="18"/>
                <w:szCs w:val="16"/>
              </w:rPr>
            </w:pPr>
          </w:p>
        </w:tc>
        <w:tc>
          <w:tcPr>
            <w:tcW w:w="756" w:type="pct"/>
            <w:gridSpan w:val="3"/>
            <w:tcBorders>
              <w:top w:val="nil"/>
              <w:bottom w:val="nil"/>
            </w:tcBorders>
          </w:tcPr>
          <w:p w14:paraId="4C0E5249" w14:textId="79EEED0E"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(0.02</w:t>
            </w:r>
            <w:r w:rsidR="00714151" w:rsidRPr="00FD3EE9">
              <w:rPr>
                <w:sz w:val="18"/>
                <w:szCs w:val="16"/>
              </w:rPr>
              <w:t>7</w:t>
            </w:r>
            <w:r w:rsidRPr="00FD3EE9">
              <w:rPr>
                <w:sz w:val="18"/>
                <w:szCs w:val="16"/>
              </w:rPr>
              <w:t>)</w:t>
            </w:r>
          </w:p>
        </w:tc>
        <w:tc>
          <w:tcPr>
            <w:tcW w:w="932" w:type="pct"/>
            <w:gridSpan w:val="2"/>
            <w:tcBorders>
              <w:top w:val="nil"/>
              <w:bottom w:val="nil"/>
            </w:tcBorders>
          </w:tcPr>
          <w:p w14:paraId="5C7794BB" w14:textId="54418583"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(0.04</w:t>
            </w:r>
            <w:r w:rsidR="004B3902" w:rsidRPr="00FD3EE9">
              <w:rPr>
                <w:sz w:val="18"/>
                <w:szCs w:val="16"/>
              </w:rPr>
              <w:t>0</w:t>
            </w:r>
            <w:r w:rsidRPr="00FD3EE9">
              <w:rPr>
                <w:sz w:val="18"/>
                <w:szCs w:val="16"/>
              </w:rPr>
              <w:t>)</w:t>
            </w:r>
          </w:p>
        </w:tc>
        <w:tc>
          <w:tcPr>
            <w:tcW w:w="1195" w:type="pct"/>
            <w:gridSpan w:val="8"/>
            <w:tcBorders>
              <w:top w:val="nil"/>
              <w:bottom w:val="nil"/>
            </w:tcBorders>
          </w:tcPr>
          <w:p w14:paraId="7291BE72" w14:textId="721AEA0B"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(0.03</w:t>
            </w:r>
            <w:r w:rsidR="004B3902" w:rsidRPr="00FD3EE9">
              <w:rPr>
                <w:sz w:val="18"/>
                <w:szCs w:val="16"/>
              </w:rPr>
              <w:t>9</w:t>
            </w:r>
            <w:r w:rsidRPr="00FD3EE9">
              <w:rPr>
                <w:sz w:val="18"/>
                <w:szCs w:val="16"/>
              </w:rPr>
              <w:t>)</w:t>
            </w:r>
          </w:p>
        </w:tc>
        <w:tc>
          <w:tcPr>
            <w:tcW w:w="793" w:type="pct"/>
            <w:gridSpan w:val="4"/>
            <w:tcBorders>
              <w:top w:val="nil"/>
              <w:bottom w:val="nil"/>
            </w:tcBorders>
          </w:tcPr>
          <w:p w14:paraId="5C44068F" w14:textId="32595937"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w:t>
            </w:r>
            <w:r w:rsidR="004B3902" w:rsidRPr="00FD3EE9">
              <w:rPr>
                <w:sz w:val="18"/>
                <w:szCs w:val="16"/>
              </w:rPr>
              <w:t>59</w:t>
            </w:r>
            <w:r w:rsidRPr="00FD3EE9">
              <w:rPr>
                <w:sz w:val="18"/>
                <w:szCs w:val="16"/>
              </w:rPr>
              <w:t>)</w:t>
            </w:r>
          </w:p>
        </w:tc>
      </w:tr>
      <w:tr w:rsidR="00EE1B55" w:rsidRPr="00FD3EE9" w14:paraId="40FFD2B7" w14:textId="77777777" w:rsidTr="0032486A">
        <w:trPr>
          <w:gridAfter w:val="2"/>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2FCC59CA" w14:textId="2AFD4123" w:rsidR="00152D09" w:rsidRPr="00FD3EE9" w:rsidRDefault="00152D09" w:rsidP="00E8331F">
            <w:pPr>
              <w:tabs>
                <w:tab w:val="decimal" w:pos="360"/>
              </w:tabs>
              <w:ind w:firstLineChars="200" w:firstLine="360"/>
              <w:jc w:val="left"/>
              <w:rPr>
                <w:sz w:val="18"/>
                <w:szCs w:val="16"/>
              </w:rPr>
            </w:pPr>
            <w:r w:rsidRPr="00FD3EE9">
              <w:rPr>
                <w:b w:val="0"/>
                <w:sz w:val="18"/>
                <w:szCs w:val="16"/>
              </w:rPr>
              <w:t>Firm Size</w:t>
            </w:r>
          </w:p>
        </w:tc>
        <w:tc>
          <w:tcPr>
            <w:tcW w:w="756" w:type="pct"/>
            <w:gridSpan w:val="3"/>
            <w:tcBorders>
              <w:top w:val="nil"/>
              <w:bottom w:val="nil"/>
            </w:tcBorders>
          </w:tcPr>
          <w:p w14:paraId="4D9D6E3A" w14:textId="2115C4B7"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0.146***</w:t>
            </w:r>
          </w:p>
        </w:tc>
        <w:tc>
          <w:tcPr>
            <w:tcW w:w="932" w:type="pct"/>
            <w:gridSpan w:val="2"/>
            <w:tcBorders>
              <w:top w:val="nil"/>
              <w:bottom w:val="nil"/>
            </w:tcBorders>
          </w:tcPr>
          <w:p w14:paraId="2B9A8ABA" w14:textId="5B285408"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0.153***</w:t>
            </w:r>
          </w:p>
        </w:tc>
        <w:tc>
          <w:tcPr>
            <w:tcW w:w="1195" w:type="pct"/>
            <w:gridSpan w:val="8"/>
            <w:tcBorders>
              <w:top w:val="nil"/>
              <w:bottom w:val="nil"/>
            </w:tcBorders>
          </w:tcPr>
          <w:p w14:paraId="62C8CB5F" w14:textId="352C8F8C"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0.252***</w:t>
            </w:r>
          </w:p>
        </w:tc>
        <w:tc>
          <w:tcPr>
            <w:tcW w:w="793" w:type="pct"/>
            <w:gridSpan w:val="4"/>
            <w:tcBorders>
              <w:top w:val="nil"/>
              <w:bottom w:val="nil"/>
            </w:tcBorders>
          </w:tcPr>
          <w:p w14:paraId="4C2EF87E" w14:textId="098BC322"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0.263***</w:t>
            </w:r>
          </w:p>
        </w:tc>
      </w:tr>
      <w:tr w:rsidR="0032486A" w:rsidRPr="00FD3EE9" w14:paraId="104E5C69" w14:textId="77777777" w:rsidTr="0032486A">
        <w:trPr>
          <w:gridAfter w:val="2"/>
          <w:cnfStyle w:val="000000100000" w:firstRow="0" w:lastRow="0" w:firstColumn="0" w:lastColumn="0" w:oddVBand="0" w:evenVBand="0" w:oddHBand="1" w:evenHBand="0" w:firstRowFirstColumn="0" w:firstRowLastColumn="0" w:lastRowFirstColumn="0" w:lastRowLastColumn="0"/>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45B0C54C" w14:textId="77777777" w:rsidR="003A3600" w:rsidRPr="00FD3EE9" w:rsidRDefault="003A3600" w:rsidP="00E8331F">
            <w:pPr>
              <w:tabs>
                <w:tab w:val="decimal" w:pos="360"/>
              </w:tabs>
              <w:ind w:firstLineChars="200" w:firstLine="361"/>
              <w:jc w:val="left"/>
              <w:rPr>
                <w:sz w:val="18"/>
                <w:szCs w:val="16"/>
              </w:rPr>
            </w:pPr>
          </w:p>
        </w:tc>
        <w:tc>
          <w:tcPr>
            <w:tcW w:w="756" w:type="pct"/>
            <w:gridSpan w:val="3"/>
            <w:tcBorders>
              <w:top w:val="nil"/>
              <w:bottom w:val="nil"/>
            </w:tcBorders>
          </w:tcPr>
          <w:p w14:paraId="298DCBFA" w14:textId="5E091EE1"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((0.02</w:t>
            </w:r>
            <w:r w:rsidR="00714151" w:rsidRPr="00FD3EE9">
              <w:rPr>
                <w:sz w:val="18"/>
                <w:szCs w:val="16"/>
              </w:rPr>
              <w:t>7</w:t>
            </w:r>
            <w:r w:rsidRPr="00FD3EE9">
              <w:rPr>
                <w:sz w:val="18"/>
                <w:szCs w:val="16"/>
              </w:rPr>
              <w:t>)</w:t>
            </w:r>
          </w:p>
        </w:tc>
        <w:tc>
          <w:tcPr>
            <w:tcW w:w="932" w:type="pct"/>
            <w:gridSpan w:val="2"/>
            <w:tcBorders>
              <w:top w:val="nil"/>
              <w:bottom w:val="nil"/>
            </w:tcBorders>
          </w:tcPr>
          <w:p w14:paraId="3FD707B8" w14:textId="70ABCE99"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(0.02</w:t>
            </w:r>
            <w:r w:rsidR="004B3902" w:rsidRPr="00FD3EE9">
              <w:rPr>
                <w:sz w:val="18"/>
                <w:szCs w:val="16"/>
              </w:rPr>
              <w:t>6</w:t>
            </w:r>
            <w:r w:rsidRPr="00FD3EE9">
              <w:rPr>
                <w:sz w:val="18"/>
                <w:szCs w:val="16"/>
              </w:rPr>
              <w:t>)</w:t>
            </w:r>
          </w:p>
        </w:tc>
        <w:tc>
          <w:tcPr>
            <w:tcW w:w="1195" w:type="pct"/>
            <w:gridSpan w:val="8"/>
            <w:tcBorders>
              <w:top w:val="nil"/>
              <w:bottom w:val="nil"/>
            </w:tcBorders>
          </w:tcPr>
          <w:p w14:paraId="374FE5C7" w14:textId="0D919B50"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(0.03</w:t>
            </w:r>
            <w:r w:rsidR="004B3902" w:rsidRPr="00FD3EE9">
              <w:rPr>
                <w:sz w:val="18"/>
                <w:szCs w:val="16"/>
              </w:rPr>
              <w:t>6</w:t>
            </w:r>
            <w:r w:rsidRPr="00FD3EE9">
              <w:rPr>
                <w:sz w:val="18"/>
                <w:szCs w:val="16"/>
              </w:rPr>
              <w:t>)</w:t>
            </w:r>
          </w:p>
        </w:tc>
        <w:tc>
          <w:tcPr>
            <w:tcW w:w="793" w:type="pct"/>
            <w:gridSpan w:val="4"/>
            <w:tcBorders>
              <w:top w:val="nil"/>
              <w:bottom w:val="nil"/>
            </w:tcBorders>
          </w:tcPr>
          <w:p w14:paraId="0F2EC529" w14:textId="28C060E8"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(0.03</w:t>
            </w:r>
            <w:r w:rsidR="004B3902" w:rsidRPr="00FD3EE9">
              <w:rPr>
                <w:sz w:val="18"/>
                <w:szCs w:val="16"/>
              </w:rPr>
              <w:t>7</w:t>
            </w:r>
            <w:r w:rsidRPr="00FD3EE9">
              <w:rPr>
                <w:sz w:val="18"/>
                <w:szCs w:val="16"/>
              </w:rPr>
              <w:t>)</w:t>
            </w:r>
          </w:p>
        </w:tc>
      </w:tr>
      <w:tr w:rsidR="00EE1B55" w:rsidRPr="00FD3EE9" w14:paraId="285640BA" w14:textId="77777777" w:rsidTr="0032486A">
        <w:trPr>
          <w:gridAfter w:val="2"/>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31438143" w14:textId="557C43E6" w:rsidR="00152D09" w:rsidRPr="00FD3EE9" w:rsidRDefault="00152D09" w:rsidP="00E8331F">
            <w:pPr>
              <w:tabs>
                <w:tab w:val="decimal" w:pos="360"/>
              </w:tabs>
              <w:ind w:firstLineChars="200" w:firstLine="360"/>
              <w:jc w:val="left"/>
              <w:rPr>
                <w:sz w:val="18"/>
                <w:szCs w:val="16"/>
              </w:rPr>
            </w:pPr>
            <w:r w:rsidRPr="00FD3EE9">
              <w:rPr>
                <w:b w:val="0"/>
                <w:sz w:val="18"/>
                <w:szCs w:val="16"/>
              </w:rPr>
              <w:t>Firm Growth</w:t>
            </w:r>
          </w:p>
        </w:tc>
        <w:tc>
          <w:tcPr>
            <w:tcW w:w="756" w:type="pct"/>
            <w:gridSpan w:val="3"/>
            <w:tcBorders>
              <w:top w:val="nil"/>
              <w:bottom w:val="nil"/>
            </w:tcBorders>
          </w:tcPr>
          <w:p w14:paraId="05C2A576" w14:textId="51C99796"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0.670***</w:t>
            </w:r>
          </w:p>
        </w:tc>
        <w:tc>
          <w:tcPr>
            <w:tcW w:w="932" w:type="pct"/>
            <w:gridSpan w:val="2"/>
            <w:tcBorders>
              <w:top w:val="nil"/>
              <w:bottom w:val="nil"/>
            </w:tcBorders>
          </w:tcPr>
          <w:p w14:paraId="1752433C" w14:textId="3DC94416"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0.713***</w:t>
            </w:r>
          </w:p>
        </w:tc>
        <w:tc>
          <w:tcPr>
            <w:tcW w:w="1195" w:type="pct"/>
            <w:gridSpan w:val="8"/>
            <w:tcBorders>
              <w:top w:val="nil"/>
              <w:bottom w:val="nil"/>
            </w:tcBorders>
          </w:tcPr>
          <w:p w14:paraId="49EA2472" w14:textId="6D45DDBA"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0.379**</w:t>
            </w:r>
          </w:p>
        </w:tc>
        <w:tc>
          <w:tcPr>
            <w:tcW w:w="793" w:type="pct"/>
            <w:gridSpan w:val="4"/>
            <w:tcBorders>
              <w:top w:val="nil"/>
              <w:bottom w:val="nil"/>
            </w:tcBorders>
          </w:tcPr>
          <w:p w14:paraId="3685067A" w14:textId="2C580B54"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0.456***</w:t>
            </w:r>
          </w:p>
        </w:tc>
      </w:tr>
      <w:tr w:rsidR="0032486A" w:rsidRPr="00FD3EE9" w14:paraId="157BEDB4" w14:textId="77777777" w:rsidTr="0032486A">
        <w:trPr>
          <w:gridAfter w:val="2"/>
          <w:cnfStyle w:val="000000100000" w:firstRow="0" w:lastRow="0" w:firstColumn="0" w:lastColumn="0" w:oddVBand="0" w:evenVBand="0" w:oddHBand="1" w:evenHBand="0" w:firstRowFirstColumn="0" w:firstRowLastColumn="0" w:lastRowFirstColumn="0" w:lastRowLastColumn="0"/>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2BFA308A" w14:textId="77777777" w:rsidR="003A3600" w:rsidRPr="00FD3EE9" w:rsidRDefault="003A3600" w:rsidP="00E8331F">
            <w:pPr>
              <w:tabs>
                <w:tab w:val="decimal" w:pos="360"/>
              </w:tabs>
              <w:ind w:firstLineChars="200" w:firstLine="361"/>
              <w:jc w:val="left"/>
              <w:rPr>
                <w:sz w:val="18"/>
                <w:szCs w:val="16"/>
              </w:rPr>
            </w:pPr>
          </w:p>
        </w:tc>
        <w:tc>
          <w:tcPr>
            <w:tcW w:w="756" w:type="pct"/>
            <w:gridSpan w:val="3"/>
            <w:tcBorders>
              <w:top w:val="nil"/>
              <w:bottom w:val="nil"/>
            </w:tcBorders>
          </w:tcPr>
          <w:p w14:paraId="3824E700" w14:textId="1EF2940D"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(0.08</w:t>
            </w:r>
            <w:r w:rsidR="00714151" w:rsidRPr="00FD3EE9">
              <w:rPr>
                <w:sz w:val="18"/>
                <w:szCs w:val="16"/>
              </w:rPr>
              <w:t>6</w:t>
            </w:r>
            <w:r w:rsidRPr="00FD3EE9">
              <w:rPr>
                <w:sz w:val="18"/>
                <w:szCs w:val="16"/>
              </w:rPr>
              <w:t>)</w:t>
            </w:r>
          </w:p>
        </w:tc>
        <w:tc>
          <w:tcPr>
            <w:tcW w:w="932" w:type="pct"/>
            <w:gridSpan w:val="2"/>
            <w:tcBorders>
              <w:top w:val="nil"/>
              <w:bottom w:val="nil"/>
            </w:tcBorders>
          </w:tcPr>
          <w:p w14:paraId="7ABECA6B" w14:textId="0A21C5E3"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w:t>
            </w:r>
            <w:r w:rsidR="004B3902" w:rsidRPr="00FD3EE9">
              <w:rPr>
                <w:sz w:val="18"/>
                <w:szCs w:val="16"/>
              </w:rPr>
              <w:t>086</w:t>
            </w:r>
            <w:r w:rsidRPr="00FD3EE9">
              <w:rPr>
                <w:sz w:val="18"/>
                <w:szCs w:val="16"/>
              </w:rPr>
              <w:t>)</w:t>
            </w:r>
          </w:p>
        </w:tc>
        <w:tc>
          <w:tcPr>
            <w:tcW w:w="1195" w:type="pct"/>
            <w:gridSpan w:val="8"/>
            <w:tcBorders>
              <w:top w:val="nil"/>
              <w:bottom w:val="nil"/>
            </w:tcBorders>
          </w:tcPr>
          <w:p w14:paraId="0468641C" w14:textId="26001485"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(0.12</w:t>
            </w:r>
            <w:r w:rsidR="004B3902" w:rsidRPr="00FD3EE9">
              <w:rPr>
                <w:sz w:val="18"/>
                <w:szCs w:val="16"/>
              </w:rPr>
              <w:t>5</w:t>
            </w:r>
            <w:r w:rsidRPr="00FD3EE9">
              <w:rPr>
                <w:sz w:val="18"/>
                <w:szCs w:val="16"/>
              </w:rPr>
              <w:t>)</w:t>
            </w:r>
          </w:p>
        </w:tc>
        <w:tc>
          <w:tcPr>
            <w:tcW w:w="793" w:type="pct"/>
            <w:gridSpan w:val="4"/>
            <w:tcBorders>
              <w:top w:val="nil"/>
              <w:bottom w:val="nil"/>
            </w:tcBorders>
          </w:tcPr>
          <w:p w14:paraId="33D535C1" w14:textId="77527A85"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(0.12</w:t>
            </w:r>
            <w:r w:rsidR="004B3902" w:rsidRPr="00FD3EE9">
              <w:rPr>
                <w:sz w:val="18"/>
                <w:szCs w:val="16"/>
              </w:rPr>
              <w:t>0</w:t>
            </w:r>
            <w:r w:rsidRPr="00FD3EE9">
              <w:rPr>
                <w:sz w:val="18"/>
                <w:szCs w:val="16"/>
              </w:rPr>
              <w:t>)</w:t>
            </w:r>
          </w:p>
        </w:tc>
      </w:tr>
      <w:tr w:rsidR="00EE1B55" w:rsidRPr="00FD3EE9" w14:paraId="03FC8C6F" w14:textId="77777777" w:rsidTr="0032486A">
        <w:trPr>
          <w:gridAfter w:val="2"/>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0FFDE136" w14:textId="5DACD615" w:rsidR="00152D09" w:rsidRPr="00FD3EE9" w:rsidRDefault="00152D09" w:rsidP="00E8331F">
            <w:pPr>
              <w:tabs>
                <w:tab w:val="decimal" w:pos="360"/>
              </w:tabs>
              <w:ind w:firstLineChars="200" w:firstLine="360"/>
              <w:jc w:val="left"/>
              <w:rPr>
                <w:sz w:val="18"/>
                <w:szCs w:val="16"/>
              </w:rPr>
            </w:pPr>
            <w:r w:rsidRPr="00FD3EE9">
              <w:rPr>
                <w:b w:val="0"/>
                <w:sz w:val="18"/>
                <w:szCs w:val="16"/>
              </w:rPr>
              <w:t>MA Experience</w:t>
            </w:r>
          </w:p>
        </w:tc>
        <w:tc>
          <w:tcPr>
            <w:tcW w:w="756" w:type="pct"/>
            <w:gridSpan w:val="3"/>
            <w:tcBorders>
              <w:top w:val="nil"/>
              <w:bottom w:val="nil"/>
            </w:tcBorders>
          </w:tcPr>
          <w:p w14:paraId="19B58C97" w14:textId="48B75894"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0.265***</w:t>
            </w:r>
          </w:p>
        </w:tc>
        <w:tc>
          <w:tcPr>
            <w:tcW w:w="932" w:type="pct"/>
            <w:gridSpan w:val="2"/>
            <w:tcBorders>
              <w:top w:val="nil"/>
              <w:bottom w:val="nil"/>
            </w:tcBorders>
          </w:tcPr>
          <w:p w14:paraId="64DF4AA1" w14:textId="3CCDEF0C"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0.252***</w:t>
            </w:r>
          </w:p>
        </w:tc>
        <w:tc>
          <w:tcPr>
            <w:tcW w:w="1195" w:type="pct"/>
            <w:gridSpan w:val="8"/>
            <w:tcBorders>
              <w:top w:val="nil"/>
              <w:bottom w:val="nil"/>
            </w:tcBorders>
          </w:tcPr>
          <w:p w14:paraId="653EF128" w14:textId="43586B90"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0.295***</w:t>
            </w:r>
          </w:p>
        </w:tc>
        <w:tc>
          <w:tcPr>
            <w:tcW w:w="793" w:type="pct"/>
            <w:gridSpan w:val="4"/>
            <w:tcBorders>
              <w:top w:val="nil"/>
              <w:bottom w:val="nil"/>
            </w:tcBorders>
          </w:tcPr>
          <w:p w14:paraId="3AB6703C" w14:textId="322342BD"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0.277***</w:t>
            </w:r>
          </w:p>
        </w:tc>
      </w:tr>
      <w:tr w:rsidR="0032486A" w:rsidRPr="00FD3EE9" w14:paraId="6EA14E3E" w14:textId="77777777" w:rsidTr="0032486A">
        <w:trPr>
          <w:gridAfter w:val="2"/>
          <w:cnfStyle w:val="000000100000" w:firstRow="0" w:lastRow="0" w:firstColumn="0" w:lastColumn="0" w:oddVBand="0" w:evenVBand="0" w:oddHBand="1" w:evenHBand="0" w:firstRowFirstColumn="0" w:firstRowLastColumn="0" w:lastRowFirstColumn="0" w:lastRowLastColumn="0"/>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58468733" w14:textId="77777777" w:rsidR="003A3600" w:rsidRPr="00FD3EE9" w:rsidRDefault="003A3600" w:rsidP="00E8331F">
            <w:pPr>
              <w:tabs>
                <w:tab w:val="decimal" w:pos="360"/>
              </w:tabs>
              <w:ind w:firstLineChars="200" w:firstLine="361"/>
              <w:jc w:val="left"/>
              <w:rPr>
                <w:sz w:val="18"/>
                <w:szCs w:val="16"/>
              </w:rPr>
            </w:pPr>
          </w:p>
        </w:tc>
        <w:tc>
          <w:tcPr>
            <w:tcW w:w="756" w:type="pct"/>
            <w:gridSpan w:val="3"/>
            <w:tcBorders>
              <w:top w:val="nil"/>
              <w:bottom w:val="nil"/>
            </w:tcBorders>
          </w:tcPr>
          <w:p w14:paraId="24BD81CD" w14:textId="5B26894B"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(0.04</w:t>
            </w:r>
            <w:r w:rsidR="00714151" w:rsidRPr="00FD3EE9">
              <w:rPr>
                <w:sz w:val="18"/>
                <w:szCs w:val="16"/>
              </w:rPr>
              <w:t>2</w:t>
            </w:r>
            <w:r w:rsidRPr="00FD3EE9">
              <w:rPr>
                <w:sz w:val="18"/>
                <w:szCs w:val="16"/>
              </w:rPr>
              <w:t>)</w:t>
            </w:r>
          </w:p>
        </w:tc>
        <w:tc>
          <w:tcPr>
            <w:tcW w:w="932" w:type="pct"/>
            <w:gridSpan w:val="2"/>
            <w:tcBorders>
              <w:top w:val="nil"/>
              <w:bottom w:val="nil"/>
            </w:tcBorders>
          </w:tcPr>
          <w:p w14:paraId="152959E3" w14:textId="4CB14425"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(0.040</w:t>
            </w:r>
            <w:r w:rsidR="004B3902" w:rsidRPr="00FD3EE9">
              <w:rPr>
                <w:sz w:val="18"/>
                <w:szCs w:val="16"/>
              </w:rPr>
              <w:t>2)</w:t>
            </w:r>
          </w:p>
        </w:tc>
        <w:tc>
          <w:tcPr>
            <w:tcW w:w="1195" w:type="pct"/>
            <w:gridSpan w:val="8"/>
            <w:tcBorders>
              <w:top w:val="nil"/>
              <w:bottom w:val="nil"/>
            </w:tcBorders>
          </w:tcPr>
          <w:p w14:paraId="6E6A06B8" w14:textId="273B6A7D"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(0.060)</w:t>
            </w:r>
          </w:p>
        </w:tc>
        <w:tc>
          <w:tcPr>
            <w:tcW w:w="793" w:type="pct"/>
            <w:gridSpan w:val="4"/>
            <w:tcBorders>
              <w:top w:val="nil"/>
              <w:bottom w:val="nil"/>
            </w:tcBorders>
          </w:tcPr>
          <w:p w14:paraId="7490B5F4" w14:textId="32334324"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(0.06</w:t>
            </w:r>
            <w:r w:rsidR="00714997" w:rsidRPr="00FD3EE9">
              <w:rPr>
                <w:sz w:val="18"/>
                <w:szCs w:val="16"/>
              </w:rPr>
              <w:t>1</w:t>
            </w:r>
            <w:r w:rsidRPr="00FD3EE9">
              <w:rPr>
                <w:sz w:val="18"/>
                <w:szCs w:val="16"/>
              </w:rPr>
              <w:t>)</w:t>
            </w:r>
          </w:p>
        </w:tc>
      </w:tr>
      <w:tr w:rsidR="00EE1B55" w:rsidRPr="00FD3EE9" w14:paraId="36A68093" w14:textId="77777777" w:rsidTr="0032486A">
        <w:trPr>
          <w:gridAfter w:val="2"/>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265C1DB4" w14:textId="4A9DC4D0" w:rsidR="00152D09" w:rsidRPr="00FD3EE9" w:rsidRDefault="00152D09" w:rsidP="00E8331F">
            <w:pPr>
              <w:tabs>
                <w:tab w:val="decimal" w:pos="360"/>
              </w:tabs>
              <w:ind w:firstLineChars="200" w:firstLine="360"/>
              <w:jc w:val="left"/>
              <w:rPr>
                <w:sz w:val="18"/>
                <w:szCs w:val="16"/>
              </w:rPr>
            </w:pPr>
            <w:r w:rsidRPr="00FD3EE9">
              <w:rPr>
                <w:b w:val="0"/>
                <w:sz w:val="18"/>
                <w:szCs w:val="16"/>
              </w:rPr>
              <w:t>Industry-specific Overvaluation</w:t>
            </w:r>
          </w:p>
        </w:tc>
        <w:tc>
          <w:tcPr>
            <w:tcW w:w="756" w:type="pct"/>
            <w:gridSpan w:val="3"/>
            <w:tcBorders>
              <w:top w:val="nil"/>
              <w:bottom w:val="nil"/>
            </w:tcBorders>
          </w:tcPr>
          <w:p w14:paraId="36EC5C28" w14:textId="706DE287"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0.237**</w:t>
            </w:r>
          </w:p>
        </w:tc>
        <w:tc>
          <w:tcPr>
            <w:tcW w:w="932" w:type="pct"/>
            <w:gridSpan w:val="2"/>
            <w:tcBorders>
              <w:top w:val="nil"/>
              <w:bottom w:val="nil"/>
            </w:tcBorders>
          </w:tcPr>
          <w:p w14:paraId="2498353D" w14:textId="47901F80"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0.432**</w:t>
            </w:r>
          </w:p>
        </w:tc>
        <w:tc>
          <w:tcPr>
            <w:tcW w:w="1195" w:type="pct"/>
            <w:gridSpan w:val="8"/>
            <w:tcBorders>
              <w:top w:val="nil"/>
              <w:bottom w:val="nil"/>
            </w:tcBorders>
          </w:tcPr>
          <w:p w14:paraId="7E3F1C4E" w14:textId="05D9A92E"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0.062</w:t>
            </w:r>
          </w:p>
        </w:tc>
        <w:tc>
          <w:tcPr>
            <w:tcW w:w="793" w:type="pct"/>
            <w:gridSpan w:val="4"/>
            <w:tcBorders>
              <w:top w:val="nil"/>
              <w:bottom w:val="nil"/>
            </w:tcBorders>
          </w:tcPr>
          <w:p w14:paraId="562DD08C" w14:textId="0A3C0C40"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0.338*</w:t>
            </w:r>
          </w:p>
        </w:tc>
      </w:tr>
      <w:tr w:rsidR="0032486A" w:rsidRPr="00FD3EE9" w14:paraId="365FAA69" w14:textId="77777777" w:rsidTr="0032486A">
        <w:trPr>
          <w:gridAfter w:val="2"/>
          <w:cnfStyle w:val="000000100000" w:firstRow="0" w:lastRow="0" w:firstColumn="0" w:lastColumn="0" w:oddVBand="0" w:evenVBand="0" w:oddHBand="1" w:evenHBand="0" w:firstRowFirstColumn="0" w:firstRowLastColumn="0" w:lastRowFirstColumn="0" w:lastRowLastColumn="0"/>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7A391D1A" w14:textId="77777777" w:rsidR="003A3600" w:rsidRPr="00FD3EE9" w:rsidRDefault="003A3600" w:rsidP="00E8331F">
            <w:pPr>
              <w:tabs>
                <w:tab w:val="decimal" w:pos="360"/>
              </w:tabs>
              <w:ind w:firstLineChars="200" w:firstLine="361"/>
              <w:jc w:val="left"/>
              <w:rPr>
                <w:sz w:val="18"/>
                <w:szCs w:val="16"/>
              </w:rPr>
            </w:pPr>
          </w:p>
        </w:tc>
        <w:tc>
          <w:tcPr>
            <w:tcW w:w="756" w:type="pct"/>
            <w:gridSpan w:val="3"/>
            <w:tcBorders>
              <w:top w:val="nil"/>
              <w:bottom w:val="nil"/>
            </w:tcBorders>
          </w:tcPr>
          <w:p w14:paraId="7C1E588A" w14:textId="42983E8B"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(0.06</w:t>
            </w:r>
            <w:r w:rsidR="00714151" w:rsidRPr="00FD3EE9">
              <w:rPr>
                <w:sz w:val="18"/>
                <w:szCs w:val="16"/>
              </w:rPr>
              <w:t>9</w:t>
            </w:r>
            <w:r w:rsidRPr="00FD3EE9">
              <w:rPr>
                <w:sz w:val="18"/>
                <w:szCs w:val="16"/>
              </w:rPr>
              <w:t>)</w:t>
            </w:r>
          </w:p>
        </w:tc>
        <w:tc>
          <w:tcPr>
            <w:tcW w:w="932" w:type="pct"/>
            <w:gridSpan w:val="2"/>
            <w:tcBorders>
              <w:top w:val="nil"/>
              <w:bottom w:val="nil"/>
            </w:tcBorders>
          </w:tcPr>
          <w:p w14:paraId="3337AE21" w14:textId="7F154617"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(0.1</w:t>
            </w:r>
            <w:r w:rsidR="004B3902" w:rsidRPr="00FD3EE9">
              <w:rPr>
                <w:sz w:val="18"/>
                <w:szCs w:val="16"/>
              </w:rPr>
              <w:t>33</w:t>
            </w:r>
            <w:r w:rsidRPr="00FD3EE9">
              <w:rPr>
                <w:sz w:val="18"/>
                <w:szCs w:val="16"/>
              </w:rPr>
              <w:t>)</w:t>
            </w:r>
          </w:p>
        </w:tc>
        <w:tc>
          <w:tcPr>
            <w:tcW w:w="1195" w:type="pct"/>
            <w:gridSpan w:val="8"/>
            <w:tcBorders>
              <w:top w:val="nil"/>
              <w:bottom w:val="nil"/>
            </w:tcBorders>
          </w:tcPr>
          <w:p w14:paraId="7A1FF589" w14:textId="6C1FFE97"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(0.07</w:t>
            </w:r>
            <w:r w:rsidR="004B3902" w:rsidRPr="00FD3EE9">
              <w:rPr>
                <w:sz w:val="18"/>
                <w:szCs w:val="16"/>
              </w:rPr>
              <w:t>7</w:t>
            </w:r>
            <w:r w:rsidRPr="00FD3EE9">
              <w:rPr>
                <w:sz w:val="18"/>
                <w:szCs w:val="16"/>
              </w:rPr>
              <w:t>)</w:t>
            </w:r>
          </w:p>
        </w:tc>
        <w:tc>
          <w:tcPr>
            <w:tcW w:w="793" w:type="pct"/>
            <w:gridSpan w:val="4"/>
            <w:tcBorders>
              <w:top w:val="nil"/>
              <w:bottom w:val="nil"/>
            </w:tcBorders>
          </w:tcPr>
          <w:p w14:paraId="371B88E6" w14:textId="73A39B9C" w:rsidR="003A3600" w:rsidRPr="00FD3EE9" w:rsidRDefault="003A3600"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(0.16</w:t>
            </w:r>
            <w:r w:rsidR="00714997" w:rsidRPr="00FD3EE9">
              <w:rPr>
                <w:sz w:val="18"/>
                <w:szCs w:val="16"/>
              </w:rPr>
              <w:t>8</w:t>
            </w:r>
            <w:r w:rsidRPr="00FD3EE9">
              <w:rPr>
                <w:sz w:val="18"/>
                <w:szCs w:val="16"/>
              </w:rPr>
              <w:t>)</w:t>
            </w:r>
          </w:p>
        </w:tc>
      </w:tr>
      <w:tr w:rsidR="00EE1B55" w:rsidRPr="00FD3EE9" w14:paraId="5E92A0EB" w14:textId="77777777" w:rsidTr="0032486A">
        <w:trPr>
          <w:gridAfter w:val="2"/>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0AA4419D" w14:textId="21942998" w:rsidR="00152D09" w:rsidRPr="00FD3EE9" w:rsidRDefault="00152D09" w:rsidP="00E8331F">
            <w:pPr>
              <w:tabs>
                <w:tab w:val="decimal" w:pos="360"/>
              </w:tabs>
              <w:ind w:firstLineChars="200" w:firstLine="360"/>
              <w:jc w:val="left"/>
              <w:rPr>
                <w:sz w:val="18"/>
                <w:szCs w:val="16"/>
              </w:rPr>
            </w:pPr>
            <w:proofErr w:type="spellStart"/>
            <w:r w:rsidRPr="00FD3EE9">
              <w:rPr>
                <w:b w:val="0"/>
                <w:sz w:val="18"/>
                <w:szCs w:val="16"/>
              </w:rPr>
              <w:t>lnalpha</w:t>
            </w:r>
            <w:proofErr w:type="spellEnd"/>
          </w:p>
        </w:tc>
        <w:tc>
          <w:tcPr>
            <w:tcW w:w="756" w:type="pct"/>
            <w:gridSpan w:val="3"/>
            <w:tcBorders>
              <w:top w:val="nil"/>
              <w:bottom w:val="nil"/>
            </w:tcBorders>
          </w:tcPr>
          <w:p w14:paraId="5A75DBDB" w14:textId="3CAEB21E"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0.094*</w:t>
            </w:r>
          </w:p>
        </w:tc>
        <w:tc>
          <w:tcPr>
            <w:tcW w:w="932" w:type="pct"/>
            <w:gridSpan w:val="2"/>
            <w:tcBorders>
              <w:top w:val="nil"/>
              <w:bottom w:val="nil"/>
            </w:tcBorders>
          </w:tcPr>
          <w:p w14:paraId="768046C2" w14:textId="14F3EB96"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0.048</w:t>
            </w:r>
          </w:p>
        </w:tc>
        <w:tc>
          <w:tcPr>
            <w:tcW w:w="1195" w:type="pct"/>
            <w:gridSpan w:val="8"/>
            <w:tcBorders>
              <w:top w:val="nil"/>
              <w:bottom w:val="nil"/>
            </w:tcBorders>
          </w:tcPr>
          <w:p w14:paraId="32277764" w14:textId="6CA1A64B"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0.313***</w:t>
            </w:r>
          </w:p>
        </w:tc>
        <w:tc>
          <w:tcPr>
            <w:tcW w:w="793" w:type="pct"/>
            <w:gridSpan w:val="4"/>
            <w:tcBorders>
              <w:top w:val="nil"/>
              <w:bottom w:val="nil"/>
            </w:tcBorders>
          </w:tcPr>
          <w:p w14:paraId="2F1BF4FF" w14:textId="10756C0F"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0.272***</w:t>
            </w:r>
          </w:p>
        </w:tc>
      </w:tr>
      <w:tr w:rsidR="00EE1B55" w:rsidRPr="00FD3EE9" w14:paraId="1BBBAC10" w14:textId="77777777" w:rsidTr="0032486A">
        <w:trPr>
          <w:gridAfter w:val="2"/>
          <w:cnfStyle w:val="000000100000" w:firstRow="0" w:lastRow="0" w:firstColumn="0" w:lastColumn="0" w:oddVBand="0" w:evenVBand="0" w:oddHBand="1" w:evenHBand="0" w:firstRowFirstColumn="0" w:firstRowLastColumn="0" w:lastRowFirstColumn="0" w:lastRowLastColumn="0"/>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bottom w:val="nil"/>
            </w:tcBorders>
          </w:tcPr>
          <w:p w14:paraId="3A343FBF" w14:textId="5BABF379" w:rsidR="00152D09" w:rsidRPr="00FD3EE9" w:rsidRDefault="00152D09" w:rsidP="00E8331F">
            <w:pPr>
              <w:tabs>
                <w:tab w:val="decimal" w:pos="360"/>
              </w:tabs>
              <w:ind w:firstLineChars="200" w:firstLine="360"/>
              <w:jc w:val="left"/>
              <w:rPr>
                <w:sz w:val="18"/>
                <w:szCs w:val="16"/>
              </w:rPr>
            </w:pPr>
            <w:r w:rsidRPr="00FD3EE9">
              <w:rPr>
                <w:b w:val="0"/>
                <w:sz w:val="18"/>
                <w:szCs w:val="16"/>
              </w:rPr>
              <w:t xml:space="preserve">YEAR </w:t>
            </w:r>
            <w:r w:rsidR="00E8331F" w:rsidRPr="00FD3EE9">
              <w:rPr>
                <w:b w:val="0"/>
                <w:sz w:val="18"/>
                <w:szCs w:val="16"/>
              </w:rPr>
              <w:t>FE</w:t>
            </w:r>
          </w:p>
        </w:tc>
        <w:tc>
          <w:tcPr>
            <w:tcW w:w="756" w:type="pct"/>
            <w:gridSpan w:val="3"/>
            <w:tcBorders>
              <w:top w:val="nil"/>
              <w:bottom w:val="nil"/>
            </w:tcBorders>
          </w:tcPr>
          <w:p w14:paraId="017E5D34" w14:textId="77777777" w:rsidR="00152D09" w:rsidRPr="00FD3EE9" w:rsidRDefault="00152D09"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p>
        </w:tc>
        <w:tc>
          <w:tcPr>
            <w:tcW w:w="932" w:type="pct"/>
            <w:gridSpan w:val="2"/>
            <w:tcBorders>
              <w:top w:val="nil"/>
              <w:bottom w:val="nil"/>
            </w:tcBorders>
          </w:tcPr>
          <w:p w14:paraId="67CA4D0F" w14:textId="211765C1" w:rsidR="00152D09" w:rsidRPr="00FD3EE9" w:rsidRDefault="00152D09"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YES</w:t>
            </w:r>
          </w:p>
        </w:tc>
        <w:tc>
          <w:tcPr>
            <w:tcW w:w="1195" w:type="pct"/>
            <w:gridSpan w:val="8"/>
            <w:tcBorders>
              <w:top w:val="nil"/>
              <w:bottom w:val="nil"/>
            </w:tcBorders>
          </w:tcPr>
          <w:p w14:paraId="56FB28FE" w14:textId="78F1DD96" w:rsidR="00152D09" w:rsidRPr="00FD3EE9" w:rsidRDefault="00152D09"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p>
        </w:tc>
        <w:tc>
          <w:tcPr>
            <w:tcW w:w="793" w:type="pct"/>
            <w:gridSpan w:val="4"/>
            <w:tcBorders>
              <w:top w:val="nil"/>
              <w:bottom w:val="nil"/>
            </w:tcBorders>
          </w:tcPr>
          <w:p w14:paraId="7C6076D4" w14:textId="24251630" w:rsidR="00152D09" w:rsidRPr="00FD3EE9" w:rsidRDefault="00152D09"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YES</w:t>
            </w:r>
          </w:p>
        </w:tc>
      </w:tr>
      <w:tr w:rsidR="00EE1B55" w:rsidRPr="00FD3EE9" w14:paraId="45D24DD9" w14:textId="77777777" w:rsidTr="0032486A">
        <w:trPr>
          <w:gridAfter w:val="2"/>
          <w:wAfter w:w="189"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135" w:type="pct"/>
            <w:gridSpan w:val="3"/>
            <w:tcBorders>
              <w:top w:val="nil"/>
            </w:tcBorders>
          </w:tcPr>
          <w:p w14:paraId="09C49DD5" w14:textId="1B45567A" w:rsidR="00152D09" w:rsidRPr="00FD3EE9" w:rsidRDefault="00152D09" w:rsidP="00E8331F">
            <w:pPr>
              <w:tabs>
                <w:tab w:val="decimal" w:pos="360"/>
              </w:tabs>
              <w:ind w:firstLineChars="200" w:firstLine="360"/>
              <w:jc w:val="left"/>
              <w:rPr>
                <w:sz w:val="18"/>
                <w:szCs w:val="16"/>
              </w:rPr>
            </w:pPr>
            <w:r w:rsidRPr="00FD3EE9">
              <w:rPr>
                <w:b w:val="0"/>
                <w:sz w:val="18"/>
                <w:szCs w:val="16"/>
              </w:rPr>
              <w:t xml:space="preserve">INDUSTRY </w:t>
            </w:r>
            <w:r w:rsidR="00E8331F" w:rsidRPr="00FD3EE9">
              <w:rPr>
                <w:b w:val="0"/>
                <w:sz w:val="18"/>
                <w:szCs w:val="16"/>
              </w:rPr>
              <w:t>FE</w:t>
            </w:r>
          </w:p>
        </w:tc>
        <w:tc>
          <w:tcPr>
            <w:tcW w:w="756" w:type="pct"/>
            <w:gridSpan w:val="3"/>
            <w:tcBorders>
              <w:top w:val="nil"/>
            </w:tcBorders>
          </w:tcPr>
          <w:p w14:paraId="56E7BACF" w14:textId="77777777"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p>
        </w:tc>
        <w:tc>
          <w:tcPr>
            <w:tcW w:w="932" w:type="pct"/>
            <w:gridSpan w:val="2"/>
            <w:tcBorders>
              <w:top w:val="nil"/>
            </w:tcBorders>
          </w:tcPr>
          <w:p w14:paraId="12F68D84" w14:textId="19A766C5"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YES</w:t>
            </w:r>
          </w:p>
        </w:tc>
        <w:tc>
          <w:tcPr>
            <w:tcW w:w="1195" w:type="pct"/>
            <w:gridSpan w:val="8"/>
            <w:tcBorders>
              <w:top w:val="nil"/>
            </w:tcBorders>
          </w:tcPr>
          <w:p w14:paraId="179FAD2A" w14:textId="1E016EEE"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p>
        </w:tc>
        <w:tc>
          <w:tcPr>
            <w:tcW w:w="793" w:type="pct"/>
            <w:gridSpan w:val="4"/>
            <w:tcBorders>
              <w:top w:val="nil"/>
            </w:tcBorders>
          </w:tcPr>
          <w:p w14:paraId="63C2DE2D" w14:textId="5A671E87"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YES</w:t>
            </w:r>
          </w:p>
        </w:tc>
      </w:tr>
      <w:tr w:rsidR="00EE1B55" w:rsidRPr="00FD3EE9" w14:paraId="5AC2FB4A" w14:textId="77777777" w:rsidTr="0032486A">
        <w:trPr>
          <w:gridAfter w:val="1"/>
          <w:cnfStyle w:val="000000100000" w:firstRow="0" w:lastRow="0" w:firstColumn="0" w:lastColumn="0" w:oddVBand="0" w:evenVBand="0" w:oddHBand="1" w:evenHBand="0" w:firstRowFirstColumn="0" w:firstRowLastColumn="0" w:lastRowFirstColumn="0" w:lastRowLastColumn="0"/>
          <w:wAfter w:w="140"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682" w:type="pct"/>
          </w:tcPr>
          <w:p w14:paraId="30014E15" w14:textId="4C0C7161" w:rsidR="00152D09" w:rsidRPr="00FD3EE9" w:rsidRDefault="00152D09" w:rsidP="00EE1B55">
            <w:pPr>
              <w:tabs>
                <w:tab w:val="decimal" w:pos="360"/>
              </w:tabs>
              <w:ind w:firstLineChars="200" w:firstLine="360"/>
              <w:jc w:val="left"/>
              <w:rPr>
                <w:sz w:val="18"/>
                <w:szCs w:val="16"/>
              </w:rPr>
            </w:pPr>
            <w:proofErr w:type="spellStart"/>
            <w:r w:rsidRPr="00FD3EE9">
              <w:rPr>
                <w:b w:val="0"/>
                <w:sz w:val="18"/>
                <w:szCs w:val="16"/>
              </w:rPr>
              <w:t>ll</w:t>
            </w:r>
            <w:proofErr w:type="spellEnd"/>
          </w:p>
        </w:tc>
        <w:tc>
          <w:tcPr>
            <w:tcW w:w="1027" w:type="pct"/>
            <w:gridSpan w:val="3"/>
          </w:tcPr>
          <w:p w14:paraId="3D1D43B6" w14:textId="42C8CCB5" w:rsidR="00152D09" w:rsidRPr="00FD3EE9" w:rsidRDefault="00152D09" w:rsidP="00EE1B55">
            <w:pPr>
              <w:tabs>
                <w:tab w:val="decimal" w:pos="360"/>
              </w:tabs>
              <w:ind w:leftChars="59" w:left="142" w:firstLineChars="494" w:firstLine="889"/>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-9</w:t>
            </w:r>
            <w:r w:rsidR="00667D9C" w:rsidRPr="00FD3EE9">
              <w:rPr>
                <w:sz w:val="18"/>
                <w:szCs w:val="16"/>
              </w:rPr>
              <w:t>,</w:t>
            </w:r>
            <w:r w:rsidRPr="00FD3EE9">
              <w:rPr>
                <w:sz w:val="18"/>
                <w:szCs w:val="16"/>
              </w:rPr>
              <w:t>997.567</w:t>
            </w:r>
          </w:p>
        </w:tc>
        <w:tc>
          <w:tcPr>
            <w:tcW w:w="1506" w:type="pct"/>
            <w:gridSpan w:val="7"/>
          </w:tcPr>
          <w:p w14:paraId="26BB6CEB" w14:textId="4A42159F" w:rsidR="00152D09" w:rsidRPr="00FD3EE9" w:rsidRDefault="00152D09" w:rsidP="00EE1B55">
            <w:pPr>
              <w:tabs>
                <w:tab w:val="decimal" w:pos="360"/>
              </w:tabs>
              <w:ind w:leftChars="-173" w:left="-1" w:hangingChars="230" w:hanging="414"/>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-9</w:t>
            </w:r>
            <w:r w:rsidR="00667D9C" w:rsidRPr="00FD3EE9">
              <w:rPr>
                <w:sz w:val="18"/>
                <w:szCs w:val="16"/>
              </w:rPr>
              <w:t>,</w:t>
            </w:r>
            <w:r w:rsidRPr="00FD3EE9">
              <w:rPr>
                <w:sz w:val="18"/>
                <w:szCs w:val="16"/>
              </w:rPr>
              <w:t>946.520</w:t>
            </w:r>
          </w:p>
        </w:tc>
        <w:tc>
          <w:tcPr>
            <w:tcW w:w="785" w:type="pct"/>
            <w:gridSpan w:val="4"/>
          </w:tcPr>
          <w:p w14:paraId="7F4E3800" w14:textId="146662D1" w:rsidR="00152D09" w:rsidRPr="00FD3EE9" w:rsidRDefault="00152D09" w:rsidP="00EE1B55">
            <w:pPr>
              <w:tabs>
                <w:tab w:val="decimal" w:pos="368"/>
              </w:tabs>
              <w:ind w:leftChars="-173" w:left="1" w:hangingChars="231" w:hanging="416"/>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4</w:t>
            </w:r>
            <w:r w:rsidR="00667D9C" w:rsidRPr="00FD3EE9">
              <w:rPr>
                <w:sz w:val="18"/>
                <w:szCs w:val="16"/>
              </w:rPr>
              <w:t>,</w:t>
            </w:r>
            <w:r w:rsidRPr="00FD3EE9">
              <w:rPr>
                <w:sz w:val="18"/>
                <w:szCs w:val="16"/>
              </w:rPr>
              <w:t>512.208</w:t>
            </w:r>
          </w:p>
        </w:tc>
        <w:tc>
          <w:tcPr>
            <w:tcW w:w="860" w:type="pct"/>
            <w:gridSpan w:val="6"/>
          </w:tcPr>
          <w:p w14:paraId="76C766E3" w14:textId="36E9B7D4" w:rsidR="00152D09" w:rsidRPr="00FD3EE9" w:rsidRDefault="00152D09" w:rsidP="00EE1B55">
            <w:pPr>
              <w:tabs>
                <w:tab w:val="decimal" w:pos="360"/>
              </w:tabs>
              <w:ind w:leftChars="-173" w:left="1" w:hangingChars="231" w:hanging="416"/>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4</w:t>
            </w:r>
            <w:r w:rsidR="00667D9C" w:rsidRPr="00FD3EE9">
              <w:rPr>
                <w:sz w:val="18"/>
                <w:szCs w:val="16"/>
              </w:rPr>
              <w:t>,</w:t>
            </w:r>
            <w:r w:rsidRPr="00FD3EE9">
              <w:rPr>
                <w:sz w:val="18"/>
                <w:szCs w:val="16"/>
              </w:rPr>
              <w:t>492.749</w:t>
            </w:r>
          </w:p>
        </w:tc>
      </w:tr>
      <w:tr w:rsidR="0032486A" w:rsidRPr="00FD3EE9" w14:paraId="3444478D" w14:textId="77777777" w:rsidTr="0032486A">
        <w:trPr>
          <w:gridAfter w:val="4"/>
          <w:wAfter w:w="295"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084" w:type="pct"/>
            <w:gridSpan w:val="2"/>
            <w:tcBorders>
              <w:top w:val="nil"/>
              <w:bottom w:val="nil"/>
            </w:tcBorders>
          </w:tcPr>
          <w:p w14:paraId="052F2439" w14:textId="3F3E19EE" w:rsidR="00152D09" w:rsidRPr="00FD3EE9" w:rsidRDefault="00152D09" w:rsidP="00EE1B55">
            <w:pPr>
              <w:tabs>
                <w:tab w:val="decimal" w:pos="360"/>
              </w:tabs>
              <w:ind w:firstLineChars="200" w:firstLine="360"/>
              <w:jc w:val="left"/>
              <w:rPr>
                <w:sz w:val="18"/>
                <w:szCs w:val="16"/>
              </w:rPr>
            </w:pPr>
            <w:r w:rsidRPr="00FD3EE9">
              <w:rPr>
                <w:b w:val="0"/>
                <w:sz w:val="18"/>
                <w:szCs w:val="16"/>
              </w:rPr>
              <w:t>chi2</w:t>
            </w:r>
          </w:p>
        </w:tc>
        <w:tc>
          <w:tcPr>
            <w:tcW w:w="709" w:type="pct"/>
            <w:gridSpan w:val="3"/>
            <w:tcBorders>
              <w:top w:val="nil"/>
              <w:bottom w:val="nil"/>
            </w:tcBorders>
          </w:tcPr>
          <w:p w14:paraId="7C8D461E" w14:textId="78F2919B"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464.921</w:t>
            </w:r>
          </w:p>
        </w:tc>
        <w:tc>
          <w:tcPr>
            <w:tcW w:w="1271" w:type="pct"/>
            <w:gridSpan w:val="4"/>
            <w:tcBorders>
              <w:top w:val="nil"/>
              <w:bottom w:val="nil"/>
            </w:tcBorders>
          </w:tcPr>
          <w:p w14:paraId="52C7DB91" w14:textId="0FF97A46" w:rsidR="00152D09" w:rsidRPr="00FD3EE9" w:rsidRDefault="00152D09" w:rsidP="00E8331F">
            <w:pPr>
              <w:tabs>
                <w:tab w:val="decimal" w:pos="360"/>
              </w:tabs>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567.015</w:t>
            </w:r>
          </w:p>
        </w:tc>
        <w:tc>
          <w:tcPr>
            <w:tcW w:w="784" w:type="pct"/>
            <w:gridSpan w:val="5"/>
            <w:tcBorders>
              <w:top w:val="nil"/>
              <w:bottom w:val="nil"/>
            </w:tcBorders>
          </w:tcPr>
          <w:p w14:paraId="583F2E74" w14:textId="25D3D741" w:rsidR="00152D09" w:rsidRPr="00FD3EE9" w:rsidRDefault="00152D09" w:rsidP="0032486A">
            <w:pPr>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275.926</w:t>
            </w:r>
          </w:p>
        </w:tc>
        <w:tc>
          <w:tcPr>
            <w:tcW w:w="857" w:type="pct"/>
            <w:gridSpan w:val="4"/>
            <w:tcBorders>
              <w:top w:val="nil"/>
              <w:bottom w:val="nil"/>
            </w:tcBorders>
          </w:tcPr>
          <w:p w14:paraId="0AE5FDBF" w14:textId="4BC3C0BB" w:rsidR="00152D09" w:rsidRPr="00FD3EE9" w:rsidRDefault="00152D09" w:rsidP="0032486A">
            <w:pPr>
              <w:ind w:firstLineChars="200" w:firstLine="360"/>
              <w:jc w:val="center"/>
              <w:cnfStyle w:val="000000000000" w:firstRow="0" w:lastRow="0" w:firstColumn="0" w:lastColumn="0" w:oddVBand="0" w:evenVBand="0" w:oddHBand="0" w:evenHBand="0" w:firstRowFirstColumn="0" w:firstRowLastColumn="0" w:lastRowFirstColumn="0" w:lastRowLastColumn="0"/>
              <w:rPr>
                <w:sz w:val="18"/>
                <w:szCs w:val="16"/>
              </w:rPr>
            </w:pPr>
            <w:r w:rsidRPr="00FD3EE9">
              <w:rPr>
                <w:sz w:val="18"/>
                <w:szCs w:val="16"/>
              </w:rPr>
              <w:t>318.064</w:t>
            </w:r>
          </w:p>
        </w:tc>
      </w:tr>
      <w:tr w:rsidR="0032486A" w:rsidRPr="00FD3EE9" w14:paraId="6D968912" w14:textId="77777777" w:rsidTr="0032486A">
        <w:trPr>
          <w:gridAfter w:val="3"/>
          <w:cnfStyle w:val="000000100000" w:firstRow="0" w:lastRow="0" w:firstColumn="0" w:lastColumn="0" w:oddVBand="0" w:evenVBand="0" w:oddHBand="1" w:evenHBand="0" w:firstRowFirstColumn="0" w:firstRowLastColumn="0" w:lastRowFirstColumn="0" w:lastRowLastColumn="0"/>
          <w:wAfter w:w="203" w:type="pct"/>
          <w:trHeight w:hRule="exact" w:val="329"/>
          <w:jc w:val="center"/>
        </w:trPr>
        <w:tc>
          <w:tcPr>
            <w:cnfStyle w:val="001000000000" w:firstRow="0" w:lastRow="0" w:firstColumn="1" w:lastColumn="0" w:oddVBand="0" w:evenVBand="0" w:oddHBand="0" w:evenHBand="0" w:firstRowFirstColumn="0" w:firstRowLastColumn="0" w:lastRowFirstColumn="0" w:lastRowLastColumn="0"/>
            <w:tcW w:w="1084" w:type="pct"/>
            <w:gridSpan w:val="2"/>
            <w:tcBorders>
              <w:top w:val="nil"/>
            </w:tcBorders>
          </w:tcPr>
          <w:p w14:paraId="3A79CAC8" w14:textId="033B652C" w:rsidR="00152D09" w:rsidRPr="00FD3EE9" w:rsidRDefault="00152D09" w:rsidP="00EE1B55">
            <w:pPr>
              <w:tabs>
                <w:tab w:val="decimal" w:pos="360"/>
              </w:tabs>
              <w:ind w:firstLineChars="200" w:firstLine="360"/>
              <w:jc w:val="left"/>
              <w:rPr>
                <w:sz w:val="18"/>
                <w:szCs w:val="16"/>
              </w:rPr>
            </w:pPr>
            <w:r w:rsidRPr="00FD3EE9">
              <w:rPr>
                <w:b w:val="0"/>
                <w:sz w:val="18"/>
                <w:szCs w:val="16"/>
              </w:rPr>
              <w:t>N</w:t>
            </w:r>
          </w:p>
        </w:tc>
        <w:tc>
          <w:tcPr>
            <w:tcW w:w="709" w:type="pct"/>
            <w:gridSpan w:val="3"/>
            <w:tcBorders>
              <w:top w:val="nil"/>
            </w:tcBorders>
          </w:tcPr>
          <w:p w14:paraId="6D653D56" w14:textId="2C621811" w:rsidR="00152D09" w:rsidRPr="00FD3EE9" w:rsidRDefault="00152D09"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8</w:t>
            </w:r>
            <w:r w:rsidR="00667D9C" w:rsidRPr="00FD3EE9">
              <w:rPr>
                <w:sz w:val="18"/>
                <w:szCs w:val="16"/>
              </w:rPr>
              <w:t>,</w:t>
            </w:r>
            <w:r w:rsidRPr="00FD3EE9">
              <w:rPr>
                <w:sz w:val="18"/>
                <w:szCs w:val="16"/>
              </w:rPr>
              <w:t>659</w:t>
            </w:r>
          </w:p>
        </w:tc>
        <w:tc>
          <w:tcPr>
            <w:tcW w:w="1281" w:type="pct"/>
            <w:gridSpan w:val="5"/>
            <w:tcBorders>
              <w:top w:val="nil"/>
            </w:tcBorders>
          </w:tcPr>
          <w:p w14:paraId="5FEEEE8C" w14:textId="64445F9C" w:rsidR="00152D09" w:rsidRPr="00FD3EE9" w:rsidRDefault="00152D09"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8</w:t>
            </w:r>
            <w:r w:rsidR="00667D9C" w:rsidRPr="00FD3EE9">
              <w:rPr>
                <w:sz w:val="18"/>
                <w:szCs w:val="16"/>
              </w:rPr>
              <w:t>,</w:t>
            </w:r>
            <w:r w:rsidRPr="00FD3EE9">
              <w:rPr>
                <w:sz w:val="18"/>
                <w:szCs w:val="16"/>
              </w:rPr>
              <w:t>659</w:t>
            </w:r>
          </w:p>
        </w:tc>
        <w:tc>
          <w:tcPr>
            <w:tcW w:w="578" w:type="pct"/>
            <w:gridSpan w:val="3"/>
            <w:tcBorders>
              <w:top w:val="nil"/>
            </w:tcBorders>
          </w:tcPr>
          <w:p w14:paraId="6C4256AF" w14:textId="6CD3DAF7" w:rsidR="00152D09" w:rsidRPr="00FD3EE9" w:rsidRDefault="00152D09"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4</w:t>
            </w:r>
            <w:r w:rsidR="00667D9C" w:rsidRPr="00FD3EE9">
              <w:rPr>
                <w:sz w:val="18"/>
                <w:szCs w:val="16"/>
              </w:rPr>
              <w:t>,</w:t>
            </w:r>
            <w:r w:rsidRPr="00FD3EE9">
              <w:rPr>
                <w:sz w:val="18"/>
                <w:szCs w:val="16"/>
              </w:rPr>
              <w:t>120</w:t>
            </w:r>
          </w:p>
        </w:tc>
        <w:tc>
          <w:tcPr>
            <w:tcW w:w="1145" w:type="pct"/>
            <w:gridSpan w:val="6"/>
            <w:tcBorders>
              <w:top w:val="nil"/>
            </w:tcBorders>
          </w:tcPr>
          <w:p w14:paraId="48047202" w14:textId="68976942" w:rsidR="00152D09" w:rsidRPr="00FD3EE9" w:rsidRDefault="00152D09" w:rsidP="00E8331F">
            <w:pPr>
              <w:tabs>
                <w:tab w:val="decimal" w:pos="360"/>
              </w:tabs>
              <w:ind w:firstLineChars="200" w:firstLine="360"/>
              <w:jc w:val="center"/>
              <w:cnfStyle w:val="000000100000" w:firstRow="0" w:lastRow="0" w:firstColumn="0" w:lastColumn="0" w:oddVBand="0" w:evenVBand="0" w:oddHBand="1" w:evenHBand="0" w:firstRowFirstColumn="0" w:firstRowLastColumn="0" w:lastRowFirstColumn="0" w:lastRowLastColumn="0"/>
              <w:rPr>
                <w:sz w:val="18"/>
                <w:szCs w:val="16"/>
              </w:rPr>
            </w:pPr>
            <w:r w:rsidRPr="00FD3EE9">
              <w:rPr>
                <w:sz w:val="18"/>
                <w:szCs w:val="16"/>
              </w:rPr>
              <w:t>4</w:t>
            </w:r>
            <w:r w:rsidR="00667D9C" w:rsidRPr="00FD3EE9">
              <w:rPr>
                <w:sz w:val="18"/>
                <w:szCs w:val="16"/>
              </w:rPr>
              <w:t>,</w:t>
            </w:r>
            <w:r w:rsidRPr="00FD3EE9">
              <w:rPr>
                <w:sz w:val="18"/>
                <w:szCs w:val="16"/>
              </w:rPr>
              <w:t>121</w:t>
            </w:r>
          </w:p>
        </w:tc>
      </w:tr>
    </w:tbl>
    <w:p w14:paraId="00E2E371" w14:textId="7E5B2F9B" w:rsidR="007644DD" w:rsidRPr="00FD3EE9" w:rsidRDefault="00E8331F" w:rsidP="00E9285E">
      <w:pPr>
        <w:rPr>
          <w:sz w:val="21"/>
          <w:szCs w:val="21"/>
        </w:rPr>
      </w:pPr>
      <w:r w:rsidRPr="00FD3EE9">
        <w:rPr>
          <w:sz w:val="21"/>
          <w:szCs w:val="21"/>
        </w:rPr>
        <w:t xml:space="preserve">Note: </w:t>
      </w:r>
      <w:r w:rsidR="00EF1F9E" w:rsidRPr="00FD3EE9">
        <w:rPr>
          <w:sz w:val="21"/>
          <w:szCs w:val="21"/>
        </w:rPr>
        <w:t>Table 8</w:t>
      </w:r>
      <w:r w:rsidRPr="00FD3EE9">
        <w:rPr>
          <w:sz w:val="21"/>
          <w:szCs w:val="21"/>
        </w:rPr>
        <w:t xml:space="preserve"> shows the negative binomial regression results explaining the association between incentive compensation and acquisition activities in two sub-groups: SOEs and Non-SOEs. A firm is classified as SOE if the state is the controlling shareholder. The dependent variable is the number the acquisitions a firm made each year. For comparison, we include year and industry fixed effects in Model (2) and (4). </w:t>
      </w:r>
      <w:r w:rsidR="00562EC3" w:rsidRPr="00FD3EE9">
        <w:rPr>
          <w:sz w:val="21"/>
          <w:szCs w:val="21"/>
        </w:rPr>
        <w:t>All regressions are clustered within firm units.</w:t>
      </w:r>
      <w:r w:rsidR="00736176" w:rsidRPr="00FD3EE9">
        <w:rPr>
          <w:sz w:val="21"/>
          <w:szCs w:val="21"/>
        </w:rPr>
        <w:t xml:space="preserve"> </w:t>
      </w:r>
      <w:r w:rsidRPr="00FD3EE9">
        <w:rPr>
          <w:sz w:val="21"/>
          <w:szCs w:val="21"/>
        </w:rPr>
        <w:t xml:space="preserve">*, ** and *** indicate significance at the 10%, 5% and 1% levels, respectively. </w:t>
      </w:r>
    </w:p>
    <w:p w14:paraId="687BC671" w14:textId="77777777" w:rsidR="007644DD" w:rsidRPr="00FD3EE9" w:rsidRDefault="007644DD" w:rsidP="00E9285E">
      <w:pPr>
        <w:rPr>
          <w:sz w:val="21"/>
          <w:szCs w:val="21"/>
        </w:rPr>
      </w:pPr>
    </w:p>
    <w:p w14:paraId="57B8D942" w14:textId="65ED9EB2" w:rsidR="001D69C8" w:rsidRPr="00FD3EE9" w:rsidRDefault="00EF1F9E" w:rsidP="00842BD5">
      <w:pPr>
        <w:ind w:firstLineChars="200" w:firstLine="482"/>
        <w:jc w:val="center"/>
        <w:rPr>
          <w:b/>
        </w:rPr>
      </w:pPr>
      <w:r w:rsidRPr="00FD3EE9">
        <w:rPr>
          <w:b/>
        </w:rPr>
        <w:t>Table 9</w:t>
      </w:r>
      <w:r w:rsidR="001D69C8" w:rsidRPr="00FD3EE9">
        <w:rPr>
          <w:b/>
        </w:rPr>
        <w:t xml:space="preserve">: Impact of </w:t>
      </w:r>
      <w:r w:rsidR="00667D9C" w:rsidRPr="00FD3EE9">
        <w:rPr>
          <w:b/>
        </w:rPr>
        <w:t>C</w:t>
      </w:r>
      <w:r w:rsidR="001D69C8" w:rsidRPr="00FD3EE9">
        <w:rPr>
          <w:b/>
        </w:rPr>
        <w:t xml:space="preserve">ompensation on </w:t>
      </w:r>
      <w:r w:rsidR="00667D9C" w:rsidRPr="00FD3EE9">
        <w:rPr>
          <w:b/>
        </w:rPr>
        <w:t>F</w:t>
      </w:r>
      <w:r w:rsidR="001D69C8" w:rsidRPr="00FD3EE9">
        <w:rPr>
          <w:b/>
        </w:rPr>
        <w:t xml:space="preserve">ive-day (-2, +2) </w:t>
      </w:r>
      <w:r w:rsidR="00667D9C" w:rsidRPr="00FD3EE9">
        <w:rPr>
          <w:b/>
        </w:rPr>
        <w:t>C</w:t>
      </w:r>
      <w:r w:rsidR="001D69C8" w:rsidRPr="00FD3EE9">
        <w:rPr>
          <w:b/>
        </w:rPr>
        <w:t xml:space="preserve">umulative </w:t>
      </w:r>
      <w:r w:rsidR="00667D9C" w:rsidRPr="00FD3EE9">
        <w:rPr>
          <w:b/>
        </w:rPr>
        <w:t>A</w:t>
      </w:r>
      <w:r w:rsidR="001D69C8" w:rsidRPr="00FD3EE9">
        <w:rPr>
          <w:b/>
        </w:rPr>
        <w:t xml:space="preserve">bnormal </w:t>
      </w:r>
      <w:r w:rsidR="00667D9C" w:rsidRPr="00FD3EE9">
        <w:rPr>
          <w:b/>
        </w:rPr>
        <w:t>S</w:t>
      </w:r>
      <w:r w:rsidR="001D69C8" w:rsidRPr="00FD3EE9">
        <w:rPr>
          <w:b/>
        </w:rPr>
        <w:t xml:space="preserve">tock </w:t>
      </w:r>
      <w:r w:rsidR="00667D9C" w:rsidRPr="00FD3EE9">
        <w:rPr>
          <w:b/>
        </w:rPr>
        <w:t>R</w:t>
      </w:r>
      <w:r w:rsidR="001D69C8" w:rsidRPr="00FD3EE9">
        <w:rPr>
          <w:b/>
        </w:rPr>
        <w:t xml:space="preserve">eturns </w:t>
      </w:r>
      <w:r w:rsidR="00667D9C" w:rsidRPr="00FD3EE9">
        <w:rPr>
          <w:b/>
        </w:rPr>
        <w:t>A</w:t>
      </w:r>
      <w:r w:rsidR="001D69C8" w:rsidRPr="00FD3EE9">
        <w:rPr>
          <w:b/>
        </w:rPr>
        <w:t xml:space="preserve">round </w:t>
      </w:r>
      <w:r w:rsidR="00667D9C" w:rsidRPr="00FD3EE9">
        <w:rPr>
          <w:b/>
        </w:rPr>
        <w:t>A</w:t>
      </w:r>
      <w:r w:rsidR="001D69C8" w:rsidRPr="00FD3EE9">
        <w:rPr>
          <w:b/>
        </w:rPr>
        <w:t xml:space="preserve">cquisition </w:t>
      </w:r>
      <w:r w:rsidR="00667D9C" w:rsidRPr="00FD3EE9">
        <w:rPr>
          <w:b/>
        </w:rPr>
        <w:t>A</w:t>
      </w:r>
      <w:r w:rsidR="001D69C8" w:rsidRPr="00FD3EE9">
        <w:rPr>
          <w:b/>
        </w:rPr>
        <w:t>nnouncement</w:t>
      </w:r>
    </w:p>
    <w:tbl>
      <w:tblPr>
        <w:tblStyle w:val="21"/>
        <w:tblW w:w="0" w:type="auto"/>
        <w:jc w:val="center"/>
        <w:tblBorders>
          <w:top w:val="single" w:sz="12" w:space="0" w:color="000000" w:themeColor="text1"/>
        </w:tblBorders>
        <w:tblLook w:val="04A0" w:firstRow="1" w:lastRow="0" w:firstColumn="1" w:lastColumn="0" w:noHBand="0" w:noVBand="1"/>
      </w:tblPr>
      <w:tblGrid>
        <w:gridCol w:w="2452"/>
        <w:gridCol w:w="1935"/>
        <w:gridCol w:w="1976"/>
        <w:gridCol w:w="2439"/>
      </w:tblGrid>
      <w:tr w:rsidR="003A3600" w:rsidRPr="00FD3EE9" w14:paraId="5CA731B0" w14:textId="77777777" w:rsidTr="002D70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2" w:type="dxa"/>
            <w:tcBorders>
              <w:top w:val="single" w:sz="4" w:space="0" w:color="000000" w:themeColor="text1"/>
              <w:bottom w:val="single" w:sz="4" w:space="0" w:color="000000" w:themeColor="text1"/>
            </w:tcBorders>
          </w:tcPr>
          <w:p w14:paraId="1A393CCC" w14:textId="77777777" w:rsidR="001D69C8" w:rsidRPr="00FD3EE9" w:rsidRDefault="001D69C8" w:rsidP="00842BD5">
            <w:pPr>
              <w:ind w:firstLineChars="200" w:firstLine="400"/>
              <w:rPr>
                <w:b w:val="0"/>
                <w:sz w:val="20"/>
                <w:szCs w:val="20"/>
              </w:rPr>
            </w:pPr>
          </w:p>
        </w:tc>
        <w:tc>
          <w:tcPr>
            <w:tcW w:w="1935" w:type="dxa"/>
            <w:tcBorders>
              <w:top w:val="single" w:sz="4" w:space="0" w:color="000000" w:themeColor="text1"/>
              <w:bottom w:val="single" w:sz="4" w:space="0" w:color="000000" w:themeColor="text1"/>
            </w:tcBorders>
          </w:tcPr>
          <w:p w14:paraId="20DE0AFE" w14:textId="57D506FB" w:rsidR="001D69C8" w:rsidRPr="00FD3EE9" w:rsidRDefault="001D69C8" w:rsidP="003A3600">
            <w:pPr>
              <w:ind w:leftChars="-7" w:left="-1" w:hangingChars="8" w:hanging="16"/>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FD3EE9">
              <w:rPr>
                <w:b w:val="0"/>
                <w:sz w:val="20"/>
                <w:szCs w:val="20"/>
              </w:rPr>
              <w:t xml:space="preserve">Full </w:t>
            </w:r>
            <w:r w:rsidR="00667D9C" w:rsidRPr="00FD3EE9">
              <w:rPr>
                <w:b w:val="0"/>
                <w:sz w:val="20"/>
                <w:szCs w:val="20"/>
              </w:rPr>
              <w:t>S</w:t>
            </w:r>
            <w:r w:rsidRPr="00FD3EE9">
              <w:rPr>
                <w:b w:val="0"/>
                <w:sz w:val="20"/>
                <w:szCs w:val="20"/>
              </w:rPr>
              <w:t>ample</w:t>
            </w:r>
          </w:p>
        </w:tc>
        <w:tc>
          <w:tcPr>
            <w:tcW w:w="1976" w:type="dxa"/>
            <w:tcBorders>
              <w:top w:val="single" w:sz="4" w:space="0" w:color="000000" w:themeColor="text1"/>
              <w:bottom w:val="single" w:sz="4" w:space="0" w:color="000000" w:themeColor="text1"/>
            </w:tcBorders>
          </w:tcPr>
          <w:p w14:paraId="0158848D" w14:textId="54B7E977" w:rsidR="001D69C8" w:rsidRPr="00FD3EE9" w:rsidRDefault="001D69C8" w:rsidP="00842BD5">
            <w:pPr>
              <w:ind w:firstLineChars="200" w:firstLine="40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FD3EE9">
              <w:rPr>
                <w:b w:val="0"/>
                <w:sz w:val="20"/>
                <w:szCs w:val="20"/>
              </w:rPr>
              <w:t>SOE</w:t>
            </w:r>
          </w:p>
        </w:tc>
        <w:tc>
          <w:tcPr>
            <w:tcW w:w="2439" w:type="dxa"/>
            <w:tcBorders>
              <w:top w:val="single" w:sz="4" w:space="0" w:color="000000" w:themeColor="text1"/>
              <w:bottom w:val="single" w:sz="4" w:space="0" w:color="000000" w:themeColor="text1"/>
            </w:tcBorders>
          </w:tcPr>
          <w:p w14:paraId="3BE1B345" w14:textId="6F92AB10" w:rsidR="001D69C8" w:rsidRPr="00FD3EE9" w:rsidRDefault="001D69C8" w:rsidP="00842BD5">
            <w:pPr>
              <w:ind w:firstLineChars="200" w:firstLine="40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FD3EE9">
              <w:rPr>
                <w:b w:val="0"/>
                <w:sz w:val="20"/>
                <w:szCs w:val="20"/>
              </w:rPr>
              <w:t>Non-SOE</w:t>
            </w:r>
          </w:p>
        </w:tc>
      </w:tr>
      <w:tr w:rsidR="003A3600" w:rsidRPr="00FD3EE9" w14:paraId="55E21D02" w14:textId="77777777" w:rsidTr="002D7023">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single" w:sz="4" w:space="0" w:color="000000" w:themeColor="text1"/>
              <w:bottom w:val="nil"/>
            </w:tcBorders>
          </w:tcPr>
          <w:p w14:paraId="152A0727" w14:textId="2279A061" w:rsidR="001D69C8" w:rsidRPr="00FD3EE9" w:rsidRDefault="001D69C8" w:rsidP="00842BD5">
            <w:pPr>
              <w:ind w:firstLineChars="200" w:firstLine="400"/>
              <w:rPr>
                <w:b w:val="0"/>
                <w:sz w:val="20"/>
                <w:szCs w:val="20"/>
              </w:rPr>
            </w:pPr>
            <w:r w:rsidRPr="00FD3EE9">
              <w:rPr>
                <w:b w:val="0"/>
                <w:sz w:val="20"/>
                <w:szCs w:val="20"/>
              </w:rPr>
              <w:t>Stock Option</w:t>
            </w:r>
          </w:p>
        </w:tc>
        <w:tc>
          <w:tcPr>
            <w:tcW w:w="1935" w:type="dxa"/>
            <w:tcBorders>
              <w:top w:val="single" w:sz="4" w:space="0" w:color="000000" w:themeColor="text1"/>
              <w:bottom w:val="nil"/>
            </w:tcBorders>
          </w:tcPr>
          <w:p w14:paraId="08613152" w14:textId="20F7A3AD" w:rsidR="001D69C8" w:rsidRPr="00FD3EE9" w:rsidRDefault="001D69C8" w:rsidP="003A3600">
            <w:pPr>
              <w:tabs>
                <w:tab w:val="decimal" w:pos="653"/>
              </w:tabs>
              <w:ind w:leftChars="-7" w:left="-1" w:hangingChars="8" w:hanging="16"/>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-0.006</w:t>
            </w:r>
          </w:p>
        </w:tc>
        <w:tc>
          <w:tcPr>
            <w:tcW w:w="1976" w:type="dxa"/>
            <w:tcBorders>
              <w:top w:val="single" w:sz="4" w:space="0" w:color="000000" w:themeColor="text1"/>
              <w:bottom w:val="nil"/>
            </w:tcBorders>
          </w:tcPr>
          <w:p w14:paraId="13ADDB94" w14:textId="26C9E93A" w:rsidR="001D69C8" w:rsidRPr="00FD3EE9" w:rsidRDefault="001D69C8" w:rsidP="00842BD5">
            <w:pPr>
              <w:tabs>
                <w:tab w:val="decimal" w:pos="7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0.030</w:t>
            </w:r>
          </w:p>
        </w:tc>
        <w:tc>
          <w:tcPr>
            <w:tcW w:w="2439" w:type="dxa"/>
            <w:tcBorders>
              <w:top w:val="single" w:sz="4" w:space="0" w:color="000000" w:themeColor="text1"/>
              <w:bottom w:val="nil"/>
            </w:tcBorders>
          </w:tcPr>
          <w:p w14:paraId="0FCD6681" w14:textId="44E68DEB" w:rsidR="001D69C8" w:rsidRPr="00FD3EE9" w:rsidRDefault="001D69C8" w:rsidP="00842BD5">
            <w:pPr>
              <w:tabs>
                <w:tab w:val="decimal" w:pos="989"/>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-0.008</w:t>
            </w:r>
          </w:p>
        </w:tc>
      </w:tr>
      <w:tr w:rsidR="003A3600" w:rsidRPr="00FD3EE9" w14:paraId="722F7D84" w14:textId="77777777" w:rsidTr="002D7023">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29F6D8E2" w14:textId="77777777" w:rsidR="002D7023" w:rsidRPr="00FD3EE9" w:rsidRDefault="002D7023" w:rsidP="00842BD5">
            <w:pPr>
              <w:ind w:firstLineChars="200" w:firstLine="402"/>
              <w:rPr>
                <w:sz w:val="20"/>
                <w:szCs w:val="20"/>
              </w:rPr>
            </w:pPr>
          </w:p>
        </w:tc>
        <w:tc>
          <w:tcPr>
            <w:tcW w:w="1935" w:type="dxa"/>
            <w:tcBorders>
              <w:top w:val="nil"/>
              <w:bottom w:val="nil"/>
            </w:tcBorders>
          </w:tcPr>
          <w:p w14:paraId="7DEB1C28" w14:textId="3C0ECAF6" w:rsidR="002D7023" w:rsidRPr="00FD3EE9" w:rsidRDefault="002D7023" w:rsidP="003A3600">
            <w:pPr>
              <w:tabs>
                <w:tab w:val="decimal" w:pos="653"/>
              </w:tabs>
              <w:ind w:leftChars="-7" w:left="-1" w:hangingChars="8" w:hanging="16"/>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w:t>
            </w:r>
            <w:r w:rsidR="009C7154" w:rsidRPr="00FD3EE9">
              <w:rPr>
                <w:sz w:val="20"/>
                <w:szCs w:val="20"/>
              </w:rPr>
              <w:t>10</w:t>
            </w:r>
            <w:r w:rsidRPr="00FD3EE9">
              <w:rPr>
                <w:sz w:val="20"/>
                <w:szCs w:val="20"/>
              </w:rPr>
              <w:t>)</w:t>
            </w:r>
          </w:p>
        </w:tc>
        <w:tc>
          <w:tcPr>
            <w:tcW w:w="1976" w:type="dxa"/>
            <w:tcBorders>
              <w:top w:val="nil"/>
              <w:bottom w:val="nil"/>
            </w:tcBorders>
          </w:tcPr>
          <w:p w14:paraId="3FA4245D" w14:textId="06759F85" w:rsidR="002D7023" w:rsidRPr="00FD3EE9" w:rsidRDefault="002D7023" w:rsidP="00842BD5">
            <w:pPr>
              <w:tabs>
                <w:tab w:val="decimal" w:pos="7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(0.019)</w:t>
            </w:r>
          </w:p>
        </w:tc>
        <w:tc>
          <w:tcPr>
            <w:tcW w:w="2439" w:type="dxa"/>
            <w:tcBorders>
              <w:top w:val="nil"/>
              <w:bottom w:val="nil"/>
            </w:tcBorders>
          </w:tcPr>
          <w:p w14:paraId="1713EB1D" w14:textId="0B986186" w:rsidR="002D7023" w:rsidRPr="00FD3EE9" w:rsidRDefault="002D7023" w:rsidP="00842BD5">
            <w:pPr>
              <w:tabs>
                <w:tab w:val="decimal" w:pos="989"/>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w:t>
            </w:r>
            <w:r w:rsidR="00493357" w:rsidRPr="00FD3EE9">
              <w:rPr>
                <w:sz w:val="20"/>
                <w:szCs w:val="20"/>
              </w:rPr>
              <w:t>11</w:t>
            </w:r>
            <w:r w:rsidRPr="00FD3EE9">
              <w:rPr>
                <w:sz w:val="20"/>
                <w:szCs w:val="20"/>
              </w:rPr>
              <w:t>)</w:t>
            </w:r>
          </w:p>
        </w:tc>
      </w:tr>
      <w:tr w:rsidR="003A3600" w:rsidRPr="00FD3EE9" w14:paraId="59C1CA38" w14:textId="77777777" w:rsidTr="003A3600">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5E7FADC4" w14:textId="2F0A70DF" w:rsidR="001D69C8" w:rsidRPr="00FD3EE9" w:rsidRDefault="001D69C8" w:rsidP="00842BD5">
            <w:pPr>
              <w:ind w:firstLineChars="200" w:firstLine="400"/>
              <w:rPr>
                <w:b w:val="0"/>
                <w:sz w:val="20"/>
                <w:szCs w:val="20"/>
              </w:rPr>
            </w:pPr>
            <w:r w:rsidRPr="00FD3EE9">
              <w:rPr>
                <w:b w:val="0"/>
                <w:sz w:val="20"/>
                <w:szCs w:val="20"/>
              </w:rPr>
              <w:t>Stock Ownership</w:t>
            </w:r>
          </w:p>
        </w:tc>
        <w:tc>
          <w:tcPr>
            <w:tcW w:w="1935" w:type="dxa"/>
            <w:tcBorders>
              <w:top w:val="nil"/>
              <w:bottom w:val="nil"/>
            </w:tcBorders>
          </w:tcPr>
          <w:p w14:paraId="633A2273" w14:textId="30548A1F" w:rsidR="001D69C8" w:rsidRPr="00FD3EE9" w:rsidRDefault="00A5637C" w:rsidP="003A3600">
            <w:pPr>
              <w:tabs>
                <w:tab w:val="decimal" w:pos="653"/>
              </w:tabs>
              <w:ind w:leftChars="-7" w:left="-1" w:hangingChars="8" w:hanging="16"/>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w:t>
            </w:r>
            <w:r w:rsidR="001D69C8" w:rsidRPr="00FD3EE9">
              <w:rPr>
                <w:sz w:val="20"/>
                <w:szCs w:val="20"/>
              </w:rPr>
              <w:t>0.067</w:t>
            </w:r>
          </w:p>
        </w:tc>
        <w:tc>
          <w:tcPr>
            <w:tcW w:w="1976" w:type="dxa"/>
            <w:tcBorders>
              <w:top w:val="nil"/>
              <w:bottom w:val="nil"/>
            </w:tcBorders>
          </w:tcPr>
          <w:p w14:paraId="48488558" w14:textId="2BEDF470" w:rsidR="001D69C8" w:rsidRPr="00FD3EE9" w:rsidRDefault="001D69C8" w:rsidP="00842BD5">
            <w:pPr>
              <w:tabs>
                <w:tab w:val="decimal" w:pos="7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0.188</w:t>
            </w:r>
          </w:p>
        </w:tc>
        <w:tc>
          <w:tcPr>
            <w:tcW w:w="2439" w:type="dxa"/>
            <w:tcBorders>
              <w:top w:val="nil"/>
              <w:bottom w:val="nil"/>
            </w:tcBorders>
          </w:tcPr>
          <w:p w14:paraId="21306C91" w14:textId="73481B84" w:rsidR="001D69C8" w:rsidRPr="00FD3EE9" w:rsidRDefault="00A5637C" w:rsidP="00842BD5">
            <w:pPr>
              <w:tabs>
                <w:tab w:val="decimal" w:pos="989"/>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w:t>
            </w:r>
            <w:r w:rsidR="001D69C8" w:rsidRPr="00FD3EE9">
              <w:rPr>
                <w:sz w:val="20"/>
                <w:szCs w:val="20"/>
              </w:rPr>
              <w:t>0.065</w:t>
            </w:r>
          </w:p>
        </w:tc>
      </w:tr>
      <w:tr w:rsidR="003A3600" w:rsidRPr="00FD3EE9" w14:paraId="41BD0F00" w14:textId="77777777" w:rsidTr="003A3600">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43D8538B" w14:textId="77777777" w:rsidR="002D7023" w:rsidRPr="00FD3EE9" w:rsidRDefault="002D7023" w:rsidP="002D7023">
            <w:pPr>
              <w:ind w:firstLineChars="200" w:firstLine="402"/>
              <w:rPr>
                <w:sz w:val="20"/>
                <w:szCs w:val="20"/>
              </w:rPr>
            </w:pPr>
          </w:p>
        </w:tc>
        <w:tc>
          <w:tcPr>
            <w:tcW w:w="1935" w:type="dxa"/>
            <w:tcBorders>
              <w:top w:val="nil"/>
              <w:bottom w:val="nil"/>
            </w:tcBorders>
          </w:tcPr>
          <w:p w14:paraId="5D09D88E" w14:textId="1E8D1A1C" w:rsidR="002D7023" w:rsidRPr="00FD3EE9" w:rsidRDefault="002D7023" w:rsidP="003A3600">
            <w:pPr>
              <w:tabs>
                <w:tab w:val="decimal" w:pos="653"/>
              </w:tabs>
              <w:ind w:leftChars="-7" w:left="-1" w:hangingChars="8" w:hanging="16"/>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(0.03</w:t>
            </w:r>
            <w:r w:rsidR="00AF1FC7" w:rsidRPr="00FD3EE9">
              <w:rPr>
                <w:sz w:val="20"/>
                <w:szCs w:val="20"/>
              </w:rPr>
              <w:t>9</w:t>
            </w:r>
            <w:r w:rsidRPr="00FD3EE9">
              <w:rPr>
                <w:sz w:val="20"/>
                <w:szCs w:val="20"/>
              </w:rPr>
              <w:t>)</w:t>
            </w:r>
          </w:p>
        </w:tc>
        <w:tc>
          <w:tcPr>
            <w:tcW w:w="1976" w:type="dxa"/>
            <w:tcBorders>
              <w:top w:val="nil"/>
              <w:bottom w:val="nil"/>
            </w:tcBorders>
          </w:tcPr>
          <w:p w14:paraId="5DC5B05A" w14:textId="6FE1F831" w:rsidR="002D7023" w:rsidRPr="00FD3EE9" w:rsidRDefault="002D7023" w:rsidP="002D7023">
            <w:pPr>
              <w:tabs>
                <w:tab w:val="decimal" w:pos="7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w:t>
            </w:r>
            <w:r w:rsidR="00493357" w:rsidRPr="00FD3EE9">
              <w:rPr>
                <w:sz w:val="20"/>
                <w:szCs w:val="20"/>
              </w:rPr>
              <w:t>299</w:t>
            </w:r>
            <w:r w:rsidRPr="00FD3EE9">
              <w:rPr>
                <w:sz w:val="20"/>
                <w:szCs w:val="20"/>
              </w:rPr>
              <w:t>)</w:t>
            </w:r>
          </w:p>
        </w:tc>
        <w:tc>
          <w:tcPr>
            <w:tcW w:w="2439" w:type="dxa"/>
            <w:tcBorders>
              <w:top w:val="nil"/>
              <w:bottom w:val="nil"/>
            </w:tcBorders>
          </w:tcPr>
          <w:p w14:paraId="040B54B3" w14:textId="4AFB5793" w:rsidR="002D7023" w:rsidRPr="00FD3EE9" w:rsidRDefault="002D7023" w:rsidP="002D7023">
            <w:pPr>
              <w:tabs>
                <w:tab w:val="decimal" w:pos="989"/>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w:t>
            </w:r>
            <w:r w:rsidR="00493357" w:rsidRPr="00FD3EE9">
              <w:rPr>
                <w:sz w:val="20"/>
                <w:szCs w:val="20"/>
              </w:rPr>
              <w:t>40</w:t>
            </w:r>
            <w:r w:rsidRPr="00FD3EE9">
              <w:rPr>
                <w:sz w:val="20"/>
                <w:szCs w:val="20"/>
              </w:rPr>
              <w:t>)</w:t>
            </w:r>
          </w:p>
        </w:tc>
      </w:tr>
      <w:tr w:rsidR="003A3600" w:rsidRPr="00FD3EE9" w14:paraId="355B64F5" w14:textId="77777777" w:rsidTr="003A3600">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7A77B47C" w14:textId="3E98E75D" w:rsidR="002D7023" w:rsidRPr="00FD3EE9" w:rsidRDefault="002D7023" w:rsidP="002D7023">
            <w:pPr>
              <w:ind w:firstLineChars="200" w:firstLine="400"/>
              <w:rPr>
                <w:b w:val="0"/>
                <w:sz w:val="20"/>
                <w:szCs w:val="20"/>
              </w:rPr>
            </w:pPr>
            <w:r w:rsidRPr="00FD3EE9">
              <w:rPr>
                <w:b w:val="0"/>
                <w:sz w:val="20"/>
                <w:szCs w:val="20"/>
              </w:rPr>
              <w:t>Stock Ownership2</w:t>
            </w:r>
          </w:p>
        </w:tc>
        <w:tc>
          <w:tcPr>
            <w:tcW w:w="1935" w:type="dxa"/>
            <w:tcBorders>
              <w:top w:val="nil"/>
              <w:bottom w:val="nil"/>
            </w:tcBorders>
          </w:tcPr>
          <w:p w14:paraId="5D53F9B3" w14:textId="0F87344B" w:rsidR="002D7023" w:rsidRPr="00FD3EE9" w:rsidRDefault="002D7023" w:rsidP="003A3600">
            <w:pPr>
              <w:tabs>
                <w:tab w:val="decimal" w:pos="653"/>
              </w:tabs>
              <w:ind w:leftChars="-7" w:left="-1" w:hangingChars="8" w:hanging="16"/>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0.087</w:t>
            </w:r>
          </w:p>
        </w:tc>
        <w:tc>
          <w:tcPr>
            <w:tcW w:w="1976" w:type="dxa"/>
            <w:tcBorders>
              <w:top w:val="nil"/>
              <w:bottom w:val="nil"/>
            </w:tcBorders>
          </w:tcPr>
          <w:p w14:paraId="799F1D38" w14:textId="69B62E70" w:rsidR="002D7023" w:rsidRPr="00FD3EE9" w:rsidRDefault="002D7023" w:rsidP="002D7023">
            <w:pPr>
              <w:tabs>
                <w:tab w:val="decimal" w:pos="7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-1.097</w:t>
            </w:r>
          </w:p>
        </w:tc>
        <w:tc>
          <w:tcPr>
            <w:tcW w:w="2439" w:type="dxa"/>
            <w:tcBorders>
              <w:top w:val="nil"/>
              <w:bottom w:val="nil"/>
            </w:tcBorders>
          </w:tcPr>
          <w:p w14:paraId="6830DB56" w14:textId="66BC296D" w:rsidR="002D7023" w:rsidRPr="00FD3EE9" w:rsidRDefault="002D7023" w:rsidP="002D7023">
            <w:pPr>
              <w:tabs>
                <w:tab w:val="decimal" w:pos="989"/>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0.085</w:t>
            </w:r>
          </w:p>
        </w:tc>
      </w:tr>
      <w:tr w:rsidR="003A3600" w:rsidRPr="00FD3EE9" w14:paraId="3DB3ED63" w14:textId="77777777" w:rsidTr="003A3600">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7BBA910D" w14:textId="77777777" w:rsidR="002D7023" w:rsidRPr="00FD3EE9" w:rsidRDefault="002D7023" w:rsidP="002D7023">
            <w:pPr>
              <w:ind w:firstLineChars="200" w:firstLine="402"/>
              <w:rPr>
                <w:sz w:val="20"/>
                <w:szCs w:val="20"/>
              </w:rPr>
            </w:pPr>
          </w:p>
        </w:tc>
        <w:tc>
          <w:tcPr>
            <w:tcW w:w="1935" w:type="dxa"/>
            <w:tcBorders>
              <w:top w:val="nil"/>
              <w:bottom w:val="nil"/>
            </w:tcBorders>
          </w:tcPr>
          <w:p w14:paraId="3F5BA997" w14:textId="262F5660" w:rsidR="002D7023" w:rsidRPr="00FD3EE9" w:rsidRDefault="002D7023" w:rsidP="003A3600">
            <w:pPr>
              <w:tabs>
                <w:tab w:val="decimal" w:pos="653"/>
              </w:tabs>
              <w:ind w:leftChars="-7" w:left="-1" w:hangingChars="8" w:hanging="16"/>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(0.06</w:t>
            </w:r>
            <w:r w:rsidR="00AF1FC7" w:rsidRPr="00FD3EE9">
              <w:rPr>
                <w:sz w:val="20"/>
                <w:szCs w:val="20"/>
              </w:rPr>
              <w:t>3</w:t>
            </w:r>
            <w:r w:rsidRPr="00FD3EE9">
              <w:rPr>
                <w:sz w:val="20"/>
                <w:szCs w:val="20"/>
              </w:rPr>
              <w:t>)</w:t>
            </w:r>
          </w:p>
        </w:tc>
        <w:tc>
          <w:tcPr>
            <w:tcW w:w="1976" w:type="dxa"/>
            <w:tcBorders>
              <w:top w:val="nil"/>
              <w:bottom w:val="nil"/>
            </w:tcBorders>
          </w:tcPr>
          <w:p w14:paraId="3A85E816" w14:textId="275B9246" w:rsidR="002D7023" w:rsidRPr="00FD3EE9" w:rsidRDefault="002D7023" w:rsidP="002D7023">
            <w:pPr>
              <w:tabs>
                <w:tab w:val="decimal" w:pos="7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(1.</w:t>
            </w:r>
            <w:r w:rsidR="00493357" w:rsidRPr="00FD3EE9">
              <w:rPr>
                <w:sz w:val="20"/>
                <w:szCs w:val="20"/>
              </w:rPr>
              <w:t>10</w:t>
            </w:r>
            <w:r w:rsidRPr="00FD3EE9">
              <w:rPr>
                <w:sz w:val="20"/>
                <w:szCs w:val="20"/>
              </w:rPr>
              <w:t>)</w:t>
            </w:r>
          </w:p>
        </w:tc>
        <w:tc>
          <w:tcPr>
            <w:tcW w:w="2439" w:type="dxa"/>
            <w:tcBorders>
              <w:top w:val="nil"/>
              <w:bottom w:val="nil"/>
            </w:tcBorders>
          </w:tcPr>
          <w:p w14:paraId="3E2572DA" w14:textId="0E9B7464" w:rsidR="002D7023" w:rsidRPr="00FD3EE9" w:rsidRDefault="002D7023" w:rsidP="002D7023">
            <w:pPr>
              <w:tabs>
                <w:tab w:val="decimal" w:pos="989"/>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(0.065)</w:t>
            </w:r>
          </w:p>
        </w:tc>
      </w:tr>
      <w:tr w:rsidR="003A3600" w:rsidRPr="00FD3EE9" w14:paraId="3EA59563" w14:textId="77777777" w:rsidTr="003A3600">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0E3CE85E" w14:textId="0AF0B826" w:rsidR="002D7023" w:rsidRPr="00FD3EE9" w:rsidRDefault="002D7023" w:rsidP="002D7023">
            <w:pPr>
              <w:ind w:firstLineChars="200" w:firstLine="400"/>
              <w:rPr>
                <w:b w:val="0"/>
                <w:sz w:val="20"/>
                <w:szCs w:val="20"/>
              </w:rPr>
            </w:pPr>
            <w:r w:rsidRPr="00FD3EE9">
              <w:rPr>
                <w:b w:val="0"/>
                <w:sz w:val="20"/>
                <w:szCs w:val="20"/>
              </w:rPr>
              <w:t>Cash Pay</w:t>
            </w:r>
          </w:p>
        </w:tc>
        <w:tc>
          <w:tcPr>
            <w:tcW w:w="1935" w:type="dxa"/>
            <w:tcBorders>
              <w:top w:val="nil"/>
              <w:bottom w:val="nil"/>
            </w:tcBorders>
          </w:tcPr>
          <w:p w14:paraId="51AB1E10" w14:textId="4FD549B8" w:rsidR="002D7023" w:rsidRPr="00FD3EE9" w:rsidRDefault="002D7023" w:rsidP="003A3600">
            <w:pPr>
              <w:tabs>
                <w:tab w:val="decimal" w:pos="653"/>
              </w:tabs>
              <w:ind w:leftChars="-7" w:left="-1" w:hangingChars="8" w:hanging="16"/>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-0.000</w:t>
            </w:r>
          </w:p>
        </w:tc>
        <w:tc>
          <w:tcPr>
            <w:tcW w:w="1976" w:type="dxa"/>
            <w:tcBorders>
              <w:top w:val="nil"/>
              <w:bottom w:val="nil"/>
            </w:tcBorders>
          </w:tcPr>
          <w:p w14:paraId="2CAD2355" w14:textId="3D3D4EE9" w:rsidR="002D7023" w:rsidRPr="00FD3EE9" w:rsidRDefault="002D7023" w:rsidP="002D7023">
            <w:pPr>
              <w:tabs>
                <w:tab w:val="decimal" w:pos="7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0.000</w:t>
            </w:r>
          </w:p>
        </w:tc>
        <w:tc>
          <w:tcPr>
            <w:tcW w:w="2439" w:type="dxa"/>
            <w:tcBorders>
              <w:top w:val="nil"/>
              <w:bottom w:val="nil"/>
            </w:tcBorders>
          </w:tcPr>
          <w:p w14:paraId="09312D5A" w14:textId="3B8AAD8D" w:rsidR="002D7023" w:rsidRPr="00FD3EE9" w:rsidRDefault="002D7023" w:rsidP="002D7023">
            <w:pPr>
              <w:tabs>
                <w:tab w:val="decimal" w:pos="989"/>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-0.000</w:t>
            </w:r>
          </w:p>
        </w:tc>
      </w:tr>
      <w:tr w:rsidR="003A3600" w:rsidRPr="00FD3EE9" w14:paraId="6D9834F5" w14:textId="77777777" w:rsidTr="003A3600">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08035D56" w14:textId="77777777" w:rsidR="002D7023" w:rsidRPr="00FD3EE9" w:rsidRDefault="002D7023" w:rsidP="002D7023">
            <w:pPr>
              <w:ind w:firstLineChars="200" w:firstLine="402"/>
              <w:rPr>
                <w:sz w:val="20"/>
                <w:szCs w:val="20"/>
              </w:rPr>
            </w:pPr>
          </w:p>
        </w:tc>
        <w:tc>
          <w:tcPr>
            <w:tcW w:w="1935" w:type="dxa"/>
            <w:tcBorders>
              <w:top w:val="nil"/>
              <w:bottom w:val="nil"/>
            </w:tcBorders>
          </w:tcPr>
          <w:p w14:paraId="0420699D" w14:textId="6D3D92A9" w:rsidR="002D7023" w:rsidRPr="00FD3EE9" w:rsidRDefault="002D7023" w:rsidP="003A3600">
            <w:pPr>
              <w:tabs>
                <w:tab w:val="decimal" w:pos="653"/>
              </w:tabs>
              <w:ind w:leftChars="-7" w:left="-1" w:hangingChars="8" w:hanging="16"/>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(0.000)</w:t>
            </w:r>
          </w:p>
        </w:tc>
        <w:tc>
          <w:tcPr>
            <w:tcW w:w="1976" w:type="dxa"/>
            <w:tcBorders>
              <w:top w:val="nil"/>
              <w:bottom w:val="nil"/>
            </w:tcBorders>
          </w:tcPr>
          <w:p w14:paraId="6A805671" w14:textId="45195432" w:rsidR="002D7023" w:rsidRPr="00FD3EE9" w:rsidRDefault="002D7023" w:rsidP="002D7023">
            <w:pPr>
              <w:tabs>
                <w:tab w:val="decimal" w:pos="7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(0.000)</w:t>
            </w:r>
          </w:p>
        </w:tc>
        <w:tc>
          <w:tcPr>
            <w:tcW w:w="2439" w:type="dxa"/>
            <w:tcBorders>
              <w:top w:val="nil"/>
              <w:bottom w:val="nil"/>
            </w:tcBorders>
          </w:tcPr>
          <w:p w14:paraId="588125E9" w14:textId="1B42D250" w:rsidR="002D7023" w:rsidRPr="00FD3EE9" w:rsidRDefault="002D7023" w:rsidP="002D7023">
            <w:pPr>
              <w:tabs>
                <w:tab w:val="decimal" w:pos="989"/>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(0.000)</w:t>
            </w:r>
          </w:p>
        </w:tc>
      </w:tr>
      <w:tr w:rsidR="003A3600" w:rsidRPr="00FD3EE9" w14:paraId="6E5CDC7D" w14:textId="77777777" w:rsidTr="003A3600">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7160B993" w14:textId="14E07C42" w:rsidR="002D7023" w:rsidRPr="00FD3EE9" w:rsidRDefault="002D7023" w:rsidP="002D7023">
            <w:pPr>
              <w:ind w:firstLineChars="200" w:firstLine="400"/>
              <w:rPr>
                <w:b w:val="0"/>
                <w:sz w:val="20"/>
                <w:szCs w:val="20"/>
              </w:rPr>
            </w:pPr>
            <w:r w:rsidRPr="00FD3EE9">
              <w:rPr>
                <w:b w:val="0"/>
                <w:sz w:val="20"/>
                <w:szCs w:val="20"/>
              </w:rPr>
              <w:t>Industry Diversity</w:t>
            </w:r>
          </w:p>
        </w:tc>
        <w:tc>
          <w:tcPr>
            <w:tcW w:w="1935" w:type="dxa"/>
            <w:tcBorders>
              <w:top w:val="nil"/>
              <w:bottom w:val="nil"/>
            </w:tcBorders>
          </w:tcPr>
          <w:p w14:paraId="26BC289A" w14:textId="1469B611" w:rsidR="002D7023" w:rsidRPr="00FD3EE9" w:rsidRDefault="002D7023" w:rsidP="003A3600">
            <w:pPr>
              <w:tabs>
                <w:tab w:val="decimal" w:pos="653"/>
              </w:tabs>
              <w:ind w:leftChars="-7" w:left="-1" w:hangingChars="8" w:hanging="16"/>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-0.007*</w:t>
            </w:r>
          </w:p>
        </w:tc>
        <w:tc>
          <w:tcPr>
            <w:tcW w:w="1976" w:type="dxa"/>
            <w:tcBorders>
              <w:top w:val="nil"/>
              <w:bottom w:val="nil"/>
            </w:tcBorders>
          </w:tcPr>
          <w:p w14:paraId="1B6E5A83" w14:textId="162E3B1C" w:rsidR="002D7023" w:rsidRPr="00FD3EE9" w:rsidRDefault="002D7023" w:rsidP="002D7023">
            <w:pPr>
              <w:tabs>
                <w:tab w:val="decimal" w:pos="7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-0.003</w:t>
            </w:r>
          </w:p>
        </w:tc>
        <w:tc>
          <w:tcPr>
            <w:tcW w:w="2439" w:type="dxa"/>
            <w:tcBorders>
              <w:top w:val="nil"/>
              <w:bottom w:val="nil"/>
            </w:tcBorders>
          </w:tcPr>
          <w:p w14:paraId="739320C3" w14:textId="7A0BFE3E" w:rsidR="002D7023" w:rsidRPr="00FD3EE9" w:rsidRDefault="002D7023" w:rsidP="002D7023">
            <w:pPr>
              <w:tabs>
                <w:tab w:val="decimal" w:pos="989"/>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-0.008</w:t>
            </w:r>
          </w:p>
        </w:tc>
      </w:tr>
      <w:tr w:rsidR="003A3600" w:rsidRPr="00FD3EE9" w14:paraId="576F5A72" w14:textId="77777777" w:rsidTr="002D7023">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62B93421" w14:textId="77777777" w:rsidR="002D7023" w:rsidRPr="00FD3EE9" w:rsidRDefault="002D7023" w:rsidP="002D7023">
            <w:pPr>
              <w:ind w:firstLineChars="200" w:firstLine="402"/>
              <w:rPr>
                <w:sz w:val="20"/>
                <w:szCs w:val="20"/>
              </w:rPr>
            </w:pPr>
          </w:p>
        </w:tc>
        <w:tc>
          <w:tcPr>
            <w:tcW w:w="1935" w:type="dxa"/>
            <w:tcBorders>
              <w:top w:val="nil"/>
              <w:bottom w:val="nil"/>
            </w:tcBorders>
          </w:tcPr>
          <w:p w14:paraId="7611BB97" w14:textId="3FF660DF" w:rsidR="002D7023" w:rsidRPr="00FD3EE9" w:rsidRDefault="002D7023" w:rsidP="003A3600">
            <w:pPr>
              <w:tabs>
                <w:tab w:val="decimal" w:pos="653"/>
              </w:tabs>
              <w:ind w:leftChars="-7" w:left="-1" w:hangingChars="8" w:hanging="16"/>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(0.003)</w:t>
            </w:r>
          </w:p>
        </w:tc>
        <w:tc>
          <w:tcPr>
            <w:tcW w:w="1976" w:type="dxa"/>
            <w:tcBorders>
              <w:top w:val="nil"/>
              <w:bottom w:val="nil"/>
            </w:tcBorders>
          </w:tcPr>
          <w:p w14:paraId="21567563" w14:textId="7F07422C" w:rsidR="002D7023" w:rsidRPr="00FD3EE9" w:rsidRDefault="002D7023" w:rsidP="002D7023">
            <w:pPr>
              <w:tabs>
                <w:tab w:val="decimal" w:pos="7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w:t>
            </w:r>
            <w:r w:rsidR="00493357" w:rsidRPr="00FD3EE9">
              <w:rPr>
                <w:sz w:val="20"/>
                <w:szCs w:val="20"/>
              </w:rPr>
              <w:t>5</w:t>
            </w:r>
            <w:r w:rsidRPr="00FD3EE9">
              <w:rPr>
                <w:sz w:val="20"/>
                <w:szCs w:val="20"/>
              </w:rPr>
              <w:t>)</w:t>
            </w:r>
          </w:p>
        </w:tc>
        <w:tc>
          <w:tcPr>
            <w:tcW w:w="2439" w:type="dxa"/>
            <w:tcBorders>
              <w:top w:val="nil"/>
              <w:bottom w:val="nil"/>
            </w:tcBorders>
          </w:tcPr>
          <w:p w14:paraId="0CE20F3D" w14:textId="394AF16A" w:rsidR="002D7023" w:rsidRPr="00FD3EE9" w:rsidRDefault="002D7023" w:rsidP="002D7023">
            <w:pPr>
              <w:tabs>
                <w:tab w:val="decimal" w:pos="989"/>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(0.004)</w:t>
            </w:r>
          </w:p>
        </w:tc>
      </w:tr>
      <w:tr w:rsidR="003A3600" w:rsidRPr="00FD3EE9" w14:paraId="03C56F4C" w14:textId="77777777" w:rsidTr="003A3600">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7B8386CA" w14:textId="4005F322" w:rsidR="002D7023" w:rsidRPr="00FD3EE9" w:rsidRDefault="002D7023" w:rsidP="002D7023">
            <w:pPr>
              <w:ind w:firstLineChars="200" w:firstLine="400"/>
              <w:rPr>
                <w:b w:val="0"/>
                <w:sz w:val="20"/>
                <w:szCs w:val="20"/>
              </w:rPr>
            </w:pPr>
            <w:r w:rsidRPr="00FD3EE9">
              <w:rPr>
                <w:b w:val="0"/>
                <w:sz w:val="20"/>
                <w:szCs w:val="20"/>
              </w:rPr>
              <w:t>Firm Size</w:t>
            </w:r>
          </w:p>
        </w:tc>
        <w:tc>
          <w:tcPr>
            <w:tcW w:w="1935" w:type="dxa"/>
            <w:tcBorders>
              <w:top w:val="nil"/>
              <w:bottom w:val="nil"/>
            </w:tcBorders>
          </w:tcPr>
          <w:p w14:paraId="7FD6FC6C" w14:textId="2A10D5FF" w:rsidR="002D7023" w:rsidRPr="00FD3EE9" w:rsidRDefault="002D7023" w:rsidP="003A3600">
            <w:pPr>
              <w:tabs>
                <w:tab w:val="decimal" w:pos="653"/>
              </w:tabs>
              <w:ind w:leftChars="-7" w:left="-1" w:hangingChars="8" w:hanging="16"/>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-0.008***</w:t>
            </w:r>
          </w:p>
        </w:tc>
        <w:tc>
          <w:tcPr>
            <w:tcW w:w="1976" w:type="dxa"/>
            <w:tcBorders>
              <w:top w:val="nil"/>
              <w:bottom w:val="nil"/>
            </w:tcBorders>
          </w:tcPr>
          <w:p w14:paraId="759EC3FA" w14:textId="4EB0E4D8" w:rsidR="002D7023" w:rsidRPr="00FD3EE9" w:rsidRDefault="002D7023" w:rsidP="002D7023">
            <w:pPr>
              <w:tabs>
                <w:tab w:val="decimal" w:pos="7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-0.006 *</w:t>
            </w:r>
          </w:p>
        </w:tc>
        <w:tc>
          <w:tcPr>
            <w:tcW w:w="2439" w:type="dxa"/>
            <w:tcBorders>
              <w:top w:val="nil"/>
              <w:bottom w:val="nil"/>
            </w:tcBorders>
          </w:tcPr>
          <w:p w14:paraId="66D13AB0" w14:textId="7BB3ED0A" w:rsidR="002D7023" w:rsidRPr="00FD3EE9" w:rsidRDefault="002D7023" w:rsidP="002D7023">
            <w:pPr>
              <w:tabs>
                <w:tab w:val="decimal" w:pos="989"/>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-0.010***</w:t>
            </w:r>
          </w:p>
        </w:tc>
      </w:tr>
      <w:tr w:rsidR="002D7023" w:rsidRPr="00FD3EE9" w14:paraId="7492F0A6" w14:textId="77777777" w:rsidTr="003A3600">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48909E24" w14:textId="77777777" w:rsidR="002D7023" w:rsidRPr="00FD3EE9" w:rsidRDefault="002D7023" w:rsidP="002D7023">
            <w:pPr>
              <w:ind w:firstLineChars="200" w:firstLine="402"/>
              <w:rPr>
                <w:sz w:val="20"/>
                <w:szCs w:val="20"/>
              </w:rPr>
            </w:pPr>
          </w:p>
        </w:tc>
        <w:tc>
          <w:tcPr>
            <w:tcW w:w="1935" w:type="dxa"/>
            <w:tcBorders>
              <w:top w:val="nil"/>
              <w:bottom w:val="nil"/>
            </w:tcBorders>
          </w:tcPr>
          <w:p w14:paraId="6F0FA690" w14:textId="66FF5130" w:rsidR="002D7023" w:rsidRPr="00FD3EE9" w:rsidRDefault="002D7023" w:rsidP="003A3600">
            <w:pPr>
              <w:tabs>
                <w:tab w:val="decimal" w:pos="653"/>
              </w:tabs>
              <w:ind w:leftChars="-7" w:left="-1" w:hangingChars="8" w:hanging="16"/>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(0.002)</w:t>
            </w:r>
          </w:p>
        </w:tc>
        <w:tc>
          <w:tcPr>
            <w:tcW w:w="1976" w:type="dxa"/>
            <w:tcBorders>
              <w:top w:val="nil"/>
              <w:bottom w:val="nil"/>
            </w:tcBorders>
          </w:tcPr>
          <w:p w14:paraId="4675DA33" w14:textId="06547B8B" w:rsidR="002D7023" w:rsidRPr="00FD3EE9" w:rsidRDefault="002D7023" w:rsidP="002D7023">
            <w:pPr>
              <w:tabs>
                <w:tab w:val="decimal" w:pos="7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(0.003)</w:t>
            </w:r>
          </w:p>
        </w:tc>
        <w:tc>
          <w:tcPr>
            <w:tcW w:w="2439" w:type="dxa"/>
            <w:tcBorders>
              <w:top w:val="nil"/>
              <w:bottom w:val="nil"/>
            </w:tcBorders>
          </w:tcPr>
          <w:p w14:paraId="3240A1FB" w14:textId="5A77A74F" w:rsidR="002D7023" w:rsidRPr="00FD3EE9" w:rsidRDefault="002D7023" w:rsidP="002D7023">
            <w:pPr>
              <w:tabs>
                <w:tab w:val="decimal" w:pos="989"/>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(0.002)</w:t>
            </w:r>
          </w:p>
        </w:tc>
      </w:tr>
      <w:tr w:rsidR="003A3600" w:rsidRPr="00FD3EE9" w14:paraId="544321F6" w14:textId="77777777" w:rsidTr="003A3600">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484B65AA" w14:textId="3F4D34FF" w:rsidR="002D7023" w:rsidRPr="00FD3EE9" w:rsidRDefault="002D7023" w:rsidP="002D7023">
            <w:pPr>
              <w:ind w:firstLineChars="200" w:firstLine="400"/>
              <w:rPr>
                <w:b w:val="0"/>
                <w:sz w:val="20"/>
                <w:szCs w:val="20"/>
              </w:rPr>
            </w:pPr>
            <w:r w:rsidRPr="00FD3EE9">
              <w:rPr>
                <w:b w:val="0"/>
                <w:sz w:val="20"/>
                <w:szCs w:val="20"/>
              </w:rPr>
              <w:t>State Control</w:t>
            </w:r>
          </w:p>
        </w:tc>
        <w:tc>
          <w:tcPr>
            <w:tcW w:w="1935" w:type="dxa"/>
            <w:tcBorders>
              <w:top w:val="nil"/>
              <w:bottom w:val="nil"/>
            </w:tcBorders>
          </w:tcPr>
          <w:p w14:paraId="0F88074C" w14:textId="763559EC" w:rsidR="002D7023" w:rsidRPr="00FD3EE9" w:rsidRDefault="002D7023" w:rsidP="003A3600">
            <w:pPr>
              <w:tabs>
                <w:tab w:val="decimal" w:pos="653"/>
              </w:tabs>
              <w:ind w:leftChars="-7" w:left="-1" w:hangingChars="8" w:hanging="16"/>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-0.002</w:t>
            </w:r>
          </w:p>
        </w:tc>
        <w:tc>
          <w:tcPr>
            <w:tcW w:w="1976" w:type="dxa"/>
            <w:tcBorders>
              <w:top w:val="nil"/>
              <w:bottom w:val="nil"/>
            </w:tcBorders>
          </w:tcPr>
          <w:p w14:paraId="708CAE98" w14:textId="77777777" w:rsidR="002D7023" w:rsidRPr="00FD3EE9" w:rsidRDefault="002D7023" w:rsidP="002D7023">
            <w:pPr>
              <w:tabs>
                <w:tab w:val="decimal" w:pos="7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39" w:type="dxa"/>
            <w:tcBorders>
              <w:top w:val="nil"/>
              <w:bottom w:val="nil"/>
            </w:tcBorders>
          </w:tcPr>
          <w:p w14:paraId="60130211" w14:textId="77777777" w:rsidR="002D7023" w:rsidRPr="00FD3EE9" w:rsidRDefault="002D7023" w:rsidP="002D7023">
            <w:pPr>
              <w:tabs>
                <w:tab w:val="decimal" w:pos="989"/>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2D7023" w:rsidRPr="00FD3EE9" w14:paraId="5956EAD0" w14:textId="77777777" w:rsidTr="002D7023">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0C16B770" w14:textId="77777777" w:rsidR="002D7023" w:rsidRPr="00FD3EE9" w:rsidRDefault="002D7023" w:rsidP="002D7023">
            <w:pPr>
              <w:ind w:firstLineChars="200" w:firstLine="402"/>
              <w:rPr>
                <w:sz w:val="20"/>
                <w:szCs w:val="20"/>
              </w:rPr>
            </w:pPr>
          </w:p>
        </w:tc>
        <w:tc>
          <w:tcPr>
            <w:tcW w:w="1935" w:type="dxa"/>
            <w:tcBorders>
              <w:top w:val="nil"/>
              <w:bottom w:val="nil"/>
            </w:tcBorders>
          </w:tcPr>
          <w:p w14:paraId="5E880732" w14:textId="4BF815B5" w:rsidR="002D7023" w:rsidRPr="00FD3EE9" w:rsidRDefault="002D7023" w:rsidP="003A3600">
            <w:pPr>
              <w:tabs>
                <w:tab w:val="decimal" w:pos="653"/>
              </w:tabs>
              <w:ind w:leftChars="-7" w:left="-1" w:hangingChars="8" w:hanging="16"/>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(0.004)</w:t>
            </w:r>
          </w:p>
        </w:tc>
        <w:tc>
          <w:tcPr>
            <w:tcW w:w="1976" w:type="dxa"/>
            <w:tcBorders>
              <w:top w:val="nil"/>
              <w:bottom w:val="nil"/>
            </w:tcBorders>
          </w:tcPr>
          <w:p w14:paraId="2388FC42" w14:textId="77777777" w:rsidR="002D7023" w:rsidRPr="00FD3EE9" w:rsidRDefault="002D7023" w:rsidP="002D7023">
            <w:pPr>
              <w:tabs>
                <w:tab w:val="decimal" w:pos="7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39" w:type="dxa"/>
            <w:tcBorders>
              <w:top w:val="nil"/>
              <w:bottom w:val="nil"/>
            </w:tcBorders>
          </w:tcPr>
          <w:p w14:paraId="59422373" w14:textId="77777777" w:rsidR="002D7023" w:rsidRPr="00FD3EE9" w:rsidRDefault="002D7023" w:rsidP="002D7023">
            <w:pPr>
              <w:tabs>
                <w:tab w:val="decimal" w:pos="989"/>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3A3600" w:rsidRPr="00FD3EE9" w14:paraId="4C1E5446" w14:textId="77777777" w:rsidTr="003A3600">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2E7AC7C4" w14:textId="0FF6E5B8" w:rsidR="002D7023" w:rsidRPr="00FD3EE9" w:rsidRDefault="002D7023" w:rsidP="002D7023">
            <w:pPr>
              <w:ind w:firstLineChars="200" w:firstLine="400"/>
              <w:rPr>
                <w:b w:val="0"/>
                <w:sz w:val="20"/>
                <w:szCs w:val="20"/>
              </w:rPr>
            </w:pPr>
            <w:r w:rsidRPr="00FD3EE9">
              <w:rPr>
                <w:b w:val="0"/>
                <w:sz w:val="20"/>
                <w:szCs w:val="20"/>
              </w:rPr>
              <w:t>MA Experience</w:t>
            </w:r>
          </w:p>
        </w:tc>
        <w:tc>
          <w:tcPr>
            <w:tcW w:w="1935" w:type="dxa"/>
            <w:tcBorders>
              <w:top w:val="nil"/>
              <w:bottom w:val="nil"/>
            </w:tcBorders>
          </w:tcPr>
          <w:p w14:paraId="374E652C" w14:textId="6CFE3B79" w:rsidR="002D7023" w:rsidRPr="00FD3EE9" w:rsidRDefault="002D7023" w:rsidP="003A3600">
            <w:pPr>
              <w:tabs>
                <w:tab w:val="decimal" w:pos="653"/>
              </w:tabs>
              <w:ind w:leftChars="-7" w:left="-1" w:hangingChars="8" w:hanging="16"/>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-0.009*</w:t>
            </w:r>
          </w:p>
        </w:tc>
        <w:tc>
          <w:tcPr>
            <w:tcW w:w="1976" w:type="dxa"/>
            <w:tcBorders>
              <w:top w:val="nil"/>
              <w:bottom w:val="nil"/>
            </w:tcBorders>
          </w:tcPr>
          <w:p w14:paraId="558C20F3" w14:textId="4D541348" w:rsidR="002D7023" w:rsidRPr="00FD3EE9" w:rsidRDefault="002D7023" w:rsidP="002D7023">
            <w:pPr>
              <w:tabs>
                <w:tab w:val="decimal" w:pos="7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-0.008</w:t>
            </w:r>
          </w:p>
        </w:tc>
        <w:tc>
          <w:tcPr>
            <w:tcW w:w="2439" w:type="dxa"/>
            <w:tcBorders>
              <w:top w:val="nil"/>
              <w:bottom w:val="nil"/>
            </w:tcBorders>
          </w:tcPr>
          <w:p w14:paraId="7BD8ED8E" w14:textId="5D12B53A" w:rsidR="002D7023" w:rsidRPr="00FD3EE9" w:rsidRDefault="002D7023" w:rsidP="002D7023">
            <w:pPr>
              <w:tabs>
                <w:tab w:val="decimal" w:pos="989"/>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-0.010*</w:t>
            </w:r>
          </w:p>
        </w:tc>
      </w:tr>
      <w:tr w:rsidR="003A3600" w:rsidRPr="00FD3EE9" w14:paraId="432B9BFB" w14:textId="77777777" w:rsidTr="003A3600">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3AC26714" w14:textId="77777777" w:rsidR="002D7023" w:rsidRPr="00FD3EE9" w:rsidRDefault="002D7023" w:rsidP="002D7023">
            <w:pPr>
              <w:ind w:firstLineChars="200" w:firstLine="402"/>
              <w:rPr>
                <w:sz w:val="20"/>
                <w:szCs w:val="20"/>
              </w:rPr>
            </w:pPr>
          </w:p>
        </w:tc>
        <w:tc>
          <w:tcPr>
            <w:tcW w:w="1935" w:type="dxa"/>
            <w:tcBorders>
              <w:top w:val="nil"/>
              <w:bottom w:val="nil"/>
            </w:tcBorders>
          </w:tcPr>
          <w:p w14:paraId="4EF94587" w14:textId="169B586A" w:rsidR="002D7023" w:rsidRPr="00FD3EE9" w:rsidRDefault="002D7023" w:rsidP="003A3600">
            <w:pPr>
              <w:tabs>
                <w:tab w:val="decimal" w:pos="653"/>
              </w:tabs>
              <w:ind w:leftChars="-7" w:left="-1" w:hangingChars="8" w:hanging="16"/>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(0.004)</w:t>
            </w:r>
          </w:p>
        </w:tc>
        <w:tc>
          <w:tcPr>
            <w:tcW w:w="1976" w:type="dxa"/>
            <w:tcBorders>
              <w:top w:val="nil"/>
              <w:bottom w:val="nil"/>
            </w:tcBorders>
          </w:tcPr>
          <w:p w14:paraId="4BED2F06" w14:textId="54827B68" w:rsidR="002D7023" w:rsidRPr="00FD3EE9" w:rsidRDefault="002D7023" w:rsidP="002D7023">
            <w:pPr>
              <w:tabs>
                <w:tab w:val="decimal" w:pos="7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w:t>
            </w:r>
            <w:r w:rsidR="00493357" w:rsidRPr="00FD3EE9">
              <w:rPr>
                <w:sz w:val="20"/>
                <w:szCs w:val="20"/>
              </w:rPr>
              <w:t>7</w:t>
            </w:r>
            <w:r w:rsidRPr="00FD3EE9">
              <w:rPr>
                <w:sz w:val="20"/>
                <w:szCs w:val="20"/>
              </w:rPr>
              <w:t>)</w:t>
            </w:r>
          </w:p>
        </w:tc>
        <w:tc>
          <w:tcPr>
            <w:tcW w:w="2439" w:type="dxa"/>
            <w:tcBorders>
              <w:top w:val="nil"/>
              <w:bottom w:val="nil"/>
            </w:tcBorders>
          </w:tcPr>
          <w:p w14:paraId="6531D0FE" w14:textId="0E1D430A" w:rsidR="002D7023" w:rsidRPr="00FD3EE9" w:rsidRDefault="002D7023" w:rsidP="002D7023">
            <w:pPr>
              <w:tabs>
                <w:tab w:val="decimal" w:pos="989"/>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(0.005)</w:t>
            </w:r>
          </w:p>
        </w:tc>
      </w:tr>
      <w:tr w:rsidR="003A3600" w:rsidRPr="00FD3EE9" w14:paraId="7D2642A2" w14:textId="77777777" w:rsidTr="003A3600">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4293ECA7" w14:textId="261ABA60" w:rsidR="002D7023" w:rsidRPr="00FD3EE9" w:rsidRDefault="002D7023" w:rsidP="002D7023">
            <w:pPr>
              <w:ind w:firstLineChars="200" w:firstLine="400"/>
              <w:rPr>
                <w:b w:val="0"/>
                <w:sz w:val="20"/>
                <w:szCs w:val="20"/>
              </w:rPr>
            </w:pPr>
            <w:r w:rsidRPr="00FD3EE9">
              <w:rPr>
                <w:b w:val="0"/>
                <w:sz w:val="20"/>
                <w:szCs w:val="20"/>
              </w:rPr>
              <w:t xml:space="preserve">YEAR </w:t>
            </w:r>
            <w:r w:rsidR="00EA6CF4" w:rsidRPr="00FD3EE9">
              <w:rPr>
                <w:b w:val="0"/>
                <w:sz w:val="20"/>
                <w:szCs w:val="20"/>
              </w:rPr>
              <w:t>FE</w:t>
            </w:r>
          </w:p>
        </w:tc>
        <w:tc>
          <w:tcPr>
            <w:tcW w:w="1935" w:type="dxa"/>
            <w:tcBorders>
              <w:top w:val="nil"/>
              <w:bottom w:val="nil"/>
            </w:tcBorders>
          </w:tcPr>
          <w:p w14:paraId="3FEA99BC" w14:textId="050C7FC4" w:rsidR="002D7023" w:rsidRPr="00FD3EE9" w:rsidRDefault="002D7023" w:rsidP="003A3600">
            <w:pPr>
              <w:tabs>
                <w:tab w:val="decimal" w:pos="653"/>
              </w:tabs>
              <w:ind w:leftChars="-7" w:left="-1" w:hangingChars="8" w:hanging="16"/>
              <w:jc w:val="center"/>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YES</w:t>
            </w:r>
          </w:p>
        </w:tc>
        <w:tc>
          <w:tcPr>
            <w:tcW w:w="1976" w:type="dxa"/>
            <w:tcBorders>
              <w:top w:val="nil"/>
              <w:bottom w:val="nil"/>
            </w:tcBorders>
          </w:tcPr>
          <w:p w14:paraId="26189DAF" w14:textId="263995F0" w:rsidR="002D7023" w:rsidRPr="00FD3EE9" w:rsidRDefault="002D7023" w:rsidP="002D7023">
            <w:pPr>
              <w:tabs>
                <w:tab w:val="decimal" w:pos="715"/>
              </w:tabs>
              <w:ind w:firstLineChars="200" w:firstLine="400"/>
              <w:jc w:val="center"/>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YES</w:t>
            </w:r>
          </w:p>
        </w:tc>
        <w:tc>
          <w:tcPr>
            <w:tcW w:w="2439" w:type="dxa"/>
            <w:tcBorders>
              <w:top w:val="nil"/>
              <w:bottom w:val="nil"/>
            </w:tcBorders>
          </w:tcPr>
          <w:p w14:paraId="19661AFE" w14:textId="0A39CDC4" w:rsidR="002D7023" w:rsidRPr="00FD3EE9" w:rsidRDefault="002D7023" w:rsidP="002D7023">
            <w:pPr>
              <w:tabs>
                <w:tab w:val="decimal" w:pos="989"/>
              </w:tabs>
              <w:ind w:firstLineChars="200" w:firstLine="400"/>
              <w:jc w:val="center"/>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YES</w:t>
            </w:r>
          </w:p>
        </w:tc>
      </w:tr>
      <w:tr w:rsidR="003A3600" w:rsidRPr="00FD3EE9" w14:paraId="3D024C12" w14:textId="77777777" w:rsidTr="003A3600">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single" w:sz="4" w:space="0" w:color="7F7F7F" w:themeColor="text1" w:themeTint="80"/>
            </w:tcBorders>
          </w:tcPr>
          <w:p w14:paraId="3FD7422E" w14:textId="109C5B75" w:rsidR="002D7023" w:rsidRPr="00FD3EE9" w:rsidRDefault="002D7023" w:rsidP="002D7023">
            <w:pPr>
              <w:ind w:firstLineChars="200" w:firstLine="400"/>
              <w:rPr>
                <w:b w:val="0"/>
                <w:sz w:val="20"/>
                <w:szCs w:val="20"/>
              </w:rPr>
            </w:pPr>
            <w:r w:rsidRPr="00FD3EE9">
              <w:rPr>
                <w:b w:val="0"/>
                <w:sz w:val="20"/>
                <w:szCs w:val="20"/>
              </w:rPr>
              <w:t>INDUSTR</w:t>
            </w:r>
            <w:r w:rsidR="00EA6CF4" w:rsidRPr="00FD3EE9">
              <w:rPr>
                <w:b w:val="0"/>
                <w:sz w:val="20"/>
                <w:szCs w:val="20"/>
              </w:rPr>
              <w:t>Y FE</w:t>
            </w:r>
          </w:p>
        </w:tc>
        <w:tc>
          <w:tcPr>
            <w:tcW w:w="1935" w:type="dxa"/>
            <w:tcBorders>
              <w:top w:val="nil"/>
              <w:bottom w:val="single" w:sz="4" w:space="0" w:color="7F7F7F" w:themeColor="text1" w:themeTint="80"/>
            </w:tcBorders>
          </w:tcPr>
          <w:p w14:paraId="4012A5F8" w14:textId="30ED6EDB" w:rsidR="002D7023" w:rsidRPr="00FD3EE9" w:rsidRDefault="002D7023" w:rsidP="003A3600">
            <w:pPr>
              <w:tabs>
                <w:tab w:val="decimal" w:pos="653"/>
              </w:tabs>
              <w:ind w:leftChars="-7" w:left="-1" w:hangingChars="8" w:hanging="16"/>
              <w:jc w:val="center"/>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YES</w:t>
            </w:r>
          </w:p>
        </w:tc>
        <w:tc>
          <w:tcPr>
            <w:tcW w:w="1976" w:type="dxa"/>
            <w:tcBorders>
              <w:top w:val="nil"/>
              <w:bottom w:val="single" w:sz="4" w:space="0" w:color="7F7F7F" w:themeColor="text1" w:themeTint="80"/>
            </w:tcBorders>
          </w:tcPr>
          <w:p w14:paraId="2675EAF8" w14:textId="1FC292DD" w:rsidR="002D7023" w:rsidRPr="00FD3EE9" w:rsidRDefault="002D7023" w:rsidP="002D7023">
            <w:pPr>
              <w:tabs>
                <w:tab w:val="decimal" w:pos="715"/>
              </w:tabs>
              <w:ind w:firstLineChars="200" w:firstLine="400"/>
              <w:jc w:val="center"/>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YES</w:t>
            </w:r>
          </w:p>
        </w:tc>
        <w:tc>
          <w:tcPr>
            <w:tcW w:w="2439" w:type="dxa"/>
            <w:tcBorders>
              <w:top w:val="nil"/>
              <w:bottom w:val="single" w:sz="4" w:space="0" w:color="7F7F7F" w:themeColor="text1" w:themeTint="80"/>
            </w:tcBorders>
          </w:tcPr>
          <w:p w14:paraId="14C3F7B3" w14:textId="0688F0D2" w:rsidR="002D7023" w:rsidRPr="00FD3EE9" w:rsidRDefault="002D7023" w:rsidP="002D7023">
            <w:pPr>
              <w:tabs>
                <w:tab w:val="decimal" w:pos="989"/>
              </w:tabs>
              <w:ind w:firstLineChars="200" w:firstLine="400"/>
              <w:jc w:val="center"/>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YES</w:t>
            </w:r>
          </w:p>
        </w:tc>
      </w:tr>
      <w:tr w:rsidR="003A3600" w:rsidRPr="00FD3EE9" w14:paraId="278E2F3E" w14:textId="77777777" w:rsidTr="003A3600">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bottom w:val="nil"/>
            </w:tcBorders>
          </w:tcPr>
          <w:p w14:paraId="1C2D114D" w14:textId="27C9409C" w:rsidR="002D7023" w:rsidRPr="00FD3EE9" w:rsidRDefault="002D7023" w:rsidP="002D7023">
            <w:pPr>
              <w:ind w:firstLineChars="200" w:firstLine="400"/>
              <w:rPr>
                <w:b w:val="0"/>
                <w:sz w:val="20"/>
                <w:szCs w:val="20"/>
              </w:rPr>
            </w:pPr>
            <w:r w:rsidRPr="00FD3EE9">
              <w:rPr>
                <w:b w:val="0"/>
                <w:sz w:val="20"/>
                <w:szCs w:val="20"/>
              </w:rPr>
              <w:t>R</w:t>
            </w:r>
            <w:r w:rsidRPr="00FD3EE9">
              <w:rPr>
                <w:b w:val="0"/>
                <w:sz w:val="20"/>
                <w:szCs w:val="20"/>
                <w:vertAlign w:val="superscript"/>
              </w:rPr>
              <w:t>2</w:t>
            </w:r>
            <w:r w:rsidRPr="00FD3EE9">
              <w:rPr>
                <w:b w:val="0"/>
                <w:sz w:val="20"/>
                <w:szCs w:val="20"/>
              </w:rPr>
              <w:t>-adjusted</w:t>
            </w:r>
          </w:p>
        </w:tc>
        <w:tc>
          <w:tcPr>
            <w:tcW w:w="1935" w:type="dxa"/>
            <w:tcBorders>
              <w:bottom w:val="nil"/>
            </w:tcBorders>
          </w:tcPr>
          <w:p w14:paraId="07FD8ABF" w14:textId="23459CBA" w:rsidR="002D7023" w:rsidRPr="00FD3EE9" w:rsidRDefault="002D7023" w:rsidP="003A3600">
            <w:pPr>
              <w:tabs>
                <w:tab w:val="decimal" w:pos="653"/>
              </w:tabs>
              <w:ind w:leftChars="-7" w:left="-1" w:hangingChars="8" w:hanging="16"/>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0.017</w:t>
            </w:r>
          </w:p>
        </w:tc>
        <w:tc>
          <w:tcPr>
            <w:tcW w:w="1976" w:type="dxa"/>
            <w:tcBorders>
              <w:bottom w:val="nil"/>
            </w:tcBorders>
          </w:tcPr>
          <w:p w14:paraId="24C077B6" w14:textId="62F5A9A3" w:rsidR="002D7023" w:rsidRPr="00FD3EE9" w:rsidRDefault="002D7023" w:rsidP="002D7023">
            <w:pPr>
              <w:tabs>
                <w:tab w:val="decimal" w:pos="7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0.012</w:t>
            </w:r>
          </w:p>
        </w:tc>
        <w:tc>
          <w:tcPr>
            <w:tcW w:w="2439" w:type="dxa"/>
            <w:tcBorders>
              <w:bottom w:val="nil"/>
            </w:tcBorders>
          </w:tcPr>
          <w:p w14:paraId="06BD4F0C" w14:textId="5CF4CD96" w:rsidR="002D7023" w:rsidRPr="00FD3EE9" w:rsidRDefault="002D7023" w:rsidP="002D7023">
            <w:pPr>
              <w:tabs>
                <w:tab w:val="decimal" w:pos="989"/>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0.022</w:t>
            </w:r>
          </w:p>
        </w:tc>
      </w:tr>
      <w:tr w:rsidR="003A3600" w:rsidRPr="00FD3EE9" w14:paraId="399DA19D" w14:textId="77777777" w:rsidTr="003A3600">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14B713A0" w14:textId="6EC06561" w:rsidR="002D7023" w:rsidRPr="00FD3EE9" w:rsidRDefault="002D7023" w:rsidP="002D7023">
            <w:pPr>
              <w:ind w:firstLineChars="200" w:firstLine="400"/>
              <w:rPr>
                <w:b w:val="0"/>
                <w:sz w:val="20"/>
                <w:szCs w:val="20"/>
              </w:rPr>
            </w:pPr>
            <w:r w:rsidRPr="00FD3EE9">
              <w:rPr>
                <w:b w:val="0"/>
                <w:sz w:val="20"/>
                <w:szCs w:val="20"/>
              </w:rPr>
              <w:t>F-statistics</w:t>
            </w:r>
          </w:p>
        </w:tc>
        <w:tc>
          <w:tcPr>
            <w:tcW w:w="1935" w:type="dxa"/>
            <w:tcBorders>
              <w:top w:val="nil"/>
              <w:bottom w:val="nil"/>
            </w:tcBorders>
          </w:tcPr>
          <w:p w14:paraId="4E789A25" w14:textId="6F00590F" w:rsidR="002D7023" w:rsidRPr="00FD3EE9" w:rsidRDefault="002D7023" w:rsidP="003A3600">
            <w:pPr>
              <w:tabs>
                <w:tab w:val="decimal" w:pos="653"/>
              </w:tabs>
              <w:ind w:leftChars="-7" w:left="-1" w:hangingChars="8" w:hanging="16"/>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3.450</w:t>
            </w:r>
          </w:p>
        </w:tc>
        <w:tc>
          <w:tcPr>
            <w:tcW w:w="1976" w:type="dxa"/>
            <w:tcBorders>
              <w:top w:val="nil"/>
              <w:bottom w:val="nil"/>
            </w:tcBorders>
          </w:tcPr>
          <w:p w14:paraId="03BE600D" w14:textId="4265909D" w:rsidR="002D7023" w:rsidRPr="00FD3EE9" w:rsidRDefault="002D7023" w:rsidP="002D7023">
            <w:pPr>
              <w:tabs>
                <w:tab w:val="decimal" w:pos="7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1.541</w:t>
            </w:r>
          </w:p>
        </w:tc>
        <w:tc>
          <w:tcPr>
            <w:tcW w:w="2439" w:type="dxa"/>
            <w:tcBorders>
              <w:top w:val="nil"/>
              <w:bottom w:val="nil"/>
            </w:tcBorders>
          </w:tcPr>
          <w:p w14:paraId="397787B3" w14:textId="0D192574" w:rsidR="002D7023" w:rsidRPr="00FD3EE9" w:rsidRDefault="002D7023" w:rsidP="002D7023">
            <w:pPr>
              <w:tabs>
                <w:tab w:val="decimal" w:pos="989"/>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3.322</w:t>
            </w:r>
          </w:p>
        </w:tc>
      </w:tr>
      <w:tr w:rsidR="003A3600" w:rsidRPr="00FD3EE9" w14:paraId="5FA69650" w14:textId="77777777" w:rsidTr="003A3600">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bottom w:val="nil"/>
            </w:tcBorders>
          </w:tcPr>
          <w:p w14:paraId="6F4DD7BA" w14:textId="6293CF8F" w:rsidR="002D7023" w:rsidRPr="00FD3EE9" w:rsidRDefault="002D7023" w:rsidP="002D7023">
            <w:pPr>
              <w:ind w:firstLineChars="200" w:firstLine="402"/>
              <w:rPr>
                <w:b w:val="0"/>
                <w:sz w:val="20"/>
                <w:szCs w:val="20"/>
              </w:rPr>
            </w:pPr>
            <w:r w:rsidRPr="00FD3EE9">
              <w:rPr>
                <w:i/>
                <w:sz w:val="20"/>
                <w:szCs w:val="20"/>
              </w:rPr>
              <w:t>p</w:t>
            </w:r>
            <w:r w:rsidRPr="00FD3EE9">
              <w:rPr>
                <w:b w:val="0"/>
                <w:sz w:val="20"/>
                <w:szCs w:val="20"/>
              </w:rPr>
              <w:t>-value</w:t>
            </w:r>
          </w:p>
        </w:tc>
        <w:tc>
          <w:tcPr>
            <w:tcW w:w="1935" w:type="dxa"/>
            <w:tcBorders>
              <w:top w:val="nil"/>
              <w:bottom w:val="nil"/>
            </w:tcBorders>
          </w:tcPr>
          <w:p w14:paraId="1859F6A8" w14:textId="163952F9" w:rsidR="002D7023" w:rsidRPr="00FD3EE9" w:rsidRDefault="002D7023" w:rsidP="003A3600">
            <w:pPr>
              <w:tabs>
                <w:tab w:val="decimal" w:pos="653"/>
              </w:tabs>
              <w:ind w:leftChars="-7" w:left="-1" w:hangingChars="8" w:hanging="16"/>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0.000</w:t>
            </w:r>
          </w:p>
        </w:tc>
        <w:tc>
          <w:tcPr>
            <w:tcW w:w="1976" w:type="dxa"/>
            <w:tcBorders>
              <w:top w:val="nil"/>
              <w:bottom w:val="nil"/>
            </w:tcBorders>
          </w:tcPr>
          <w:p w14:paraId="4E5836B7" w14:textId="6507016A" w:rsidR="002D7023" w:rsidRPr="00FD3EE9" w:rsidRDefault="002D7023" w:rsidP="002D7023">
            <w:pPr>
              <w:tabs>
                <w:tab w:val="decimal" w:pos="7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0.030</w:t>
            </w:r>
          </w:p>
        </w:tc>
        <w:tc>
          <w:tcPr>
            <w:tcW w:w="2439" w:type="dxa"/>
            <w:tcBorders>
              <w:top w:val="nil"/>
              <w:bottom w:val="nil"/>
            </w:tcBorders>
          </w:tcPr>
          <w:p w14:paraId="2937E05A" w14:textId="2A1D91DD" w:rsidR="002D7023" w:rsidRPr="00FD3EE9" w:rsidRDefault="002D7023" w:rsidP="002D7023">
            <w:pPr>
              <w:tabs>
                <w:tab w:val="decimal" w:pos="989"/>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0.000</w:t>
            </w:r>
          </w:p>
        </w:tc>
      </w:tr>
      <w:tr w:rsidR="003A3600" w:rsidRPr="00FD3EE9" w14:paraId="17192C12" w14:textId="77777777" w:rsidTr="003A3600">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il"/>
            </w:tcBorders>
          </w:tcPr>
          <w:p w14:paraId="14E16F0E" w14:textId="5B8E9EFA" w:rsidR="002D7023" w:rsidRPr="00FD3EE9" w:rsidRDefault="002D7023" w:rsidP="002D7023">
            <w:pPr>
              <w:ind w:firstLineChars="200" w:firstLine="400"/>
              <w:rPr>
                <w:b w:val="0"/>
                <w:sz w:val="20"/>
                <w:szCs w:val="20"/>
              </w:rPr>
            </w:pPr>
            <w:r w:rsidRPr="00FD3EE9">
              <w:rPr>
                <w:b w:val="0"/>
                <w:sz w:val="20"/>
                <w:szCs w:val="20"/>
              </w:rPr>
              <w:t>N</w:t>
            </w:r>
          </w:p>
        </w:tc>
        <w:tc>
          <w:tcPr>
            <w:tcW w:w="1935" w:type="dxa"/>
            <w:tcBorders>
              <w:top w:val="nil"/>
            </w:tcBorders>
          </w:tcPr>
          <w:p w14:paraId="276E2675" w14:textId="5AEFA3CE" w:rsidR="002D7023" w:rsidRPr="00FD3EE9" w:rsidRDefault="002D7023" w:rsidP="003A3600">
            <w:pPr>
              <w:tabs>
                <w:tab w:val="decimal" w:pos="383"/>
                <w:tab w:val="decimal" w:pos="653"/>
              </w:tabs>
              <w:ind w:leftChars="-7" w:left="-1" w:right="869" w:hangingChars="8" w:hanging="16"/>
              <w:jc w:val="center"/>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4,649</w:t>
            </w:r>
          </w:p>
        </w:tc>
        <w:tc>
          <w:tcPr>
            <w:tcW w:w="1976" w:type="dxa"/>
            <w:tcBorders>
              <w:top w:val="nil"/>
            </w:tcBorders>
          </w:tcPr>
          <w:p w14:paraId="47C61D16" w14:textId="01F2CEAE" w:rsidR="002D7023" w:rsidRPr="00FD3EE9" w:rsidRDefault="002D7023" w:rsidP="002D7023">
            <w:pPr>
              <w:tabs>
                <w:tab w:val="decimal" w:pos="149"/>
                <w:tab w:val="decimal" w:pos="383"/>
              </w:tabs>
              <w:ind w:right="869" w:firstLineChars="200" w:firstLine="400"/>
              <w:jc w:val="center"/>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1,333</w:t>
            </w:r>
          </w:p>
        </w:tc>
        <w:tc>
          <w:tcPr>
            <w:tcW w:w="2439" w:type="dxa"/>
            <w:tcBorders>
              <w:top w:val="nil"/>
            </w:tcBorders>
          </w:tcPr>
          <w:p w14:paraId="1656B2E1" w14:textId="59483624" w:rsidR="002D7023" w:rsidRPr="00FD3EE9" w:rsidRDefault="002D7023" w:rsidP="002D7023">
            <w:pPr>
              <w:tabs>
                <w:tab w:val="decimal" w:pos="149"/>
                <w:tab w:val="decimal" w:pos="383"/>
                <w:tab w:val="decimal" w:pos="989"/>
              </w:tabs>
              <w:ind w:right="869" w:firstLineChars="200" w:firstLine="400"/>
              <w:jc w:val="center"/>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3,316</w:t>
            </w:r>
          </w:p>
        </w:tc>
      </w:tr>
    </w:tbl>
    <w:p w14:paraId="7773CD9F" w14:textId="0875DA98" w:rsidR="007644DD" w:rsidRPr="00FD3EE9" w:rsidRDefault="007644DD" w:rsidP="007644DD">
      <w:pPr>
        <w:rPr>
          <w:sz w:val="20"/>
          <w:szCs w:val="20"/>
        </w:rPr>
      </w:pPr>
      <w:r w:rsidRPr="00FD3EE9">
        <w:rPr>
          <w:sz w:val="20"/>
          <w:szCs w:val="20"/>
        </w:rPr>
        <w:t xml:space="preserve">Note: Table 9 shows the multivariate estimation of short-term post-acquisition performance measured by five-day cumulative abnormal returns (CARs) against different types of executive compensation. Control variables include Firm Size, MA experience, Industry Diversity and State Control. The first column is based on the full sample. Column 2 and 3 reports results for the subgroups, SOE and Non-SOEs, respectively. We also control for year and industry fixed effects. </w:t>
      </w:r>
      <w:r w:rsidR="00562EC3" w:rsidRPr="00FD3EE9">
        <w:rPr>
          <w:sz w:val="21"/>
          <w:szCs w:val="21"/>
        </w:rPr>
        <w:t xml:space="preserve">All regressions are clustered within firm units. </w:t>
      </w:r>
      <w:r w:rsidRPr="00FD3EE9">
        <w:rPr>
          <w:sz w:val="20"/>
          <w:szCs w:val="20"/>
        </w:rPr>
        <w:t xml:space="preserve">*, ** and *** indicate significance at the 10%, 5% and 1% levels, respectively. </w:t>
      </w:r>
    </w:p>
    <w:p w14:paraId="6BD57845" w14:textId="77777777" w:rsidR="007644DD" w:rsidRPr="00FD3EE9" w:rsidRDefault="007644DD" w:rsidP="00842BD5">
      <w:pPr>
        <w:ind w:firstLineChars="200" w:firstLine="360"/>
        <w:rPr>
          <w:sz w:val="18"/>
        </w:rPr>
      </w:pPr>
    </w:p>
    <w:p w14:paraId="6B71AD85" w14:textId="77777777" w:rsidR="003A3600" w:rsidRPr="00FD3EE9" w:rsidRDefault="003A3600" w:rsidP="00842BD5">
      <w:pPr>
        <w:ind w:firstLineChars="200" w:firstLine="480"/>
        <w:jc w:val="center"/>
      </w:pPr>
    </w:p>
    <w:p w14:paraId="08BB8663" w14:textId="77777777" w:rsidR="00E9285E" w:rsidRPr="00FD3EE9" w:rsidRDefault="00E9285E" w:rsidP="0080219D">
      <w:pPr>
        <w:rPr>
          <w:b/>
        </w:rPr>
      </w:pPr>
    </w:p>
    <w:p w14:paraId="0C8148D0" w14:textId="77777777" w:rsidR="003A3600" w:rsidRPr="00FD3EE9" w:rsidRDefault="003A3600" w:rsidP="00EA6CF4">
      <w:pPr>
        <w:rPr>
          <w:b/>
        </w:rPr>
      </w:pPr>
    </w:p>
    <w:p w14:paraId="7ADF9C75" w14:textId="77777777" w:rsidR="009B5F17" w:rsidRPr="00FD3EE9" w:rsidRDefault="009B5F17">
      <w:pPr>
        <w:widowControl/>
        <w:jc w:val="left"/>
        <w:rPr>
          <w:b/>
        </w:rPr>
      </w:pPr>
      <w:r w:rsidRPr="00FD3EE9">
        <w:rPr>
          <w:b/>
        </w:rPr>
        <w:br w:type="page"/>
      </w:r>
    </w:p>
    <w:p w14:paraId="416E1CBA" w14:textId="1F9038CC" w:rsidR="003A450F" w:rsidRPr="00FD3EE9" w:rsidRDefault="001B34B2" w:rsidP="003A450F">
      <w:pPr>
        <w:ind w:firstLineChars="200" w:firstLine="482"/>
        <w:jc w:val="center"/>
        <w:rPr>
          <w:b/>
        </w:rPr>
      </w:pPr>
      <w:r w:rsidRPr="00FD3EE9">
        <w:rPr>
          <w:b/>
        </w:rPr>
        <w:lastRenderedPageBreak/>
        <w:t xml:space="preserve">Table </w:t>
      </w:r>
      <w:r w:rsidR="00EF1F9E" w:rsidRPr="00FD3EE9">
        <w:rPr>
          <w:b/>
        </w:rPr>
        <w:t>10</w:t>
      </w:r>
      <w:r w:rsidRPr="00FD3EE9">
        <w:rPr>
          <w:b/>
        </w:rPr>
        <w:t xml:space="preserve">: Impact of </w:t>
      </w:r>
      <w:r w:rsidR="002865FD" w:rsidRPr="00FD3EE9">
        <w:rPr>
          <w:b/>
        </w:rPr>
        <w:t>C</w:t>
      </w:r>
      <w:r w:rsidRPr="00FD3EE9">
        <w:rPr>
          <w:b/>
        </w:rPr>
        <w:t xml:space="preserve">ompensation on </w:t>
      </w:r>
      <w:r w:rsidR="002865FD" w:rsidRPr="00FD3EE9">
        <w:rPr>
          <w:b/>
        </w:rPr>
        <w:t>P</w:t>
      </w:r>
      <w:r w:rsidRPr="00FD3EE9">
        <w:rPr>
          <w:b/>
        </w:rPr>
        <w:t>ost-acquisition Three-year Buy-and-Hold-Returns</w:t>
      </w:r>
    </w:p>
    <w:tbl>
      <w:tblPr>
        <w:tblStyle w:val="21"/>
        <w:tblW w:w="0" w:type="auto"/>
        <w:jc w:val="center"/>
        <w:tblLook w:val="04A0" w:firstRow="1" w:lastRow="0" w:firstColumn="1" w:lastColumn="0" w:noHBand="0" w:noVBand="1"/>
      </w:tblPr>
      <w:tblGrid>
        <w:gridCol w:w="2595"/>
        <w:gridCol w:w="2101"/>
        <w:gridCol w:w="1781"/>
        <w:gridCol w:w="1958"/>
      </w:tblGrid>
      <w:tr w:rsidR="003A450F" w:rsidRPr="00FD3EE9" w14:paraId="0295A1A3" w14:textId="77777777" w:rsidTr="00D52D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95" w:type="dxa"/>
            <w:tcBorders>
              <w:top w:val="single" w:sz="4" w:space="0" w:color="7F7F7F" w:themeColor="text1" w:themeTint="80"/>
            </w:tcBorders>
          </w:tcPr>
          <w:p w14:paraId="2FD79B27" w14:textId="77777777" w:rsidR="003A450F" w:rsidRPr="00FD3EE9" w:rsidRDefault="003A450F" w:rsidP="00D52D3B">
            <w:pPr>
              <w:ind w:firstLineChars="200" w:firstLine="402"/>
              <w:rPr>
                <w:sz w:val="20"/>
                <w:szCs w:val="20"/>
              </w:rPr>
            </w:pPr>
          </w:p>
        </w:tc>
        <w:tc>
          <w:tcPr>
            <w:tcW w:w="2101" w:type="dxa"/>
            <w:tcBorders>
              <w:top w:val="single" w:sz="4" w:space="0" w:color="7F7F7F" w:themeColor="text1" w:themeTint="80"/>
            </w:tcBorders>
          </w:tcPr>
          <w:p w14:paraId="7D67FB75" w14:textId="77777777" w:rsidR="003A450F" w:rsidRPr="00FD3EE9" w:rsidRDefault="003A450F" w:rsidP="00D52D3B">
            <w:pPr>
              <w:ind w:firstLineChars="200" w:firstLine="400"/>
              <w:jc w:val="center"/>
              <w:cnfStyle w:val="100000000000" w:firstRow="1" w:lastRow="0" w:firstColumn="0" w:lastColumn="0" w:oddVBand="0" w:evenVBand="0" w:oddHBand="0" w:evenHBand="0" w:firstRowFirstColumn="0" w:firstRowLastColumn="0" w:lastRowFirstColumn="0" w:lastRowLastColumn="0"/>
              <w:rPr>
                <w:sz w:val="20"/>
                <w:szCs w:val="20"/>
              </w:rPr>
            </w:pPr>
            <w:r w:rsidRPr="00FD3EE9">
              <w:rPr>
                <w:b w:val="0"/>
                <w:sz w:val="20"/>
                <w:szCs w:val="20"/>
              </w:rPr>
              <w:t>Full Sample</w:t>
            </w:r>
          </w:p>
        </w:tc>
        <w:tc>
          <w:tcPr>
            <w:tcW w:w="1781" w:type="dxa"/>
            <w:tcBorders>
              <w:top w:val="single" w:sz="4" w:space="0" w:color="7F7F7F" w:themeColor="text1" w:themeTint="80"/>
            </w:tcBorders>
          </w:tcPr>
          <w:p w14:paraId="1926C4F9" w14:textId="77777777" w:rsidR="003A450F" w:rsidRPr="00FD3EE9" w:rsidRDefault="003A450F" w:rsidP="00D52D3B">
            <w:pPr>
              <w:ind w:firstLineChars="200" w:firstLine="400"/>
              <w:jc w:val="center"/>
              <w:cnfStyle w:val="100000000000" w:firstRow="1" w:lastRow="0" w:firstColumn="0" w:lastColumn="0" w:oddVBand="0" w:evenVBand="0" w:oddHBand="0" w:evenHBand="0" w:firstRowFirstColumn="0" w:firstRowLastColumn="0" w:lastRowFirstColumn="0" w:lastRowLastColumn="0"/>
              <w:rPr>
                <w:sz w:val="20"/>
                <w:szCs w:val="20"/>
              </w:rPr>
            </w:pPr>
            <w:r w:rsidRPr="00FD3EE9">
              <w:rPr>
                <w:b w:val="0"/>
                <w:sz w:val="20"/>
                <w:szCs w:val="20"/>
              </w:rPr>
              <w:t>SOE</w:t>
            </w:r>
          </w:p>
        </w:tc>
        <w:tc>
          <w:tcPr>
            <w:tcW w:w="1958" w:type="dxa"/>
            <w:tcBorders>
              <w:top w:val="single" w:sz="4" w:space="0" w:color="7F7F7F" w:themeColor="text1" w:themeTint="80"/>
            </w:tcBorders>
          </w:tcPr>
          <w:p w14:paraId="7F5F3588" w14:textId="77777777" w:rsidR="003A450F" w:rsidRPr="00FD3EE9" w:rsidRDefault="003A450F" w:rsidP="00D52D3B">
            <w:pPr>
              <w:ind w:firstLineChars="200" w:firstLine="400"/>
              <w:jc w:val="center"/>
              <w:cnfStyle w:val="100000000000" w:firstRow="1" w:lastRow="0" w:firstColumn="0" w:lastColumn="0" w:oddVBand="0" w:evenVBand="0" w:oddHBand="0" w:evenHBand="0" w:firstRowFirstColumn="0" w:firstRowLastColumn="0" w:lastRowFirstColumn="0" w:lastRowLastColumn="0"/>
              <w:rPr>
                <w:sz w:val="20"/>
                <w:szCs w:val="20"/>
              </w:rPr>
            </w:pPr>
            <w:r w:rsidRPr="00FD3EE9">
              <w:rPr>
                <w:b w:val="0"/>
                <w:sz w:val="20"/>
                <w:szCs w:val="20"/>
              </w:rPr>
              <w:t>Non-SOE</w:t>
            </w:r>
          </w:p>
        </w:tc>
      </w:tr>
      <w:tr w:rsidR="003A450F" w:rsidRPr="00FD3EE9" w14:paraId="10DD9B8A" w14:textId="77777777" w:rsidTr="00D52D3B">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bottom w:val="nil"/>
            </w:tcBorders>
          </w:tcPr>
          <w:p w14:paraId="4166AE2D" w14:textId="77777777" w:rsidR="003A450F" w:rsidRPr="00FD3EE9" w:rsidRDefault="003A450F" w:rsidP="00D52D3B">
            <w:pPr>
              <w:ind w:firstLineChars="200" w:firstLine="400"/>
              <w:rPr>
                <w:b w:val="0"/>
                <w:sz w:val="20"/>
                <w:szCs w:val="20"/>
              </w:rPr>
            </w:pPr>
            <w:r w:rsidRPr="00FD3EE9">
              <w:rPr>
                <w:b w:val="0"/>
                <w:sz w:val="20"/>
                <w:szCs w:val="20"/>
              </w:rPr>
              <w:t>Stock Option</w:t>
            </w:r>
          </w:p>
        </w:tc>
        <w:tc>
          <w:tcPr>
            <w:tcW w:w="2101" w:type="dxa"/>
            <w:tcBorders>
              <w:bottom w:val="nil"/>
            </w:tcBorders>
          </w:tcPr>
          <w:p w14:paraId="1B34C487"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-0.750</w:t>
            </w:r>
          </w:p>
        </w:tc>
        <w:tc>
          <w:tcPr>
            <w:tcW w:w="1781" w:type="dxa"/>
            <w:tcBorders>
              <w:bottom w:val="nil"/>
            </w:tcBorders>
          </w:tcPr>
          <w:p w14:paraId="526420CB"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0.800</w:t>
            </w:r>
          </w:p>
        </w:tc>
        <w:tc>
          <w:tcPr>
            <w:tcW w:w="1958" w:type="dxa"/>
            <w:tcBorders>
              <w:bottom w:val="nil"/>
            </w:tcBorders>
          </w:tcPr>
          <w:p w14:paraId="664AFCF6"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-0.943*</w:t>
            </w:r>
          </w:p>
          <w:p w14:paraId="65D754D0"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3A450F" w:rsidRPr="00FD3EE9" w14:paraId="27090CCC" w14:textId="77777777" w:rsidTr="00D52D3B">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bottom w:val="nil"/>
            </w:tcBorders>
          </w:tcPr>
          <w:p w14:paraId="20A4A6CC" w14:textId="77777777" w:rsidR="003A450F" w:rsidRPr="00FD3EE9" w:rsidRDefault="003A450F" w:rsidP="00D52D3B">
            <w:pPr>
              <w:ind w:firstLineChars="200" w:firstLine="402"/>
              <w:rPr>
                <w:sz w:val="20"/>
                <w:szCs w:val="20"/>
              </w:rPr>
            </w:pPr>
          </w:p>
        </w:tc>
        <w:tc>
          <w:tcPr>
            <w:tcW w:w="2101" w:type="dxa"/>
            <w:tcBorders>
              <w:bottom w:val="nil"/>
            </w:tcBorders>
          </w:tcPr>
          <w:p w14:paraId="679F9349" w14:textId="6F05F3CA"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(0.4</w:t>
            </w:r>
            <w:r w:rsidR="00493357" w:rsidRPr="00FD3EE9">
              <w:rPr>
                <w:sz w:val="20"/>
                <w:szCs w:val="20"/>
              </w:rPr>
              <w:t>6</w:t>
            </w:r>
            <w:r w:rsidRPr="00FD3EE9">
              <w:rPr>
                <w:sz w:val="20"/>
                <w:szCs w:val="20"/>
              </w:rPr>
              <w:t>4)</w:t>
            </w:r>
          </w:p>
        </w:tc>
        <w:tc>
          <w:tcPr>
            <w:tcW w:w="1781" w:type="dxa"/>
            <w:tcBorders>
              <w:bottom w:val="nil"/>
            </w:tcBorders>
          </w:tcPr>
          <w:p w14:paraId="6FE233AE" w14:textId="5266737C"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w:t>
            </w:r>
            <w:r w:rsidR="00E96730" w:rsidRPr="00FD3EE9">
              <w:rPr>
                <w:sz w:val="20"/>
                <w:szCs w:val="20"/>
              </w:rPr>
              <w:t>2.360</w:t>
            </w:r>
            <w:r w:rsidRPr="00FD3EE9">
              <w:rPr>
                <w:sz w:val="20"/>
                <w:szCs w:val="20"/>
              </w:rPr>
              <w:t>)</w:t>
            </w:r>
          </w:p>
        </w:tc>
        <w:tc>
          <w:tcPr>
            <w:tcW w:w="1958" w:type="dxa"/>
            <w:tcBorders>
              <w:bottom w:val="nil"/>
            </w:tcBorders>
          </w:tcPr>
          <w:p w14:paraId="53E58415" w14:textId="3F69337D"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w:t>
            </w:r>
            <w:r w:rsidR="00E96730" w:rsidRPr="00FD3EE9">
              <w:rPr>
                <w:sz w:val="20"/>
                <w:szCs w:val="20"/>
              </w:rPr>
              <w:t>472</w:t>
            </w:r>
            <w:r w:rsidRPr="00FD3EE9">
              <w:rPr>
                <w:sz w:val="20"/>
                <w:szCs w:val="20"/>
              </w:rPr>
              <w:t>)</w:t>
            </w:r>
          </w:p>
        </w:tc>
      </w:tr>
      <w:tr w:rsidR="003A450F" w:rsidRPr="00FD3EE9" w14:paraId="1E05D17A" w14:textId="77777777" w:rsidTr="00D52D3B">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nil"/>
            </w:tcBorders>
          </w:tcPr>
          <w:p w14:paraId="213CA88E" w14:textId="77777777" w:rsidR="003A450F" w:rsidRPr="00FD3EE9" w:rsidRDefault="003A450F" w:rsidP="00D52D3B">
            <w:pPr>
              <w:ind w:firstLineChars="200" w:firstLine="400"/>
              <w:rPr>
                <w:b w:val="0"/>
                <w:sz w:val="20"/>
                <w:szCs w:val="20"/>
              </w:rPr>
            </w:pPr>
            <w:r w:rsidRPr="00FD3EE9">
              <w:rPr>
                <w:b w:val="0"/>
                <w:sz w:val="20"/>
                <w:szCs w:val="20"/>
              </w:rPr>
              <w:t>Stock Ownership</w:t>
            </w:r>
          </w:p>
        </w:tc>
        <w:tc>
          <w:tcPr>
            <w:tcW w:w="2101" w:type="dxa"/>
            <w:tcBorders>
              <w:top w:val="nil"/>
              <w:bottom w:val="nil"/>
            </w:tcBorders>
          </w:tcPr>
          <w:p w14:paraId="2F1B1D23"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-13.0.44***</w:t>
            </w:r>
          </w:p>
        </w:tc>
        <w:tc>
          <w:tcPr>
            <w:tcW w:w="1781" w:type="dxa"/>
            <w:tcBorders>
              <w:top w:val="nil"/>
              <w:bottom w:val="nil"/>
            </w:tcBorders>
          </w:tcPr>
          <w:p w14:paraId="3E39A17B"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-26.281</w:t>
            </w:r>
          </w:p>
        </w:tc>
        <w:tc>
          <w:tcPr>
            <w:tcW w:w="1958" w:type="dxa"/>
            <w:tcBorders>
              <w:top w:val="nil"/>
              <w:bottom w:val="nil"/>
            </w:tcBorders>
          </w:tcPr>
          <w:p w14:paraId="43F4B663"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-12.185***</w:t>
            </w:r>
          </w:p>
        </w:tc>
      </w:tr>
      <w:tr w:rsidR="003A450F" w:rsidRPr="00FD3EE9" w14:paraId="77759321" w14:textId="77777777" w:rsidTr="00D52D3B">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nil"/>
            </w:tcBorders>
          </w:tcPr>
          <w:p w14:paraId="6042032B" w14:textId="77777777" w:rsidR="003A450F" w:rsidRPr="00FD3EE9" w:rsidRDefault="003A450F" w:rsidP="00D52D3B">
            <w:pPr>
              <w:ind w:firstLineChars="200" w:firstLine="402"/>
              <w:rPr>
                <w:sz w:val="20"/>
                <w:szCs w:val="20"/>
              </w:rPr>
            </w:pPr>
          </w:p>
        </w:tc>
        <w:tc>
          <w:tcPr>
            <w:tcW w:w="2101" w:type="dxa"/>
            <w:tcBorders>
              <w:top w:val="nil"/>
              <w:bottom w:val="nil"/>
            </w:tcBorders>
          </w:tcPr>
          <w:p w14:paraId="5F807E42" w14:textId="41E91B46"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(2.</w:t>
            </w:r>
            <w:r w:rsidR="00E96730" w:rsidRPr="00FD3EE9">
              <w:rPr>
                <w:sz w:val="20"/>
                <w:szCs w:val="20"/>
              </w:rPr>
              <w:t>550</w:t>
            </w:r>
            <w:r w:rsidRPr="00FD3EE9">
              <w:rPr>
                <w:sz w:val="20"/>
                <w:szCs w:val="20"/>
              </w:rPr>
              <w:t>)</w:t>
            </w:r>
          </w:p>
        </w:tc>
        <w:tc>
          <w:tcPr>
            <w:tcW w:w="1781" w:type="dxa"/>
            <w:tcBorders>
              <w:top w:val="nil"/>
              <w:bottom w:val="nil"/>
            </w:tcBorders>
          </w:tcPr>
          <w:p w14:paraId="5F788A8F" w14:textId="69E39A8B"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w:t>
            </w:r>
            <w:r w:rsidR="00E96730" w:rsidRPr="00FD3EE9">
              <w:rPr>
                <w:sz w:val="20"/>
                <w:szCs w:val="20"/>
              </w:rPr>
              <w:t>14.995</w:t>
            </w:r>
            <w:r w:rsidRPr="00FD3EE9">
              <w:rPr>
                <w:sz w:val="20"/>
                <w:szCs w:val="20"/>
              </w:rPr>
              <w:t>)</w:t>
            </w:r>
          </w:p>
        </w:tc>
        <w:tc>
          <w:tcPr>
            <w:tcW w:w="1958" w:type="dxa"/>
            <w:tcBorders>
              <w:top w:val="nil"/>
              <w:bottom w:val="nil"/>
            </w:tcBorders>
          </w:tcPr>
          <w:p w14:paraId="2E686EF6" w14:textId="5BACB636"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(2.</w:t>
            </w:r>
            <w:r w:rsidR="00E96730" w:rsidRPr="00FD3EE9">
              <w:rPr>
                <w:sz w:val="20"/>
                <w:szCs w:val="20"/>
              </w:rPr>
              <w:t>623</w:t>
            </w:r>
            <w:r w:rsidRPr="00FD3EE9">
              <w:rPr>
                <w:sz w:val="20"/>
                <w:szCs w:val="20"/>
              </w:rPr>
              <w:t>)</w:t>
            </w:r>
          </w:p>
        </w:tc>
      </w:tr>
      <w:tr w:rsidR="003A450F" w:rsidRPr="00FD3EE9" w14:paraId="196251EE" w14:textId="77777777" w:rsidTr="00D52D3B">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nil"/>
            </w:tcBorders>
          </w:tcPr>
          <w:p w14:paraId="749A48EE" w14:textId="77777777" w:rsidR="003A450F" w:rsidRPr="00FD3EE9" w:rsidRDefault="003A450F" w:rsidP="00D52D3B">
            <w:pPr>
              <w:ind w:firstLineChars="200" w:firstLine="400"/>
              <w:rPr>
                <w:b w:val="0"/>
                <w:sz w:val="20"/>
                <w:szCs w:val="20"/>
              </w:rPr>
            </w:pPr>
            <w:r w:rsidRPr="00FD3EE9">
              <w:rPr>
                <w:b w:val="0"/>
                <w:sz w:val="20"/>
                <w:szCs w:val="20"/>
              </w:rPr>
              <w:t>Stock Ownership2</w:t>
            </w:r>
          </w:p>
        </w:tc>
        <w:tc>
          <w:tcPr>
            <w:tcW w:w="2101" w:type="dxa"/>
            <w:tcBorders>
              <w:top w:val="nil"/>
              <w:bottom w:val="nil"/>
            </w:tcBorders>
          </w:tcPr>
          <w:p w14:paraId="5DECBAAF" w14:textId="0BD72F28"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10.394*</w:t>
            </w:r>
          </w:p>
        </w:tc>
        <w:tc>
          <w:tcPr>
            <w:tcW w:w="1781" w:type="dxa"/>
            <w:tcBorders>
              <w:top w:val="nil"/>
              <w:bottom w:val="nil"/>
            </w:tcBorders>
          </w:tcPr>
          <w:p w14:paraId="5DC2BEE3"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-3.317</w:t>
            </w:r>
          </w:p>
        </w:tc>
        <w:tc>
          <w:tcPr>
            <w:tcW w:w="1958" w:type="dxa"/>
            <w:tcBorders>
              <w:top w:val="nil"/>
              <w:bottom w:val="nil"/>
            </w:tcBorders>
          </w:tcPr>
          <w:p w14:paraId="1321F936" w14:textId="77777777" w:rsidR="003A450F" w:rsidRPr="00FD3EE9" w:rsidRDefault="003A450F" w:rsidP="00D52D3B">
            <w:pPr>
              <w:tabs>
                <w:tab w:val="decimal" w:pos="515"/>
              </w:tabs>
              <w:ind w:left="10"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9.130*</w:t>
            </w:r>
          </w:p>
        </w:tc>
      </w:tr>
      <w:tr w:rsidR="003A450F" w:rsidRPr="00FD3EE9" w14:paraId="6A0B88D8" w14:textId="77777777" w:rsidTr="00D52D3B">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nil"/>
            </w:tcBorders>
          </w:tcPr>
          <w:p w14:paraId="6BEDCB9C" w14:textId="77777777" w:rsidR="003A450F" w:rsidRPr="00FD3EE9" w:rsidRDefault="003A450F" w:rsidP="00D52D3B">
            <w:pPr>
              <w:ind w:firstLineChars="200" w:firstLine="402"/>
              <w:rPr>
                <w:sz w:val="20"/>
                <w:szCs w:val="20"/>
              </w:rPr>
            </w:pPr>
          </w:p>
        </w:tc>
        <w:tc>
          <w:tcPr>
            <w:tcW w:w="2101" w:type="dxa"/>
            <w:tcBorders>
              <w:top w:val="nil"/>
              <w:bottom w:val="nil"/>
            </w:tcBorders>
          </w:tcPr>
          <w:p w14:paraId="1CA909B3" w14:textId="6FBD087C"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w:t>
            </w:r>
            <w:r w:rsidR="00E96730" w:rsidRPr="00FD3EE9">
              <w:rPr>
                <w:sz w:val="20"/>
                <w:szCs w:val="20"/>
              </w:rPr>
              <w:t>4.200</w:t>
            </w:r>
            <w:r w:rsidRPr="00FD3EE9">
              <w:rPr>
                <w:sz w:val="20"/>
                <w:szCs w:val="20"/>
              </w:rPr>
              <w:t>)</w:t>
            </w:r>
          </w:p>
        </w:tc>
        <w:tc>
          <w:tcPr>
            <w:tcW w:w="1781" w:type="dxa"/>
            <w:tcBorders>
              <w:top w:val="nil"/>
              <w:bottom w:val="nil"/>
            </w:tcBorders>
          </w:tcPr>
          <w:p w14:paraId="1BE5CC68" w14:textId="6703DD60"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w:t>
            </w:r>
            <w:r w:rsidR="00E96730" w:rsidRPr="00FD3EE9">
              <w:rPr>
                <w:sz w:val="20"/>
                <w:szCs w:val="20"/>
              </w:rPr>
              <w:t>53.688</w:t>
            </w:r>
            <w:r w:rsidRPr="00FD3EE9">
              <w:rPr>
                <w:sz w:val="20"/>
                <w:szCs w:val="20"/>
              </w:rPr>
              <w:t>)</w:t>
            </w:r>
          </w:p>
        </w:tc>
        <w:tc>
          <w:tcPr>
            <w:tcW w:w="1958" w:type="dxa"/>
            <w:tcBorders>
              <w:top w:val="nil"/>
              <w:bottom w:val="nil"/>
            </w:tcBorders>
          </w:tcPr>
          <w:p w14:paraId="59DF63FB" w14:textId="1A509D9E"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w:t>
            </w:r>
            <w:r w:rsidR="00E96730" w:rsidRPr="00FD3EE9">
              <w:rPr>
                <w:sz w:val="20"/>
                <w:szCs w:val="20"/>
              </w:rPr>
              <w:t>4.289</w:t>
            </w:r>
            <w:r w:rsidRPr="00FD3EE9">
              <w:rPr>
                <w:sz w:val="20"/>
                <w:szCs w:val="20"/>
              </w:rPr>
              <w:t>)</w:t>
            </w:r>
          </w:p>
        </w:tc>
      </w:tr>
      <w:tr w:rsidR="003A450F" w:rsidRPr="00FD3EE9" w14:paraId="7BD888CE" w14:textId="77777777" w:rsidTr="00D52D3B">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nil"/>
            </w:tcBorders>
          </w:tcPr>
          <w:p w14:paraId="578DBF8D" w14:textId="77777777" w:rsidR="003A450F" w:rsidRPr="00FD3EE9" w:rsidRDefault="003A450F" w:rsidP="00D52D3B">
            <w:pPr>
              <w:ind w:firstLineChars="200" w:firstLine="400"/>
              <w:rPr>
                <w:b w:val="0"/>
                <w:sz w:val="20"/>
                <w:szCs w:val="20"/>
              </w:rPr>
            </w:pPr>
            <w:r w:rsidRPr="00FD3EE9">
              <w:rPr>
                <w:b w:val="0"/>
                <w:sz w:val="20"/>
                <w:szCs w:val="20"/>
              </w:rPr>
              <w:t>Cash Pay</w:t>
            </w:r>
          </w:p>
        </w:tc>
        <w:tc>
          <w:tcPr>
            <w:tcW w:w="2101" w:type="dxa"/>
            <w:tcBorders>
              <w:top w:val="nil"/>
              <w:bottom w:val="nil"/>
            </w:tcBorders>
          </w:tcPr>
          <w:p w14:paraId="73FA7270"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-0.000</w:t>
            </w:r>
          </w:p>
        </w:tc>
        <w:tc>
          <w:tcPr>
            <w:tcW w:w="1781" w:type="dxa"/>
            <w:tcBorders>
              <w:top w:val="nil"/>
              <w:bottom w:val="nil"/>
            </w:tcBorders>
          </w:tcPr>
          <w:p w14:paraId="6A053A4E" w14:textId="21BB85E6"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w:t>
            </w:r>
            <w:r w:rsidR="00E96730" w:rsidRPr="00FD3EE9">
              <w:rPr>
                <w:sz w:val="20"/>
                <w:szCs w:val="20"/>
              </w:rPr>
              <w:t>0</w:t>
            </w:r>
          </w:p>
        </w:tc>
        <w:tc>
          <w:tcPr>
            <w:tcW w:w="1958" w:type="dxa"/>
            <w:tcBorders>
              <w:top w:val="nil"/>
              <w:bottom w:val="nil"/>
            </w:tcBorders>
          </w:tcPr>
          <w:p w14:paraId="659AB9D8"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-0.000</w:t>
            </w:r>
          </w:p>
        </w:tc>
      </w:tr>
      <w:tr w:rsidR="003A450F" w:rsidRPr="00FD3EE9" w14:paraId="1D976603" w14:textId="77777777" w:rsidTr="00D52D3B">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nil"/>
            </w:tcBorders>
          </w:tcPr>
          <w:p w14:paraId="3D0531E9" w14:textId="77777777" w:rsidR="003A450F" w:rsidRPr="00FD3EE9" w:rsidRDefault="003A450F" w:rsidP="00D52D3B">
            <w:pPr>
              <w:ind w:firstLineChars="200" w:firstLine="402"/>
              <w:rPr>
                <w:sz w:val="20"/>
                <w:szCs w:val="20"/>
              </w:rPr>
            </w:pPr>
          </w:p>
        </w:tc>
        <w:tc>
          <w:tcPr>
            <w:tcW w:w="2101" w:type="dxa"/>
            <w:tcBorders>
              <w:top w:val="nil"/>
              <w:bottom w:val="nil"/>
            </w:tcBorders>
          </w:tcPr>
          <w:p w14:paraId="0B5880DA" w14:textId="77777777"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w:t>
            </w:r>
          </w:p>
        </w:tc>
        <w:tc>
          <w:tcPr>
            <w:tcW w:w="1781" w:type="dxa"/>
            <w:tcBorders>
              <w:top w:val="nil"/>
              <w:bottom w:val="nil"/>
            </w:tcBorders>
          </w:tcPr>
          <w:p w14:paraId="5D53F06D" w14:textId="77777777"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w:t>
            </w:r>
          </w:p>
        </w:tc>
        <w:tc>
          <w:tcPr>
            <w:tcW w:w="1958" w:type="dxa"/>
            <w:tcBorders>
              <w:top w:val="nil"/>
              <w:bottom w:val="nil"/>
            </w:tcBorders>
          </w:tcPr>
          <w:p w14:paraId="783B7F81" w14:textId="77777777"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(0.00)</w:t>
            </w:r>
          </w:p>
        </w:tc>
      </w:tr>
      <w:tr w:rsidR="003A450F" w:rsidRPr="00FD3EE9" w14:paraId="50502AE6" w14:textId="77777777" w:rsidTr="00D52D3B">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nil"/>
            </w:tcBorders>
          </w:tcPr>
          <w:p w14:paraId="5431352A" w14:textId="77777777" w:rsidR="003A450F" w:rsidRPr="00FD3EE9" w:rsidRDefault="003A450F" w:rsidP="00D52D3B">
            <w:pPr>
              <w:ind w:firstLineChars="200" w:firstLine="400"/>
              <w:rPr>
                <w:b w:val="0"/>
                <w:sz w:val="20"/>
                <w:szCs w:val="20"/>
              </w:rPr>
            </w:pPr>
            <w:r w:rsidRPr="00FD3EE9">
              <w:rPr>
                <w:b w:val="0"/>
                <w:sz w:val="20"/>
                <w:szCs w:val="20"/>
              </w:rPr>
              <w:t>Firm Size</w:t>
            </w:r>
          </w:p>
        </w:tc>
        <w:tc>
          <w:tcPr>
            <w:tcW w:w="2101" w:type="dxa"/>
            <w:tcBorders>
              <w:top w:val="nil"/>
              <w:bottom w:val="nil"/>
            </w:tcBorders>
          </w:tcPr>
          <w:p w14:paraId="7ED16F4F" w14:textId="2823C0DC"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w:t>
            </w:r>
            <w:r w:rsidR="00E96730" w:rsidRPr="00FD3EE9">
              <w:rPr>
                <w:sz w:val="20"/>
                <w:szCs w:val="20"/>
              </w:rPr>
              <w:t>0.</w:t>
            </w:r>
            <w:r w:rsidRPr="00FD3EE9">
              <w:rPr>
                <w:sz w:val="20"/>
                <w:szCs w:val="20"/>
              </w:rPr>
              <w:t>800***</w:t>
            </w:r>
          </w:p>
        </w:tc>
        <w:tc>
          <w:tcPr>
            <w:tcW w:w="1781" w:type="dxa"/>
            <w:tcBorders>
              <w:top w:val="nil"/>
              <w:bottom w:val="nil"/>
            </w:tcBorders>
          </w:tcPr>
          <w:p w14:paraId="43A82ED9" w14:textId="6CE98293"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w:t>
            </w:r>
            <w:r w:rsidR="00E96730" w:rsidRPr="00FD3EE9">
              <w:rPr>
                <w:sz w:val="20"/>
                <w:szCs w:val="20"/>
              </w:rPr>
              <w:t>0.</w:t>
            </w:r>
            <w:r w:rsidRPr="00FD3EE9">
              <w:rPr>
                <w:sz w:val="20"/>
                <w:szCs w:val="20"/>
              </w:rPr>
              <w:t>828***</w:t>
            </w:r>
          </w:p>
        </w:tc>
        <w:tc>
          <w:tcPr>
            <w:tcW w:w="1958" w:type="dxa"/>
            <w:tcBorders>
              <w:top w:val="nil"/>
              <w:bottom w:val="nil"/>
            </w:tcBorders>
          </w:tcPr>
          <w:p w14:paraId="261A0C22" w14:textId="0ED9F8D6"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w:t>
            </w:r>
            <w:r w:rsidR="00562EC3" w:rsidRPr="00FD3EE9">
              <w:rPr>
                <w:sz w:val="20"/>
                <w:szCs w:val="20"/>
              </w:rPr>
              <w:t>0.</w:t>
            </w:r>
            <w:r w:rsidRPr="00FD3EE9">
              <w:rPr>
                <w:sz w:val="20"/>
                <w:szCs w:val="20"/>
              </w:rPr>
              <w:t>784***</w:t>
            </w:r>
          </w:p>
        </w:tc>
      </w:tr>
      <w:tr w:rsidR="003A450F" w:rsidRPr="00FD3EE9" w14:paraId="13493B70" w14:textId="77777777" w:rsidTr="00D52D3B">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nil"/>
            </w:tcBorders>
          </w:tcPr>
          <w:p w14:paraId="2E8A9C63" w14:textId="77777777" w:rsidR="003A450F" w:rsidRPr="00FD3EE9" w:rsidRDefault="003A450F" w:rsidP="00D52D3B">
            <w:pPr>
              <w:ind w:firstLineChars="200" w:firstLine="402"/>
              <w:rPr>
                <w:sz w:val="20"/>
                <w:szCs w:val="20"/>
              </w:rPr>
            </w:pPr>
          </w:p>
        </w:tc>
        <w:tc>
          <w:tcPr>
            <w:tcW w:w="2101" w:type="dxa"/>
            <w:tcBorders>
              <w:top w:val="nil"/>
              <w:bottom w:val="nil"/>
            </w:tcBorders>
          </w:tcPr>
          <w:p w14:paraId="169E4BD9" w14:textId="5B2BE7C8"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(0.1</w:t>
            </w:r>
            <w:r w:rsidR="00E96730" w:rsidRPr="00FD3EE9">
              <w:rPr>
                <w:sz w:val="20"/>
                <w:szCs w:val="20"/>
              </w:rPr>
              <w:t>37</w:t>
            </w:r>
            <w:r w:rsidRPr="00FD3EE9">
              <w:rPr>
                <w:sz w:val="20"/>
                <w:szCs w:val="20"/>
              </w:rPr>
              <w:t>)</w:t>
            </w:r>
          </w:p>
        </w:tc>
        <w:tc>
          <w:tcPr>
            <w:tcW w:w="1781" w:type="dxa"/>
            <w:tcBorders>
              <w:top w:val="nil"/>
              <w:bottom w:val="nil"/>
            </w:tcBorders>
          </w:tcPr>
          <w:p w14:paraId="51D07B0E" w14:textId="3E67CCC8"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(0.2</w:t>
            </w:r>
            <w:r w:rsidR="00E96730" w:rsidRPr="00FD3EE9">
              <w:rPr>
                <w:sz w:val="20"/>
                <w:szCs w:val="20"/>
              </w:rPr>
              <w:t>51</w:t>
            </w:r>
            <w:r w:rsidRPr="00FD3EE9">
              <w:rPr>
                <w:sz w:val="20"/>
                <w:szCs w:val="20"/>
              </w:rPr>
              <w:t>)</w:t>
            </w:r>
          </w:p>
        </w:tc>
        <w:tc>
          <w:tcPr>
            <w:tcW w:w="1958" w:type="dxa"/>
            <w:tcBorders>
              <w:top w:val="nil"/>
              <w:bottom w:val="nil"/>
            </w:tcBorders>
          </w:tcPr>
          <w:p w14:paraId="460D9CE8" w14:textId="2F27E86D"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w:t>
            </w:r>
            <w:r w:rsidR="00E96730" w:rsidRPr="00FD3EE9">
              <w:rPr>
                <w:sz w:val="20"/>
                <w:szCs w:val="20"/>
              </w:rPr>
              <w:t>160</w:t>
            </w:r>
            <w:r w:rsidRPr="00FD3EE9">
              <w:rPr>
                <w:sz w:val="20"/>
                <w:szCs w:val="20"/>
              </w:rPr>
              <w:t>)</w:t>
            </w:r>
          </w:p>
        </w:tc>
      </w:tr>
      <w:tr w:rsidR="003A450F" w:rsidRPr="00FD3EE9" w14:paraId="4AB187EF" w14:textId="77777777" w:rsidTr="00D52D3B">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nil"/>
            </w:tcBorders>
          </w:tcPr>
          <w:p w14:paraId="7B79F247" w14:textId="77777777" w:rsidR="003A450F" w:rsidRPr="00FD3EE9" w:rsidRDefault="003A450F" w:rsidP="00D52D3B">
            <w:pPr>
              <w:ind w:firstLineChars="200" w:firstLine="400"/>
              <w:rPr>
                <w:b w:val="0"/>
                <w:sz w:val="20"/>
                <w:szCs w:val="20"/>
              </w:rPr>
            </w:pPr>
            <w:r w:rsidRPr="00FD3EE9">
              <w:rPr>
                <w:b w:val="0"/>
                <w:sz w:val="20"/>
                <w:szCs w:val="20"/>
              </w:rPr>
              <w:t>Industry Diversity</w:t>
            </w:r>
          </w:p>
        </w:tc>
        <w:tc>
          <w:tcPr>
            <w:tcW w:w="2101" w:type="dxa"/>
            <w:tcBorders>
              <w:top w:val="nil"/>
              <w:bottom w:val="nil"/>
            </w:tcBorders>
          </w:tcPr>
          <w:p w14:paraId="10508FA6" w14:textId="5EBC1072"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w:t>
            </w:r>
            <w:r w:rsidR="00E96730" w:rsidRPr="00FD3EE9">
              <w:rPr>
                <w:sz w:val="20"/>
                <w:szCs w:val="20"/>
              </w:rPr>
              <w:t>0.</w:t>
            </w:r>
            <w:r w:rsidRPr="00FD3EE9">
              <w:rPr>
                <w:sz w:val="20"/>
                <w:szCs w:val="20"/>
              </w:rPr>
              <w:t>23</w:t>
            </w:r>
            <w:r w:rsidR="00E96730" w:rsidRPr="00FD3EE9">
              <w:rPr>
                <w:sz w:val="20"/>
                <w:szCs w:val="20"/>
              </w:rPr>
              <w:t>9</w:t>
            </w:r>
          </w:p>
        </w:tc>
        <w:tc>
          <w:tcPr>
            <w:tcW w:w="1781" w:type="dxa"/>
            <w:tcBorders>
              <w:top w:val="nil"/>
              <w:bottom w:val="nil"/>
            </w:tcBorders>
          </w:tcPr>
          <w:p w14:paraId="7DA37E89" w14:textId="0F5EF87F"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w:t>
            </w:r>
            <w:r w:rsidR="00E96730" w:rsidRPr="00FD3EE9">
              <w:rPr>
                <w:sz w:val="20"/>
                <w:szCs w:val="20"/>
              </w:rPr>
              <w:t>0.</w:t>
            </w:r>
            <w:r w:rsidRPr="00FD3EE9">
              <w:rPr>
                <w:sz w:val="20"/>
                <w:szCs w:val="20"/>
              </w:rPr>
              <w:t>392</w:t>
            </w:r>
          </w:p>
        </w:tc>
        <w:tc>
          <w:tcPr>
            <w:tcW w:w="1958" w:type="dxa"/>
            <w:tcBorders>
              <w:top w:val="nil"/>
              <w:bottom w:val="nil"/>
            </w:tcBorders>
          </w:tcPr>
          <w:p w14:paraId="043A468F" w14:textId="496FD94F" w:rsidR="003A450F" w:rsidRPr="00FD3EE9" w:rsidRDefault="00562EC3"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-0.205</w:t>
            </w:r>
          </w:p>
        </w:tc>
      </w:tr>
      <w:tr w:rsidR="003A450F" w:rsidRPr="00FD3EE9" w14:paraId="4A35A645" w14:textId="77777777" w:rsidTr="00D52D3B">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nil"/>
            </w:tcBorders>
          </w:tcPr>
          <w:p w14:paraId="17B8A734" w14:textId="77777777" w:rsidR="003A450F" w:rsidRPr="00FD3EE9" w:rsidRDefault="003A450F" w:rsidP="00D52D3B">
            <w:pPr>
              <w:ind w:firstLineChars="200" w:firstLine="402"/>
              <w:rPr>
                <w:sz w:val="20"/>
                <w:szCs w:val="20"/>
              </w:rPr>
            </w:pPr>
          </w:p>
        </w:tc>
        <w:tc>
          <w:tcPr>
            <w:tcW w:w="2101" w:type="dxa"/>
            <w:tcBorders>
              <w:top w:val="nil"/>
              <w:bottom w:val="nil"/>
            </w:tcBorders>
          </w:tcPr>
          <w:p w14:paraId="21F34564" w14:textId="62F075E0"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(0.2</w:t>
            </w:r>
            <w:r w:rsidR="00E96730" w:rsidRPr="00FD3EE9">
              <w:rPr>
                <w:sz w:val="20"/>
                <w:szCs w:val="20"/>
              </w:rPr>
              <w:t>08</w:t>
            </w:r>
            <w:r w:rsidRPr="00FD3EE9">
              <w:rPr>
                <w:sz w:val="20"/>
                <w:szCs w:val="20"/>
              </w:rPr>
              <w:t>)</w:t>
            </w:r>
          </w:p>
        </w:tc>
        <w:tc>
          <w:tcPr>
            <w:tcW w:w="1781" w:type="dxa"/>
            <w:tcBorders>
              <w:top w:val="nil"/>
              <w:bottom w:val="nil"/>
            </w:tcBorders>
          </w:tcPr>
          <w:p w14:paraId="0CB9DC75" w14:textId="3DE70BD6"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w:t>
            </w:r>
            <w:r w:rsidR="00E96730" w:rsidRPr="00FD3EE9">
              <w:rPr>
                <w:sz w:val="20"/>
                <w:szCs w:val="20"/>
              </w:rPr>
              <w:t>371</w:t>
            </w:r>
            <w:r w:rsidRPr="00FD3EE9">
              <w:rPr>
                <w:sz w:val="20"/>
                <w:szCs w:val="20"/>
              </w:rPr>
              <w:t>)</w:t>
            </w:r>
          </w:p>
        </w:tc>
        <w:tc>
          <w:tcPr>
            <w:tcW w:w="1958" w:type="dxa"/>
            <w:tcBorders>
              <w:top w:val="nil"/>
              <w:bottom w:val="nil"/>
            </w:tcBorders>
          </w:tcPr>
          <w:p w14:paraId="514B20C9" w14:textId="63BDD513"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(0.24</w:t>
            </w:r>
            <w:r w:rsidR="00562EC3" w:rsidRPr="00FD3EE9">
              <w:rPr>
                <w:sz w:val="20"/>
                <w:szCs w:val="20"/>
              </w:rPr>
              <w:t>9</w:t>
            </w:r>
            <w:r w:rsidRPr="00FD3EE9">
              <w:rPr>
                <w:sz w:val="20"/>
                <w:szCs w:val="20"/>
              </w:rPr>
              <w:t>)</w:t>
            </w:r>
          </w:p>
        </w:tc>
      </w:tr>
      <w:tr w:rsidR="003A450F" w:rsidRPr="00FD3EE9" w14:paraId="4E44D0EE" w14:textId="77777777" w:rsidTr="00D52D3B">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nil"/>
            </w:tcBorders>
          </w:tcPr>
          <w:p w14:paraId="07388A73" w14:textId="77777777" w:rsidR="003A450F" w:rsidRPr="00FD3EE9" w:rsidRDefault="003A450F" w:rsidP="00D52D3B">
            <w:pPr>
              <w:ind w:firstLineChars="200" w:firstLine="400"/>
              <w:rPr>
                <w:b w:val="0"/>
                <w:sz w:val="20"/>
                <w:szCs w:val="20"/>
              </w:rPr>
            </w:pPr>
            <w:r w:rsidRPr="00FD3EE9">
              <w:rPr>
                <w:b w:val="0"/>
                <w:sz w:val="20"/>
                <w:szCs w:val="20"/>
              </w:rPr>
              <w:t>MA Experience</w:t>
            </w:r>
          </w:p>
        </w:tc>
        <w:tc>
          <w:tcPr>
            <w:tcW w:w="2101" w:type="dxa"/>
            <w:tcBorders>
              <w:top w:val="nil"/>
              <w:bottom w:val="nil"/>
            </w:tcBorders>
          </w:tcPr>
          <w:p w14:paraId="1F24080A" w14:textId="295C063E"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w:t>
            </w:r>
            <w:r w:rsidR="00E96730" w:rsidRPr="00FD3EE9">
              <w:rPr>
                <w:sz w:val="20"/>
                <w:szCs w:val="20"/>
              </w:rPr>
              <w:t>0.</w:t>
            </w:r>
            <w:r w:rsidRPr="00FD3EE9">
              <w:rPr>
                <w:sz w:val="20"/>
                <w:szCs w:val="20"/>
              </w:rPr>
              <w:t>436</w:t>
            </w:r>
          </w:p>
        </w:tc>
        <w:tc>
          <w:tcPr>
            <w:tcW w:w="1781" w:type="dxa"/>
            <w:tcBorders>
              <w:top w:val="nil"/>
              <w:bottom w:val="nil"/>
            </w:tcBorders>
          </w:tcPr>
          <w:p w14:paraId="44552C31" w14:textId="1E915271"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w:t>
            </w:r>
            <w:r w:rsidR="00E96730" w:rsidRPr="00FD3EE9">
              <w:rPr>
                <w:sz w:val="20"/>
                <w:szCs w:val="20"/>
              </w:rPr>
              <w:t>0.</w:t>
            </w:r>
            <w:r w:rsidRPr="00FD3EE9">
              <w:rPr>
                <w:sz w:val="20"/>
                <w:szCs w:val="20"/>
              </w:rPr>
              <w:t>322</w:t>
            </w:r>
          </w:p>
        </w:tc>
        <w:tc>
          <w:tcPr>
            <w:tcW w:w="1958" w:type="dxa"/>
            <w:tcBorders>
              <w:top w:val="nil"/>
              <w:bottom w:val="nil"/>
            </w:tcBorders>
          </w:tcPr>
          <w:p w14:paraId="128D355C" w14:textId="571D94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w:t>
            </w:r>
            <w:r w:rsidR="00562EC3" w:rsidRPr="00FD3EE9">
              <w:rPr>
                <w:sz w:val="20"/>
                <w:szCs w:val="20"/>
              </w:rPr>
              <w:t>0.</w:t>
            </w:r>
            <w:r w:rsidRPr="00FD3EE9">
              <w:rPr>
                <w:sz w:val="20"/>
                <w:szCs w:val="20"/>
              </w:rPr>
              <w:t>510</w:t>
            </w:r>
          </w:p>
        </w:tc>
      </w:tr>
      <w:tr w:rsidR="003A450F" w:rsidRPr="00FD3EE9" w14:paraId="1C3F0D2C" w14:textId="77777777" w:rsidTr="00D52D3B">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nil"/>
            </w:tcBorders>
          </w:tcPr>
          <w:p w14:paraId="41101161" w14:textId="77777777" w:rsidR="003A450F" w:rsidRPr="00FD3EE9" w:rsidRDefault="003A450F" w:rsidP="00D52D3B">
            <w:pPr>
              <w:ind w:firstLineChars="200" w:firstLine="402"/>
              <w:rPr>
                <w:sz w:val="20"/>
                <w:szCs w:val="20"/>
              </w:rPr>
            </w:pPr>
          </w:p>
        </w:tc>
        <w:tc>
          <w:tcPr>
            <w:tcW w:w="2101" w:type="dxa"/>
            <w:tcBorders>
              <w:top w:val="nil"/>
              <w:bottom w:val="nil"/>
            </w:tcBorders>
          </w:tcPr>
          <w:p w14:paraId="207784B1" w14:textId="77777777"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(0.240)</w:t>
            </w:r>
          </w:p>
        </w:tc>
        <w:tc>
          <w:tcPr>
            <w:tcW w:w="1781" w:type="dxa"/>
            <w:tcBorders>
              <w:top w:val="nil"/>
              <w:bottom w:val="nil"/>
            </w:tcBorders>
          </w:tcPr>
          <w:p w14:paraId="242A3499" w14:textId="24D589B3"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w:t>
            </w:r>
            <w:r w:rsidR="00E96730" w:rsidRPr="00FD3EE9">
              <w:rPr>
                <w:sz w:val="20"/>
                <w:szCs w:val="20"/>
              </w:rPr>
              <w:t>396</w:t>
            </w:r>
            <w:r w:rsidRPr="00FD3EE9">
              <w:rPr>
                <w:sz w:val="20"/>
                <w:szCs w:val="20"/>
              </w:rPr>
              <w:t>)</w:t>
            </w:r>
          </w:p>
        </w:tc>
        <w:tc>
          <w:tcPr>
            <w:tcW w:w="1958" w:type="dxa"/>
            <w:tcBorders>
              <w:top w:val="nil"/>
              <w:bottom w:val="nil"/>
            </w:tcBorders>
          </w:tcPr>
          <w:p w14:paraId="02309133" w14:textId="2F106428"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(0.2</w:t>
            </w:r>
            <w:r w:rsidR="00562EC3" w:rsidRPr="00FD3EE9">
              <w:rPr>
                <w:sz w:val="20"/>
                <w:szCs w:val="20"/>
              </w:rPr>
              <w:t>99</w:t>
            </w:r>
            <w:r w:rsidRPr="00FD3EE9">
              <w:rPr>
                <w:sz w:val="20"/>
                <w:szCs w:val="20"/>
              </w:rPr>
              <w:t>)</w:t>
            </w:r>
          </w:p>
        </w:tc>
      </w:tr>
      <w:tr w:rsidR="003A450F" w:rsidRPr="00FD3EE9" w14:paraId="3B1CFDFB" w14:textId="77777777" w:rsidTr="00D52D3B">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nil"/>
            </w:tcBorders>
          </w:tcPr>
          <w:p w14:paraId="39E91AF1" w14:textId="1157D5B7" w:rsidR="003A450F" w:rsidRPr="00FD3EE9" w:rsidRDefault="003A450F" w:rsidP="00D52D3B">
            <w:pPr>
              <w:ind w:firstLineChars="200" w:firstLine="400"/>
              <w:rPr>
                <w:b w:val="0"/>
                <w:sz w:val="20"/>
                <w:szCs w:val="20"/>
              </w:rPr>
            </w:pPr>
            <w:r w:rsidRPr="00FD3EE9">
              <w:rPr>
                <w:b w:val="0"/>
                <w:sz w:val="20"/>
                <w:szCs w:val="20"/>
              </w:rPr>
              <w:t xml:space="preserve">YEAR </w:t>
            </w:r>
            <w:r w:rsidR="00EA6CF4" w:rsidRPr="00FD3EE9">
              <w:rPr>
                <w:b w:val="0"/>
                <w:sz w:val="20"/>
                <w:szCs w:val="20"/>
              </w:rPr>
              <w:t>FE</w:t>
            </w:r>
          </w:p>
        </w:tc>
        <w:tc>
          <w:tcPr>
            <w:tcW w:w="2101" w:type="dxa"/>
            <w:tcBorders>
              <w:top w:val="nil"/>
              <w:bottom w:val="nil"/>
            </w:tcBorders>
          </w:tcPr>
          <w:p w14:paraId="3EBB64BF" w14:textId="77777777" w:rsidR="003A450F" w:rsidRPr="00FD3EE9" w:rsidRDefault="003A450F" w:rsidP="00D52D3B">
            <w:pPr>
              <w:tabs>
                <w:tab w:val="decimal" w:pos="87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YES</w:t>
            </w:r>
          </w:p>
        </w:tc>
        <w:tc>
          <w:tcPr>
            <w:tcW w:w="1781" w:type="dxa"/>
            <w:tcBorders>
              <w:top w:val="nil"/>
              <w:bottom w:val="nil"/>
            </w:tcBorders>
          </w:tcPr>
          <w:p w14:paraId="3614BB05" w14:textId="77777777" w:rsidR="003A450F" w:rsidRPr="00FD3EE9" w:rsidRDefault="003A450F" w:rsidP="00D52D3B">
            <w:pPr>
              <w:tabs>
                <w:tab w:val="decimal" w:pos="87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YES</w:t>
            </w:r>
          </w:p>
        </w:tc>
        <w:tc>
          <w:tcPr>
            <w:tcW w:w="1958" w:type="dxa"/>
            <w:tcBorders>
              <w:top w:val="nil"/>
              <w:bottom w:val="nil"/>
            </w:tcBorders>
          </w:tcPr>
          <w:p w14:paraId="54577B2B" w14:textId="77777777" w:rsidR="003A450F" w:rsidRPr="00FD3EE9" w:rsidRDefault="003A450F" w:rsidP="00D52D3B">
            <w:pPr>
              <w:tabs>
                <w:tab w:val="decimal" w:pos="87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YES</w:t>
            </w:r>
          </w:p>
        </w:tc>
      </w:tr>
      <w:tr w:rsidR="003A450F" w:rsidRPr="00FD3EE9" w14:paraId="5C18C4D9" w14:textId="77777777" w:rsidTr="00D52D3B">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tcBorders>
          </w:tcPr>
          <w:p w14:paraId="62486C75" w14:textId="2168DF08" w:rsidR="003A450F" w:rsidRPr="00FD3EE9" w:rsidRDefault="003A450F" w:rsidP="00D52D3B">
            <w:pPr>
              <w:ind w:firstLineChars="200" w:firstLine="400"/>
              <w:rPr>
                <w:b w:val="0"/>
                <w:sz w:val="20"/>
                <w:szCs w:val="20"/>
              </w:rPr>
            </w:pPr>
            <w:r w:rsidRPr="00FD3EE9">
              <w:rPr>
                <w:b w:val="0"/>
                <w:sz w:val="20"/>
                <w:szCs w:val="20"/>
              </w:rPr>
              <w:t xml:space="preserve">INDUSTRY </w:t>
            </w:r>
            <w:r w:rsidR="00EA6CF4" w:rsidRPr="00FD3EE9">
              <w:rPr>
                <w:b w:val="0"/>
                <w:sz w:val="20"/>
                <w:szCs w:val="20"/>
              </w:rPr>
              <w:t>FE</w:t>
            </w:r>
          </w:p>
        </w:tc>
        <w:tc>
          <w:tcPr>
            <w:tcW w:w="2101" w:type="dxa"/>
            <w:tcBorders>
              <w:top w:val="nil"/>
            </w:tcBorders>
          </w:tcPr>
          <w:p w14:paraId="0F75C263" w14:textId="77777777" w:rsidR="003A450F" w:rsidRPr="00FD3EE9" w:rsidRDefault="003A450F" w:rsidP="00D52D3B">
            <w:pPr>
              <w:tabs>
                <w:tab w:val="decimal" w:pos="87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YES</w:t>
            </w:r>
          </w:p>
        </w:tc>
        <w:tc>
          <w:tcPr>
            <w:tcW w:w="1781" w:type="dxa"/>
            <w:tcBorders>
              <w:top w:val="nil"/>
            </w:tcBorders>
          </w:tcPr>
          <w:p w14:paraId="33AF0970" w14:textId="77777777" w:rsidR="003A450F" w:rsidRPr="00FD3EE9" w:rsidRDefault="003A450F" w:rsidP="00D52D3B">
            <w:pPr>
              <w:tabs>
                <w:tab w:val="decimal" w:pos="87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YES</w:t>
            </w:r>
          </w:p>
        </w:tc>
        <w:tc>
          <w:tcPr>
            <w:tcW w:w="1958" w:type="dxa"/>
            <w:tcBorders>
              <w:top w:val="nil"/>
            </w:tcBorders>
          </w:tcPr>
          <w:p w14:paraId="5D09CD60" w14:textId="77777777" w:rsidR="003A450F" w:rsidRPr="00FD3EE9" w:rsidRDefault="003A450F" w:rsidP="00D52D3B">
            <w:pPr>
              <w:tabs>
                <w:tab w:val="decimal" w:pos="87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YES</w:t>
            </w:r>
          </w:p>
        </w:tc>
      </w:tr>
      <w:tr w:rsidR="003A450F" w:rsidRPr="00FD3EE9" w14:paraId="5FC15E86" w14:textId="77777777" w:rsidTr="00D52D3B">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bottom w:val="nil"/>
            </w:tcBorders>
          </w:tcPr>
          <w:p w14:paraId="3D44A507" w14:textId="77777777" w:rsidR="003A450F" w:rsidRPr="00FD3EE9" w:rsidRDefault="003A450F" w:rsidP="00D52D3B">
            <w:pPr>
              <w:ind w:firstLineChars="200" w:firstLine="400"/>
              <w:rPr>
                <w:b w:val="0"/>
                <w:sz w:val="20"/>
                <w:szCs w:val="20"/>
              </w:rPr>
            </w:pPr>
            <w:r w:rsidRPr="00FD3EE9">
              <w:rPr>
                <w:b w:val="0"/>
                <w:sz w:val="20"/>
                <w:szCs w:val="20"/>
              </w:rPr>
              <w:t>R</w:t>
            </w:r>
            <w:r w:rsidRPr="00FD3EE9">
              <w:rPr>
                <w:b w:val="0"/>
                <w:sz w:val="20"/>
                <w:szCs w:val="20"/>
                <w:vertAlign w:val="superscript"/>
              </w:rPr>
              <w:t>2</w:t>
            </w:r>
            <w:r w:rsidRPr="00FD3EE9">
              <w:rPr>
                <w:b w:val="0"/>
                <w:sz w:val="20"/>
                <w:szCs w:val="20"/>
              </w:rPr>
              <w:t>-adjusted</w:t>
            </w:r>
          </w:p>
        </w:tc>
        <w:tc>
          <w:tcPr>
            <w:tcW w:w="2101" w:type="dxa"/>
            <w:tcBorders>
              <w:bottom w:val="nil"/>
            </w:tcBorders>
          </w:tcPr>
          <w:p w14:paraId="0D7BE27A"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0.189</w:t>
            </w:r>
          </w:p>
        </w:tc>
        <w:tc>
          <w:tcPr>
            <w:tcW w:w="1781" w:type="dxa"/>
            <w:tcBorders>
              <w:bottom w:val="nil"/>
            </w:tcBorders>
          </w:tcPr>
          <w:p w14:paraId="64AC0922"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0.152</w:t>
            </w:r>
          </w:p>
        </w:tc>
        <w:tc>
          <w:tcPr>
            <w:tcW w:w="1958" w:type="dxa"/>
            <w:tcBorders>
              <w:bottom w:val="nil"/>
            </w:tcBorders>
          </w:tcPr>
          <w:p w14:paraId="36E73AA3"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0.200</w:t>
            </w:r>
          </w:p>
        </w:tc>
      </w:tr>
      <w:tr w:rsidR="003A450F" w:rsidRPr="00FD3EE9" w14:paraId="3B71A302" w14:textId="77777777" w:rsidTr="00D52D3B">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nil"/>
            </w:tcBorders>
          </w:tcPr>
          <w:p w14:paraId="18541652" w14:textId="77777777" w:rsidR="003A450F" w:rsidRPr="00FD3EE9" w:rsidRDefault="003A450F" w:rsidP="00D52D3B">
            <w:pPr>
              <w:ind w:firstLineChars="200" w:firstLine="400"/>
              <w:rPr>
                <w:b w:val="0"/>
                <w:sz w:val="20"/>
                <w:szCs w:val="20"/>
              </w:rPr>
            </w:pPr>
            <w:r w:rsidRPr="00FD3EE9">
              <w:rPr>
                <w:b w:val="0"/>
                <w:sz w:val="20"/>
                <w:szCs w:val="20"/>
              </w:rPr>
              <w:t>F-statistics</w:t>
            </w:r>
          </w:p>
        </w:tc>
        <w:tc>
          <w:tcPr>
            <w:tcW w:w="2101" w:type="dxa"/>
            <w:tcBorders>
              <w:top w:val="nil"/>
              <w:bottom w:val="nil"/>
            </w:tcBorders>
          </w:tcPr>
          <w:p w14:paraId="6CE900E2" w14:textId="77777777"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34.160</w:t>
            </w:r>
          </w:p>
        </w:tc>
        <w:tc>
          <w:tcPr>
            <w:tcW w:w="1781" w:type="dxa"/>
            <w:tcBorders>
              <w:top w:val="nil"/>
              <w:bottom w:val="nil"/>
            </w:tcBorders>
          </w:tcPr>
          <w:p w14:paraId="41D3C7AD" w14:textId="77777777"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8.817</w:t>
            </w:r>
          </w:p>
        </w:tc>
        <w:tc>
          <w:tcPr>
            <w:tcW w:w="1958" w:type="dxa"/>
            <w:tcBorders>
              <w:top w:val="nil"/>
              <w:bottom w:val="nil"/>
            </w:tcBorders>
          </w:tcPr>
          <w:p w14:paraId="74A00F23" w14:textId="77777777"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27.029</w:t>
            </w:r>
          </w:p>
        </w:tc>
      </w:tr>
      <w:tr w:rsidR="003A450F" w:rsidRPr="00FD3EE9" w14:paraId="35823D2F" w14:textId="77777777" w:rsidTr="00D52D3B">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nil"/>
            </w:tcBorders>
          </w:tcPr>
          <w:p w14:paraId="11874FC8" w14:textId="77777777" w:rsidR="003A450F" w:rsidRPr="00FD3EE9" w:rsidRDefault="003A450F" w:rsidP="00D52D3B">
            <w:pPr>
              <w:ind w:firstLineChars="200" w:firstLine="402"/>
              <w:rPr>
                <w:b w:val="0"/>
                <w:sz w:val="20"/>
                <w:szCs w:val="20"/>
              </w:rPr>
            </w:pPr>
            <w:r w:rsidRPr="00FD3EE9">
              <w:rPr>
                <w:i/>
                <w:sz w:val="20"/>
                <w:szCs w:val="20"/>
              </w:rPr>
              <w:t>p</w:t>
            </w:r>
            <w:r w:rsidRPr="00FD3EE9">
              <w:rPr>
                <w:b w:val="0"/>
                <w:sz w:val="20"/>
                <w:szCs w:val="20"/>
              </w:rPr>
              <w:t>-value</w:t>
            </w:r>
          </w:p>
        </w:tc>
        <w:tc>
          <w:tcPr>
            <w:tcW w:w="2101" w:type="dxa"/>
            <w:tcBorders>
              <w:top w:val="nil"/>
              <w:bottom w:val="nil"/>
            </w:tcBorders>
          </w:tcPr>
          <w:p w14:paraId="0F0C6D26"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0.000</w:t>
            </w:r>
          </w:p>
        </w:tc>
        <w:tc>
          <w:tcPr>
            <w:tcW w:w="1781" w:type="dxa"/>
            <w:tcBorders>
              <w:top w:val="nil"/>
              <w:bottom w:val="nil"/>
            </w:tcBorders>
          </w:tcPr>
          <w:p w14:paraId="6AC3F4D6"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0.000</w:t>
            </w:r>
          </w:p>
        </w:tc>
        <w:tc>
          <w:tcPr>
            <w:tcW w:w="1958" w:type="dxa"/>
            <w:tcBorders>
              <w:top w:val="nil"/>
              <w:bottom w:val="nil"/>
            </w:tcBorders>
          </w:tcPr>
          <w:p w14:paraId="7A94B21F" w14:textId="77777777" w:rsidR="003A450F" w:rsidRPr="00FD3EE9" w:rsidRDefault="003A450F" w:rsidP="00D52D3B">
            <w:pPr>
              <w:tabs>
                <w:tab w:val="decimal" w:pos="515"/>
              </w:tabs>
              <w:ind w:firstLineChars="200" w:firstLine="400"/>
              <w:jc w:val="left"/>
              <w:cnfStyle w:val="000000100000" w:firstRow="0" w:lastRow="0" w:firstColumn="0" w:lastColumn="0" w:oddVBand="0" w:evenVBand="0" w:oddHBand="1" w:evenHBand="0" w:firstRowFirstColumn="0" w:firstRowLastColumn="0" w:lastRowFirstColumn="0" w:lastRowLastColumn="0"/>
              <w:rPr>
                <w:sz w:val="20"/>
                <w:szCs w:val="20"/>
              </w:rPr>
            </w:pPr>
            <w:r w:rsidRPr="00FD3EE9">
              <w:rPr>
                <w:sz w:val="20"/>
                <w:szCs w:val="20"/>
              </w:rPr>
              <w:t>0.000</w:t>
            </w:r>
          </w:p>
        </w:tc>
      </w:tr>
      <w:tr w:rsidR="003A450F" w:rsidRPr="00FD3EE9" w14:paraId="5865FC5E" w14:textId="77777777" w:rsidTr="00D52D3B">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95" w:type="dxa"/>
            <w:tcBorders>
              <w:top w:val="nil"/>
              <w:bottom w:val="single" w:sz="4" w:space="0" w:color="000000" w:themeColor="text1"/>
            </w:tcBorders>
          </w:tcPr>
          <w:p w14:paraId="6071F988" w14:textId="77777777" w:rsidR="003A450F" w:rsidRPr="00FD3EE9" w:rsidRDefault="003A450F" w:rsidP="00D52D3B">
            <w:pPr>
              <w:ind w:firstLineChars="200" w:firstLine="400"/>
              <w:rPr>
                <w:b w:val="0"/>
                <w:sz w:val="20"/>
                <w:szCs w:val="20"/>
              </w:rPr>
            </w:pPr>
            <w:r w:rsidRPr="00FD3EE9">
              <w:rPr>
                <w:b w:val="0"/>
                <w:sz w:val="20"/>
                <w:szCs w:val="20"/>
              </w:rPr>
              <w:t>N</w:t>
            </w:r>
          </w:p>
        </w:tc>
        <w:tc>
          <w:tcPr>
            <w:tcW w:w="2101" w:type="dxa"/>
            <w:tcBorders>
              <w:top w:val="nil"/>
              <w:bottom w:val="single" w:sz="4" w:space="0" w:color="000000" w:themeColor="text1"/>
            </w:tcBorders>
          </w:tcPr>
          <w:p w14:paraId="0F7EBEDC" w14:textId="77777777"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4,695</w:t>
            </w:r>
          </w:p>
        </w:tc>
        <w:tc>
          <w:tcPr>
            <w:tcW w:w="1781" w:type="dxa"/>
            <w:tcBorders>
              <w:top w:val="nil"/>
              <w:bottom w:val="single" w:sz="4" w:space="0" w:color="000000" w:themeColor="text1"/>
            </w:tcBorders>
          </w:tcPr>
          <w:p w14:paraId="0C6CB958" w14:textId="77777777"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1,353</w:t>
            </w:r>
          </w:p>
        </w:tc>
        <w:tc>
          <w:tcPr>
            <w:tcW w:w="1958" w:type="dxa"/>
            <w:tcBorders>
              <w:top w:val="nil"/>
              <w:bottom w:val="single" w:sz="4" w:space="0" w:color="000000" w:themeColor="text1"/>
            </w:tcBorders>
          </w:tcPr>
          <w:p w14:paraId="420F1A05" w14:textId="77777777" w:rsidR="003A450F" w:rsidRPr="00FD3EE9" w:rsidRDefault="003A450F" w:rsidP="00D52D3B">
            <w:pPr>
              <w:tabs>
                <w:tab w:val="decimal" w:pos="515"/>
              </w:tabs>
              <w:ind w:firstLineChars="200" w:firstLine="400"/>
              <w:jc w:val="left"/>
              <w:cnfStyle w:val="000000000000" w:firstRow="0" w:lastRow="0" w:firstColumn="0" w:lastColumn="0" w:oddVBand="0" w:evenVBand="0" w:oddHBand="0" w:evenHBand="0" w:firstRowFirstColumn="0" w:firstRowLastColumn="0" w:lastRowFirstColumn="0" w:lastRowLastColumn="0"/>
              <w:rPr>
                <w:sz w:val="20"/>
                <w:szCs w:val="20"/>
              </w:rPr>
            </w:pPr>
            <w:r w:rsidRPr="00FD3EE9">
              <w:rPr>
                <w:sz w:val="20"/>
                <w:szCs w:val="20"/>
              </w:rPr>
              <w:t>3,342</w:t>
            </w:r>
          </w:p>
        </w:tc>
      </w:tr>
    </w:tbl>
    <w:p w14:paraId="46354C41" w14:textId="063F6A3F" w:rsidR="0080219D" w:rsidRPr="00FD3EE9" w:rsidRDefault="0080219D" w:rsidP="0080219D">
      <w:pPr>
        <w:rPr>
          <w:sz w:val="21"/>
          <w:szCs w:val="21"/>
        </w:rPr>
      </w:pPr>
      <w:r w:rsidRPr="00FD3EE9">
        <w:rPr>
          <w:sz w:val="21"/>
          <w:szCs w:val="21"/>
        </w:rPr>
        <w:t xml:space="preserve">Note: This table presents ordinary least squares (OLS) regressions to assess the impact of executive compensation on post-acquisition performance. The dependent variable is long-term post-acquisition performance measured by the three-year buy-and-hold return (BHRs). Independent variables include Stock Option, Stock Ownership, and the square of stock ownership (stock ownership2) to capture its non-linear impact on performance. Year and industry fixed effects are included in all models. Column 1 reports the result for the full sample, and column 2 and 3 are based on SOEs and Non-SOEs, respectively. </w:t>
      </w:r>
      <w:r w:rsidR="00562EC3" w:rsidRPr="00FD3EE9">
        <w:rPr>
          <w:sz w:val="21"/>
          <w:szCs w:val="21"/>
        </w:rPr>
        <w:t xml:space="preserve">All regressions are clustered within firm units. </w:t>
      </w:r>
      <w:r w:rsidRPr="00FD3EE9">
        <w:rPr>
          <w:sz w:val="21"/>
          <w:szCs w:val="21"/>
        </w:rPr>
        <w:t>*, ** and *** indicate significance at the 10%, 5% and 1% levels, respectively.</w:t>
      </w:r>
    </w:p>
    <w:p w14:paraId="14F9023D" w14:textId="77777777" w:rsidR="003A450F" w:rsidRPr="00FD3EE9" w:rsidRDefault="003A450F" w:rsidP="00842BD5">
      <w:pPr>
        <w:ind w:firstLineChars="200" w:firstLine="480"/>
      </w:pPr>
    </w:p>
    <w:sectPr w:rsidR="003A450F" w:rsidRPr="00FD3EE9" w:rsidSect="00CC45BA">
      <w:pgSz w:w="11900" w:h="16840"/>
      <w:pgMar w:top="1440" w:right="1440" w:bottom="1440" w:left="144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E2364" w14:textId="77777777" w:rsidR="00E54C23" w:rsidRDefault="00E54C23" w:rsidP="00AA65B1">
      <w:r>
        <w:separator/>
      </w:r>
    </w:p>
  </w:endnote>
  <w:endnote w:type="continuationSeparator" w:id="0">
    <w:p w14:paraId="2E86DFC9" w14:textId="77777777" w:rsidR="00E54C23" w:rsidRDefault="00E54C23" w:rsidP="00AA65B1">
      <w:r>
        <w:continuationSeparator/>
      </w:r>
    </w:p>
  </w:endnote>
  <w:endnote w:id="1">
    <w:p w14:paraId="5C7246CD" w14:textId="5731B709" w:rsidR="009C38F8" w:rsidRPr="00E745B7" w:rsidRDefault="009C38F8">
      <w:pPr>
        <w:pStyle w:val="afb"/>
      </w:pPr>
      <w:r w:rsidRPr="000F6950">
        <w:rPr>
          <w:rStyle w:val="af"/>
        </w:rPr>
        <w:endnoteRef/>
      </w:r>
      <w:r w:rsidRPr="00E76ABD">
        <w:t xml:space="preserve"> </w:t>
      </w:r>
      <w:r w:rsidRPr="00E745B7">
        <w:rPr>
          <w:lang w:val="en-US"/>
        </w:rPr>
        <w:t>The China Securities Regulatory Commission (CSRC) released the “Measures for the Administration of Stock Incentive Plans of Listed Companies'” on December 31, 2005.</w:t>
      </w:r>
    </w:p>
  </w:endnote>
  <w:endnote w:id="2">
    <w:p w14:paraId="4BEB1276" w14:textId="72A0EA26" w:rsidR="009C38F8" w:rsidRPr="00E76ABD" w:rsidRDefault="009C38F8">
      <w:pPr>
        <w:pStyle w:val="afb"/>
        <w:rPr>
          <w:lang w:val="en-US"/>
        </w:rPr>
      </w:pPr>
      <w:r w:rsidRPr="000F6950">
        <w:rPr>
          <w:rStyle w:val="af"/>
        </w:rPr>
        <w:endnoteRef/>
      </w:r>
      <w:r w:rsidRPr="00E76ABD">
        <w:t xml:space="preserve"> </w:t>
      </w:r>
      <w:r w:rsidRPr="00E76ABD">
        <w:rPr>
          <w:lang w:val="en-US"/>
        </w:rPr>
        <w:t xml:space="preserve">Mixed Ownership Reform was first introduced in </w:t>
      </w:r>
      <w:r>
        <w:rPr>
          <w:lang w:val="en-US"/>
        </w:rPr>
        <w:t xml:space="preserve">the </w:t>
      </w:r>
      <w:r w:rsidRPr="00E76ABD">
        <w:rPr>
          <w:lang w:val="en-US"/>
        </w:rPr>
        <w:t>1990's to reform the sole ownership structure of state-owned enterprises</w:t>
      </w:r>
      <w:r>
        <w:rPr>
          <w:lang w:val="en-US"/>
        </w:rPr>
        <w:t xml:space="preserve"> </w:t>
      </w:r>
      <w:r w:rsidRPr="00E76ABD">
        <w:rPr>
          <w:lang w:val="en-US"/>
        </w:rPr>
        <w:t>(SOEs). By introducing private</w:t>
      </w:r>
      <w:r>
        <w:rPr>
          <w:lang w:val="en-US"/>
        </w:rPr>
        <w:t xml:space="preserve"> </w:t>
      </w:r>
      <w:r w:rsidRPr="00E76ABD">
        <w:rPr>
          <w:lang w:val="en-US"/>
        </w:rPr>
        <w:t>sector investment and management into SOEs, th</w:t>
      </w:r>
      <w:r>
        <w:rPr>
          <w:lang w:val="en-US"/>
        </w:rPr>
        <w:t>is</w:t>
      </w:r>
      <w:r w:rsidRPr="00E76ABD">
        <w:rPr>
          <w:lang w:val="en-US"/>
        </w:rPr>
        <w:t xml:space="preserve"> reform </w:t>
      </w:r>
      <w:r>
        <w:rPr>
          <w:lang w:val="en-US"/>
        </w:rPr>
        <w:t>seeks</w:t>
      </w:r>
      <w:r w:rsidRPr="00E76ABD">
        <w:rPr>
          <w:lang w:val="en-US"/>
        </w:rPr>
        <w:t xml:space="preserve"> to increase corporate governance and efficiency.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1672667"/>
      <w:docPartObj>
        <w:docPartGallery w:val="Page Numbers (Bottom of Page)"/>
        <w:docPartUnique/>
      </w:docPartObj>
    </w:sdtPr>
    <w:sdtEndPr>
      <w:rPr>
        <w:noProof/>
        <w:sz w:val="24"/>
        <w:szCs w:val="24"/>
      </w:rPr>
    </w:sdtEndPr>
    <w:sdtContent>
      <w:p w14:paraId="773A0E14" w14:textId="757740B0" w:rsidR="009C38F8" w:rsidRPr="00E76ABD" w:rsidRDefault="009C38F8" w:rsidP="00E76ABD">
        <w:pPr>
          <w:pStyle w:val="a8"/>
          <w:jc w:val="center"/>
          <w:rPr>
            <w:sz w:val="24"/>
            <w:szCs w:val="24"/>
          </w:rPr>
        </w:pPr>
        <w:r w:rsidRPr="00E76ABD">
          <w:rPr>
            <w:sz w:val="24"/>
            <w:szCs w:val="24"/>
          </w:rPr>
          <w:fldChar w:fldCharType="begin"/>
        </w:r>
        <w:r w:rsidRPr="00E76ABD">
          <w:rPr>
            <w:sz w:val="24"/>
            <w:szCs w:val="24"/>
          </w:rPr>
          <w:instrText xml:space="preserve"> PAGE   \* MERGEFORMAT </w:instrText>
        </w:r>
        <w:r w:rsidRPr="00E76ABD">
          <w:rPr>
            <w:sz w:val="24"/>
            <w:szCs w:val="24"/>
          </w:rPr>
          <w:fldChar w:fldCharType="separate"/>
        </w:r>
        <w:r>
          <w:rPr>
            <w:noProof/>
            <w:sz w:val="24"/>
            <w:szCs w:val="24"/>
          </w:rPr>
          <w:t>1</w:t>
        </w:r>
        <w:r w:rsidRPr="00E76ABD">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0BCEF" w14:textId="77777777" w:rsidR="00E54C23" w:rsidRDefault="00E54C23" w:rsidP="00AA65B1">
      <w:r>
        <w:separator/>
      </w:r>
    </w:p>
  </w:footnote>
  <w:footnote w:type="continuationSeparator" w:id="0">
    <w:p w14:paraId="41188F82" w14:textId="77777777" w:rsidR="00E54C23" w:rsidRDefault="00E54C23" w:rsidP="00AA65B1">
      <w:r>
        <w:continuationSeparator/>
      </w:r>
    </w:p>
  </w:footnote>
  <w:footnote w:id="1">
    <w:p w14:paraId="15362E3C" w14:textId="3F4DED5C" w:rsidR="009C38F8" w:rsidRDefault="009C38F8">
      <w:pPr>
        <w:pStyle w:val="aa"/>
      </w:pPr>
      <w:r>
        <w:rPr>
          <w:rStyle w:val="ac"/>
        </w:rPr>
        <w:footnoteRef/>
      </w:r>
      <w:r>
        <w:t xml:space="preserve"> Corresponding author: University of Aberdeen, Business School, </w:t>
      </w:r>
      <w:r w:rsidRPr="004F733C">
        <w:t>King's College, Aberdeen AB24 3FX</w:t>
      </w:r>
      <w:r>
        <w:t xml:space="preserve">, email: </w:t>
      </w:r>
      <w:hyperlink r:id="rId1" w:history="1">
        <w:r w:rsidRPr="00E70D34">
          <w:rPr>
            <w:rStyle w:val="af9"/>
          </w:rPr>
          <w:t>gerhard.kling@abdn.ac.uk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174A0"/>
    <w:multiLevelType w:val="hybridMultilevel"/>
    <w:tmpl w:val="0BAC42D6"/>
    <w:lvl w:ilvl="0" w:tplc="005ACFEC">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defaultTabStop w:val="418"/>
  <w:drawingGridHorizontalSpacing w:val="120"/>
  <w:drawingGridVerticalSpacing w:val="4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A5"/>
    <w:rsid w:val="0000722F"/>
    <w:rsid w:val="00016D87"/>
    <w:rsid w:val="00026398"/>
    <w:rsid w:val="00032141"/>
    <w:rsid w:val="00044E2D"/>
    <w:rsid w:val="000538C5"/>
    <w:rsid w:val="000565F9"/>
    <w:rsid w:val="00063784"/>
    <w:rsid w:val="00090899"/>
    <w:rsid w:val="000930FF"/>
    <w:rsid w:val="00094A0B"/>
    <w:rsid w:val="000967B0"/>
    <w:rsid w:val="000A6696"/>
    <w:rsid w:val="000B3618"/>
    <w:rsid w:val="000B3CD8"/>
    <w:rsid w:val="000B45D5"/>
    <w:rsid w:val="000C2F48"/>
    <w:rsid w:val="000C46B0"/>
    <w:rsid w:val="000C6FF2"/>
    <w:rsid w:val="000D01A9"/>
    <w:rsid w:val="000D6045"/>
    <w:rsid w:val="000F44D3"/>
    <w:rsid w:val="000F6950"/>
    <w:rsid w:val="000F7F15"/>
    <w:rsid w:val="001118A1"/>
    <w:rsid w:val="00117F82"/>
    <w:rsid w:val="00125BB2"/>
    <w:rsid w:val="001311B8"/>
    <w:rsid w:val="00143D5D"/>
    <w:rsid w:val="0014686A"/>
    <w:rsid w:val="00146939"/>
    <w:rsid w:val="00152D09"/>
    <w:rsid w:val="00166D89"/>
    <w:rsid w:val="001775DA"/>
    <w:rsid w:val="00182D13"/>
    <w:rsid w:val="0019220F"/>
    <w:rsid w:val="00192366"/>
    <w:rsid w:val="00194DF3"/>
    <w:rsid w:val="001A05F8"/>
    <w:rsid w:val="001A3248"/>
    <w:rsid w:val="001B34B2"/>
    <w:rsid w:val="001C54D8"/>
    <w:rsid w:val="001D090C"/>
    <w:rsid w:val="001D69C8"/>
    <w:rsid w:val="001E13A5"/>
    <w:rsid w:val="001E2C18"/>
    <w:rsid w:val="001E43CD"/>
    <w:rsid w:val="001E5E2B"/>
    <w:rsid w:val="001F232C"/>
    <w:rsid w:val="00203136"/>
    <w:rsid w:val="002065B9"/>
    <w:rsid w:val="00211967"/>
    <w:rsid w:val="00213FAA"/>
    <w:rsid w:val="00225AE6"/>
    <w:rsid w:val="00226F90"/>
    <w:rsid w:val="0024070E"/>
    <w:rsid w:val="002469FA"/>
    <w:rsid w:val="002523BA"/>
    <w:rsid w:val="002538BD"/>
    <w:rsid w:val="00264811"/>
    <w:rsid w:val="00264FF3"/>
    <w:rsid w:val="002865FD"/>
    <w:rsid w:val="002A7975"/>
    <w:rsid w:val="002B4346"/>
    <w:rsid w:val="002C0ABD"/>
    <w:rsid w:val="002C3F64"/>
    <w:rsid w:val="002D1D65"/>
    <w:rsid w:val="002D2EC1"/>
    <w:rsid w:val="002D7023"/>
    <w:rsid w:val="002E17F3"/>
    <w:rsid w:val="0032486A"/>
    <w:rsid w:val="00331E72"/>
    <w:rsid w:val="0034147E"/>
    <w:rsid w:val="00351CE2"/>
    <w:rsid w:val="00357941"/>
    <w:rsid w:val="00362BE2"/>
    <w:rsid w:val="00364E41"/>
    <w:rsid w:val="00366E3C"/>
    <w:rsid w:val="003712CF"/>
    <w:rsid w:val="003750F2"/>
    <w:rsid w:val="003A3600"/>
    <w:rsid w:val="003A450F"/>
    <w:rsid w:val="003C5A41"/>
    <w:rsid w:val="003C782A"/>
    <w:rsid w:val="003D1FA1"/>
    <w:rsid w:val="003D30A6"/>
    <w:rsid w:val="003D5D49"/>
    <w:rsid w:val="003E2523"/>
    <w:rsid w:val="004049C2"/>
    <w:rsid w:val="004078E8"/>
    <w:rsid w:val="00414AE0"/>
    <w:rsid w:val="00417031"/>
    <w:rsid w:val="00432682"/>
    <w:rsid w:val="00433057"/>
    <w:rsid w:val="004346C2"/>
    <w:rsid w:val="00435F23"/>
    <w:rsid w:val="00444BE0"/>
    <w:rsid w:val="004567A6"/>
    <w:rsid w:val="00461712"/>
    <w:rsid w:val="0048250F"/>
    <w:rsid w:val="00484C50"/>
    <w:rsid w:val="00487DE4"/>
    <w:rsid w:val="00492028"/>
    <w:rsid w:val="00493357"/>
    <w:rsid w:val="00496894"/>
    <w:rsid w:val="00497101"/>
    <w:rsid w:val="004A1AB0"/>
    <w:rsid w:val="004A349D"/>
    <w:rsid w:val="004A5630"/>
    <w:rsid w:val="004A61F3"/>
    <w:rsid w:val="004B3902"/>
    <w:rsid w:val="004C1876"/>
    <w:rsid w:val="004C7324"/>
    <w:rsid w:val="004D044B"/>
    <w:rsid w:val="004D13B2"/>
    <w:rsid w:val="004D2225"/>
    <w:rsid w:val="004D4CE3"/>
    <w:rsid w:val="004F733C"/>
    <w:rsid w:val="00501E88"/>
    <w:rsid w:val="00505C33"/>
    <w:rsid w:val="00512D26"/>
    <w:rsid w:val="005205D2"/>
    <w:rsid w:val="00523AC5"/>
    <w:rsid w:val="00523F5B"/>
    <w:rsid w:val="00526106"/>
    <w:rsid w:val="005341CA"/>
    <w:rsid w:val="00537CB0"/>
    <w:rsid w:val="00545D5E"/>
    <w:rsid w:val="00545DF9"/>
    <w:rsid w:val="00556B26"/>
    <w:rsid w:val="0055784E"/>
    <w:rsid w:val="00560AEA"/>
    <w:rsid w:val="00561A2B"/>
    <w:rsid w:val="00562EC3"/>
    <w:rsid w:val="005663AF"/>
    <w:rsid w:val="0056704D"/>
    <w:rsid w:val="005753B9"/>
    <w:rsid w:val="005A0AEC"/>
    <w:rsid w:val="005B6E4F"/>
    <w:rsid w:val="005B7E3D"/>
    <w:rsid w:val="005C2F22"/>
    <w:rsid w:val="005D7CEB"/>
    <w:rsid w:val="005F155A"/>
    <w:rsid w:val="006146FE"/>
    <w:rsid w:val="00614E05"/>
    <w:rsid w:val="00625592"/>
    <w:rsid w:val="006461B5"/>
    <w:rsid w:val="006519D6"/>
    <w:rsid w:val="00654661"/>
    <w:rsid w:val="00667C6C"/>
    <w:rsid w:val="00667D9C"/>
    <w:rsid w:val="00690E05"/>
    <w:rsid w:val="006B29AA"/>
    <w:rsid w:val="006B6D69"/>
    <w:rsid w:val="006C1359"/>
    <w:rsid w:val="006C424E"/>
    <w:rsid w:val="006D6602"/>
    <w:rsid w:val="006D6673"/>
    <w:rsid w:val="006E1A7A"/>
    <w:rsid w:val="006F20FA"/>
    <w:rsid w:val="006F4838"/>
    <w:rsid w:val="006F5B62"/>
    <w:rsid w:val="006F5FDA"/>
    <w:rsid w:val="00714151"/>
    <w:rsid w:val="007141BB"/>
    <w:rsid w:val="00714997"/>
    <w:rsid w:val="00724F8B"/>
    <w:rsid w:val="00736176"/>
    <w:rsid w:val="007514CB"/>
    <w:rsid w:val="00754D3B"/>
    <w:rsid w:val="007600BA"/>
    <w:rsid w:val="007618C3"/>
    <w:rsid w:val="007624F0"/>
    <w:rsid w:val="007644DD"/>
    <w:rsid w:val="007717D4"/>
    <w:rsid w:val="00771DA4"/>
    <w:rsid w:val="00787B6F"/>
    <w:rsid w:val="007B14B2"/>
    <w:rsid w:val="007B1AA2"/>
    <w:rsid w:val="007B46AA"/>
    <w:rsid w:val="007B58B3"/>
    <w:rsid w:val="007B6FD5"/>
    <w:rsid w:val="007C7ADB"/>
    <w:rsid w:val="007D07B1"/>
    <w:rsid w:val="007D67C0"/>
    <w:rsid w:val="007E1F1A"/>
    <w:rsid w:val="007E320A"/>
    <w:rsid w:val="007F3086"/>
    <w:rsid w:val="007F4F39"/>
    <w:rsid w:val="007F6303"/>
    <w:rsid w:val="007F7ABF"/>
    <w:rsid w:val="008005AC"/>
    <w:rsid w:val="0080219D"/>
    <w:rsid w:val="00812DAB"/>
    <w:rsid w:val="0081792D"/>
    <w:rsid w:val="00825A2B"/>
    <w:rsid w:val="00825ED3"/>
    <w:rsid w:val="00842BD5"/>
    <w:rsid w:val="008431A6"/>
    <w:rsid w:val="00847726"/>
    <w:rsid w:val="00847927"/>
    <w:rsid w:val="00855135"/>
    <w:rsid w:val="0085750E"/>
    <w:rsid w:val="008706AD"/>
    <w:rsid w:val="00877481"/>
    <w:rsid w:val="0087763B"/>
    <w:rsid w:val="008840D6"/>
    <w:rsid w:val="00887348"/>
    <w:rsid w:val="00895159"/>
    <w:rsid w:val="008B65B8"/>
    <w:rsid w:val="008C1021"/>
    <w:rsid w:val="008D0C53"/>
    <w:rsid w:val="008D21B9"/>
    <w:rsid w:val="008D2743"/>
    <w:rsid w:val="008E431E"/>
    <w:rsid w:val="008E69A5"/>
    <w:rsid w:val="008E7471"/>
    <w:rsid w:val="008F4B09"/>
    <w:rsid w:val="00900D5B"/>
    <w:rsid w:val="00901D7D"/>
    <w:rsid w:val="009114A7"/>
    <w:rsid w:val="0093623C"/>
    <w:rsid w:val="00937A34"/>
    <w:rsid w:val="00945084"/>
    <w:rsid w:val="00950783"/>
    <w:rsid w:val="00957AEA"/>
    <w:rsid w:val="00960746"/>
    <w:rsid w:val="009731E9"/>
    <w:rsid w:val="00975007"/>
    <w:rsid w:val="00975206"/>
    <w:rsid w:val="00983362"/>
    <w:rsid w:val="009929A5"/>
    <w:rsid w:val="00996EDC"/>
    <w:rsid w:val="009A48C9"/>
    <w:rsid w:val="009A62DF"/>
    <w:rsid w:val="009B5F17"/>
    <w:rsid w:val="009C38F8"/>
    <w:rsid w:val="009C552D"/>
    <w:rsid w:val="009C7154"/>
    <w:rsid w:val="009D1753"/>
    <w:rsid w:val="009D4A44"/>
    <w:rsid w:val="009E0B02"/>
    <w:rsid w:val="009E2881"/>
    <w:rsid w:val="009E56F0"/>
    <w:rsid w:val="00A00BBC"/>
    <w:rsid w:val="00A02D5E"/>
    <w:rsid w:val="00A036F8"/>
    <w:rsid w:val="00A03ACF"/>
    <w:rsid w:val="00A07AA2"/>
    <w:rsid w:val="00A152AF"/>
    <w:rsid w:val="00A20F1B"/>
    <w:rsid w:val="00A2661C"/>
    <w:rsid w:val="00A31E40"/>
    <w:rsid w:val="00A33E08"/>
    <w:rsid w:val="00A408DC"/>
    <w:rsid w:val="00A41643"/>
    <w:rsid w:val="00A5637C"/>
    <w:rsid w:val="00A73E1D"/>
    <w:rsid w:val="00AA3F22"/>
    <w:rsid w:val="00AA65B1"/>
    <w:rsid w:val="00AB6ED1"/>
    <w:rsid w:val="00AC0F3B"/>
    <w:rsid w:val="00AD6855"/>
    <w:rsid w:val="00AE026C"/>
    <w:rsid w:val="00AE3000"/>
    <w:rsid w:val="00AE562C"/>
    <w:rsid w:val="00AF1163"/>
    <w:rsid w:val="00AF1FC7"/>
    <w:rsid w:val="00AF278A"/>
    <w:rsid w:val="00B018A7"/>
    <w:rsid w:val="00B024D7"/>
    <w:rsid w:val="00B0396C"/>
    <w:rsid w:val="00B12793"/>
    <w:rsid w:val="00B134BD"/>
    <w:rsid w:val="00B21869"/>
    <w:rsid w:val="00B218B7"/>
    <w:rsid w:val="00B23A6E"/>
    <w:rsid w:val="00B2421B"/>
    <w:rsid w:val="00B35695"/>
    <w:rsid w:val="00B358B5"/>
    <w:rsid w:val="00B41F1A"/>
    <w:rsid w:val="00B4301A"/>
    <w:rsid w:val="00B51A85"/>
    <w:rsid w:val="00B73BE8"/>
    <w:rsid w:val="00B9619F"/>
    <w:rsid w:val="00B97BBA"/>
    <w:rsid w:val="00BA335F"/>
    <w:rsid w:val="00BA3BC9"/>
    <w:rsid w:val="00BA560F"/>
    <w:rsid w:val="00BB2FD6"/>
    <w:rsid w:val="00BB428F"/>
    <w:rsid w:val="00BC6B8D"/>
    <w:rsid w:val="00BC7F46"/>
    <w:rsid w:val="00BD17FE"/>
    <w:rsid w:val="00BD1FDF"/>
    <w:rsid w:val="00BD22E9"/>
    <w:rsid w:val="00BD3B21"/>
    <w:rsid w:val="00C11919"/>
    <w:rsid w:val="00C34701"/>
    <w:rsid w:val="00C40762"/>
    <w:rsid w:val="00C47E4D"/>
    <w:rsid w:val="00C505C4"/>
    <w:rsid w:val="00C53FCE"/>
    <w:rsid w:val="00C54F6F"/>
    <w:rsid w:val="00C63390"/>
    <w:rsid w:val="00C722CA"/>
    <w:rsid w:val="00C80C4C"/>
    <w:rsid w:val="00C87E6A"/>
    <w:rsid w:val="00CB5AA3"/>
    <w:rsid w:val="00CC22F4"/>
    <w:rsid w:val="00CC379A"/>
    <w:rsid w:val="00CC45BA"/>
    <w:rsid w:val="00CD4E37"/>
    <w:rsid w:val="00CD7465"/>
    <w:rsid w:val="00CE58E4"/>
    <w:rsid w:val="00D048BE"/>
    <w:rsid w:val="00D14D5A"/>
    <w:rsid w:val="00D20307"/>
    <w:rsid w:val="00D229F5"/>
    <w:rsid w:val="00D32D00"/>
    <w:rsid w:val="00D333EB"/>
    <w:rsid w:val="00D34A50"/>
    <w:rsid w:val="00D43434"/>
    <w:rsid w:val="00D454B2"/>
    <w:rsid w:val="00D52D3B"/>
    <w:rsid w:val="00D60FB2"/>
    <w:rsid w:val="00D64518"/>
    <w:rsid w:val="00D65520"/>
    <w:rsid w:val="00D677B3"/>
    <w:rsid w:val="00D73E59"/>
    <w:rsid w:val="00D75B6F"/>
    <w:rsid w:val="00D82956"/>
    <w:rsid w:val="00D85830"/>
    <w:rsid w:val="00D91BFD"/>
    <w:rsid w:val="00D9276F"/>
    <w:rsid w:val="00D96856"/>
    <w:rsid w:val="00DB3C22"/>
    <w:rsid w:val="00DB46FF"/>
    <w:rsid w:val="00DC3C40"/>
    <w:rsid w:val="00DC45E7"/>
    <w:rsid w:val="00DC62E5"/>
    <w:rsid w:val="00DD0A4B"/>
    <w:rsid w:val="00DD123A"/>
    <w:rsid w:val="00DD1E3A"/>
    <w:rsid w:val="00DE1AE5"/>
    <w:rsid w:val="00DE414B"/>
    <w:rsid w:val="00DE43C3"/>
    <w:rsid w:val="00DF18FF"/>
    <w:rsid w:val="00E05EA1"/>
    <w:rsid w:val="00E064E5"/>
    <w:rsid w:val="00E10AA4"/>
    <w:rsid w:val="00E10EEA"/>
    <w:rsid w:val="00E1225F"/>
    <w:rsid w:val="00E2263D"/>
    <w:rsid w:val="00E23793"/>
    <w:rsid w:val="00E33E5A"/>
    <w:rsid w:val="00E364C5"/>
    <w:rsid w:val="00E36616"/>
    <w:rsid w:val="00E52EED"/>
    <w:rsid w:val="00E54C23"/>
    <w:rsid w:val="00E57CE3"/>
    <w:rsid w:val="00E671BC"/>
    <w:rsid w:val="00E70FA0"/>
    <w:rsid w:val="00E735BB"/>
    <w:rsid w:val="00E745B7"/>
    <w:rsid w:val="00E76ABD"/>
    <w:rsid w:val="00E805F3"/>
    <w:rsid w:val="00E8194D"/>
    <w:rsid w:val="00E8331F"/>
    <w:rsid w:val="00E86971"/>
    <w:rsid w:val="00E9285E"/>
    <w:rsid w:val="00E94C11"/>
    <w:rsid w:val="00E951C6"/>
    <w:rsid w:val="00E96730"/>
    <w:rsid w:val="00EA0120"/>
    <w:rsid w:val="00EA075B"/>
    <w:rsid w:val="00EA2087"/>
    <w:rsid w:val="00EA2A63"/>
    <w:rsid w:val="00EA335F"/>
    <w:rsid w:val="00EA4F8D"/>
    <w:rsid w:val="00EA6CF4"/>
    <w:rsid w:val="00EB0A8F"/>
    <w:rsid w:val="00ED38F7"/>
    <w:rsid w:val="00EE1B55"/>
    <w:rsid w:val="00EF1F9E"/>
    <w:rsid w:val="00EF2C57"/>
    <w:rsid w:val="00F00CD4"/>
    <w:rsid w:val="00F25F4F"/>
    <w:rsid w:val="00F26613"/>
    <w:rsid w:val="00F31607"/>
    <w:rsid w:val="00F36DFC"/>
    <w:rsid w:val="00F40261"/>
    <w:rsid w:val="00F45BE8"/>
    <w:rsid w:val="00F51062"/>
    <w:rsid w:val="00F51263"/>
    <w:rsid w:val="00F93BD3"/>
    <w:rsid w:val="00FB26F9"/>
    <w:rsid w:val="00FB2BD0"/>
    <w:rsid w:val="00FD3EE9"/>
    <w:rsid w:val="00FF0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C5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E94C11"/>
    <w:pPr>
      <w:widowControl w:val="0"/>
      <w:jc w:val="both"/>
    </w:pPr>
    <w:rPr>
      <w:rFonts w:ascii="Times New Roman" w:eastAsia="Times New Roman" w:hAnsi="Times New Roman"/>
      <w:lang w:val="en-GB"/>
    </w:rPr>
  </w:style>
  <w:style w:type="paragraph" w:styleId="1">
    <w:name w:val="heading 1"/>
    <w:basedOn w:val="a"/>
    <w:next w:val="a"/>
    <w:link w:val="10"/>
    <w:uiPriority w:val="9"/>
    <w:qFormat/>
    <w:rsid w:val="001E13A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E13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1E13A5"/>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1E13A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1E13A5"/>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1E13A5"/>
    <w:pPr>
      <w:keepNext/>
      <w:keepLines/>
      <w:spacing w:before="240" w:after="64" w:line="320" w:lineRule="auto"/>
      <w:outlineLvl w:val="5"/>
    </w:pPr>
    <w:rPr>
      <w:rFonts w:asciiTheme="majorHAnsi" w:eastAsiaTheme="majorEastAsia" w:hAnsiTheme="majorHAnsi" w:cstheme="majorBidi"/>
      <w:b/>
      <w:bCs/>
    </w:rPr>
  </w:style>
  <w:style w:type="paragraph" w:styleId="7">
    <w:name w:val="heading 7"/>
    <w:basedOn w:val="a"/>
    <w:next w:val="a"/>
    <w:link w:val="70"/>
    <w:uiPriority w:val="9"/>
    <w:unhideWhenUsed/>
    <w:qFormat/>
    <w:rsid w:val="001E13A5"/>
    <w:pPr>
      <w:keepNext/>
      <w:keepLines/>
      <w:spacing w:before="240" w:after="64" w:line="320" w:lineRule="auto"/>
      <w:outlineLvl w:val="6"/>
    </w:pPr>
    <w:rPr>
      <w:b/>
      <w:bCs/>
    </w:rPr>
  </w:style>
  <w:style w:type="paragraph" w:styleId="8">
    <w:name w:val="heading 8"/>
    <w:basedOn w:val="a"/>
    <w:next w:val="a"/>
    <w:link w:val="80"/>
    <w:uiPriority w:val="9"/>
    <w:unhideWhenUsed/>
    <w:qFormat/>
    <w:rsid w:val="001E13A5"/>
    <w:pPr>
      <w:keepNext/>
      <w:keepLines/>
      <w:spacing w:before="240" w:after="64" w:line="320" w:lineRule="auto"/>
      <w:outlineLvl w:val="7"/>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13A5"/>
    <w:rPr>
      <w:b/>
      <w:bCs/>
      <w:kern w:val="44"/>
      <w:sz w:val="44"/>
      <w:szCs w:val="44"/>
      <w:lang w:val="en-GB"/>
    </w:rPr>
  </w:style>
  <w:style w:type="paragraph" w:styleId="a3">
    <w:name w:val="No Spacing"/>
    <w:uiPriority w:val="1"/>
    <w:qFormat/>
    <w:rsid w:val="001E13A5"/>
    <w:pPr>
      <w:widowControl w:val="0"/>
      <w:jc w:val="both"/>
    </w:pPr>
    <w:rPr>
      <w:lang w:val="en-GB"/>
    </w:rPr>
  </w:style>
  <w:style w:type="character" w:customStyle="1" w:styleId="20">
    <w:name w:val="标题 2 字符"/>
    <w:basedOn w:val="a0"/>
    <w:link w:val="2"/>
    <w:uiPriority w:val="9"/>
    <w:rsid w:val="001E13A5"/>
    <w:rPr>
      <w:rFonts w:asciiTheme="majorHAnsi" w:eastAsiaTheme="majorEastAsia" w:hAnsiTheme="majorHAnsi" w:cstheme="majorBidi"/>
      <w:b/>
      <w:bCs/>
      <w:sz w:val="32"/>
      <w:szCs w:val="32"/>
      <w:lang w:val="en-GB"/>
    </w:rPr>
  </w:style>
  <w:style w:type="paragraph" w:styleId="a4">
    <w:name w:val="Title"/>
    <w:basedOn w:val="a"/>
    <w:next w:val="a"/>
    <w:link w:val="a5"/>
    <w:uiPriority w:val="10"/>
    <w:qFormat/>
    <w:rsid w:val="001E13A5"/>
    <w:pPr>
      <w:spacing w:before="240" w:after="60"/>
      <w:jc w:val="center"/>
      <w:outlineLvl w:val="0"/>
    </w:pPr>
    <w:rPr>
      <w:rFonts w:asciiTheme="majorHAnsi" w:eastAsia="宋体" w:hAnsiTheme="majorHAnsi" w:cstheme="majorBidi"/>
      <w:b/>
      <w:bCs/>
      <w:sz w:val="32"/>
      <w:szCs w:val="32"/>
    </w:rPr>
  </w:style>
  <w:style w:type="character" w:customStyle="1" w:styleId="a5">
    <w:name w:val="标题 字符"/>
    <w:basedOn w:val="a0"/>
    <w:link w:val="a4"/>
    <w:uiPriority w:val="10"/>
    <w:rsid w:val="001E13A5"/>
    <w:rPr>
      <w:rFonts w:asciiTheme="majorHAnsi" w:eastAsia="宋体" w:hAnsiTheme="majorHAnsi" w:cstheme="majorBidi"/>
      <w:b/>
      <w:bCs/>
      <w:sz w:val="32"/>
      <w:szCs w:val="32"/>
      <w:lang w:val="en-GB"/>
    </w:rPr>
  </w:style>
  <w:style w:type="character" w:customStyle="1" w:styleId="30">
    <w:name w:val="标题 3 字符"/>
    <w:basedOn w:val="a0"/>
    <w:link w:val="3"/>
    <w:uiPriority w:val="9"/>
    <w:rsid w:val="001E13A5"/>
    <w:rPr>
      <w:b/>
      <w:bCs/>
      <w:sz w:val="32"/>
      <w:szCs w:val="32"/>
      <w:lang w:val="en-GB"/>
    </w:rPr>
  </w:style>
  <w:style w:type="character" w:customStyle="1" w:styleId="40">
    <w:name w:val="标题 4 字符"/>
    <w:basedOn w:val="a0"/>
    <w:link w:val="4"/>
    <w:uiPriority w:val="9"/>
    <w:rsid w:val="001E13A5"/>
    <w:rPr>
      <w:rFonts w:asciiTheme="majorHAnsi" w:eastAsiaTheme="majorEastAsia" w:hAnsiTheme="majorHAnsi" w:cstheme="majorBidi"/>
      <w:b/>
      <w:bCs/>
      <w:sz w:val="28"/>
      <w:szCs w:val="28"/>
      <w:lang w:val="en-GB"/>
    </w:rPr>
  </w:style>
  <w:style w:type="character" w:customStyle="1" w:styleId="50">
    <w:name w:val="标题 5 字符"/>
    <w:basedOn w:val="a0"/>
    <w:link w:val="5"/>
    <w:uiPriority w:val="9"/>
    <w:rsid w:val="001E13A5"/>
    <w:rPr>
      <w:b/>
      <w:bCs/>
      <w:sz w:val="28"/>
      <w:szCs w:val="28"/>
      <w:lang w:val="en-GB"/>
    </w:rPr>
  </w:style>
  <w:style w:type="character" w:customStyle="1" w:styleId="60">
    <w:name w:val="标题 6 字符"/>
    <w:basedOn w:val="a0"/>
    <w:link w:val="6"/>
    <w:uiPriority w:val="9"/>
    <w:rsid w:val="001E13A5"/>
    <w:rPr>
      <w:rFonts w:asciiTheme="majorHAnsi" w:eastAsiaTheme="majorEastAsia" w:hAnsiTheme="majorHAnsi" w:cstheme="majorBidi"/>
      <w:b/>
      <w:bCs/>
      <w:lang w:val="en-GB"/>
    </w:rPr>
  </w:style>
  <w:style w:type="character" w:customStyle="1" w:styleId="70">
    <w:name w:val="标题 7 字符"/>
    <w:basedOn w:val="a0"/>
    <w:link w:val="7"/>
    <w:uiPriority w:val="9"/>
    <w:rsid w:val="001E13A5"/>
    <w:rPr>
      <w:b/>
      <w:bCs/>
      <w:lang w:val="en-GB"/>
    </w:rPr>
  </w:style>
  <w:style w:type="character" w:customStyle="1" w:styleId="80">
    <w:name w:val="标题 8 字符"/>
    <w:basedOn w:val="a0"/>
    <w:link w:val="8"/>
    <w:uiPriority w:val="9"/>
    <w:rsid w:val="001E13A5"/>
    <w:rPr>
      <w:rFonts w:asciiTheme="majorHAnsi" w:eastAsiaTheme="majorEastAsia" w:hAnsiTheme="majorHAnsi" w:cstheme="majorBidi"/>
      <w:lang w:val="en-GB"/>
    </w:rPr>
  </w:style>
  <w:style w:type="paragraph" w:styleId="a6">
    <w:name w:val="header"/>
    <w:basedOn w:val="a"/>
    <w:link w:val="a7"/>
    <w:uiPriority w:val="99"/>
    <w:unhideWhenUsed/>
    <w:rsid w:val="00AA65B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A65B1"/>
    <w:rPr>
      <w:sz w:val="18"/>
      <w:szCs w:val="18"/>
      <w:lang w:val="en-GB"/>
    </w:rPr>
  </w:style>
  <w:style w:type="paragraph" w:styleId="a8">
    <w:name w:val="footer"/>
    <w:basedOn w:val="a"/>
    <w:link w:val="a9"/>
    <w:uiPriority w:val="99"/>
    <w:unhideWhenUsed/>
    <w:rsid w:val="00AA65B1"/>
    <w:pPr>
      <w:tabs>
        <w:tab w:val="center" w:pos="4153"/>
        <w:tab w:val="right" w:pos="8306"/>
      </w:tabs>
      <w:snapToGrid w:val="0"/>
      <w:jc w:val="left"/>
    </w:pPr>
    <w:rPr>
      <w:sz w:val="18"/>
      <w:szCs w:val="18"/>
    </w:rPr>
  </w:style>
  <w:style w:type="character" w:customStyle="1" w:styleId="a9">
    <w:name w:val="页脚 字符"/>
    <w:basedOn w:val="a0"/>
    <w:link w:val="a8"/>
    <w:uiPriority w:val="99"/>
    <w:rsid w:val="00AA65B1"/>
    <w:rPr>
      <w:sz w:val="18"/>
      <w:szCs w:val="18"/>
      <w:lang w:val="en-GB"/>
    </w:rPr>
  </w:style>
  <w:style w:type="paragraph" w:styleId="aa">
    <w:name w:val="footnote text"/>
    <w:basedOn w:val="a"/>
    <w:link w:val="ab"/>
    <w:uiPriority w:val="99"/>
    <w:unhideWhenUsed/>
    <w:rsid w:val="00BD1FDF"/>
    <w:pPr>
      <w:snapToGrid w:val="0"/>
      <w:jc w:val="left"/>
    </w:pPr>
    <w:rPr>
      <w:sz w:val="18"/>
      <w:szCs w:val="18"/>
    </w:rPr>
  </w:style>
  <w:style w:type="character" w:customStyle="1" w:styleId="ab">
    <w:name w:val="脚注文本 字符"/>
    <w:basedOn w:val="a0"/>
    <w:link w:val="aa"/>
    <w:uiPriority w:val="99"/>
    <w:rsid w:val="00BD1FDF"/>
    <w:rPr>
      <w:rFonts w:eastAsia="Times New Roman"/>
      <w:sz w:val="18"/>
      <w:szCs w:val="18"/>
      <w:lang w:val="en-GB"/>
    </w:rPr>
  </w:style>
  <w:style w:type="character" w:styleId="ac">
    <w:name w:val="footnote reference"/>
    <w:basedOn w:val="a0"/>
    <w:uiPriority w:val="99"/>
    <w:unhideWhenUsed/>
    <w:rsid w:val="00BD1FDF"/>
    <w:rPr>
      <w:rFonts w:eastAsia="Times New Roman"/>
      <w:vertAlign w:val="superscript"/>
    </w:rPr>
  </w:style>
  <w:style w:type="paragraph" w:styleId="ad">
    <w:name w:val="Subtitle"/>
    <w:basedOn w:val="a"/>
    <w:next w:val="a"/>
    <w:link w:val="ae"/>
    <w:uiPriority w:val="11"/>
    <w:qFormat/>
    <w:rsid w:val="00492028"/>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e">
    <w:name w:val="副标题 字符"/>
    <w:basedOn w:val="a0"/>
    <w:link w:val="ad"/>
    <w:uiPriority w:val="11"/>
    <w:rsid w:val="00492028"/>
    <w:rPr>
      <w:rFonts w:asciiTheme="majorHAnsi" w:eastAsia="宋体" w:hAnsiTheme="majorHAnsi" w:cstheme="majorBidi"/>
      <w:b/>
      <w:bCs/>
      <w:kern w:val="28"/>
      <w:sz w:val="32"/>
      <w:szCs w:val="32"/>
      <w:lang w:val="en-GB"/>
    </w:rPr>
  </w:style>
  <w:style w:type="character" w:styleId="af">
    <w:name w:val="endnote reference"/>
    <w:basedOn w:val="a0"/>
    <w:uiPriority w:val="99"/>
    <w:semiHidden/>
    <w:unhideWhenUsed/>
    <w:rsid w:val="001D090C"/>
    <w:rPr>
      <w:vertAlign w:val="superscript"/>
    </w:rPr>
  </w:style>
  <w:style w:type="character" w:styleId="af0">
    <w:name w:val="Placeholder Text"/>
    <w:basedOn w:val="a0"/>
    <w:uiPriority w:val="99"/>
    <w:semiHidden/>
    <w:rsid w:val="00BA3BC9"/>
    <w:rPr>
      <w:color w:val="808080"/>
    </w:rPr>
  </w:style>
  <w:style w:type="paragraph" w:styleId="af1">
    <w:name w:val="caption"/>
    <w:basedOn w:val="a"/>
    <w:next w:val="a"/>
    <w:uiPriority w:val="35"/>
    <w:unhideWhenUsed/>
    <w:qFormat/>
    <w:rsid w:val="00DD0A4B"/>
    <w:rPr>
      <w:rFonts w:asciiTheme="majorHAnsi" w:eastAsia="宋体" w:hAnsiTheme="majorHAnsi" w:cstheme="majorBidi"/>
      <w:sz w:val="20"/>
      <w:szCs w:val="20"/>
    </w:rPr>
  </w:style>
  <w:style w:type="table" w:styleId="af2">
    <w:name w:val="Table Grid"/>
    <w:basedOn w:val="a1"/>
    <w:uiPriority w:val="39"/>
    <w:rsid w:val="0009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普通表格 21"/>
    <w:basedOn w:val="a1"/>
    <w:uiPriority w:val="42"/>
    <w:rsid w:val="000908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ibliography1">
    <w:name w:val="Bibliography1"/>
    <w:basedOn w:val="a"/>
    <w:rsid w:val="00996EDC"/>
    <w:pPr>
      <w:ind w:left="720" w:hanging="720"/>
    </w:pPr>
    <w:rPr>
      <w:lang w:val="en-US"/>
    </w:rPr>
  </w:style>
  <w:style w:type="paragraph" w:styleId="af3">
    <w:name w:val="Balloon Text"/>
    <w:basedOn w:val="a"/>
    <w:link w:val="af4"/>
    <w:uiPriority w:val="99"/>
    <w:semiHidden/>
    <w:unhideWhenUsed/>
    <w:rsid w:val="008E431E"/>
    <w:rPr>
      <w:rFonts w:ascii="Tahoma" w:hAnsi="Tahoma" w:cs="Tahoma"/>
      <w:sz w:val="16"/>
      <w:szCs w:val="16"/>
    </w:rPr>
  </w:style>
  <w:style w:type="character" w:customStyle="1" w:styleId="af4">
    <w:name w:val="批注框文本 字符"/>
    <w:basedOn w:val="a0"/>
    <w:link w:val="af3"/>
    <w:uiPriority w:val="99"/>
    <w:semiHidden/>
    <w:rsid w:val="008E431E"/>
    <w:rPr>
      <w:rFonts w:ascii="Tahoma" w:eastAsia="Times New Roman" w:hAnsi="Tahoma" w:cs="Tahoma"/>
      <w:sz w:val="16"/>
      <w:szCs w:val="16"/>
      <w:lang w:val="en-GB"/>
    </w:rPr>
  </w:style>
  <w:style w:type="paragraph" w:styleId="af5">
    <w:name w:val="Normal (Web)"/>
    <w:basedOn w:val="a"/>
    <w:uiPriority w:val="99"/>
    <w:semiHidden/>
    <w:unhideWhenUsed/>
    <w:rsid w:val="006F20FA"/>
    <w:pPr>
      <w:widowControl/>
      <w:spacing w:before="100" w:beforeAutospacing="1" w:after="100" w:afterAutospacing="1"/>
      <w:jc w:val="left"/>
    </w:pPr>
    <w:rPr>
      <w:rFonts w:cs="Times New Roman"/>
      <w:kern w:val="0"/>
      <w:lang w:val="en-US" w:eastAsia="en-US"/>
    </w:rPr>
  </w:style>
  <w:style w:type="paragraph" w:customStyle="1" w:styleId="11">
    <w:name w:val="书目1"/>
    <w:basedOn w:val="a"/>
    <w:link w:val="Bibliography"/>
    <w:rsid w:val="003D30A6"/>
    <w:pPr>
      <w:ind w:left="720" w:firstLineChars="200" w:hanging="720"/>
    </w:pPr>
    <w:rPr>
      <w:lang w:val="en-US"/>
    </w:rPr>
  </w:style>
  <w:style w:type="character" w:customStyle="1" w:styleId="Bibliography">
    <w:name w:val="Bibliography 字符"/>
    <w:basedOn w:val="a0"/>
    <w:link w:val="11"/>
    <w:rsid w:val="003D30A6"/>
    <w:rPr>
      <w:rFonts w:ascii="Times New Roman" w:eastAsia="Times New Roman" w:hAnsi="Times New Roman"/>
    </w:rPr>
  </w:style>
  <w:style w:type="paragraph" w:styleId="af6">
    <w:name w:val="Revision"/>
    <w:hidden/>
    <w:uiPriority w:val="99"/>
    <w:semiHidden/>
    <w:rsid w:val="00512D26"/>
    <w:rPr>
      <w:rFonts w:ascii="Times New Roman" w:eastAsia="Times New Roman" w:hAnsi="Times New Roman"/>
      <w:lang w:val="en-GB"/>
    </w:rPr>
  </w:style>
  <w:style w:type="paragraph" w:styleId="af7">
    <w:name w:val="Note Heading"/>
    <w:basedOn w:val="a"/>
    <w:next w:val="a"/>
    <w:link w:val="af8"/>
    <w:uiPriority w:val="99"/>
    <w:semiHidden/>
    <w:unhideWhenUsed/>
    <w:rsid w:val="003D30A6"/>
    <w:pPr>
      <w:jc w:val="center"/>
    </w:pPr>
  </w:style>
  <w:style w:type="character" w:customStyle="1" w:styleId="af8">
    <w:name w:val="注释标题 字符"/>
    <w:basedOn w:val="a0"/>
    <w:link w:val="af7"/>
    <w:uiPriority w:val="99"/>
    <w:semiHidden/>
    <w:rsid w:val="003D30A6"/>
    <w:rPr>
      <w:rFonts w:ascii="Times New Roman" w:eastAsia="Times New Roman" w:hAnsi="Times New Roman"/>
      <w:lang w:val="en-GB"/>
    </w:rPr>
  </w:style>
  <w:style w:type="character" w:styleId="af9">
    <w:name w:val="Hyperlink"/>
    <w:basedOn w:val="a0"/>
    <w:uiPriority w:val="99"/>
    <w:unhideWhenUsed/>
    <w:rsid w:val="004F733C"/>
    <w:rPr>
      <w:color w:val="0563C1" w:themeColor="hyperlink"/>
      <w:u w:val="single"/>
    </w:rPr>
  </w:style>
  <w:style w:type="character" w:styleId="afa">
    <w:name w:val="Unresolved Mention"/>
    <w:basedOn w:val="a0"/>
    <w:uiPriority w:val="99"/>
    <w:rsid w:val="004F733C"/>
    <w:rPr>
      <w:color w:val="605E5C"/>
      <w:shd w:val="clear" w:color="auto" w:fill="E1DFDD"/>
    </w:rPr>
  </w:style>
  <w:style w:type="paragraph" w:styleId="afb">
    <w:name w:val="endnote text"/>
    <w:basedOn w:val="a"/>
    <w:link w:val="afc"/>
    <w:uiPriority w:val="99"/>
    <w:semiHidden/>
    <w:unhideWhenUsed/>
    <w:rsid w:val="008C1021"/>
    <w:rPr>
      <w:sz w:val="20"/>
      <w:szCs w:val="20"/>
    </w:rPr>
  </w:style>
  <w:style w:type="character" w:customStyle="1" w:styleId="afc">
    <w:name w:val="尾注文本 字符"/>
    <w:basedOn w:val="a0"/>
    <w:link w:val="afb"/>
    <w:uiPriority w:val="99"/>
    <w:semiHidden/>
    <w:rsid w:val="008C1021"/>
    <w:rPr>
      <w:rFonts w:ascii="Times New Roman" w:eastAsia="Times New Roman"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050763">
      <w:bodyDiv w:val="1"/>
      <w:marLeft w:val="0"/>
      <w:marRight w:val="0"/>
      <w:marTop w:val="0"/>
      <w:marBottom w:val="0"/>
      <w:divBdr>
        <w:top w:val="none" w:sz="0" w:space="0" w:color="auto"/>
        <w:left w:val="none" w:sz="0" w:space="0" w:color="auto"/>
        <w:bottom w:val="none" w:sz="0" w:space="0" w:color="auto"/>
        <w:right w:val="none" w:sz="0" w:space="0" w:color="auto"/>
      </w:divBdr>
    </w:div>
    <w:div w:id="1722437806">
      <w:bodyDiv w:val="1"/>
      <w:marLeft w:val="0"/>
      <w:marRight w:val="0"/>
      <w:marTop w:val="0"/>
      <w:marBottom w:val="0"/>
      <w:divBdr>
        <w:top w:val="none" w:sz="0" w:space="0" w:color="auto"/>
        <w:left w:val="none" w:sz="0" w:space="0" w:color="auto"/>
        <w:bottom w:val="none" w:sz="0" w:space="0" w:color="auto"/>
        <w:right w:val="none" w:sz="0" w:space="0" w:color="auto"/>
      </w:divBdr>
      <w:divsChild>
        <w:div w:id="7210285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gerhard.kling@abdn.ac.u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FB5AFDB-FB30-4840-A083-19C62EFE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42</Pages>
  <Words>15739</Words>
  <Characters>89718</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Junyi</dc:creator>
  <cp:lastModifiedBy>Lin Jiang</cp:lastModifiedBy>
  <cp:revision>35</cp:revision>
  <cp:lastPrinted>2018-02-26T19:33:00Z</cp:lastPrinted>
  <dcterms:created xsi:type="dcterms:W3CDTF">2020-09-14T20:49:00Z</dcterms:created>
  <dcterms:modified xsi:type="dcterms:W3CDTF">2020-09-24T16:14:00Z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zotero-version="5.0.47"&gt;&lt;session id="jwTi0SrD"/&gt;&lt;style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 name="dontAskDelayCitationUpdates" value="true"/&gt;&lt;/prefs&gt;&lt;/data&gt;</vt:lpwstr>
  </property>
</Properties>
</file>