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0B4A" w:rsidRPr="00DF5160" w:rsidRDefault="00560B4A" w:rsidP="00DF5160">
      <w:pPr>
        <w:spacing w:line="360" w:lineRule="auto"/>
        <w:ind w:firstLine="0"/>
        <w:rPr>
          <w:rFonts w:ascii="Garamond" w:hAnsi="Garamond"/>
          <w:i/>
          <w:iCs/>
        </w:rPr>
      </w:pPr>
      <w:r w:rsidRPr="00DF5160">
        <w:rPr>
          <w:rFonts w:ascii="Garamond" w:hAnsi="Garamond"/>
        </w:rPr>
        <w:t xml:space="preserve">Response to Alexis Gibbs’ review of </w:t>
      </w:r>
      <w:r w:rsidRPr="00DF5160">
        <w:rPr>
          <w:rFonts w:ascii="Garamond" w:hAnsi="Garamond"/>
          <w:i/>
          <w:iCs/>
        </w:rPr>
        <w:t>Philosophical Presentations of Raising Children: the grammar of upbringing</w:t>
      </w:r>
      <w:bookmarkStart w:id="0" w:name="_GoBack"/>
      <w:bookmarkEnd w:id="0"/>
    </w:p>
    <w:p w:rsidR="00560B4A" w:rsidRPr="00DF5160" w:rsidRDefault="00560B4A" w:rsidP="00DF5160">
      <w:pPr>
        <w:spacing w:line="360" w:lineRule="auto"/>
        <w:ind w:firstLine="0"/>
        <w:rPr>
          <w:rFonts w:ascii="Garamond" w:hAnsi="Garamond"/>
        </w:rPr>
      </w:pPr>
      <w:r w:rsidRPr="00DF5160">
        <w:rPr>
          <w:rFonts w:ascii="Garamond" w:hAnsi="Garamond"/>
        </w:rPr>
        <w:t>Naomi Hodgson &amp; Stefan Ramaekers</w:t>
      </w:r>
    </w:p>
    <w:p w:rsidR="00DF5160" w:rsidRDefault="00DF5160" w:rsidP="00DF5160">
      <w:pPr>
        <w:spacing w:line="360" w:lineRule="auto"/>
        <w:ind w:firstLine="0"/>
        <w:rPr>
          <w:rFonts w:ascii="Garamond" w:hAnsi="Garamond"/>
        </w:rPr>
      </w:pPr>
    </w:p>
    <w:p w:rsidR="00560B4A" w:rsidRPr="00DF5160" w:rsidRDefault="006A4342" w:rsidP="00DF5160">
      <w:pPr>
        <w:spacing w:line="360" w:lineRule="auto"/>
        <w:ind w:firstLine="0"/>
        <w:rPr>
          <w:rFonts w:ascii="Garamond" w:hAnsi="Garamond"/>
        </w:rPr>
      </w:pPr>
      <w:r w:rsidRPr="00DF5160">
        <w:rPr>
          <w:rFonts w:ascii="Garamond" w:hAnsi="Garamond"/>
        </w:rPr>
        <w:t>Alexis Gibbs’ sympathetic and insightful review raises important questions about the claims and the aim of our analysis in the book and we hope this response only furthers an ongoing conversation on the issues we raise. In what follows we address aspects of Gibbs’ review that suggest further clarification of our position is needed.</w:t>
      </w:r>
    </w:p>
    <w:p w:rsidR="00DF5160" w:rsidRDefault="00DF5160" w:rsidP="00DF5160">
      <w:pPr>
        <w:spacing w:line="360" w:lineRule="auto"/>
        <w:ind w:firstLine="0"/>
        <w:rPr>
          <w:rFonts w:ascii="Garamond" w:hAnsi="Garamond"/>
          <w:i/>
          <w:iCs/>
        </w:rPr>
      </w:pPr>
    </w:p>
    <w:p w:rsidR="006A4342" w:rsidRPr="00DF5160" w:rsidRDefault="006A4342" w:rsidP="00DF5160">
      <w:pPr>
        <w:spacing w:line="360" w:lineRule="auto"/>
        <w:ind w:firstLine="0"/>
        <w:rPr>
          <w:rFonts w:ascii="Garamond" w:hAnsi="Garamond"/>
          <w:i/>
          <w:iCs/>
        </w:rPr>
      </w:pPr>
      <w:r w:rsidRPr="00DF5160">
        <w:rPr>
          <w:rFonts w:ascii="Garamond" w:hAnsi="Garamond"/>
          <w:i/>
          <w:iCs/>
        </w:rPr>
        <w:t>Parenting v upbringing</w:t>
      </w:r>
    </w:p>
    <w:p w:rsidR="00560B4A" w:rsidRPr="00DF5160" w:rsidRDefault="006A4342" w:rsidP="00DF5160">
      <w:pPr>
        <w:spacing w:line="360" w:lineRule="auto"/>
        <w:ind w:firstLine="0"/>
        <w:rPr>
          <w:rFonts w:ascii="Garamond" w:hAnsi="Garamond"/>
        </w:rPr>
      </w:pPr>
      <w:r w:rsidRPr="00DF5160">
        <w:rPr>
          <w:rFonts w:ascii="Garamond" w:hAnsi="Garamond"/>
        </w:rPr>
        <w:t xml:space="preserve">Our account is both a critique of the contemporary discourses and practices of parenting, and an attempt at articulating a pedagogical-philosophical account of upbringing. </w:t>
      </w:r>
      <w:r w:rsidR="00A63123" w:rsidRPr="00DF5160">
        <w:rPr>
          <w:rFonts w:ascii="Garamond" w:hAnsi="Garamond"/>
        </w:rPr>
        <w:t>F</w:t>
      </w:r>
      <w:r w:rsidR="00560B4A" w:rsidRPr="00DF5160">
        <w:rPr>
          <w:rFonts w:ascii="Garamond" w:hAnsi="Garamond"/>
        </w:rPr>
        <w:t>or Gibbs</w:t>
      </w:r>
      <w:r w:rsidR="00A63123" w:rsidRPr="00DF5160">
        <w:rPr>
          <w:rFonts w:ascii="Garamond" w:hAnsi="Garamond"/>
        </w:rPr>
        <w:t>,</w:t>
      </w:r>
      <w:r w:rsidR="00560B4A" w:rsidRPr="00DF5160">
        <w:rPr>
          <w:rFonts w:ascii="Garamond" w:hAnsi="Garamond"/>
        </w:rPr>
        <w:t xml:space="preserve"> our distinction is between seeing raising children in terms of ‘unilateral motions of parent-child learning’ and seeing it in terms of ‘the reciprocal’ nature of that relationship.</w:t>
      </w:r>
      <w:r w:rsidR="00A63123" w:rsidRPr="00DF5160">
        <w:rPr>
          <w:rFonts w:ascii="Garamond" w:hAnsi="Garamond"/>
        </w:rPr>
        <w:t xml:space="preserve"> This is accurate to an extent, following earlier critiques (e.g. Ramaekers and Suissa, 2012) the attempt to articulate raising children in terms of upbringing comes in response to the scientised, causal accounts of ‘parenting’ as what parents do to their children. But the unilateral/reciprocal distinction invokes a fixed model imposed by a parent versus an account that takes into account the agency of both parent and child. It implies that our alternative to ‘parenting’ is a progressive, child-centred account of raising children. We do not seek to offer an alternative account, i.e. one that parents might choose instead. The account we offer of upbringing seeks to articulate those aspect of what we </w:t>
      </w:r>
      <w:r w:rsidR="00A63123" w:rsidRPr="00DF5160">
        <w:rPr>
          <w:rFonts w:ascii="Garamond" w:hAnsi="Garamond"/>
          <w:i/>
          <w:iCs/>
        </w:rPr>
        <w:t>do</w:t>
      </w:r>
      <w:r w:rsidR="00A63123" w:rsidRPr="00DF5160">
        <w:rPr>
          <w:rFonts w:ascii="Garamond" w:hAnsi="Garamond"/>
        </w:rPr>
        <w:t xml:space="preserve"> </w:t>
      </w:r>
      <w:proofErr w:type="spellStart"/>
      <w:r w:rsidR="00A63123" w:rsidRPr="00DF5160">
        <w:rPr>
          <w:rFonts w:ascii="Garamond" w:hAnsi="Garamond"/>
        </w:rPr>
        <w:t>do</w:t>
      </w:r>
      <w:proofErr w:type="spellEnd"/>
      <w:r w:rsidR="00A63123" w:rsidRPr="00DF5160">
        <w:rPr>
          <w:rFonts w:ascii="Garamond" w:hAnsi="Garamond"/>
        </w:rPr>
        <w:t xml:space="preserve"> when we raise children that are left out of the picture by the parenting account.  Rather than bringing reciprocity back in to this picture, we seek to show raising children as at once something shaped by factors other than the parent-child dyad and as necessarily being shaped by the specific values and culture in which that relationship is situated.</w:t>
      </w:r>
    </w:p>
    <w:p w:rsidR="00560B4A" w:rsidRPr="00DF5160" w:rsidRDefault="00560B4A" w:rsidP="00DF5160">
      <w:pPr>
        <w:spacing w:line="360" w:lineRule="auto"/>
        <w:ind w:firstLine="0"/>
        <w:rPr>
          <w:rFonts w:ascii="Garamond" w:hAnsi="Garamond"/>
        </w:rPr>
      </w:pPr>
      <w:r w:rsidRPr="00DF5160">
        <w:rPr>
          <w:rFonts w:ascii="Garamond" w:hAnsi="Garamond"/>
        </w:rPr>
        <w:t>Gibbs is right to state that our account seeks to disrupt the universalising pretentions of the scientised parenting discourse. To some degree this is in view of acknowledging that ‘parents are not all alike’ and that ‘different children will require different things of them’.</w:t>
      </w:r>
      <w:r w:rsidR="00534CA0" w:rsidRPr="00DF5160">
        <w:rPr>
          <w:rFonts w:ascii="Garamond" w:hAnsi="Garamond"/>
        </w:rPr>
        <w:t xml:space="preserve"> Films can indeed ‘make parents aware of their right to choose what is good for their child rather than accept particular models’. There is a risk, however, that this presents our position as </w:t>
      </w:r>
      <w:r w:rsidR="00A63123" w:rsidRPr="00DF5160">
        <w:rPr>
          <w:rFonts w:ascii="Garamond" w:hAnsi="Garamond"/>
        </w:rPr>
        <w:t>a defence of</w:t>
      </w:r>
      <w:r w:rsidR="00534CA0" w:rsidRPr="00DF5160">
        <w:rPr>
          <w:rFonts w:ascii="Garamond" w:hAnsi="Garamond"/>
        </w:rPr>
        <w:t xml:space="preserve"> a negative conception of </w:t>
      </w:r>
      <w:r w:rsidR="00A63123" w:rsidRPr="00DF5160">
        <w:rPr>
          <w:rFonts w:ascii="Garamond" w:hAnsi="Garamond"/>
        </w:rPr>
        <w:t>support and advice for parents (</w:t>
      </w:r>
      <w:r w:rsidR="00534CA0" w:rsidRPr="00DF5160">
        <w:rPr>
          <w:rFonts w:ascii="Garamond" w:hAnsi="Garamond"/>
        </w:rPr>
        <w:t xml:space="preserve">one seen in the work of, for example, Frank </w:t>
      </w:r>
      <w:proofErr w:type="spellStart"/>
      <w:r w:rsidR="00534CA0" w:rsidRPr="00DF5160">
        <w:rPr>
          <w:rFonts w:ascii="Garamond" w:hAnsi="Garamond"/>
        </w:rPr>
        <w:t>Furedi</w:t>
      </w:r>
      <w:proofErr w:type="spellEnd"/>
      <w:r w:rsidR="00534CA0" w:rsidRPr="00DF5160">
        <w:rPr>
          <w:rFonts w:ascii="Garamond" w:hAnsi="Garamond"/>
        </w:rPr>
        <w:t>, wherein we are encouraged to not let the state or experts interfere with our childrearing choices</w:t>
      </w:r>
      <w:r w:rsidR="00A63123" w:rsidRPr="00DF5160">
        <w:rPr>
          <w:rFonts w:ascii="Garamond" w:hAnsi="Garamond"/>
        </w:rPr>
        <w:t>)</w:t>
      </w:r>
      <w:r w:rsidR="00534CA0" w:rsidRPr="00DF5160">
        <w:rPr>
          <w:rFonts w:ascii="Garamond" w:hAnsi="Garamond"/>
        </w:rPr>
        <w:t xml:space="preserve">, or </w:t>
      </w:r>
      <w:r w:rsidR="00A63123" w:rsidRPr="00DF5160">
        <w:rPr>
          <w:rFonts w:ascii="Garamond" w:hAnsi="Garamond"/>
        </w:rPr>
        <w:t xml:space="preserve">as </w:t>
      </w:r>
      <w:r w:rsidR="00534CA0" w:rsidRPr="00DF5160">
        <w:rPr>
          <w:rFonts w:ascii="Garamond" w:hAnsi="Garamond"/>
        </w:rPr>
        <w:t>a reinstatement of the parent as needing to choose between ‘parenting approaches’. There remains an individualist framing to these modes of resisting the dominant ‘parenting’ conception</w:t>
      </w:r>
      <w:r w:rsidRPr="00DF5160">
        <w:rPr>
          <w:rFonts w:ascii="Garamond" w:hAnsi="Garamond"/>
        </w:rPr>
        <w:t xml:space="preserve"> </w:t>
      </w:r>
      <w:r w:rsidR="00534CA0" w:rsidRPr="00DF5160">
        <w:rPr>
          <w:rFonts w:ascii="Garamond" w:hAnsi="Garamond"/>
        </w:rPr>
        <w:t>of raising children.</w:t>
      </w:r>
    </w:p>
    <w:p w:rsidR="00534CA0" w:rsidRPr="00DF5160" w:rsidRDefault="00534CA0" w:rsidP="00DF5160">
      <w:pPr>
        <w:spacing w:line="360" w:lineRule="auto"/>
        <w:ind w:firstLine="0"/>
        <w:rPr>
          <w:rFonts w:ascii="Garamond" w:hAnsi="Garamond"/>
        </w:rPr>
      </w:pPr>
      <w:r w:rsidRPr="00DF5160">
        <w:rPr>
          <w:rFonts w:ascii="Garamond" w:hAnsi="Garamond"/>
        </w:rPr>
        <w:t>Our aim is not simply to state that other conceptions of raising children are possible, but rather that the narrowing of our understanding of raising children to ‘parenting’ leaves out/overlooks/denies muc</w:t>
      </w:r>
      <w:r w:rsidR="00D5478C" w:rsidRPr="00DF5160">
        <w:rPr>
          <w:rFonts w:ascii="Garamond" w:hAnsi="Garamond"/>
        </w:rPr>
        <w:t>h</w:t>
      </w:r>
      <w:r w:rsidRPr="00DF5160">
        <w:rPr>
          <w:rFonts w:ascii="Garamond" w:hAnsi="Garamond"/>
        </w:rPr>
        <w:t xml:space="preserve"> of what we </w:t>
      </w:r>
      <w:r w:rsidRPr="00DF5160">
        <w:rPr>
          <w:rFonts w:ascii="Garamond" w:hAnsi="Garamond"/>
          <w:i/>
          <w:iCs/>
        </w:rPr>
        <w:t>do</w:t>
      </w:r>
      <w:r w:rsidRPr="00DF5160">
        <w:rPr>
          <w:rFonts w:ascii="Garamond" w:hAnsi="Garamond"/>
        </w:rPr>
        <w:t xml:space="preserve"> </w:t>
      </w:r>
      <w:proofErr w:type="spellStart"/>
      <w:r w:rsidRPr="00DF5160">
        <w:rPr>
          <w:rFonts w:ascii="Garamond" w:hAnsi="Garamond"/>
        </w:rPr>
        <w:t>do</w:t>
      </w:r>
      <w:proofErr w:type="spellEnd"/>
      <w:r w:rsidRPr="00DF5160">
        <w:rPr>
          <w:rFonts w:ascii="Garamond" w:hAnsi="Garamond"/>
        </w:rPr>
        <w:t xml:space="preserve"> when we raise children.</w:t>
      </w:r>
    </w:p>
    <w:p w:rsidR="00A63123" w:rsidRPr="00DF5160" w:rsidRDefault="00A63123" w:rsidP="00DF5160">
      <w:pPr>
        <w:spacing w:line="360" w:lineRule="auto"/>
        <w:ind w:firstLine="0"/>
        <w:rPr>
          <w:rFonts w:ascii="Garamond" w:hAnsi="Garamond"/>
          <w:i/>
          <w:iCs/>
        </w:rPr>
      </w:pPr>
      <w:r w:rsidRPr="00DF5160">
        <w:rPr>
          <w:rFonts w:ascii="Garamond" w:hAnsi="Garamond"/>
          <w:i/>
          <w:iCs/>
        </w:rPr>
        <w:lastRenderedPageBreak/>
        <w:t>Film</w:t>
      </w:r>
    </w:p>
    <w:p w:rsidR="003B11C3" w:rsidRPr="00DF5160" w:rsidRDefault="003B11C3" w:rsidP="00DF5160">
      <w:pPr>
        <w:spacing w:line="360" w:lineRule="auto"/>
        <w:ind w:firstLine="0"/>
        <w:rPr>
          <w:rFonts w:ascii="Garamond" w:hAnsi="Garamond"/>
        </w:rPr>
      </w:pPr>
      <w:r w:rsidRPr="00DF5160">
        <w:rPr>
          <w:rFonts w:ascii="Garamond" w:hAnsi="Garamond"/>
        </w:rPr>
        <w:t>Gibbs also raises concerns about our exploration of ‘upbringing’ as opposed to ‘parenting’ in the context of an interest with Wittgenstein’s grammatical investigations. He suggests that we appear to undermine Wittgenstein’s notion of grammatical investigations, given our ‘departure from a concept (like parenting) that has become grammatically embedded in our ordinary language, in order to affirm one that is less so’ (i.e. upbringing). But our invocation of the term relates more specifically to film than to our testing out of the respective uses of these two terms. As we put it:</w:t>
      </w:r>
    </w:p>
    <w:p w:rsidR="003B11C3" w:rsidRPr="00DF5160" w:rsidRDefault="003B11C3" w:rsidP="00DF5160">
      <w:pPr>
        <w:spacing w:line="360" w:lineRule="auto"/>
        <w:ind w:left="720" w:right="521" w:firstLine="0"/>
        <w:rPr>
          <w:rFonts w:ascii="Garamond" w:hAnsi="Garamond"/>
        </w:rPr>
      </w:pPr>
      <w:r w:rsidRPr="00DF5160">
        <w:rPr>
          <w:rFonts w:ascii="Garamond" w:hAnsi="Garamond"/>
        </w:rPr>
        <w:t xml:space="preserve">Our use of the idea of grammatical investigations refers not to our analysis of the films … Rather, the term refers to the films themselves; it is our observation that the films we discuss … themselves perform grammatical investigations, and thus provide the starting point for articulating what it is of raising children that they show us. We are not engaging in the activity of imagining real and fictitious scenes in the way Wittgenstein does in his </w:t>
      </w:r>
      <w:r w:rsidRPr="00DF5160">
        <w:rPr>
          <w:rFonts w:ascii="Garamond" w:hAnsi="Garamond"/>
          <w:i/>
          <w:iCs/>
        </w:rPr>
        <w:t>Philosophical Investigations</w:t>
      </w:r>
      <w:r w:rsidRPr="00DF5160">
        <w:rPr>
          <w:rFonts w:ascii="Garamond" w:hAnsi="Garamond"/>
        </w:rPr>
        <w:t xml:space="preserve">. Moreover, ‘parenting’ and ‘upbringing’ are perhaps not </w:t>
      </w:r>
      <w:proofErr w:type="gramStart"/>
      <w:r w:rsidRPr="00DF5160">
        <w:rPr>
          <w:rFonts w:ascii="Garamond" w:hAnsi="Garamond"/>
        </w:rPr>
        <w:t>concepts</w:t>
      </w:r>
      <w:proofErr w:type="gramEnd"/>
      <w:r w:rsidRPr="00DF5160">
        <w:rPr>
          <w:rFonts w:ascii="Garamond" w:hAnsi="Garamond"/>
        </w:rPr>
        <w:t xml:space="preserve"> of the same kind as those Wittgenstein was interested in (intention, pain, rule, game, truth, beauty, …). Rather, Wittgenstein can be said to show ‘a consistent regard for the authenticity of actual, living experiences’ (</w:t>
      </w:r>
      <w:proofErr w:type="spellStart"/>
      <w:r w:rsidRPr="00DF5160">
        <w:rPr>
          <w:rFonts w:ascii="Garamond" w:hAnsi="Garamond"/>
        </w:rPr>
        <w:t>Savicky</w:t>
      </w:r>
      <w:proofErr w:type="spellEnd"/>
      <w:r w:rsidRPr="00DF5160">
        <w:rPr>
          <w:rFonts w:ascii="Garamond" w:hAnsi="Garamond"/>
        </w:rPr>
        <w:t xml:space="preserve"> 2017, p. xiii) in his grammatical investigations. Through the many examples he gives he explores the complicated regions, and limits, of our experiences as human beings. Similarly, then, we claim that these films express such regard; they too are exploring the complicated regions and limits of our experiences. (Hodgson and Ramaekers, 2019, p. 23)</w:t>
      </w:r>
    </w:p>
    <w:p w:rsidR="003B11C3" w:rsidRPr="00DF5160" w:rsidRDefault="00534CA0" w:rsidP="00DF5160">
      <w:pPr>
        <w:spacing w:line="360" w:lineRule="auto"/>
        <w:ind w:firstLine="0"/>
        <w:rPr>
          <w:rFonts w:ascii="Garamond" w:hAnsi="Garamond"/>
        </w:rPr>
      </w:pPr>
      <w:r w:rsidRPr="00DF5160">
        <w:rPr>
          <w:rFonts w:ascii="Garamond" w:hAnsi="Garamond"/>
        </w:rPr>
        <w:t xml:space="preserve">It is fair to say that it would have made sense to draw on some of those films that informed Cavell’s film-philosophy, given how heavily we draw not only on Cavell’s ontology of film but also on his reading of Wittgenstein. That we didn’t, however, enables us to </w:t>
      </w:r>
      <w:r w:rsidR="003B11C3" w:rsidRPr="00DF5160">
        <w:rPr>
          <w:rFonts w:ascii="Garamond" w:hAnsi="Garamond"/>
        </w:rPr>
        <w:t xml:space="preserve">further </w:t>
      </w:r>
      <w:r w:rsidRPr="00DF5160">
        <w:rPr>
          <w:rFonts w:ascii="Garamond" w:hAnsi="Garamond"/>
        </w:rPr>
        <w:t xml:space="preserve">articulate </w:t>
      </w:r>
      <w:r w:rsidR="003B11C3" w:rsidRPr="00DF5160">
        <w:rPr>
          <w:rFonts w:ascii="Garamond" w:hAnsi="Garamond"/>
        </w:rPr>
        <w:t xml:space="preserve">here </w:t>
      </w:r>
      <w:r w:rsidRPr="00DF5160">
        <w:rPr>
          <w:rFonts w:ascii="Garamond" w:hAnsi="Garamond"/>
        </w:rPr>
        <w:t xml:space="preserve">what is specific about the account of upbringing we sought to give and the films we used to do this. </w:t>
      </w:r>
      <w:r w:rsidR="00350F59" w:rsidRPr="00DF5160">
        <w:rPr>
          <w:rFonts w:ascii="Garamond" w:hAnsi="Garamond"/>
        </w:rPr>
        <w:t xml:space="preserve">As </w:t>
      </w:r>
      <w:r w:rsidRPr="00DF5160">
        <w:rPr>
          <w:rFonts w:ascii="Garamond" w:hAnsi="Garamond"/>
        </w:rPr>
        <w:t xml:space="preserve">Gibbs </w:t>
      </w:r>
      <w:r w:rsidR="00350F59" w:rsidRPr="00DF5160">
        <w:rPr>
          <w:rFonts w:ascii="Garamond" w:hAnsi="Garamond"/>
        </w:rPr>
        <w:t xml:space="preserve">notes, in the films Cavell discusses (e.g. </w:t>
      </w:r>
      <w:r w:rsidR="00350F59" w:rsidRPr="00DF5160">
        <w:rPr>
          <w:rFonts w:ascii="Garamond" w:hAnsi="Garamond"/>
          <w:i/>
          <w:iCs/>
        </w:rPr>
        <w:t>Stella Dallas</w:t>
      </w:r>
      <w:r w:rsidR="00350F59" w:rsidRPr="00DF5160">
        <w:rPr>
          <w:rFonts w:ascii="Garamond" w:hAnsi="Garamond"/>
        </w:rPr>
        <w:t xml:space="preserve">, </w:t>
      </w:r>
      <w:r w:rsidR="00350F59" w:rsidRPr="00DF5160">
        <w:rPr>
          <w:rFonts w:ascii="Garamond" w:hAnsi="Garamond"/>
          <w:i/>
          <w:iCs/>
        </w:rPr>
        <w:t>Now, Voyager</w:t>
      </w:r>
      <w:r w:rsidR="00350F59" w:rsidRPr="00DF5160">
        <w:rPr>
          <w:rFonts w:ascii="Garamond" w:hAnsi="Garamond"/>
        </w:rPr>
        <w:t xml:space="preserve">; what Cavell has referred to as comedies of remarriage and melodramas of the unknown woman) the stars of the films, Barbara </w:t>
      </w:r>
      <w:proofErr w:type="spellStart"/>
      <w:r w:rsidR="00350F59" w:rsidRPr="00DF5160">
        <w:rPr>
          <w:rFonts w:ascii="Garamond" w:hAnsi="Garamond"/>
        </w:rPr>
        <w:t>Stanwyck</w:t>
      </w:r>
      <w:proofErr w:type="spellEnd"/>
      <w:r w:rsidR="00350F59" w:rsidRPr="00DF5160">
        <w:rPr>
          <w:rFonts w:ascii="Garamond" w:hAnsi="Garamond"/>
        </w:rPr>
        <w:t xml:space="preserve">, Bette Davis, </w:t>
      </w:r>
      <w:r w:rsidR="00A63123" w:rsidRPr="00DF5160">
        <w:rPr>
          <w:rFonts w:ascii="Garamond" w:hAnsi="Garamond"/>
        </w:rPr>
        <w:t xml:space="preserve">for example, </w:t>
      </w:r>
      <w:r w:rsidR="00350F59" w:rsidRPr="00DF5160">
        <w:rPr>
          <w:rFonts w:ascii="Garamond" w:hAnsi="Garamond"/>
        </w:rPr>
        <w:t xml:space="preserve">were a </w:t>
      </w:r>
      <w:r w:rsidR="00A63123" w:rsidRPr="00DF5160">
        <w:rPr>
          <w:rFonts w:ascii="Garamond" w:hAnsi="Garamond"/>
        </w:rPr>
        <w:t>part of his</w:t>
      </w:r>
      <w:r w:rsidR="00350F59" w:rsidRPr="00DF5160">
        <w:rPr>
          <w:rFonts w:ascii="Garamond" w:hAnsi="Garamond"/>
        </w:rPr>
        <w:t xml:space="preserve"> focus for analysis. This forms part of his claiming their relevance for American philosophising: what they represent of American culture, their expression of ordinary language, America’s coming to terms with itself, and the iconic role of Hollywood of this era in shaping that, leads Cavell to argue for the philosophical significance of films generally dismissed as popular culture or women’s films and so </w:t>
      </w:r>
      <w:r w:rsidR="003B11C3" w:rsidRPr="00DF5160">
        <w:rPr>
          <w:rFonts w:ascii="Garamond" w:hAnsi="Garamond"/>
        </w:rPr>
        <w:t xml:space="preserve">as </w:t>
      </w:r>
      <w:r w:rsidR="00350F59" w:rsidRPr="00DF5160">
        <w:rPr>
          <w:rFonts w:ascii="Garamond" w:hAnsi="Garamond"/>
        </w:rPr>
        <w:t xml:space="preserve">lacking in the intellectual </w:t>
      </w:r>
      <w:r w:rsidR="003B11C3" w:rsidRPr="00DF5160">
        <w:rPr>
          <w:rFonts w:ascii="Garamond" w:hAnsi="Garamond"/>
        </w:rPr>
        <w:t>weight</w:t>
      </w:r>
      <w:r w:rsidR="00350F59" w:rsidRPr="00DF5160">
        <w:rPr>
          <w:rFonts w:ascii="Garamond" w:hAnsi="Garamond"/>
        </w:rPr>
        <w:t xml:space="preserve"> one associates with philosophy. </w:t>
      </w:r>
    </w:p>
    <w:p w:rsidR="00534CA0" w:rsidRPr="00DF5160" w:rsidRDefault="00350F59" w:rsidP="00DF5160">
      <w:pPr>
        <w:spacing w:line="360" w:lineRule="auto"/>
        <w:ind w:firstLine="0"/>
        <w:rPr>
          <w:rFonts w:ascii="Garamond" w:hAnsi="Garamond"/>
        </w:rPr>
      </w:pPr>
      <w:r w:rsidRPr="00DF5160">
        <w:rPr>
          <w:rFonts w:ascii="Garamond" w:hAnsi="Garamond"/>
        </w:rPr>
        <w:t>While Cavell offers a rich articulation of the ontology of film, the films he discusses and the filmic devices he refers to for</w:t>
      </w:r>
      <w:r w:rsidR="003B11C3" w:rsidRPr="00DF5160">
        <w:rPr>
          <w:rFonts w:ascii="Garamond" w:hAnsi="Garamond"/>
        </w:rPr>
        <w:t>m</w:t>
      </w:r>
      <w:r w:rsidRPr="00DF5160">
        <w:rPr>
          <w:rFonts w:ascii="Garamond" w:hAnsi="Garamond"/>
        </w:rPr>
        <w:t xml:space="preserve"> part of what we now take for granted as the grammar of film-making. We view Hollywood film with, perhaps unarticulated, expectations about the narrative arc, about what is signified by a particular style of music coming in on the soundtrack, or a close-up of a character’s facial expression. </w:t>
      </w:r>
      <w:r w:rsidR="00AD54BD" w:rsidRPr="00DF5160">
        <w:rPr>
          <w:rFonts w:ascii="Garamond" w:hAnsi="Garamond"/>
        </w:rPr>
        <w:t xml:space="preserve">Our analyses </w:t>
      </w:r>
      <w:r w:rsidR="003B11C3" w:rsidRPr="00DF5160">
        <w:rPr>
          <w:rFonts w:ascii="Garamond" w:hAnsi="Garamond"/>
        </w:rPr>
        <w:t xml:space="preserve">in </w:t>
      </w:r>
      <w:r w:rsidR="003B11C3" w:rsidRPr="00DF5160">
        <w:rPr>
          <w:rFonts w:ascii="Garamond" w:hAnsi="Garamond"/>
          <w:i/>
          <w:iCs/>
        </w:rPr>
        <w:t>Philosophical Presentations of Raising Children</w:t>
      </w:r>
      <w:r w:rsidR="003B11C3" w:rsidRPr="00DF5160">
        <w:rPr>
          <w:rFonts w:ascii="Garamond" w:hAnsi="Garamond"/>
        </w:rPr>
        <w:t xml:space="preserve"> </w:t>
      </w:r>
      <w:r w:rsidR="00AD54BD" w:rsidRPr="00DF5160">
        <w:rPr>
          <w:rFonts w:ascii="Garamond" w:hAnsi="Garamond"/>
        </w:rPr>
        <w:t xml:space="preserve">took their cue precisely from these expectations </w:t>
      </w:r>
      <w:r w:rsidR="00AD54BD" w:rsidRPr="00DF5160">
        <w:rPr>
          <w:rFonts w:ascii="Garamond" w:hAnsi="Garamond"/>
          <w:i/>
          <w:iCs/>
        </w:rPr>
        <w:t>not</w:t>
      </w:r>
      <w:r w:rsidR="00AD54BD" w:rsidRPr="00DF5160">
        <w:rPr>
          <w:rFonts w:ascii="Garamond" w:hAnsi="Garamond"/>
        </w:rPr>
        <w:t xml:space="preserve"> being met in </w:t>
      </w:r>
      <w:r w:rsidR="00AD54BD" w:rsidRPr="00DF5160">
        <w:rPr>
          <w:rFonts w:ascii="Garamond" w:hAnsi="Garamond"/>
        </w:rPr>
        <w:lastRenderedPageBreak/>
        <w:t>the films we refer to (</w:t>
      </w:r>
      <w:r w:rsidR="00AD54BD" w:rsidRPr="00DF5160">
        <w:rPr>
          <w:rFonts w:ascii="Garamond" w:hAnsi="Garamond"/>
          <w:i/>
          <w:iCs/>
        </w:rPr>
        <w:t>The Seventh Continent</w:t>
      </w:r>
      <w:r w:rsidR="00AD54BD" w:rsidRPr="00DF5160">
        <w:rPr>
          <w:rFonts w:ascii="Garamond" w:hAnsi="Garamond"/>
        </w:rPr>
        <w:t xml:space="preserve">; </w:t>
      </w:r>
      <w:r w:rsidR="00AD54BD" w:rsidRPr="00DF5160">
        <w:rPr>
          <w:rFonts w:ascii="Garamond" w:hAnsi="Garamond"/>
          <w:i/>
          <w:iCs/>
        </w:rPr>
        <w:t>Dogtooth</w:t>
      </w:r>
      <w:r w:rsidR="00AD54BD" w:rsidRPr="00DF5160">
        <w:rPr>
          <w:rFonts w:ascii="Garamond" w:hAnsi="Garamond"/>
        </w:rPr>
        <w:t xml:space="preserve">; </w:t>
      </w:r>
      <w:r w:rsidR="00AD54BD" w:rsidRPr="00DF5160">
        <w:rPr>
          <w:rFonts w:ascii="Garamond" w:hAnsi="Garamond"/>
          <w:i/>
          <w:iCs/>
        </w:rPr>
        <w:t xml:space="preserve">Le </w:t>
      </w:r>
      <w:proofErr w:type="spellStart"/>
      <w:r w:rsidR="00AD54BD" w:rsidRPr="00DF5160">
        <w:rPr>
          <w:rFonts w:ascii="Garamond" w:hAnsi="Garamond"/>
          <w:i/>
          <w:iCs/>
        </w:rPr>
        <w:t>Fils</w:t>
      </w:r>
      <w:proofErr w:type="spellEnd"/>
      <w:r w:rsidR="00AD54BD" w:rsidRPr="00DF5160">
        <w:rPr>
          <w:rFonts w:ascii="Garamond" w:hAnsi="Garamond"/>
        </w:rPr>
        <w:t>). Gibbs is right when he states that films about familia</w:t>
      </w:r>
      <w:r w:rsidR="003B11C3" w:rsidRPr="00DF5160">
        <w:rPr>
          <w:rFonts w:ascii="Garamond" w:hAnsi="Garamond"/>
        </w:rPr>
        <w:t>l</w:t>
      </w:r>
      <w:r w:rsidR="00AD54BD" w:rsidRPr="00DF5160">
        <w:rPr>
          <w:rFonts w:ascii="Garamond" w:hAnsi="Garamond"/>
        </w:rPr>
        <w:t xml:space="preserve"> suicide, domestic imprisonment, and a man taking on his son’s murderer as an apprentice are ‘unlikely subjects from which to derive affirmative pictures of upbringing’.</w:t>
      </w:r>
      <w:r w:rsidR="00A84A35" w:rsidRPr="00DF5160">
        <w:rPr>
          <w:rFonts w:ascii="Garamond" w:hAnsi="Garamond"/>
        </w:rPr>
        <w:t xml:space="preserve"> This, in a sense, was our feeling exactly: </w:t>
      </w:r>
      <w:r w:rsidR="003B11C3" w:rsidRPr="00DF5160">
        <w:rPr>
          <w:rFonts w:ascii="Garamond" w:hAnsi="Garamond"/>
        </w:rPr>
        <w:t>our</w:t>
      </w:r>
      <w:r w:rsidR="00A84A35" w:rsidRPr="00DF5160">
        <w:rPr>
          <w:rFonts w:ascii="Garamond" w:hAnsi="Garamond"/>
        </w:rPr>
        <w:t xml:space="preserve"> work on these films stemmed not only from their presentation of raising children but also from the fact that these presentations had such force. But not for everyone. Having first seen these films in the context of philosophy of education seminars for doctoral students, we were</w:t>
      </w:r>
      <w:r w:rsidR="00D5478C" w:rsidRPr="00DF5160">
        <w:rPr>
          <w:rFonts w:ascii="Garamond" w:hAnsi="Garamond"/>
        </w:rPr>
        <w:t xml:space="preserve"> just </w:t>
      </w:r>
      <w:r w:rsidR="00A84A35" w:rsidRPr="00DF5160">
        <w:rPr>
          <w:rFonts w:ascii="Garamond" w:hAnsi="Garamond"/>
        </w:rPr>
        <w:t xml:space="preserve">as interested to articulate, philosophically, what constituted the educational force of </w:t>
      </w:r>
      <w:r w:rsidR="00D5478C" w:rsidRPr="00DF5160">
        <w:rPr>
          <w:rFonts w:ascii="Garamond" w:hAnsi="Garamond"/>
        </w:rPr>
        <w:t>these films.</w:t>
      </w:r>
      <w:r w:rsidR="00382BF5" w:rsidRPr="00DF5160">
        <w:rPr>
          <w:rFonts w:ascii="Garamond" w:hAnsi="Garamond"/>
        </w:rPr>
        <w:t xml:space="preserve"> Gibbs’ invocation of (our overlooking of) Austin is interesting in this regard. Would reference to Austin</w:t>
      </w:r>
      <w:r w:rsidR="003B11C3" w:rsidRPr="00DF5160">
        <w:rPr>
          <w:rFonts w:ascii="Garamond" w:hAnsi="Garamond"/>
        </w:rPr>
        <w:t>’s notion of illocutionary force</w:t>
      </w:r>
      <w:r w:rsidR="00382BF5" w:rsidRPr="00DF5160">
        <w:rPr>
          <w:rFonts w:ascii="Garamond" w:hAnsi="Garamond"/>
        </w:rPr>
        <w:t xml:space="preserve"> imply that we claim that film has the inherent power to ‘bring about intended actions’, to ‘teach’? We argue that, although the force of a film derives from its devices, these do not </w:t>
      </w:r>
      <w:r w:rsidR="003B11C3" w:rsidRPr="00DF5160">
        <w:rPr>
          <w:rFonts w:ascii="Garamond" w:hAnsi="Garamond"/>
        </w:rPr>
        <w:t>“</w:t>
      </w:r>
      <w:r w:rsidR="00382BF5" w:rsidRPr="00DF5160">
        <w:rPr>
          <w:rFonts w:ascii="Garamond" w:hAnsi="Garamond"/>
        </w:rPr>
        <w:t>work</w:t>
      </w:r>
      <w:r w:rsidR="003B11C3" w:rsidRPr="00DF5160">
        <w:rPr>
          <w:rFonts w:ascii="Garamond" w:hAnsi="Garamond"/>
        </w:rPr>
        <w:t>”</w:t>
      </w:r>
      <w:r w:rsidR="00382BF5" w:rsidRPr="00DF5160">
        <w:rPr>
          <w:rFonts w:ascii="Garamond" w:hAnsi="Garamond"/>
        </w:rPr>
        <w:t xml:space="preserve"> by themselves, as if autonomously compelling’ (pp. 44-45).</w:t>
      </w:r>
      <w:r w:rsidR="003B11C3" w:rsidRPr="00DF5160">
        <w:rPr>
          <w:rFonts w:ascii="Garamond" w:hAnsi="Garamond"/>
        </w:rPr>
        <w:t xml:space="preserve"> Particular interests – substantive and theoretical – shaped </w:t>
      </w:r>
      <w:r w:rsidR="002A6C53" w:rsidRPr="00DF5160">
        <w:rPr>
          <w:rFonts w:ascii="Garamond" w:hAnsi="Garamond"/>
        </w:rPr>
        <w:t>our responses to these films, and so our accounts are oriented not to accounting for film as such, but to articulating how what they show had a force that enabled us to express something of the existential experience of initiating the new generation in to language and world.</w:t>
      </w:r>
    </w:p>
    <w:p w:rsidR="006D0CEE" w:rsidRPr="00DF5160" w:rsidRDefault="00D5478C" w:rsidP="00DF5160">
      <w:pPr>
        <w:spacing w:line="360" w:lineRule="auto"/>
        <w:ind w:firstLine="0"/>
        <w:rPr>
          <w:rFonts w:ascii="Garamond" w:hAnsi="Garamond"/>
        </w:rPr>
      </w:pPr>
      <w:r w:rsidRPr="00DF5160">
        <w:rPr>
          <w:rFonts w:ascii="Garamond" w:hAnsi="Garamond"/>
        </w:rPr>
        <w:t xml:space="preserve">Our account of </w:t>
      </w:r>
      <w:r w:rsidRPr="00DF5160">
        <w:rPr>
          <w:rFonts w:ascii="Garamond" w:hAnsi="Garamond"/>
          <w:i/>
          <w:iCs/>
        </w:rPr>
        <w:t>The Seventh Continent</w:t>
      </w:r>
      <w:r w:rsidRPr="00DF5160">
        <w:rPr>
          <w:rFonts w:ascii="Garamond" w:hAnsi="Garamond"/>
        </w:rPr>
        <w:t xml:space="preserve"> was always the hardest to write and to defend, and Gibbs takes particular issue with it in his review. Our use of this film to contribute to an affirmative account of upbringing is seen to go against the ethos of Cavellian (film-)philosophy, in which Hollywood films are seen to offer ‘expressions of hope and sacrifice that arise out of matters of course’, and ‘not simply a tolerance of the mundane, but a desire to effect change for the good according to what is at hand’. Haneke’s </w:t>
      </w:r>
      <w:r w:rsidRPr="00DF5160">
        <w:rPr>
          <w:rFonts w:ascii="Garamond" w:hAnsi="Garamond"/>
          <w:i/>
          <w:iCs/>
        </w:rPr>
        <w:t>The Seventh Continent</w:t>
      </w:r>
      <w:r w:rsidRPr="00DF5160">
        <w:rPr>
          <w:rFonts w:ascii="Garamond" w:hAnsi="Garamond"/>
        </w:rPr>
        <w:t xml:space="preserve"> is seen to do precisely the opposite, exposing the ordinary as ‘a site devoid of love or hope at all. The sheer pointlessness of the family’s existence drives its inevitable destruction … Haneke cynically shows how the satiation of our material needs creates a vacuum of happiness and freedom, and prevents us from seeing what is really of value’. Anyone who has seen the film will see Gibbs’ point. As we discuss in the book, most academic analyses and film reviews concur with this </w:t>
      </w:r>
      <w:r w:rsidR="005C600D" w:rsidRPr="00DF5160">
        <w:rPr>
          <w:rFonts w:ascii="Garamond" w:hAnsi="Garamond"/>
        </w:rPr>
        <w:t>reading of the film</w:t>
      </w:r>
      <w:r w:rsidR="002A6C53" w:rsidRPr="00DF5160">
        <w:rPr>
          <w:rFonts w:ascii="Garamond" w:hAnsi="Garamond"/>
        </w:rPr>
        <w:t>, too</w:t>
      </w:r>
      <w:r w:rsidRPr="00DF5160">
        <w:rPr>
          <w:rFonts w:ascii="Garamond" w:hAnsi="Garamond"/>
        </w:rPr>
        <w:t xml:space="preserve">. </w:t>
      </w:r>
      <w:r w:rsidR="005C600D" w:rsidRPr="00DF5160">
        <w:rPr>
          <w:rFonts w:ascii="Garamond" w:hAnsi="Garamond"/>
        </w:rPr>
        <w:t xml:space="preserve">Our intention, as we also state in the book, is not to offer an account of the film that argues against these readings and </w:t>
      </w:r>
      <w:r w:rsidR="002A6C53" w:rsidRPr="00DF5160">
        <w:rPr>
          <w:rFonts w:ascii="Garamond" w:hAnsi="Garamond"/>
        </w:rPr>
        <w:t xml:space="preserve">to </w:t>
      </w:r>
      <w:r w:rsidR="005C600D" w:rsidRPr="00DF5160">
        <w:rPr>
          <w:rFonts w:ascii="Garamond" w:hAnsi="Garamond"/>
        </w:rPr>
        <w:t>try to reveal what was ‘really going on’. Uncomfortably, however, we did see something else presented in the film: a depiction of what maintaining family and society entails. They may not be doing it happily (whatever that means) or doing it in a way that evokes a positive telos, but they are doing it: making coffee, getting the child ready for school, going to work, going to the supermarket, having awkward family mea</w:t>
      </w:r>
      <w:r w:rsidR="002A6C53" w:rsidRPr="00DF5160">
        <w:rPr>
          <w:rFonts w:ascii="Garamond" w:hAnsi="Garamond"/>
        </w:rPr>
        <w:t>l</w:t>
      </w:r>
      <w:r w:rsidR="005C600D" w:rsidRPr="00DF5160">
        <w:rPr>
          <w:rFonts w:ascii="Garamond" w:hAnsi="Garamond"/>
        </w:rPr>
        <w:t xml:space="preserve">s, dealing with their negative feelings towards their parents, and so on. Haneke’s film is based on a true story, to the extent that a normal, middle-class family </w:t>
      </w:r>
      <w:r w:rsidR="002A6C53" w:rsidRPr="00DF5160">
        <w:rPr>
          <w:rFonts w:ascii="Garamond" w:hAnsi="Garamond"/>
        </w:rPr>
        <w:t xml:space="preserve">in Austria </w:t>
      </w:r>
      <w:r w:rsidR="005C600D" w:rsidRPr="00DF5160">
        <w:rPr>
          <w:rFonts w:ascii="Garamond" w:hAnsi="Garamond"/>
        </w:rPr>
        <w:t>did destroy all their possessions and take their own lives and that of their daughter. When we see this in the latter part of the film, the very fact of the recognisability of what preceded it becomes all the more uncomfortable: rather than explain this discomfort away by trying to understand why</w:t>
      </w:r>
      <w:r w:rsidR="002A6C53" w:rsidRPr="00DF5160">
        <w:rPr>
          <w:rFonts w:ascii="Garamond" w:hAnsi="Garamond"/>
        </w:rPr>
        <w:t xml:space="preserve"> they did what they did</w:t>
      </w:r>
      <w:r w:rsidR="005C600D" w:rsidRPr="00DF5160">
        <w:rPr>
          <w:rFonts w:ascii="Garamond" w:hAnsi="Garamond"/>
        </w:rPr>
        <w:t xml:space="preserve">, we tried to articulate the existential </w:t>
      </w:r>
      <w:r w:rsidR="00107B33" w:rsidRPr="00DF5160">
        <w:rPr>
          <w:rFonts w:ascii="Garamond" w:hAnsi="Garamond"/>
        </w:rPr>
        <w:t xml:space="preserve">questions, and </w:t>
      </w:r>
      <w:r w:rsidR="005C600D" w:rsidRPr="00DF5160">
        <w:rPr>
          <w:rFonts w:ascii="Garamond" w:hAnsi="Garamond"/>
        </w:rPr>
        <w:t>truths</w:t>
      </w:r>
      <w:r w:rsidR="00107B33" w:rsidRPr="00DF5160">
        <w:rPr>
          <w:rFonts w:ascii="Garamond" w:hAnsi="Garamond"/>
        </w:rPr>
        <w:t>,</w:t>
      </w:r>
      <w:r w:rsidR="005C600D" w:rsidRPr="00DF5160">
        <w:rPr>
          <w:rFonts w:ascii="Garamond" w:hAnsi="Garamond"/>
        </w:rPr>
        <w:t xml:space="preserve"> it</w:t>
      </w:r>
      <w:r w:rsidR="00107B33" w:rsidRPr="00DF5160">
        <w:rPr>
          <w:rFonts w:ascii="Garamond" w:hAnsi="Garamond"/>
        </w:rPr>
        <w:t xml:space="preserve"> arguably presents. </w:t>
      </w:r>
    </w:p>
    <w:p w:rsidR="00AD54BD" w:rsidRPr="00DF5160" w:rsidRDefault="00AD54BD" w:rsidP="00DF5160">
      <w:pPr>
        <w:spacing w:line="360" w:lineRule="auto"/>
        <w:ind w:firstLine="0"/>
        <w:rPr>
          <w:rFonts w:ascii="Garamond" w:hAnsi="Garamond"/>
        </w:rPr>
      </w:pPr>
      <w:r w:rsidRPr="00DF5160">
        <w:rPr>
          <w:rFonts w:ascii="Garamond" w:hAnsi="Garamond"/>
        </w:rPr>
        <w:t xml:space="preserve">Gibbs recognises that our departure from ‘the more sentimental and deeply humanistic narratives’ Cavell prefers is informed in part by our orientation to ‘the public, societal nature of education (upbringing as a </w:t>
      </w:r>
      <w:r w:rsidRPr="00DF5160">
        <w:rPr>
          <w:rFonts w:ascii="Garamond" w:hAnsi="Garamond"/>
        </w:rPr>
        <w:lastRenderedPageBreak/>
        <w:t>preparation for living among others)’. We also take our orientation, however, from both the current registers of the public, societal discourse of raising children</w:t>
      </w:r>
      <w:r w:rsidR="006D0CEE" w:rsidRPr="00DF5160">
        <w:rPr>
          <w:rFonts w:ascii="Garamond" w:hAnsi="Garamond"/>
        </w:rPr>
        <w:t>,</w:t>
      </w:r>
      <w:r w:rsidRPr="00DF5160">
        <w:rPr>
          <w:rFonts w:ascii="Garamond" w:hAnsi="Garamond"/>
        </w:rPr>
        <w:t xml:space="preserve"> and of educational philosophy and theory. </w:t>
      </w:r>
      <w:r w:rsidR="006D0CEE" w:rsidRPr="00DF5160">
        <w:rPr>
          <w:rFonts w:ascii="Garamond" w:hAnsi="Garamond"/>
        </w:rPr>
        <w:t xml:space="preserve">The former - the discourse of parenting - has been well-documented. The latter refers both to the relative absence of pedagogical-philosophical discussion of upbringing in philosophy of education (with notable exceptions) and the more general need to articulate what is </w:t>
      </w:r>
      <w:r w:rsidR="006D0CEE" w:rsidRPr="00DF5160">
        <w:rPr>
          <w:rFonts w:ascii="Garamond" w:hAnsi="Garamond"/>
          <w:i/>
          <w:iCs/>
        </w:rPr>
        <w:t xml:space="preserve">educational </w:t>
      </w:r>
      <w:r w:rsidR="006D0CEE" w:rsidRPr="00DF5160">
        <w:rPr>
          <w:rFonts w:ascii="Garamond" w:hAnsi="Garamond"/>
        </w:rPr>
        <w:t>about educational theory.</w:t>
      </w:r>
    </w:p>
    <w:p w:rsidR="006D0CEE" w:rsidRPr="00DF5160" w:rsidRDefault="006D0CEE" w:rsidP="00DF5160">
      <w:pPr>
        <w:spacing w:line="360" w:lineRule="auto"/>
        <w:ind w:firstLine="0"/>
        <w:rPr>
          <w:rFonts w:ascii="Garamond" w:hAnsi="Garamond"/>
        </w:rPr>
      </w:pPr>
      <w:r w:rsidRPr="00DF5160">
        <w:rPr>
          <w:rFonts w:ascii="Garamond" w:hAnsi="Garamond"/>
        </w:rPr>
        <w:t>Gibbs’ review raises questions about our target: are we trying to show that alternatives to the dominant parenting discourse are available, and should be made explicit to parents? Or are we orienting our claims toward academic approaches that overlook the pedagogical dimensions of our lives</w:t>
      </w:r>
      <w:r w:rsidR="002A6C53" w:rsidRPr="00DF5160">
        <w:rPr>
          <w:rFonts w:ascii="Garamond" w:hAnsi="Garamond"/>
        </w:rPr>
        <w:t>,</w:t>
      </w:r>
      <w:r w:rsidRPr="00DF5160">
        <w:rPr>
          <w:rFonts w:ascii="Garamond" w:hAnsi="Garamond"/>
        </w:rPr>
        <w:t xml:space="preserve"> or </w:t>
      </w:r>
      <w:r w:rsidR="002A6C53" w:rsidRPr="00DF5160">
        <w:rPr>
          <w:rFonts w:ascii="Garamond" w:hAnsi="Garamond"/>
        </w:rPr>
        <w:t xml:space="preserve">that </w:t>
      </w:r>
      <w:r w:rsidRPr="00DF5160">
        <w:rPr>
          <w:rFonts w:ascii="Garamond" w:hAnsi="Garamond"/>
        </w:rPr>
        <w:t xml:space="preserve">continue to articulate critiques that only tell us that dominant narratives are bad or wrong, rather than offering an affirmative articulation of what we do </w:t>
      </w:r>
      <w:proofErr w:type="spellStart"/>
      <w:r w:rsidRPr="00DF5160">
        <w:rPr>
          <w:rFonts w:ascii="Garamond" w:hAnsi="Garamond"/>
        </w:rPr>
        <w:t>do</w:t>
      </w:r>
      <w:proofErr w:type="spellEnd"/>
      <w:r w:rsidRPr="00DF5160">
        <w:rPr>
          <w:rFonts w:ascii="Garamond" w:hAnsi="Garamond"/>
        </w:rPr>
        <w:t>, what we value, and why it might be important to defend that?</w:t>
      </w:r>
    </w:p>
    <w:p w:rsidR="006D0CEE" w:rsidRPr="00DF5160" w:rsidRDefault="006D0CEE" w:rsidP="00DF5160">
      <w:pPr>
        <w:spacing w:line="360" w:lineRule="auto"/>
        <w:ind w:firstLine="0"/>
        <w:rPr>
          <w:rFonts w:ascii="Garamond" w:hAnsi="Garamond"/>
        </w:rPr>
      </w:pPr>
      <w:r w:rsidRPr="00DF5160">
        <w:rPr>
          <w:rFonts w:ascii="Garamond" w:hAnsi="Garamond"/>
        </w:rPr>
        <w:t xml:space="preserve">Arguably, in a book on Wittgenstein, Cavell, and unsettling European films, we can’t claim that we set out to appeal to the public. This isn’t a book ‘for parents’. So, it is perhaps misleading to suggest that our account of </w:t>
      </w:r>
      <w:r w:rsidRPr="00DF5160">
        <w:rPr>
          <w:rFonts w:ascii="Garamond" w:hAnsi="Garamond"/>
          <w:i/>
          <w:iCs/>
        </w:rPr>
        <w:t>Dogtooth</w:t>
      </w:r>
      <w:r w:rsidR="002A6C53" w:rsidRPr="00DF5160">
        <w:rPr>
          <w:rFonts w:ascii="Garamond" w:hAnsi="Garamond"/>
        </w:rPr>
        <w:t>, for example,</w:t>
      </w:r>
      <w:r w:rsidR="00A84A35" w:rsidRPr="00DF5160">
        <w:rPr>
          <w:rFonts w:ascii="Garamond" w:hAnsi="Garamond"/>
        </w:rPr>
        <w:t xml:space="preserve"> aims ‘to create sensitivity around alternative upbringings that should make parenting discourses less complacent’. Our analyses of the films are not oriented to providing a relativistic defence of parents’ right to choose how to raise their children. We don’t defend imprisonment. Or suicide. But nor do we criticize them. The accounts do not intend to offer an explanation of individual characters’ motivations, or of the meaning of the entire film narrative. It is the uncanny presentations of family life that invite the viewer to resist doing this. For us, they drew our attention instead to specific aspects of what it means to raise children, to be a family: </w:t>
      </w:r>
      <w:r w:rsidR="002F41BC" w:rsidRPr="00DF5160">
        <w:rPr>
          <w:rFonts w:ascii="Garamond" w:hAnsi="Garamond"/>
        </w:rPr>
        <w:t>the initiation into language and the world; the representative nature of the parent; and the maintaining of mundane practices that constitute our shared culture and community.</w:t>
      </w:r>
    </w:p>
    <w:p w:rsidR="00A84A35" w:rsidRPr="00DF5160" w:rsidRDefault="00A84A35" w:rsidP="00DF5160">
      <w:pPr>
        <w:spacing w:line="360" w:lineRule="auto"/>
        <w:ind w:firstLine="0"/>
        <w:rPr>
          <w:rFonts w:ascii="Garamond" w:hAnsi="Garamond"/>
        </w:rPr>
      </w:pPr>
    </w:p>
    <w:sectPr w:rsidR="00A84A35" w:rsidRPr="00DF5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B4A"/>
    <w:rsid w:val="00107B33"/>
    <w:rsid w:val="001D49E7"/>
    <w:rsid w:val="002A6C53"/>
    <w:rsid w:val="002F41BC"/>
    <w:rsid w:val="00350F59"/>
    <w:rsid w:val="00382BF5"/>
    <w:rsid w:val="003B11C3"/>
    <w:rsid w:val="00534CA0"/>
    <w:rsid w:val="00560B4A"/>
    <w:rsid w:val="005C600D"/>
    <w:rsid w:val="006A4342"/>
    <w:rsid w:val="006D0CEE"/>
    <w:rsid w:val="008D57D3"/>
    <w:rsid w:val="0090692E"/>
    <w:rsid w:val="00A44F7B"/>
    <w:rsid w:val="00A63123"/>
    <w:rsid w:val="00A84A35"/>
    <w:rsid w:val="00AA0C04"/>
    <w:rsid w:val="00AD54BD"/>
    <w:rsid w:val="00D22278"/>
    <w:rsid w:val="00D5478C"/>
    <w:rsid w:val="00DF5160"/>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1FF8B7-A576-46A8-A85B-18B747BA9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20" w:line="360"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uto"/>
    </w:pPr>
  </w:style>
  <w:style w:type="paragraph" w:styleId="Heading2">
    <w:name w:val="heading 2"/>
    <w:basedOn w:val="Normal"/>
    <w:link w:val="Heading2Char"/>
    <w:uiPriority w:val="9"/>
    <w:qFormat/>
    <w:rsid w:val="00560B4A"/>
    <w:pPr>
      <w:spacing w:before="100" w:beforeAutospacing="1" w:after="100" w:afterAutospacing="1"/>
      <w:ind w:firstLine="0"/>
      <w:jc w:val="left"/>
      <w:outlineLvl w:val="1"/>
    </w:pPr>
    <w:rPr>
      <w:rFonts w:ascii="Times New Roman" w:eastAsia="Times New Roman" w:hAnsi="Times New Roman" w:cs="Times New Roman"/>
      <w:b/>
      <w:bCs/>
      <w:sz w:val="36"/>
      <w:szCs w:val="36"/>
      <w:lang w:eastAsia="en-GB"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rsid w:val="00560B4A"/>
    <w:pPr>
      <w:spacing w:before="100" w:beforeAutospacing="1" w:after="100" w:afterAutospacing="1"/>
      <w:ind w:firstLine="0"/>
      <w:jc w:val="left"/>
    </w:pPr>
    <w:rPr>
      <w:rFonts w:ascii="Times New Roman" w:eastAsia="Times New Roman" w:hAnsi="Times New Roman" w:cs="Times New Roman"/>
      <w:sz w:val="24"/>
      <w:szCs w:val="24"/>
      <w:lang w:eastAsia="en-GB" w:bidi="he-IL"/>
    </w:rPr>
  </w:style>
  <w:style w:type="character" w:styleId="Emphasis">
    <w:name w:val="Emphasis"/>
    <w:basedOn w:val="DefaultParagraphFont"/>
    <w:uiPriority w:val="20"/>
    <w:qFormat/>
    <w:rsid w:val="00560B4A"/>
    <w:rPr>
      <w:i/>
      <w:iCs/>
    </w:rPr>
  </w:style>
  <w:style w:type="character" w:customStyle="1" w:styleId="Heading2Char">
    <w:name w:val="Heading 2 Char"/>
    <w:basedOn w:val="DefaultParagraphFont"/>
    <w:link w:val="Heading2"/>
    <w:uiPriority w:val="9"/>
    <w:rsid w:val="00560B4A"/>
    <w:rPr>
      <w:rFonts w:ascii="Times New Roman" w:eastAsia="Times New Roman" w:hAnsi="Times New Roman" w:cs="Times New Roman"/>
      <w:b/>
      <w:bCs/>
      <w:sz w:val="36"/>
      <w:szCs w:val="36"/>
      <w:lang w:eastAsia="en-GB" w:bidi="he-IL"/>
    </w:rPr>
  </w:style>
  <w:style w:type="character" w:styleId="Hyperlink">
    <w:name w:val="Hyperlink"/>
    <w:basedOn w:val="DefaultParagraphFont"/>
    <w:uiPriority w:val="99"/>
    <w:semiHidden/>
    <w:unhideWhenUsed/>
    <w:rsid w:val="00560B4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653491">
      <w:bodyDiv w:val="1"/>
      <w:marLeft w:val="0"/>
      <w:marRight w:val="0"/>
      <w:marTop w:val="0"/>
      <w:marBottom w:val="0"/>
      <w:divBdr>
        <w:top w:val="none" w:sz="0" w:space="0" w:color="auto"/>
        <w:left w:val="none" w:sz="0" w:space="0" w:color="auto"/>
        <w:bottom w:val="none" w:sz="0" w:space="0" w:color="auto"/>
        <w:right w:val="none" w:sz="0" w:space="0" w:color="auto"/>
      </w:divBdr>
    </w:div>
    <w:div w:id="89227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1857</Words>
  <Characters>10589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User</cp:lastModifiedBy>
  <cp:revision>2</cp:revision>
  <dcterms:created xsi:type="dcterms:W3CDTF">2020-11-23T14:46:00Z</dcterms:created>
  <dcterms:modified xsi:type="dcterms:W3CDTF">2020-11-23T14:46:00Z</dcterms:modified>
</cp:coreProperties>
</file>