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D45BD" w14:textId="130BF199" w:rsidR="00B43F1D" w:rsidRPr="005D0CE5" w:rsidRDefault="00016AA5" w:rsidP="00B01DA4">
      <w:pPr>
        <w:spacing w:line="360" w:lineRule="auto"/>
        <w:jc w:val="center"/>
        <w:outlineLvl w:val="0"/>
        <w:rPr>
          <w:rFonts w:ascii="Times New Roman" w:hAnsi="Times New Roman" w:cs="Times New Roman"/>
          <w:b/>
        </w:rPr>
      </w:pPr>
      <w:r w:rsidRPr="005D0CE5">
        <w:rPr>
          <w:rFonts w:ascii="Times New Roman" w:hAnsi="Times New Roman" w:cs="Times New Roman"/>
          <w:b/>
        </w:rPr>
        <w:t>Wallace Short Things Introduction</w:t>
      </w:r>
    </w:p>
    <w:p w14:paraId="68296C1B" w14:textId="77777777" w:rsidR="00016AA5" w:rsidRPr="005D0CE5" w:rsidRDefault="00016AA5" w:rsidP="00016AA5">
      <w:pPr>
        <w:spacing w:line="360" w:lineRule="auto"/>
        <w:rPr>
          <w:rFonts w:ascii="Times New Roman" w:hAnsi="Times New Roman" w:cs="Times New Roman"/>
        </w:rPr>
      </w:pPr>
    </w:p>
    <w:p w14:paraId="63EFDA18" w14:textId="763B4A8F" w:rsidR="00B01DA4" w:rsidRDefault="008E5AAC" w:rsidP="00F44C14">
      <w:pPr>
        <w:spacing w:line="360" w:lineRule="auto"/>
        <w:ind w:firstLine="720"/>
        <w:rPr>
          <w:rFonts w:ascii="Times New Roman" w:hAnsi="Times New Roman" w:cs="Times New Roman"/>
          <w:color w:val="000000" w:themeColor="text1"/>
          <w:lang w:val="en-US"/>
        </w:rPr>
      </w:pPr>
      <w:r w:rsidRPr="005D0CE5">
        <w:rPr>
          <w:rFonts w:ascii="Times New Roman" w:hAnsi="Times New Roman" w:cs="Times New Roman"/>
          <w:color w:val="000000" w:themeColor="text1"/>
        </w:rPr>
        <w:t xml:space="preserve">As Marshall Boswell </w:t>
      </w:r>
      <w:r w:rsidR="00016AA5" w:rsidRPr="005D0CE5">
        <w:rPr>
          <w:rFonts w:ascii="Times New Roman" w:hAnsi="Times New Roman" w:cs="Times New Roman"/>
          <w:color w:val="000000" w:themeColor="text1"/>
        </w:rPr>
        <w:t>observes</w:t>
      </w:r>
      <w:r w:rsidRPr="005D0CE5">
        <w:rPr>
          <w:rFonts w:ascii="Times New Roman" w:hAnsi="Times New Roman" w:cs="Times New Roman"/>
          <w:color w:val="000000" w:themeColor="text1"/>
        </w:rPr>
        <w:t xml:space="preserve"> in his introduction to the essays collected</w:t>
      </w:r>
      <w:r w:rsidR="00016AA5" w:rsidRPr="005D0CE5">
        <w:rPr>
          <w:rFonts w:ascii="Times New Roman" w:hAnsi="Times New Roman" w:cs="Times New Roman"/>
          <w:color w:val="000000" w:themeColor="text1"/>
        </w:rPr>
        <w:t xml:space="preserve"> in</w:t>
      </w:r>
      <w:r w:rsidRPr="005D0CE5">
        <w:rPr>
          <w:rFonts w:ascii="Times New Roman" w:hAnsi="Times New Roman" w:cs="Times New Roman"/>
          <w:color w:val="000000" w:themeColor="text1"/>
        </w:rPr>
        <w:t xml:space="preserve"> </w:t>
      </w:r>
      <w:r w:rsidRPr="005D0CE5">
        <w:rPr>
          <w:rFonts w:ascii="Times New Roman" w:hAnsi="Times New Roman" w:cs="Times New Roman"/>
          <w:i/>
          <w:color w:val="000000" w:themeColor="text1"/>
        </w:rPr>
        <w:t>David Foster Wallace and ‘The Long Thing’</w:t>
      </w:r>
      <w:r w:rsidRPr="005D0CE5">
        <w:rPr>
          <w:rFonts w:ascii="Times New Roman" w:hAnsi="Times New Roman" w:cs="Times New Roman"/>
          <w:color w:val="000000" w:themeColor="text1"/>
        </w:rPr>
        <w:t xml:space="preserve">, </w:t>
      </w:r>
      <w:r w:rsidR="00016AA5" w:rsidRPr="005D0CE5">
        <w:rPr>
          <w:rFonts w:ascii="Times New Roman" w:hAnsi="Times New Roman" w:cs="Times New Roman"/>
          <w:color w:val="000000" w:themeColor="text1"/>
        </w:rPr>
        <w:t>‘</w:t>
      </w:r>
      <w:r w:rsidR="00016AA5" w:rsidRPr="005D0CE5">
        <w:rPr>
          <w:rFonts w:ascii="Times New Roman" w:hAnsi="Times New Roman" w:cs="Times New Roman"/>
          <w:color w:val="000000" w:themeColor="text1"/>
          <w:lang w:val="en-US"/>
        </w:rPr>
        <w:t>it is reasonable to wonder why critics and readers don’t regard Wallace as primarily a short story writer’</w:t>
      </w:r>
      <w:r w:rsidR="00187444" w:rsidRPr="005D0CE5">
        <w:rPr>
          <w:rFonts w:ascii="Times New Roman" w:hAnsi="Times New Roman" w:cs="Times New Roman"/>
          <w:color w:val="000000" w:themeColor="text1"/>
          <w:lang w:val="en-US"/>
        </w:rPr>
        <w:t>,</w:t>
      </w:r>
      <w:r w:rsidR="00B01DA4" w:rsidRPr="005D0CE5">
        <w:rPr>
          <w:rStyle w:val="FootnoteReference"/>
          <w:rFonts w:ascii="Times New Roman" w:hAnsi="Times New Roman" w:cs="Times New Roman"/>
          <w:color w:val="000000" w:themeColor="text1"/>
          <w:lang w:val="en-US"/>
        </w:rPr>
        <w:footnoteReference w:id="1"/>
      </w:r>
      <w:r w:rsidR="00B01DA4" w:rsidRPr="005D0CE5">
        <w:rPr>
          <w:rFonts w:ascii="Times New Roman" w:hAnsi="Times New Roman" w:cs="Times New Roman"/>
          <w:color w:val="000000" w:themeColor="text1"/>
          <w:lang w:val="en-US"/>
        </w:rPr>
        <w:t xml:space="preserve"> since the balance of his story-collections-to-books ratio is comparable to peers who are categorized primarily as short story writers (</w:t>
      </w:r>
      <w:r w:rsidR="00B01DA4">
        <w:rPr>
          <w:rFonts w:ascii="Times New Roman" w:hAnsi="Times New Roman" w:cs="Times New Roman"/>
          <w:color w:val="000000" w:themeColor="text1"/>
          <w:lang w:val="en-US"/>
        </w:rPr>
        <w:t xml:space="preserve">Boswell’s example is Lorrie Moore, but </w:t>
      </w:r>
      <w:r w:rsidR="00B01DA4" w:rsidRPr="005D0CE5">
        <w:rPr>
          <w:rFonts w:ascii="Times New Roman" w:hAnsi="Times New Roman" w:cs="Times New Roman"/>
          <w:color w:val="000000" w:themeColor="text1"/>
          <w:lang w:val="en-US"/>
        </w:rPr>
        <w:t>we could</w:t>
      </w:r>
      <w:r w:rsidR="00B01DA4">
        <w:rPr>
          <w:rFonts w:ascii="Times New Roman" w:hAnsi="Times New Roman" w:cs="Times New Roman"/>
          <w:color w:val="000000" w:themeColor="text1"/>
          <w:lang w:val="en-US"/>
        </w:rPr>
        <w:t xml:space="preserve"> also</w:t>
      </w:r>
      <w:r w:rsidR="00B01DA4" w:rsidRPr="005D0CE5">
        <w:rPr>
          <w:rFonts w:ascii="Times New Roman" w:hAnsi="Times New Roman" w:cs="Times New Roman"/>
          <w:color w:val="000000" w:themeColor="text1"/>
          <w:lang w:val="en-US"/>
        </w:rPr>
        <w:t xml:space="preserve"> try this thought experiment in the hypothetical: how many novels might it take for George Saunders to start being dubbed a novelist?). It therefore takes some substantial effort to un-think Wallace primarily as a novelist and to </w:t>
      </w:r>
      <w:r w:rsidR="00B01DA4">
        <w:rPr>
          <w:rFonts w:ascii="Times New Roman" w:hAnsi="Times New Roman" w:cs="Times New Roman"/>
          <w:color w:val="000000" w:themeColor="text1"/>
          <w:lang w:val="en-US"/>
        </w:rPr>
        <w:t>consider him as</w:t>
      </w:r>
      <w:r w:rsidR="00B01DA4" w:rsidRPr="005D0CE5">
        <w:rPr>
          <w:rFonts w:ascii="Times New Roman" w:hAnsi="Times New Roman" w:cs="Times New Roman"/>
          <w:color w:val="000000" w:themeColor="text1"/>
          <w:lang w:val="en-US"/>
        </w:rPr>
        <w:t xml:space="preserve"> a writer of short fiction. This approach would involve not just identifying and taking seriously his ambitions for his work in the short form alongside those ambitions that he held for his long work, but also making some claims about his place within the history of short fiction. Writing at a time – after Carver, after Barthelme and Barth – when short fiction was resolving itself into something new and doing so in ways which were perhaps more acute in the short form than in the novel, Wallace’s short works should be considered as part of an attempt to remake short fiction with a purpose and ambition that is just as important as his groundbreaking influence on the contemporary novel. The essays in this special issue of </w:t>
      </w:r>
      <w:r w:rsidR="00B01DA4" w:rsidRPr="005D0CE5">
        <w:rPr>
          <w:rFonts w:ascii="Times New Roman" w:hAnsi="Times New Roman" w:cs="Times New Roman"/>
          <w:i/>
          <w:color w:val="000000" w:themeColor="text1"/>
          <w:lang w:val="en-US"/>
        </w:rPr>
        <w:t>The Journal of David Foster Wallace Studies</w:t>
      </w:r>
      <w:r w:rsidR="00B01DA4" w:rsidRPr="005D0CE5">
        <w:rPr>
          <w:rFonts w:ascii="Times New Roman" w:hAnsi="Times New Roman" w:cs="Times New Roman"/>
          <w:color w:val="000000" w:themeColor="text1"/>
          <w:lang w:val="en-US"/>
        </w:rPr>
        <w:t xml:space="preserve"> therefore attempt to identify the contributions that Wallace made to short fiction and to debates within the form, to tackle the complex and debated relationship between his long and short works, and to offer analysis of particular short works and story collections in the context of Wallace’s achievements in short fiction.</w:t>
      </w:r>
    </w:p>
    <w:p w14:paraId="559505A1" w14:textId="4A271665" w:rsidR="00B01DA4" w:rsidRPr="00B8041A" w:rsidRDefault="00B01DA4" w:rsidP="00F44C14">
      <w:pPr>
        <w:spacing w:line="360" w:lineRule="auto"/>
        <w:ind w:firstLine="720"/>
        <w:rPr>
          <w:rFonts w:ascii="Times New Roman" w:hAnsi="Times New Roman" w:cs="Times New Roman"/>
          <w:color w:val="000000" w:themeColor="text1"/>
          <w:lang w:val="en-US"/>
        </w:rPr>
      </w:pPr>
      <w:r w:rsidRPr="00B8041A">
        <w:rPr>
          <w:rFonts w:ascii="Times New Roman" w:hAnsi="Times New Roman" w:cs="Times New Roman"/>
          <w:color w:val="000000" w:themeColor="text1"/>
          <w:lang w:val="en-US"/>
        </w:rPr>
        <w:t xml:space="preserve">Indeed, it </w:t>
      </w:r>
      <w:r>
        <w:rPr>
          <w:rFonts w:ascii="Times New Roman" w:hAnsi="Times New Roman" w:cs="Times New Roman"/>
          <w:color w:val="000000" w:themeColor="text1"/>
          <w:lang w:val="en-US"/>
        </w:rPr>
        <w:t>was</w:t>
      </w:r>
      <w:r w:rsidRPr="00B8041A">
        <w:rPr>
          <w:rFonts w:ascii="Times New Roman" w:hAnsi="Times New Roman" w:cs="Times New Roman"/>
          <w:color w:val="000000" w:themeColor="text1"/>
          <w:lang w:val="en-US"/>
        </w:rPr>
        <w:t xml:space="preserve"> the publication of </w:t>
      </w:r>
      <w:r w:rsidRPr="00B8041A">
        <w:rPr>
          <w:rFonts w:ascii="Times New Roman" w:hAnsi="Times New Roman" w:cs="Times New Roman"/>
          <w:i/>
          <w:color w:val="000000" w:themeColor="text1"/>
          <w:lang w:val="en-US"/>
        </w:rPr>
        <w:t xml:space="preserve">The Long Thing </w:t>
      </w:r>
      <w:r w:rsidRPr="00B8041A">
        <w:rPr>
          <w:rFonts w:ascii="Times New Roman" w:hAnsi="Times New Roman" w:cs="Times New Roman"/>
          <w:color w:val="000000" w:themeColor="text1"/>
          <w:lang w:val="en-US"/>
        </w:rPr>
        <w:t xml:space="preserve">that provided the initial impetus for this project, inspiring the conference </w:t>
      </w:r>
      <w:r w:rsidRPr="00B8041A">
        <w:rPr>
          <w:rFonts w:ascii="Times New Roman" w:hAnsi="Times New Roman" w:cs="Times New Roman"/>
          <w:i/>
          <w:color w:val="000000" w:themeColor="text1"/>
          <w:lang w:val="en-US"/>
        </w:rPr>
        <w:t xml:space="preserve">David Foster Wallace and the Short Things </w:t>
      </w:r>
      <w:r w:rsidRPr="00B8041A">
        <w:rPr>
          <w:rFonts w:ascii="Times New Roman" w:hAnsi="Times New Roman" w:cs="Times New Roman"/>
          <w:color w:val="000000" w:themeColor="text1"/>
          <w:lang w:val="en-US"/>
        </w:rPr>
        <w:t>held at the University of Bristol, UK, in July 2015</w:t>
      </w:r>
      <w:r>
        <w:rPr>
          <w:rFonts w:ascii="Times New Roman" w:hAnsi="Times New Roman" w:cs="Times New Roman"/>
          <w:color w:val="000000" w:themeColor="text1"/>
          <w:lang w:val="en-US"/>
        </w:rPr>
        <w:t>, from which many of the papers, augmented by Jeffrey Severs’ and David Punter’s contributions, are drawn</w:t>
      </w:r>
      <w:r w:rsidRPr="00B8041A">
        <w:rPr>
          <w:rFonts w:ascii="Times New Roman" w:hAnsi="Times New Roman" w:cs="Times New Roman"/>
          <w:color w:val="000000" w:themeColor="text1"/>
          <w:lang w:val="en-US"/>
        </w:rPr>
        <w:t xml:space="preserve">. </w:t>
      </w:r>
      <w:r w:rsidRPr="00B8041A">
        <w:rPr>
          <w:rFonts w:ascii="Times New Roman" w:hAnsi="Times New Roman" w:cs="Times New Roman"/>
          <w:color w:val="121212"/>
          <w:shd w:val="clear" w:color="auto" w:fill="FFFFFF"/>
        </w:rPr>
        <w:t xml:space="preserve">If that work operates from an implicit </w:t>
      </w:r>
      <w:r>
        <w:rPr>
          <w:rFonts w:ascii="Times New Roman" w:hAnsi="Times New Roman" w:cs="Times New Roman"/>
          <w:color w:val="121212"/>
          <w:shd w:val="clear" w:color="auto" w:fill="FFFFFF"/>
        </w:rPr>
        <w:t xml:space="preserve">(if polemical/contentious) </w:t>
      </w:r>
      <w:r w:rsidRPr="00B8041A">
        <w:rPr>
          <w:rFonts w:ascii="Times New Roman" w:hAnsi="Times New Roman" w:cs="Times New Roman"/>
          <w:color w:val="121212"/>
          <w:shd w:val="clear" w:color="auto" w:fill="FFFFFF"/>
        </w:rPr>
        <w:t>premise that Wallace’s most natural</w:t>
      </w:r>
      <w:r>
        <w:rPr>
          <w:rFonts w:ascii="Times New Roman" w:hAnsi="Times New Roman" w:cs="Times New Roman"/>
          <w:color w:val="121212"/>
          <w:shd w:val="clear" w:color="auto" w:fill="FFFFFF"/>
        </w:rPr>
        <w:t xml:space="preserve"> and or accomplished</w:t>
      </w:r>
      <w:r w:rsidRPr="00B8041A">
        <w:rPr>
          <w:rFonts w:ascii="Times New Roman" w:hAnsi="Times New Roman" w:cs="Times New Roman"/>
          <w:color w:val="121212"/>
          <w:shd w:val="clear" w:color="auto" w:fill="FFFFFF"/>
        </w:rPr>
        <w:t xml:space="preserve"> writerly space</w:t>
      </w:r>
      <w:r>
        <w:rPr>
          <w:rFonts w:ascii="Times New Roman" w:hAnsi="Times New Roman" w:cs="Times New Roman"/>
          <w:color w:val="121212"/>
          <w:shd w:val="clear" w:color="auto" w:fill="FFFFFF"/>
        </w:rPr>
        <w:t xml:space="preserve"> is the novel (perhaps ‘of ideas’, as Adam Kelly writes)</w:t>
      </w:r>
      <w:r w:rsidRPr="00B8041A">
        <w:rPr>
          <w:rFonts w:ascii="Times New Roman" w:hAnsi="Times New Roman" w:cs="Times New Roman"/>
          <w:color w:val="121212"/>
          <w:shd w:val="clear" w:color="auto" w:fill="FFFFFF"/>
        </w:rPr>
        <w:t>,</w:t>
      </w:r>
      <w:r w:rsidRPr="006D15C8">
        <w:rPr>
          <w:rStyle w:val="FootnoteReference"/>
          <w:rFonts w:ascii="Times New Roman" w:hAnsi="Times New Roman" w:cs="Times New Roman"/>
          <w:color w:val="121212"/>
          <w:shd w:val="clear" w:color="auto" w:fill="FFFFFF"/>
        </w:rPr>
        <w:t xml:space="preserve"> </w:t>
      </w:r>
      <w:r>
        <w:rPr>
          <w:rStyle w:val="FootnoteReference"/>
          <w:rFonts w:ascii="Times New Roman" w:hAnsi="Times New Roman" w:cs="Times New Roman"/>
          <w:color w:val="121212"/>
          <w:shd w:val="clear" w:color="auto" w:fill="FFFFFF"/>
        </w:rPr>
        <w:footnoteReference w:id="2"/>
      </w:r>
      <w:r w:rsidRPr="00B8041A">
        <w:rPr>
          <w:rFonts w:ascii="Times New Roman" w:hAnsi="Times New Roman" w:cs="Times New Roman"/>
          <w:color w:val="121212"/>
          <w:shd w:val="clear" w:color="auto" w:fill="FFFFFF"/>
        </w:rPr>
        <w:t xml:space="preserve"> </w:t>
      </w:r>
      <w:r>
        <w:rPr>
          <w:rFonts w:ascii="Times New Roman" w:hAnsi="Times New Roman" w:cs="Times New Roman"/>
          <w:color w:val="121212"/>
          <w:shd w:val="clear" w:color="auto" w:fill="FFFFFF"/>
        </w:rPr>
        <w:t xml:space="preserve">or because, as Boswell remarks, ‘Wallace thought of </w:t>
      </w:r>
      <w:r>
        <w:rPr>
          <w:rFonts w:ascii="Times New Roman" w:hAnsi="Times New Roman" w:cs="Times New Roman"/>
          <w:i/>
          <w:color w:val="121212"/>
          <w:shd w:val="clear" w:color="auto" w:fill="FFFFFF"/>
        </w:rPr>
        <w:t xml:space="preserve">himself </w:t>
      </w:r>
      <w:r>
        <w:rPr>
          <w:rFonts w:ascii="Times New Roman" w:hAnsi="Times New Roman" w:cs="Times New Roman"/>
          <w:color w:val="121212"/>
          <w:shd w:val="clear" w:color="auto" w:fill="FFFFFF"/>
        </w:rPr>
        <w:t>as primarily a novelist’,</w:t>
      </w:r>
      <w:r>
        <w:rPr>
          <w:rStyle w:val="FootnoteReference"/>
          <w:rFonts w:ascii="Times New Roman" w:hAnsi="Times New Roman" w:cs="Times New Roman"/>
          <w:color w:val="121212"/>
          <w:shd w:val="clear" w:color="auto" w:fill="FFFFFF"/>
        </w:rPr>
        <w:footnoteReference w:id="3"/>
      </w:r>
      <w:r>
        <w:rPr>
          <w:rFonts w:ascii="Times New Roman" w:hAnsi="Times New Roman" w:cs="Times New Roman"/>
          <w:color w:val="121212"/>
          <w:shd w:val="clear" w:color="auto" w:fill="FFFFFF"/>
        </w:rPr>
        <w:t xml:space="preserve"> </w:t>
      </w:r>
      <w:r w:rsidRPr="00B8041A">
        <w:rPr>
          <w:rFonts w:ascii="Times New Roman" w:hAnsi="Times New Roman" w:cs="Times New Roman"/>
          <w:color w:val="121212"/>
          <w:shd w:val="clear" w:color="auto" w:fill="FFFFFF"/>
        </w:rPr>
        <w:t>this day would</w:t>
      </w:r>
      <w:r>
        <w:rPr>
          <w:rFonts w:ascii="Times New Roman" w:hAnsi="Times New Roman" w:cs="Times New Roman"/>
          <w:color w:val="121212"/>
          <w:shd w:val="clear" w:color="auto" w:fill="FFFFFF"/>
        </w:rPr>
        <w:t xml:space="preserve"> </w:t>
      </w:r>
      <w:r w:rsidRPr="00B8041A">
        <w:rPr>
          <w:rFonts w:ascii="Times New Roman" w:hAnsi="Times New Roman" w:cs="Times New Roman"/>
          <w:color w:val="121212"/>
          <w:shd w:val="clear" w:color="auto" w:fill="FFFFFF"/>
        </w:rPr>
        <w:t xml:space="preserve">test </w:t>
      </w:r>
      <w:r w:rsidRPr="00B8041A">
        <w:rPr>
          <w:rFonts w:ascii="Times New Roman" w:hAnsi="Times New Roman" w:cs="Times New Roman"/>
          <w:color w:val="121212"/>
          <w:shd w:val="clear" w:color="auto" w:fill="FFFFFF"/>
        </w:rPr>
        <w:lastRenderedPageBreak/>
        <w:t>the grounds for seeing short fiction as equally important</w:t>
      </w:r>
      <w:r>
        <w:rPr>
          <w:rFonts w:ascii="Times New Roman" w:hAnsi="Times New Roman" w:cs="Times New Roman"/>
          <w:color w:val="121212"/>
          <w:shd w:val="clear" w:color="auto" w:fill="FFFFFF"/>
        </w:rPr>
        <w:t xml:space="preserve"> to Wallace, and Wallace to it</w:t>
      </w:r>
      <w:r w:rsidRPr="00B8041A">
        <w:rPr>
          <w:rFonts w:ascii="Times New Roman" w:hAnsi="Times New Roman" w:cs="Times New Roman"/>
          <w:color w:val="121212"/>
          <w:shd w:val="clear" w:color="auto" w:fill="FFFFFF"/>
        </w:rPr>
        <w:t xml:space="preserve">. As Chis Power </w:t>
      </w:r>
      <w:r>
        <w:rPr>
          <w:rFonts w:ascii="Times New Roman" w:hAnsi="Times New Roman" w:cs="Times New Roman"/>
          <w:color w:val="121212"/>
          <w:shd w:val="clear" w:color="auto" w:fill="FFFFFF"/>
        </w:rPr>
        <w:t>wrote in his 2015 survey</w:t>
      </w:r>
      <w:r w:rsidRPr="00B8041A">
        <w:rPr>
          <w:rFonts w:ascii="Times New Roman" w:hAnsi="Times New Roman" w:cs="Times New Roman"/>
          <w:color w:val="121212"/>
          <w:shd w:val="clear" w:color="auto" w:fill="FFFFFF"/>
        </w:rPr>
        <w:t xml:space="preserve"> for </w:t>
      </w:r>
      <w:r>
        <w:rPr>
          <w:rFonts w:ascii="Times New Roman" w:hAnsi="Times New Roman" w:cs="Times New Roman"/>
          <w:i/>
          <w:color w:val="121212"/>
          <w:shd w:val="clear" w:color="auto" w:fill="FFFFFF"/>
        </w:rPr>
        <w:t>The</w:t>
      </w:r>
      <w:r w:rsidRPr="00B8041A">
        <w:rPr>
          <w:rFonts w:ascii="Times New Roman" w:hAnsi="Times New Roman" w:cs="Times New Roman"/>
          <w:color w:val="121212"/>
          <w:shd w:val="clear" w:color="auto" w:fill="FFFFFF"/>
        </w:rPr>
        <w:t xml:space="preserve"> </w:t>
      </w:r>
      <w:r w:rsidRPr="00B8041A">
        <w:rPr>
          <w:rFonts w:ascii="Times New Roman" w:hAnsi="Times New Roman" w:cs="Times New Roman"/>
          <w:i/>
          <w:color w:val="121212"/>
          <w:shd w:val="clear" w:color="auto" w:fill="FFFFFF"/>
        </w:rPr>
        <w:t xml:space="preserve">Telegraph, </w:t>
      </w:r>
      <w:r w:rsidRPr="00B8041A">
        <w:rPr>
          <w:rFonts w:ascii="Times New Roman" w:hAnsi="Times New Roman" w:cs="Times New Roman"/>
          <w:color w:val="121212"/>
          <w:shd w:val="clear" w:color="auto" w:fill="FFFFFF"/>
        </w:rPr>
        <w:t xml:space="preserve">‘besides </w:t>
      </w:r>
      <w:r w:rsidRPr="00C749C3">
        <w:rPr>
          <w:rFonts w:ascii="Times New Roman" w:hAnsi="Times New Roman" w:cs="Times New Roman"/>
          <w:i/>
          <w:color w:val="121212"/>
          <w:shd w:val="clear" w:color="auto" w:fill="FFFFFF"/>
        </w:rPr>
        <w:t>Infinite Jest</w:t>
      </w:r>
      <w:r w:rsidRPr="00B8041A">
        <w:rPr>
          <w:rFonts w:ascii="Times New Roman" w:hAnsi="Times New Roman" w:cs="Times New Roman"/>
          <w:color w:val="121212"/>
          <w:shd w:val="clear" w:color="auto" w:fill="FFFFFF"/>
        </w:rPr>
        <w:t xml:space="preserve"> it is arguably his three story collections that represent the most important part of his work’.</w:t>
      </w:r>
      <w:r>
        <w:rPr>
          <w:rStyle w:val="FootnoteReference"/>
          <w:rFonts w:ascii="Times New Roman" w:hAnsi="Times New Roman" w:cs="Times New Roman"/>
          <w:color w:val="121212"/>
          <w:shd w:val="clear" w:color="auto" w:fill="FFFFFF"/>
        </w:rPr>
        <w:footnoteReference w:id="4"/>
      </w:r>
      <w:r>
        <w:rPr>
          <w:rFonts w:ascii="Times New Roman" w:hAnsi="Times New Roman" w:cs="Times New Roman"/>
          <w:color w:val="121212"/>
          <w:shd w:val="clear" w:color="auto" w:fill="FFFFFF"/>
        </w:rPr>
        <w:t xml:space="preserve"> </w:t>
      </w:r>
      <w:r w:rsidRPr="00B8041A">
        <w:rPr>
          <w:rFonts w:ascii="Times New Roman" w:hAnsi="Times New Roman" w:cs="Times New Roman"/>
          <w:color w:val="000000" w:themeColor="text1"/>
          <w:lang w:val="en-US"/>
        </w:rPr>
        <w:t xml:space="preserve">The conference was well attended, seeing papers by established Wallace scholars such as Clare Hayes-Brady, David Hering, and Tim Groenland, alongside those of the next generation in Rob Mayo, Dennis Kinlaw, Sigolene Vivier, and Elliott Morsia. The plenary was delivered by Stephen J. Burn, and the day was </w:t>
      </w:r>
      <w:r>
        <w:rPr>
          <w:rFonts w:ascii="Times New Roman" w:hAnsi="Times New Roman" w:cs="Times New Roman"/>
          <w:color w:val="000000" w:themeColor="text1"/>
          <w:lang w:val="en-US"/>
        </w:rPr>
        <w:t>rounded off</w:t>
      </w:r>
      <w:r w:rsidRPr="00B8041A">
        <w:rPr>
          <w:rFonts w:ascii="Times New Roman" w:hAnsi="Times New Roman" w:cs="Times New Roman"/>
          <w:color w:val="000000" w:themeColor="text1"/>
          <w:lang w:val="en-US"/>
        </w:rPr>
        <w:t xml:space="preserve"> by a </w:t>
      </w:r>
      <w:r>
        <w:rPr>
          <w:rFonts w:ascii="Times New Roman" w:hAnsi="Times New Roman" w:cs="Times New Roman"/>
          <w:color w:val="000000" w:themeColor="text1"/>
          <w:lang w:val="en-US"/>
        </w:rPr>
        <w:t xml:space="preserve">fascinating </w:t>
      </w:r>
      <w:r w:rsidRPr="00B8041A">
        <w:rPr>
          <w:rFonts w:ascii="Times New Roman" w:hAnsi="Times New Roman" w:cs="Times New Roman"/>
          <w:color w:val="000000" w:themeColor="text1"/>
          <w:lang w:val="en-US"/>
        </w:rPr>
        <w:t>Skype Q&amp;A with Wallace’s enigmatic friend and co-MFA student jt jackson. As seems to be the case with Wallace conferences</w:t>
      </w:r>
      <w:r>
        <w:rPr>
          <w:rFonts w:ascii="Times New Roman" w:hAnsi="Times New Roman" w:cs="Times New Roman"/>
          <w:color w:val="000000" w:themeColor="text1"/>
          <w:lang w:val="en-US"/>
        </w:rPr>
        <w:t xml:space="preserve"> and criticism more broadly</w:t>
      </w:r>
      <w:r w:rsidRPr="00B8041A">
        <w:rPr>
          <w:rFonts w:ascii="Times New Roman" w:hAnsi="Times New Roman" w:cs="Times New Roman"/>
          <w:color w:val="000000" w:themeColor="text1"/>
          <w:lang w:val="en-US"/>
        </w:rPr>
        <w:t>, the atmosphere was congenial, collegiate, with a sense that each of the attendees, whether speaking</w:t>
      </w:r>
      <w:r>
        <w:rPr>
          <w:rFonts w:ascii="Times New Roman" w:hAnsi="Times New Roman" w:cs="Times New Roman"/>
          <w:color w:val="000000" w:themeColor="text1"/>
          <w:lang w:val="en-US"/>
        </w:rPr>
        <w:t xml:space="preserve">, </w:t>
      </w:r>
      <w:r w:rsidRPr="00B8041A">
        <w:rPr>
          <w:rFonts w:ascii="Times New Roman" w:hAnsi="Times New Roman" w:cs="Times New Roman"/>
          <w:color w:val="000000" w:themeColor="text1"/>
          <w:lang w:val="en-US"/>
        </w:rPr>
        <w:t>observing</w:t>
      </w:r>
      <w:r>
        <w:rPr>
          <w:rFonts w:ascii="Times New Roman" w:hAnsi="Times New Roman" w:cs="Times New Roman"/>
          <w:color w:val="000000" w:themeColor="text1"/>
          <w:lang w:val="en-US"/>
        </w:rPr>
        <w:t>, or chairing</w:t>
      </w:r>
      <w:r w:rsidRPr="00B8041A">
        <w:rPr>
          <w:rFonts w:ascii="Times New Roman" w:hAnsi="Times New Roman" w:cs="Times New Roman"/>
          <w:color w:val="000000" w:themeColor="text1"/>
          <w:lang w:val="en-US"/>
        </w:rPr>
        <w:t xml:space="preserve">, was participating </w:t>
      </w:r>
      <w:r>
        <w:rPr>
          <w:rFonts w:ascii="Times New Roman" w:hAnsi="Times New Roman" w:cs="Times New Roman"/>
          <w:color w:val="000000" w:themeColor="text1"/>
          <w:lang w:val="en-US"/>
        </w:rPr>
        <w:t xml:space="preserve">equally </w:t>
      </w:r>
      <w:r w:rsidRPr="00B8041A">
        <w:rPr>
          <w:rFonts w:ascii="Times New Roman" w:hAnsi="Times New Roman" w:cs="Times New Roman"/>
          <w:color w:val="000000" w:themeColor="text1"/>
          <w:lang w:val="en-US"/>
        </w:rPr>
        <w:t>in something meaningful</w:t>
      </w:r>
      <w:r>
        <w:rPr>
          <w:rFonts w:ascii="Times New Roman" w:hAnsi="Times New Roman" w:cs="Times New Roman"/>
          <w:color w:val="000000" w:themeColor="text1"/>
          <w:lang w:val="en-US"/>
        </w:rPr>
        <w:t xml:space="preserve"> (‘a certain sort of interrogation’, as it were)</w:t>
      </w:r>
      <w:r w:rsidRPr="00B8041A">
        <w:rPr>
          <w:rFonts w:ascii="Times New Roman" w:hAnsi="Times New Roman" w:cs="Times New Roman"/>
          <w:color w:val="000000" w:themeColor="text1"/>
          <w:lang w:val="en-US"/>
        </w:rPr>
        <w:t xml:space="preserve">, as there is with Wallace’s increasingly contentious but ever-vital writing. </w:t>
      </w:r>
    </w:p>
    <w:p w14:paraId="0BE89279" w14:textId="200EA489" w:rsidR="00B01DA4" w:rsidRPr="003B315E" w:rsidRDefault="00B01DA4" w:rsidP="00F44C14">
      <w:pPr>
        <w:spacing w:line="360" w:lineRule="auto"/>
        <w:ind w:firstLine="720"/>
        <w:rPr>
          <w:rFonts w:ascii="Times New Roman" w:hAnsi="Times New Roman" w:cs="Times New Roman"/>
          <w:color w:val="000000" w:themeColor="text1"/>
          <w:lang w:val="en-US"/>
        </w:rPr>
      </w:pPr>
      <w:r w:rsidRPr="003B315E">
        <w:rPr>
          <w:rFonts w:ascii="Times New Roman" w:hAnsi="Times New Roman" w:cs="Times New Roman"/>
          <w:color w:val="000000" w:themeColor="text1"/>
          <w:lang w:val="en-US"/>
        </w:rPr>
        <w:t xml:space="preserve">The papers and their subjects were disparate, as were </w:t>
      </w:r>
      <w:r>
        <w:rPr>
          <w:rFonts w:ascii="Times New Roman" w:hAnsi="Times New Roman" w:cs="Times New Roman"/>
          <w:color w:val="000000" w:themeColor="text1"/>
          <w:lang w:val="en-US"/>
        </w:rPr>
        <w:t>their</w:t>
      </w:r>
      <w:r w:rsidRPr="003B315E">
        <w:rPr>
          <w:rFonts w:ascii="Times New Roman" w:hAnsi="Times New Roman" w:cs="Times New Roman"/>
          <w:color w:val="000000" w:themeColor="text1"/>
          <w:lang w:val="en-US"/>
        </w:rPr>
        <w:t xml:space="preserve"> methodologies, genetic criticism being a notable new and peculiarly apposite arrival, an approach facilitated, or at the very least made viable, by the Harry Ransom Center’s acquisition of the David Foster Wallace archive in 2010, an event that has, arguably, changed the </w:t>
      </w:r>
      <w:r>
        <w:rPr>
          <w:rFonts w:ascii="Times New Roman" w:hAnsi="Times New Roman" w:cs="Times New Roman"/>
          <w:color w:val="000000" w:themeColor="text1"/>
          <w:lang w:val="en-US"/>
        </w:rPr>
        <w:t>landscape</w:t>
      </w:r>
      <w:r w:rsidRPr="003B315E">
        <w:rPr>
          <w:rFonts w:ascii="Times New Roman" w:hAnsi="Times New Roman" w:cs="Times New Roman"/>
          <w:color w:val="000000" w:themeColor="text1"/>
          <w:lang w:val="en-US"/>
        </w:rPr>
        <w:t xml:space="preserve"> of Wallace studies over the course of the past eight years. Groenland </w:t>
      </w:r>
      <w:r>
        <w:rPr>
          <w:rFonts w:ascii="Times New Roman" w:hAnsi="Times New Roman" w:cs="Times New Roman"/>
          <w:color w:val="000000" w:themeColor="text1"/>
          <w:lang w:val="en-US"/>
        </w:rPr>
        <w:t>identifies</w:t>
      </w:r>
      <w:r w:rsidRPr="003B315E">
        <w:rPr>
          <w:rFonts w:ascii="Times New Roman" w:hAnsi="Times New Roman" w:cs="Times New Roman"/>
          <w:color w:val="000000" w:themeColor="text1"/>
          <w:lang w:val="en-US"/>
        </w:rPr>
        <w:t xml:space="preserve"> the importance of the archive, commenting that ‘</w:t>
      </w:r>
      <w:r w:rsidRPr="003B315E">
        <w:rPr>
          <w:rFonts w:ascii="Times New Roman" w:hAnsi="Times New Roman" w:cs="Times New Roman"/>
          <w:color w:val="333333"/>
        </w:rPr>
        <w:t>With the opening of this archive,</w:t>
      </w:r>
      <w:r>
        <w:rPr>
          <w:rFonts w:ascii="Times New Roman" w:hAnsi="Times New Roman" w:cs="Times New Roman"/>
          <w:color w:val="333333"/>
        </w:rPr>
        <w:t xml:space="preserve"> Wallace</w:t>
      </w:r>
      <w:r w:rsidRPr="003B315E">
        <w:rPr>
          <w:rFonts w:ascii="Times New Roman" w:hAnsi="Times New Roman" w:cs="Times New Roman"/>
          <w:color w:val="333333"/>
        </w:rPr>
        <w:t> scholars are thus beginning to confront questions that have already become key ones in the study of several canonical high modernist authors’.</w:t>
      </w:r>
      <w:r w:rsidRPr="003B315E">
        <w:rPr>
          <w:rStyle w:val="FootnoteReference"/>
          <w:rFonts w:ascii="Times New Roman" w:hAnsi="Times New Roman" w:cs="Times New Roman"/>
          <w:color w:val="333333"/>
        </w:rPr>
        <w:footnoteReference w:id="5"/>
      </w:r>
      <w:r w:rsidRPr="003B315E">
        <w:rPr>
          <w:rFonts w:ascii="Times New Roman" w:hAnsi="Times New Roman" w:cs="Times New Roman"/>
          <w:color w:val="333333"/>
        </w:rPr>
        <w:t xml:space="preserve"> </w:t>
      </w:r>
      <w:r w:rsidRPr="003B315E">
        <w:rPr>
          <w:rFonts w:ascii="Times New Roman" w:hAnsi="Times New Roman" w:cs="Times New Roman"/>
          <w:color w:val="000000" w:themeColor="text1"/>
          <w:lang w:val="en-US"/>
        </w:rPr>
        <w:t xml:space="preserve">For </w:t>
      </w:r>
      <w:r>
        <w:rPr>
          <w:rFonts w:ascii="Times New Roman" w:hAnsi="Times New Roman" w:cs="Times New Roman"/>
          <w:color w:val="000000" w:themeColor="text1"/>
          <w:lang w:val="en-US"/>
        </w:rPr>
        <w:t>any</w:t>
      </w:r>
      <w:r w:rsidRPr="003B315E">
        <w:rPr>
          <w:rFonts w:ascii="Times New Roman" w:hAnsi="Times New Roman" w:cs="Times New Roman"/>
          <w:color w:val="000000" w:themeColor="text1"/>
          <w:lang w:val="en-US"/>
        </w:rPr>
        <w:t xml:space="preserve"> uninitiated into the formal and thematic eclecticism of Wallace’s oeuvre, the papers presented might have been about many and not a single author, </w:t>
      </w:r>
      <w:r>
        <w:rPr>
          <w:rFonts w:ascii="Times New Roman" w:hAnsi="Times New Roman" w:cs="Times New Roman"/>
          <w:color w:val="000000" w:themeColor="text1"/>
          <w:lang w:val="en-US"/>
        </w:rPr>
        <w:t xml:space="preserve">even </w:t>
      </w:r>
      <w:r w:rsidRPr="003B315E">
        <w:rPr>
          <w:rFonts w:ascii="Times New Roman" w:hAnsi="Times New Roman" w:cs="Times New Roman"/>
          <w:color w:val="000000" w:themeColor="text1"/>
          <w:lang w:val="en-US"/>
        </w:rPr>
        <w:t xml:space="preserve">one so globally influenced (as Lucas Thompson has argued in </w:t>
      </w:r>
      <w:r w:rsidRPr="003B315E">
        <w:rPr>
          <w:rFonts w:ascii="Times New Roman" w:hAnsi="Times New Roman" w:cs="Times New Roman"/>
          <w:i/>
          <w:color w:val="000000" w:themeColor="text1"/>
          <w:lang w:val="en-US"/>
        </w:rPr>
        <w:t>Global Wallace</w:t>
      </w:r>
      <w:r w:rsidRPr="003B315E">
        <w:rPr>
          <w:rFonts w:ascii="Times New Roman" w:hAnsi="Times New Roman" w:cs="Times New Roman"/>
          <w:color w:val="000000" w:themeColor="text1"/>
          <w:lang w:val="en-US"/>
        </w:rPr>
        <w:t xml:space="preserve">) and influential (as Boswell argues in the forthcoming </w:t>
      </w:r>
      <w:r w:rsidRPr="003B315E">
        <w:rPr>
          <w:rFonts w:ascii="Times New Roman" w:hAnsi="Times New Roman" w:cs="Times New Roman"/>
          <w:i/>
          <w:color w:val="000000" w:themeColor="text1"/>
          <w:lang w:val="en-US"/>
        </w:rPr>
        <w:t>The Wallace Effect</w:t>
      </w:r>
      <w:r w:rsidRPr="003B315E">
        <w:rPr>
          <w:rFonts w:ascii="Times New Roman" w:hAnsi="Times New Roman" w:cs="Times New Roman"/>
          <w:color w:val="000000" w:themeColor="text1"/>
          <w:lang w:val="en-US"/>
        </w:rPr>
        <w:t xml:space="preserve">). However, </w:t>
      </w:r>
      <w:r>
        <w:rPr>
          <w:rFonts w:ascii="Times New Roman" w:hAnsi="Times New Roman" w:cs="Times New Roman"/>
          <w:color w:val="000000" w:themeColor="text1"/>
          <w:lang w:val="en-US"/>
        </w:rPr>
        <w:t xml:space="preserve">if </w:t>
      </w:r>
      <w:r w:rsidRPr="003B315E">
        <w:rPr>
          <w:rFonts w:ascii="Times New Roman" w:hAnsi="Times New Roman" w:cs="Times New Roman"/>
          <w:color w:val="000000" w:themeColor="text1"/>
          <w:lang w:val="en-US"/>
        </w:rPr>
        <w:t xml:space="preserve">one key observation united these papers it was that Wallace’s long things and short things were so tightly interwoven that distinguishing between them, cauterizing the porous borders that both separate and unite simultaneously composed and subsequently disintegrated narratives and concept-scapes was at the very least challenging and at worst nonsensical, requiring, then, even necessitating </w:t>
      </w:r>
      <w:r>
        <w:rPr>
          <w:rFonts w:ascii="Times New Roman" w:hAnsi="Times New Roman" w:cs="Times New Roman"/>
          <w:color w:val="000000" w:themeColor="text1"/>
          <w:lang w:val="en-US"/>
        </w:rPr>
        <w:t xml:space="preserve">micro-surgical </w:t>
      </w:r>
      <w:r w:rsidRPr="003B315E">
        <w:rPr>
          <w:rFonts w:ascii="Times New Roman" w:hAnsi="Times New Roman" w:cs="Times New Roman"/>
          <w:color w:val="000000" w:themeColor="text1"/>
          <w:lang w:val="en-US"/>
        </w:rPr>
        <w:t xml:space="preserve">genetic de-coding. That said, attempting to define the boundaries between forces one to focus, </w:t>
      </w:r>
      <w:r>
        <w:rPr>
          <w:rFonts w:ascii="Times New Roman" w:hAnsi="Times New Roman" w:cs="Times New Roman"/>
          <w:color w:val="000000" w:themeColor="text1"/>
          <w:lang w:val="en-US"/>
        </w:rPr>
        <w:t xml:space="preserve">to </w:t>
      </w:r>
      <w:r w:rsidRPr="003B315E">
        <w:rPr>
          <w:rFonts w:ascii="Times New Roman" w:hAnsi="Times New Roman" w:cs="Times New Roman"/>
          <w:color w:val="000000" w:themeColor="text1"/>
          <w:lang w:val="en-US"/>
        </w:rPr>
        <w:t xml:space="preserve">pay attention </w:t>
      </w:r>
      <w:r>
        <w:rPr>
          <w:rFonts w:ascii="Times New Roman" w:hAnsi="Times New Roman" w:cs="Times New Roman"/>
          <w:color w:val="000000" w:themeColor="text1"/>
          <w:lang w:val="en-US"/>
        </w:rPr>
        <w:t xml:space="preserve">as Alice has </w:t>
      </w:r>
      <w:r>
        <w:rPr>
          <w:rFonts w:ascii="Times New Roman" w:hAnsi="Times New Roman" w:cs="Times New Roman"/>
          <w:color w:val="000000" w:themeColor="text1"/>
          <w:lang w:val="en-US"/>
        </w:rPr>
        <w:lastRenderedPageBreak/>
        <w:t>highlighted</w:t>
      </w:r>
      <w:r w:rsidRPr="003B315E">
        <w:rPr>
          <w:rFonts w:ascii="Times New Roman" w:hAnsi="Times New Roman" w:cs="Times New Roman"/>
          <w:color w:val="000000" w:themeColor="text1"/>
          <w:lang w:val="en-US"/>
        </w:rPr>
        <w:t>, not simply to the coextensivity of concerns, but to Wallace</w:t>
      </w:r>
      <w:r>
        <w:rPr>
          <w:rFonts w:ascii="Times New Roman" w:hAnsi="Times New Roman" w:cs="Times New Roman"/>
          <w:color w:val="000000" w:themeColor="text1"/>
          <w:lang w:val="en-US"/>
        </w:rPr>
        <w:t>’s</w:t>
      </w:r>
      <w:r w:rsidRPr="003B315E">
        <w:rPr>
          <w:rFonts w:ascii="Times New Roman" w:hAnsi="Times New Roman" w:cs="Times New Roman"/>
          <w:color w:val="000000" w:themeColor="text1"/>
          <w:lang w:val="en-US"/>
        </w:rPr>
        <w:t xml:space="preserve"> trouble </w:t>
      </w:r>
      <w:r w:rsidRPr="003B315E">
        <w:rPr>
          <w:rFonts w:ascii="Times New Roman" w:hAnsi="Times New Roman" w:cs="Times New Roman"/>
          <w:i/>
          <w:color w:val="000000" w:themeColor="text1"/>
          <w:lang w:val="en-US"/>
        </w:rPr>
        <w:t>with</w:t>
      </w:r>
      <w:r w:rsidRPr="003B315E">
        <w:rPr>
          <w:rFonts w:ascii="Times New Roman" w:hAnsi="Times New Roman" w:cs="Times New Roman"/>
          <w:color w:val="000000" w:themeColor="text1"/>
          <w:lang w:val="en-US"/>
        </w:rPr>
        <w:t xml:space="preserve">, and troubling </w:t>
      </w:r>
      <w:r w:rsidRPr="003B315E">
        <w:rPr>
          <w:rFonts w:ascii="Times New Roman" w:hAnsi="Times New Roman" w:cs="Times New Roman"/>
          <w:i/>
          <w:color w:val="000000" w:themeColor="text1"/>
          <w:lang w:val="en-US"/>
        </w:rPr>
        <w:t>of</w:t>
      </w:r>
      <w:r w:rsidRPr="003B315E">
        <w:rPr>
          <w:rFonts w:ascii="Times New Roman" w:hAnsi="Times New Roman" w:cs="Times New Roman"/>
          <w:color w:val="000000" w:themeColor="text1"/>
          <w:lang w:val="en-US"/>
        </w:rPr>
        <w:t xml:space="preserve"> genre and form, perhaps the hallmark of a career-long wrestling match with innovation on the one hand, and much lauded sincerity (</w:t>
      </w:r>
      <w:r>
        <w:rPr>
          <w:rFonts w:ascii="Times New Roman" w:hAnsi="Times New Roman" w:cs="Times New Roman"/>
          <w:color w:val="000000" w:themeColor="text1"/>
          <w:lang w:val="en-US"/>
        </w:rPr>
        <w:t xml:space="preserve">albeit </w:t>
      </w:r>
      <w:r w:rsidRPr="003B315E">
        <w:rPr>
          <w:rFonts w:ascii="Times New Roman" w:hAnsi="Times New Roman" w:cs="Times New Roman"/>
          <w:color w:val="000000" w:themeColor="text1"/>
          <w:lang w:val="en-US"/>
        </w:rPr>
        <w:t>‘with a motive’) on the other.</w:t>
      </w:r>
    </w:p>
    <w:p w14:paraId="4CF01E74" w14:textId="7828AD78" w:rsidR="00B01DA4" w:rsidRDefault="00B01DA4" w:rsidP="00F44C14">
      <w:pPr>
        <w:spacing w:line="360" w:lineRule="auto"/>
        <w:ind w:firstLine="720"/>
        <w:rPr>
          <w:rFonts w:ascii="Times New Roman" w:hAnsi="Times New Roman" w:cs="Times New Roman"/>
          <w:color w:val="000000" w:themeColor="text1"/>
          <w:lang w:val="en-US"/>
        </w:rPr>
      </w:pPr>
      <w:r w:rsidRPr="005D0CE5">
        <w:rPr>
          <w:rFonts w:ascii="Times New Roman" w:hAnsi="Times New Roman" w:cs="Times New Roman"/>
          <w:color w:val="000000" w:themeColor="text1"/>
          <w:lang w:val="en-US"/>
        </w:rPr>
        <w:t xml:space="preserve">The conference was conceived always with an eye towards subsequent collection and publication of essays, a kind of companion piece to </w:t>
      </w:r>
      <w:r w:rsidRPr="005D0CE5">
        <w:rPr>
          <w:rFonts w:ascii="Times New Roman" w:hAnsi="Times New Roman" w:cs="Times New Roman"/>
          <w:i/>
          <w:color w:val="000000" w:themeColor="text1"/>
          <w:lang w:val="en-US"/>
        </w:rPr>
        <w:t xml:space="preserve">The Long Thing. </w:t>
      </w:r>
      <w:r>
        <w:rPr>
          <w:rFonts w:ascii="Times New Roman" w:hAnsi="Times New Roman" w:cs="Times New Roman"/>
          <w:color w:val="000000" w:themeColor="text1"/>
          <w:lang w:val="en-US"/>
        </w:rPr>
        <w:t>But</w:t>
      </w:r>
      <w:r w:rsidRPr="005D0CE5">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and perhaps surprisingly, </w:t>
      </w:r>
      <w:r w:rsidRPr="005D0CE5">
        <w:rPr>
          <w:rFonts w:ascii="Times New Roman" w:hAnsi="Times New Roman" w:cs="Times New Roman"/>
          <w:color w:val="000000" w:themeColor="text1"/>
          <w:lang w:val="en-US"/>
        </w:rPr>
        <w:t xml:space="preserve">there was not </w:t>
      </w:r>
      <w:r>
        <w:rPr>
          <w:rFonts w:ascii="Times New Roman" w:hAnsi="Times New Roman" w:cs="Times New Roman"/>
          <w:color w:val="000000" w:themeColor="text1"/>
          <w:lang w:val="en-US"/>
        </w:rPr>
        <w:t xml:space="preserve">at first </w:t>
      </w:r>
      <w:r w:rsidRPr="005D0CE5">
        <w:rPr>
          <w:rFonts w:ascii="Times New Roman" w:hAnsi="Times New Roman" w:cs="Times New Roman"/>
          <w:color w:val="000000" w:themeColor="text1"/>
          <w:lang w:val="en-US"/>
        </w:rPr>
        <w:t xml:space="preserve">such an appetite for a collection of essays on the short fiction, as there was for the long fiction, a feeling that seemed to be </w:t>
      </w:r>
      <w:r>
        <w:rPr>
          <w:rFonts w:ascii="Times New Roman" w:hAnsi="Times New Roman" w:cs="Times New Roman"/>
          <w:color w:val="000000" w:themeColor="text1"/>
          <w:lang w:val="en-US"/>
        </w:rPr>
        <w:t>founded</w:t>
      </w:r>
      <w:r w:rsidRPr="005D0CE5">
        <w:rPr>
          <w:rFonts w:ascii="Times New Roman" w:hAnsi="Times New Roman" w:cs="Times New Roman"/>
          <w:color w:val="000000" w:themeColor="text1"/>
          <w:lang w:val="en-US"/>
        </w:rPr>
        <w:t xml:space="preserve"> on the bias towards scholarship of the longer works</w:t>
      </w:r>
      <w:r>
        <w:rPr>
          <w:rFonts w:ascii="Times New Roman" w:hAnsi="Times New Roman" w:cs="Times New Roman"/>
          <w:color w:val="000000" w:themeColor="text1"/>
          <w:lang w:val="en-US"/>
        </w:rPr>
        <w:t xml:space="preserve"> (any database search for Wallace reveals an inordinate interest in </w:t>
      </w:r>
      <w:r>
        <w:rPr>
          <w:rFonts w:ascii="Times New Roman" w:hAnsi="Times New Roman" w:cs="Times New Roman"/>
          <w:i/>
          <w:color w:val="000000" w:themeColor="text1"/>
          <w:lang w:val="en-US"/>
        </w:rPr>
        <w:t>Infinite Jest</w:t>
      </w:r>
      <w:r>
        <w:rPr>
          <w:rFonts w:ascii="Times New Roman" w:hAnsi="Times New Roman" w:cs="Times New Roman"/>
          <w:color w:val="000000" w:themeColor="text1"/>
          <w:lang w:val="en-US"/>
        </w:rPr>
        <w:t>)</w:t>
      </w:r>
      <w:r w:rsidRPr="005D0CE5">
        <w:rPr>
          <w:rFonts w:ascii="Times New Roman" w:hAnsi="Times New Roman" w:cs="Times New Roman"/>
          <w:color w:val="000000" w:themeColor="text1"/>
          <w:lang w:val="en-US"/>
        </w:rPr>
        <w:t xml:space="preserve">, supported by occasional reference to the shorter pieces, as if they were </w:t>
      </w:r>
      <w:r>
        <w:rPr>
          <w:rFonts w:ascii="Times New Roman" w:hAnsi="Times New Roman" w:cs="Times New Roman"/>
          <w:color w:val="000000" w:themeColor="text1"/>
          <w:lang w:val="en-US"/>
        </w:rPr>
        <w:t>mere supplements (let’s leave Derrida as a trace, here) to</w:t>
      </w:r>
      <w:r w:rsidRPr="005D0CE5">
        <w:rPr>
          <w:rFonts w:ascii="Times New Roman" w:hAnsi="Times New Roman" w:cs="Times New Roman"/>
          <w:color w:val="000000" w:themeColor="text1"/>
          <w:lang w:val="en-US"/>
        </w:rPr>
        <w:t>, or rather rehearsals for the more accomplished and typical longer works seen as Wallace’s most natural form</w:t>
      </w:r>
      <w:r>
        <w:rPr>
          <w:rFonts w:ascii="Times New Roman" w:hAnsi="Times New Roman" w:cs="Times New Roman"/>
          <w:color w:val="000000" w:themeColor="text1"/>
          <w:lang w:val="en-US"/>
        </w:rPr>
        <w:t xml:space="preserve">, with </w:t>
      </w:r>
      <w:r w:rsidRPr="005D0CE5">
        <w:rPr>
          <w:rFonts w:ascii="Times New Roman" w:hAnsi="Times New Roman" w:cs="Times New Roman"/>
          <w:i/>
          <w:color w:val="000000" w:themeColor="text1"/>
          <w:lang w:val="en-US"/>
        </w:rPr>
        <w:t xml:space="preserve">IJ </w:t>
      </w:r>
      <w:r w:rsidRPr="005D0CE5">
        <w:rPr>
          <w:rFonts w:ascii="Times New Roman" w:hAnsi="Times New Roman" w:cs="Times New Roman"/>
          <w:color w:val="000000" w:themeColor="text1"/>
          <w:lang w:val="en-US"/>
        </w:rPr>
        <w:t>the gravitational hub around which constellate the ‘other’ works</w:t>
      </w:r>
      <w:r>
        <w:rPr>
          <w:rFonts w:ascii="Times New Roman" w:hAnsi="Times New Roman" w:cs="Times New Roman"/>
          <w:color w:val="000000" w:themeColor="text1"/>
          <w:lang w:val="en-US"/>
        </w:rPr>
        <w:t xml:space="preserve"> (the word ‘mere’ is remarkably recurrent in discussions of short fiction, as Mayo notes in his essay). Maybe, though, this attention to the longer works is not inordinate, but justified by the impact that they have had not simply on the contemporary novel but its perceived function and its communicative potential as an art form in an era that witnessed the (highly exaggerated) ‘death of the novel’; Lorin Stein persuasively suggests that Wallace’s ‘masterpiece’ has changed the ‘sounds and aim of American fiction’,</w:t>
      </w:r>
      <w:r>
        <w:rPr>
          <w:rStyle w:val="FootnoteReference"/>
          <w:rFonts w:ascii="Times New Roman" w:hAnsi="Times New Roman" w:cs="Times New Roman"/>
          <w:color w:val="000000" w:themeColor="text1"/>
          <w:lang w:val="en-US"/>
        </w:rPr>
        <w:footnoteReference w:id="6"/>
      </w:r>
      <w:r w:rsidRPr="005D0CE5">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ushering in a ‘third wave of modernism’, as Boswell has so influentially written.</w:t>
      </w:r>
      <w:r>
        <w:rPr>
          <w:rStyle w:val="FootnoteReference"/>
          <w:rFonts w:ascii="Times New Roman" w:hAnsi="Times New Roman" w:cs="Times New Roman"/>
          <w:color w:val="000000" w:themeColor="text1"/>
          <w:lang w:val="en-US"/>
        </w:rPr>
        <w:footnoteReference w:id="7"/>
      </w:r>
    </w:p>
    <w:p w14:paraId="0D0FBF7D" w14:textId="0718142C" w:rsidR="00B01DA4" w:rsidRPr="00E613AA" w:rsidRDefault="00B01DA4" w:rsidP="00F44C14">
      <w:pPr>
        <w:spacing w:line="360" w:lineRule="auto"/>
        <w:ind w:firstLine="720"/>
        <w:rPr>
          <w:rFonts w:ascii="Times New Roman" w:hAnsi="Times New Roman" w:cs="Times New Roman"/>
          <w:color w:val="000000" w:themeColor="text1"/>
          <w:lang w:val="en-US"/>
        </w:rPr>
      </w:pPr>
      <w:r w:rsidRPr="005D0CE5">
        <w:rPr>
          <w:rFonts w:ascii="Times New Roman" w:hAnsi="Times New Roman" w:cs="Times New Roman"/>
          <w:color w:val="000000" w:themeColor="text1"/>
          <w:lang w:val="en-US"/>
        </w:rPr>
        <w:t xml:space="preserve">In the years between then and now, many of the contributors to the conference </w:t>
      </w:r>
      <w:r>
        <w:rPr>
          <w:rFonts w:ascii="Times New Roman" w:hAnsi="Times New Roman" w:cs="Times New Roman"/>
          <w:color w:val="000000" w:themeColor="text1"/>
          <w:lang w:val="en-US"/>
        </w:rPr>
        <w:t xml:space="preserve">(including Alice) </w:t>
      </w:r>
      <w:r w:rsidRPr="005D0CE5">
        <w:rPr>
          <w:rFonts w:ascii="Times New Roman" w:hAnsi="Times New Roman" w:cs="Times New Roman"/>
          <w:color w:val="000000" w:themeColor="text1"/>
          <w:lang w:val="en-US"/>
        </w:rPr>
        <w:t xml:space="preserve">have published monographs devoted to or interested in Wallace: David Hering’s </w:t>
      </w:r>
      <w:r w:rsidRPr="005D0CE5">
        <w:rPr>
          <w:rFonts w:ascii="Times New Roman" w:hAnsi="Times New Roman" w:cs="Times New Roman"/>
          <w:i/>
          <w:color w:val="000000" w:themeColor="text1"/>
          <w:lang w:val="en-US"/>
        </w:rPr>
        <w:t xml:space="preserve">Fiction and Form </w:t>
      </w:r>
      <w:r w:rsidRPr="005D0CE5">
        <w:rPr>
          <w:rFonts w:ascii="Times New Roman" w:hAnsi="Times New Roman" w:cs="Times New Roman"/>
          <w:color w:val="000000" w:themeColor="text1"/>
          <w:lang w:val="en-US"/>
        </w:rPr>
        <w:t xml:space="preserve">is a masterful clinical project </w:t>
      </w:r>
      <w:r>
        <w:rPr>
          <w:rFonts w:ascii="Times New Roman" w:hAnsi="Times New Roman" w:cs="Times New Roman"/>
          <w:color w:val="000000" w:themeColor="text1"/>
          <w:lang w:val="en-US"/>
        </w:rPr>
        <w:t xml:space="preserve">of </w:t>
      </w:r>
      <w:r w:rsidRPr="005D0CE5">
        <w:rPr>
          <w:rFonts w:ascii="Times New Roman" w:hAnsi="Times New Roman" w:cs="Times New Roman"/>
          <w:color w:val="000000" w:themeColor="text1"/>
          <w:lang w:val="en-US"/>
        </w:rPr>
        <w:t xml:space="preserve">reverse engineering, unpicking the sometimes hasty stitching between story/novel; </w:t>
      </w:r>
      <w:r>
        <w:rPr>
          <w:rFonts w:ascii="Times New Roman" w:hAnsi="Times New Roman" w:cs="Times New Roman"/>
          <w:color w:val="000000" w:themeColor="text1"/>
          <w:lang w:val="en-US"/>
        </w:rPr>
        <w:t xml:space="preserve">in </w:t>
      </w:r>
      <w:r>
        <w:rPr>
          <w:rFonts w:ascii="Times New Roman" w:hAnsi="Times New Roman" w:cs="Times New Roman"/>
          <w:i/>
          <w:color w:val="000000" w:themeColor="text1"/>
          <w:lang w:val="en-US"/>
        </w:rPr>
        <w:t xml:space="preserve">The Unspeakable Failures of David Foster Wallace </w:t>
      </w:r>
      <w:r w:rsidRPr="005D0CE5">
        <w:rPr>
          <w:rFonts w:ascii="Times New Roman" w:hAnsi="Times New Roman" w:cs="Times New Roman"/>
          <w:color w:val="000000" w:themeColor="text1"/>
          <w:lang w:val="en-US"/>
        </w:rPr>
        <w:t xml:space="preserve">Hayes-Brady both directly and indirectly addresses Wallace’s struggles to and to not conform, </w:t>
      </w:r>
      <w:r>
        <w:rPr>
          <w:rFonts w:ascii="Times New Roman" w:hAnsi="Times New Roman" w:cs="Times New Roman"/>
          <w:color w:val="000000" w:themeColor="text1"/>
          <w:lang w:val="en-US"/>
        </w:rPr>
        <w:t>which she figures</w:t>
      </w:r>
      <w:r w:rsidRPr="005D0CE5">
        <w:rPr>
          <w:rFonts w:ascii="Times New Roman" w:hAnsi="Times New Roman" w:cs="Times New Roman"/>
          <w:color w:val="000000" w:themeColor="text1"/>
          <w:lang w:val="en-US"/>
        </w:rPr>
        <w:t xml:space="preserve"> as an aesthetics of failure; </w:t>
      </w:r>
      <w:r>
        <w:rPr>
          <w:rFonts w:ascii="Times New Roman" w:hAnsi="Times New Roman" w:cs="Times New Roman"/>
          <w:color w:val="000000" w:themeColor="text1"/>
          <w:lang w:val="en-US"/>
        </w:rPr>
        <w:t xml:space="preserve">Alice’s own </w:t>
      </w:r>
      <w:r w:rsidRPr="007E03B9">
        <w:rPr>
          <w:rFonts w:ascii="Times New Roman" w:hAnsi="Times New Roman" w:cs="Times New Roman"/>
          <w:color w:val="000000" w:themeColor="text1"/>
          <w:lang w:val="en-US"/>
        </w:rPr>
        <w:t xml:space="preserve">“Focus, people!” </w:t>
      </w:r>
      <w:r>
        <w:rPr>
          <w:rFonts w:ascii="Times New Roman" w:hAnsi="Times New Roman" w:cs="Times New Roman"/>
          <w:color w:val="000000" w:themeColor="text1"/>
          <w:lang w:val="en-US"/>
        </w:rPr>
        <w:t xml:space="preserve">in her monograph </w:t>
      </w:r>
      <w:r>
        <w:rPr>
          <w:rFonts w:ascii="Times New Roman" w:hAnsi="Times New Roman" w:cs="Times New Roman"/>
          <w:i/>
          <w:color w:val="000000" w:themeColor="text1"/>
          <w:lang w:val="en-US"/>
        </w:rPr>
        <w:t>Contemporary Fictions of Attention</w:t>
      </w:r>
      <w:r w:rsidRPr="005D0CE5">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draws out Wallace’s career-long, even definitional fascination with both the (in)capacity for attention and the things we pay attention to; </w:t>
      </w:r>
      <w:r w:rsidRPr="005D0CE5">
        <w:rPr>
          <w:rFonts w:ascii="Times New Roman" w:hAnsi="Times New Roman" w:cs="Times New Roman"/>
          <w:color w:val="000000" w:themeColor="text1"/>
          <w:lang w:val="en-US"/>
        </w:rPr>
        <w:t>Groenland</w:t>
      </w:r>
      <w:r>
        <w:rPr>
          <w:rFonts w:ascii="Times New Roman" w:hAnsi="Times New Roman" w:cs="Times New Roman"/>
          <w:color w:val="000000" w:themeColor="text1"/>
          <w:lang w:val="en-US"/>
        </w:rPr>
        <w:t xml:space="preserve">’s </w:t>
      </w:r>
      <w:r>
        <w:rPr>
          <w:rFonts w:ascii="Times New Roman" w:hAnsi="Times New Roman" w:cs="Times New Roman"/>
          <w:i/>
          <w:color w:val="000000" w:themeColor="text1"/>
          <w:lang w:val="en-US"/>
        </w:rPr>
        <w:t xml:space="preserve">The Art of Editing </w:t>
      </w:r>
      <w:r>
        <w:rPr>
          <w:rFonts w:ascii="Times New Roman" w:hAnsi="Times New Roman" w:cs="Times New Roman"/>
          <w:color w:val="000000" w:themeColor="text1"/>
          <w:lang w:val="en-US"/>
        </w:rPr>
        <w:t xml:space="preserve">is </w:t>
      </w:r>
      <w:r w:rsidRPr="005D0CE5">
        <w:rPr>
          <w:rFonts w:ascii="Times New Roman" w:hAnsi="Times New Roman" w:cs="Times New Roman"/>
          <w:color w:val="000000" w:themeColor="text1"/>
          <w:lang w:val="en-US"/>
        </w:rPr>
        <w:t>the most recent addition, again focus</w:t>
      </w:r>
      <w:r>
        <w:rPr>
          <w:rFonts w:ascii="Times New Roman" w:hAnsi="Times New Roman" w:cs="Times New Roman"/>
          <w:color w:val="000000" w:themeColor="text1"/>
          <w:lang w:val="en-US"/>
        </w:rPr>
        <w:t>ing</w:t>
      </w:r>
      <w:r w:rsidRPr="005D0CE5">
        <w:rPr>
          <w:rFonts w:ascii="Times New Roman" w:hAnsi="Times New Roman" w:cs="Times New Roman"/>
          <w:color w:val="000000" w:themeColor="text1"/>
          <w:lang w:val="en-US"/>
        </w:rPr>
        <w:t xml:space="preserve"> on the processes of composition, the formal mechanisms of selection and </w:t>
      </w:r>
      <w:r>
        <w:rPr>
          <w:rFonts w:ascii="Times New Roman" w:hAnsi="Times New Roman" w:cs="Times New Roman"/>
          <w:color w:val="000000" w:themeColor="text1"/>
          <w:lang w:val="en-US"/>
        </w:rPr>
        <w:t>revision</w:t>
      </w:r>
      <w:r w:rsidRPr="005D0CE5">
        <w:rPr>
          <w:rFonts w:ascii="Times New Roman" w:hAnsi="Times New Roman" w:cs="Times New Roman"/>
          <w:color w:val="000000" w:themeColor="text1"/>
          <w:lang w:val="en-US"/>
        </w:rPr>
        <w:t xml:space="preserve"> that lead to </w:t>
      </w:r>
      <w:r>
        <w:rPr>
          <w:rFonts w:ascii="Times New Roman" w:hAnsi="Times New Roman" w:cs="Times New Roman"/>
          <w:color w:val="000000" w:themeColor="text1"/>
          <w:lang w:val="en-US"/>
        </w:rPr>
        <w:t xml:space="preserve">or enable </w:t>
      </w:r>
      <w:r w:rsidRPr="005D0CE5">
        <w:rPr>
          <w:rFonts w:ascii="Times New Roman" w:hAnsi="Times New Roman" w:cs="Times New Roman"/>
          <w:color w:val="000000" w:themeColor="text1"/>
          <w:lang w:val="en-US"/>
        </w:rPr>
        <w:t xml:space="preserve">subsequent formal classification. If early </w:t>
      </w:r>
      <w:r>
        <w:rPr>
          <w:rFonts w:ascii="Times New Roman" w:hAnsi="Times New Roman" w:cs="Times New Roman"/>
          <w:color w:val="000000" w:themeColor="text1"/>
          <w:lang w:val="en-US"/>
        </w:rPr>
        <w:t>scholarship</w:t>
      </w:r>
      <w:r w:rsidRPr="005D0CE5">
        <w:rPr>
          <w:rFonts w:ascii="Times New Roman" w:hAnsi="Times New Roman" w:cs="Times New Roman"/>
          <w:color w:val="000000" w:themeColor="text1"/>
          <w:lang w:val="en-US"/>
        </w:rPr>
        <w:t xml:space="preserve"> took for granted that each </w:t>
      </w:r>
      <w:r w:rsidRPr="005D0CE5">
        <w:rPr>
          <w:rFonts w:ascii="Times New Roman" w:hAnsi="Times New Roman" w:cs="Times New Roman"/>
          <w:color w:val="000000" w:themeColor="text1"/>
          <w:lang w:val="en-US"/>
        </w:rPr>
        <w:lastRenderedPageBreak/>
        <w:t>work was something like a whole</w:t>
      </w:r>
      <w:r>
        <w:rPr>
          <w:rFonts w:ascii="Times New Roman" w:hAnsi="Times New Roman" w:cs="Times New Roman"/>
          <w:color w:val="000000" w:themeColor="text1"/>
          <w:lang w:val="en-US"/>
        </w:rPr>
        <w:t>, ‘complete’ project</w:t>
      </w:r>
      <w:r w:rsidRPr="005D0CE5">
        <w:rPr>
          <w:rFonts w:ascii="Times New Roman" w:hAnsi="Times New Roman" w:cs="Times New Roman"/>
          <w:color w:val="000000" w:themeColor="text1"/>
          <w:lang w:val="en-US"/>
        </w:rPr>
        <w:t xml:space="preserve">, recent scholarship, taking the genetic turn, has opted rather to tease out the intersections, examining not so much or singly the </w:t>
      </w:r>
      <w:r>
        <w:rPr>
          <w:rFonts w:ascii="Times New Roman" w:hAnsi="Times New Roman" w:cs="Times New Roman"/>
          <w:color w:val="000000" w:themeColor="text1"/>
          <w:lang w:val="en-US"/>
        </w:rPr>
        <w:t xml:space="preserve">published </w:t>
      </w:r>
      <w:r w:rsidRPr="005D0CE5">
        <w:rPr>
          <w:rFonts w:ascii="Times New Roman" w:hAnsi="Times New Roman" w:cs="Times New Roman"/>
          <w:color w:val="000000" w:themeColor="text1"/>
          <w:lang w:val="en-US"/>
        </w:rPr>
        <w:t>material, but the often-dissolved sutures between dissected limbs and organs</w:t>
      </w:r>
      <w:r>
        <w:rPr>
          <w:rFonts w:ascii="Times New Roman" w:hAnsi="Times New Roman" w:cs="Times New Roman"/>
          <w:color w:val="000000" w:themeColor="text1"/>
          <w:lang w:val="en-US"/>
        </w:rPr>
        <w:t>, as well as aborted, migrated, transplanted, even amputated tissue</w:t>
      </w:r>
      <w:r w:rsidRPr="005D0CE5">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In fact, it was Wallace’s failure to mold a coherent narrative from, to find the appropriate formal container for so many disparate parts of what has become </w:t>
      </w:r>
      <w:r>
        <w:rPr>
          <w:rFonts w:ascii="Times New Roman" w:hAnsi="Times New Roman" w:cs="Times New Roman"/>
          <w:i/>
          <w:color w:val="000000" w:themeColor="text1"/>
          <w:lang w:val="en-US"/>
        </w:rPr>
        <w:t xml:space="preserve">The Pale King </w:t>
      </w:r>
      <w:r>
        <w:rPr>
          <w:rFonts w:ascii="Times New Roman" w:hAnsi="Times New Roman" w:cs="Times New Roman"/>
          <w:color w:val="000000" w:themeColor="text1"/>
          <w:lang w:val="en-US"/>
        </w:rPr>
        <w:t xml:space="preserve">that instigated a new form of Wallace scholarship. </w:t>
      </w:r>
    </w:p>
    <w:p w14:paraId="4973518F" w14:textId="735F626B" w:rsidR="00B01DA4" w:rsidRDefault="00B01DA4" w:rsidP="00F44C14">
      <w:pPr>
        <w:spacing w:line="360" w:lineRule="auto"/>
        <w:ind w:firstLine="720"/>
        <w:rPr>
          <w:rFonts w:ascii="Times New Roman" w:hAnsi="Times New Roman" w:cs="Times New Roman"/>
        </w:rPr>
      </w:pPr>
      <w:r w:rsidRPr="005D0CE5">
        <w:rPr>
          <w:rFonts w:ascii="Times New Roman" w:hAnsi="Times New Roman" w:cs="Times New Roman"/>
          <w:color w:val="000000" w:themeColor="text1"/>
          <w:lang w:val="en-US"/>
        </w:rPr>
        <w:t>So, then, what arose from the conference and the works subsequently published is that Wallace was perhaps not a writer of short stories, or of creative non-fiction, or of novels, but rather that he wrote, and that those writings - loose ideational matrices aligned by mood, by feeling</w:t>
      </w:r>
      <w:r>
        <w:rPr>
          <w:rFonts w:ascii="Times New Roman" w:hAnsi="Times New Roman" w:cs="Times New Roman"/>
          <w:color w:val="000000" w:themeColor="text1"/>
          <w:lang w:val="en-US"/>
        </w:rPr>
        <w:t>, by his preternatural gift for spectation</w:t>
      </w:r>
      <w:r w:rsidRPr="005D0CE5">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and cultural analyses of the post-postmodern condition</w:t>
      </w:r>
      <w:r w:rsidRPr="005D0CE5">
        <w:rPr>
          <w:rFonts w:ascii="Times New Roman" w:hAnsi="Times New Roman" w:cs="Times New Roman"/>
          <w:color w:val="000000" w:themeColor="text1"/>
          <w:lang w:val="en-US"/>
        </w:rPr>
        <w:t xml:space="preserve">- were often crudely bound (with all of its connotations) as either short form or long form. </w:t>
      </w:r>
      <w:r>
        <w:rPr>
          <w:rFonts w:ascii="Times New Roman" w:hAnsi="Times New Roman" w:cs="Times New Roman"/>
          <w:color w:val="000000" w:themeColor="text1"/>
          <w:lang w:val="en-US"/>
        </w:rPr>
        <w:t xml:space="preserve">Another variation, possibly, of Wallace’s interest in what he calls, in </w:t>
      </w:r>
      <w:r>
        <w:rPr>
          <w:rFonts w:ascii="Times New Roman" w:hAnsi="Times New Roman" w:cs="Times New Roman"/>
          <w:i/>
          <w:color w:val="000000" w:themeColor="text1"/>
          <w:lang w:val="en-US"/>
        </w:rPr>
        <w:t xml:space="preserve">This is Water, </w:t>
      </w:r>
      <w:r>
        <w:rPr>
          <w:rFonts w:ascii="Times New Roman" w:hAnsi="Times New Roman" w:cs="Times New Roman"/>
          <w:color w:val="000000" w:themeColor="text1"/>
          <w:lang w:val="en-US"/>
        </w:rPr>
        <w:t xml:space="preserve">‘the sub-surface unity of all things’. </w:t>
      </w:r>
      <w:r w:rsidRPr="005D0CE5">
        <w:rPr>
          <w:rFonts w:ascii="Times New Roman" w:hAnsi="Times New Roman" w:cs="Times New Roman"/>
          <w:color w:val="000000" w:themeColor="text1"/>
          <w:lang w:val="en-US"/>
        </w:rPr>
        <w:t xml:space="preserve">There are moments in </w:t>
      </w:r>
      <w:r w:rsidRPr="005D0CE5">
        <w:rPr>
          <w:rFonts w:ascii="Times New Roman" w:hAnsi="Times New Roman" w:cs="Times New Roman"/>
          <w:i/>
          <w:color w:val="000000" w:themeColor="text1"/>
          <w:lang w:val="en-US"/>
        </w:rPr>
        <w:t xml:space="preserve">Oblivion, </w:t>
      </w:r>
      <w:r w:rsidRPr="005D0CE5">
        <w:rPr>
          <w:rFonts w:ascii="Times New Roman" w:hAnsi="Times New Roman" w:cs="Times New Roman"/>
          <w:color w:val="000000" w:themeColor="text1"/>
          <w:lang w:val="en-US"/>
        </w:rPr>
        <w:t xml:space="preserve">for example, that would sit as or more comfortably in </w:t>
      </w:r>
      <w:r w:rsidRPr="005D0CE5">
        <w:rPr>
          <w:rFonts w:ascii="Times New Roman" w:hAnsi="Times New Roman" w:cs="Times New Roman"/>
          <w:i/>
          <w:color w:val="000000" w:themeColor="text1"/>
          <w:lang w:val="en-US"/>
        </w:rPr>
        <w:t>The Pale King</w:t>
      </w:r>
      <w:r>
        <w:rPr>
          <w:rFonts w:ascii="Times New Roman" w:hAnsi="Times New Roman" w:cs="Times New Roman"/>
          <w:i/>
          <w:color w:val="000000" w:themeColor="text1"/>
          <w:lang w:val="en-US"/>
        </w:rPr>
        <w:t xml:space="preserve"> </w:t>
      </w:r>
      <w:r>
        <w:rPr>
          <w:rFonts w:ascii="Times New Roman" w:hAnsi="Times New Roman" w:cs="Times New Roman"/>
          <w:color w:val="000000" w:themeColor="text1"/>
          <w:lang w:val="en-US"/>
        </w:rPr>
        <w:t>(painstakingly and illuminatingly identified by Hering)</w:t>
      </w:r>
      <w:r w:rsidRPr="005D0CE5">
        <w:rPr>
          <w:rFonts w:ascii="Times New Roman" w:hAnsi="Times New Roman" w:cs="Times New Roman"/>
          <w:i/>
          <w:color w:val="000000" w:themeColor="text1"/>
          <w:lang w:val="en-US"/>
        </w:rPr>
        <w:t xml:space="preserve">, </w:t>
      </w:r>
      <w:r w:rsidRPr="005D0CE5">
        <w:rPr>
          <w:rFonts w:ascii="Times New Roman" w:hAnsi="Times New Roman" w:cs="Times New Roman"/>
          <w:color w:val="000000" w:themeColor="text1"/>
          <w:lang w:val="en-US"/>
        </w:rPr>
        <w:t xml:space="preserve">just as there are moments in </w:t>
      </w:r>
      <w:r w:rsidRPr="005D0CE5">
        <w:rPr>
          <w:rFonts w:ascii="Times New Roman" w:hAnsi="Times New Roman" w:cs="Times New Roman"/>
          <w:i/>
          <w:color w:val="000000" w:themeColor="text1"/>
          <w:lang w:val="en-US"/>
        </w:rPr>
        <w:t xml:space="preserve">Infinite Jest </w:t>
      </w:r>
      <w:r w:rsidRPr="005D0CE5">
        <w:rPr>
          <w:rFonts w:ascii="Times New Roman" w:hAnsi="Times New Roman" w:cs="Times New Roman"/>
          <w:color w:val="000000" w:themeColor="text1"/>
          <w:lang w:val="en-US"/>
        </w:rPr>
        <w:t xml:space="preserve">that would work equally well in </w:t>
      </w:r>
      <w:r w:rsidRPr="005D0CE5">
        <w:rPr>
          <w:rFonts w:ascii="Times New Roman" w:hAnsi="Times New Roman" w:cs="Times New Roman"/>
          <w:i/>
          <w:color w:val="000000" w:themeColor="text1"/>
          <w:lang w:val="en-US"/>
        </w:rPr>
        <w:t>Oblivion</w:t>
      </w:r>
      <w:r w:rsidRPr="005D0CE5">
        <w:rPr>
          <w:rFonts w:ascii="Times New Roman" w:hAnsi="Times New Roman" w:cs="Times New Roman"/>
          <w:i/>
        </w:rPr>
        <w:t xml:space="preserve">. </w:t>
      </w:r>
      <w:r w:rsidRPr="005D0CE5">
        <w:rPr>
          <w:rFonts w:ascii="Times New Roman" w:hAnsi="Times New Roman" w:cs="Times New Roman"/>
        </w:rPr>
        <w:t>In the broadest sense then, the inf</w:t>
      </w:r>
      <w:r>
        <w:rPr>
          <w:rFonts w:ascii="Times New Roman" w:hAnsi="Times New Roman" w:cs="Times New Roman"/>
        </w:rPr>
        <w:t>o</w:t>
      </w:r>
      <w:r w:rsidRPr="005D0CE5">
        <w:rPr>
          <w:rFonts w:ascii="Times New Roman" w:hAnsi="Times New Roman" w:cs="Times New Roman"/>
        </w:rPr>
        <w:t xml:space="preserve">rming concepts of both </w:t>
      </w:r>
      <w:r w:rsidRPr="005D0CE5">
        <w:rPr>
          <w:rFonts w:ascii="Times New Roman" w:hAnsi="Times New Roman" w:cs="Times New Roman"/>
          <w:i/>
        </w:rPr>
        <w:t xml:space="preserve">The Long Thing </w:t>
      </w:r>
      <w:r w:rsidRPr="005D0CE5">
        <w:rPr>
          <w:rFonts w:ascii="Times New Roman" w:hAnsi="Times New Roman" w:cs="Times New Roman"/>
        </w:rPr>
        <w:t>and this special issue are flawed, and Wallace was simply a writer confined by the practicalities and realities of publishing: writing has to be issued in some form, and scholarship must proceed from the material reality and the assumption that there are such things as discreet forms. Wallace scholarship, then, necessarily involves a careful negotiation of interstitial textual space</w:t>
      </w:r>
      <w:r>
        <w:rPr>
          <w:rFonts w:ascii="Times New Roman" w:hAnsi="Times New Roman" w:cs="Times New Roman"/>
        </w:rPr>
        <w:t>s</w:t>
      </w:r>
      <w:r w:rsidRPr="005D0CE5">
        <w:rPr>
          <w:rFonts w:ascii="Times New Roman" w:hAnsi="Times New Roman" w:cs="Times New Roman"/>
        </w:rPr>
        <w:t xml:space="preserve"> and absence</w:t>
      </w:r>
      <w:r>
        <w:rPr>
          <w:rFonts w:ascii="Times New Roman" w:hAnsi="Times New Roman" w:cs="Times New Roman"/>
        </w:rPr>
        <w:t>s, the bonds as opposed to those things bonded</w:t>
      </w:r>
      <w:r w:rsidRPr="005D0CE5">
        <w:rPr>
          <w:rFonts w:ascii="Times New Roman" w:hAnsi="Times New Roman" w:cs="Times New Roman"/>
        </w:rPr>
        <w:t>.</w:t>
      </w:r>
    </w:p>
    <w:p w14:paraId="2D4FA76C" w14:textId="63D69A25" w:rsidR="00B01DA4" w:rsidRDefault="00B01DA4" w:rsidP="00422D1A">
      <w:pPr>
        <w:spacing w:line="360" w:lineRule="auto"/>
        <w:rPr>
          <w:rFonts w:ascii="Times New Roman" w:hAnsi="Times New Roman" w:cs="Times New Roman"/>
        </w:rPr>
      </w:pPr>
    </w:p>
    <w:p w14:paraId="3AE47B52" w14:textId="638DE189" w:rsidR="00B01DA4" w:rsidRPr="005D0CE5" w:rsidRDefault="00B01DA4" w:rsidP="00246E0B">
      <w:pPr>
        <w:spacing w:line="360" w:lineRule="auto"/>
        <w:jc w:val="center"/>
        <w:rPr>
          <w:rFonts w:ascii="Times New Roman" w:hAnsi="Times New Roman" w:cs="Times New Roman"/>
        </w:rPr>
      </w:pPr>
      <w:r>
        <w:rPr>
          <w:rFonts w:ascii="Times New Roman" w:hAnsi="Times New Roman" w:cs="Times New Roman"/>
        </w:rPr>
        <w:t>***</w:t>
      </w:r>
    </w:p>
    <w:p w14:paraId="032E4431" w14:textId="77777777" w:rsidR="00B01DA4" w:rsidRPr="005D0CE5" w:rsidRDefault="00B01DA4" w:rsidP="00422D1A">
      <w:pPr>
        <w:spacing w:line="360" w:lineRule="auto"/>
        <w:rPr>
          <w:rFonts w:ascii="Times New Roman" w:hAnsi="Times New Roman" w:cs="Times New Roman"/>
          <w:color w:val="000000" w:themeColor="text1"/>
          <w:lang w:val="en-US"/>
        </w:rPr>
      </w:pPr>
    </w:p>
    <w:p w14:paraId="0FD2E886" w14:textId="010A6AC2" w:rsidR="00B01DA4" w:rsidRPr="005D0CE5" w:rsidRDefault="00B01DA4" w:rsidP="00F44C14">
      <w:pPr>
        <w:spacing w:line="360" w:lineRule="auto"/>
        <w:rPr>
          <w:rFonts w:ascii="Times New Roman" w:hAnsi="Times New Roman" w:cs="Times New Roman"/>
          <w:color w:val="000000" w:themeColor="text1"/>
          <w:lang w:val="en-US"/>
        </w:rPr>
      </w:pPr>
      <w:r w:rsidRPr="00190003">
        <w:rPr>
          <w:rFonts w:ascii="Times New Roman" w:hAnsi="Times New Roman" w:cs="Times New Roman"/>
          <w:color w:val="000000" w:themeColor="text1"/>
          <w:lang w:val="en-US"/>
        </w:rPr>
        <w:t>What</w:t>
      </w:r>
      <w:r w:rsidRPr="005D0CE5">
        <w:rPr>
          <w:rFonts w:ascii="Times New Roman" w:hAnsi="Times New Roman" w:cs="Times New Roman"/>
          <w:color w:val="000000" w:themeColor="text1"/>
          <w:lang w:val="en-US"/>
        </w:rPr>
        <w:t xml:space="preserve"> follows here are some words of justification for our decision to elevate the short works and an acknowledgement of the particular complications in doing so in Wallace’s case. Our first contention is that Wallace’s career reveals a uniquely strange relationship between short and long works. Part of Boswell’s argument in favor of Wallace as most significantly a writer of long things comes</w:t>
      </w:r>
      <w:r>
        <w:rPr>
          <w:rFonts w:ascii="Times New Roman" w:hAnsi="Times New Roman" w:cs="Times New Roman"/>
          <w:color w:val="000000" w:themeColor="text1"/>
          <w:lang w:val="en-US"/>
        </w:rPr>
        <w:t xml:space="preserve"> from</w:t>
      </w:r>
      <w:r w:rsidRPr="005D0CE5">
        <w:rPr>
          <w:rFonts w:ascii="Times New Roman" w:hAnsi="Times New Roman" w:cs="Times New Roman"/>
          <w:color w:val="000000" w:themeColor="text1"/>
          <w:lang w:val="en-US"/>
        </w:rPr>
        <w:t xml:space="preserve"> the initial publication of </w:t>
      </w:r>
      <w:r w:rsidRPr="005D0CE5">
        <w:rPr>
          <w:rFonts w:ascii="Times New Roman" w:hAnsi="Times New Roman" w:cs="Times New Roman"/>
          <w:i/>
          <w:color w:val="000000" w:themeColor="text1"/>
          <w:lang w:val="en-US"/>
        </w:rPr>
        <w:t xml:space="preserve">Broom, </w:t>
      </w:r>
      <w:r w:rsidRPr="005D0CE5">
        <w:rPr>
          <w:rFonts w:ascii="Times New Roman" w:hAnsi="Times New Roman" w:cs="Times New Roman"/>
          <w:color w:val="000000" w:themeColor="text1"/>
          <w:lang w:val="en-US"/>
        </w:rPr>
        <w:t xml:space="preserve">which was only then followed by his first short fiction collection. By this account, Wallace began his literary training with the hierarchy of forms wholly backwards; starting his career with a novel and then moving on to the supposed apprentice-pieces of short-story. Instead of dutifully churning out short fiction </w:t>
      </w:r>
      <w:r w:rsidRPr="005D0CE5">
        <w:rPr>
          <w:rFonts w:ascii="Times New Roman" w:hAnsi="Times New Roman" w:cs="Times New Roman"/>
          <w:color w:val="000000" w:themeColor="text1"/>
          <w:lang w:val="en-US"/>
        </w:rPr>
        <w:lastRenderedPageBreak/>
        <w:t xml:space="preserve">to be shared for workshop criticism, Wallace wrote </w:t>
      </w:r>
      <w:r w:rsidRPr="005D0CE5">
        <w:rPr>
          <w:rFonts w:ascii="Times New Roman" w:hAnsi="Times New Roman" w:cs="Times New Roman"/>
          <w:i/>
          <w:color w:val="000000" w:themeColor="text1"/>
          <w:lang w:val="en-US"/>
        </w:rPr>
        <w:t xml:space="preserve">Broom </w:t>
      </w:r>
      <w:r w:rsidRPr="005D0CE5">
        <w:rPr>
          <w:rFonts w:ascii="Times New Roman" w:hAnsi="Times New Roman" w:cs="Times New Roman"/>
          <w:color w:val="000000" w:themeColor="text1"/>
          <w:lang w:val="en-US"/>
        </w:rPr>
        <w:t>‘in more or less total isolation’.</w:t>
      </w:r>
      <w:r w:rsidRPr="005D0CE5">
        <w:rPr>
          <w:rStyle w:val="FootnoteReference"/>
          <w:rFonts w:ascii="Times New Roman" w:hAnsi="Times New Roman" w:cs="Times New Roman"/>
          <w:color w:val="000000" w:themeColor="text1"/>
          <w:lang w:val="en-US"/>
        </w:rPr>
        <w:footnoteReference w:id="8"/>
      </w:r>
      <w:r w:rsidRPr="005D0CE5">
        <w:rPr>
          <w:rFonts w:ascii="Times New Roman" w:hAnsi="Times New Roman" w:cs="Times New Roman"/>
          <w:color w:val="000000" w:themeColor="text1"/>
          <w:lang w:val="en-US"/>
        </w:rPr>
        <w:t xml:space="preserve"> </w:t>
      </w:r>
      <w:r w:rsidRPr="005D0CE5">
        <w:rPr>
          <w:rFonts w:ascii="Times New Roman" w:hAnsi="Times New Roman" w:cs="Times New Roman"/>
          <w:color w:val="000000" w:themeColor="text1"/>
        </w:rPr>
        <w:t xml:space="preserve">Moreover, by writing his novel as his apprentice piece, then attending the </w:t>
      </w:r>
      <w:r w:rsidRPr="005D0CE5">
        <w:rPr>
          <w:rFonts w:ascii="Times New Roman" w:hAnsi="Times New Roman" w:cs="Times New Roman"/>
          <w:color w:val="000000" w:themeColor="text1"/>
          <w:lang w:val="en-US"/>
        </w:rPr>
        <w:t xml:space="preserve">University of Arizona MFA program, </w:t>
      </w:r>
      <w:r w:rsidRPr="005D0CE5">
        <w:rPr>
          <w:rFonts w:ascii="Times New Roman" w:hAnsi="Times New Roman" w:cs="Times New Roman"/>
          <w:color w:val="000000" w:themeColor="text1"/>
        </w:rPr>
        <w:t xml:space="preserve">and then subsequently subjecting the creative writing program’s methods to acute critique in his short fiction, Wallace’s early work turns the </w:t>
      </w:r>
      <w:r w:rsidRPr="005D0CE5">
        <w:rPr>
          <w:rFonts w:ascii="Times New Roman" w:hAnsi="Times New Roman" w:cs="Times New Roman"/>
          <w:color w:val="000000" w:themeColor="text1"/>
          <w:lang w:val="en-US"/>
        </w:rPr>
        <w:t xml:space="preserve">prevailing institutional practices and pedagogical norms of the MFA on their head. As Kasia Boddy has remarked, </w:t>
      </w:r>
      <w:r w:rsidRPr="005D0CE5">
        <w:rPr>
          <w:rFonts w:ascii="Times New Roman" w:hAnsi="Times New Roman" w:cs="Times New Roman"/>
          <w:i/>
          <w:color w:val="000000" w:themeColor="text1"/>
          <w:lang w:val="en-US"/>
        </w:rPr>
        <w:t xml:space="preserve">Girl with Curious Hair </w:t>
      </w:r>
      <w:r w:rsidRPr="005D0CE5">
        <w:rPr>
          <w:rFonts w:ascii="Times New Roman" w:hAnsi="Times New Roman" w:cs="Times New Roman"/>
          <w:color w:val="000000" w:themeColor="text1"/>
          <w:lang w:val="en-US"/>
        </w:rPr>
        <w:t>is a collection that should be read as ‘both an exemplary product of what Mark McGurl has dubbed the “program era” [ . . .]  and as an interrogation of that era’s modes and mores’.</w:t>
      </w:r>
      <w:r w:rsidRPr="005D0CE5">
        <w:rPr>
          <w:rStyle w:val="FootnoteReference"/>
          <w:rFonts w:ascii="Times New Roman" w:hAnsi="Times New Roman" w:cs="Times New Roman"/>
          <w:color w:val="000000" w:themeColor="text1"/>
          <w:lang w:val="en-US"/>
        </w:rPr>
        <w:footnoteReference w:id="9"/>
      </w:r>
      <w:r w:rsidRPr="005D0CE5">
        <w:rPr>
          <w:rFonts w:ascii="Times New Roman" w:hAnsi="Times New Roman" w:cs="Times New Roman"/>
          <w:color w:val="000000" w:themeColor="text1"/>
          <w:lang w:val="en-US"/>
        </w:rPr>
        <w:t xml:space="preserve"> If the creative writing program treats the short story as the site for a talent’s nascent development, Wallace’s equivalent embryonic progression happened on the scale of the novel. One interpretation of this history, then, is that Wallace began as a novelist (and a conspicuously young one at that) and so the die was cast. The other, more intriguing way of interpreting the eccentric shape of Wallace’s early career is to seriously undermine any simple reading of his short stories as practice pieces or developmental experiments. Why not read </w:t>
      </w:r>
      <w:r w:rsidRPr="005D0CE5">
        <w:rPr>
          <w:rFonts w:ascii="Times New Roman" w:hAnsi="Times New Roman" w:cs="Times New Roman"/>
          <w:i/>
          <w:color w:val="000000" w:themeColor="text1"/>
          <w:lang w:val="en-US"/>
        </w:rPr>
        <w:t>Broom</w:t>
      </w:r>
      <w:r w:rsidRPr="005D0CE5">
        <w:rPr>
          <w:rFonts w:ascii="Times New Roman" w:hAnsi="Times New Roman" w:cs="Times New Roman"/>
          <w:color w:val="000000" w:themeColor="text1"/>
          <w:lang w:val="en-US"/>
        </w:rPr>
        <w:t xml:space="preserve"> – his ‘essentially shitty first book’,</w:t>
      </w:r>
      <w:r w:rsidRPr="005D0CE5">
        <w:rPr>
          <w:rStyle w:val="FootnoteReference"/>
          <w:rFonts w:ascii="Times New Roman" w:hAnsi="Times New Roman" w:cs="Times New Roman"/>
          <w:color w:val="000000" w:themeColor="text1"/>
          <w:lang w:val="en-US"/>
        </w:rPr>
        <w:footnoteReference w:id="10"/>
      </w:r>
      <w:r w:rsidRPr="005D0CE5">
        <w:rPr>
          <w:rFonts w:ascii="Times New Roman" w:hAnsi="Times New Roman" w:cs="Times New Roman"/>
          <w:color w:val="000000" w:themeColor="text1"/>
          <w:lang w:val="en-US"/>
        </w:rPr>
        <w:t xml:space="preserve"> a novel that began as an attempt at a ‘jaunty thing. Kind of like a side – I figured it would be like a hundred-page thing’</w:t>
      </w:r>
      <w:r w:rsidRPr="005D0CE5">
        <w:rPr>
          <w:rStyle w:val="FootnoteReference"/>
          <w:rFonts w:ascii="Times New Roman" w:hAnsi="Times New Roman" w:cs="Times New Roman"/>
          <w:color w:val="000000" w:themeColor="text1"/>
          <w:lang w:val="en-US"/>
        </w:rPr>
        <w:footnoteReference w:id="11"/>
      </w:r>
      <w:r w:rsidRPr="005D0CE5">
        <w:rPr>
          <w:rFonts w:ascii="Times New Roman" w:hAnsi="Times New Roman" w:cs="Times New Roman"/>
          <w:color w:val="000000" w:themeColor="text1"/>
          <w:lang w:val="en-US"/>
        </w:rPr>
        <w:t xml:space="preserve"> – as a failed short(er) thing?</w:t>
      </w:r>
    </w:p>
    <w:p w14:paraId="5D2DC6B6" w14:textId="53F03310" w:rsidR="00B01DA4" w:rsidRPr="005D0CE5" w:rsidRDefault="00B01DA4" w:rsidP="00F44C14">
      <w:pPr>
        <w:spacing w:line="360" w:lineRule="auto"/>
        <w:ind w:firstLine="720"/>
        <w:rPr>
          <w:rFonts w:ascii="Times New Roman" w:hAnsi="Times New Roman" w:cs="Times New Roman"/>
          <w:color w:val="000000" w:themeColor="text1"/>
          <w:lang w:val="en-US"/>
        </w:rPr>
      </w:pPr>
      <w:r w:rsidRPr="005D0CE5">
        <w:rPr>
          <w:rFonts w:ascii="Times New Roman" w:hAnsi="Times New Roman" w:cs="Times New Roman"/>
          <w:color w:val="000000" w:themeColor="text1"/>
          <w:lang w:val="en-US"/>
        </w:rPr>
        <w:t>On the other hand, Wallace also gave an account of his own birth as a writer that mildly contradicts the novel-first narrative of his career progression, yet does not do anything to resolve the weird relationship between his long and short works. The Larry McCaffery interview reminds us that the first literary work that, as Wallace phrased it, ‘rang his cherries’ was a short story, not a novel.</w:t>
      </w:r>
      <w:r w:rsidRPr="005D0CE5">
        <w:rPr>
          <w:rStyle w:val="FootnoteReference"/>
          <w:rFonts w:ascii="Times New Roman" w:hAnsi="Times New Roman" w:cs="Times New Roman"/>
          <w:color w:val="000000" w:themeColor="text1"/>
          <w:lang w:val="en-US"/>
        </w:rPr>
        <w:footnoteReference w:id="12"/>
      </w:r>
      <w:r w:rsidRPr="005D0CE5">
        <w:rPr>
          <w:rFonts w:ascii="Times New Roman" w:hAnsi="Times New Roman" w:cs="Times New Roman"/>
          <w:color w:val="000000" w:themeColor="text1"/>
          <w:lang w:val="en-US"/>
        </w:rPr>
        <w:t xml:space="preserve"> As Wallace tells it in the interview, the Yeatsian ‘click of the well-made box’ that characterized his pleasure in formal logic was something that he found for the first time elsewhere in reading short fiction, and subsequently found in his own writing in the short form too</w:t>
      </w:r>
      <w:r w:rsidRPr="005D0CE5">
        <w:rPr>
          <w:rFonts w:ascii="Times New Roman" w:hAnsi="Times New Roman" w:cs="Times New Roman"/>
        </w:rPr>
        <w:t>: ‘</w:t>
      </w:r>
      <w:r w:rsidRPr="005D0CE5">
        <w:rPr>
          <w:rFonts w:ascii="Times New Roman" w:hAnsi="Times New Roman" w:cs="Times New Roman"/>
          <w:lang w:val="en-US"/>
        </w:rPr>
        <w:t>The first fictional clicks I encountered were in Donald Barthelme’s “The Balloon” and in parts of the first story I ever wrote, which has been in my trunk since I finished it</w:t>
      </w:r>
      <w:r w:rsidRPr="005D0CE5">
        <w:rPr>
          <w:rFonts w:ascii="Times New Roman" w:hAnsi="Times New Roman" w:cs="Times New Roman"/>
        </w:rPr>
        <w:t>’.</w:t>
      </w:r>
      <w:r w:rsidRPr="005D0CE5">
        <w:rPr>
          <w:rStyle w:val="FootnoteReference"/>
          <w:rFonts w:ascii="Times New Roman" w:hAnsi="Times New Roman" w:cs="Times New Roman"/>
        </w:rPr>
        <w:footnoteReference w:id="13"/>
      </w:r>
      <w:r w:rsidRPr="005D0CE5">
        <w:rPr>
          <w:rFonts w:ascii="Times New Roman" w:hAnsi="Times New Roman" w:cs="Times New Roman"/>
          <w:color w:val="000000" w:themeColor="text1"/>
          <w:lang w:val="en-US"/>
        </w:rPr>
        <w:t xml:space="preserve"> Writing and reading therefore began for Wallace in the short </w:t>
      </w:r>
      <w:r w:rsidRPr="005D0CE5">
        <w:rPr>
          <w:rFonts w:ascii="Times New Roman" w:hAnsi="Times New Roman" w:cs="Times New Roman"/>
          <w:color w:val="000000" w:themeColor="text1"/>
          <w:lang w:val="en-US"/>
        </w:rPr>
        <w:lastRenderedPageBreak/>
        <w:t xml:space="preserve">forms. Moreover, in the same interview (a portrait of the artist as a young analytic philosopher) Wallace goes on to identify this ‘click’ as comparable to Joyce’s epiphany, that hallmark of the writer’s reworking of the short form for the twentieth century. Wallace presents short fiction’s closural, one-shot pleasures as something that he discovered on his own terms, outside the writing exercises and the institutionalized short story in the context of the creative writing program. There is therefore another way of telling the story of Wallace’s early development as a writer </w:t>
      </w:r>
      <w:r>
        <w:rPr>
          <w:rFonts w:ascii="Times New Roman" w:hAnsi="Times New Roman" w:cs="Times New Roman"/>
          <w:color w:val="000000" w:themeColor="text1"/>
          <w:lang w:val="en-US"/>
        </w:rPr>
        <w:t>as a progress</w:t>
      </w:r>
      <w:r w:rsidRPr="005D0CE5">
        <w:rPr>
          <w:rFonts w:ascii="Times New Roman" w:hAnsi="Times New Roman" w:cs="Times New Roman"/>
          <w:color w:val="000000" w:themeColor="text1"/>
          <w:lang w:val="en-US"/>
        </w:rPr>
        <w:t xml:space="preserve"> from early work on the short story to later work on a novel</w:t>
      </w:r>
      <w:r>
        <w:rPr>
          <w:rFonts w:ascii="Times New Roman" w:hAnsi="Times New Roman" w:cs="Times New Roman"/>
          <w:color w:val="000000" w:themeColor="text1"/>
          <w:lang w:val="en-US"/>
        </w:rPr>
        <w:t>, but which</w:t>
      </w:r>
      <w:r w:rsidRPr="005D0CE5">
        <w:rPr>
          <w:rFonts w:ascii="Times New Roman" w:hAnsi="Times New Roman" w:cs="Times New Roman"/>
          <w:color w:val="000000" w:themeColor="text1"/>
          <w:lang w:val="en-US"/>
        </w:rPr>
        <w:t xml:space="preserve"> still offers an alternative to the institutionalized apprenticeship model associated with the short story in the context of the creative writing program.</w:t>
      </w:r>
    </w:p>
    <w:p w14:paraId="7F029ADE" w14:textId="44C8E4C7" w:rsidR="00B01DA4" w:rsidRPr="005D0CE5" w:rsidRDefault="00B01DA4" w:rsidP="00F44C14">
      <w:pPr>
        <w:spacing w:line="360" w:lineRule="auto"/>
        <w:ind w:firstLine="720"/>
        <w:rPr>
          <w:rFonts w:ascii="Times New Roman" w:hAnsi="Times New Roman" w:cs="Times New Roman"/>
          <w:color w:val="000000" w:themeColor="text1"/>
          <w:lang w:val="en-US"/>
        </w:rPr>
      </w:pPr>
      <w:r w:rsidRPr="005D0CE5">
        <w:rPr>
          <w:rFonts w:ascii="Times New Roman" w:hAnsi="Times New Roman" w:cs="Times New Roman"/>
          <w:color w:val="000000" w:themeColor="text1"/>
          <w:lang w:val="en-US"/>
        </w:rPr>
        <w:t>During his career, Wallace would experiment not just with the sho</w:t>
      </w:r>
      <w:r>
        <w:rPr>
          <w:rFonts w:ascii="Times New Roman" w:hAnsi="Times New Roman" w:cs="Times New Roman"/>
          <w:color w:val="000000" w:themeColor="text1"/>
          <w:lang w:val="en-US"/>
        </w:rPr>
        <w:t xml:space="preserve">rt story as a standalone piece </w:t>
      </w:r>
      <w:r w:rsidRPr="005D0CE5">
        <w:rPr>
          <w:rFonts w:ascii="Times New Roman" w:hAnsi="Times New Roman" w:cs="Times New Roman"/>
          <w:color w:val="000000" w:themeColor="text1"/>
          <w:lang w:val="en-US"/>
        </w:rPr>
        <w:t xml:space="preserve">but with all kinds of literary objects that made conventional formal distinctions irrelevant or impossible. The ungainly, overgrown, quality of ‘Westward’, for instance, is the consequence of the story overrunning the limits of its own form, as that novella written in the margins of a short work bursts through the bounds of the short story itself. The connected but incomplete series that is </w:t>
      </w:r>
      <w:r w:rsidRPr="005D0CE5">
        <w:rPr>
          <w:rFonts w:ascii="Times New Roman" w:hAnsi="Times New Roman" w:cs="Times New Roman"/>
          <w:i/>
          <w:color w:val="000000" w:themeColor="text1"/>
          <w:lang w:val="en-US"/>
        </w:rPr>
        <w:t>Brief Interviews</w:t>
      </w:r>
      <w:r w:rsidRPr="005D0CE5">
        <w:rPr>
          <w:rFonts w:ascii="Times New Roman" w:hAnsi="Times New Roman" w:cs="Times New Roman"/>
          <w:color w:val="000000" w:themeColor="text1"/>
          <w:lang w:val="en-US"/>
        </w:rPr>
        <w:t xml:space="preserve"> both invokes and makes impossible th</w:t>
      </w:r>
      <w:r>
        <w:rPr>
          <w:rFonts w:ascii="Times New Roman" w:hAnsi="Times New Roman" w:cs="Times New Roman"/>
          <w:color w:val="000000" w:themeColor="text1"/>
          <w:lang w:val="en-US"/>
        </w:rPr>
        <w:t>e kaleidoscopic coherence of a</w:t>
      </w:r>
      <w:r w:rsidRPr="005D0CE5">
        <w:rPr>
          <w:rFonts w:ascii="Times New Roman" w:hAnsi="Times New Roman" w:cs="Times New Roman"/>
          <w:color w:val="000000" w:themeColor="text1"/>
          <w:lang w:val="en-US"/>
        </w:rPr>
        <w:t xml:space="preserve"> short-story sequence. </w:t>
      </w:r>
      <w:r w:rsidRPr="005D0CE5">
        <w:rPr>
          <w:rFonts w:ascii="Times New Roman" w:hAnsi="Times New Roman" w:cs="Times New Roman"/>
          <w:i/>
          <w:color w:val="000000" w:themeColor="text1"/>
          <w:lang w:val="en-US"/>
        </w:rPr>
        <w:t>Oblivion</w:t>
      </w:r>
      <w:r w:rsidRPr="005D0CE5">
        <w:rPr>
          <w:rFonts w:ascii="Times New Roman" w:hAnsi="Times New Roman" w:cs="Times New Roman"/>
          <w:color w:val="000000" w:themeColor="text1"/>
          <w:lang w:val="en-US"/>
        </w:rPr>
        <w:t xml:space="preserve"> – in which stories such as ‘The Soul is Not a Smithy’ or ‘Incarnations of Burned Children’ act as trailers for or off-cuts from the longer work in progress – might be better understood, as David Hering puts it, as part of ‘one huge linear “discrete project” that shed or engendered other projects during its progress’</w:t>
      </w:r>
      <w:r w:rsidRPr="005D0CE5">
        <w:rPr>
          <w:rStyle w:val="FootnoteReference"/>
          <w:rFonts w:ascii="Times New Roman" w:hAnsi="Times New Roman" w:cs="Times New Roman"/>
          <w:color w:val="000000" w:themeColor="text1"/>
          <w:lang w:val="en-US"/>
        </w:rPr>
        <w:footnoteReference w:id="14"/>
      </w:r>
      <w:r w:rsidRPr="005D0CE5">
        <w:rPr>
          <w:rFonts w:ascii="Times New Roman" w:hAnsi="Times New Roman" w:cs="Times New Roman"/>
          <w:color w:val="000000" w:themeColor="text1"/>
          <w:lang w:val="en-US"/>
        </w:rPr>
        <w:t xml:space="preserve">; a grand project bigger than just a novel or a group of stories, a thing even longer than a long thing. Conversely, ‘Incarnations of Burned Children’, when lending its name to </w:t>
      </w:r>
      <w:r w:rsidRPr="005D0CE5">
        <w:rPr>
          <w:rFonts w:ascii="Times New Roman" w:hAnsi="Times New Roman" w:cs="Times New Roman"/>
          <w:i/>
          <w:color w:val="000000" w:themeColor="text1"/>
          <w:lang w:val="en-US"/>
        </w:rPr>
        <w:t xml:space="preserve">The Burnt Children of America </w:t>
      </w:r>
      <w:r w:rsidRPr="005D0CE5">
        <w:rPr>
          <w:rFonts w:ascii="Times New Roman" w:hAnsi="Times New Roman" w:cs="Times New Roman"/>
          <w:color w:val="000000" w:themeColor="text1"/>
          <w:lang w:val="en-US"/>
        </w:rPr>
        <w:t>(2003)</w:t>
      </w:r>
      <w:r w:rsidRPr="005D0CE5">
        <w:rPr>
          <w:rFonts w:ascii="Times New Roman" w:hAnsi="Times New Roman" w:cs="Times New Roman"/>
          <w:i/>
          <w:color w:val="000000" w:themeColor="text1"/>
          <w:lang w:val="en-US"/>
        </w:rPr>
        <w:t xml:space="preserve"> </w:t>
      </w:r>
      <w:r w:rsidRPr="005D0CE5">
        <w:rPr>
          <w:rFonts w:ascii="Times New Roman" w:hAnsi="Times New Roman" w:cs="Times New Roman"/>
          <w:color w:val="000000" w:themeColor="text1"/>
          <w:lang w:val="en-US"/>
        </w:rPr>
        <w:t xml:space="preserve">and becoming the centerpiece of a formative </w:t>
      </w:r>
      <w:r>
        <w:rPr>
          <w:rFonts w:ascii="Times New Roman" w:hAnsi="Times New Roman" w:cs="Times New Roman"/>
          <w:color w:val="000000" w:themeColor="text1"/>
          <w:lang w:val="en-US"/>
        </w:rPr>
        <w:t>collection</w:t>
      </w:r>
      <w:r w:rsidRPr="005D0CE5">
        <w:rPr>
          <w:rFonts w:ascii="Times New Roman" w:hAnsi="Times New Roman" w:cs="Times New Roman"/>
          <w:color w:val="000000" w:themeColor="text1"/>
          <w:lang w:val="en-US"/>
        </w:rPr>
        <w:t xml:space="preserve"> that aimed to define a new generation of writers,</w:t>
      </w:r>
      <w:r>
        <w:rPr>
          <w:rFonts w:ascii="Times New Roman" w:hAnsi="Times New Roman" w:cs="Times New Roman"/>
          <w:color w:val="000000" w:themeColor="text1"/>
          <w:lang w:val="en-US"/>
        </w:rPr>
        <w:t xml:space="preserve"> demonstrates the potential of short forms to aggregate and anthologize in ways that long forms can’t</w:t>
      </w:r>
      <w:r w:rsidRPr="005D0CE5">
        <w:rPr>
          <w:rFonts w:ascii="Times New Roman" w:hAnsi="Times New Roman" w:cs="Times New Roman"/>
          <w:color w:val="000000" w:themeColor="text1"/>
          <w:lang w:val="en-US"/>
        </w:rPr>
        <w:t xml:space="preserve">. Or consider </w:t>
      </w:r>
      <w:r w:rsidRPr="005D0CE5">
        <w:rPr>
          <w:rFonts w:ascii="Times New Roman" w:hAnsi="Times New Roman" w:cs="Times New Roman"/>
          <w:i/>
          <w:color w:val="000000" w:themeColor="text1"/>
          <w:lang w:val="en-US"/>
        </w:rPr>
        <w:t>The Pale King</w:t>
      </w:r>
      <w:r w:rsidRPr="005D0CE5">
        <w:rPr>
          <w:rFonts w:ascii="Times New Roman" w:hAnsi="Times New Roman" w:cs="Times New Roman"/>
          <w:color w:val="000000" w:themeColor="text1"/>
          <w:lang w:val="en-US"/>
        </w:rPr>
        <w:t xml:space="preserve"> itself, a piece of writing that so thrums with longing for formal unity that it is transmitted clearly to any reader who asks, with Luc Herman and Toon Staes, ‘Can </w:t>
      </w:r>
      <w:r w:rsidRPr="005D0CE5">
        <w:rPr>
          <w:rFonts w:ascii="Times New Roman" w:hAnsi="Times New Roman" w:cs="Times New Roman"/>
          <w:i/>
          <w:color w:val="000000" w:themeColor="text1"/>
          <w:lang w:val="en-US"/>
        </w:rPr>
        <w:t>The Pale King</w:t>
      </w:r>
      <w:r w:rsidRPr="005D0CE5">
        <w:rPr>
          <w:rFonts w:ascii="Times New Roman" w:hAnsi="Times New Roman" w:cs="Times New Roman"/>
          <w:color w:val="000000" w:themeColor="text1"/>
          <w:lang w:val="en-US"/>
        </w:rPr>
        <w:t xml:space="preserve"> (Please) be a Novel?’</w:t>
      </w:r>
      <w:r w:rsidRPr="005D0CE5">
        <w:rPr>
          <w:rStyle w:val="FootnoteReference"/>
          <w:rFonts w:ascii="Times New Roman" w:hAnsi="Times New Roman" w:cs="Times New Roman"/>
          <w:color w:val="000000" w:themeColor="text1"/>
          <w:lang w:val="en-US"/>
        </w:rPr>
        <w:footnoteReference w:id="15"/>
      </w:r>
      <w:r w:rsidRPr="005D0CE5">
        <w:rPr>
          <w:rFonts w:ascii="Times New Roman" w:hAnsi="Times New Roman" w:cs="Times New Roman"/>
          <w:color w:val="000000" w:themeColor="text1"/>
          <w:lang w:val="en-US"/>
        </w:rPr>
        <w:t xml:space="preserve"> but which is still not really quite a novel. In Wallace’s work, the relationship between the short work and the long work is a</w:t>
      </w:r>
      <w:r>
        <w:rPr>
          <w:rFonts w:ascii="Times New Roman" w:hAnsi="Times New Roman" w:cs="Times New Roman"/>
          <w:color w:val="000000" w:themeColor="text1"/>
          <w:lang w:val="en-US"/>
        </w:rPr>
        <w:t>n unusually</w:t>
      </w:r>
      <w:r w:rsidRPr="005D0CE5">
        <w:rPr>
          <w:rFonts w:ascii="Times New Roman" w:hAnsi="Times New Roman" w:cs="Times New Roman"/>
          <w:color w:val="000000" w:themeColor="text1"/>
          <w:lang w:val="en-US"/>
        </w:rPr>
        <w:t xml:space="preserve"> complex one, marked by failures that are nonetheless generative and creative.</w:t>
      </w:r>
    </w:p>
    <w:p w14:paraId="780265F2" w14:textId="77777777" w:rsidR="00B01DA4" w:rsidRPr="005D0CE5" w:rsidRDefault="00B01DA4" w:rsidP="002A2DE1">
      <w:pPr>
        <w:spacing w:line="360" w:lineRule="auto"/>
        <w:rPr>
          <w:rFonts w:ascii="Times New Roman" w:hAnsi="Times New Roman" w:cs="Times New Roman"/>
          <w:color w:val="000000" w:themeColor="text1"/>
          <w:lang w:val="en-US"/>
        </w:rPr>
      </w:pPr>
    </w:p>
    <w:p w14:paraId="26BAA37A" w14:textId="6E264DCA" w:rsidR="00B01DA4" w:rsidRPr="005D0CE5" w:rsidRDefault="00B01DA4" w:rsidP="002A2DE1">
      <w:pPr>
        <w:spacing w:line="360" w:lineRule="auto"/>
        <w:rPr>
          <w:rFonts w:ascii="Times New Roman" w:hAnsi="Times New Roman" w:cs="Times New Roman"/>
          <w:color w:val="000000" w:themeColor="text1"/>
          <w:lang w:val="en-US"/>
        </w:rPr>
      </w:pPr>
      <w:r w:rsidRPr="005D0CE5">
        <w:rPr>
          <w:rFonts w:ascii="Times New Roman" w:hAnsi="Times New Roman" w:cs="Times New Roman"/>
          <w:color w:val="000000" w:themeColor="text1"/>
          <w:lang w:val="en-US"/>
        </w:rPr>
        <w:lastRenderedPageBreak/>
        <w:t>The contradictions that bedevil any account of Wallace’s short works register equivalent contradictions in the cultural status afforded to the short story form itself. As Andrew Levy has argued, the short story has been ‘simultaneously lauded and denigrated’ because of two seemingly incompatible characterizations: first that the form is a ‘practice field’ best suited for the exercise of ‘immature simplicity’, second that the short story requires ‘greater discipline and skill than longer forms’.</w:t>
      </w:r>
      <w:r w:rsidRPr="005D0CE5">
        <w:rPr>
          <w:rStyle w:val="FootnoteReference"/>
          <w:rFonts w:ascii="Times New Roman" w:hAnsi="Times New Roman" w:cs="Times New Roman"/>
          <w:color w:val="000000" w:themeColor="text1"/>
          <w:lang w:val="en-US"/>
        </w:rPr>
        <w:footnoteReference w:id="16"/>
      </w:r>
      <w:r w:rsidRPr="005D0CE5">
        <w:rPr>
          <w:rFonts w:ascii="Times New Roman" w:hAnsi="Times New Roman" w:cs="Times New Roman"/>
          <w:color w:val="000000" w:themeColor="text1"/>
          <w:lang w:val="en-US"/>
        </w:rPr>
        <w:t xml:space="preserve"> This contradiction also registers in the genre’s history: is the short story the unit in which genre writers can crank out multiple variations on the same pulp themes for magazine publication, or is it the site where Joyce and Woolf perfected the techniques of modernist experimentation before marching on to revolutionize the novel? The short story is too often seen as ‘the hermetically sealed device idealized by New Criticism’, Paul March-Russell suggests, but can be understood alternatively as a ‘contradictory and episodic form’ that registers incompleteness and discontinuity.</w:t>
      </w:r>
      <w:r w:rsidRPr="005D0CE5">
        <w:rPr>
          <w:rStyle w:val="FootnoteReference"/>
          <w:rFonts w:ascii="Times New Roman" w:hAnsi="Times New Roman" w:cs="Times New Roman"/>
          <w:color w:val="000000" w:themeColor="text1"/>
          <w:lang w:val="en-US"/>
        </w:rPr>
        <w:footnoteReference w:id="17"/>
      </w:r>
      <w:r w:rsidRPr="005D0CE5">
        <w:rPr>
          <w:rFonts w:ascii="Times New Roman" w:hAnsi="Times New Roman" w:cs="Times New Roman"/>
          <w:color w:val="000000" w:themeColor="text1"/>
          <w:lang w:val="en-US"/>
        </w:rPr>
        <w:t xml:space="preserve"> Short fiction therefore becomes a location where many of Wallace’s pre-occupations (the institutions of literature,</w:t>
      </w:r>
      <w:r>
        <w:rPr>
          <w:rFonts w:ascii="Times New Roman" w:hAnsi="Times New Roman" w:cs="Times New Roman"/>
          <w:color w:val="000000" w:themeColor="text1"/>
          <w:lang w:val="en-US"/>
        </w:rPr>
        <w:t xml:space="preserve"> popular culture vs the avant-</w:t>
      </w:r>
      <w:r w:rsidRPr="005D0CE5">
        <w:rPr>
          <w:rFonts w:ascii="Times New Roman" w:hAnsi="Times New Roman" w:cs="Times New Roman"/>
          <w:color w:val="000000" w:themeColor="text1"/>
          <w:lang w:val="en-US"/>
        </w:rPr>
        <w:t>garde, difficulty, and the relationship between finishedness and failure) can find a natural expression by picking up debates that are already in progress within the form.</w:t>
      </w:r>
    </w:p>
    <w:p w14:paraId="77DE2D88" w14:textId="2697C2E4" w:rsidR="00246E0B" w:rsidRDefault="00B01DA4" w:rsidP="00F44C14">
      <w:pPr>
        <w:spacing w:line="360" w:lineRule="auto"/>
        <w:ind w:firstLine="720"/>
        <w:rPr>
          <w:rFonts w:ascii="Times New Roman" w:hAnsi="Times New Roman" w:cs="Times New Roman"/>
          <w:color w:val="000000" w:themeColor="text1"/>
          <w:lang w:val="en-US"/>
        </w:rPr>
      </w:pPr>
      <w:r w:rsidRPr="005D0CE5">
        <w:rPr>
          <w:rFonts w:ascii="Times New Roman" w:hAnsi="Times New Roman" w:cs="Times New Roman"/>
          <w:color w:val="000000" w:themeColor="text1"/>
          <w:lang w:val="en-US"/>
        </w:rPr>
        <w:t xml:space="preserve">Naturally, Wallace has begun to be included in overviews of the contemporary short story: Martin Scofield in the </w:t>
      </w:r>
      <w:r w:rsidRPr="005D0CE5">
        <w:rPr>
          <w:rFonts w:ascii="Times New Roman" w:hAnsi="Times New Roman" w:cs="Times New Roman"/>
          <w:i/>
          <w:color w:val="000000" w:themeColor="text1"/>
          <w:lang w:val="en-US"/>
        </w:rPr>
        <w:t>Cambridge Introduction to the American Short Story</w:t>
      </w:r>
      <w:r w:rsidRPr="005D0CE5">
        <w:rPr>
          <w:rFonts w:ascii="Times New Roman" w:hAnsi="Times New Roman" w:cs="Times New Roman"/>
          <w:color w:val="000000" w:themeColor="text1"/>
          <w:lang w:val="en-US"/>
        </w:rPr>
        <w:t xml:space="preserve"> identifies Wallace as a writer whose very recent work (as of 2006) offered ‘a fresh and sometimes startling handling of the form’</w:t>
      </w:r>
      <w:r w:rsidRPr="005D0CE5">
        <w:rPr>
          <w:rStyle w:val="FootnoteReference"/>
          <w:rFonts w:ascii="Times New Roman" w:hAnsi="Times New Roman" w:cs="Times New Roman"/>
          <w:color w:val="000000" w:themeColor="text1"/>
          <w:lang w:val="en-US"/>
        </w:rPr>
        <w:footnoteReference w:id="18"/>
      </w:r>
      <w:r w:rsidRPr="005D0CE5">
        <w:rPr>
          <w:rFonts w:ascii="Times New Roman" w:hAnsi="Times New Roman" w:cs="Times New Roman"/>
          <w:color w:val="000000" w:themeColor="text1"/>
          <w:lang w:val="en-US"/>
        </w:rPr>
        <w:t xml:space="preserve"> (237); Paul March-Russell’s 2009 </w:t>
      </w:r>
      <w:r w:rsidRPr="005D0CE5">
        <w:rPr>
          <w:rFonts w:ascii="Times New Roman" w:hAnsi="Times New Roman" w:cs="Times New Roman"/>
          <w:i/>
          <w:color w:val="000000" w:themeColor="text1"/>
          <w:lang w:val="en-US"/>
        </w:rPr>
        <w:t>The Short Story: An Introduction</w:t>
      </w:r>
      <w:r w:rsidRPr="005D0CE5">
        <w:rPr>
          <w:rFonts w:ascii="Times New Roman" w:hAnsi="Times New Roman" w:cs="Times New Roman"/>
          <w:color w:val="000000" w:themeColor="text1"/>
          <w:lang w:val="en-US"/>
        </w:rPr>
        <w:t>,</w:t>
      </w:r>
      <w:r w:rsidRPr="005D0CE5">
        <w:rPr>
          <w:rFonts w:ascii="Times New Roman" w:hAnsi="Times New Roman" w:cs="Times New Roman"/>
          <w:i/>
          <w:color w:val="000000" w:themeColor="text1"/>
          <w:lang w:val="en-US"/>
        </w:rPr>
        <w:t xml:space="preserve"> </w:t>
      </w:r>
      <w:r w:rsidRPr="005D0CE5">
        <w:rPr>
          <w:rFonts w:ascii="Times New Roman" w:hAnsi="Times New Roman" w:cs="Times New Roman"/>
          <w:color w:val="000000" w:themeColor="text1"/>
          <w:lang w:val="en-US"/>
        </w:rPr>
        <w:t>identifies him (with George Saunders and Robert Coover) with the aspect of the postmodern short story that engages most strongly with Baudrillardian simulation</w:t>
      </w:r>
      <w:r w:rsidRPr="005D0CE5">
        <w:rPr>
          <w:rStyle w:val="FootnoteReference"/>
          <w:rFonts w:ascii="Times New Roman" w:hAnsi="Times New Roman" w:cs="Times New Roman"/>
          <w:color w:val="000000" w:themeColor="text1"/>
          <w:lang w:val="en-US"/>
        </w:rPr>
        <w:footnoteReference w:id="19"/>
      </w:r>
      <w:r w:rsidRPr="005D0CE5">
        <w:rPr>
          <w:rFonts w:ascii="Times New Roman" w:hAnsi="Times New Roman" w:cs="Times New Roman"/>
          <w:color w:val="000000" w:themeColor="text1"/>
          <w:lang w:val="en-US"/>
        </w:rPr>
        <w:t>;  Kasia Boddy finds Wallace continuing to stage the short story’s ‘struggle between familiar discourse and itself’ – as cliché, banality, or institutionalized language – which, in Wallace’s writing, registers as language that ‘overflows into the footnotes’ as terms cannot contain the things they attempt to describe.</w:t>
      </w:r>
      <w:r w:rsidRPr="005D0CE5">
        <w:rPr>
          <w:rStyle w:val="FootnoteReference"/>
          <w:rFonts w:ascii="Times New Roman" w:hAnsi="Times New Roman" w:cs="Times New Roman"/>
          <w:color w:val="000000" w:themeColor="text1"/>
          <w:lang w:val="en-US"/>
        </w:rPr>
        <w:footnoteReference w:id="20"/>
      </w:r>
      <w:r w:rsidRPr="005D0CE5">
        <w:rPr>
          <w:rFonts w:ascii="Times New Roman" w:hAnsi="Times New Roman" w:cs="Times New Roman"/>
          <w:color w:val="000000" w:themeColor="text1"/>
          <w:lang w:val="en-US"/>
        </w:rPr>
        <w:t xml:space="preserve"> </w:t>
      </w:r>
      <w:r w:rsidR="003A54F2" w:rsidRPr="005D0CE5">
        <w:rPr>
          <w:rFonts w:ascii="Times New Roman" w:hAnsi="Times New Roman" w:cs="Times New Roman"/>
          <w:color w:val="000000" w:themeColor="text1"/>
          <w:lang w:val="en-US"/>
        </w:rPr>
        <w:t xml:space="preserve">With this recognition of Wallace’s essential place in the </w:t>
      </w:r>
      <w:r w:rsidR="003A54F2" w:rsidRPr="005D0CE5">
        <w:rPr>
          <w:rFonts w:ascii="Times New Roman" w:hAnsi="Times New Roman" w:cs="Times New Roman"/>
          <w:color w:val="000000" w:themeColor="text1"/>
          <w:lang w:val="en-US"/>
        </w:rPr>
        <w:lastRenderedPageBreak/>
        <w:t>canon of the short story comes the question of his contribution to the form, and it is that which these essays will aim to answer.</w:t>
      </w:r>
    </w:p>
    <w:p w14:paraId="23A51537" w14:textId="1598DA3C" w:rsidR="00246E0B" w:rsidRPr="005D0CE5" w:rsidRDefault="00246E0B" w:rsidP="00246E0B">
      <w:pPr>
        <w:spacing w:line="36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w:t>
      </w:r>
    </w:p>
    <w:p w14:paraId="5244627A" w14:textId="6D793149" w:rsidR="000D77DD" w:rsidRDefault="00D83D0E" w:rsidP="002A2DE1">
      <w:pPr>
        <w:spacing w:line="360" w:lineRule="auto"/>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In the opening essay, David Punter playfully rehearses some of the narrative techniques and idiosyncrasies of </w:t>
      </w:r>
      <w:r>
        <w:rPr>
          <w:rFonts w:ascii="Times New Roman" w:hAnsi="Times New Roman" w:cs="Times New Roman"/>
          <w:i/>
          <w:color w:val="000000" w:themeColor="text1"/>
          <w:lang w:val="en-US"/>
        </w:rPr>
        <w:t>Oblivion</w:t>
      </w:r>
      <w:r>
        <w:rPr>
          <w:rFonts w:ascii="Times New Roman" w:hAnsi="Times New Roman" w:cs="Times New Roman"/>
          <w:color w:val="000000" w:themeColor="text1"/>
          <w:lang w:val="en-US"/>
        </w:rPr>
        <w:t xml:space="preserve">: themes and words surface, dissolve, only to re-emerge both de- and recontextualized in essay/collection. As Wallace skillfully deploys a series of strategies and subterfuges that simultaneously employ and undermine the idea of form, and more particularly of the short form, Punter argues, or perhaps more accurately insinuates that Wallace explodes short fiction. In this essay, what becomes apparent is that </w:t>
      </w:r>
      <w:r>
        <w:rPr>
          <w:rFonts w:ascii="Times New Roman" w:hAnsi="Times New Roman" w:cs="Times New Roman"/>
          <w:i/>
          <w:color w:val="000000" w:themeColor="text1"/>
          <w:lang w:val="en-US"/>
        </w:rPr>
        <w:t xml:space="preserve">Oblivion </w:t>
      </w:r>
      <w:r>
        <w:rPr>
          <w:rFonts w:ascii="Times New Roman" w:hAnsi="Times New Roman" w:cs="Times New Roman"/>
          <w:color w:val="000000" w:themeColor="text1"/>
          <w:lang w:val="en-US"/>
        </w:rPr>
        <w:t>is not so much a collection, as a texture, unified not by theme</w:t>
      </w:r>
      <w:r w:rsidR="0004104A">
        <w:rPr>
          <w:rFonts w:ascii="Times New Roman" w:hAnsi="Times New Roman" w:cs="Times New Roman"/>
          <w:color w:val="000000" w:themeColor="text1"/>
          <w:lang w:val="en-US"/>
        </w:rPr>
        <w:t xml:space="preserve"> alone</w:t>
      </w:r>
      <w:r>
        <w:rPr>
          <w:rFonts w:ascii="Times New Roman" w:hAnsi="Times New Roman" w:cs="Times New Roman"/>
          <w:color w:val="000000" w:themeColor="text1"/>
          <w:lang w:val="en-US"/>
        </w:rPr>
        <w:t>, but by effect</w:t>
      </w:r>
      <w:r w:rsidR="0004104A">
        <w:rPr>
          <w:rFonts w:ascii="Times New Roman" w:hAnsi="Times New Roman" w:cs="Times New Roman"/>
          <w:color w:val="000000" w:themeColor="text1"/>
          <w:lang w:val="en-US"/>
        </w:rPr>
        <w:t>, by feeling</w:t>
      </w:r>
      <w:r>
        <w:rPr>
          <w:rFonts w:ascii="Times New Roman" w:hAnsi="Times New Roman" w:cs="Times New Roman"/>
          <w:color w:val="000000" w:themeColor="text1"/>
          <w:lang w:val="en-US"/>
        </w:rPr>
        <w:t>.</w:t>
      </w:r>
    </w:p>
    <w:p w14:paraId="06178DC4" w14:textId="1E6EC98D" w:rsidR="00355D6D" w:rsidRPr="00D83D0E" w:rsidRDefault="00355D6D" w:rsidP="00F44C14">
      <w:pPr>
        <w:spacing w:line="360" w:lineRule="auto"/>
        <w:ind w:firstLine="72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Jacob Hovind, working through Wallace’s place in the history of the form, examines </w:t>
      </w:r>
      <w:r w:rsidR="00963144">
        <w:rPr>
          <w:rFonts w:ascii="Times New Roman" w:hAnsi="Times New Roman" w:cs="Times New Roman"/>
          <w:color w:val="000000" w:themeColor="text1"/>
          <w:lang w:val="en-US"/>
        </w:rPr>
        <w:t>his</w:t>
      </w:r>
      <w:r>
        <w:rPr>
          <w:rFonts w:ascii="Times New Roman" w:hAnsi="Times New Roman" w:cs="Times New Roman"/>
          <w:color w:val="000000" w:themeColor="text1"/>
          <w:lang w:val="en-US"/>
        </w:rPr>
        <w:t xml:space="preserve"> use of one of </w:t>
      </w:r>
      <w:r w:rsidR="0004104A">
        <w:rPr>
          <w:rFonts w:ascii="Times New Roman" w:hAnsi="Times New Roman" w:cs="Times New Roman"/>
          <w:color w:val="000000" w:themeColor="text1"/>
          <w:lang w:val="en-US"/>
        </w:rPr>
        <w:t>short fiction’s</w:t>
      </w:r>
      <w:r>
        <w:rPr>
          <w:rFonts w:ascii="Times New Roman" w:hAnsi="Times New Roman" w:cs="Times New Roman"/>
          <w:color w:val="000000" w:themeColor="text1"/>
          <w:lang w:val="en-US"/>
        </w:rPr>
        <w:t xml:space="preserve"> most typical features: </w:t>
      </w:r>
      <w:r w:rsidR="00BA3B10">
        <w:rPr>
          <w:rFonts w:ascii="Times New Roman" w:hAnsi="Times New Roman" w:cs="Times New Roman"/>
          <w:color w:val="000000" w:themeColor="text1"/>
          <w:lang w:val="en-US"/>
        </w:rPr>
        <w:t>the epiphany</w:t>
      </w:r>
      <w:r>
        <w:rPr>
          <w:rFonts w:ascii="Times New Roman" w:hAnsi="Times New Roman" w:cs="Times New Roman"/>
          <w:color w:val="000000" w:themeColor="text1"/>
          <w:lang w:val="en-US"/>
        </w:rPr>
        <w:t xml:space="preserve">. Closely aligned with his move toward </w:t>
      </w:r>
      <w:r w:rsidR="00FD71AE">
        <w:rPr>
          <w:rFonts w:ascii="Times New Roman" w:hAnsi="Times New Roman" w:cs="Times New Roman"/>
          <w:color w:val="000000" w:themeColor="text1"/>
          <w:lang w:val="en-US"/>
        </w:rPr>
        <w:t>renewed communicative potential</w:t>
      </w:r>
      <w:r>
        <w:rPr>
          <w:rFonts w:ascii="Times New Roman" w:hAnsi="Times New Roman" w:cs="Times New Roman"/>
          <w:color w:val="000000" w:themeColor="text1"/>
          <w:lang w:val="en-US"/>
        </w:rPr>
        <w:t xml:space="preserve">, </w:t>
      </w:r>
      <w:r w:rsidR="0004104A">
        <w:rPr>
          <w:rFonts w:ascii="Times New Roman" w:hAnsi="Times New Roman" w:cs="Times New Roman"/>
          <w:color w:val="000000" w:themeColor="text1"/>
          <w:lang w:val="en-US"/>
        </w:rPr>
        <w:t xml:space="preserve">Wallace’s interest in insight depends upon </w:t>
      </w:r>
      <w:r w:rsidR="00FD71AE">
        <w:rPr>
          <w:rFonts w:ascii="Times New Roman" w:hAnsi="Times New Roman" w:cs="Times New Roman"/>
          <w:color w:val="000000" w:themeColor="text1"/>
          <w:lang w:val="en-US"/>
        </w:rPr>
        <w:t xml:space="preserve">sincerity. </w:t>
      </w:r>
      <w:r>
        <w:rPr>
          <w:rFonts w:ascii="Times New Roman" w:hAnsi="Times New Roman" w:cs="Times New Roman"/>
          <w:color w:val="000000" w:themeColor="text1"/>
          <w:lang w:val="en-US"/>
        </w:rPr>
        <w:t>H</w:t>
      </w:r>
      <w:r w:rsidR="00963144">
        <w:rPr>
          <w:rFonts w:ascii="Times New Roman" w:hAnsi="Times New Roman" w:cs="Times New Roman"/>
          <w:color w:val="000000" w:themeColor="text1"/>
          <w:lang w:val="en-US"/>
        </w:rPr>
        <w:t>o</w:t>
      </w:r>
      <w:r>
        <w:rPr>
          <w:rFonts w:ascii="Times New Roman" w:hAnsi="Times New Roman" w:cs="Times New Roman"/>
          <w:color w:val="000000" w:themeColor="text1"/>
          <w:lang w:val="en-US"/>
        </w:rPr>
        <w:t>vind argues that Wallace most be considered as a ‘post’epiphanic’</w:t>
      </w:r>
      <w:r w:rsidR="00963144">
        <w:rPr>
          <w:rFonts w:ascii="Times New Roman" w:hAnsi="Times New Roman" w:cs="Times New Roman"/>
          <w:color w:val="000000" w:themeColor="text1"/>
          <w:lang w:val="en-US"/>
        </w:rPr>
        <w:t xml:space="preserve"> </w:t>
      </w:r>
      <w:r w:rsidR="00FD71AE">
        <w:rPr>
          <w:rFonts w:ascii="Times New Roman" w:hAnsi="Times New Roman" w:cs="Times New Roman"/>
          <w:color w:val="000000" w:themeColor="text1"/>
          <w:lang w:val="en-US"/>
        </w:rPr>
        <w:t>exponent of the short form;</w:t>
      </w:r>
      <w:r>
        <w:rPr>
          <w:rFonts w:ascii="Times New Roman" w:hAnsi="Times New Roman" w:cs="Times New Roman"/>
          <w:color w:val="000000" w:themeColor="text1"/>
          <w:lang w:val="en-US"/>
        </w:rPr>
        <w:t xml:space="preserve"> </w:t>
      </w:r>
      <w:r w:rsidR="00FD71AE">
        <w:rPr>
          <w:rFonts w:ascii="Times New Roman" w:hAnsi="Times New Roman" w:cs="Times New Roman"/>
          <w:color w:val="000000" w:themeColor="text1"/>
          <w:lang w:val="en-US"/>
        </w:rPr>
        <w:t>w</w:t>
      </w:r>
      <w:r>
        <w:rPr>
          <w:rFonts w:ascii="Times New Roman" w:hAnsi="Times New Roman" w:cs="Times New Roman"/>
          <w:color w:val="000000" w:themeColor="text1"/>
          <w:lang w:val="en-US"/>
        </w:rPr>
        <w:t xml:space="preserve">hile working toward some sense of revelation, Wallace, typically, resisted simply adopting a </w:t>
      </w:r>
      <w:r w:rsidR="00963144">
        <w:rPr>
          <w:rFonts w:ascii="Times New Roman" w:hAnsi="Times New Roman" w:cs="Times New Roman"/>
          <w:color w:val="000000" w:themeColor="text1"/>
          <w:lang w:val="en-US"/>
        </w:rPr>
        <w:t>technique</w:t>
      </w:r>
      <w:r>
        <w:rPr>
          <w:rFonts w:ascii="Times New Roman" w:hAnsi="Times New Roman" w:cs="Times New Roman"/>
          <w:color w:val="000000" w:themeColor="text1"/>
          <w:lang w:val="en-US"/>
        </w:rPr>
        <w:t xml:space="preserve"> that had lost </w:t>
      </w:r>
      <w:r w:rsidR="00FD71AE">
        <w:rPr>
          <w:rFonts w:ascii="Times New Roman" w:hAnsi="Times New Roman" w:cs="Times New Roman"/>
          <w:color w:val="000000" w:themeColor="text1"/>
          <w:lang w:val="en-US"/>
        </w:rPr>
        <w:t>much</w:t>
      </w:r>
      <w:r>
        <w:rPr>
          <w:rFonts w:ascii="Times New Roman" w:hAnsi="Times New Roman" w:cs="Times New Roman"/>
          <w:color w:val="000000" w:themeColor="text1"/>
          <w:lang w:val="en-US"/>
        </w:rPr>
        <w:t xml:space="preserve"> of its power</w:t>
      </w:r>
      <w:r w:rsidR="00963144">
        <w:rPr>
          <w:rFonts w:ascii="Times New Roman" w:hAnsi="Times New Roman" w:cs="Times New Roman"/>
          <w:color w:val="000000" w:themeColor="text1"/>
          <w:lang w:val="en-US"/>
        </w:rPr>
        <w:t>, that had become ‘used up’</w:t>
      </w:r>
      <w:r>
        <w:rPr>
          <w:rFonts w:ascii="Times New Roman" w:hAnsi="Times New Roman" w:cs="Times New Roman"/>
          <w:color w:val="000000" w:themeColor="text1"/>
          <w:lang w:val="en-US"/>
        </w:rPr>
        <w:t xml:space="preserve">. However, Hovind suggests, Wallace still sought to both represent and to inspire in the reader something like a </w:t>
      </w:r>
      <w:r w:rsidR="00FD71AE">
        <w:rPr>
          <w:rFonts w:ascii="Times New Roman" w:hAnsi="Times New Roman" w:cs="Times New Roman"/>
          <w:color w:val="000000" w:themeColor="text1"/>
          <w:lang w:val="en-US"/>
        </w:rPr>
        <w:t>revelatory</w:t>
      </w:r>
      <w:r>
        <w:rPr>
          <w:rFonts w:ascii="Times New Roman" w:hAnsi="Times New Roman" w:cs="Times New Roman"/>
          <w:color w:val="000000" w:themeColor="text1"/>
          <w:lang w:val="en-US"/>
        </w:rPr>
        <w:t xml:space="preserve"> moment</w:t>
      </w:r>
      <w:r w:rsidR="00963144">
        <w:rPr>
          <w:rFonts w:ascii="Times New Roman" w:hAnsi="Times New Roman" w:cs="Times New Roman"/>
          <w:color w:val="000000" w:themeColor="text1"/>
          <w:lang w:val="en-US"/>
        </w:rPr>
        <w:t>.</w:t>
      </w:r>
    </w:p>
    <w:p w14:paraId="044272B7" w14:textId="53033410" w:rsidR="00D83D0E" w:rsidRPr="00963144" w:rsidRDefault="00963144" w:rsidP="00F44C14">
      <w:pPr>
        <w:spacing w:line="360" w:lineRule="auto"/>
        <w:ind w:firstLine="720"/>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Rob Mayo’s concerns have to do with categorization and with the process of editorial ‘deciderization’. Writing on </w:t>
      </w:r>
      <w:r>
        <w:rPr>
          <w:rFonts w:ascii="Times New Roman" w:hAnsi="Times New Roman" w:cs="Times New Roman"/>
          <w:i/>
          <w:color w:val="000000" w:themeColor="text1"/>
          <w:lang w:val="en-US"/>
        </w:rPr>
        <w:t xml:space="preserve">Brief Interviews, </w:t>
      </w:r>
      <w:r>
        <w:rPr>
          <w:rFonts w:ascii="Times New Roman" w:hAnsi="Times New Roman" w:cs="Times New Roman"/>
          <w:color w:val="000000" w:themeColor="text1"/>
          <w:lang w:val="en-US"/>
        </w:rPr>
        <w:t>Mayo interrogates not only the idea of short form, but the many different form</w:t>
      </w:r>
      <w:r w:rsidR="00FD71AE">
        <w:rPr>
          <w:rFonts w:ascii="Times New Roman" w:hAnsi="Times New Roman" w:cs="Times New Roman"/>
          <w:color w:val="000000" w:themeColor="text1"/>
          <w:lang w:val="en-US"/>
        </w:rPr>
        <w:t>s</w:t>
      </w:r>
      <w:r>
        <w:rPr>
          <w:rFonts w:ascii="Times New Roman" w:hAnsi="Times New Roman" w:cs="Times New Roman"/>
          <w:color w:val="000000" w:themeColor="text1"/>
          <w:lang w:val="en-US"/>
        </w:rPr>
        <w:t xml:space="preserve"> that it either takes or is assumed to take. Taking issue with the suggestion that </w:t>
      </w:r>
      <w:r>
        <w:rPr>
          <w:rFonts w:ascii="Times New Roman" w:hAnsi="Times New Roman" w:cs="Times New Roman"/>
          <w:i/>
          <w:color w:val="000000" w:themeColor="text1"/>
          <w:lang w:val="en-US"/>
        </w:rPr>
        <w:t xml:space="preserve">BI </w:t>
      </w:r>
      <w:r>
        <w:rPr>
          <w:rFonts w:ascii="Times New Roman" w:hAnsi="Times New Roman" w:cs="Times New Roman"/>
          <w:color w:val="000000" w:themeColor="text1"/>
          <w:lang w:val="en-US"/>
        </w:rPr>
        <w:t xml:space="preserve">is a story cycle, as </w:t>
      </w:r>
      <w:r w:rsidR="00FD71AE">
        <w:rPr>
          <w:rFonts w:ascii="Times New Roman" w:hAnsi="Times New Roman" w:cs="Times New Roman"/>
          <w:color w:val="000000" w:themeColor="text1"/>
          <w:lang w:val="en-US"/>
        </w:rPr>
        <w:t>opposed</w:t>
      </w:r>
      <w:r>
        <w:rPr>
          <w:rFonts w:ascii="Times New Roman" w:hAnsi="Times New Roman" w:cs="Times New Roman"/>
          <w:color w:val="000000" w:themeColor="text1"/>
          <w:lang w:val="en-US"/>
        </w:rPr>
        <w:t xml:space="preserve"> to a ‘mere’ collection, Mayo argues that the compositional process involved renaming, re-organization, and the moving of stories between </w:t>
      </w:r>
      <w:r w:rsidR="00FD71AE">
        <w:rPr>
          <w:rFonts w:ascii="Times New Roman" w:hAnsi="Times New Roman" w:cs="Times New Roman"/>
          <w:color w:val="000000" w:themeColor="text1"/>
          <w:lang w:val="en-US"/>
        </w:rPr>
        <w:t xml:space="preserve">different nascent </w:t>
      </w:r>
      <w:r>
        <w:rPr>
          <w:rFonts w:ascii="Times New Roman" w:hAnsi="Times New Roman" w:cs="Times New Roman"/>
          <w:color w:val="000000" w:themeColor="text1"/>
          <w:lang w:val="en-US"/>
        </w:rPr>
        <w:t>‘micro-cycles’. The essay raises broader questions then about the ways in which the short form itself is the product of troubled mic</w:t>
      </w:r>
      <w:r w:rsidR="00C579A7">
        <w:rPr>
          <w:rFonts w:ascii="Times New Roman" w:hAnsi="Times New Roman" w:cs="Times New Roman"/>
          <w:color w:val="000000" w:themeColor="text1"/>
          <w:lang w:val="en-US"/>
        </w:rPr>
        <w:t>r</w:t>
      </w:r>
      <w:r>
        <w:rPr>
          <w:rFonts w:ascii="Times New Roman" w:hAnsi="Times New Roman" w:cs="Times New Roman"/>
          <w:color w:val="000000" w:themeColor="text1"/>
          <w:lang w:val="en-US"/>
        </w:rPr>
        <w:t>o-forms,</w:t>
      </w:r>
    </w:p>
    <w:p w14:paraId="34997824" w14:textId="77777777" w:rsidR="00963144" w:rsidRDefault="00920F5B" w:rsidP="00F44C14">
      <w:pPr>
        <w:spacing w:line="360" w:lineRule="auto"/>
        <w:ind w:firstLine="720"/>
        <w:rPr>
          <w:rFonts w:ascii="Times New Roman" w:hAnsi="Times New Roman" w:cs="Times New Roman"/>
          <w:color w:val="000000" w:themeColor="text1"/>
          <w:lang w:val="en-US"/>
        </w:rPr>
      </w:pPr>
      <w:r>
        <w:rPr>
          <w:rFonts w:ascii="Times New Roman" w:hAnsi="Times New Roman" w:cs="Times New Roman"/>
          <w:color w:val="000000" w:themeColor="text1"/>
          <w:lang w:val="en-US"/>
        </w:rPr>
        <w:t>Pia Masiero takes a n</w:t>
      </w:r>
      <w:r w:rsidR="00835590">
        <w:rPr>
          <w:rFonts w:ascii="Times New Roman" w:hAnsi="Times New Roman" w:cs="Times New Roman"/>
          <w:color w:val="000000" w:themeColor="text1"/>
          <w:lang w:val="en-US"/>
        </w:rPr>
        <w:t>arratological path</w:t>
      </w:r>
      <w:r>
        <w:rPr>
          <w:rFonts w:ascii="Times New Roman" w:hAnsi="Times New Roman" w:cs="Times New Roman"/>
          <w:color w:val="000000" w:themeColor="text1"/>
          <w:lang w:val="en-US"/>
        </w:rPr>
        <w:t xml:space="preserve"> into </w:t>
      </w:r>
      <w:r>
        <w:rPr>
          <w:rFonts w:ascii="Times New Roman" w:hAnsi="Times New Roman" w:cs="Times New Roman"/>
          <w:i/>
          <w:color w:val="000000" w:themeColor="text1"/>
          <w:lang w:val="en-US"/>
        </w:rPr>
        <w:t>Brief Interviews</w:t>
      </w:r>
      <w:r>
        <w:rPr>
          <w:rFonts w:ascii="Times New Roman" w:hAnsi="Times New Roman" w:cs="Times New Roman"/>
          <w:color w:val="000000" w:themeColor="text1"/>
          <w:lang w:val="en-US"/>
        </w:rPr>
        <w:t>, identifying how techniques of focalization</w:t>
      </w:r>
      <w:r w:rsidR="00453B78">
        <w:rPr>
          <w:rFonts w:ascii="Times New Roman" w:hAnsi="Times New Roman" w:cs="Times New Roman"/>
          <w:color w:val="000000" w:themeColor="text1"/>
          <w:lang w:val="en-US"/>
        </w:rPr>
        <w:t>, deixis of person,</w:t>
      </w:r>
      <w:r>
        <w:rPr>
          <w:rFonts w:ascii="Times New Roman" w:hAnsi="Times New Roman" w:cs="Times New Roman"/>
          <w:color w:val="000000" w:themeColor="text1"/>
          <w:lang w:val="en-US"/>
        </w:rPr>
        <w:t xml:space="preserve"> and the representation of minds allow the stories to diagnose the ‘infected systemic loop’ that distorts gendered communication. Through a </w:t>
      </w:r>
      <w:r w:rsidR="00453B78">
        <w:rPr>
          <w:rFonts w:ascii="Times New Roman" w:hAnsi="Times New Roman" w:cs="Times New Roman"/>
          <w:color w:val="000000" w:themeColor="text1"/>
          <w:lang w:val="en-US"/>
        </w:rPr>
        <w:t>stand-out reading of ‘Think’, Masiero develops an argument about how Wallace’s short forms encourage a fleeting entry into other minds and other bodies, ‘the possibility of wearing just for one moment the other’s embodied perspective’.</w:t>
      </w:r>
      <w:r w:rsidR="00835590">
        <w:rPr>
          <w:rFonts w:ascii="Times New Roman" w:hAnsi="Times New Roman" w:cs="Times New Roman"/>
          <w:color w:val="000000" w:themeColor="text1"/>
          <w:lang w:val="en-US"/>
        </w:rPr>
        <w:t xml:space="preserve"> </w:t>
      </w:r>
    </w:p>
    <w:p w14:paraId="47836DE6" w14:textId="77777777" w:rsidR="00963144" w:rsidRDefault="00963144" w:rsidP="002A2DE1">
      <w:pPr>
        <w:spacing w:line="360" w:lineRule="auto"/>
        <w:rPr>
          <w:rFonts w:ascii="Times New Roman" w:hAnsi="Times New Roman" w:cs="Times New Roman"/>
          <w:color w:val="000000" w:themeColor="text1"/>
          <w:lang w:val="en-US"/>
        </w:rPr>
      </w:pPr>
    </w:p>
    <w:p w14:paraId="24139A29" w14:textId="7EA2D2F1" w:rsidR="00920F5B" w:rsidRDefault="00835590" w:rsidP="00F44C14">
      <w:pPr>
        <w:spacing w:line="360" w:lineRule="auto"/>
        <w:ind w:firstLine="720"/>
        <w:rPr>
          <w:rFonts w:ascii="Times New Roman" w:hAnsi="Times New Roman" w:cs="Times New Roman"/>
          <w:color w:val="000000" w:themeColor="text1"/>
          <w:lang w:val="en-US"/>
        </w:rPr>
      </w:pPr>
      <w:r>
        <w:rPr>
          <w:rFonts w:ascii="Times New Roman" w:hAnsi="Times New Roman" w:cs="Times New Roman"/>
          <w:color w:val="000000" w:themeColor="text1"/>
          <w:lang w:val="en-US"/>
        </w:rPr>
        <w:t>Tim Groenland,</w:t>
      </w:r>
      <w:r w:rsidR="00866EC7">
        <w:rPr>
          <w:rFonts w:ascii="Times New Roman" w:hAnsi="Times New Roman" w:cs="Times New Roman"/>
          <w:color w:val="000000" w:themeColor="text1"/>
          <w:lang w:val="en-US"/>
        </w:rPr>
        <w:t xml:space="preserve"> in</w:t>
      </w:r>
      <w:r>
        <w:rPr>
          <w:rFonts w:ascii="Times New Roman" w:hAnsi="Times New Roman" w:cs="Times New Roman"/>
          <w:color w:val="000000" w:themeColor="text1"/>
          <w:lang w:val="en-US"/>
        </w:rPr>
        <w:t xml:space="preserve"> ‘“Fragmentco Unltd</w:t>
      </w:r>
      <w:r w:rsidR="00866EC7">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“Cede” and </w:t>
      </w:r>
      <w:r>
        <w:rPr>
          <w:rFonts w:ascii="Times New Roman" w:hAnsi="Times New Roman" w:cs="Times New Roman"/>
          <w:i/>
          <w:color w:val="000000" w:themeColor="text1"/>
          <w:lang w:val="en-US"/>
        </w:rPr>
        <w:t>The Pale King</w:t>
      </w:r>
      <w:r>
        <w:rPr>
          <w:rFonts w:ascii="Times New Roman" w:hAnsi="Times New Roman" w:cs="Times New Roman"/>
          <w:color w:val="000000" w:themeColor="text1"/>
          <w:lang w:val="en-US"/>
        </w:rPr>
        <w:t xml:space="preserve">’, </w:t>
      </w:r>
      <w:r w:rsidR="00866EC7">
        <w:rPr>
          <w:rFonts w:ascii="Times New Roman" w:hAnsi="Times New Roman" w:cs="Times New Roman"/>
          <w:color w:val="000000" w:themeColor="text1"/>
          <w:lang w:val="en-US"/>
        </w:rPr>
        <w:t>explores the relationship between Wallace’s long and short works through careful scrutiny of the</w:t>
      </w:r>
      <w:r w:rsidR="0086021E">
        <w:rPr>
          <w:rFonts w:ascii="Times New Roman" w:hAnsi="Times New Roman" w:cs="Times New Roman"/>
          <w:color w:val="000000" w:themeColor="text1"/>
          <w:lang w:val="en-US"/>
        </w:rPr>
        <w:t xml:space="preserve"> unpublished</w:t>
      </w:r>
      <w:r w:rsidR="00866EC7">
        <w:rPr>
          <w:rFonts w:ascii="Times New Roman" w:hAnsi="Times New Roman" w:cs="Times New Roman"/>
          <w:color w:val="000000" w:themeColor="text1"/>
          <w:lang w:val="en-US"/>
        </w:rPr>
        <w:t xml:space="preserve"> fragment called “Cede”, partly published as “Backbone” in </w:t>
      </w:r>
      <w:r w:rsidR="00866EC7">
        <w:rPr>
          <w:rFonts w:ascii="Times New Roman" w:hAnsi="Times New Roman" w:cs="Times New Roman"/>
          <w:i/>
          <w:color w:val="000000" w:themeColor="text1"/>
          <w:lang w:val="en-US"/>
        </w:rPr>
        <w:t>The New Yorker</w:t>
      </w:r>
      <w:r w:rsidR="00866EC7">
        <w:rPr>
          <w:rFonts w:ascii="Times New Roman" w:hAnsi="Times New Roman" w:cs="Times New Roman"/>
          <w:color w:val="000000" w:themeColor="text1"/>
          <w:lang w:val="en-US"/>
        </w:rPr>
        <w:t xml:space="preserve"> and included in </w:t>
      </w:r>
      <w:r w:rsidR="00866EC7">
        <w:rPr>
          <w:rFonts w:ascii="Times New Roman" w:hAnsi="Times New Roman" w:cs="Times New Roman"/>
          <w:i/>
          <w:color w:val="000000" w:themeColor="text1"/>
          <w:lang w:val="en-US"/>
        </w:rPr>
        <w:t xml:space="preserve">The Pale King </w:t>
      </w:r>
      <w:r w:rsidR="00866EC7">
        <w:rPr>
          <w:rFonts w:ascii="Times New Roman" w:hAnsi="Times New Roman" w:cs="Times New Roman"/>
          <w:color w:val="000000" w:themeColor="text1"/>
          <w:lang w:val="en-US"/>
        </w:rPr>
        <w:t xml:space="preserve">in this reduced form. Groenland traces the focus on ancient Rome in those sections of ‘Cede’ </w:t>
      </w:r>
      <w:r w:rsidR="00866EC7">
        <w:rPr>
          <w:rFonts w:ascii="Times New Roman" w:hAnsi="Times New Roman" w:cs="Times New Roman"/>
          <w:i/>
          <w:color w:val="000000" w:themeColor="text1"/>
          <w:lang w:val="en-US"/>
        </w:rPr>
        <w:t>not</w:t>
      </w:r>
      <w:r w:rsidR="00866EC7">
        <w:rPr>
          <w:rFonts w:ascii="Times New Roman" w:hAnsi="Times New Roman" w:cs="Times New Roman"/>
          <w:color w:val="000000" w:themeColor="text1"/>
          <w:lang w:val="en-US"/>
        </w:rPr>
        <w:t xml:space="preserve"> published in the short story or included by Michael Pietsch in </w:t>
      </w:r>
      <w:r w:rsidR="00866EC7">
        <w:rPr>
          <w:rFonts w:ascii="Times New Roman" w:hAnsi="Times New Roman" w:cs="Times New Roman"/>
          <w:i/>
          <w:color w:val="000000" w:themeColor="text1"/>
          <w:lang w:val="en-US"/>
        </w:rPr>
        <w:t>The Pale King</w:t>
      </w:r>
      <w:r w:rsidR="00866EC7">
        <w:rPr>
          <w:rFonts w:ascii="Times New Roman" w:hAnsi="Times New Roman" w:cs="Times New Roman"/>
          <w:color w:val="000000" w:themeColor="text1"/>
          <w:lang w:val="en-US"/>
        </w:rPr>
        <w:t xml:space="preserve"> to demonstrate that they are part of an intricate thematic threading that runs across other sections of Wallace’s final novel.</w:t>
      </w:r>
    </w:p>
    <w:p w14:paraId="1A7584AC" w14:textId="23ACA16C" w:rsidR="0086021E" w:rsidRPr="00866EC7" w:rsidRDefault="0086021E" w:rsidP="00F44C14">
      <w:pPr>
        <w:spacing w:line="360" w:lineRule="auto"/>
        <w:ind w:firstLine="720"/>
        <w:rPr>
          <w:rFonts w:ascii="Times New Roman" w:hAnsi="Times New Roman" w:cs="Times New Roman"/>
          <w:color w:val="000000" w:themeColor="text1"/>
          <w:lang w:val="en-US"/>
        </w:rPr>
      </w:pPr>
      <w:r w:rsidRPr="005D0CE5">
        <w:rPr>
          <w:rFonts w:ascii="Times New Roman" w:hAnsi="Times New Roman" w:cs="Times New Roman"/>
          <w:color w:val="000000" w:themeColor="text1"/>
          <w:lang w:val="en-US"/>
        </w:rPr>
        <w:t xml:space="preserve">In the </w:t>
      </w:r>
      <w:r>
        <w:rPr>
          <w:rFonts w:ascii="Times New Roman" w:hAnsi="Times New Roman" w:cs="Times New Roman"/>
          <w:color w:val="000000" w:themeColor="text1"/>
          <w:lang w:val="en-US"/>
        </w:rPr>
        <w:t>final</w:t>
      </w:r>
      <w:r w:rsidRPr="005D0CE5">
        <w:rPr>
          <w:rFonts w:ascii="Times New Roman" w:hAnsi="Times New Roman" w:cs="Times New Roman"/>
          <w:color w:val="000000" w:themeColor="text1"/>
          <w:lang w:val="en-US"/>
        </w:rPr>
        <w:t xml:space="preserve"> essay of this issue, Jeff Severs examines Wallace’s strategies for negotiating</w:t>
      </w:r>
      <w:r>
        <w:rPr>
          <w:rFonts w:ascii="Times New Roman" w:hAnsi="Times New Roman" w:cs="Times New Roman"/>
          <w:color w:val="000000" w:themeColor="text1"/>
          <w:lang w:val="en-US"/>
        </w:rPr>
        <w:t xml:space="preserve"> fictional endings. Readings from </w:t>
      </w:r>
      <w:r>
        <w:rPr>
          <w:rFonts w:ascii="Times New Roman" w:hAnsi="Times New Roman" w:cs="Times New Roman"/>
          <w:i/>
          <w:color w:val="000000" w:themeColor="text1"/>
          <w:lang w:val="en-US"/>
        </w:rPr>
        <w:t>Girl With Curious Hair</w:t>
      </w:r>
      <w:r>
        <w:rPr>
          <w:rFonts w:ascii="Times New Roman" w:hAnsi="Times New Roman" w:cs="Times New Roman"/>
          <w:color w:val="000000" w:themeColor="text1"/>
          <w:lang w:val="en-US"/>
        </w:rPr>
        <w:t xml:space="preserve"> allow for a consideration of Wallace’s early short works as repeated attempts</w:t>
      </w:r>
      <w:r>
        <w:rPr>
          <w:rFonts w:ascii="Times" w:hAnsi="Times"/>
        </w:rPr>
        <w:t xml:space="preserve"> to ‘refine or improve upon his first novel’s ending’, Severs argues. </w:t>
      </w:r>
      <w:r>
        <w:rPr>
          <w:rFonts w:ascii="Times New Roman" w:hAnsi="Times New Roman" w:cs="Times New Roman"/>
          <w:color w:val="000000" w:themeColor="text1"/>
          <w:lang w:val="en-US"/>
        </w:rPr>
        <w:t xml:space="preserve">Ranging across Wallace’s short works, Severs ultimately understands Wallace’s short stories as </w:t>
      </w:r>
      <w:r w:rsidR="00822359">
        <w:rPr>
          <w:rFonts w:ascii="Times New Roman" w:hAnsi="Times New Roman" w:cs="Times New Roman"/>
          <w:color w:val="000000" w:themeColor="text1"/>
          <w:lang w:val="en-US"/>
        </w:rPr>
        <w:t xml:space="preserve">carefully crafted </w:t>
      </w:r>
      <w:r>
        <w:rPr>
          <w:rFonts w:ascii="Times New Roman" w:hAnsi="Times New Roman" w:cs="Times New Roman"/>
          <w:color w:val="000000" w:themeColor="text1"/>
          <w:lang w:val="en-US"/>
        </w:rPr>
        <w:t>opportunities for falling silent.</w:t>
      </w:r>
    </w:p>
    <w:p w14:paraId="3BC0A4F1" w14:textId="68848791" w:rsidR="00C579A7" w:rsidRDefault="00C579A7" w:rsidP="00422D1A">
      <w:pPr>
        <w:spacing w:line="360" w:lineRule="auto"/>
        <w:rPr>
          <w:rFonts w:ascii="Times New Roman" w:eastAsia="Times New Roman" w:hAnsi="Times New Roman" w:cs="Times New Roman"/>
          <w:color w:val="000000" w:themeColor="text1"/>
          <w:lang w:val="en-US"/>
        </w:rPr>
      </w:pPr>
    </w:p>
    <w:p w14:paraId="3F51B399" w14:textId="77777777" w:rsidR="00C579A7" w:rsidRDefault="00C579A7" w:rsidP="00422D1A">
      <w:pPr>
        <w:spacing w:line="360" w:lineRule="auto"/>
        <w:rPr>
          <w:rFonts w:ascii="Times New Roman" w:eastAsia="Times New Roman" w:hAnsi="Times New Roman" w:cs="Times New Roman"/>
          <w:color w:val="000000" w:themeColor="text1"/>
          <w:lang w:val="en-US"/>
        </w:rPr>
        <w:sectPr w:rsidR="00C579A7" w:rsidSect="00F75D7F">
          <w:pgSz w:w="11900" w:h="16840"/>
          <w:pgMar w:top="1440" w:right="1440" w:bottom="1440" w:left="1440" w:header="720" w:footer="720" w:gutter="0"/>
          <w:cols w:space="720"/>
          <w:docGrid w:linePitch="360"/>
        </w:sectPr>
      </w:pPr>
    </w:p>
    <w:p w14:paraId="428047EC" w14:textId="2FFA7CE9" w:rsidR="00201AF8" w:rsidRPr="00B27AA9" w:rsidRDefault="00C579A7" w:rsidP="00B01DA4">
      <w:pPr>
        <w:spacing w:line="360" w:lineRule="auto"/>
        <w:outlineLvl w:val="0"/>
        <w:rPr>
          <w:rFonts w:ascii="Times New Roman" w:eastAsia="Times New Roman" w:hAnsi="Times New Roman" w:cs="Times New Roman"/>
          <w:b/>
          <w:color w:val="000000" w:themeColor="text1"/>
          <w:lang w:val="en-US"/>
        </w:rPr>
      </w:pPr>
      <w:r w:rsidRPr="00B27AA9">
        <w:rPr>
          <w:rFonts w:ascii="Times New Roman" w:eastAsia="Times New Roman" w:hAnsi="Times New Roman" w:cs="Times New Roman"/>
          <w:b/>
          <w:color w:val="000000" w:themeColor="text1"/>
          <w:lang w:val="en-US"/>
        </w:rPr>
        <w:lastRenderedPageBreak/>
        <w:t>Bibliography</w:t>
      </w:r>
    </w:p>
    <w:p w14:paraId="3796BF40" w14:textId="2D33D477" w:rsidR="00C579A7" w:rsidRDefault="00C579A7" w:rsidP="00422D1A">
      <w:pPr>
        <w:spacing w:line="360" w:lineRule="auto"/>
        <w:rPr>
          <w:rFonts w:ascii="Times New Roman" w:eastAsia="Times New Roman" w:hAnsi="Times New Roman" w:cs="Times New Roman"/>
          <w:color w:val="000000" w:themeColor="text1"/>
          <w:lang w:val="en-US"/>
        </w:rPr>
      </w:pPr>
    </w:p>
    <w:p w14:paraId="386AA762" w14:textId="2889A3F5" w:rsidR="00C579A7" w:rsidRDefault="00C579A7" w:rsidP="00B27AA9">
      <w:pPr>
        <w:spacing w:line="360" w:lineRule="auto"/>
        <w:ind w:left="720" w:hanging="720"/>
        <w:rPr>
          <w:rFonts w:ascii="Times New Roman" w:eastAsia="Times New Roman" w:hAnsi="Times New Roman" w:cs="Times New Roman"/>
          <w:color w:val="000000" w:themeColor="text1"/>
          <w:lang w:val="en-US"/>
        </w:rPr>
      </w:pPr>
      <w:r w:rsidRPr="00C579A7">
        <w:rPr>
          <w:rFonts w:ascii="Times New Roman" w:eastAsia="Times New Roman" w:hAnsi="Times New Roman" w:cs="Times New Roman"/>
          <w:color w:val="000000" w:themeColor="text1"/>
          <w:lang w:val="en-US"/>
        </w:rPr>
        <w:t>Boswell</w:t>
      </w:r>
      <w:r>
        <w:rPr>
          <w:rFonts w:ascii="Times New Roman" w:eastAsia="Times New Roman" w:hAnsi="Times New Roman" w:cs="Times New Roman"/>
          <w:color w:val="000000" w:themeColor="text1"/>
          <w:lang w:val="en-US"/>
        </w:rPr>
        <w:t xml:space="preserve">, </w:t>
      </w:r>
      <w:r w:rsidRPr="00C579A7">
        <w:rPr>
          <w:rFonts w:ascii="Times New Roman" w:eastAsia="Times New Roman" w:hAnsi="Times New Roman" w:cs="Times New Roman"/>
          <w:color w:val="000000" w:themeColor="text1"/>
          <w:lang w:val="en-US"/>
        </w:rPr>
        <w:t>Marshall</w:t>
      </w:r>
      <w:r>
        <w:rPr>
          <w:rFonts w:ascii="Times New Roman" w:eastAsia="Times New Roman" w:hAnsi="Times New Roman" w:cs="Times New Roman"/>
          <w:color w:val="000000" w:themeColor="text1"/>
          <w:lang w:val="en-US"/>
        </w:rPr>
        <w:t>.</w:t>
      </w:r>
      <w:r w:rsidR="00B01DA4">
        <w:rPr>
          <w:rFonts w:ascii="Times New Roman" w:eastAsia="Times New Roman" w:hAnsi="Times New Roman" w:cs="Times New Roman"/>
          <w:color w:val="000000" w:themeColor="text1"/>
          <w:lang w:val="en-US"/>
        </w:rPr>
        <w:t xml:space="preserve"> “</w:t>
      </w:r>
      <w:r w:rsidRPr="00C579A7">
        <w:rPr>
          <w:rFonts w:ascii="Times New Roman" w:eastAsia="Times New Roman" w:hAnsi="Times New Roman" w:cs="Times New Roman"/>
          <w:color w:val="000000" w:themeColor="text1"/>
          <w:lang w:val="en-US"/>
        </w:rPr>
        <w:t>Preface: David Foster</w:t>
      </w:r>
      <w:r w:rsidR="00B01DA4">
        <w:rPr>
          <w:rFonts w:ascii="Times New Roman" w:eastAsia="Times New Roman" w:hAnsi="Times New Roman" w:cs="Times New Roman"/>
          <w:color w:val="000000" w:themeColor="text1"/>
          <w:lang w:val="en-US"/>
        </w:rPr>
        <w:t xml:space="preserve"> Wallace and ‘The Long Thing.”’</w:t>
      </w:r>
      <w:r>
        <w:rPr>
          <w:rFonts w:ascii="Times New Roman" w:eastAsia="Times New Roman" w:hAnsi="Times New Roman" w:cs="Times New Roman"/>
          <w:color w:val="000000" w:themeColor="text1"/>
          <w:lang w:val="en-US"/>
        </w:rPr>
        <w:t xml:space="preserve"> I</w:t>
      </w:r>
      <w:r w:rsidRPr="00C579A7">
        <w:rPr>
          <w:rFonts w:ascii="Times New Roman" w:eastAsia="Times New Roman" w:hAnsi="Times New Roman" w:cs="Times New Roman"/>
          <w:color w:val="000000" w:themeColor="text1"/>
          <w:lang w:val="en-US"/>
        </w:rPr>
        <w:t xml:space="preserve">n </w:t>
      </w:r>
      <w:r w:rsidRPr="00C579A7">
        <w:rPr>
          <w:rFonts w:ascii="Times New Roman" w:eastAsia="Times New Roman" w:hAnsi="Times New Roman" w:cs="Times New Roman"/>
          <w:i/>
          <w:color w:val="000000" w:themeColor="text1"/>
          <w:lang w:val="en-US"/>
        </w:rPr>
        <w:t>David Foster Wallace and ‘The Long Thing’</w:t>
      </w:r>
      <w:r>
        <w:rPr>
          <w:rFonts w:ascii="Times New Roman" w:eastAsia="Times New Roman" w:hAnsi="Times New Roman" w:cs="Times New Roman"/>
          <w:color w:val="000000" w:themeColor="text1"/>
          <w:lang w:val="en-US"/>
        </w:rPr>
        <w:t xml:space="preserve">, edited by Marshall Boswell, vi-xii. </w:t>
      </w:r>
      <w:r w:rsidRPr="00C579A7">
        <w:rPr>
          <w:rFonts w:ascii="Times New Roman" w:eastAsia="Times New Roman" w:hAnsi="Times New Roman" w:cs="Times New Roman"/>
          <w:color w:val="000000" w:themeColor="text1"/>
          <w:lang w:val="en-US"/>
        </w:rPr>
        <w:t>New York and London: Bloomsbury, 2014</w:t>
      </w:r>
      <w:r>
        <w:rPr>
          <w:rFonts w:ascii="Times New Roman" w:eastAsia="Times New Roman" w:hAnsi="Times New Roman" w:cs="Times New Roman"/>
          <w:color w:val="000000" w:themeColor="text1"/>
          <w:lang w:val="en-US"/>
        </w:rPr>
        <w:t>.</w:t>
      </w:r>
    </w:p>
    <w:p w14:paraId="0FCD4FB0" w14:textId="59B7F671" w:rsidR="00C579A7" w:rsidRDefault="00B01DA4" w:rsidP="00B27AA9">
      <w:pPr>
        <w:spacing w:line="360" w:lineRule="auto"/>
        <w:ind w:left="720" w:hanging="72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w:t>
      </w:r>
      <w:r w:rsidR="00C579A7">
        <w:rPr>
          <w:rFonts w:ascii="Times New Roman" w:eastAsia="Times New Roman" w:hAnsi="Times New Roman" w:cs="Times New Roman"/>
          <w:color w:val="000000" w:themeColor="text1"/>
          <w:lang w:val="en-US"/>
        </w:rPr>
        <w:t>.</w:t>
      </w:r>
      <w:r w:rsidR="00C579A7" w:rsidRPr="00C579A7">
        <w:rPr>
          <w:rFonts w:ascii="Times New Roman" w:eastAsia="Times New Roman" w:hAnsi="Times New Roman" w:cs="Times New Roman"/>
          <w:color w:val="000000" w:themeColor="text1"/>
          <w:lang w:val="en-US"/>
        </w:rPr>
        <w:t xml:space="preserve"> </w:t>
      </w:r>
      <w:r w:rsidR="00C579A7" w:rsidRPr="00C579A7">
        <w:rPr>
          <w:rFonts w:ascii="Times New Roman" w:eastAsia="Times New Roman" w:hAnsi="Times New Roman" w:cs="Times New Roman"/>
          <w:i/>
          <w:color w:val="000000" w:themeColor="text1"/>
          <w:lang w:val="en-US"/>
        </w:rPr>
        <w:t>Understanding David Foster Wallace</w:t>
      </w:r>
      <w:r w:rsidR="00C579A7">
        <w:rPr>
          <w:rFonts w:ascii="Times New Roman" w:eastAsia="Times New Roman" w:hAnsi="Times New Roman" w:cs="Times New Roman"/>
          <w:i/>
          <w:color w:val="000000" w:themeColor="text1"/>
          <w:lang w:val="en-US"/>
        </w:rPr>
        <w:t xml:space="preserve">. </w:t>
      </w:r>
      <w:r w:rsidR="00C579A7" w:rsidRPr="00C579A7">
        <w:rPr>
          <w:rFonts w:ascii="Times New Roman" w:eastAsia="Times New Roman" w:hAnsi="Times New Roman" w:cs="Times New Roman"/>
          <w:color w:val="000000" w:themeColor="text1"/>
          <w:lang w:val="en-US"/>
        </w:rPr>
        <w:t>Columbia: University of South Carolina Press, 2003</w:t>
      </w:r>
      <w:r w:rsidR="00C579A7">
        <w:rPr>
          <w:rFonts w:ascii="Times New Roman" w:eastAsia="Times New Roman" w:hAnsi="Times New Roman" w:cs="Times New Roman"/>
          <w:color w:val="000000" w:themeColor="text1"/>
          <w:lang w:val="en-US"/>
        </w:rPr>
        <w:t>.</w:t>
      </w:r>
    </w:p>
    <w:p w14:paraId="1418365D" w14:textId="55AFDB83" w:rsidR="00C579A7" w:rsidRDefault="00C579A7" w:rsidP="00B27AA9">
      <w:pPr>
        <w:spacing w:line="360" w:lineRule="auto"/>
        <w:ind w:left="720" w:hanging="720"/>
        <w:rPr>
          <w:rFonts w:ascii="Times New Roman" w:eastAsia="Times New Roman" w:hAnsi="Times New Roman" w:cs="Times New Roman"/>
          <w:color w:val="000000" w:themeColor="text1"/>
        </w:rPr>
      </w:pPr>
      <w:r w:rsidRPr="00C579A7">
        <w:rPr>
          <w:rFonts w:ascii="Times New Roman" w:eastAsia="Times New Roman" w:hAnsi="Times New Roman" w:cs="Times New Roman"/>
          <w:color w:val="000000" w:themeColor="text1"/>
        </w:rPr>
        <w:t>Boddy</w:t>
      </w:r>
      <w:r>
        <w:rPr>
          <w:rFonts w:ascii="Times New Roman" w:eastAsia="Times New Roman" w:hAnsi="Times New Roman" w:cs="Times New Roman"/>
          <w:color w:val="000000" w:themeColor="text1"/>
        </w:rPr>
        <w:t xml:space="preserve">, </w:t>
      </w:r>
      <w:r w:rsidRPr="00C579A7">
        <w:rPr>
          <w:rFonts w:ascii="Times New Roman" w:eastAsia="Times New Roman" w:hAnsi="Times New Roman" w:cs="Times New Roman"/>
          <w:color w:val="000000" w:themeColor="text1"/>
        </w:rPr>
        <w:t>Kasia</w:t>
      </w:r>
      <w:r>
        <w:rPr>
          <w:rFonts w:ascii="Times New Roman" w:eastAsia="Times New Roman" w:hAnsi="Times New Roman" w:cs="Times New Roman"/>
          <w:color w:val="000000" w:themeColor="text1"/>
        </w:rPr>
        <w:t>.</w:t>
      </w:r>
      <w:r w:rsidR="00B01DA4">
        <w:rPr>
          <w:rFonts w:ascii="Times New Roman" w:eastAsia="Times New Roman" w:hAnsi="Times New Roman" w:cs="Times New Roman"/>
          <w:color w:val="000000" w:themeColor="text1"/>
        </w:rPr>
        <w:t xml:space="preserve"> “</w:t>
      </w:r>
      <w:r w:rsidRPr="00C579A7">
        <w:rPr>
          <w:rFonts w:ascii="Times New Roman" w:eastAsia="Times New Roman" w:hAnsi="Times New Roman" w:cs="Times New Roman"/>
          <w:color w:val="000000" w:themeColor="text1"/>
        </w:rPr>
        <w:t xml:space="preserve">A Fiction of Response: </w:t>
      </w:r>
      <w:r w:rsidRPr="00C579A7">
        <w:rPr>
          <w:rFonts w:ascii="Times New Roman" w:eastAsia="Times New Roman" w:hAnsi="Times New Roman" w:cs="Times New Roman"/>
          <w:i/>
          <w:color w:val="000000" w:themeColor="text1"/>
        </w:rPr>
        <w:t>Girl with Curious Hair</w:t>
      </w:r>
      <w:r w:rsidR="00B01DA4">
        <w:rPr>
          <w:rFonts w:ascii="Times New Roman" w:eastAsia="Times New Roman" w:hAnsi="Times New Roman" w:cs="Times New Roman"/>
          <w:color w:val="000000" w:themeColor="text1"/>
        </w:rPr>
        <w:t xml:space="preserve"> in Context.”</w:t>
      </w:r>
      <w:r>
        <w:rPr>
          <w:rFonts w:ascii="Times New Roman" w:eastAsia="Times New Roman" w:hAnsi="Times New Roman" w:cs="Times New Roman"/>
          <w:color w:val="000000" w:themeColor="text1"/>
        </w:rPr>
        <w:t xml:space="preserve"> In</w:t>
      </w:r>
      <w:r w:rsidRPr="00C579A7">
        <w:rPr>
          <w:rFonts w:ascii="Times New Roman" w:eastAsia="Times New Roman" w:hAnsi="Times New Roman" w:cs="Times New Roman"/>
          <w:color w:val="000000" w:themeColor="text1"/>
        </w:rPr>
        <w:t xml:space="preserve"> </w:t>
      </w:r>
      <w:r w:rsidRPr="00C579A7">
        <w:rPr>
          <w:rFonts w:ascii="Times New Roman" w:eastAsia="Times New Roman" w:hAnsi="Times New Roman" w:cs="Times New Roman"/>
          <w:i/>
          <w:color w:val="000000" w:themeColor="text1"/>
        </w:rPr>
        <w:t>A Companion</w:t>
      </w:r>
      <w:r>
        <w:rPr>
          <w:rFonts w:ascii="Times New Roman" w:eastAsia="Times New Roman" w:hAnsi="Times New Roman" w:cs="Times New Roman"/>
          <w:i/>
          <w:color w:val="000000" w:themeColor="text1"/>
        </w:rPr>
        <w:t xml:space="preserve"> to David Foster Wallace Studies, </w:t>
      </w:r>
      <w:r>
        <w:rPr>
          <w:rFonts w:ascii="Times New Roman" w:eastAsia="Times New Roman" w:hAnsi="Times New Roman" w:cs="Times New Roman"/>
          <w:color w:val="000000" w:themeColor="text1"/>
        </w:rPr>
        <w:t>edited by</w:t>
      </w:r>
      <w:r w:rsidRPr="00C579A7">
        <w:rPr>
          <w:rFonts w:ascii="Times New Roman" w:eastAsia="Times New Roman" w:hAnsi="Times New Roman" w:cs="Times New Roman"/>
          <w:color w:val="000000" w:themeColor="text1"/>
        </w:rPr>
        <w:t xml:space="preserve"> Stephe</w:t>
      </w:r>
      <w:r>
        <w:rPr>
          <w:rFonts w:ascii="Times New Roman" w:eastAsia="Times New Roman" w:hAnsi="Times New Roman" w:cs="Times New Roman"/>
          <w:color w:val="000000" w:themeColor="text1"/>
        </w:rPr>
        <w:t xml:space="preserve">n J. Burn and Marshall Boswell, 23-41. </w:t>
      </w:r>
      <w:r w:rsidRPr="00C579A7">
        <w:rPr>
          <w:rFonts w:ascii="Times New Roman" w:eastAsia="Times New Roman" w:hAnsi="Times New Roman" w:cs="Times New Roman"/>
          <w:color w:val="000000" w:themeColor="text1"/>
        </w:rPr>
        <w:t xml:space="preserve">London and New </w:t>
      </w:r>
      <w:r>
        <w:rPr>
          <w:rFonts w:ascii="Times New Roman" w:eastAsia="Times New Roman" w:hAnsi="Times New Roman" w:cs="Times New Roman"/>
          <w:color w:val="000000" w:themeColor="text1"/>
        </w:rPr>
        <w:t xml:space="preserve">York: Palgrave Macmillan, 2013. </w:t>
      </w:r>
    </w:p>
    <w:p w14:paraId="11DEB35A" w14:textId="051659E5" w:rsidR="00B27AA9" w:rsidRPr="00B27AA9" w:rsidRDefault="00B01DA4" w:rsidP="00B27AA9">
      <w:pPr>
        <w:spacing w:line="360" w:lineRule="auto"/>
        <w:ind w:left="720" w:hanging="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B27AA9">
        <w:rPr>
          <w:rFonts w:ascii="Times New Roman" w:eastAsia="Times New Roman" w:hAnsi="Times New Roman" w:cs="Times New Roman"/>
          <w:color w:val="000000" w:themeColor="text1"/>
        </w:rPr>
        <w:t>.</w:t>
      </w:r>
      <w:r w:rsidR="00B27AA9" w:rsidRPr="00B27AA9">
        <w:rPr>
          <w:rFonts w:ascii="Times New Roman" w:eastAsia="Times New Roman" w:hAnsi="Times New Roman" w:cs="Times New Roman"/>
          <w:color w:val="000000" w:themeColor="text1"/>
        </w:rPr>
        <w:t xml:space="preserve"> </w:t>
      </w:r>
      <w:r w:rsidR="00B27AA9" w:rsidRPr="00B27AA9">
        <w:rPr>
          <w:rFonts w:ascii="Times New Roman" w:eastAsia="Times New Roman" w:hAnsi="Times New Roman" w:cs="Times New Roman"/>
          <w:i/>
          <w:color w:val="000000" w:themeColor="text1"/>
        </w:rPr>
        <w:t>The American Short Story Since 1950</w:t>
      </w:r>
      <w:r w:rsidR="00B27AA9">
        <w:rPr>
          <w:rFonts w:ascii="Times New Roman" w:eastAsia="Times New Roman" w:hAnsi="Times New Roman" w:cs="Times New Roman"/>
          <w:color w:val="000000" w:themeColor="text1"/>
        </w:rPr>
        <w:t xml:space="preserve">. </w:t>
      </w:r>
      <w:r w:rsidR="00B27AA9" w:rsidRPr="00B27AA9">
        <w:rPr>
          <w:rFonts w:ascii="Times New Roman" w:eastAsia="Times New Roman" w:hAnsi="Times New Roman" w:cs="Times New Roman"/>
          <w:color w:val="000000" w:themeColor="text1"/>
        </w:rPr>
        <w:t>Edinburgh, Edinburgh University Press, 2010</w:t>
      </w:r>
      <w:r w:rsidR="00B27AA9">
        <w:rPr>
          <w:rFonts w:ascii="Times New Roman" w:eastAsia="Times New Roman" w:hAnsi="Times New Roman" w:cs="Times New Roman"/>
          <w:color w:val="000000" w:themeColor="text1"/>
        </w:rPr>
        <w:t>.</w:t>
      </w:r>
    </w:p>
    <w:p w14:paraId="16A06186" w14:textId="41A2AFF3" w:rsidR="00C579A7" w:rsidRDefault="00C579A7" w:rsidP="00B27AA9">
      <w:pPr>
        <w:spacing w:line="360" w:lineRule="auto"/>
        <w:ind w:left="720" w:hanging="720"/>
        <w:rPr>
          <w:rFonts w:ascii="Times New Roman" w:eastAsia="Times New Roman" w:hAnsi="Times New Roman" w:cs="Times New Roman"/>
          <w:color w:val="000000" w:themeColor="text1"/>
          <w:lang w:val="en-US"/>
        </w:rPr>
      </w:pPr>
      <w:r w:rsidRPr="00C579A7">
        <w:rPr>
          <w:rFonts w:ascii="Times New Roman" w:eastAsia="Times New Roman" w:hAnsi="Times New Roman" w:cs="Times New Roman"/>
          <w:color w:val="000000" w:themeColor="text1"/>
          <w:lang w:val="en-US"/>
        </w:rPr>
        <w:t>Groenland,</w:t>
      </w:r>
      <w:r>
        <w:rPr>
          <w:rFonts w:ascii="Times New Roman" w:eastAsia="Times New Roman" w:hAnsi="Times New Roman" w:cs="Times New Roman"/>
          <w:color w:val="000000" w:themeColor="text1"/>
          <w:lang w:val="en-US"/>
        </w:rPr>
        <w:t xml:space="preserve"> Tim.</w:t>
      </w:r>
      <w:r w:rsidR="00B01DA4">
        <w:rPr>
          <w:rFonts w:ascii="Times New Roman" w:eastAsia="Times New Roman" w:hAnsi="Times New Roman" w:cs="Times New Roman"/>
          <w:color w:val="000000" w:themeColor="text1"/>
          <w:lang w:val="en-US"/>
        </w:rPr>
        <w:t xml:space="preserve"> “‘A Recipe for a Brick’</w:t>
      </w:r>
      <w:r w:rsidRPr="00C579A7">
        <w:rPr>
          <w:rFonts w:ascii="Times New Roman" w:eastAsia="Times New Roman" w:hAnsi="Times New Roman" w:cs="Times New Roman"/>
          <w:color w:val="000000" w:themeColor="text1"/>
          <w:lang w:val="en-US"/>
        </w:rPr>
        <w:t xml:space="preserve">: </w:t>
      </w:r>
      <w:r w:rsidRPr="00B01DA4">
        <w:rPr>
          <w:rFonts w:ascii="Times New Roman" w:eastAsia="Times New Roman" w:hAnsi="Times New Roman" w:cs="Times New Roman"/>
          <w:i/>
          <w:color w:val="000000" w:themeColor="text1"/>
          <w:lang w:val="en-US"/>
        </w:rPr>
        <w:t>The Pale King</w:t>
      </w:r>
      <w:r w:rsidRPr="00C579A7">
        <w:rPr>
          <w:rFonts w:ascii="Times New Roman" w:eastAsia="Times New Roman" w:hAnsi="Times New Roman" w:cs="Times New Roman"/>
          <w:color w:val="000000" w:themeColor="text1"/>
          <w:lang w:val="en-US"/>
        </w:rPr>
        <w:t xml:space="preserve"> in Progress</w:t>
      </w:r>
      <w:r w:rsidR="00B01DA4">
        <w:rPr>
          <w:rFonts w:ascii="Times New Roman" w:eastAsia="Times New Roman" w:hAnsi="Times New Roman" w:cs="Times New Roman"/>
          <w:color w:val="000000" w:themeColor="text1"/>
          <w:lang w:val="en-US"/>
        </w:rPr>
        <w:t>.”</w:t>
      </w:r>
      <w:r w:rsidRPr="00C579A7">
        <w:rPr>
          <w:rFonts w:ascii="Times New Roman" w:eastAsia="Times New Roman" w:hAnsi="Times New Roman" w:cs="Times New Roman"/>
          <w:color w:val="000000" w:themeColor="text1"/>
          <w:lang w:val="en-US"/>
        </w:rPr>
        <w:t xml:space="preserve"> </w:t>
      </w:r>
      <w:r w:rsidRPr="00C579A7">
        <w:rPr>
          <w:rFonts w:ascii="Times New Roman" w:eastAsia="Times New Roman" w:hAnsi="Times New Roman" w:cs="Times New Roman"/>
          <w:i/>
          <w:color w:val="000000" w:themeColor="text1"/>
          <w:lang w:val="en-US"/>
        </w:rPr>
        <w:t>Critique: Studies in Contemporary Fiction</w:t>
      </w:r>
      <w:r w:rsidR="00B27AA9">
        <w:rPr>
          <w:rFonts w:ascii="Times New Roman" w:eastAsia="Times New Roman" w:hAnsi="Times New Roman" w:cs="Times New Roman"/>
          <w:color w:val="000000" w:themeColor="text1"/>
          <w:lang w:val="en-US"/>
        </w:rPr>
        <w:t xml:space="preserve"> 58, no.</w:t>
      </w:r>
      <w:r>
        <w:rPr>
          <w:rFonts w:ascii="Times New Roman" w:eastAsia="Times New Roman" w:hAnsi="Times New Roman" w:cs="Times New Roman"/>
          <w:color w:val="000000" w:themeColor="text1"/>
          <w:lang w:val="en-US"/>
        </w:rPr>
        <w:t xml:space="preserve">4 (2009): </w:t>
      </w:r>
      <w:r w:rsidRPr="00C579A7">
        <w:rPr>
          <w:rFonts w:ascii="Times New Roman" w:eastAsia="Times New Roman" w:hAnsi="Times New Roman" w:cs="Times New Roman"/>
          <w:color w:val="000000" w:themeColor="text1"/>
          <w:lang w:val="en-US"/>
        </w:rPr>
        <w:t>365-76.</w:t>
      </w:r>
    </w:p>
    <w:p w14:paraId="030152B0" w14:textId="2150C52B" w:rsidR="00B27AA9" w:rsidRDefault="00B27AA9" w:rsidP="00B27AA9">
      <w:pPr>
        <w:spacing w:line="360" w:lineRule="auto"/>
        <w:ind w:left="720" w:hanging="720"/>
        <w:rPr>
          <w:rFonts w:ascii="Times New Roman" w:eastAsia="Times New Roman" w:hAnsi="Times New Roman" w:cs="Times New Roman"/>
          <w:color w:val="000000" w:themeColor="text1"/>
          <w:lang w:val="en-US"/>
        </w:rPr>
      </w:pPr>
      <w:r w:rsidRPr="00B27AA9">
        <w:rPr>
          <w:rFonts w:ascii="Times New Roman" w:eastAsia="Times New Roman" w:hAnsi="Times New Roman" w:cs="Times New Roman"/>
          <w:color w:val="000000" w:themeColor="text1"/>
          <w:lang w:val="en-US"/>
        </w:rPr>
        <w:t>Hering,</w:t>
      </w:r>
      <w:r>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color w:val="000000" w:themeColor="text1"/>
          <w:lang w:val="en-US"/>
        </w:rPr>
        <w:t>David</w:t>
      </w:r>
      <w:r>
        <w:rPr>
          <w:rFonts w:ascii="Times New Roman" w:eastAsia="Times New Roman" w:hAnsi="Times New Roman" w:cs="Times New Roman"/>
          <w:color w:val="000000" w:themeColor="text1"/>
          <w:lang w:val="en-US"/>
        </w:rPr>
        <w:t>.</w:t>
      </w:r>
      <w:r w:rsidRPr="00B27AA9">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i/>
          <w:color w:val="000000" w:themeColor="text1"/>
          <w:lang w:val="en-US"/>
        </w:rPr>
        <w:t>David Foster Wallace: Fiction and Form</w:t>
      </w:r>
      <w:r>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color w:val="000000" w:themeColor="text1"/>
          <w:lang w:val="en-US"/>
        </w:rPr>
        <w:t>New York and London: Bloomsbury, 2016</w:t>
      </w:r>
      <w:r>
        <w:rPr>
          <w:rFonts w:ascii="Times New Roman" w:eastAsia="Times New Roman" w:hAnsi="Times New Roman" w:cs="Times New Roman"/>
          <w:color w:val="000000" w:themeColor="text1"/>
          <w:lang w:val="en-US"/>
        </w:rPr>
        <w:t>.</w:t>
      </w:r>
    </w:p>
    <w:p w14:paraId="0EC03EDA" w14:textId="1FF003D2" w:rsidR="00B27AA9" w:rsidRPr="00B27AA9" w:rsidRDefault="00B27AA9" w:rsidP="00B27AA9">
      <w:pPr>
        <w:spacing w:line="360" w:lineRule="auto"/>
        <w:ind w:left="720" w:hanging="720"/>
        <w:rPr>
          <w:rFonts w:ascii="Times New Roman" w:eastAsia="Times New Roman" w:hAnsi="Times New Roman" w:cs="Times New Roman"/>
          <w:color w:val="000000" w:themeColor="text1"/>
          <w:lang w:val="en-US"/>
        </w:rPr>
      </w:pPr>
      <w:r w:rsidRPr="00B27AA9">
        <w:rPr>
          <w:rFonts w:ascii="Times New Roman" w:eastAsia="Times New Roman" w:hAnsi="Times New Roman" w:cs="Times New Roman"/>
          <w:color w:val="000000" w:themeColor="text1"/>
          <w:lang w:val="en-US"/>
        </w:rPr>
        <w:t>Herman</w:t>
      </w:r>
      <w:r>
        <w:rPr>
          <w:rFonts w:ascii="Times New Roman" w:eastAsia="Times New Roman" w:hAnsi="Times New Roman" w:cs="Times New Roman"/>
          <w:color w:val="000000" w:themeColor="text1"/>
          <w:lang w:val="en-US"/>
        </w:rPr>
        <w:t xml:space="preserve">, </w:t>
      </w:r>
      <w:r w:rsidR="00B01DA4">
        <w:rPr>
          <w:rFonts w:ascii="Times New Roman" w:eastAsia="Times New Roman" w:hAnsi="Times New Roman" w:cs="Times New Roman"/>
          <w:color w:val="000000" w:themeColor="text1"/>
          <w:lang w:val="en-US"/>
        </w:rPr>
        <w:t>Luc and Toon Staes, “</w:t>
      </w:r>
      <w:r w:rsidRPr="00B27AA9">
        <w:rPr>
          <w:rFonts w:ascii="Times New Roman" w:eastAsia="Times New Roman" w:hAnsi="Times New Roman" w:cs="Times New Roman"/>
          <w:color w:val="000000" w:themeColor="text1"/>
          <w:lang w:val="en-US"/>
        </w:rPr>
        <w:t xml:space="preserve">Introduction: Can </w:t>
      </w:r>
      <w:r w:rsidRPr="00B01DA4">
        <w:rPr>
          <w:rFonts w:ascii="Times New Roman" w:eastAsia="Times New Roman" w:hAnsi="Times New Roman" w:cs="Times New Roman"/>
          <w:i/>
          <w:color w:val="000000" w:themeColor="text1"/>
          <w:lang w:val="en-US"/>
        </w:rPr>
        <w:t>The Pale King</w:t>
      </w:r>
      <w:r w:rsidR="00B01DA4">
        <w:rPr>
          <w:rFonts w:ascii="Times New Roman" w:eastAsia="Times New Roman" w:hAnsi="Times New Roman" w:cs="Times New Roman"/>
          <w:color w:val="000000" w:themeColor="text1"/>
          <w:lang w:val="en-US"/>
        </w:rPr>
        <w:t xml:space="preserve"> (Please) be a Novel?”</w:t>
      </w:r>
      <w:r w:rsidRPr="00B27AA9">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i/>
          <w:color w:val="000000" w:themeColor="text1"/>
          <w:lang w:val="en-US"/>
        </w:rPr>
        <w:t>English</w:t>
      </w:r>
      <w:r w:rsidRPr="00B27AA9">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i/>
          <w:color w:val="000000" w:themeColor="text1"/>
          <w:lang w:val="en-US"/>
        </w:rPr>
        <w:t>Studies</w:t>
      </w:r>
      <w:r w:rsidRPr="00B27AA9">
        <w:rPr>
          <w:rFonts w:ascii="Times New Roman" w:eastAsia="Times New Roman" w:hAnsi="Times New Roman" w:cs="Times New Roman"/>
          <w:color w:val="000000" w:themeColor="text1"/>
          <w:lang w:val="en-US"/>
        </w:rPr>
        <w:t xml:space="preserve"> 95, no. 1 (2014): 1</w:t>
      </w:r>
      <w:r>
        <w:rPr>
          <w:rFonts w:ascii="Times New Roman" w:eastAsia="Times New Roman" w:hAnsi="Times New Roman" w:cs="Times New Roman"/>
          <w:color w:val="000000" w:themeColor="text1"/>
          <w:lang w:val="en-US"/>
        </w:rPr>
        <w:t>-6</w:t>
      </w:r>
      <w:r w:rsidRPr="00B27AA9">
        <w:rPr>
          <w:rFonts w:ascii="Times New Roman" w:eastAsia="Times New Roman" w:hAnsi="Times New Roman" w:cs="Times New Roman"/>
          <w:color w:val="000000" w:themeColor="text1"/>
          <w:lang w:val="en-US"/>
        </w:rPr>
        <w:t>.</w:t>
      </w:r>
    </w:p>
    <w:p w14:paraId="73ED93B5" w14:textId="77777777" w:rsidR="00B27AA9" w:rsidRPr="00B27AA9" w:rsidRDefault="00B27AA9" w:rsidP="00B27AA9">
      <w:pPr>
        <w:spacing w:line="360" w:lineRule="auto"/>
        <w:ind w:left="720" w:hanging="720"/>
        <w:rPr>
          <w:rFonts w:ascii="Times New Roman" w:eastAsia="Times New Roman" w:hAnsi="Times New Roman" w:cs="Times New Roman"/>
          <w:color w:val="000000" w:themeColor="text1"/>
          <w:lang w:val="en-US"/>
        </w:rPr>
      </w:pPr>
      <w:r w:rsidRPr="00B27AA9">
        <w:rPr>
          <w:rFonts w:ascii="Times New Roman" w:eastAsia="Times New Roman" w:hAnsi="Times New Roman" w:cs="Times New Roman"/>
          <w:color w:val="000000" w:themeColor="text1"/>
          <w:lang w:val="en-US"/>
        </w:rPr>
        <w:t>Levy, Andrew</w:t>
      </w:r>
      <w:r>
        <w:rPr>
          <w:rFonts w:ascii="Times New Roman" w:eastAsia="Times New Roman" w:hAnsi="Times New Roman" w:cs="Times New Roman"/>
          <w:color w:val="000000" w:themeColor="text1"/>
          <w:lang w:val="en-US"/>
        </w:rPr>
        <w:t>.</w:t>
      </w:r>
      <w:r w:rsidRPr="00B27AA9">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i/>
          <w:color w:val="000000" w:themeColor="text1"/>
          <w:lang w:val="en-US"/>
        </w:rPr>
        <w:t>The Culture and Commerce of the American Short Story</w:t>
      </w:r>
      <w:r>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color w:val="000000" w:themeColor="text1"/>
          <w:lang w:val="en-US"/>
        </w:rPr>
        <w:t>Cambridge: Cambridge University Press, 1993</w:t>
      </w:r>
      <w:r>
        <w:rPr>
          <w:rFonts w:ascii="Times New Roman" w:eastAsia="Times New Roman" w:hAnsi="Times New Roman" w:cs="Times New Roman"/>
          <w:color w:val="000000" w:themeColor="text1"/>
          <w:lang w:val="en-US"/>
        </w:rPr>
        <w:t>.</w:t>
      </w:r>
    </w:p>
    <w:p w14:paraId="21C82358" w14:textId="77777777" w:rsidR="00B01DA4" w:rsidRDefault="00B01DA4" w:rsidP="00B01DA4">
      <w:pPr>
        <w:spacing w:line="360" w:lineRule="auto"/>
        <w:ind w:left="720" w:hanging="720"/>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lang w:val="en-US"/>
        </w:rPr>
        <w:t>Lipsky, David.</w:t>
      </w:r>
      <w:r w:rsidRPr="00C579A7">
        <w:rPr>
          <w:rFonts w:ascii="Times New Roman" w:eastAsia="Times New Roman" w:hAnsi="Times New Roman" w:cs="Times New Roman"/>
          <w:color w:val="000000" w:themeColor="text1"/>
          <w:lang w:val="en-US"/>
        </w:rPr>
        <w:t xml:space="preserve"> </w:t>
      </w:r>
      <w:r w:rsidRPr="00C579A7">
        <w:rPr>
          <w:rFonts w:ascii="Times New Roman" w:eastAsia="Times New Roman" w:hAnsi="Times New Roman" w:cs="Times New Roman"/>
          <w:i/>
          <w:color w:val="000000" w:themeColor="text1"/>
          <w:lang w:val="en-US"/>
        </w:rPr>
        <w:t>Although of Course You End Up Becoming Yourself: A Road Trip with David Foster Wallace</w:t>
      </w:r>
      <w:r>
        <w:rPr>
          <w:rFonts w:ascii="Times New Roman" w:eastAsia="Times New Roman" w:hAnsi="Times New Roman" w:cs="Times New Roman"/>
          <w:color w:val="000000" w:themeColor="text1"/>
          <w:lang w:val="en-US"/>
        </w:rPr>
        <w:t xml:space="preserve">. </w:t>
      </w:r>
      <w:r w:rsidRPr="00C579A7">
        <w:rPr>
          <w:rFonts w:ascii="Times New Roman" w:eastAsia="Times New Roman" w:hAnsi="Times New Roman" w:cs="Times New Roman"/>
          <w:color w:val="000000" w:themeColor="text1"/>
          <w:lang w:val="en-US"/>
        </w:rPr>
        <w:t>New York, Broadway Books, 2010</w:t>
      </w:r>
      <w:r>
        <w:rPr>
          <w:rFonts w:ascii="Times New Roman" w:eastAsia="Times New Roman" w:hAnsi="Times New Roman" w:cs="Times New Roman"/>
          <w:color w:val="000000" w:themeColor="text1"/>
          <w:lang w:val="en-US"/>
        </w:rPr>
        <w:t>.</w:t>
      </w:r>
    </w:p>
    <w:p w14:paraId="600F4211" w14:textId="77777777" w:rsidR="00B27AA9" w:rsidRPr="00B27AA9" w:rsidRDefault="00B27AA9" w:rsidP="00B27AA9">
      <w:pPr>
        <w:spacing w:line="360" w:lineRule="auto"/>
        <w:ind w:left="720" w:hanging="720"/>
        <w:rPr>
          <w:rFonts w:ascii="Times New Roman" w:eastAsia="Times New Roman" w:hAnsi="Times New Roman" w:cs="Times New Roman"/>
          <w:color w:val="000000" w:themeColor="text1"/>
          <w:lang w:val="en-US"/>
        </w:rPr>
      </w:pPr>
      <w:r w:rsidRPr="00B27AA9">
        <w:rPr>
          <w:rFonts w:ascii="Times New Roman" w:eastAsia="Times New Roman" w:hAnsi="Times New Roman" w:cs="Times New Roman"/>
          <w:color w:val="000000" w:themeColor="text1"/>
          <w:lang w:val="en-US"/>
        </w:rPr>
        <w:t>March-Russell,</w:t>
      </w:r>
      <w:r>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color w:val="000000" w:themeColor="text1"/>
          <w:lang w:val="en-US"/>
        </w:rPr>
        <w:t>Paul</w:t>
      </w:r>
      <w:r>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i/>
          <w:color w:val="000000" w:themeColor="text1"/>
          <w:lang w:val="en-US"/>
        </w:rPr>
        <w:t>The Short Story: An Introduction</w:t>
      </w:r>
      <w:r>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color w:val="000000" w:themeColor="text1"/>
          <w:lang w:val="en-US"/>
        </w:rPr>
        <w:t>Edinburgh: Edinburgh University Press, 2009</w:t>
      </w:r>
      <w:r>
        <w:rPr>
          <w:rFonts w:ascii="Times New Roman" w:eastAsia="Times New Roman" w:hAnsi="Times New Roman" w:cs="Times New Roman"/>
          <w:color w:val="000000" w:themeColor="text1"/>
          <w:lang w:val="en-US"/>
        </w:rPr>
        <w:t>.</w:t>
      </w:r>
    </w:p>
    <w:p w14:paraId="3989A08C" w14:textId="77777777" w:rsidR="00B01DA4" w:rsidRDefault="00B01DA4" w:rsidP="00B01DA4">
      <w:pPr>
        <w:spacing w:line="360" w:lineRule="auto"/>
        <w:ind w:left="720" w:hanging="720"/>
        <w:rPr>
          <w:rFonts w:ascii="Times New Roman" w:eastAsia="Times New Roman" w:hAnsi="Times New Roman" w:cs="Times New Roman"/>
          <w:color w:val="000000" w:themeColor="text1"/>
          <w:lang w:val="en-US"/>
        </w:rPr>
      </w:pPr>
      <w:r w:rsidRPr="00B27AA9">
        <w:rPr>
          <w:rFonts w:ascii="Times New Roman" w:eastAsia="Times New Roman" w:hAnsi="Times New Roman" w:cs="Times New Roman"/>
          <w:color w:val="000000" w:themeColor="text1"/>
          <w:lang w:val="en-US"/>
        </w:rPr>
        <w:t>McCaffery</w:t>
      </w:r>
      <w:r>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color w:val="000000" w:themeColor="text1"/>
          <w:lang w:val="en-US"/>
        </w:rPr>
        <w:t>Larry</w:t>
      </w:r>
      <w:r>
        <w:rPr>
          <w:rFonts w:ascii="Times New Roman" w:eastAsia="Times New Roman" w:hAnsi="Times New Roman" w:cs="Times New Roman"/>
          <w:color w:val="000000" w:themeColor="text1"/>
          <w:lang w:val="en-US"/>
        </w:rPr>
        <w:t>. “</w:t>
      </w:r>
      <w:r w:rsidRPr="00B27AA9">
        <w:rPr>
          <w:rFonts w:ascii="Times New Roman" w:eastAsia="Times New Roman" w:hAnsi="Times New Roman" w:cs="Times New Roman"/>
          <w:color w:val="000000" w:themeColor="text1"/>
          <w:lang w:val="en-US"/>
        </w:rPr>
        <w:t>A Conversati</w:t>
      </w:r>
      <w:r>
        <w:rPr>
          <w:rFonts w:ascii="Times New Roman" w:eastAsia="Times New Roman" w:hAnsi="Times New Roman" w:cs="Times New Roman"/>
          <w:color w:val="000000" w:themeColor="text1"/>
          <w:lang w:val="en-US"/>
        </w:rPr>
        <w:t>on with David Foster Wallace.”</w:t>
      </w:r>
      <w:r w:rsidRPr="00B27AA9">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i/>
          <w:color w:val="000000" w:themeColor="text1"/>
          <w:lang w:val="en-US"/>
        </w:rPr>
        <w:t>The Review of Contemporary Fiction</w:t>
      </w:r>
      <w:r w:rsidRPr="00B27AA9">
        <w:rPr>
          <w:rFonts w:ascii="Times New Roman" w:eastAsia="Times New Roman" w:hAnsi="Times New Roman" w:cs="Times New Roman"/>
          <w:color w:val="000000" w:themeColor="text1"/>
          <w:lang w:val="en-US"/>
        </w:rPr>
        <w:t xml:space="preserve"> 13 no. 2 (1993): n.p</w:t>
      </w:r>
      <w:r>
        <w:rPr>
          <w:rFonts w:ascii="Times New Roman" w:eastAsia="Times New Roman" w:hAnsi="Times New Roman" w:cs="Times New Roman"/>
          <w:color w:val="000000" w:themeColor="text1"/>
          <w:lang w:val="en-US"/>
        </w:rPr>
        <w:t>.</w:t>
      </w:r>
    </w:p>
    <w:p w14:paraId="4E9D9B6B" w14:textId="5BE2CBD2" w:rsidR="00C579A7" w:rsidRDefault="00C579A7" w:rsidP="00B27AA9">
      <w:pPr>
        <w:spacing w:line="360" w:lineRule="auto"/>
        <w:ind w:left="720" w:hanging="720"/>
        <w:rPr>
          <w:rFonts w:ascii="Times New Roman" w:eastAsia="Times New Roman" w:hAnsi="Times New Roman" w:cs="Times New Roman"/>
          <w:color w:val="000000" w:themeColor="text1"/>
          <w:lang w:val="en-US"/>
        </w:rPr>
      </w:pPr>
      <w:r w:rsidRPr="00C579A7">
        <w:rPr>
          <w:rFonts w:ascii="Times New Roman" w:eastAsia="Times New Roman" w:hAnsi="Times New Roman" w:cs="Times New Roman"/>
          <w:color w:val="000000" w:themeColor="text1"/>
          <w:lang w:val="en-US"/>
        </w:rPr>
        <w:t>Power</w:t>
      </w:r>
      <w:r>
        <w:rPr>
          <w:rFonts w:ascii="Times New Roman" w:eastAsia="Times New Roman" w:hAnsi="Times New Roman" w:cs="Times New Roman"/>
          <w:color w:val="000000" w:themeColor="text1"/>
          <w:lang w:val="en-US"/>
        </w:rPr>
        <w:t>,</w:t>
      </w:r>
      <w:r w:rsidRPr="00C579A7">
        <w:rPr>
          <w:rFonts w:ascii="Times New Roman" w:eastAsia="Times New Roman" w:hAnsi="Times New Roman" w:cs="Times New Roman"/>
          <w:color w:val="000000" w:themeColor="text1"/>
          <w:lang w:val="en-US"/>
        </w:rPr>
        <w:t xml:space="preserve"> Chris</w:t>
      </w:r>
      <w:r>
        <w:rPr>
          <w:rFonts w:ascii="Times New Roman" w:eastAsia="Times New Roman" w:hAnsi="Times New Roman" w:cs="Times New Roman"/>
          <w:color w:val="000000" w:themeColor="text1"/>
          <w:lang w:val="en-US"/>
        </w:rPr>
        <w:t>.</w:t>
      </w:r>
      <w:r w:rsidR="00B01DA4">
        <w:rPr>
          <w:rFonts w:ascii="Times New Roman" w:eastAsia="Times New Roman" w:hAnsi="Times New Roman" w:cs="Times New Roman"/>
          <w:color w:val="000000" w:themeColor="text1"/>
          <w:lang w:val="en-US"/>
        </w:rPr>
        <w:t xml:space="preserve"> “</w:t>
      </w:r>
      <w:r w:rsidRPr="00C579A7">
        <w:rPr>
          <w:rFonts w:ascii="Times New Roman" w:eastAsia="Times New Roman" w:hAnsi="Times New Roman" w:cs="Times New Roman"/>
          <w:color w:val="000000" w:themeColor="text1"/>
          <w:lang w:val="en-US"/>
        </w:rPr>
        <w:t>A brief survey of the sho</w:t>
      </w:r>
      <w:r w:rsidR="00B01DA4">
        <w:rPr>
          <w:rFonts w:ascii="Times New Roman" w:eastAsia="Times New Roman" w:hAnsi="Times New Roman" w:cs="Times New Roman"/>
          <w:color w:val="000000" w:themeColor="text1"/>
          <w:lang w:val="en-US"/>
        </w:rPr>
        <w:t>rt story: David Foster Wallace</w:t>
      </w:r>
      <w:r>
        <w:rPr>
          <w:rFonts w:ascii="Times New Roman" w:eastAsia="Times New Roman" w:hAnsi="Times New Roman" w:cs="Times New Roman"/>
          <w:color w:val="000000" w:themeColor="text1"/>
          <w:lang w:val="en-US"/>
        </w:rPr>
        <w:t>.</w:t>
      </w:r>
      <w:r w:rsidR="00B01DA4">
        <w:rPr>
          <w:rFonts w:ascii="Times New Roman" w:eastAsia="Times New Roman" w:hAnsi="Times New Roman" w:cs="Times New Roman"/>
          <w:color w:val="000000" w:themeColor="text1"/>
          <w:lang w:val="en-US"/>
        </w:rPr>
        <w:t>”</w:t>
      </w:r>
      <w:r w:rsidRPr="00C579A7">
        <w:rPr>
          <w:rFonts w:ascii="Times New Roman" w:eastAsia="Times New Roman" w:hAnsi="Times New Roman" w:cs="Times New Roman"/>
          <w:color w:val="000000" w:themeColor="text1"/>
          <w:lang w:val="en-US"/>
        </w:rPr>
        <w:t xml:space="preserve"> </w:t>
      </w:r>
      <w:r w:rsidRPr="00C579A7">
        <w:rPr>
          <w:rFonts w:ascii="Times New Roman" w:eastAsia="Times New Roman" w:hAnsi="Times New Roman" w:cs="Times New Roman"/>
          <w:i/>
          <w:color w:val="000000" w:themeColor="text1"/>
          <w:lang w:val="en-US"/>
        </w:rPr>
        <w:t>The Telegraph</w:t>
      </w:r>
      <w:r w:rsidR="00B01DA4">
        <w:rPr>
          <w:rFonts w:ascii="Times New Roman" w:eastAsia="Times New Roman" w:hAnsi="Times New Roman" w:cs="Times New Roman"/>
          <w:i/>
          <w:color w:val="000000" w:themeColor="text1"/>
          <w:lang w:val="en-US"/>
        </w:rPr>
        <w:t>,</w:t>
      </w:r>
      <w:r w:rsidRPr="00C579A7">
        <w:rPr>
          <w:rFonts w:ascii="Times New Roman" w:eastAsia="Times New Roman" w:hAnsi="Times New Roman" w:cs="Times New Roman"/>
          <w:color w:val="000000" w:themeColor="text1"/>
          <w:lang w:val="en-US"/>
        </w:rPr>
        <w:t xml:space="preserve"> May</w:t>
      </w:r>
      <w:r w:rsidR="00B01DA4">
        <w:rPr>
          <w:rFonts w:ascii="Times New Roman" w:eastAsia="Times New Roman" w:hAnsi="Times New Roman" w:cs="Times New Roman"/>
          <w:color w:val="000000" w:themeColor="text1"/>
          <w:lang w:val="en-US"/>
        </w:rPr>
        <w:t xml:space="preserve"> 25,</w:t>
      </w:r>
      <w:r w:rsidRPr="00C579A7">
        <w:rPr>
          <w:rFonts w:ascii="Times New Roman" w:eastAsia="Times New Roman" w:hAnsi="Times New Roman" w:cs="Times New Roman"/>
          <w:color w:val="000000" w:themeColor="text1"/>
          <w:lang w:val="en-US"/>
        </w:rPr>
        <w:t xml:space="preserve"> 2015. </w:t>
      </w:r>
      <w:hyperlink r:id="rId7" w:history="1">
        <w:r w:rsidRPr="00AB4334">
          <w:rPr>
            <w:rStyle w:val="Hyperlink"/>
            <w:rFonts w:ascii="Times New Roman" w:eastAsia="Times New Roman" w:hAnsi="Times New Roman" w:cs="Times New Roman"/>
            <w:lang w:val="en-US"/>
          </w:rPr>
          <w:t>https://www.theguardian.com/books/booksblog/2015/may/25/a-brief-survey-of-the-short-story-david-foster-wallace</w:t>
        </w:r>
      </w:hyperlink>
      <w:r>
        <w:rPr>
          <w:rFonts w:ascii="Times New Roman" w:eastAsia="Times New Roman" w:hAnsi="Times New Roman" w:cs="Times New Roman"/>
          <w:color w:val="000000" w:themeColor="text1"/>
          <w:lang w:val="en-US"/>
        </w:rPr>
        <w:t>.</w:t>
      </w:r>
    </w:p>
    <w:p w14:paraId="6A4E6A9C" w14:textId="77777777" w:rsidR="00B27AA9" w:rsidRPr="00B27AA9" w:rsidRDefault="00B27AA9" w:rsidP="00B27AA9">
      <w:pPr>
        <w:spacing w:line="360" w:lineRule="auto"/>
        <w:ind w:left="720" w:hanging="720"/>
        <w:rPr>
          <w:rFonts w:ascii="Times New Roman" w:eastAsia="Times New Roman" w:hAnsi="Times New Roman" w:cs="Times New Roman"/>
          <w:color w:val="000000" w:themeColor="text1"/>
          <w:lang w:val="en-US"/>
        </w:rPr>
      </w:pPr>
      <w:r w:rsidRPr="00B27AA9">
        <w:rPr>
          <w:rFonts w:ascii="Times New Roman" w:eastAsia="Times New Roman" w:hAnsi="Times New Roman" w:cs="Times New Roman"/>
          <w:color w:val="000000" w:themeColor="text1"/>
          <w:lang w:val="en-US"/>
        </w:rPr>
        <w:t>Scofield,</w:t>
      </w:r>
      <w:r>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color w:val="000000" w:themeColor="text1"/>
          <w:lang w:val="en-US"/>
        </w:rPr>
        <w:t>Martin</w:t>
      </w:r>
      <w:r>
        <w:rPr>
          <w:rFonts w:ascii="Times New Roman" w:eastAsia="Times New Roman" w:hAnsi="Times New Roman" w:cs="Times New Roman"/>
          <w:color w:val="000000" w:themeColor="text1"/>
          <w:lang w:val="en-US"/>
        </w:rPr>
        <w:t>.</w:t>
      </w:r>
      <w:r w:rsidRPr="00B27AA9">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i/>
          <w:color w:val="000000" w:themeColor="text1"/>
          <w:lang w:val="en-US"/>
        </w:rPr>
        <w:t>The Cambridge Introduction to the American Short Story</w:t>
      </w:r>
      <w:r>
        <w:rPr>
          <w:rFonts w:ascii="Times New Roman" w:eastAsia="Times New Roman" w:hAnsi="Times New Roman" w:cs="Times New Roman"/>
          <w:color w:val="000000" w:themeColor="text1"/>
          <w:lang w:val="en-US"/>
        </w:rPr>
        <w:t xml:space="preserve">. </w:t>
      </w:r>
      <w:r w:rsidRPr="00B27AA9">
        <w:rPr>
          <w:rFonts w:ascii="Times New Roman" w:eastAsia="Times New Roman" w:hAnsi="Times New Roman" w:cs="Times New Roman"/>
          <w:color w:val="000000" w:themeColor="text1"/>
          <w:lang w:val="en-US"/>
        </w:rPr>
        <w:t>Cambridge: Cambridge University Press, 2006.</w:t>
      </w:r>
    </w:p>
    <w:p w14:paraId="232174B0" w14:textId="308BC728" w:rsidR="00C579A7" w:rsidRDefault="00C579A7" w:rsidP="00B27AA9">
      <w:pPr>
        <w:spacing w:line="360" w:lineRule="auto"/>
        <w:ind w:left="720" w:hanging="720"/>
        <w:rPr>
          <w:rFonts w:ascii="Times New Roman" w:eastAsia="Times New Roman" w:hAnsi="Times New Roman" w:cs="Times New Roman"/>
          <w:color w:val="000000" w:themeColor="text1"/>
          <w:lang w:val="en-US"/>
        </w:rPr>
      </w:pPr>
      <w:r w:rsidRPr="00C579A7">
        <w:rPr>
          <w:rFonts w:ascii="Times New Roman" w:eastAsia="Times New Roman" w:hAnsi="Times New Roman" w:cs="Times New Roman"/>
          <w:color w:val="000000" w:themeColor="text1"/>
          <w:lang w:val="en-US"/>
        </w:rPr>
        <w:t>Stein,</w:t>
      </w:r>
      <w:r>
        <w:rPr>
          <w:rFonts w:ascii="Times New Roman" w:eastAsia="Times New Roman" w:hAnsi="Times New Roman" w:cs="Times New Roman"/>
          <w:color w:val="000000" w:themeColor="text1"/>
          <w:lang w:val="en-US"/>
        </w:rPr>
        <w:t xml:space="preserve"> </w:t>
      </w:r>
      <w:r w:rsidRPr="00C579A7">
        <w:rPr>
          <w:rFonts w:ascii="Times New Roman" w:eastAsia="Times New Roman" w:hAnsi="Times New Roman" w:cs="Times New Roman"/>
          <w:color w:val="000000" w:themeColor="text1"/>
          <w:lang w:val="en-US"/>
        </w:rPr>
        <w:t>Lorin</w:t>
      </w:r>
      <w:r>
        <w:rPr>
          <w:rFonts w:ascii="Times New Roman" w:eastAsia="Times New Roman" w:hAnsi="Times New Roman" w:cs="Times New Roman"/>
          <w:color w:val="000000" w:themeColor="text1"/>
          <w:lang w:val="en-US"/>
        </w:rPr>
        <w:t xml:space="preserve">. </w:t>
      </w:r>
      <w:r w:rsidR="00B01DA4">
        <w:rPr>
          <w:rFonts w:ascii="Times New Roman" w:eastAsia="Times New Roman" w:hAnsi="Times New Roman" w:cs="Times New Roman"/>
          <w:color w:val="000000" w:themeColor="text1"/>
          <w:lang w:val="en-US"/>
        </w:rPr>
        <w:t>“</w:t>
      </w:r>
      <w:r w:rsidRPr="00C579A7">
        <w:rPr>
          <w:rFonts w:ascii="Times New Roman" w:eastAsia="Times New Roman" w:hAnsi="Times New Roman" w:cs="Times New Roman"/>
          <w:color w:val="000000" w:themeColor="text1"/>
          <w:lang w:val="en-US"/>
        </w:rPr>
        <w:t>David Foster Wa</w:t>
      </w:r>
      <w:r w:rsidR="00B01DA4">
        <w:rPr>
          <w:rFonts w:ascii="Times New Roman" w:eastAsia="Times New Roman" w:hAnsi="Times New Roman" w:cs="Times New Roman"/>
          <w:color w:val="000000" w:themeColor="text1"/>
          <w:lang w:val="en-US"/>
        </w:rPr>
        <w:t>llace: In the Company of Creeps.” I</w:t>
      </w:r>
      <w:r w:rsidRPr="00C579A7">
        <w:rPr>
          <w:rFonts w:ascii="Times New Roman" w:eastAsia="Times New Roman" w:hAnsi="Times New Roman" w:cs="Times New Roman"/>
          <w:color w:val="000000" w:themeColor="text1"/>
          <w:lang w:val="en-US"/>
        </w:rPr>
        <w:t xml:space="preserve">n </w:t>
      </w:r>
      <w:r w:rsidRPr="00C579A7">
        <w:rPr>
          <w:rFonts w:ascii="Times New Roman" w:eastAsia="Times New Roman" w:hAnsi="Times New Roman" w:cs="Times New Roman"/>
          <w:i/>
          <w:color w:val="000000" w:themeColor="text1"/>
          <w:lang w:val="en-US"/>
        </w:rPr>
        <w:t>Conversations with David Foster Wallace</w:t>
      </w:r>
      <w:r>
        <w:rPr>
          <w:rFonts w:ascii="Times New Roman" w:eastAsia="Times New Roman" w:hAnsi="Times New Roman" w:cs="Times New Roman"/>
          <w:color w:val="000000" w:themeColor="text1"/>
          <w:lang w:val="en-US"/>
        </w:rPr>
        <w:t xml:space="preserve">, edited by Stephen J. Burn, 89-93. </w:t>
      </w:r>
      <w:r w:rsidRPr="00C579A7">
        <w:rPr>
          <w:rFonts w:ascii="Times New Roman" w:eastAsia="Times New Roman" w:hAnsi="Times New Roman" w:cs="Times New Roman"/>
          <w:color w:val="000000" w:themeColor="text1"/>
          <w:lang w:val="en-US"/>
        </w:rPr>
        <w:t xml:space="preserve">Jackson: University of Mississippi Press, 2012. </w:t>
      </w:r>
    </w:p>
    <w:p w14:paraId="34101970" w14:textId="77777777" w:rsidR="00C579A7" w:rsidRDefault="00C579A7" w:rsidP="00422D1A">
      <w:pPr>
        <w:spacing w:line="360" w:lineRule="auto"/>
        <w:rPr>
          <w:rFonts w:ascii="Times New Roman" w:eastAsia="Times New Roman" w:hAnsi="Times New Roman" w:cs="Times New Roman"/>
          <w:color w:val="000000" w:themeColor="text1"/>
          <w:lang w:val="en-US"/>
        </w:rPr>
      </w:pPr>
    </w:p>
    <w:sectPr w:rsidR="00C579A7" w:rsidSect="00F75D7F">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F125F" w14:textId="77777777" w:rsidR="00765435" w:rsidRDefault="00765435" w:rsidP="00684BBB">
      <w:r>
        <w:separator/>
      </w:r>
    </w:p>
  </w:endnote>
  <w:endnote w:type="continuationSeparator" w:id="0">
    <w:p w14:paraId="47950BDA" w14:textId="77777777" w:rsidR="00765435" w:rsidRDefault="00765435" w:rsidP="0068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7189B" w14:textId="77777777" w:rsidR="00765435" w:rsidRDefault="00765435" w:rsidP="00684BBB">
      <w:r>
        <w:separator/>
      </w:r>
    </w:p>
  </w:footnote>
  <w:footnote w:type="continuationSeparator" w:id="0">
    <w:p w14:paraId="0A0CD650" w14:textId="77777777" w:rsidR="00765435" w:rsidRDefault="00765435" w:rsidP="00684BBB">
      <w:r>
        <w:continuationSeparator/>
      </w:r>
    </w:p>
  </w:footnote>
  <w:footnote w:id="1">
    <w:p w14:paraId="792BE2C0" w14:textId="0D3E7C38" w:rsidR="00B01DA4" w:rsidRPr="00190003" w:rsidRDefault="00B01DA4">
      <w:pPr>
        <w:pStyle w:val="FootnoteText"/>
        <w:rPr>
          <w:rFonts w:ascii="Times New Roman" w:hAnsi="Times New Roman" w:cs="Times New Roman"/>
          <w:sz w:val="22"/>
          <w:szCs w:val="22"/>
          <w:lang w:val="en-US"/>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Marshall Boswell, ‘Preface: David Foster Wallace and “The Long Thing”’ in </w:t>
      </w:r>
      <w:r w:rsidRPr="00190003">
        <w:rPr>
          <w:rFonts w:ascii="Times New Roman" w:hAnsi="Times New Roman" w:cs="Times New Roman"/>
          <w:i/>
          <w:sz w:val="22"/>
          <w:szCs w:val="22"/>
        </w:rPr>
        <w:t>David Foster Wallace and ‘The Long Thing’</w:t>
      </w:r>
      <w:r w:rsidRPr="00190003">
        <w:rPr>
          <w:rFonts w:ascii="Times New Roman" w:hAnsi="Times New Roman" w:cs="Times New Roman"/>
          <w:sz w:val="22"/>
          <w:szCs w:val="22"/>
        </w:rPr>
        <w:t>, ed. Marshall Boswell</w:t>
      </w:r>
      <w:r w:rsidRPr="00190003">
        <w:rPr>
          <w:rFonts w:ascii="Times New Roman" w:hAnsi="Times New Roman" w:cs="Times New Roman"/>
          <w:i/>
          <w:sz w:val="22"/>
          <w:szCs w:val="22"/>
        </w:rPr>
        <w:t xml:space="preserve"> </w:t>
      </w:r>
      <w:r w:rsidRPr="00190003">
        <w:rPr>
          <w:rFonts w:ascii="Times New Roman" w:hAnsi="Times New Roman" w:cs="Times New Roman"/>
          <w:sz w:val="22"/>
          <w:szCs w:val="22"/>
        </w:rPr>
        <w:t>(New York and London: Bloomsbury, 2014), vi.</w:t>
      </w:r>
    </w:p>
  </w:footnote>
  <w:footnote w:id="2">
    <w:p w14:paraId="6998E1E5" w14:textId="77777777" w:rsidR="00B01DA4" w:rsidRPr="00190003" w:rsidRDefault="00B01DA4" w:rsidP="006D15C8">
      <w:pPr>
        <w:pStyle w:val="FootnoteText"/>
        <w:rPr>
          <w:rFonts w:ascii="Times New Roman" w:hAnsi="Times New Roman" w:cs="Times New Roman"/>
          <w:sz w:val="22"/>
          <w:szCs w:val="22"/>
          <w:lang w:val="en-US"/>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Adam Kelly, ‘David Foster Wallace and the Novel of Ideas’, in </w:t>
      </w:r>
      <w:r w:rsidRPr="00190003">
        <w:rPr>
          <w:rFonts w:ascii="Times New Roman" w:hAnsi="Times New Roman" w:cs="Times New Roman"/>
          <w:i/>
          <w:sz w:val="22"/>
          <w:szCs w:val="22"/>
        </w:rPr>
        <w:t>David Foster Wallace and ‘The Long Thing’</w:t>
      </w:r>
      <w:r w:rsidRPr="00190003">
        <w:rPr>
          <w:rFonts w:ascii="Times New Roman" w:hAnsi="Times New Roman" w:cs="Times New Roman"/>
          <w:sz w:val="22"/>
          <w:szCs w:val="22"/>
        </w:rPr>
        <w:t>, ed. Marshall Boswell</w:t>
      </w:r>
      <w:r w:rsidRPr="00190003">
        <w:rPr>
          <w:rFonts w:ascii="Times New Roman" w:hAnsi="Times New Roman" w:cs="Times New Roman"/>
          <w:i/>
          <w:sz w:val="22"/>
          <w:szCs w:val="22"/>
        </w:rPr>
        <w:t xml:space="preserve"> </w:t>
      </w:r>
      <w:r w:rsidRPr="00190003">
        <w:rPr>
          <w:rFonts w:ascii="Times New Roman" w:hAnsi="Times New Roman" w:cs="Times New Roman"/>
          <w:sz w:val="22"/>
          <w:szCs w:val="22"/>
        </w:rPr>
        <w:t>(New York and London: Bloomsbury, 2014), 3.</w:t>
      </w:r>
    </w:p>
  </w:footnote>
  <w:footnote w:id="3">
    <w:p w14:paraId="595708E3" w14:textId="428B6B29" w:rsidR="00B01DA4" w:rsidRPr="00190003" w:rsidRDefault="00B01DA4">
      <w:pPr>
        <w:pStyle w:val="FootnoteText"/>
        <w:rPr>
          <w:rFonts w:ascii="Times New Roman" w:hAnsi="Times New Roman" w:cs="Times New Roman"/>
          <w:sz w:val="22"/>
          <w:szCs w:val="22"/>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Boswell, vi.</w:t>
      </w:r>
    </w:p>
  </w:footnote>
  <w:footnote w:id="4">
    <w:p w14:paraId="4F413FED" w14:textId="788DA3E4" w:rsidR="00B01DA4" w:rsidRPr="00190003" w:rsidRDefault="00B01DA4">
      <w:pPr>
        <w:pStyle w:val="FootnoteText"/>
        <w:rPr>
          <w:rFonts w:ascii="Times New Roman" w:hAnsi="Times New Roman" w:cs="Times New Roman"/>
          <w:sz w:val="22"/>
          <w:szCs w:val="22"/>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Chris Power, ‘A brief survey of the short story: David Foster Wallace’, </w:t>
      </w:r>
      <w:r w:rsidRPr="00190003">
        <w:rPr>
          <w:rFonts w:ascii="Times New Roman" w:hAnsi="Times New Roman" w:cs="Times New Roman"/>
          <w:i/>
          <w:sz w:val="22"/>
          <w:szCs w:val="22"/>
        </w:rPr>
        <w:t xml:space="preserve">The Telegraph </w:t>
      </w:r>
      <w:r w:rsidRPr="00190003">
        <w:rPr>
          <w:rFonts w:ascii="Times New Roman" w:hAnsi="Times New Roman" w:cs="Times New Roman"/>
          <w:sz w:val="22"/>
          <w:szCs w:val="22"/>
        </w:rPr>
        <w:t>25</w:t>
      </w:r>
      <w:r w:rsidRPr="00190003">
        <w:rPr>
          <w:rFonts w:ascii="Times New Roman" w:hAnsi="Times New Roman" w:cs="Times New Roman"/>
          <w:sz w:val="22"/>
          <w:szCs w:val="22"/>
          <w:vertAlign w:val="superscript"/>
        </w:rPr>
        <w:t>th</w:t>
      </w:r>
      <w:r w:rsidRPr="00190003">
        <w:rPr>
          <w:rFonts w:ascii="Times New Roman" w:hAnsi="Times New Roman" w:cs="Times New Roman"/>
          <w:sz w:val="22"/>
          <w:szCs w:val="22"/>
        </w:rPr>
        <w:t xml:space="preserve"> May 2015. https://www.theguardian.com/books/booksblog/2015/may/25/a-brief-survey-of-the-short-story-david-foster-wallace</w:t>
      </w:r>
      <w:r>
        <w:rPr>
          <w:rFonts w:ascii="Times New Roman" w:hAnsi="Times New Roman" w:cs="Times New Roman"/>
          <w:sz w:val="22"/>
          <w:szCs w:val="22"/>
        </w:rPr>
        <w:t>.</w:t>
      </w:r>
    </w:p>
  </w:footnote>
  <w:footnote w:id="5">
    <w:p w14:paraId="5198BC55" w14:textId="70040D74" w:rsidR="00B01DA4" w:rsidRPr="00190003" w:rsidRDefault="00B01DA4">
      <w:pPr>
        <w:pStyle w:val="FootnoteText"/>
        <w:rPr>
          <w:rFonts w:ascii="Times New Roman" w:hAnsi="Times New Roman" w:cs="Times New Roman"/>
          <w:i/>
          <w:sz w:val="22"/>
          <w:szCs w:val="22"/>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Tim Groenland, ‘“A Recipe for a Brick”: The Pale King in Progress’, </w:t>
      </w:r>
      <w:r w:rsidRPr="00190003">
        <w:rPr>
          <w:rFonts w:ascii="Times New Roman" w:hAnsi="Times New Roman" w:cs="Times New Roman"/>
          <w:i/>
          <w:sz w:val="22"/>
          <w:szCs w:val="22"/>
        </w:rPr>
        <w:t xml:space="preserve">Critique: Studies in Contemporary Fiction </w:t>
      </w:r>
      <w:r w:rsidRPr="00190003">
        <w:rPr>
          <w:rFonts w:ascii="Times New Roman" w:hAnsi="Times New Roman" w:cs="Times New Roman"/>
          <w:sz w:val="22"/>
          <w:szCs w:val="22"/>
        </w:rPr>
        <w:t>58.4 (2009), 365.</w:t>
      </w:r>
    </w:p>
  </w:footnote>
  <w:footnote w:id="6">
    <w:p w14:paraId="19A95C8E" w14:textId="681C0C67" w:rsidR="00B01DA4" w:rsidRPr="00190003" w:rsidRDefault="00B01DA4">
      <w:pPr>
        <w:pStyle w:val="FootnoteText"/>
        <w:rPr>
          <w:rFonts w:ascii="Times New Roman" w:hAnsi="Times New Roman" w:cs="Times New Roman"/>
          <w:i/>
          <w:sz w:val="22"/>
          <w:szCs w:val="22"/>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Lorin Stein, ‘David Foster Wallace: In the Company of Creeps’, in </w:t>
      </w:r>
      <w:r w:rsidRPr="00190003">
        <w:rPr>
          <w:rFonts w:ascii="Times New Roman" w:hAnsi="Times New Roman" w:cs="Times New Roman"/>
          <w:i/>
          <w:sz w:val="22"/>
          <w:szCs w:val="22"/>
        </w:rPr>
        <w:t xml:space="preserve">Conversations with David Foster Wallace </w:t>
      </w:r>
      <w:r w:rsidRPr="00190003">
        <w:rPr>
          <w:rFonts w:ascii="Times New Roman" w:hAnsi="Times New Roman" w:cs="Times New Roman"/>
          <w:sz w:val="22"/>
          <w:szCs w:val="22"/>
        </w:rPr>
        <w:t>ed. Stephen J. Burn (Jackson: University of Mississippi Press, 2012), 89.</w:t>
      </w:r>
      <w:r w:rsidRPr="00190003">
        <w:rPr>
          <w:rFonts w:ascii="Times New Roman" w:hAnsi="Times New Roman" w:cs="Times New Roman"/>
          <w:i/>
          <w:sz w:val="22"/>
          <w:szCs w:val="22"/>
        </w:rPr>
        <w:t xml:space="preserve"> </w:t>
      </w:r>
    </w:p>
  </w:footnote>
  <w:footnote w:id="7">
    <w:p w14:paraId="195523EC" w14:textId="59B580A2" w:rsidR="00B01DA4" w:rsidRPr="003219CE" w:rsidRDefault="00B01DA4">
      <w:pPr>
        <w:pStyle w:val="FootnoteText"/>
      </w:pPr>
      <w:r>
        <w:rPr>
          <w:rStyle w:val="FootnoteReference"/>
        </w:rPr>
        <w:footnoteRef/>
      </w:r>
      <w:r>
        <w:t xml:space="preserve"> </w:t>
      </w:r>
      <w:r w:rsidRPr="00C579A7">
        <w:rPr>
          <w:rFonts w:ascii="Times New Roman" w:hAnsi="Times New Roman" w:cs="Times New Roman"/>
          <w:sz w:val="22"/>
          <w:szCs w:val="22"/>
        </w:rPr>
        <w:t xml:space="preserve">Marshall Boswell, </w:t>
      </w:r>
      <w:r w:rsidRPr="00C579A7">
        <w:rPr>
          <w:rFonts w:ascii="Times New Roman" w:hAnsi="Times New Roman" w:cs="Times New Roman"/>
          <w:i/>
          <w:sz w:val="22"/>
          <w:szCs w:val="22"/>
        </w:rPr>
        <w:t xml:space="preserve">Understanding David Foster Wallace </w:t>
      </w:r>
      <w:r w:rsidRPr="00C579A7">
        <w:rPr>
          <w:rFonts w:ascii="Times New Roman" w:hAnsi="Times New Roman" w:cs="Times New Roman"/>
          <w:sz w:val="22"/>
          <w:szCs w:val="22"/>
        </w:rPr>
        <w:t>(Columbia: University of South Carolina Press, 2003), 1.</w:t>
      </w:r>
    </w:p>
  </w:footnote>
  <w:footnote w:id="8">
    <w:p w14:paraId="5A108692" w14:textId="5F394109" w:rsidR="00B01DA4" w:rsidRPr="00190003" w:rsidRDefault="00B01DA4">
      <w:pPr>
        <w:pStyle w:val="FootnoteText"/>
        <w:rPr>
          <w:rFonts w:ascii="Times New Roman" w:hAnsi="Times New Roman" w:cs="Times New Roman"/>
          <w:sz w:val="22"/>
          <w:szCs w:val="22"/>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Boswell, vi.</w:t>
      </w:r>
    </w:p>
  </w:footnote>
  <w:footnote w:id="9">
    <w:p w14:paraId="03AB21C4" w14:textId="1F5AB467" w:rsidR="00B01DA4" w:rsidRPr="00190003" w:rsidRDefault="00B01DA4">
      <w:pPr>
        <w:pStyle w:val="FootnoteText"/>
        <w:rPr>
          <w:rFonts w:ascii="Times New Roman" w:hAnsi="Times New Roman" w:cs="Times New Roman"/>
          <w:sz w:val="22"/>
          <w:szCs w:val="22"/>
          <w:lang w:val="en-US"/>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Kasia Boddy, ‘A Fiction of Response: </w:t>
      </w:r>
      <w:r w:rsidRPr="00190003">
        <w:rPr>
          <w:rFonts w:ascii="Times New Roman" w:hAnsi="Times New Roman" w:cs="Times New Roman"/>
          <w:i/>
          <w:sz w:val="22"/>
          <w:szCs w:val="22"/>
        </w:rPr>
        <w:t>Girl with Curious Hair</w:t>
      </w:r>
      <w:r w:rsidRPr="00190003">
        <w:rPr>
          <w:rFonts w:ascii="Times New Roman" w:hAnsi="Times New Roman" w:cs="Times New Roman"/>
          <w:sz w:val="22"/>
          <w:szCs w:val="22"/>
        </w:rPr>
        <w:t xml:space="preserve"> in Context’ in </w:t>
      </w:r>
      <w:r w:rsidRPr="00190003">
        <w:rPr>
          <w:rFonts w:ascii="Times New Roman" w:hAnsi="Times New Roman" w:cs="Times New Roman"/>
          <w:i/>
          <w:sz w:val="22"/>
          <w:szCs w:val="22"/>
        </w:rPr>
        <w:t>A Companion to David Foster Wallace Studies</w:t>
      </w:r>
      <w:r w:rsidRPr="00190003">
        <w:rPr>
          <w:rFonts w:ascii="Times New Roman" w:hAnsi="Times New Roman" w:cs="Times New Roman"/>
          <w:sz w:val="22"/>
          <w:szCs w:val="22"/>
        </w:rPr>
        <w:t xml:space="preserve">, ed. Stephen J. Burn and Marshall Boswell (London and New York: Palgrave Macmillan, 2013), </w:t>
      </w:r>
      <w:r w:rsidRPr="00190003">
        <w:rPr>
          <w:rFonts w:ascii="Times New Roman" w:hAnsi="Times New Roman" w:cs="Times New Roman"/>
          <w:color w:val="000000" w:themeColor="text1"/>
          <w:sz w:val="22"/>
          <w:szCs w:val="22"/>
          <w:lang w:val="en-US"/>
        </w:rPr>
        <w:t>23.</w:t>
      </w:r>
    </w:p>
  </w:footnote>
  <w:footnote w:id="10">
    <w:p w14:paraId="0399264D" w14:textId="77862A50" w:rsidR="00B01DA4" w:rsidRPr="00190003" w:rsidRDefault="00B01DA4">
      <w:pPr>
        <w:pStyle w:val="FootnoteText"/>
        <w:rPr>
          <w:rFonts w:ascii="Times New Roman" w:hAnsi="Times New Roman" w:cs="Times New Roman"/>
          <w:sz w:val="22"/>
          <w:szCs w:val="22"/>
          <w:lang w:val="en-US"/>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w:t>
      </w:r>
      <w:r w:rsidRPr="00190003">
        <w:rPr>
          <w:rFonts w:ascii="Times New Roman" w:hAnsi="Times New Roman" w:cs="Times New Roman"/>
          <w:sz w:val="22"/>
          <w:szCs w:val="22"/>
          <w:lang w:val="en-US"/>
        </w:rPr>
        <w:t xml:space="preserve">David Foster Wallace in David Lipsky, </w:t>
      </w:r>
      <w:r w:rsidRPr="00190003">
        <w:rPr>
          <w:rFonts w:ascii="Times New Roman" w:hAnsi="Times New Roman" w:cs="Times New Roman"/>
          <w:i/>
          <w:sz w:val="22"/>
          <w:szCs w:val="22"/>
          <w:lang w:val="en-US"/>
        </w:rPr>
        <w:t>Although of Course You End Up Becoming Yourself: A Road Trip with David Foster Wallace</w:t>
      </w:r>
      <w:r w:rsidRPr="00190003">
        <w:rPr>
          <w:rFonts w:ascii="Times New Roman" w:hAnsi="Times New Roman" w:cs="Times New Roman"/>
          <w:sz w:val="22"/>
          <w:szCs w:val="22"/>
          <w:lang w:val="en-US"/>
        </w:rPr>
        <w:t xml:space="preserve"> (New York, Broadway Books, 2010), 22.</w:t>
      </w:r>
    </w:p>
  </w:footnote>
  <w:footnote w:id="11">
    <w:p w14:paraId="660B06F6" w14:textId="6779142D" w:rsidR="00B01DA4" w:rsidRPr="00190003" w:rsidRDefault="00B01DA4">
      <w:pPr>
        <w:pStyle w:val="FootnoteText"/>
        <w:rPr>
          <w:rFonts w:ascii="Times New Roman" w:hAnsi="Times New Roman" w:cs="Times New Roman"/>
          <w:sz w:val="22"/>
          <w:szCs w:val="22"/>
          <w:lang w:val="en-US"/>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w:t>
      </w:r>
      <w:r w:rsidRPr="00190003">
        <w:rPr>
          <w:rFonts w:ascii="Times New Roman" w:hAnsi="Times New Roman" w:cs="Times New Roman"/>
          <w:sz w:val="22"/>
          <w:szCs w:val="22"/>
          <w:lang w:val="en-US"/>
        </w:rPr>
        <w:t>Wallace in Lipsky, 260.</w:t>
      </w:r>
    </w:p>
  </w:footnote>
  <w:footnote w:id="12">
    <w:p w14:paraId="6C4C85DB" w14:textId="6ACB2251" w:rsidR="00B01DA4" w:rsidRPr="00190003" w:rsidRDefault="00B01DA4">
      <w:pPr>
        <w:pStyle w:val="FootnoteText"/>
        <w:rPr>
          <w:rFonts w:ascii="Times New Roman" w:hAnsi="Times New Roman" w:cs="Times New Roman"/>
          <w:b/>
          <w:bCs/>
          <w:sz w:val="22"/>
          <w:szCs w:val="22"/>
          <w:lang w:val="en-US"/>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w:t>
      </w:r>
      <w:r w:rsidRPr="00190003">
        <w:rPr>
          <w:rFonts w:ascii="Times New Roman" w:hAnsi="Times New Roman" w:cs="Times New Roman"/>
          <w:sz w:val="22"/>
          <w:szCs w:val="22"/>
          <w:lang w:val="en-US"/>
        </w:rPr>
        <w:t xml:space="preserve">David Foster Wallace in Larry </w:t>
      </w:r>
      <w:r w:rsidRPr="00190003">
        <w:rPr>
          <w:rFonts w:ascii="Times New Roman" w:hAnsi="Times New Roman" w:cs="Times New Roman"/>
          <w:bCs/>
          <w:sz w:val="22"/>
          <w:szCs w:val="22"/>
          <w:lang w:val="en-US"/>
        </w:rPr>
        <w:t xml:space="preserve">McCaffery, ‘A Conversation with David Foster Wallace’ in </w:t>
      </w:r>
      <w:r w:rsidRPr="00190003">
        <w:rPr>
          <w:rFonts w:ascii="Times New Roman" w:hAnsi="Times New Roman" w:cs="Times New Roman"/>
          <w:bCs/>
          <w:i/>
          <w:sz w:val="22"/>
          <w:szCs w:val="22"/>
          <w:lang w:val="en-US"/>
        </w:rPr>
        <w:t>The Review of Contemporary Fiction</w:t>
      </w:r>
      <w:r w:rsidRPr="00190003">
        <w:rPr>
          <w:rFonts w:ascii="Times New Roman" w:hAnsi="Times New Roman" w:cs="Times New Roman"/>
          <w:bCs/>
          <w:sz w:val="22"/>
          <w:szCs w:val="22"/>
          <w:lang w:val="en-US"/>
        </w:rPr>
        <w:t xml:space="preserve"> 13 no. 2 (1993): n.p.</w:t>
      </w:r>
    </w:p>
  </w:footnote>
  <w:footnote w:id="13">
    <w:p w14:paraId="70A03AFC" w14:textId="27E03DD9" w:rsidR="00B01DA4" w:rsidRPr="00190003" w:rsidRDefault="00B01DA4">
      <w:pPr>
        <w:pStyle w:val="FootnoteText"/>
        <w:rPr>
          <w:rFonts w:ascii="Times New Roman" w:hAnsi="Times New Roman" w:cs="Times New Roman"/>
          <w:sz w:val="22"/>
          <w:szCs w:val="22"/>
          <w:lang w:val="en-US"/>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w:t>
      </w:r>
      <w:r w:rsidRPr="00190003">
        <w:rPr>
          <w:rFonts w:ascii="Times New Roman" w:hAnsi="Times New Roman" w:cs="Times New Roman"/>
          <w:sz w:val="22"/>
          <w:szCs w:val="22"/>
          <w:lang w:val="en-US"/>
        </w:rPr>
        <w:t xml:space="preserve">David Foster Wallace in Larry </w:t>
      </w:r>
      <w:r w:rsidRPr="00190003">
        <w:rPr>
          <w:rFonts w:ascii="Times New Roman" w:hAnsi="Times New Roman" w:cs="Times New Roman"/>
          <w:bCs/>
          <w:sz w:val="22"/>
          <w:szCs w:val="22"/>
          <w:lang w:val="en-US"/>
        </w:rPr>
        <w:t>McCaffery.</w:t>
      </w:r>
    </w:p>
  </w:footnote>
  <w:footnote w:id="14">
    <w:p w14:paraId="2F962474" w14:textId="7E657DED" w:rsidR="00B01DA4" w:rsidRPr="00190003" w:rsidRDefault="00B01DA4">
      <w:pPr>
        <w:pStyle w:val="FootnoteText"/>
        <w:rPr>
          <w:rFonts w:ascii="Times New Roman" w:hAnsi="Times New Roman" w:cs="Times New Roman"/>
          <w:sz w:val="22"/>
          <w:szCs w:val="22"/>
          <w:lang w:val="en-US"/>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w:t>
      </w:r>
      <w:r w:rsidRPr="00190003">
        <w:rPr>
          <w:rFonts w:ascii="Times New Roman" w:hAnsi="Times New Roman" w:cs="Times New Roman"/>
          <w:sz w:val="22"/>
          <w:szCs w:val="22"/>
          <w:lang w:val="en-US"/>
        </w:rPr>
        <w:t xml:space="preserve">David Hering, </w:t>
      </w:r>
      <w:r w:rsidRPr="00190003">
        <w:rPr>
          <w:rFonts w:ascii="Times New Roman" w:hAnsi="Times New Roman" w:cs="Times New Roman"/>
          <w:i/>
          <w:sz w:val="22"/>
          <w:szCs w:val="22"/>
          <w:lang w:val="en-US"/>
        </w:rPr>
        <w:t>David Foster Wallace: Fiction and Form</w:t>
      </w:r>
      <w:r w:rsidRPr="00190003">
        <w:rPr>
          <w:rFonts w:ascii="Times New Roman" w:hAnsi="Times New Roman" w:cs="Times New Roman"/>
          <w:sz w:val="22"/>
          <w:szCs w:val="22"/>
          <w:lang w:val="en-US"/>
        </w:rPr>
        <w:t xml:space="preserve"> (New York and London: Bloomsbury, 2016), 126.</w:t>
      </w:r>
    </w:p>
  </w:footnote>
  <w:footnote w:id="15">
    <w:p w14:paraId="43D2748D" w14:textId="44B4B5E0" w:rsidR="00B01DA4" w:rsidRPr="00190003" w:rsidRDefault="00B01DA4">
      <w:pPr>
        <w:pStyle w:val="FootnoteText"/>
        <w:rPr>
          <w:rFonts w:ascii="Times New Roman" w:hAnsi="Times New Roman" w:cs="Times New Roman"/>
          <w:sz w:val="22"/>
          <w:szCs w:val="22"/>
          <w:lang w:val="en-US"/>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w:t>
      </w:r>
      <w:r w:rsidRPr="00190003">
        <w:rPr>
          <w:rFonts w:ascii="Times New Roman" w:hAnsi="Times New Roman" w:cs="Times New Roman"/>
          <w:sz w:val="22"/>
          <w:szCs w:val="22"/>
          <w:lang w:val="en-US"/>
        </w:rPr>
        <w:t xml:space="preserve">Luc Herman and Toon Staes, ‘Introduction: Can The Pale King (Please) be a Novel?’ </w:t>
      </w:r>
      <w:r w:rsidRPr="00190003">
        <w:rPr>
          <w:rFonts w:ascii="Times New Roman" w:hAnsi="Times New Roman" w:cs="Times New Roman"/>
          <w:i/>
          <w:sz w:val="22"/>
          <w:szCs w:val="22"/>
          <w:lang w:val="en-US"/>
        </w:rPr>
        <w:t>English</w:t>
      </w:r>
      <w:r w:rsidRPr="00190003">
        <w:rPr>
          <w:rFonts w:ascii="Times New Roman" w:hAnsi="Times New Roman" w:cs="Times New Roman"/>
          <w:sz w:val="22"/>
          <w:szCs w:val="22"/>
          <w:lang w:val="en-US"/>
        </w:rPr>
        <w:t xml:space="preserve"> </w:t>
      </w:r>
      <w:r w:rsidRPr="00190003">
        <w:rPr>
          <w:rFonts w:ascii="Times New Roman" w:hAnsi="Times New Roman" w:cs="Times New Roman"/>
          <w:i/>
          <w:sz w:val="22"/>
          <w:szCs w:val="22"/>
          <w:lang w:val="en-US"/>
        </w:rPr>
        <w:t>Studies</w:t>
      </w:r>
      <w:r w:rsidRPr="00190003">
        <w:rPr>
          <w:rFonts w:ascii="Times New Roman" w:hAnsi="Times New Roman" w:cs="Times New Roman"/>
          <w:sz w:val="22"/>
          <w:szCs w:val="22"/>
          <w:lang w:val="en-US"/>
        </w:rPr>
        <w:t xml:space="preserve"> 95, no. 1 (2014): 1.</w:t>
      </w:r>
    </w:p>
  </w:footnote>
  <w:footnote w:id="16">
    <w:p w14:paraId="4C5846FE" w14:textId="19D72F43" w:rsidR="00B01DA4" w:rsidRPr="00190003" w:rsidRDefault="00B01DA4">
      <w:pPr>
        <w:pStyle w:val="FootnoteText"/>
        <w:rPr>
          <w:rFonts w:ascii="Times New Roman" w:hAnsi="Times New Roman" w:cs="Times New Roman"/>
          <w:sz w:val="22"/>
          <w:szCs w:val="22"/>
          <w:lang w:val="en-US"/>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w:t>
      </w:r>
      <w:r w:rsidRPr="00190003">
        <w:rPr>
          <w:rFonts w:ascii="Times New Roman" w:hAnsi="Times New Roman" w:cs="Times New Roman"/>
          <w:sz w:val="22"/>
          <w:szCs w:val="22"/>
          <w:lang w:val="en-US"/>
        </w:rPr>
        <w:t xml:space="preserve">Andrew Levy, </w:t>
      </w:r>
      <w:r w:rsidRPr="00190003">
        <w:rPr>
          <w:rFonts w:ascii="Times New Roman" w:hAnsi="Times New Roman" w:cs="Times New Roman"/>
          <w:i/>
          <w:sz w:val="22"/>
          <w:szCs w:val="22"/>
          <w:lang w:val="en-US"/>
        </w:rPr>
        <w:t>The Culture and Commerce of the American Short Story</w:t>
      </w:r>
      <w:r w:rsidRPr="00190003">
        <w:rPr>
          <w:rFonts w:ascii="Times New Roman" w:hAnsi="Times New Roman" w:cs="Times New Roman"/>
          <w:sz w:val="22"/>
          <w:szCs w:val="22"/>
          <w:lang w:val="en-US"/>
        </w:rPr>
        <w:t xml:space="preserve"> (Cambridge: Cambridge University Press, 1993), 8-9.</w:t>
      </w:r>
    </w:p>
  </w:footnote>
  <w:footnote w:id="17">
    <w:p w14:paraId="003E37BD" w14:textId="27015AF5" w:rsidR="00B01DA4" w:rsidRPr="00190003" w:rsidRDefault="00B01DA4">
      <w:pPr>
        <w:pStyle w:val="FootnoteText"/>
        <w:rPr>
          <w:rFonts w:ascii="Times New Roman" w:hAnsi="Times New Roman" w:cs="Times New Roman"/>
          <w:sz w:val="22"/>
          <w:szCs w:val="22"/>
          <w:lang w:val="en-US"/>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w:t>
      </w:r>
      <w:r w:rsidRPr="00190003">
        <w:rPr>
          <w:rFonts w:ascii="Times New Roman" w:hAnsi="Times New Roman" w:cs="Times New Roman"/>
          <w:color w:val="000000" w:themeColor="text1"/>
          <w:sz w:val="22"/>
          <w:szCs w:val="22"/>
          <w:lang w:val="en-US"/>
        </w:rPr>
        <w:t xml:space="preserve">Paul March-Russell, </w:t>
      </w:r>
      <w:r w:rsidRPr="00190003">
        <w:rPr>
          <w:rFonts w:ascii="Times New Roman" w:hAnsi="Times New Roman" w:cs="Times New Roman"/>
          <w:i/>
          <w:color w:val="000000" w:themeColor="text1"/>
          <w:sz w:val="22"/>
          <w:szCs w:val="22"/>
          <w:lang w:val="en-US"/>
        </w:rPr>
        <w:t>The Short Story: An Introduction</w:t>
      </w:r>
      <w:r w:rsidRPr="00190003">
        <w:rPr>
          <w:rFonts w:ascii="Times New Roman" w:hAnsi="Times New Roman" w:cs="Times New Roman"/>
          <w:color w:val="000000" w:themeColor="text1"/>
          <w:sz w:val="22"/>
          <w:szCs w:val="22"/>
          <w:lang w:val="en-US"/>
        </w:rPr>
        <w:t xml:space="preserve"> (Edinburgh: Edinburgh University Press, 2009), 87.</w:t>
      </w:r>
    </w:p>
  </w:footnote>
  <w:footnote w:id="18">
    <w:p w14:paraId="0F32C264" w14:textId="697C389A" w:rsidR="00B01DA4" w:rsidRPr="00190003" w:rsidRDefault="00B01DA4">
      <w:pPr>
        <w:pStyle w:val="FootnoteText"/>
        <w:rPr>
          <w:rFonts w:ascii="Times New Roman" w:hAnsi="Times New Roman" w:cs="Times New Roman"/>
          <w:color w:val="000000" w:themeColor="text1"/>
          <w:sz w:val="22"/>
          <w:szCs w:val="22"/>
          <w:lang w:val="en-US"/>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w:t>
      </w:r>
      <w:r w:rsidRPr="00190003">
        <w:rPr>
          <w:rFonts w:ascii="Times New Roman" w:hAnsi="Times New Roman" w:cs="Times New Roman"/>
          <w:sz w:val="22"/>
          <w:szCs w:val="22"/>
          <w:lang w:val="en-US"/>
        </w:rPr>
        <w:t xml:space="preserve">Martin Scofield, </w:t>
      </w:r>
      <w:r w:rsidRPr="00190003">
        <w:rPr>
          <w:rFonts w:ascii="Times New Roman" w:hAnsi="Times New Roman" w:cs="Times New Roman"/>
          <w:i/>
          <w:sz w:val="22"/>
          <w:szCs w:val="22"/>
          <w:lang w:val="en-US"/>
        </w:rPr>
        <w:t xml:space="preserve">The </w:t>
      </w:r>
      <w:r w:rsidRPr="00190003">
        <w:rPr>
          <w:rFonts w:ascii="Times New Roman" w:hAnsi="Times New Roman" w:cs="Times New Roman"/>
          <w:i/>
          <w:color w:val="000000" w:themeColor="text1"/>
          <w:sz w:val="22"/>
          <w:szCs w:val="22"/>
          <w:lang w:val="en-US"/>
        </w:rPr>
        <w:t>Cambridge Introduction to the American Short Story</w:t>
      </w:r>
      <w:r w:rsidRPr="00190003">
        <w:rPr>
          <w:rFonts w:ascii="Times New Roman" w:hAnsi="Times New Roman" w:cs="Times New Roman"/>
          <w:color w:val="000000" w:themeColor="text1"/>
          <w:sz w:val="22"/>
          <w:szCs w:val="22"/>
          <w:lang w:val="en-US"/>
        </w:rPr>
        <w:t xml:space="preserve"> (Cambridge: Cambridge University Press, 2006), 237.</w:t>
      </w:r>
    </w:p>
  </w:footnote>
  <w:footnote w:id="19">
    <w:p w14:paraId="21D201CE" w14:textId="411564B8" w:rsidR="00B01DA4" w:rsidRPr="00190003" w:rsidRDefault="00B01DA4">
      <w:pPr>
        <w:pStyle w:val="FootnoteText"/>
        <w:rPr>
          <w:rFonts w:ascii="Times New Roman" w:hAnsi="Times New Roman" w:cs="Times New Roman"/>
          <w:sz w:val="22"/>
          <w:szCs w:val="22"/>
          <w:lang w:val="en-US"/>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w:t>
      </w:r>
      <w:r w:rsidRPr="00190003">
        <w:rPr>
          <w:rFonts w:ascii="Times New Roman" w:hAnsi="Times New Roman" w:cs="Times New Roman"/>
          <w:color w:val="000000" w:themeColor="text1"/>
          <w:sz w:val="22"/>
          <w:szCs w:val="22"/>
          <w:lang w:val="en-US"/>
        </w:rPr>
        <w:t xml:space="preserve">Paul March-Russell, </w:t>
      </w:r>
      <w:r w:rsidRPr="00190003">
        <w:rPr>
          <w:rFonts w:ascii="Times New Roman" w:hAnsi="Times New Roman" w:cs="Times New Roman"/>
          <w:i/>
          <w:color w:val="000000" w:themeColor="text1"/>
          <w:sz w:val="22"/>
          <w:szCs w:val="22"/>
          <w:lang w:val="en-US"/>
        </w:rPr>
        <w:t>The Short Story: An Introduction</w:t>
      </w:r>
      <w:r w:rsidRPr="00190003">
        <w:rPr>
          <w:rFonts w:ascii="Times New Roman" w:hAnsi="Times New Roman" w:cs="Times New Roman"/>
          <w:color w:val="000000" w:themeColor="text1"/>
          <w:sz w:val="22"/>
          <w:szCs w:val="22"/>
          <w:lang w:val="en-US"/>
        </w:rPr>
        <w:t xml:space="preserve"> (Edinburgh: Edinburgh University Press, 2009), 227.</w:t>
      </w:r>
    </w:p>
  </w:footnote>
  <w:footnote w:id="20">
    <w:p w14:paraId="7764436D" w14:textId="742FA37E" w:rsidR="00B01DA4" w:rsidRDefault="00B01DA4">
      <w:pPr>
        <w:pStyle w:val="FootnoteText"/>
        <w:rPr>
          <w:rFonts w:ascii="Times New Roman" w:hAnsi="Times New Roman" w:cs="Times New Roman"/>
          <w:sz w:val="22"/>
          <w:szCs w:val="22"/>
        </w:rPr>
      </w:pPr>
      <w:r w:rsidRPr="00190003">
        <w:rPr>
          <w:rStyle w:val="FootnoteReference"/>
          <w:rFonts w:ascii="Times New Roman" w:hAnsi="Times New Roman" w:cs="Times New Roman"/>
          <w:sz w:val="22"/>
          <w:szCs w:val="22"/>
        </w:rPr>
        <w:footnoteRef/>
      </w:r>
      <w:r w:rsidRPr="00190003">
        <w:rPr>
          <w:rFonts w:ascii="Times New Roman" w:hAnsi="Times New Roman" w:cs="Times New Roman"/>
          <w:sz w:val="22"/>
          <w:szCs w:val="22"/>
        </w:rPr>
        <w:t xml:space="preserve"> Kasia Boddy, </w:t>
      </w:r>
      <w:r w:rsidRPr="00190003">
        <w:rPr>
          <w:rFonts w:ascii="Times New Roman" w:hAnsi="Times New Roman" w:cs="Times New Roman"/>
          <w:i/>
          <w:sz w:val="22"/>
          <w:szCs w:val="22"/>
        </w:rPr>
        <w:t>The American Short Story Since 1950</w:t>
      </w:r>
      <w:r w:rsidRPr="00190003">
        <w:rPr>
          <w:rFonts w:ascii="Times New Roman" w:hAnsi="Times New Roman" w:cs="Times New Roman"/>
          <w:sz w:val="22"/>
          <w:szCs w:val="22"/>
        </w:rPr>
        <w:t xml:space="preserve"> (Edinburgh, Edinburgh University Press, 2010), 147-9</w:t>
      </w:r>
      <w:r>
        <w:rPr>
          <w:rFonts w:ascii="Times New Roman" w:hAnsi="Times New Roman" w:cs="Times New Roman"/>
          <w:sz w:val="22"/>
          <w:szCs w:val="22"/>
        </w:rPr>
        <w:t>.</w:t>
      </w:r>
    </w:p>
    <w:p w14:paraId="62A008A4" w14:textId="30785CC3" w:rsidR="00B01DA4" w:rsidRDefault="00B01DA4">
      <w:pPr>
        <w:pStyle w:val="FootnoteText"/>
        <w:rPr>
          <w:rFonts w:ascii="Times New Roman" w:hAnsi="Times New Roman" w:cs="Times New Roman"/>
          <w:sz w:val="22"/>
          <w:szCs w:val="22"/>
        </w:rPr>
      </w:pPr>
    </w:p>
    <w:p w14:paraId="148B6EDF" w14:textId="77777777" w:rsidR="00B01DA4" w:rsidRDefault="00B01DA4">
      <w:pPr>
        <w:pStyle w:val="FootnoteText"/>
        <w:rPr>
          <w:rFonts w:ascii="Times New Roman" w:hAnsi="Times New Roman" w:cs="Times New Roman"/>
          <w:sz w:val="22"/>
          <w:szCs w:val="22"/>
        </w:rPr>
      </w:pPr>
    </w:p>
    <w:p w14:paraId="3463FD80" w14:textId="7B00F6A8" w:rsidR="00B01DA4" w:rsidRDefault="00B01DA4">
      <w:pPr>
        <w:pStyle w:val="FootnoteText"/>
        <w:rPr>
          <w:rFonts w:ascii="Times New Roman" w:hAnsi="Times New Roman" w:cs="Times New Roman"/>
          <w:sz w:val="22"/>
          <w:szCs w:val="22"/>
        </w:rPr>
      </w:pPr>
    </w:p>
    <w:p w14:paraId="6F037F18" w14:textId="77777777" w:rsidR="00B01DA4" w:rsidRPr="00190003" w:rsidRDefault="00B01DA4">
      <w:pPr>
        <w:pStyle w:val="FootnoteText"/>
        <w:rPr>
          <w:rFonts w:ascii="Times New Roman" w:hAnsi="Times New Roman" w:cs="Times New Roman"/>
          <w:sz w:val="22"/>
          <w:szCs w:val="22"/>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CB"/>
    <w:rsid w:val="0000025E"/>
    <w:rsid w:val="0001131F"/>
    <w:rsid w:val="000116F3"/>
    <w:rsid w:val="00016AA5"/>
    <w:rsid w:val="0003736F"/>
    <w:rsid w:val="0004104A"/>
    <w:rsid w:val="00047247"/>
    <w:rsid w:val="0005074A"/>
    <w:rsid w:val="000735A8"/>
    <w:rsid w:val="00080B68"/>
    <w:rsid w:val="000C5F33"/>
    <w:rsid w:val="000D77DD"/>
    <w:rsid w:val="000E3B68"/>
    <w:rsid w:val="000E6CE3"/>
    <w:rsid w:val="000E7F9A"/>
    <w:rsid w:val="000F2A64"/>
    <w:rsid w:val="00103E19"/>
    <w:rsid w:val="00135439"/>
    <w:rsid w:val="00154BF4"/>
    <w:rsid w:val="001612F2"/>
    <w:rsid w:val="00187444"/>
    <w:rsid w:val="00190003"/>
    <w:rsid w:val="001E606E"/>
    <w:rsid w:val="001F198F"/>
    <w:rsid w:val="001F245E"/>
    <w:rsid w:val="00201AF8"/>
    <w:rsid w:val="00213150"/>
    <w:rsid w:val="00224335"/>
    <w:rsid w:val="00246E0B"/>
    <w:rsid w:val="002940F6"/>
    <w:rsid w:val="002A2DE1"/>
    <w:rsid w:val="002C6C12"/>
    <w:rsid w:val="003104FA"/>
    <w:rsid w:val="003219CE"/>
    <w:rsid w:val="003329CC"/>
    <w:rsid w:val="003463B7"/>
    <w:rsid w:val="00355D6D"/>
    <w:rsid w:val="00357912"/>
    <w:rsid w:val="003923BB"/>
    <w:rsid w:val="003A54F2"/>
    <w:rsid w:val="003B315E"/>
    <w:rsid w:val="003B3400"/>
    <w:rsid w:val="003C1EFE"/>
    <w:rsid w:val="003D4B18"/>
    <w:rsid w:val="003D75D9"/>
    <w:rsid w:val="004103DC"/>
    <w:rsid w:val="00415BCC"/>
    <w:rsid w:val="00422D1A"/>
    <w:rsid w:val="00434147"/>
    <w:rsid w:val="00434BA6"/>
    <w:rsid w:val="00453B78"/>
    <w:rsid w:val="00472A0A"/>
    <w:rsid w:val="0047416D"/>
    <w:rsid w:val="004956F7"/>
    <w:rsid w:val="004A3D1A"/>
    <w:rsid w:val="004A6C32"/>
    <w:rsid w:val="004B5F75"/>
    <w:rsid w:val="004D005D"/>
    <w:rsid w:val="004F5F89"/>
    <w:rsid w:val="005117E4"/>
    <w:rsid w:val="00536521"/>
    <w:rsid w:val="0059106B"/>
    <w:rsid w:val="005A2188"/>
    <w:rsid w:val="005A5B6E"/>
    <w:rsid w:val="005D0CE5"/>
    <w:rsid w:val="005D7546"/>
    <w:rsid w:val="005E55FF"/>
    <w:rsid w:val="005F29C1"/>
    <w:rsid w:val="00610632"/>
    <w:rsid w:val="00614158"/>
    <w:rsid w:val="00623807"/>
    <w:rsid w:val="00635966"/>
    <w:rsid w:val="00636C80"/>
    <w:rsid w:val="006412CC"/>
    <w:rsid w:val="0066193E"/>
    <w:rsid w:val="00684BBB"/>
    <w:rsid w:val="006A29F7"/>
    <w:rsid w:val="006C65F4"/>
    <w:rsid w:val="006D15C8"/>
    <w:rsid w:val="006E32DB"/>
    <w:rsid w:val="00731199"/>
    <w:rsid w:val="00765435"/>
    <w:rsid w:val="00781393"/>
    <w:rsid w:val="00793272"/>
    <w:rsid w:val="007D6811"/>
    <w:rsid w:val="007E03B9"/>
    <w:rsid w:val="007E359A"/>
    <w:rsid w:val="00803AE1"/>
    <w:rsid w:val="00822359"/>
    <w:rsid w:val="00835590"/>
    <w:rsid w:val="008527F1"/>
    <w:rsid w:val="0086021E"/>
    <w:rsid w:val="00866EC7"/>
    <w:rsid w:val="00875FD8"/>
    <w:rsid w:val="00894FF3"/>
    <w:rsid w:val="008A66CE"/>
    <w:rsid w:val="008C13CC"/>
    <w:rsid w:val="008D41E1"/>
    <w:rsid w:val="008E5AAC"/>
    <w:rsid w:val="008F729F"/>
    <w:rsid w:val="009209AF"/>
    <w:rsid w:val="00920F5B"/>
    <w:rsid w:val="009424D1"/>
    <w:rsid w:val="00963144"/>
    <w:rsid w:val="00986539"/>
    <w:rsid w:val="009C4C66"/>
    <w:rsid w:val="009F345F"/>
    <w:rsid w:val="009F77DB"/>
    <w:rsid w:val="00A15552"/>
    <w:rsid w:val="00A236BA"/>
    <w:rsid w:val="00A3595B"/>
    <w:rsid w:val="00A37E20"/>
    <w:rsid w:val="00A66C0B"/>
    <w:rsid w:val="00A7066D"/>
    <w:rsid w:val="00A81F37"/>
    <w:rsid w:val="00A85C97"/>
    <w:rsid w:val="00AA5BD8"/>
    <w:rsid w:val="00AB312F"/>
    <w:rsid w:val="00AC1668"/>
    <w:rsid w:val="00AD7395"/>
    <w:rsid w:val="00AF0754"/>
    <w:rsid w:val="00B01DA4"/>
    <w:rsid w:val="00B11CA8"/>
    <w:rsid w:val="00B13F49"/>
    <w:rsid w:val="00B160B1"/>
    <w:rsid w:val="00B27AA9"/>
    <w:rsid w:val="00B43F1D"/>
    <w:rsid w:val="00B66A48"/>
    <w:rsid w:val="00B7564F"/>
    <w:rsid w:val="00B8041A"/>
    <w:rsid w:val="00B96680"/>
    <w:rsid w:val="00BA11CC"/>
    <w:rsid w:val="00BA3B10"/>
    <w:rsid w:val="00BD19F5"/>
    <w:rsid w:val="00BE0097"/>
    <w:rsid w:val="00BE7F76"/>
    <w:rsid w:val="00C14606"/>
    <w:rsid w:val="00C2296C"/>
    <w:rsid w:val="00C33328"/>
    <w:rsid w:val="00C43B75"/>
    <w:rsid w:val="00C47D56"/>
    <w:rsid w:val="00C579A7"/>
    <w:rsid w:val="00C749C3"/>
    <w:rsid w:val="00C87F3D"/>
    <w:rsid w:val="00CB55B7"/>
    <w:rsid w:val="00CB6146"/>
    <w:rsid w:val="00CB7913"/>
    <w:rsid w:val="00CC4295"/>
    <w:rsid w:val="00CE46F7"/>
    <w:rsid w:val="00CE7132"/>
    <w:rsid w:val="00D02C2C"/>
    <w:rsid w:val="00D04BC0"/>
    <w:rsid w:val="00D0598F"/>
    <w:rsid w:val="00D25274"/>
    <w:rsid w:val="00D37126"/>
    <w:rsid w:val="00D4127B"/>
    <w:rsid w:val="00D73493"/>
    <w:rsid w:val="00D77369"/>
    <w:rsid w:val="00D83D0E"/>
    <w:rsid w:val="00E517F0"/>
    <w:rsid w:val="00E558EC"/>
    <w:rsid w:val="00E613AA"/>
    <w:rsid w:val="00E74102"/>
    <w:rsid w:val="00E772AF"/>
    <w:rsid w:val="00E86CD1"/>
    <w:rsid w:val="00E90A9F"/>
    <w:rsid w:val="00EA52FB"/>
    <w:rsid w:val="00EC0C02"/>
    <w:rsid w:val="00ED3924"/>
    <w:rsid w:val="00F44C14"/>
    <w:rsid w:val="00F4691E"/>
    <w:rsid w:val="00F557CB"/>
    <w:rsid w:val="00F70CB7"/>
    <w:rsid w:val="00F71127"/>
    <w:rsid w:val="00F714D4"/>
    <w:rsid w:val="00F7352C"/>
    <w:rsid w:val="00F75D7F"/>
    <w:rsid w:val="00F937A9"/>
    <w:rsid w:val="00FD71AE"/>
    <w:rsid w:val="00FE1575"/>
    <w:rsid w:val="00FF4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6B6D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D773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87F3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84BBB"/>
  </w:style>
  <w:style w:type="character" w:customStyle="1" w:styleId="FootnoteTextChar">
    <w:name w:val="Footnote Text Char"/>
    <w:basedOn w:val="DefaultParagraphFont"/>
    <w:link w:val="FootnoteText"/>
    <w:uiPriority w:val="99"/>
    <w:rsid w:val="00684BBB"/>
    <w:rPr>
      <w:lang w:val="en-GB"/>
    </w:rPr>
  </w:style>
  <w:style w:type="character" w:styleId="FootnoteReference">
    <w:name w:val="footnote reference"/>
    <w:basedOn w:val="DefaultParagraphFont"/>
    <w:uiPriority w:val="99"/>
    <w:unhideWhenUsed/>
    <w:rsid w:val="00684BBB"/>
    <w:rPr>
      <w:vertAlign w:val="superscript"/>
    </w:rPr>
  </w:style>
  <w:style w:type="character" w:customStyle="1" w:styleId="Heading1Char">
    <w:name w:val="Heading 1 Char"/>
    <w:basedOn w:val="DefaultParagraphFont"/>
    <w:link w:val="Heading1"/>
    <w:uiPriority w:val="9"/>
    <w:rsid w:val="00D77369"/>
    <w:rPr>
      <w:rFonts w:asciiTheme="majorHAnsi" w:eastAsiaTheme="majorEastAsia" w:hAnsiTheme="majorHAnsi" w:cstheme="majorBidi"/>
      <w:color w:val="2E74B5" w:themeColor="accent1" w:themeShade="BF"/>
      <w:sz w:val="32"/>
      <w:szCs w:val="32"/>
      <w:lang w:val="en-GB"/>
    </w:rPr>
  </w:style>
  <w:style w:type="paragraph" w:styleId="EndnoteText">
    <w:name w:val="endnote text"/>
    <w:basedOn w:val="Normal"/>
    <w:link w:val="EndnoteTextChar"/>
    <w:uiPriority w:val="99"/>
    <w:semiHidden/>
    <w:unhideWhenUsed/>
    <w:rsid w:val="00B8041A"/>
    <w:rPr>
      <w:sz w:val="20"/>
      <w:szCs w:val="20"/>
    </w:rPr>
  </w:style>
  <w:style w:type="character" w:customStyle="1" w:styleId="EndnoteTextChar">
    <w:name w:val="Endnote Text Char"/>
    <w:basedOn w:val="DefaultParagraphFont"/>
    <w:link w:val="EndnoteText"/>
    <w:uiPriority w:val="99"/>
    <w:semiHidden/>
    <w:rsid w:val="00B8041A"/>
    <w:rPr>
      <w:sz w:val="20"/>
      <w:szCs w:val="20"/>
      <w:lang w:val="en-GB"/>
    </w:rPr>
  </w:style>
  <w:style w:type="character" w:styleId="EndnoteReference">
    <w:name w:val="endnote reference"/>
    <w:basedOn w:val="DefaultParagraphFont"/>
    <w:uiPriority w:val="99"/>
    <w:semiHidden/>
    <w:unhideWhenUsed/>
    <w:rsid w:val="00B8041A"/>
    <w:rPr>
      <w:vertAlign w:val="superscript"/>
    </w:rPr>
  </w:style>
  <w:style w:type="character" w:customStyle="1" w:styleId="singlehighlightclass">
    <w:name w:val="single_highlight_class"/>
    <w:basedOn w:val="DefaultParagraphFont"/>
    <w:rsid w:val="00C87F3D"/>
  </w:style>
  <w:style w:type="character" w:customStyle="1" w:styleId="Heading2Char">
    <w:name w:val="Heading 2 Char"/>
    <w:basedOn w:val="DefaultParagraphFont"/>
    <w:link w:val="Heading2"/>
    <w:uiPriority w:val="9"/>
    <w:semiHidden/>
    <w:rsid w:val="00C87F3D"/>
    <w:rPr>
      <w:rFonts w:asciiTheme="majorHAnsi" w:eastAsiaTheme="majorEastAsia" w:hAnsiTheme="majorHAnsi" w:cstheme="majorBidi"/>
      <w:color w:val="2E74B5" w:themeColor="accent1" w:themeShade="BF"/>
      <w:sz w:val="26"/>
      <w:szCs w:val="26"/>
      <w:lang w:val="en-GB"/>
    </w:rPr>
  </w:style>
  <w:style w:type="character" w:styleId="Hyperlink">
    <w:name w:val="Hyperlink"/>
    <w:basedOn w:val="DefaultParagraphFont"/>
    <w:uiPriority w:val="99"/>
    <w:unhideWhenUsed/>
    <w:rsid w:val="00C579A7"/>
    <w:rPr>
      <w:color w:val="0563C1" w:themeColor="hyperlink"/>
      <w:u w:val="single"/>
    </w:rPr>
  </w:style>
  <w:style w:type="paragraph" w:styleId="DocumentMap">
    <w:name w:val="Document Map"/>
    <w:basedOn w:val="Normal"/>
    <w:link w:val="DocumentMapChar"/>
    <w:uiPriority w:val="99"/>
    <w:semiHidden/>
    <w:unhideWhenUsed/>
    <w:rsid w:val="00B01DA4"/>
    <w:rPr>
      <w:rFonts w:ascii="Times New Roman" w:hAnsi="Times New Roman" w:cs="Times New Roman"/>
    </w:rPr>
  </w:style>
  <w:style w:type="character" w:customStyle="1" w:styleId="DocumentMapChar">
    <w:name w:val="Document Map Char"/>
    <w:basedOn w:val="DefaultParagraphFont"/>
    <w:link w:val="DocumentMap"/>
    <w:uiPriority w:val="99"/>
    <w:semiHidden/>
    <w:rsid w:val="00B01DA4"/>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37784">
      <w:bodyDiv w:val="1"/>
      <w:marLeft w:val="0"/>
      <w:marRight w:val="0"/>
      <w:marTop w:val="0"/>
      <w:marBottom w:val="0"/>
      <w:divBdr>
        <w:top w:val="none" w:sz="0" w:space="0" w:color="auto"/>
        <w:left w:val="none" w:sz="0" w:space="0" w:color="auto"/>
        <w:bottom w:val="none" w:sz="0" w:space="0" w:color="auto"/>
        <w:right w:val="none" w:sz="0" w:space="0" w:color="auto"/>
      </w:divBdr>
    </w:div>
    <w:div w:id="312950362">
      <w:bodyDiv w:val="1"/>
      <w:marLeft w:val="0"/>
      <w:marRight w:val="0"/>
      <w:marTop w:val="0"/>
      <w:marBottom w:val="0"/>
      <w:divBdr>
        <w:top w:val="none" w:sz="0" w:space="0" w:color="auto"/>
        <w:left w:val="none" w:sz="0" w:space="0" w:color="auto"/>
        <w:bottom w:val="none" w:sz="0" w:space="0" w:color="auto"/>
        <w:right w:val="none" w:sz="0" w:space="0" w:color="auto"/>
      </w:divBdr>
      <w:divsChild>
        <w:div w:id="1884633220">
          <w:marLeft w:val="0"/>
          <w:marRight w:val="0"/>
          <w:marTop w:val="0"/>
          <w:marBottom w:val="0"/>
          <w:divBdr>
            <w:top w:val="none" w:sz="0" w:space="0" w:color="auto"/>
            <w:left w:val="none" w:sz="0" w:space="0" w:color="auto"/>
            <w:bottom w:val="none" w:sz="0" w:space="0" w:color="auto"/>
            <w:right w:val="none" w:sz="0" w:space="0" w:color="auto"/>
          </w:divBdr>
        </w:div>
        <w:div w:id="726611885">
          <w:marLeft w:val="0"/>
          <w:marRight w:val="0"/>
          <w:marTop w:val="0"/>
          <w:marBottom w:val="0"/>
          <w:divBdr>
            <w:top w:val="none" w:sz="0" w:space="0" w:color="auto"/>
            <w:left w:val="none" w:sz="0" w:space="0" w:color="auto"/>
            <w:bottom w:val="none" w:sz="0" w:space="0" w:color="auto"/>
            <w:right w:val="none" w:sz="0" w:space="0" w:color="auto"/>
          </w:divBdr>
        </w:div>
      </w:divsChild>
    </w:div>
    <w:div w:id="539971804">
      <w:bodyDiv w:val="1"/>
      <w:marLeft w:val="0"/>
      <w:marRight w:val="0"/>
      <w:marTop w:val="0"/>
      <w:marBottom w:val="0"/>
      <w:divBdr>
        <w:top w:val="none" w:sz="0" w:space="0" w:color="auto"/>
        <w:left w:val="none" w:sz="0" w:space="0" w:color="auto"/>
        <w:bottom w:val="none" w:sz="0" w:space="0" w:color="auto"/>
        <w:right w:val="none" w:sz="0" w:space="0" w:color="auto"/>
      </w:divBdr>
    </w:div>
    <w:div w:id="543373196">
      <w:bodyDiv w:val="1"/>
      <w:marLeft w:val="0"/>
      <w:marRight w:val="0"/>
      <w:marTop w:val="0"/>
      <w:marBottom w:val="0"/>
      <w:divBdr>
        <w:top w:val="none" w:sz="0" w:space="0" w:color="auto"/>
        <w:left w:val="none" w:sz="0" w:space="0" w:color="auto"/>
        <w:bottom w:val="none" w:sz="0" w:space="0" w:color="auto"/>
        <w:right w:val="none" w:sz="0" w:space="0" w:color="auto"/>
      </w:divBdr>
    </w:div>
    <w:div w:id="547106517">
      <w:bodyDiv w:val="1"/>
      <w:marLeft w:val="0"/>
      <w:marRight w:val="0"/>
      <w:marTop w:val="0"/>
      <w:marBottom w:val="0"/>
      <w:divBdr>
        <w:top w:val="none" w:sz="0" w:space="0" w:color="auto"/>
        <w:left w:val="none" w:sz="0" w:space="0" w:color="auto"/>
        <w:bottom w:val="none" w:sz="0" w:space="0" w:color="auto"/>
        <w:right w:val="none" w:sz="0" w:space="0" w:color="auto"/>
      </w:divBdr>
    </w:div>
    <w:div w:id="843858300">
      <w:bodyDiv w:val="1"/>
      <w:marLeft w:val="0"/>
      <w:marRight w:val="0"/>
      <w:marTop w:val="0"/>
      <w:marBottom w:val="0"/>
      <w:divBdr>
        <w:top w:val="none" w:sz="0" w:space="0" w:color="auto"/>
        <w:left w:val="none" w:sz="0" w:space="0" w:color="auto"/>
        <w:bottom w:val="none" w:sz="0" w:space="0" w:color="auto"/>
        <w:right w:val="none" w:sz="0" w:space="0" w:color="auto"/>
      </w:divBdr>
    </w:div>
    <w:div w:id="856963413">
      <w:bodyDiv w:val="1"/>
      <w:marLeft w:val="0"/>
      <w:marRight w:val="0"/>
      <w:marTop w:val="0"/>
      <w:marBottom w:val="0"/>
      <w:divBdr>
        <w:top w:val="none" w:sz="0" w:space="0" w:color="auto"/>
        <w:left w:val="none" w:sz="0" w:space="0" w:color="auto"/>
        <w:bottom w:val="none" w:sz="0" w:space="0" w:color="auto"/>
        <w:right w:val="none" w:sz="0" w:space="0" w:color="auto"/>
      </w:divBdr>
    </w:div>
    <w:div w:id="964970079">
      <w:bodyDiv w:val="1"/>
      <w:marLeft w:val="0"/>
      <w:marRight w:val="0"/>
      <w:marTop w:val="0"/>
      <w:marBottom w:val="0"/>
      <w:divBdr>
        <w:top w:val="none" w:sz="0" w:space="0" w:color="auto"/>
        <w:left w:val="none" w:sz="0" w:space="0" w:color="auto"/>
        <w:bottom w:val="none" w:sz="0" w:space="0" w:color="auto"/>
        <w:right w:val="none" w:sz="0" w:space="0" w:color="auto"/>
      </w:divBdr>
    </w:div>
    <w:div w:id="1183975843">
      <w:bodyDiv w:val="1"/>
      <w:marLeft w:val="0"/>
      <w:marRight w:val="0"/>
      <w:marTop w:val="0"/>
      <w:marBottom w:val="0"/>
      <w:divBdr>
        <w:top w:val="none" w:sz="0" w:space="0" w:color="auto"/>
        <w:left w:val="none" w:sz="0" w:space="0" w:color="auto"/>
        <w:bottom w:val="none" w:sz="0" w:space="0" w:color="auto"/>
        <w:right w:val="none" w:sz="0" w:space="0" w:color="auto"/>
      </w:divBdr>
      <w:divsChild>
        <w:div w:id="142891787">
          <w:marLeft w:val="0"/>
          <w:marRight w:val="0"/>
          <w:marTop w:val="0"/>
          <w:marBottom w:val="0"/>
          <w:divBdr>
            <w:top w:val="none" w:sz="0" w:space="0" w:color="auto"/>
            <w:left w:val="none" w:sz="0" w:space="0" w:color="auto"/>
            <w:bottom w:val="none" w:sz="0" w:space="0" w:color="auto"/>
            <w:right w:val="none" w:sz="0" w:space="0" w:color="auto"/>
          </w:divBdr>
        </w:div>
        <w:div w:id="1169443337">
          <w:marLeft w:val="0"/>
          <w:marRight w:val="0"/>
          <w:marTop w:val="0"/>
          <w:marBottom w:val="0"/>
          <w:divBdr>
            <w:top w:val="none" w:sz="0" w:space="0" w:color="auto"/>
            <w:left w:val="none" w:sz="0" w:space="0" w:color="auto"/>
            <w:bottom w:val="none" w:sz="0" w:space="0" w:color="auto"/>
            <w:right w:val="none" w:sz="0" w:space="0" w:color="auto"/>
          </w:divBdr>
        </w:div>
      </w:divsChild>
    </w:div>
    <w:div w:id="1375689229">
      <w:bodyDiv w:val="1"/>
      <w:marLeft w:val="0"/>
      <w:marRight w:val="0"/>
      <w:marTop w:val="0"/>
      <w:marBottom w:val="0"/>
      <w:divBdr>
        <w:top w:val="none" w:sz="0" w:space="0" w:color="auto"/>
        <w:left w:val="none" w:sz="0" w:space="0" w:color="auto"/>
        <w:bottom w:val="none" w:sz="0" w:space="0" w:color="auto"/>
        <w:right w:val="none" w:sz="0" w:space="0" w:color="auto"/>
      </w:divBdr>
    </w:div>
    <w:div w:id="1501776701">
      <w:bodyDiv w:val="1"/>
      <w:marLeft w:val="0"/>
      <w:marRight w:val="0"/>
      <w:marTop w:val="0"/>
      <w:marBottom w:val="0"/>
      <w:divBdr>
        <w:top w:val="none" w:sz="0" w:space="0" w:color="auto"/>
        <w:left w:val="none" w:sz="0" w:space="0" w:color="auto"/>
        <w:bottom w:val="none" w:sz="0" w:space="0" w:color="auto"/>
        <w:right w:val="none" w:sz="0" w:space="0" w:color="auto"/>
      </w:divBdr>
    </w:div>
    <w:div w:id="1534688493">
      <w:bodyDiv w:val="1"/>
      <w:marLeft w:val="0"/>
      <w:marRight w:val="0"/>
      <w:marTop w:val="0"/>
      <w:marBottom w:val="0"/>
      <w:divBdr>
        <w:top w:val="none" w:sz="0" w:space="0" w:color="auto"/>
        <w:left w:val="none" w:sz="0" w:space="0" w:color="auto"/>
        <w:bottom w:val="none" w:sz="0" w:space="0" w:color="auto"/>
        <w:right w:val="none" w:sz="0" w:space="0" w:color="auto"/>
      </w:divBdr>
    </w:div>
    <w:div w:id="1603106440">
      <w:bodyDiv w:val="1"/>
      <w:marLeft w:val="0"/>
      <w:marRight w:val="0"/>
      <w:marTop w:val="0"/>
      <w:marBottom w:val="0"/>
      <w:divBdr>
        <w:top w:val="none" w:sz="0" w:space="0" w:color="auto"/>
        <w:left w:val="none" w:sz="0" w:space="0" w:color="auto"/>
        <w:bottom w:val="none" w:sz="0" w:space="0" w:color="auto"/>
        <w:right w:val="none" w:sz="0" w:space="0" w:color="auto"/>
      </w:divBdr>
    </w:div>
    <w:div w:id="1719475228">
      <w:bodyDiv w:val="1"/>
      <w:marLeft w:val="0"/>
      <w:marRight w:val="0"/>
      <w:marTop w:val="0"/>
      <w:marBottom w:val="0"/>
      <w:divBdr>
        <w:top w:val="none" w:sz="0" w:space="0" w:color="auto"/>
        <w:left w:val="none" w:sz="0" w:space="0" w:color="auto"/>
        <w:bottom w:val="none" w:sz="0" w:space="0" w:color="auto"/>
        <w:right w:val="none" w:sz="0" w:space="0" w:color="auto"/>
      </w:divBdr>
    </w:div>
    <w:div w:id="1825270197">
      <w:bodyDiv w:val="1"/>
      <w:marLeft w:val="0"/>
      <w:marRight w:val="0"/>
      <w:marTop w:val="0"/>
      <w:marBottom w:val="0"/>
      <w:divBdr>
        <w:top w:val="none" w:sz="0" w:space="0" w:color="auto"/>
        <w:left w:val="none" w:sz="0" w:space="0" w:color="auto"/>
        <w:bottom w:val="none" w:sz="0" w:space="0" w:color="auto"/>
        <w:right w:val="none" w:sz="0" w:space="0" w:color="auto"/>
      </w:divBdr>
    </w:div>
    <w:div w:id="185291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uardian.com/books/booksblog/2015/may/25/a-brief-survey-of-the-short-story-david-foster-walla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098D76-949C-6C4A-8AA8-F701FC68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benneta1</dc:creator>
  <cp:keywords/>
  <dc:description/>
  <cp:lastModifiedBy>Andrew</cp:lastModifiedBy>
  <cp:revision>2</cp:revision>
  <dcterms:created xsi:type="dcterms:W3CDTF">2020-08-24T08:13:00Z</dcterms:created>
  <dcterms:modified xsi:type="dcterms:W3CDTF">2020-08-24T08:13:00Z</dcterms:modified>
</cp:coreProperties>
</file>