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ADDEE" w14:textId="67AA69B3" w:rsidR="00D07161" w:rsidRPr="00D07161" w:rsidRDefault="00D07161" w:rsidP="00D07161">
      <w:pPr>
        <w:pStyle w:val="Heading1"/>
        <w:numPr>
          <w:ilvl w:val="0"/>
          <w:numId w:val="0"/>
        </w:numPr>
        <w:spacing w:before="200" w:after="240" w:line="480" w:lineRule="auto"/>
        <w:rPr>
          <w:rFonts w:ascii="Times New Roman" w:hAnsi="Times New Roman" w:cs="Times New Roman"/>
          <w:bCs/>
          <w:color w:val="auto"/>
          <w:sz w:val="24"/>
          <w:szCs w:val="24"/>
        </w:rPr>
      </w:pPr>
      <w:bookmarkStart w:id="0" w:name="_Toc534754430"/>
      <w:r w:rsidRPr="00D07161">
        <w:rPr>
          <w:rFonts w:ascii="Times New Roman" w:hAnsi="Times New Roman" w:cs="Times New Roman"/>
          <w:bCs/>
          <w:color w:val="auto"/>
          <w:sz w:val="24"/>
          <w:szCs w:val="24"/>
        </w:rPr>
        <w:t>The Differential Effect of Anxiety and ADHD Symptoms on Inhibitory Control and Sustained Attention for Threat Stimuli: A Go/No-Go Eye-Movement Study</w:t>
      </w:r>
    </w:p>
    <w:p w14:paraId="1840D219" w14:textId="77777777" w:rsidR="00D07161" w:rsidRPr="00D07161" w:rsidRDefault="00D07161" w:rsidP="00D07161">
      <w:pPr>
        <w:spacing w:line="480" w:lineRule="auto"/>
        <w:rPr>
          <w:sz w:val="24"/>
          <w:szCs w:val="24"/>
        </w:rPr>
      </w:pPr>
    </w:p>
    <w:p w14:paraId="09C8CC5F" w14:textId="77777777" w:rsidR="00D07161" w:rsidRPr="00D07161" w:rsidRDefault="00D07161" w:rsidP="00D07161">
      <w:pPr>
        <w:spacing w:line="480" w:lineRule="auto"/>
        <w:jc w:val="center"/>
        <w:rPr>
          <w:sz w:val="24"/>
          <w:szCs w:val="24"/>
          <w:lang w:eastAsia="en-US"/>
        </w:rPr>
      </w:pPr>
      <w:r w:rsidRPr="00D07161">
        <w:rPr>
          <w:sz w:val="24"/>
          <w:szCs w:val="24"/>
          <w:lang w:eastAsia="en-US"/>
        </w:rPr>
        <w:t>A. Manoli</w:t>
      </w:r>
      <w:r w:rsidRPr="00D07161">
        <w:rPr>
          <w:sz w:val="24"/>
          <w:szCs w:val="24"/>
          <w:vertAlign w:val="superscript"/>
          <w:lang w:eastAsia="en-US"/>
        </w:rPr>
        <w:t>1</w:t>
      </w:r>
      <w:r w:rsidRPr="00D07161">
        <w:rPr>
          <w:sz w:val="24"/>
          <w:szCs w:val="24"/>
          <w:lang w:eastAsia="en-US"/>
        </w:rPr>
        <w:t>, S.P. Liversedge</w:t>
      </w:r>
      <w:r w:rsidRPr="00D07161">
        <w:rPr>
          <w:sz w:val="24"/>
          <w:szCs w:val="24"/>
          <w:vertAlign w:val="superscript"/>
          <w:lang w:eastAsia="en-US"/>
        </w:rPr>
        <w:t>2</w:t>
      </w:r>
      <w:r w:rsidRPr="00D07161">
        <w:rPr>
          <w:sz w:val="24"/>
          <w:szCs w:val="24"/>
          <w:lang w:eastAsia="en-US"/>
        </w:rPr>
        <w:t>, E. Sonuga-Barke³ and J.A. Hadwin</w:t>
      </w:r>
      <w:r w:rsidRPr="00D07161">
        <w:rPr>
          <w:sz w:val="24"/>
          <w:szCs w:val="24"/>
          <w:vertAlign w:val="superscript"/>
          <w:lang w:eastAsia="en-US"/>
        </w:rPr>
        <w:t>4</w:t>
      </w:r>
    </w:p>
    <w:p w14:paraId="77551055" w14:textId="77777777" w:rsidR="00D07161" w:rsidRPr="00D07161" w:rsidRDefault="00D07161" w:rsidP="00D0716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beforeAutospacing="1" w:after="100" w:afterAutospacing="1" w:line="480" w:lineRule="auto"/>
        <w:ind w:right="-232"/>
        <w:contextualSpacing/>
        <w:rPr>
          <w:sz w:val="24"/>
          <w:szCs w:val="24"/>
          <w:lang w:eastAsia="en-US"/>
        </w:rPr>
      </w:pPr>
    </w:p>
    <w:p w14:paraId="15607316" w14:textId="77777777" w:rsidR="00D07161" w:rsidRPr="00D07161" w:rsidRDefault="00D07161" w:rsidP="00D07161">
      <w:pPr>
        <w:rPr>
          <w:sz w:val="24"/>
          <w:szCs w:val="24"/>
        </w:rPr>
      </w:pPr>
      <w:r w:rsidRPr="00D07161">
        <w:rPr>
          <w:sz w:val="24"/>
          <w:szCs w:val="24"/>
          <w:vertAlign w:val="superscript"/>
          <w:lang w:val="en-US" w:eastAsia="en-US"/>
        </w:rPr>
        <w:t>1</w:t>
      </w:r>
      <w:r w:rsidRPr="00D07161">
        <w:rPr>
          <w:sz w:val="24"/>
          <w:szCs w:val="24"/>
        </w:rPr>
        <w:t xml:space="preserve">Centre for Psychiatry, Wolfson Institute of Preventive Medicine, </w:t>
      </w:r>
      <w:proofErr w:type="spellStart"/>
      <w:r w:rsidRPr="00D07161">
        <w:rPr>
          <w:sz w:val="24"/>
          <w:szCs w:val="24"/>
        </w:rPr>
        <w:t>Barts</w:t>
      </w:r>
      <w:proofErr w:type="spellEnd"/>
      <w:r w:rsidRPr="00D07161">
        <w:rPr>
          <w:sz w:val="24"/>
          <w:szCs w:val="24"/>
        </w:rPr>
        <w:t xml:space="preserve"> and the London School of Medicine and Dentistry, Queen Mary University of London, London, EC1M 6BQ.</w:t>
      </w:r>
    </w:p>
    <w:p w14:paraId="302BBD2E" w14:textId="77777777" w:rsidR="00D07161" w:rsidRPr="00D07161" w:rsidRDefault="00D07161" w:rsidP="00D07161">
      <w:pPr>
        <w:widowControl w:val="0"/>
        <w:autoSpaceDE w:val="0"/>
        <w:autoSpaceDN w:val="0"/>
        <w:adjustRightInd w:val="0"/>
        <w:spacing w:line="480" w:lineRule="auto"/>
        <w:rPr>
          <w:sz w:val="24"/>
          <w:szCs w:val="24"/>
        </w:rPr>
      </w:pPr>
      <w:r w:rsidRPr="00D07161">
        <w:rPr>
          <w:sz w:val="24"/>
          <w:szCs w:val="24"/>
          <w:vertAlign w:val="superscript"/>
          <w:lang w:val="en-US" w:eastAsia="en-US"/>
        </w:rPr>
        <w:t>2</w:t>
      </w:r>
      <w:r w:rsidRPr="00D07161">
        <w:rPr>
          <w:sz w:val="24"/>
          <w:szCs w:val="24"/>
          <w:lang w:val="en-US"/>
        </w:rPr>
        <w:t xml:space="preserve">School of Psychology, University of Central Lancashire, </w:t>
      </w:r>
      <w:r w:rsidRPr="00D07161">
        <w:rPr>
          <w:sz w:val="24"/>
          <w:szCs w:val="24"/>
        </w:rPr>
        <w:t>Preston, PR1 2HE.</w:t>
      </w:r>
    </w:p>
    <w:p w14:paraId="19054B4E" w14:textId="77777777" w:rsidR="00D07161" w:rsidRPr="00D07161" w:rsidRDefault="00D07161" w:rsidP="00D07161">
      <w:pPr>
        <w:spacing w:after="160" w:line="480" w:lineRule="auto"/>
        <w:rPr>
          <w:bCs/>
          <w:sz w:val="24"/>
          <w:szCs w:val="24"/>
          <w:lang w:val="en-US"/>
        </w:rPr>
      </w:pPr>
      <w:r w:rsidRPr="00D07161">
        <w:rPr>
          <w:sz w:val="24"/>
          <w:szCs w:val="24"/>
          <w:shd w:val="clear" w:color="auto" w:fill="FFFFFF"/>
          <w:vertAlign w:val="superscript"/>
        </w:rPr>
        <w:t>3</w:t>
      </w:r>
      <w:r w:rsidRPr="00D07161">
        <w:rPr>
          <w:sz w:val="24"/>
          <w:szCs w:val="24"/>
          <w:shd w:val="clear" w:color="auto" w:fill="FFFFFF"/>
        </w:rPr>
        <w:t>Department of Child and Adolescent Psychiatry, Institute of Psychiatry, Psychology and Neuroscience, King's College London, London</w:t>
      </w:r>
      <w:r w:rsidRPr="00D07161">
        <w:rPr>
          <w:bCs/>
          <w:sz w:val="24"/>
          <w:szCs w:val="24"/>
          <w:lang w:val="en-US"/>
        </w:rPr>
        <w:t xml:space="preserve">, </w:t>
      </w:r>
      <w:r w:rsidRPr="00D07161">
        <w:rPr>
          <w:sz w:val="24"/>
          <w:szCs w:val="24"/>
          <w:shd w:val="clear" w:color="auto" w:fill="FFFFFF"/>
        </w:rPr>
        <w:t>WC2R 2LS</w:t>
      </w:r>
      <w:r w:rsidRPr="00D07161">
        <w:rPr>
          <w:bCs/>
          <w:sz w:val="24"/>
          <w:szCs w:val="24"/>
          <w:lang w:val="en-US"/>
        </w:rPr>
        <w:t>.</w:t>
      </w:r>
    </w:p>
    <w:p w14:paraId="7B26AEA6" w14:textId="77777777" w:rsidR="00D07161" w:rsidRPr="00D07161" w:rsidRDefault="00D07161" w:rsidP="00D07161">
      <w:pPr>
        <w:spacing w:after="160" w:line="480" w:lineRule="auto"/>
      </w:pPr>
      <w:r w:rsidRPr="00D07161">
        <w:rPr>
          <w:sz w:val="24"/>
          <w:szCs w:val="24"/>
          <w:vertAlign w:val="superscript"/>
        </w:rPr>
        <w:t>4</w:t>
      </w:r>
      <w:r w:rsidRPr="00D07161">
        <w:rPr>
          <w:sz w:val="24"/>
          <w:szCs w:val="24"/>
        </w:rPr>
        <w:t>Centre for Innovation in Mental Health – Developmental Laboratory, School of Psychology, University of Southampton, Southampton, SO17 1BJ.</w:t>
      </w:r>
    </w:p>
    <w:p w14:paraId="3F12948C" w14:textId="77777777" w:rsidR="00D07161" w:rsidRDefault="00D07161">
      <w:pPr>
        <w:spacing w:before="0" w:after="160" w:line="259" w:lineRule="auto"/>
        <w:rPr>
          <w:b/>
          <w:sz w:val="24"/>
          <w:szCs w:val="24"/>
          <w:lang w:val="en-US" w:eastAsia="en-GB"/>
        </w:rPr>
      </w:pPr>
    </w:p>
    <w:p w14:paraId="35D0673F" w14:textId="45D2B265" w:rsidR="00D07161" w:rsidRDefault="00D07161" w:rsidP="00D07161">
      <w:pPr>
        <w:spacing w:line="480" w:lineRule="auto"/>
        <w:jc w:val="center"/>
        <w:rPr>
          <w:b/>
          <w:sz w:val="24"/>
          <w:szCs w:val="24"/>
          <w:lang w:val="en-US" w:eastAsia="en-GB"/>
        </w:rPr>
      </w:pPr>
      <w:bookmarkStart w:id="1" w:name="_GoBack"/>
      <w:bookmarkEnd w:id="1"/>
      <w:r>
        <w:rPr>
          <w:b/>
          <w:sz w:val="24"/>
          <w:szCs w:val="24"/>
          <w:lang w:val="en-US" w:eastAsia="en-GB"/>
        </w:rPr>
        <w:t>Abstract</w:t>
      </w:r>
    </w:p>
    <w:p w14:paraId="1715A0D3" w14:textId="77777777" w:rsidR="00D07161" w:rsidRDefault="00D07161" w:rsidP="00D07161">
      <w:pPr>
        <w:spacing w:line="480" w:lineRule="auto"/>
        <w:jc w:val="both"/>
        <w:rPr>
          <w:sz w:val="24"/>
          <w:szCs w:val="24"/>
        </w:rPr>
      </w:pPr>
      <w:r>
        <w:rPr>
          <w:b/>
          <w:sz w:val="24"/>
          <w:szCs w:val="24"/>
          <w:lang w:val="en-US" w:eastAsia="en-GB"/>
        </w:rPr>
        <w:t xml:space="preserve">Objective: </w:t>
      </w:r>
      <w:r>
        <w:rPr>
          <w:sz w:val="24"/>
          <w:szCs w:val="24"/>
          <w:lang w:val="en-US" w:eastAsia="en-GB"/>
        </w:rPr>
        <w:t xml:space="preserve">This study examined the synergistic effects of ADHD and anxiety symptoms on attention and inhibitory control depending on the emotional content of the stimuli. </w:t>
      </w:r>
      <w:r>
        <w:rPr>
          <w:b/>
          <w:sz w:val="24"/>
          <w:szCs w:val="24"/>
          <w:lang w:val="en-US" w:eastAsia="en-GB"/>
        </w:rPr>
        <w:t xml:space="preserve">Method: </w:t>
      </w:r>
      <w:r>
        <w:rPr>
          <w:sz w:val="24"/>
          <w:szCs w:val="24"/>
          <w:lang w:val="en-US" w:eastAsia="en-GB"/>
        </w:rPr>
        <w:t>Fifty-four typically developing individuals (27 children/adolescents and 27 adults) completed an eye-movement based emotional Go/No-Go task, using centrally presented (happy, angry) faces and neutral/symbolic stimuli. Sustained attention was measured through saccade latencies and saccadic omission errors (Go trials), and inhibitory control through saccadic commission errors (No-Go trials). ADHD and anxiety were assessed dimensionally.</w:t>
      </w:r>
      <w:r>
        <w:rPr>
          <w:b/>
          <w:sz w:val="24"/>
          <w:szCs w:val="24"/>
          <w:lang w:val="en-US" w:eastAsia="en-GB"/>
        </w:rPr>
        <w:t xml:space="preserve"> Results: </w:t>
      </w:r>
      <w:r>
        <w:rPr>
          <w:sz w:val="24"/>
          <w:szCs w:val="24"/>
          <w:lang w:val="en-US" w:eastAsia="en-GB"/>
        </w:rPr>
        <w:t xml:space="preserve">Elevated ADHD symptoms were associated with more commission errors and slower saccade latencies for angry (vs happy) faces. In contrast, angry faces were linked to faster saccade </w:t>
      </w:r>
      <w:r>
        <w:rPr>
          <w:sz w:val="24"/>
          <w:szCs w:val="24"/>
          <w:lang w:val="en-US" w:eastAsia="en-GB"/>
        </w:rPr>
        <w:lastRenderedPageBreak/>
        <w:t xml:space="preserve">onsets when anxiety symptoms were high, and this effect prevailed when both anxiety and ADHD symptoms were high. </w:t>
      </w:r>
      <w:r>
        <w:rPr>
          <w:b/>
          <w:sz w:val="24"/>
          <w:szCs w:val="24"/>
          <w:lang w:val="en-US" w:eastAsia="en-GB"/>
        </w:rPr>
        <w:t xml:space="preserve">Conclusion: </w:t>
      </w:r>
      <w:r>
        <w:rPr>
          <w:sz w:val="24"/>
          <w:szCs w:val="24"/>
          <w:lang w:val="en-US" w:eastAsia="en-GB"/>
        </w:rPr>
        <w:t>Social threat impacted performance in individuals with sub-clinical anxiety and ADHD differently. The effects of anxiety on threat processing prevailed when both symptoms were high.</w:t>
      </w:r>
    </w:p>
    <w:p w14:paraId="58A51846" w14:textId="77777777" w:rsidR="00D07161" w:rsidRDefault="00D07161">
      <w:pPr>
        <w:spacing w:before="0" w:after="160" w:line="259" w:lineRule="auto"/>
        <w:rPr>
          <w:b/>
          <w:kern w:val="32"/>
          <w:sz w:val="24"/>
          <w:szCs w:val="24"/>
          <w:lang w:eastAsia="en-GB"/>
        </w:rPr>
      </w:pPr>
    </w:p>
    <w:p w14:paraId="4D1C114A" w14:textId="5AA07493" w:rsidR="00956F88" w:rsidRPr="00A7361F" w:rsidRDefault="00956F88" w:rsidP="008E3C7C">
      <w:pPr>
        <w:pStyle w:val="Heading2"/>
        <w:rPr>
          <w:lang w:val="en-US"/>
        </w:rPr>
      </w:pPr>
      <w:r w:rsidRPr="00A7361F">
        <w:t>Introduction</w:t>
      </w:r>
      <w:bookmarkEnd w:id="0"/>
    </w:p>
    <w:p w14:paraId="48D03314" w14:textId="36FD1DC6" w:rsidR="006A29D2" w:rsidRPr="00C070BF" w:rsidRDefault="00EB2C24" w:rsidP="003A5CCE">
      <w:pPr>
        <w:spacing w:line="480" w:lineRule="auto"/>
        <w:ind w:firstLine="576"/>
        <w:rPr>
          <w:sz w:val="24"/>
          <w:szCs w:val="24"/>
        </w:rPr>
      </w:pPr>
      <w:r>
        <w:rPr>
          <w:sz w:val="24"/>
          <w:szCs w:val="24"/>
        </w:rPr>
        <w:t>Attention-</w:t>
      </w:r>
      <w:r w:rsidR="006A29D2" w:rsidRPr="00A75594">
        <w:rPr>
          <w:sz w:val="24"/>
          <w:szCs w:val="24"/>
        </w:rPr>
        <w:t xml:space="preserve">Deficit/Hyperactivity Disorder (ADHD) is a neurodevelopmental disorder affecting around 5% of children and 2.5 % of adults </w:t>
      </w:r>
      <w:r w:rsidR="006A29D2" w:rsidRPr="00A75594">
        <w:rPr>
          <w:sz w:val="24"/>
          <w:szCs w:val="24"/>
        </w:rPr>
        <w:fldChar w:fldCharType="begin" w:fldLock="1"/>
      </w:r>
      <w:r w:rsidR="002A0354">
        <w:rPr>
          <w:sz w:val="24"/>
          <w:szCs w:val="24"/>
        </w:rPr>
        <w:instrText>ADDIN CSL_CITATION {"citationItems":[{"id":"ITEM-1","itemData":{"abstract":"American Psychiatric Association. (2013). Diagnostic and statistical manual of mental disorders (5th ed.). Arlington, VA: American Psychiatric Publishing.","author":[{"dropping-particle":"","family":"American Psychiatric Association","given":"","non-dropping-particle":"","parse-names":false,"suffix":""}],"container-title":"American Journal of Psychiatry","id":"ITEM-1","issued":{"date-parts":[["2013"]]},"title":"Diagnostic and statistical manual of mental disorders (5th ed.)","type":"book"},"uris":["http://www.mendeley.com/documents/?uuid=27a6e626-adc4-410c-9f76-e2ad1c6afc09"]}],"mendeley":{"formattedCitation":"(American Psychiatric Association, 2013)","manualFormatting":"(American Psychiatric Association; APA, 2013)","plainTextFormattedCitation":"(American Psychiatric Association, 2013)","previouslyFormattedCitation":"(American Psychiatric Association, 2013)"},"properties":{"noteIndex":0},"schema":"https://github.com/citation-style-language/schema/raw/master/csl-citation.json"}</w:instrText>
      </w:r>
      <w:r w:rsidR="006A29D2" w:rsidRPr="00A75594">
        <w:rPr>
          <w:sz w:val="24"/>
          <w:szCs w:val="24"/>
        </w:rPr>
        <w:fldChar w:fldCharType="separate"/>
      </w:r>
      <w:r w:rsidR="006A29D2" w:rsidRPr="00A75594">
        <w:rPr>
          <w:noProof/>
          <w:sz w:val="24"/>
          <w:szCs w:val="24"/>
        </w:rPr>
        <w:t>(American Psychiatric Association; APA, 2013)</w:t>
      </w:r>
      <w:r w:rsidR="006A29D2" w:rsidRPr="00A75594">
        <w:rPr>
          <w:sz w:val="24"/>
          <w:szCs w:val="24"/>
        </w:rPr>
        <w:fldChar w:fldCharType="end"/>
      </w:r>
      <w:r w:rsidR="006A29D2" w:rsidRPr="00A75594">
        <w:rPr>
          <w:sz w:val="24"/>
          <w:szCs w:val="24"/>
        </w:rPr>
        <w:t xml:space="preserve">.  </w:t>
      </w:r>
      <w:r w:rsidR="00B02F78">
        <w:rPr>
          <w:sz w:val="24"/>
          <w:szCs w:val="24"/>
        </w:rPr>
        <w:t xml:space="preserve">It is </w:t>
      </w:r>
      <w:r w:rsidR="005D2862">
        <w:rPr>
          <w:sz w:val="24"/>
          <w:szCs w:val="24"/>
        </w:rPr>
        <w:t xml:space="preserve">commonly </w:t>
      </w:r>
      <w:r w:rsidR="00B02F78">
        <w:rPr>
          <w:sz w:val="24"/>
          <w:szCs w:val="24"/>
        </w:rPr>
        <w:t>regarded as a disorder of self-</w:t>
      </w:r>
      <w:r w:rsidR="005D2862">
        <w:rPr>
          <w:sz w:val="24"/>
          <w:szCs w:val="24"/>
        </w:rPr>
        <w:t>control</w:t>
      </w:r>
      <w:r w:rsidR="00B02F78">
        <w:rPr>
          <w:sz w:val="24"/>
          <w:szCs w:val="24"/>
        </w:rPr>
        <w:t xml:space="preserve"> with theories </w:t>
      </w:r>
      <w:r w:rsidR="006A29D2" w:rsidRPr="00A75594">
        <w:rPr>
          <w:sz w:val="24"/>
          <w:szCs w:val="24"/>
        </w:rPr>
        <w:t>emphasis</w:t>
      </w:r>
      <w:r w:rsidR="00B02F78">
        <w:rPr>
          <w:sz w:val="24"/>
          <w:szCs w:val="24"/>
        </w:rPr>
        <w:t>ing</w:t>
      </w:r>
      <w:r w:rsidR="006A29D2" w:rsidRPr="00A75594">
        <w:rPr>
          <w:sz w:val="24"/>
          <w:szCs w:val="24"/>
        </w:rPr>
        <w:t xml:space="preserve"> a causal role for executive dysfunction </w:t>
      </w:r>
      <w:r w:rsidR="00B02F78">
        <w:rPr>
          <w:sz w:val="24"/>
          <w:szCs w:val="24"/>
        </w:rPr>
        <w:t>in its</w:t>
      </w:r>
      <w:r w:rsidR="006A29D2" w:rsidRPr="00A75594">
        <w:rPr>
          <w:sz w:val="24"/>
          <w:szCs w:val="24"/>
        </w:rPr>
        <w:t xml:space="preserve"> pathophysiology </w:t>
      </w:r>
      <w:r w:rsidR="005D2862">
        <w:rPr>
          <w:sz w:val="24"/>
          <w:szCs w:val="24"/>
        </w:rPr>
        <w:t xml:space="preserve">- </w:t>
      </w:r>
      <w:r w:rsidR="00B02F78">
        <w:rPr>
          <w:sz w:val="24"/>
          <w:szCs w:val="24"/>
        </w:rPr>
        <w:t>limit</w:t>
      </w:r>
      <w:r w:rsidR="005D2862">
        <w:rPr>
          <w:sz w:val="24"/>
          <w:szCs w:val="24"/>
        </w:rPr>
        <w:t>ing an individual</w:t>
      </w:r>
      <w:r w:rsidR="00543CAD">
        <w:rPr>
          <w:sz w:val="24"/>
          <w:szCs w:val="24"/>
        </w:rPr>
        <w:t>’</w:t>
      </w:r>
      <w:r w:rsidR="005D2862">
        <w:rPr>
          <w:sz w:val="24"/>
          <w:szCs w:val="24"/>
        </w:rPr>
        <w:t>s abilit</w:t>
      </w:r>
      <w:r w:rsidR="001C2D2E">
        <w:rPr>
          <w:sz w:val="24"/>
          <w:szCs w:val="24"/>
        </w:rPr>
        <w:t>y</w:t>
      </w:r>
      <w:r w:rsidR="005D2862">
        <w:rPr>
          <w:sz w:val="24"/>
          <w:szCs w:val="24"/>
        </w:rPr>
        <w:t xml:space="preserve"> to function across a range of tasks and settings requiring the regulation of </w:t>
      </w:r>
      <w:r w:rsidR="007F1616">
        <w:rPr>
          <w:sz w:val="24"/>
          <w:szCs w:val="24"/>
        </w:rPr>
        <w:t xml:space="preserve">attention, </w:t>
      </w:r>
      <w:r w:rsidR="005D2862">
        <w:rPr>
          <w:sz w:val="24"/>
          <w:szCs w:val="24"/>
        </w:rPr>
        <w:t>behaviour</w:t>
      </w:r>
      <w:r w:rsidR="007F1616">
        <w:rPr>
          <w:sz w:val="24"/>
          <w:szCs w:val="24"/>
        </w:rPr>
        <w:t xml:space="preserve"> </w:t>
      </w:r>
      <w:r w:rsidR="005D2862">
        <w:rPr>
          <w:sz w:val="24"/>
          <w:szCs w:val="24"/>
        </w:rPr>
        <w:t xml:space="preserve">and/or emotion </w:t>
      </w:r>
      <w:r w:rsidR="00543CAD" w:rsidRPr="00A75594">
        <w:rPr>
          <w:sz w:val="24"/>
          <w:szCs w:val="24"/>
        </w:rPr>
        <w:fldChar w:fldCharType="begin" w:fldLock="1"/>
      </w:r>
      <w:r w:rsidR="00437935">
        <w:rPr>
          <w:sz w:val="24"/>
          <w:szCs w:val="24"/>
        </w:rPr>
        <w:instrText>ADDIN CSL_CITATION {"citationItems":[{"id":"ITEM-1","itemData":{"ISSN":"0033-2909","PMID":"9000892","abstract":"Attention deficit hyperactivity disorder (ADHD) comprises a deficit in behavioral inhibition. A theoretical model is constructed that links inhibition to 4 executive neuropsychological functions that appear to depend on it for their effective execution: (a) working memory, (b) self-regulation of affect-motivation-arousal, (c) internalization of speech, and (d) reconstitution (behavioral analysis and synthesis). Extended to ADHD, the model predicts that ADHD should be associated with secondary impairments in these 4 executive abilities and the motor control they afford. The author reviews evidence for each of these domains of functioning and finds it to be strongest for deficits in behavioral inhibition, working memory, regulation of motivation, and motor control in those with ADHD. Although the model is promising as a potential theory of self-control and ADHD, far more research is required to evaluate its merits and the many predictions it makes about ADHD.","author":[{"dropping-particle":"","family":"Barkley","given":"R A","non-dropping-particle":"","parse-names":false,"suffix":""}],"container-title":"Psychological bulletin","id":"ITEM-1","issue":"1","issued":{"date-parts":[["1997","1"]]},"page":"65-94","title":"Behavioral inhibition, sustained attention, and executive functions: constructing a unifying theory of ADHD.","type":"article-journal","volume":"121"},"uris":["http://www.mendeley.com/documents/?uuid=a493adcc-7e96-4bb9-a08b-ca5c9a544539"]},{"id":"ITEM-2","itemData":{"DOI":"10.1016/j.cpr.2016.04.011","ISSN":"02727358","PMID":"27180913","abstract":"While executive functioning deficits have been central to cognitive theories of Attention-Deficit Hyperactivity Disorder (ADHD), recent work has suggested that emotion dysregulation may also play a key role in understanding the impairments suffered by youth with ADHD. However, given the multiple processes involved in emotion dysregulation, the extent to which youth with ADHD are impaired across multiple domains of emotion dysregulation including: emotion recognition/understanding (ERU), emotion reactivity/negativity/lability (ERNL), emotion regulation (EREG), and empathy/callous-unemotional traits (ECUT) remains unclear. A meta-analysis of 77 studies (n=32,044 youths) revealed that youth with ADHD have the greatest impairment on ERNL (weighted ES d=.95) followed by EREG (weighted ES d=.80). Significantly smaller effects were observed for ECUT (weighted ES d=.68) and ERU (weighted ES d=.64). Moderation analyses indicated that the association between ADHD and ERNL was stronger among studies that had a sample containing older youth (no other demographic factors were significant). Additionally, the association between ADHD and ECUT was significantly weaker among studies that controlled for co-occurring conduct problems. Co-occurring conduct problems did not moderate the link between ADHD and any other emotion dysregulation domain. Lastly, the association between ADHD and ERNL was significantly weaker when controlling for youth's cognitive functioning. Cognitive functioning did not moderate the link between ADHD and ERU, EREG, or ECUT, respectively. Theoretical/practical implications for the study of emotional dysregulation in youth with ADHD are discussed.","author":[{"dropping-particle":"","family":"Graziano","given":"Paulo A.","non-dropping-particle":"","parse-names":false,"suffix":""},{"dropping-particle":"","family":"Garcia","given":"Alexis","non-dropping-particle":"","parse-names":false,"suffix":""}],"container-title":"Clinical Psychology Review","id":"ITEM-2","issued":{"date-parts":[["2016","6"]]},"page":"106-123","title":"Attention-deficit hyperactivity disorder and children's emotion dysregulation: A meta-analysis","type":"article-journal","volume":"46"},"uris":["http://www.mendeley.com/documents/?uuid=c801d189-c4bc-3609-992f-2037273c0b2e"]},{"id":"ITEM-3","itemData":{"DOI":"10.1176/appi.ajp.2013.13070966","ISSN":"0002-953X","PMID":"24480998","abstract":"Although it has long been recognized that many individuals with attention deficit hyperactivity disorder (ADHD) also have difficulties with emotion regulation, no consensus has been reached on how to conceptualize this clinically challenging domain. The authors examine the current literature using both quantitative and qualitative methods. Three key findings emerge. First, emotion dysregulation is prevalent in ADHD throughout the lifespan and is a major contributor to impairment. Second, emotion dysregulation in ADHD may arise from deficits in orienting toward, recognizing, and/or allocating attention to emotional stimuli; these deficits implicate dysfunction within a striato-amygdalo-medial prefrontal cortical network. Third, while current treatments for ADHD often also ameliorate emotion dysregulation, a focus on this combination of symptoms reframes clinical questions and could stimulate novel therapeutic approaches. The authors then consider three models to explain the overlap between emotion dysregulation and ADHD: emotion dysregulation and ADHD are correlated but distinct dimensions; emotion dysregulation is a core diagnostic feature of ADHD; and the combination constitutes a nosological entity distinct from both ADHD and emotion dysregulation alone. The differing predictions from each model can guide research on the much-neglected population of patients with ADHD and emotion dysregulation.","author":[{"dropping-particle":"","family":"Shaw","given":"Philip","non-dropping-particle":"","parse-names":false,"suffix":""},{"dropping-particle":"","family":"Stringaris","given":"Argyris","non-dropping-particle":"","parse-names":false,"suffix":""},{"dropping-particle":"","family":"Nigg","given":"Joel","non-dropping-particle":"","parse-names":false,"suffix":""},{"dropping-particle":"","family":"Leibenluft","given":"Ellen","non-dropping-particle":"","parse-names":false,"suffix":""}],"container-title":"American Journal of Psychiatry","id":"ITEM-3","issue":"3","issued":{"date-parts":[["2014","3","1"]]},"language":"EN","page":"276-293","publisher":"American Psychiatric AssociationArlington, VA","title":"Emotion Dysregulation in Attention Deficit Hyperactivity Disorder","type":"article-journal","volume":"171"},"uris":["http://www.mendeley.com/documents/?uuid=33258a98-41c6-42e3-9c41-bf6358448803"]},{"id":"ITEM-4","itemData":{"DOI":"10.1016/J.RIDD.2015.09.012","ISSN":"0891-4222","abstract":"Emotional dysregulation in daily life is very common in children with attention deficit hyperactivity disorder (ADHD). It is however not clear whether this reflects a specific deficit or that it may be the result of generic executive function (EF) deficits. The current study addresses this question by means of an emotional working memory (WM) task with 2 memory load conditions and four possible backgrounds (blank screen, neutral, positive or negative picture), which was administered to 38 typically developing children and 29 children with ADHD. Children responded slower on trials when negative pictures were presented at the background versus when neutral pictures were presented, indicating an emotional interference effect; however crucially, groups did not differ in this respect. Reaction times were also slower on trials with a neutral picture as background versus trials without a picture, with children with ADHD showing an enhanced interference effect. There was a main effect of WM load on performance, but it did not interact with interference or group effects. To summarize, the findings indicate a generic interference control deficit in the children with ADHD in the current sample, while they could not provide support for an emotional interference deficit.","author":[{"dropping-particle":"","family":"Cauwenberge","given":"Valerie","non-dropping-particle":"Van","parse-names":false,"suffix":""},{"dropping-particle":"","family":"Sonuga-Barke","given":"Edmund J.S.","non-dropping-particle":"","parse-names":false,"suffix":""},{"dropping-particle":"","family":"Hoppenbrouwers","given":"Karel","non-dropping-particle":"","parse-names":false,"suffix":""},{"dropping-particle":"","family":"Leeuwen","given":"Karla","non-dropping-particle":"Van","parse-names":false,"suffix":""},{"dropping-particle":"","family":"Wiersema","given":"Jan R.","non-dropping-particle":"","parse-names":false,"suffix":""}],"container-title":"Research in Developmental Disabilities","id":"ITEM-4","issued":{"date-parts":[["2015","12","1"]]},"page":"199-207","publisher":"Pergamon","title":"“Turning down the heat”: Is poor performance of children with ADHD on tasks tapping “hot” emotional regulation caused by deficits in “cool” executive functions?","type":"article-journal","volume":"47"},"uris":["http://www.mendeley.com/documents/?uuid=3acf4e4b-7481-3520-9c2a-439ce23d234a"]}],"mendeley":{"formattedCitation":"(Barkley, 1997; Graziano &amp; Garcia, 2016; Shaw, Stringaris, Nigg, &amp; Leibenluft, 2014; Van Cauwenberge, Sonuga-Barke, Hoppenbrouwers, Van Leeuwen, &amp; Wiersema, 2015)","plainTextFormattedCitation":"(Barkley, 1997; Graziano &amp; Garcia, 2016; Shaw, Stringaris, Nigg, &amp; Leibenluft, 2014; Van Cauwenberge, Sonuga-Barke, Hoppenbrouwers, Van Leeuwen, &amp; Wiersema, 2015)","previouslyFormattedCitation":"(Barkley, 1997; Graziano &amp; Garcia, 2016; Shaw, Stringaris, Nigg, &amp; Leibenluft, 2014; Van Cauwenberge, Sonuga-Barke, Hoppenbrouwers, Van Leeuwen, &amp; Wiersema, 2015)"},"properties":{"noteIndex":0},"schema":"https://github.com/citation-style-language/schema/raw/master/csl-citation.json"}</w:instrText>
      </w:r>
      <w:r w:rsidR="00543CAD" w:rsidRPr="00A75594">
        <w:rPr>
          <w:sz w:val="24"/>
          <w:szCs w:val="24"/>
        </w:rPr>
        <w:fldChar w:fldCharType="separate"/>
      </w:r>
      <w:r w:rsidR="00A34041" w:rsidRPr="00A34041">
        <w:rPr>
          <w:noProof/>
          <w:sz w:val="24"/>
          <w:szCs w:val="24"/>
        </w:rPr>
        <w:t>(Barkley, 1997; Graziano &amp; Garcia, 2016; Shaw, Stringaris, Nigg, &amp; Leibenluft, 2014; Van Cauwenberge, Sonuga-Barke, Hoppenbrouwers, Van Leeuwen, &amp; Wiersema, 2015)</w:t>
      </w:r>
      <w:r w:rsidR="00543CAD" w:rsidRPr="00A75594">
        <w:rPr>
          <w:sz w:val="24"/>
          <w:szCs w:val="24"/>
        </w:rPr>
        <w:fldChar w:fldCharType="end"/>
      </w:r>
      <w:r w:rsidR="00543CAD" w:rsidRPr="00A75594">
        <w:rPr>
          <w:sz w:val="24"/>
          <w:szCs w:val="24"/>
        </w:rPr>
        <w:t>.</w:t>
      </w:r>
      <w:r w:rsidR="00543CAD" w:rsidRPr="005D2862" w:rsidDel="00543CAD">
        <w:rPr>
          <w:sz w:val="24"/>
          <w:szCs w:val="24"/>
        </w:rPr>
        <w:t xml:space="preserve"> </w:t>
      </w:r>
      <w:r w:rsidR="005D2862">
        <w:rPr>
          <w:sz w:val="24"/>
          <w:szCs w:val="24"/>
        </w:rPr>
        <w:t>E</w:t>
      </w:r>
      <w:r w:rsidR="00B02F78">
        <w:rPr>
          <w:sz w:val="24"/>
          <w:szCs w:val="24"/>
        </w:rPr>
        <w:t xml:space="preserve">mpirical studies suggest that deficits in </w:t>
      </w:r>
      <w:r w:rsidR="006A29D2" w:rsidRPr="00A75594">
        <w:rPr>
          <w:sz w:val="24"/>
          <w:szCs w:val="24"/>
        </w:rPr>
        <w:t>inhibitory control</w:t>
      </w:r>
      <w:r w:rsidR="0002453E">
        <w:rPr>
          <w:sz w:val="24"/>
          <w:szCs w:val="24"/>
        </w:rPr>
        <w:t xml:space="preserve"> (i.e., </w:t>
      </w:r>
      <w:r w:rsidR="00B02F78">
        <w:rPr>
          <w:sz w:val="24"/>
          <w:szCs w:val="24"/>
        </w:rPr>
        <w:t>the ability to supress pre-potent responses</w:t>
      </w:r>
      <w:r w:rsidR="0002453E">
        <w:rPr>
          <w:sz w:val="24"/>
          <w:szCs w:val="24"/>
        </w:rPr>
        <w:t>)</w:t>
      </w:r>
      <w:r w:rsidR="00B02F78">
        <w:rPr>
          <w:sz w:val="24"/>
          <w:szCs w:val="24"/>
        </w:rPr>
        <w:t xml:space="preserve"> are central to </w:t>
      </w:r>
      <w:r w:rsidR="00437935">
        <w:rPr>
          <w:sz w:val="24"/>
          <w:szCs w:val="24"/>
        </w:rPr>
        <w:t>ADHD</w:t>
      </w:r>
      <w:r w:rsidR="00D54134">
        <w:rPr>
          <w:sz w:val="24"/>
          <w:szCs w:val="24"/>
        </w:rPr>
        <w:t xml:space="preserve"> impairment</w:t>
      </w:r>
      <w:r w:rsidR="00437935">
        <w:rPr>
          <w:sz w:val="24"/>
          <w:szCs w:val="24"/>
        </w:rPr>
        <w:t xml:space="preserve"> </w:t>
      </w:r>
      <w:r w:rsidR="006A29D2" w:rsidRPr="00A75594">
        <w:rPr>
          <w:sz w:val="24"/>
          <w:szCs w:val="24"/>
        </w:rPr>
        <w:fldChar w:fldCharType="begin" w:fldLock="1"/>
      </w:r>
      <w:r w:rsidR="000E1F2F">
        <w:rPr>
          <w:sz w:val="24"/>
          <w:szCs w:val="24"/>
        </w:rPr>
        <w:instrText>ADDIN CSL_CITATION {"citationItems":[{"id":"ITEM-1","itemData":{"ISSN":"0033-2909","PMID":"9000892","abstract":"Attention deficit hyperactivity disorder (ADHD) comprises a deficit in behavioral inhibition. A theoretical model is constructed that links inhibition to 4 executive neuropsychological functions that appear to depend on it for their effective execution: (a) working memory, (b) self-regulation of affect-motivation-arousal, (c) internalization of speech, and (d) reconstitution (behavioral analysis and synthesis). Extended to ADHD, the model predicts that ADHD should be associated with secondary impairments in these 4 executive abilities and the motor control they afford. The author reviews evidence for each of these domains of functioning and finds it to be strongest for deficits in behavioral inhibition, working memory, regulation of motivation, and motor control in those with ADHD. Although the model is promising as a potential theory of self-control and ADHD, far more research is required to evaluate its merits and the many predictions it makes about ADHD.","author":[{"dropping-particle":"","family":"Barkley","given":"R A","non-dropping-particle":"","parse-names":false,"suffix":""}],"container-title":"Psychological bulletin","id":"ITEM-1","issue":"1","issued":{"date-parts":[["1997","1"]]},"page":"65-94","title":"Behavioral inhibition, sustained attention, and executive functions: constructing a unifying theory of ADHD.","type":"article-journal","volume":"121"},"uris":["http://www.mendeley.com/documents/?uuid=a493adcc-7e96-4bb9-a08b-ca5c9a544539"]}],"mendeley":{"formattedCitation":"(Barkley, 1997)","manualFormatting":"(Willcutt, Doyle, Nigg, Faraone, &amp; Pennington, 2005). ","plainTextFormattedCitation":"(Barkley, 1997)","previouslyFormattedCitation":"(Barkley, 1997)"},"properties":{"noteIndex":0},"schema":"https://github.com/citation-style-language/schema/raw/master/csl-citation.json"}</w:instrText>
      </w:r>
      <w:r w:rsidR="006A29D2" w:rsidRPr="00A75594">
        <w:rPr>
          <w:sz w:val="24"/>
          <w:szCs w:val="24"/>
        </w:rPr>
        <w:fldChar w:fldCharType="separate"/>
      </w:r>
      <w:r w:rsidR="006A29D2" w:rsidRPr="00A75594">
        <w:rPr>
          <w:noProof/>
          <w:sz w:val="24"/>
          <w:szCs w:val="24"/>
        </w:rPr>
        <w:t>(</w:t>
      </w:r>
      <w:r w:rsidR="00B02F78" w:rsidRPr="00A75594">
        <w:rPr>
          <w:noProof/>
          <w:sz w:val="24"/>
          <w:szCs w:val="24"/>
        </w:rPr>
        <w:fldChar w:fldCharType="begin" w:fldLock="1"/>
      </w:r>
      <w:r w:rsidR="00A34041">
        <w:rPr>
          <w:noProof/>
          <w:sz w:val="24"/>
          <w:szCs w:val="24"/>
        </w:rPr>
        <w:instrText>ADDIN CSL_CITATION {"citationItems":[{"id":"ITEM-1","itemData":{"DOI":"10.1016/j.biopsych.2005.02.006","ISSN":"0006-3223","PMID":"15950006","abstract":"One of the most prominent neuropsychologic theories of attention-deficit/hyperactivity disorder (ADHD) suggests that its symptoms arise from a primary deficit in executive functions (EF), defined as neurocognitive processes that maintain an appropriate problem-solving set to attain a later goal. To examine the validity of the EF theory, we conducted a meta-analysis of 83 studies that administered EF measures to groups with ADHD (total N = 3734) and without ADHD (N = 2969). Groups with ADHD exhibited significant impairment on all EF tasks. Effect sizes for all measures fell in the medium range (.46-.69), but the strongest and most consistent effects were obtained on measures of response inhibition, vigilance, working memory, and planning. Weaknesses in EF were significant in both clinic-referred and community samples and were not explained by group differences in intelligence, academic achievement, or symptoms of other disorders. ADHD is associated with significant weaknesses in several key EF domains. However, moderate effect sizes and lack of universality of EF deficits among individuals with ADHD suggest that EF weaknesses are neither necessary nor sufficient to cause all cases of ADHD. Difficulties with EF appear to be one important component of the complex neuropsychology of ADHD.","author":[{"dropping-particle":"","family":"Willcutt","given":"Erik G","non-dropping-particle":"","parse-names":false,"suffix":""},{"dropping-particle":"","family":"Doyle","given":"Alysa E","non-dropping-particle":"","parse-names":false,"suffix":""},{"dropping-particle":"","family":"Nigg","given":"Joel T","non-dropping-particle":"","parse-names":false,"suffix":""},{"dropping-particle":"V","family":"Faraone","given":"Stephen","non-dropping-particle":"","parse-names":false,"suffix":""},{"dropping-particle":"","family":"Pennington","given":"Bruce F","non-dropping-particle":"","parse-names":false,"suffix":""}],"container-title":"Biological psychiatry","id":"ITEM-1","issue":"11","issued":{"date-parts":[["2005","6","1"]]},"page":"1336-46","title":"Validity of the executive function theory of attention-deficit/hyperactivity disorder: a meta-analytic review.","type":"article-journal","volume":"57"},"uris":["http://www.mendeley.com/documents/?uuid=3e26d32f-341a-4327-9f10-a13dc987138c"]}],"mendeley":{"formattedCitation":"(Willcutt, Doyle, Nigg, Faraone, &amp; Pennington, 2005)","manualFormatting":"Willcutt, Doyle, Nigg, Faraone, &amp; Pennington, 2005)","plainTextFormattedCitation":"(Willcutt, Doyle, Nigg, Faraone, &amp; Pennington, 2005)","previouslyFormattedCitation":"(Willcutt, Doyle, Nigg, Faraone, &amp; Pennington, 2005)"},"properties":{"noteIndex":0},"schema":"https://github.com/citation-style-language/schema/raw/master/csl-citation.json"}</w:instrText>
      </w:r>
      <w:r w:rsidR="00B02F78" w:rsidRPr="00A75594">
        <w:rPr>
          <w:noProof/>
          <w:sz w:val="24"/>
          <w:szCs w:val="24"/>
        </w:rPr>
        <w:fldChar w:fldCharType="separate"/>
      </w:r>
      <w:r w:rsidR="00B02F78" w:rsidRPr="00A75594">
        <w:rPr>
          <w:noProof/>
          <w:sz w:val="24"/>
          <w:szCs w:val="24"/>
        </w:rPr>
        <w:t>Willcutt, Doyle, Nigg, Faraone, &amp; Pennington, 2005)</w:t>
      </w:r>
      <w:r w:rsidR="00B02F78" w:rsidRPr="00A75594">
        <w:rPr>
          <w:noProof/>
          <w:sz w:val="24"/>
          <w:szCs w:val="24"/>
        </w:rPr>
        <w:fldChar w:fldCharType="end"/>
      </w:r>
      <w:r w:rsidR="00D54134">
        <w:rPr>
          <w:noProof/>
          <w:sz w:val="24"/>
          <w:szCs w:val="24"/>
        </w:rPr>
        <w:t>.</w:t>
      </w:r>
      <w:r w:rsidR="00437935">
        <w:rPr>
          <w:noProof/>
          <w:sz w:val="24"/>
          <w:szCs w:val="24"/>
        </w:rPr>
        <w:t xml:space="preserve"> </w:t>
      </w:r>
      <w:r w:rsidR="006A29D2" w:rsidRPr="00A75594">
        <w:rPr>
          <w:sz w:val="24"/>
          <w:szCs w:val="24"/>
        </w:rPr>
        <w:fldChar w:fldCharType="end"/>
      </w:r>
      <w:r w:rsidR="00D54134">
        <w:rPr>
          <w:sz w:val="24"/>
          <w:szCs w:val="24"/>
        </w:rPr>
        <w:t xml:space="preserve"> S</w:t>
      </w:r>
      <w:r w:rsidR="00437935">
        <w:rPr>
          <w:sz w:val="24"/>
          <w:szCs w:val="24"/>
        </w:rPr>
        <w:t xml:space="preserve">upport </w:t>
      </w:r>
      <w:r w:rsidR="00D54134">
        <w:rPr>
          <w:sz w:val="24"/>
          <w:szCs w:val="24"/>
        </w:rPr>
        <w:t xml:space="preserve">for this view </w:t>
      </w:r>
      <w:r w:rsidR="00437935">
        <w:rPr>
          <w:sz w:val="24"/>
          <w:szCs w:val="24"/>
        </w:rPr>
        <w:t xml:space="preserve">has come from </w:t>
      </w:r>
      <w:r w:rsidR="00D54134">
        <w:rPr>
          <w:sz w:val="24"/>
          <w:szCs w:val="24"/>
        </w:rPr>
        <w:t xml:space="preserve">studies using </w:t>
      </w:r>
      <w:r w:rsidR="00E70D6B">
        <w:rPr>
          <w:sz w:val="24"/>
          <w:szCs w:val="24"/>
        </w:rPr>
        <w:t>a range</w:t>
      </w:r>
      <w:r w:rsidR="00437935">
        <w:rPr>
          <w:sz w:val="24"/>
          <w:szCs w:val="24"/>
        </w:rPr>
        <w:t xml:space="preserve"> </w:t>
      </w:r>
      <w:r w:rsidR="00F503D1">
        <w:rPr>
          <w:sz w:val="24"/>
          <w:szCs w:val="24"/>
        </w:rPr>
        <w:t>of</w:t>
      </w:r>
      <w:r w:rsidR="00B3307E">
        <w:rPr>
          <w:sz w:val="24"/>
          <w:szCs w:val="24"/>
        </w:rPr>
        <w:t xml:space="preserve"> </w:t>
      </w:r>
      <w:r w:rsidR="005D2862">
        <w:rPr>
          <w:sz w:val="24"/>
          <w:szCs w:val="24"/>
        </w:rPr>
        <w:t xml:space="preserve">inhibitory control tasks </w:t>
      </w:r>
      <w:r w:rsidR="00D54134">
        <w:rPr>
          <w:sz w:val="24"/>
          <w:szCs w:val="24"/>
        </w:rPr>
        <w:t>including</w:t>
      </w:r>
      <w:r w:rsidR="005D2862">
        <w:rPr>
          <w:sz w:val="24"/>
          <w:szCs w:val="24"/>
        </w:rPr>
        <w:t xml:space="preserve"> Stroop</w:t>
      </w:r>
      <w:r w:rsidR="00437935">
        <w:rPr>
          <w:sz w:val="24"/>
          <w:szCs w:val="24"/>
        </w:rPr>
        <w:t xml:space="preserve"> </w:t>
      </w:r>
      <w:r w:rsidR="00437935">
        <w:rPr>
          <w:sz w:val="24"/>
          <w:szCs w:val="24"/>
        </w:rPr>
        <w:fldChar w:fldCharType="begin" w:fldLock="1"/>
      </w:r>
      <w:r w:rsidR="00437935">
        <w:rPr>
          <w:sz w:val="24"/>
          <w:szCs w:val="24"/>
        </w:rPr>
        <w:instrText>ADDIN CSL_CITATION {"citationItems":[{"id":"ITEM-1","itemData":{"DOI":"10.1016/S0010-9452(08)70274-0","ISSN":"0010-9452","abstract":"Brain electrical activity associated with inhibitory control was recorded in ten ADHD and ten healthy children using high density event related potentials (ERPs) during the Stop Signal Task (SST). SST is a two-choice reaction time (RT) paradigm, in which subjects are required, on 25% of the trials, to withdraw their response upon presentation of a “Stop Signal”. In the healthy children, the ERP evoked by the Stop Signal differed for successful inhibitions (SI) compared to failed inhibitions (FI), with greater amplitude of a positive wave peaking around 320 msec over anterior medial frontal scalp (P3a). Such success-related P3a activity was significantly reduced in amplitude in the ADHD group. In addition, the error related negativity (ERN), a sharp negative wave that is present selectively on error trials in choice RT experiments, peaking 100 ms after motor onset, and distributed over anterior medial frontal scalp, was also markedly reduced in the ADHD group. The scalp distribution of the group differences in P3a and the ERN is consistent with a reduction of activity of sources in dorsal anterior cingulate cortex (dACC), suggesting a global deficit in cognitive control operations subserved by dACC in ADHD.","author":[{"dropping-particle":"","family":"Liotti","given":"Mario","non-dropping-particle":"","parse-names":false,"suffix":""},{"dropping-particle":"","family":"Pliszka","given":"Steven R.","non-dropping-particle":"","parse-names":false,"suffix":""},{"dropping-particle":"","family":"Perez","given":"Ricardo","non-dropping-particle":"","parse-names":false,"suffix":""},{"dropping-particle":"","family":"Kothmann","given":"Delia","non-dropping-particle":"","parse-names":false,"suffix":""},{"dropping-particle":"","family":"Woldorff","given":"Marty G.","non-dropping-particle":"","parse-names":false,"suffix":""}],"container-title":"Cortex","id":"ITEM-1","issue":"3","issued":{"date-parts":[["2005","1","1"]]},"page":"377-388","publisher":"Elsevier","title":"Abnormal Brain Activity Related to Performance Monitoring and Error Detection in Children with ADHD","type":"article-journal","volume":"41"},"uris":["http://www.mendeley.com/documents/?uuid=aee12823-4427-342a-b08c-6ea72bab1f5a"]}],"mendeley":{"formattedCitation":"(Liotti, Pliszka, Perez, Kothmann, &amp; Woldorff, 2005)","manualFormatting":"(e.g. Liotti, Pliszka, Perez, Kothmann, &amp; Woldorff, 2005)","plainTextFormattedCitation":"(Liotti, Pliszka, Perez, Kothmann, &amp; Woldorff, 2005)","previouslyFormattedCitation":"(Liotti, Pliszka, Perez, Kothmann, &amp; Woldorff, 2005)"},"properties":{"noteIndex":0},"schema":"https://github.com/citation-style-language/schema/raw/master/csl-citation.json"}</w:instrText>
      </w:r>
      <w:r w:rsidR="00437935">
        <w:rPr>
          <w:sz w:val="24"/>
          <w:szCs w:val="24"/>
        </w:rPr>
        <w:fldChar w:fldCharType="separate"/>
      </w:r>
      <w:r w:rsidR="00437935" w:rsidRPr="00437935">
        <w:rPr>
          <w:noProof/>
          <w:sz w:val="24"/>
          <w:szCs w:val="24"/>
        </w:rPr>
        <w:t>(</w:t>
      </w:r>
      <w:r w:rsidR="00437935">
        <w:rPr>
          <w:noProof/>
          <w:sz w:val="24"/>
          <w:szCs w:val="24"/>
        </w:rPr>
        <w:t xml:space="preserve">e.g. </w:t>
      </w:r>
      <w:r w:rsidR="00437935" w:rsidRPr="00437935">
        <w:rPr>
          <w:noProof/>
          <w:sz w:val="24"/>
          <w:szCs w:val="24"/>
        </w:rPr>
        <w:t>Liotti, Pliszka, Perez, Kothmann, &amp; Woldorff, 2005)</w:t>
      </w:r>
      <w:r w:rsidR="00437935">
        <w:rPr>
          <w:sz w:val="24"/>
          <w:szCs w:val="24"/>
        </w:rPr>
        <w:fldChar w:fldCharType="end"/>
      </w:r>
      <w:r w:rsidR="005D2862">
        <w:rPr>
          <w:sz w:val="24"/>
          <w:szCs w:val="24"/>
        </w:rPr>
        <w:t xml:space="preserve">, </w:t>
      </w:r>
      <w:r w:rsidR="00437935">
        <w:rPr>
          <w:sz w:val="24"/>
          <w:szCs w:val="24"/>
        </w:rPr>
        <w:t>Go/No</w:t>
      </w:r>
      <w:r w:rsidR="00365512">
        <w:rPr>
          <w:sz w:val="24"/>
          <w:szCs w:val="24"/>
        </w:rPr>
        <w:t>-</w:t>
      </w:r>
      <w:r w:rsidR="00437935">
        <w:rPr>
          <w:sz w:val="24"/>
          <w:szCs w:val="24"/>
        </w:rPr>
        <w:t>Go</w:t>
      </w:r>
      <w:r w:rsidR="007F74F8">
        <w:rPr>
          <w:sz w:val="24"/>
          <w:szCs w:val="24"/>
        </w:rPr>
        <w:t xml:space="preserve"> </w:t>
      </w:r>
      <w:r w:rsidR="007F74F8">
        <w:rPr>
          <w:sz w:val="24"/>
          <w:szCs w:val="24"/>
        </w:rPr>
        <w:fldChar w:fldCharType="begin" w:fldLock="1"/>
      </w:r>
      <w:r w:rsidR="007F74F8">
        <w:rPr>
          <w:sz w:val="24"/>
          <w:szCs w:val="24"/>
        </w:rPr>
        <w:instrText>ADDIN CSL_CITATION {"citationItems":[{"id":"ITEM-1","itemData":{"DOI":"10.1017/S0033291715002822","ISSN":"1469-8978","PMID":"26803921","abstract":"BACKGROUND: Attention-deficit/hyperactivity disorder (ADHD) is one of the most prevalent neuropsychiatric disorders in childhood. Besides inattention and hyperactivity, impulsivity is the third core symptom leading to diverse and serious problems. However, the neuronal mechanisms underlying impulsivity in ADHD are still not fully understood. This is all the more the case when patients with the ADHD combined subtype (ADHD-C) are considered who are characterized by both symptoms of inattention and hyperactivity/impulsivity.\n\nMETHOD: Combining high-density electroencephalography (EEG) recordings with source localization analyses, we examined what information processing stages are dysfunctional in ADHD-C (n = 20) compared with controls (n = 18).\n\nRESULTS: Patients with ADHD-C made more impulsive errors in a Go/No-go task than healthy controls. Neurophysiologically, different subprocesses from perceptual gating to attentional selection, resource allocation and response selection processes are altered in this patient group. Perceptual gating, stimulus-driven attention selection and resource allocation processes were more pronounced in ADHD-C, are related to activation differences in parieto-occipital networks and suggest attentional filtering deficits. However, only response selection processes, associated with medial prefrontal networks, predicted impulsive errors in ADHD-C.\n\nCONCLUSIONS: Although the clinical picture of ADHD-C is complex and a multitude of processing steps are altered, only a subset of processes seems to directly modulate impulsive behaviour. The present findings improve the understanding of mechanisms underlying impulsivity in patients with ADHD-C and might help to refine treatment algorithms focusing on impulsivity.","author":[{"dropping-particle":"","family":"Bluschke","given":"A.","non-dropping-particle":"","parse-names":false,"suffix":""},{"dropping-particle":"","family":"Roessner","given":"V.","non-dropping-particle":"","parse-names":false,"suffix":""},{"dropping-particle":"","family":"Beste","given":"C.","non-dropping-particle":"","parse-names":false,"suffix":""}],"container-title":"Psychological medicine","id":"ITEM-1","issue":"6","issued":{"date-parts":[["2016","4","1"]]},"language":"English","page":"1277-87","publisher":"Cambridge University Press","title":"Specific cognitive-neurophysiological processes predict impulsivity in the childhood attention-deficit/hyperactivity disorder combined subtype.","type":"article-journal","volume":"46"},"uris":["http://www.mendeley.com/documents/?uuid=d56dfa7e-db4a-48f8-a792-317675e5cddd"]}],"mendeley":{"formattedCitation":"(Bluschke, Roessner, &amp; Beste, 2016)","manualFormatting":"(e.g. Bluschke, Roessner, &amp; Beste, 2016)","plainTextFormattedCitation":"(Bluschke, Roessner, &amp; Beste, 2016)","previouslyFormattedCitation":"(Bluschke, Roessner, &amp; Beste, 2016)"},"properties":{"noteIndex":0},"schema":"https://github.com/citation-style-language/schema/raw/master/csl-citation.json"}</w:instrText>
      </w:r>
      <w:r w:rsidR="007F74F8">
        <w:rPr>
          <w:sz w:val="24"/>
          <w:szCs w:val="24"/>
        </w:rPr>
        <w:fldChar w:fldCharType="separate"/>
      </w:r>
      <w:r w:rsidR="007F74F8" w:rsidRPr="007F74F8">
        <w:rPr>
          <w:noProof/>
          <w:sz w:val="24"/>
          <w:szCs w:val="24"/>
        </w:rPr>
        <w:t>(</w:t>
      </w:r>
      <w:r w:rsidR="007F74F8">
        <w:rPr>
          <w:noProof/>
          <w:sz w:val="24"/>
          <w:szCs w:val="24"/>
        </w:rPr>
        <w:t xml:space="preserve">e.g. </w:t>
      </w:r>
      <w:r w:rsidR="007F74F8" w:rsidRPr="007F74F8">
        <w:rPr>
          <w:noProof/>
          <w:sz w:val="24"/>
          <w:szCs w:val="24"/>
        </w:rPr>
        <w:t>Bluschke, Roessner, &amp; Beste, 2016)</w:t>
      </w:r>
      <w:r w:rsidR="007F74F8">
        <w:rPr>
          <w:sz w:val="24"/>
          <w:szCs w:val="24"/>
        </w:rPr>
        <w:fldChar w:fldCharType="end"/>
      </w:r>
      <w:r w:rsidR="005D2862">
        <w:rPr>
          <w:sz w:val="24"/>
          <w:szCs w:val="24"/>
        </w:rPr>
        <w:t xml:space="preserve"> and</w:t>
      </w:r>
      <w:r w:rsidR="00186336">
        <w:rPr>
          <w:sz w:val="24"/>
          <w:szCs w:val="24"/>
        </w:rPr>
        <w:t xml:space="preserve"> </w:t>
      </w:r>
      <w:r w:rsidR="005D2862">
        <w:rPr>
          <w:sz w:val="24"/>
          <w:szCs w:val="24"/>
        </w:rPr>
        <w:t xml:space="preserve">Stop Signal </w:t>
      </w:r>
      <w:r w:rsidR="007F74F8">
        <w:rPr>
          <w:sz w:val="24"/>
          <w:szCs w:val="24"/>
        </w:rPr>
        <w:t>task</w:t>
      </w:r>
      <w:r w:rsidR="00D54134">
        <w:rPr>
          <w:sz w:val="24"/>
          <w:szCs w:val="24"/>
        </w:rPr>
        <w:t>s</w:t>
      </w:r>
      <w:r w:rsidR="007F74F8">
        <w:rPr>
          <w:sz w:val="24"/>
          <w:szCs w:val="24"/>
        </w:rPr>
        <w:t xml:space="preserve"> </w:t>
      </w:r>
      <w:r w:rsidR="007F74F8">
        <w:rPr>
          <w:sz w:val="24"/>
          <w:szCs w:val="24"/>
        </w:rPr>
        <w:fldChar w:fldCharType="begin" w:fldLock="1"/>
      </w:r>
      <w:r w:rsidR="007F74F8">
        <w:rPr>
          <w:sz w:val="24"/>
          <w:szCs w:val="24"/>
        </w:rPr>
        <w:instrText>ADDIN CSL_CITATION {"citationItems":[{"id":"ITEM-1","itemData":{"DOI":"10.1016/j.ijpsycho.2011.05.007","ISSN":"1872-7697","PMID":"21641941","abstract":"The Stop-Signal Task (SST) is a procedure that can provide a measure of inhibitory control of an ongoing motor response. We used the stop-signal paradigm to determine whether deficient inhibitory control distinguishes children with a diagnosis of attention deficit hyperactivity disorder combined type (ADHD-Com) from normally developing children, matched on age and sex. Participants performed a standard visual two-choice task with an auditory stop-signal stimulus, while an EEG was recorded. The behavioral results indicated that the ADHD group had significantly impaired inhibitory control compared to the performance of normal children. Relative to controls, the go stimulus reaction time (RT) and the stop-signal reaction time (SSRT) were prolonged in children with ADHD. The amplitudes of P2 and P3 components to the auditory stop-signal were more pronounced for successful than for unsuccessful stop-signal trials in both groups. However, the successful-unsuccessful difference was larger in control subjects. In contrast, the amplitude of the N2 component to auditory stop-signal was more pronounced for unsuccessful than for successful stop-signal trials in both groups. The comparison of the N2 component between control and ADHD groups revealed a greater amplitude and longer latency in the latter group, in successful stop-signal trials only. Additionally, the amplitude of response-locked ERPs, containing the ERN-Pe complex related to error-detection, was smaller in ADHD children. These results support the hypothesis of a complex deficit of inhibitory control, conflict monitoring, and error recognition mechanisms in ADHD and corroborate the utility of the stop-signal task in distinguishing hyperactive from normal children.","author":[{"dropping-particle":"","family":"Senderecka","given":"Magdalena","non-dropping-particle":"","parse-names":false,"suffix":""},{"dropping-particle":"","family":"Grabowska","given":"Anna","non-dropping-particle":"","parse-names":false,"suffix":""},{"dropping-particle":"","family":"Szewczyk","given":"Jakub","non-dropping-particle":"","parse-names":false,"suffix":""},{"dropping-particle":"","family":"Gerc","given":"Krzysztof","non-dropping-particle":"","parse-names":false,"suffix":""},{"dropping-particle":"","family":"Chmylak","given":"Roman","non-dropping-particle":"","parse-names":false,"suffix":""}],"container-title":"International journal of psychophysiology : official journal of the International Organization of Psychophysiology","id":"ITEM-1","issue":"1","issued":{"date-parts":[["2012","7","1"]]},"note":"From Duplicate 1 (Response inhibition of children with ADHD in the stop-signal task: an event-related potential study. - Senderecka, Magdalena; Grabowska, Anna; Szewczyk, Jakub; Gerc, Krzysztof; Chmylak, Roman)\n\nFrom Duplicate 1 (Response inhibition of children with ADHD in the stop-signal task: An event-related potential study - Senderecka, Magdalena; Grabowska, Anna; Szewczyk, Jakub; Gerc, Krzysztof; Chmylak, Roman)\n\nNULL","page":"93-105","publisher":"Elsevier","title":"Response inhibition of children with ADHD in the stop-signal task: an event-related potential study.","type":"article-journal","volume":"85"},"uris":["http://www.mendeley.com/documents/?uuid=76082950-e4ec-4ced-9fd0-e0c9c537bec0"]}],"mendeley":{"formattedCitation":"(Senderecka, Grabowska, Szewczyk, Gerc, &amp; Chmylak, 2012)","manualFormatting":"(e.g. Senderecka, Grabowska, Szewczyk, Gerc, &amp; Chmylak, 2012)","plainTextFormattedCitation":"(Senderecka, Grabowska, Szewczyk, Gerc, &amp; Chmylak, 2012)","previouslyFormattedCitation":"(Senderecka, Grabowska, Szewczyk, Gerc, &amp; Chmylak, 2012)"},"properties":{"noteIndex":0},"schema":"https://github.com/citation-style-language/schema/raw/master/csl-citation.json"}</w:instrText>
      </w:r>
      <w:r w:rsidR="007F74F8">
        <w:rPr>
          <w:sz w:val="24"/>
          <w:szCs w:val="24"/>
        </w:rPr>
        <w:fldChar w:fldCharType="separate"/>
      </w:r>
      <w:r w:rsidR="007F74F8" w:rsidRPr="007F74F8">
        <w:rPr>
          <w:noProof/>
          <w:sz w:val="24"/>
          <w:szCs w:val="24"/>
        </w:rPr>
        <w:t>(</w:t>
      </w:r>
      <w:r w:rsidR="007F74F8">
        <w:rPr>
          <w:noProof/>
          <w:sz w:val="24"/>
          <w:szCs w:val="24"/>
        </w:rPr>
        <w:t xml:space="preserve">e.g. </w:t>
      </w:r>
      <w:r w:rsidR="007F74F8" w:rsidRPr="007F74F8">
        <w:rPr>
          <w:noProof/>
          <w:sz w:val="24"/>
          <w:szCs w:val="24"/>
        </w:rPr>
        <w:t>Senderecka, Grabowska, Szewczyk, Gerc, &amp; Chmylak, 2012)</w:t>
      </w:r>
      <w:r w:rsidR="007F74F8">
        <w:rPr>
          <w:sz w:val="24"/>
          <w:szCs w:val="24"/>
        </w:rPr>
        <w:fldChar w:fldCharType="end"/>
      </w:r>
      <w:r w:rsidR="007F74F8">
        <w:rPr>
          <w:sz w:val="24"/>
          <w:szCs w:val="24"/>
        </w:rPr>
        <w:t>.</w:t>
      </w:r>
    </w:p>
    <w:p w14:paraId="02EFE259" w14:textId="4F1DC52C" w:rsidR="00E220E3" w:rsidRPr="00C070BF" w:rsidRDefault="00587AF6" w:rsidP="00FC3049">
      <w:pPr>
        <w:spacing w:line="480" w:lineRule="auto"/>
        <w:ind w:firstLine="576"/>
        <w:rPr>
          <w:rFonts w:eastAsia="Sabon-Roman"/>
          <w:sz w:val="24"/>
          <w:szCs w:val="24"/>
        </w:rPr>
      </w:pPr>
      <w:r>
        <w:rPr>
          <w:rFonts w:eastAsia="Sabon-Roman"/>
          <w:sz w:val="24"/>
          <w:szCs w:val="24"/>
        </w:rPr>
        <w:t xml:space="preserve">Around one quarter of individuals diagnosed with </w:t>
      </w:r>
      <w:r w:rsidR="005D4FFF" w:rsidRPr="00190240">
        <w:rPr>
          <w:rFonts w:eastAsia="Sabon-Roman"/>
          <w:sz w:val="24"/>
          <w:szCs w:val="24"/>
        </w:rPr>
        <w:t xml:space="preserve">ADHD </w:t>
      </w:r>
      <w:r>
        <w:rPr>
          <w:rFonts w:eastAsia="Sabon-Roman"/>
          <w:sz w:val="24"/>
          <w:szCs w:val="24"/>
        </w:rPr>
        <w:t>also meet the diagnostic criteria for an</w:t>
      </w:r>
      <w:r w:rsidR="005D4FFF" w:rsidRPr="00190240">
        <w:rPr>
          <w:rFonts w:eastAsia="Sabon-Roman"/>
          <w:sz w:val="24"/>
          <w:szCs w:val="24"/>
        </w:rPr>
        <w:t xml:space="preserve"> anxiety disorder</w:t>
      </w:r>
      <w:r w:rsidR="007F74F8" w:rsidRPr="00190240">
        <w:rPr>
          <w:rFonts w:eastAsia="Sabon-Roman"/>
          <w:sz w:val="24"/>
          <w:szCs w:val="24"/>
        </w:rPr>
        <w:t xml:space="preserve"> </w:t>
      </w:r>
      <w:r w:rsidR="00756C7A">
        <w:rPr>
          <w:rFonts w:eastAsia="Sabon-Roman"/>
          <w:sz w:val="24"/>
          <w:szCs w:val="24"/>
        </w:rPr>
        <w:fldChar w:fldCharType="begin" w:fldLock="1"/>
      </w:r>
      <w:r w:rsidR="00DB413F">
        <w:rPr>
          <w:rFonts w:eastAsia="Sabon-Roman"/>
          <w:sz w:val="24"/>
          <w:szCs w:val="24"/>
        </w:rPr>
        <w:instrText>ADDIN CSL_CITATION {"citationItems":[{"id":"ITEM-1","itemData":{"DOI":"10.1016/j.cpr.2008.05.004","ISSN":"1873-7811","PMID":"18571820","abstract":"Although approximately 25% of children with attention-deficit/hyperactivity disorder (ADHD) exhibit an anxiety disorder, the comorbidity of ADHD and anxiety has been given less attention than comorbidity of ADHD and oppositional or conduct disorders. While it is true that comorbidity between ADHD and these externalizing disorders is more prevalent (approximately 50%), the comorbidity of ADHD and anxiety deserves careful scrutiny in its own right in as much as this comorbidity may have important implications for etiology, assessment, and treatment. The primary purpose of the current review is to examine the methodological and substantive reasons for the comorbidity of ADHD and anxiety. Methodological areas include definitional issues and informant characteristics, while substantive areas include genetics, temperament, neurobiological and neuropsychological functioning, family influences, and temporal relations between ADHD and anxiety. The study of the comorbidity of ADHD and anxiety will be advanced through a more precise phenotypic classification of ADHD and the integration of research in adjacent fields such as temperament and genetics with current research on the psychopathology of ADHD.","author":[{"dropping-particle":"","family":"Jarrett","given":"Matthew a","non-dropping-particle":"","parse-names":false,"suffix":""},{"dropping-particle":"","family":"Ollendick","given":"Thomas H","non-dropping-particle":"","parse-names":false,"suffix":""}],"container-title":"Clinical psychology review","id":"ITEM-1","issue":"7","issued":{"date-parts":[["2008","10"]]},"page":"1266-80","title":"A conceptual review of the comorbidity of attention-deficit/hyperactivity disorder and anxiety: implications for future research and practice.","type":"article-journal","volume":"28"},"uris":["http://www.mendeley.com/documents/?uuid=6eab2fad-0832-43c5-a2bc-a5cacc740aad"]}],"mendeley":{"formattedCitation":"(M. a Jarrett &amp; Ollendick, 2008)","manualFormatting":"(Jarrett &amp; Ollendick, 2008)","plainTextFormattedCitation":"(M. a Jarrett &amp; Ollendick, 2008)","previouslyFormattedCitation":"(M. a Jarrett &amp; Ollendick, 2008)"},"properties":{"noteIndex":0},"schema":"https://github.com/citation-style-language/schema/raw/master/csl-citation.json"}</w:instrText>
      </w:r>
      <w:r w:rsidR="00756C7A">
        <w:rPr>
          <w:rFonts w:eastAsia="Sabon-Roman"/>
          <w:sz w:val="24"/>
          <w:szCs w:val="24"/>
        </w:rPr>
        <w:fldChar w:fldCharType="separate"/>
      </w:r>
      <w:r w:rsidR="00756C7A" w:rsidRPr="00756C7A">
        <w:rPr>
          <w:rFonts w:eastAsia="Sabon-Roman"/>
          <w:noProof/>
          <w:sz w:val="24"/>
          <w:szCs w:val="24"/>
        </w:rPr>
        <w:t>(Jarrett &amp; Ollendick, 2008)</w:t>
      </w:r>
      <w:r w:rsidR="00756C7A">
        <w:rPr>
          <w:rFonts w:eastAsia="Sabon-Roman"/>
          <w:sz w:val="24"/>
          <w:szCs w:val="24"/>
        </w:rPr>
        <w:fldChar w:fldCharType="end"/>
      </w:r>
      <w:r w:rsidR="00756C7A">
        <w:rPr>
          <w:rFonts w:eastAsia="Sabon-Roman"/>
          <w:sz w:val="24"/>
          <w:szCs w:val="24"/>
        </w:rPr>
        <w:t>.</w:t>
      </w:r>
      <w:r w:rsidR="00A913AC">
        <w:rPr>
          <w:rFonts w:eastAsia="Sabon-Roman"/>
          <w:sz w:val="24"/>
          <w:szCs w:val="24"/>
        </w:rPr>
        <w:t xml:space="preserve"> </w:t>
      </w:r>
      <w:r>
        <w:rPr>
          <w:rFonts w:eastAsia="Sabon-Roman"/>
          <w:sz w:val="24"/>
          <w:szCs w:val="24"/>
        </w:rPr>
        <w:t>Consistently, i</w:t>
      </w:r>
      <w:r w:rsidR="005D4FFF" w:rsidRPr="00190240">
        <w:rPr>
          <w:rFonts w:eastAsia="Sabon-Roman"/>
          <w:sz w:val="24"/>
          <w:szCs w:val="24"/>
        </w:rPr>
        <w:t>n the general population</w:t>
      </w:r>
      <w:r w:rsidR="00756C7A">
        <w:rPr>
          <w:rFonts w:eastAsia="Sabon-Roman"/>
          <w:sz w:val="24"/>
          <w:szCs w:val="24"/>
        </w:rPr>
        <w:t>, the</w:t>
      </w:r>
      <w:r w:rsidR="005D4FFF" w:rsidRPr="00DE6417">
        <w:rPr>
          <w:rFonts w:eastAsia="Sabon-Roman"/>
          <w:sz w:val="24"/>
          <w:szCs w:val="24"/>
        </w:rPr>
        <w:t xml:space="preserve"> symptoms of the two conditions are </w:t>
      </w:r>
      <w:r>
        <w:rPr>
          <w:rFonts w:eastAsia="Sabon-Roman"/>
          <w:sz w:val="24"/>
          <w:szCs w:val="24"/>
        </w:rPr>
        <w:t xml:space="preserve">often </w:t>
      </w:r>
      <w:r w:rsidR="005D4FFF" w:rsidRPr="00DE6417">
        <w:rPr>
          <w:rFonts w:eastAsia="Sabon-Roman"/>
          <w:sz w:val="24"/>
          <w:szCs w:val="24"/>
        </w:rPr>
        <w:t>correlate</w:t>
      </w:r>
      <w:r w:rsidR="00DE6417" w:rsidRPr="00C070BF">
        <w:rPr>
          <w:rFonts w:eastAsia="Sabon-Roman"/>
          <w:sz w:val="24"/>
          <w:szCs w:val="24"/>
        </w:rPr>
        <w:t xml:space="preserve">d </w:t>
      </w:r>
      <w:r>
        <w:rPr>
          <w:rFonts w:eastAsia="Sabon-Roman"/>
          <w:sz w:val="24"/>
          <w:szCs w:val="24"/>
        </w:rPr>
        <w:fldChar w:fldCharType="begin" w:fldLock="1"/>
      </w:r>
      <w:r w:rsidR="00D0538D">
        <w:rPr>
          <w:rFonts w:eastAsia="Sabon-Roman"/>
          <w:sz w:val="24"/>
          <w:szCs w:val="24"/>
        </w:rPr>
        <w:instrText>ADDIN CSL_CITATION {"citationItems":[{"id":"ITEM-1","itemData":{"DOI":"10.1016/j.psychres.2004.12.015","ISSN":"01651781","PMID":"18023880","abstract":"The clinical characteristics of children with comorbid anxiety and attention deficit hyperactivity disorder (ADHD were examined. A sample of children from a pediatric primary care practice was assessed for anxiety disorders and ADHD. We defined four groups of children: (1) anxiety disorders only with no ADHD (n=54); (2) ADHD-only with no anxiety disorder (n=15); (3) neither ADHD nor an anxiety disorder (n=107); and (4) comorbid ADHD and anxiety disorder (n=14). Approximately 50% of children with ADHD had a comorbid anxiety disorder, and approximately 20% of children with an anxiety disorder had comorbid ADHD. The presence of comorbid ADHD and anxiety was associated with more attentional problems, school fears, and mood disorders and lower levels of social competence compared to children who had either ADHD-only or anxiety-only. Children with comorbid anxiety disorders and ADHD have more severe symptoms and are more impaired than children with either condition alone. Interventions need to be tailored to address the complexity of these comorbid conditions and their associated sequelae.","author":[{"dropping-particle":"","family":"Bowen","given":"Rudy","non-dropping-particle":"","parse-names":false,"suffix":""},{"dropping-particle":"","family":"Chavira","given":"Denise A.","non-dropping-particle":"","parse-names":false,"suffix":""},{"dropping-particle":"","family":"Bailey","given":"Kelly","non-dropping-particle":"","parse-names":false,"suffix":""},{"dropping-particle":"","family":"Stein","given":"Martin T. Murray B. Martin T.","non-dropping-particle":"","parse-names":false,"suffix":""},{"dropping-particle":"","family":"Stein","given":"Martin T. Murray B. Martin T.","non-dropping-particle":"","parse-names":false,"suffix":""}],"container-title":"Psychiatry Research","id":"ITEM-1","issue":"1-3","issued":{"date-parts":[["2008","1","15"]]},"page":"201-209","publisher":"Elsevier","title":"Nature of anxiety comorbid with attention deficit hyperactivity disorder in children from a pediatric primary care setting","type":"article-journal","volume":"157"},"uris":["http://www.mendeley.com/documents/?uuid=1532d4dd-8725-4d0e-8557-8d8619d6061b"]}],"mendeley":{"formattedCitation":"(Bowen, Chavira, Bailey, Stein, &amp; Stein, 2008)","plainTextFormattedCitation":"(Bowen, Chavira, Bailey, Stein, &amp; Stein, 2008)","previouslyFormattedCitation":"(Bowen, Chavira, Bailey, Stein, &amp; Stein, 2008)"},"properties":{"noteIndex":0},"schema":"https://github.com/citation-style-language/schema/raw/master/csl-citation.json"}</w:instrText>
      </w:r>
      <w:r>
        <w:rPr>
          <w:rFonts w:eastAsia="Sabon-Roman"/>
          <w:sz w:val="24"/>
          <w:szCs w:val="24"/>
        </w:rPr>
        <w:fldChar w:fldCharType="separate"/>
      </w:r>
      <w:r w:rsidRPr="00190240">
        <w:rPr>
          <w:rFonts w:eastAsia="Sabon-Roman"/>
          <w:noProof/>
          <w:sz w:val="24"/>
          <w:szCs w:val="24"/>
        </w:rPr>
        <w:t>(Bowen, Chavira, Bailey, Stein, &amp; Stein, 2008)</w:t>
      </w:r>
      <w:r>
        <w:rPr>
          <w:rFonts w:eastAsia="Sabon-Roman"/>
          <w:sz w:val="24"/>
          <w:szCs w:val="24"/>
        </w:rPr>
        <w:fldChar w:fldCharType="end"/>
      </w:r>
      <w:r>
        <w:rPr>
          <w:rFonts w:eastAsia="Sabon-Roman"/>
          <w:sz w:val="24"/>
          <w:szCs w:val="24"/>
        </w:rPr>
        <w:t>.</w:t>
      </w:r>
      <w:r w:rsidRPr="00190240">
        <w:rPr>
          <w:rFonts w:eastAsia="Sabon-Roman"/>
          <w:sz w:val="24"/>
          <w:szCs w:val="24"/>
        </w:rPr>
        <w:t xml:space="preserve"> </w:t>
      </w:r>
      <w:r>
        <w:rPr>
          <w:rFonts w:eastAsia="Sabon-Roman"/>
          <w:sz w:val="24"/>
          <w:szCs w:val="24"/>
        </w:rPr>
        <w:t>A</w:t>
      </w:r>
      <w:r w:rsidR="006A29D2" w:rsidRPr="00DE6417">
        <w:rPr>
          <w:rFonts w:eastAsia="Sabon-Roman"/>
          <w:sz w:val="24"/>
          <w:szCs w:val="24"/>
        </w:rPr>
        <w:t xml:space="preserve">nxiety </w:t>
      </w:r>
      <w:r>
        <w:rPr>
          <w:rFonts w:eastAsia="Sabon-Roman"/>
          <w:sz w:val="24"/>
          <w:szCs w:val="24"/>
        </w:rPr>
        <w:t xml:space="preserve">symptoms have also been found to </w:t>
      </w:r>
      <w:r w:rsidR="005D2862">
        <w:rPr>
          <w:rFonts w:eastAsia="Sabon-Roman"/>
          <w:sz w:val="24"/>
          <w:szCs w:val="24"/>
        </w:rPr>
        <w:t xml:space="preserve">disrupt </w:t>
      </w:r>
      <w:r w:rsidR="007F1616">
        <w:rPr>
          <w:rFonts w:eastAsia="Sabon-Roman"/>
          <w:sz w:val="24"/>
          <w:szCs w:val="24"/>
        </w:rPr>
        <w:t>performance on tasks requiring</w:t>
      </w:r>
      <w:r w:rsidR="005D2862">
        <w:rPr>
          <w:rFonts w:eastAsia="Sabon-Roman"/>
          <w:sz w:val="24"/>
          <w:szCs w:val="24"/>
        </w:rPr>
        <w:t xml:space="preserve"> </w:t>
      </w:r>
      <w:r w:rsidR="007F1616">
        <w:rPr>
          <w:rFonts w:eastAsia="Sabon-Roman"/>
          <w:sz w:val="24"/>
          <w:szCs w:val="24"/>
        </w:rPr>
        <w:t xml:space="preserve">executive control of </w:t>
      </w:r>
      <w:r w:rsidR="006A29D2" w:rsidRPr="00A75594">
        <w:rPr>
          <w:rFonts w:eastAsia="Sabon-Roman"/>
          <w:sz w:val="24"/>
          <w:szCs w:val="24"/>
        </w:rPr>
        <w:t>attention</w:t>
      </w:r>
      <w:r w:rsidR="007F1616">
        <w:rPr>
          <w:rFonts w:eastAsia="Sabon-Roman"/>
          <w:sz w:val="24"/>
          <w:szCs w:val="24"/>
        </w:rPr>
        <w:t xml:space="preserve">. In contrast to ADHD, </w:t>
      </w:r>
      <w:r w:rsidR="009007FA">
        <w:rPr>
          <w:rFonts w:eastAsia="Sabon-Roman"/>
          <w:sz w:val="24"/>
          <w:szCs w:val="24"/>
        </w:rPr>
        <w:t>c</w:t>
      </w:r>
      <w:r w:rsidR="00E45D38">
        <w:rPr>
          <w:rFonts w:eastAsia="Sabon-Roman"/>
          <w:sz w:val="24"/>
          <w:szCs w:val="24"/>
        </w:rPr>
        <w:t xml:space="preserve">ognitive processing </w:t>
      </w:r>
      <w:r w:rsidR="009007FA">
        <w:rPr>
          <w:rFonts w:eastAsia="Sabon-Roman"/>
          <w:sz w:val="24"/>
          <w:szCs w:val="24"/>
        </w:rPr>
        <w:t xml:space="preserve">in </w:t>
      </w:r>
      <w:r w:rsidR="009007FA">
        <w:rPr>
          <w:rFonts w:eastAsia="Sabon-Roman"/>
          <w:sz w:val="24"/>
          <w:szCs w:val="24"/>
        </w:rPr>
        <w:lastRenderedPageBreak/>
        <w:t xml:space="preserve">anxiety </w:t>
      </w:r>
      <w:r w:rsidR="00E45D38">
        <w:rPr>
          <w:rFonts w:eastAsia="Sabon-Roman"/>
          <w:sz w:val="24"/>
          <w:szCs w:val="24"/>
        </w:rPr>
        <w:t xml:space="preserve">is </w:t>
      </w:r>
      <w:r w:rsidR="005D4FFF">
        <w:rPr>
          <w:rFonts w:eastAsia="Sabon-Roman"/>
          <w:sz w:val="24"/>
          <w:szCs w:val="24"/>
        </w:rPr>
        <w:t xml:space="preserve">hypothesised to </w:t>
      </w:r>
      <w:r w:rsidR="00E45D38">
        <w:rPr>
          <w:rFonts w:eastAsia="Sabon-Roman"/>
          <w:sz w:val="24"/>
          <w:szCs w:val="24"/>
        </w:rPr>
        <w:t xml:space="preserve">emerge most clearly in the context of perceived or actual internal (i.e., </w:t>
      </w:r>
      <w:r w:rsidR="00E220E3">
        <w:rPr>
          <w:rFonts w:eastAsia="Sabon-Roman"/>
          <w:sz w:val="24"/>
          <w:szCs w:val="24"/>
        </w:rPr>
        <w:t>uncontrollable worry</w:t>
      </w:r>
      <w:r w:rsidR="00E45D38">
        <w:rPr>
          <w:rFonts w:eastAsia="Sabon-Roman"/>
          <w:sz w:val="24"/>
          <w:szCs w:val="24"/>
        </w:rPr>
        <w:t>) or external threat</w:t>
      </w:r>
      <w:r w:rsidR="00D54134">
        <w:rPr>
          <w:rFonts w:eastAsia="Sabon-Roman"/>
          <w:sz w:val="24"/>
          <w:szCs w:val="24"/>
        </w:rPr>
        <w:t xml:space="preserve"> - typically</w:t>
      </w:r>
      <w:r w:rsidR="00E45D38">
        <w:rPr>
          <w:rFonts w:eastAsia="Sabon-Roman"/>
          <w:sz w:val="24"/>
          <w:szCs w:val="24"/>
        </w:rPr>
        <w:t xml:space="preserve"> characterised </w:t>
      </w:r>
      <w:r w:rsidR="001C2D2E">
        <w:rPr>
          <w:rFonts w:eastAsia="Sabon-Roman"/>
          <w:sz w:val="24"/>
          <w:szCs w:val="24"/>
        </w:rPr>
        <w:t>as</w:t>
      </w:r>
      <w:r w:rsidR="00D54134">
        <w:rPr>
          <w:rFonts w:eastAsia="Sabon-Roman"/>
          <w:sz w:val="24"/>
          <w:szCs w:val="24"/>
        </w:rPr>
        <w:t xml:space="preserve"> </w:t>
      </w:r>
      <w:r w:rsidR="00E45D38">
        <w:rPr>
          <w:rFonts w:eastAsia="Sabon-Roman"/>
          <w:sz w:val="24"/>
          <w:szCs w:val="24"/>
        </w:rPr>
        <w:t>an a</w:t>
      </w:r>
      <w:r w:rsidR="00E220E3">
        <w:rPr>
          <w:rFonts w:eastAsia="Sabon-Roman"/>
          <w:sz w:val="24"/>
          <w:szCs w:val="24"/>
        </w:rPr>
        <w:t xml:space="preserve">ttentional bias </w:t>
      </w:r>
      <w:r w:rsidR="00E45D38">
        <w:rPr>
          <w:rFonts w:eastAsia="Sabon-Roman"/>
          <w:sz w:val="24"/>
          <w:szCs w:val="24"/>
        </w:rPr>
        <w:t xml:space="preserve">for threat </w:t>
      </w:r>
      <w:r w:rsidR="006A29D2" w:rsidRPr="00A75594">
        <w:rPr>
          <w:rFonts w:eastAsia="Sabon-Roman"/>
          <w:sz w:val="24"/>
          <w:szCs w:val="24"/>
        </w:rPr>
        <w:t xml:space="preserve">(review by see </w:t>
      </w:r>
      <w:r w:rsidR="006A29D2" w:rsidRPr="00A75594">
        <w:rPr>
          <w:rFonts w:eastAsia="Sabon-Roman"/>
          <w:sz w:val="24"/>
          <w:szCs w:val="24"/>
        </w:rPr>
        <w:fldChar w:fldCharType="begin" w:fldLock="1"/>
      </w:r>
      <w:r w:rsidR="002A0354">
        <w:rPr>
          <w:rFonts w:eastAsia="Sabon-Roman"/>
          <w:sz w:val="24"/>
          <w:szCs w:val="24"/>
        </w:rPr>
        <w:instrText>ADDIN CSL_CITATION {"citationItems":[{"id":"ITEM-1","itemData":{"DOI":"10.1016/j.cpr.2013.10.006","ISSN":"02727358","PMID":"24286750","abstract":"Theoretical frameworks of anxiety propose that attentional biases to threat-related stimuli cause or maintain anxious states. The current paper draws on theoretical frameworks and key empirical studies to outline the distinctive attentional processes highlighted as being important in understanding anxiety. We develop a conceptual framework to make a distinction between two attentional biases: selective attention to threat and hypervigilance for threat. We suggest that these biases each have a different purpose and can account for the typical patterns of facilitated and impaired attention evident in anxious individuals. The framework is novel in its specification of the eye movement behavior associated with these attentional biases. We highlight that selective attention involves narrowing overt attention onto threat to ensure that these stimuli receive processing priority, leading to rapid engagement with task-relevant threat and delayed disengagement from task-irrelevant threat. We show that hypervigilance operates in the presence and absence of threat and involves monitoring for potential dangers via attentional broadening or excessive scanning of the environment with numerous eye movements, leading to improved threat detection and increased distraction from task-irrelevant threat. We conclude that future research could usefully employ eye movement measures to more clearly understand the diverse roles of attention in anxiety.","author":[{"dropping-particle":"","family":"Richards","given":"Helen J.","non-dropping-particle":"","parse-names":false,"suffix":""},{"dropping-particle":"","family":"Benson","given":"Valerie","non-dropping-particle":"","parse-names":false,"suffix":""},{"dropping-particle":"","family":"Donnelly","given":"Nick","non-dropping-particle":"","parse-names":false,"suffix":""},{"dropping-particle":"","family":"Hadwin","given":"Julie A.","non-dropping-particle":"","parse-names":false,"suffix":""}],"container-title":"Clinical Psychology Review","id":"ITEM-1","issue":"1","issued":{"date-parts":[["2014","2"]]},"page":"1-13","title":"Exploring the function of selective attention and hypervigilance for threat in anxiety","type":"article-journal","volume":"34"},"uris":["http://www.mendeley.com/documents/?uuid=ff51dc2d-cb32-4a67-92c1-da6591d546ec"]}],"mendeley":{"formattedCitation":"(Richards, Benson, Donnelly, &amp; Hadwin, 2014)","manualFormatting":"Richards, Benson, Donnelly, &amp; Hadwin, 2014)","plainTextFormattedCitation":"(Richards, Benson, Donnelly, &amp; Hadwin, 2014)","previouslyFormattedCitation":"(Richards, Benson, Donnelly, &amp; Hadwin, 2014)"},"properties":{"noteIndex":0},"schema":"https://github.com/citation-style-language/schema/raw/master/csl-citation.json"}</w:instrText>
      </w:r>
      <w:r w:rsidR="006A29D2" w:rsidRPr="00A75594">
        <w:rPr>
          <w:rFonts w:eastAsia="Sabon-Roman"/>
          <w:sz w:val="24"/>
          <w:szCs w:val="24"/>
        </w:rPr>
        <w:fldChar w:fldCharType="separate"/>
      </w:r>
      <w:r w:rsidR="006A29D2" w:rsidRPr="00A75594">
        <w:rPr>
          <w:rFonts w:eastAsia="Sabon-Roman"/>
          <w:noProof/>
          <w:sz w:val="24"/>
          <w:szCs w:val="24"/>
        </w:rPr>
        <w:t>Richards, Benson, Donnelly, &amp; Hadwin, 2014)</w:t>
      </w:r>
      <w:r w:rsidR="006A29D2" w:rsidRPr="00A75594">
        <w:rPr>
          <w:rFonts w:eastAsia="Sabon-Roman"/>
          <w:sz w:val="24"/>
          <w:szCs w:val="24"/>
        </w:rPr>
        <w:fldChar w:fldCharType="end"/>
      </w:r>
      <w:r w:rsidR="006A29D2" w:rsidRPr="00A75594">
        <w:rPr>
          <w:rFonts w:eastAsia="Sabon-Roman"/>
          <w:sz w:val="24"/>
          <w:szCs w:val="24"/>
        </w:rPr>
        <w:t xml:space="preserve">. </w:t>
      </w:r>
      <w:r w:rsidR="00C62577">
        <w:rPr>
          <w:rFonts w:eastAsia="Sabon-Roman"/>
          <w:sz w:val="24"/>
          <w:szCs w:val="24"/>
        </w:rPr>
        <w:t>For example, c</w:t>
      </w:r>
      <w:r w:rsidR="006A29D2" w:rsidRPr="00A75594">
        <w:rPr>
          <w:rFonts w:eastAsia="Sabon-Roman"/>
          <w:sz w:val="24"/>
          <w:szCs w:val="24"/>
        </w:rPr>
        <w:t xml:space="preserve">ognitive biases have been demonstrated </w:t>
      </w:r>
      <w:r w:rsidR="00D54134">
        <w:rPr>
          <w:rFonts w:eastAsia="Sabon-Roman"/>
          <w:sz w:val="24"/>
          <w:szCs w:val="24"/>
        </w:rPr>
        <w:t>as</w:t>
      </w:r>
      <w:r w:rsidR="006A29D2" w:rsidRPr="00A75594">
        <w:rPr>
          <w:rFonts w:eastAsia="Sabon-Roman"/>
          <w:sz w:val="24"/>
          <w:szCs w:val="24"/>
        </w:rPr>
        <w:t xml:space="preserve"> enhanced attention towards</w:t>
      </w:r>
      <w:r w:rsidR="00DB04CC" w:rsidRPr="00A75594">
        <w:rPr>
          <w:rFonts w:eastAsia="Sabon-Roman"/>
          <w:sz w:val="24"/>
          <w:szCs w:val="24"/>
        </w:rPr>
        <w:t xml:space="preserve"> </w:t>
      </w:r>
      <w:r w:rsidR="00F503D1">
        <w:rPr>
          <w:rFonts w:eastAsia="Sabon-Roman"/>
          <w:sz w:val="24"/>
          <w:szCs w:val="24"/>
        </w:rPr>
        <w:t xml:space="preserve">threat </w:t>
      </w:r>
      <w:r w:rsidR="00F65725" w:rsidRPr="00A75594">
        <w:rPr>
          <w:rFonts w:eastAsia="Sabon-Roman"/>
          <w:sz w:val="24"/>
          <w:szCs w:val="24"/>
        </w:rPr>
        <w:fldChar w:fldCharType="begin" w:fldLock="1"/>
      </w:r>
      <w:r w:rsidR="002A0354">
        <w:rPr>
          <w:rFonts w:eastAsia="Sabon-Roman"/>
          <w:sz w:val="24"/>
          <w:szCs w:val="24"/>
        </w:rPr>
        <w:instrText>ADDIN CSL_CITATION {"citationItems":[{"id":"ITEM-1","itemData":{"DOI":"10.1097/WNR.0b013e3282f53d2a","ISSN":"0959-4965","PMID":"18303563","abstract":"We investigated the electrophysiological markers of attentional bias for threat in anxiety. Low-anxiety and high-anxiety individuals performed a spatial-cueing task, in which an emotional facial expression (angry or happy) was presented alongside a neutral expression. Results revealed that angry expressions elicited an enhanced N2pc component, but that this was true only for those reporting high levels of trait anxiety. These results confirm the early capture of spatial attention by threat-related stimuli, and demonstrate that this early bias is modulated by trait anxiety. Enhanced P1 amplitudes to targets after presentations of angry expressions were also found; however, this effect was not modulated by trait anxiety levels. Our findings indicate that individual differences in temperament are an important determinant of the early neural response to threat.","author":[{"dropping-particle":"","family":"Fox","given":"Elaine","non-dropping-particle":"","parse-names":false,"suffix":""},{"dropping-particle":"","family":"Derakshan","given":"Nazanin","non-dropping-particle":"","parse-names":false,"suffix":""},{"dropping-particle":"","family":"Shoker","given":"Leor","non-dropping-particle":"","parse-names":false,"suffix":""}],"container-title":"Neuroreport","id":"ITEM-1","issue":"3","issued":{"date-parts":[["2008","2","12"]]},"page":"259-63","title":"Trait anxiety modulates the electrophysiological indices of rapid spatial orienting towards angry faces.","type":"article-journal","volume":"19"},"uris":["http://www.mendeley.com/documents/?uuid=0fa0023e-0c9f-3b98-b751-8c3afee304f3"]}],"mendeley":{"formattedCitation":"(Fox, Derakshan, &amp; Shoker, 2008)","manualFormatting":"(e.g. Fox, Derakshan, &amp; Shoker, 2008)","plainTextFormattedCitation":"(Fox, Derakshan, &amp; Shoker, 2008)","previouslyFormattedCitation":"(Fox, Derakshan, &amp; Shoker, 2008)"},"properties":{"noteIndex":0},"schema":"https://github.com/citation-style-language/schema/raw/master/csl-citation.json"}</w:instrText>
      </w:r>
      <w:r w:rsidR="00F65725" w:rsidRPr="00A75594">
        <w:rPr>
          <w:rFonts w:eastAsia="Sabon-Roman"/>
          <w:sz w:val="24"/>
          <w:szCs w:val="24"/>
        </w:rPr>
        <w:fldChar w:fldCharType="separate"/>
      </w:r>
      <w:r w:rsidR="00F65725" w:rsidRPr="00A75594">
        <w:rPr>
          <w:rFonts w:eastAsia="Sabon-Roman"/>
          <w:noProof/>
          <w:sz w:val="24"/>
          <w:szCs w:val="24"/>
        </w:rPr>
        <w:t>(e.g. Fox, Derakshan, &amp; Shoker, 2008)</w:t>
      </w:r>
      <w:r w:rsidR="00F65725" w:rsidRPr="00A75594">
        <w:rPr>
          <w:rFonts w:eastAsia="Sabon-Roman"/>
          <w:sz w:val="24"/>
          <w:szCs w:val="24"/>
        </w:rPr>
        <w:fldChar w:fldCharType="end"/>
      </w:r>
      <w:r w:rsidR="006A29D2" w:rsidRPr="00A75594">
        <w:rPr>
          <w:rFonts w:eastAsia="Sabon-Roman"/>
          <w:sz w:val="24"/>
          <w:szCs w:val="24"/>
        </w:rPr>
        <w:t xml:space="preserve">, difficulty disengaging attention from threatening stimuli (such as angry faces) </w:t>
      </w:r>
      <w:r w:rsidR="006A29D2" w:rsidRPr="00A75594">
        <w:rPr>
          <w:rFonts w:eastAsia="Sabon-Roman"/>
          <w:sz w:val="24"/>
          <w:szCs w:val="24"/>
        </w:rPr>
        <w:fldChar w:fldCharType="begin" w:fldLock="1"/>
      </w:r>
      <w:r w:rsidR="006A29D2" w:rsidRPr="00A75594">
        <w:rPr>
          <w:rFonts w:eastAsia="Sabon-Roman"/>
          <w:sz w:val="24"/>
          <w:szCs w:val="24"/>
        </w:rPr>
        <w:instrText>ADDIN CSL_CITATION {"citationItems":[{"id":"ITEM-1","itemData":{"DOI":"10.5127/jep.055316","ISSN":"2043-8087","abstract":"The current study used an eye-movement Remote Distractor Paradigm (RDP) to explore attention to threat and considered associations with personality traits (neuroticism and psychoticism) and self-reported friendship quality in children aged 9–11 years. The RDP asked children to look at and identify a target presented on a computer display in the presence or absence of a central, parafoveal or peripheral visual distractor (an angry, happy or neutral face). The results showed that symptoms of neuroticism were associated with hypervigilance for threat (i.e., slower latencies to initiate eye movements to the target in the presence of angry versus happy or neutral faces). In addition, when distractors were presented centrally, this relationship was most evident in children who reported lower levels of attentional control. Psychoticism traits were associated with increased selective attention to all distractors (as measured by directional errors to face stimuli) and to child reported lower friendship quality. Mo...","author":[{"dropping-particle":"","family":"Pavlou","given":"Katerina","non-dropping-particle":"","parse-names":false,"suffix":""},{"dropping-particle":"","family":"Benson","given":"Valerie","non-dropping-particle":"","parse-names":false,"suffix":""},{"dropping-particle":"","family":"Hadwin","given":"Julie A.","non-dropping-particle":"","parse-names":false,"suffix":""}],"container-title":"Journal of Experimental Psychopathology","id":"ITEM-1","issue":"3","issued":{"date-parts":[["2016","1","23"]]},"page":"jep.055316","publisher":"SAGE PublicationsSage UK: London, England","title":"Exploring Links between Neuroticism and Psychoticism Personality Traits, Attentional Biases to Threat and Friendship Quality in 9–11-year-olds","type":"article-journal","volume":"7"},"uris":["http://www.mendeley.com/documents/?uuid=1aeab5d9-444a-3e29-b65b-4d49dc2bbc46"]}],"mendeley":{"formattedCitation":"(Pavlou, Benson, &amp; Hadwin, 2016)","manualFormatting":"(e.g., Pavlou, Benson, &amp; Hadwin, 2016)","plainTextFormattedCitation":"(Pavlou, Benson, &amp; Hadwin, 2016)","previouslyFormattedCitation":"(Pavlou, Benson, &amp; Hadwin, 2016)"},"properties":{"noteIndex":0},"schema":"https://github.com/citation-style-language/schema/raw/master/csl-citation.json"}</w:instrText>
      </w:r>
      <w:r w:rsidR="006A29D2" w:rsidRPr="00A75594">
        <w:rPr>
          <w:rFonts w:eastAsia="Sabon-Roman"/>
          <w:sz w:val="24"/>
          <w:szCs w:val="24"/>
        </w:rPr>
        <w:fldChar w:fldCharType="separate"/>
      </w:r>
      <w:r w:rsidR="006A29D2" w:rsidRPr="00A75594">
        <w:rPr>
          <w:rFonts w:eastAsia="Sabon-Roman"/>
          <w:noProof/>
          <w:sz w:val="24"/>
          <w:szCs w:val="24"/>
        </w:rPr>
        <w:t>(e.g., Pavlou, Benson, &amp; Hadwin, 2016)</w:t>
      </w:r>
      <w:r w:rsidR="006A29D2" w:rsidRPr="00A75594">
        <w:rPr>
          <w:rFonts w:eastAsia="Sabon-Roman"/>
          <w:sz w:val="24"/>
          <w:szCs w:val="24"/>
        </w:rPr>
        <w:fldChar w:fldCharType="end"/>
      </w:r>
      <w:r w:rsidR="00E220E3" w:rsidRPr="00C070BF">
        <w:rPr>
          <w:rFonts w:eastAsia="Sabon-Roman"/>
          <w:sz w:val="24"/>
          <w:szCs w:val="24"/>
        </w:rPr>
        <w:t xml:space="preserve"> as well as attentional avoidance of threat</w:t>
      </w:r>
      <w:r w:rsidR="00E220E3">
        <w:rPr>
          <w:rFonts w:eastAsia="Sabon-Roman"/>
          <w:sz w:val="24"/>
          <w:szCs w:val="24"/>
        </w:rPr>
        <w:t xml:space="preserve"> </w:t>
      </w:r>
      <w:r w:rsidR="00E220E3" w:rsidRPr="00C070BF">
        <w:rPr>
          <w:rFonts w:eastAsia="Sabon-Roman"/>
          <w:sz w:val="24"/>
          <w:szCs w:val="24"/>
        </w:rPr>
        <w:fldChar w:fldCharType="begin" w:fldLock="1"/>
      </w:r>
      <w:r w:rsidR="004000CB">
        <w:rPr>
          <w:rFonts w:eastAsia="Sabon-Roman"/>
          <w:sz w:val="24"/>
          <w:szCs w:val="24"/>
        </w:rPr>
        <w:instrText>ADDIN CSL_CITATION {"citationItems":[{"id":"ITEM-1","itemData":{"DOI":"10.1080/02699930341000158","ISSN":"0269-9931","author":[{"dropping-particle":"","family":"Mogg","given":"Karin","non-dropping-particle":"","parse-names":false,"suffix":""},{"dropping-particle":"","family":"Bradley","given":"Brendan","non-dropping-particle":"","parse-names":false,"suffix":""},{"dropping-particle":"","family":"Miles","given":"Felicity","non-dropping-particle":"","parse-names":false,"suffix":""},{"dropping-particle":"","family":"Dixon","given":"Rachel","non-dropping-particle":"","parse-names":false,"suffix":""}],"container-title":"Cognition &amp; Emotion","id":"ITEM-1","issue":"5","issued":{"date-parts":[["2004","8"]]},"page":"689-700","title":"BRIEF REPORT Time course of att</w:instrText>
      </w:r>
      <w:r w:rsidR="004000CB">
        <w:rPr>
          <w:rFonts w:eastAsia="Sabon-Roman" w:hint="eastAsia"/>
          <w:sz w:val="24"/>
          <w:szCs w:val="24"/>
        </w:rPr>
        <w:instrText>entional bias for threat scenes: Testing the vigilance</w:instrText>
      </w:r>
      <w:r w:rsidR="004000CB">
        <w:rPr>
          <w:rFonts w:eastAsia="Sabon-Roman" w:hint="eastAsia"/>
          <w:sz w:val="24"/>
          <w:szCs w:val="24"/>
        </w:rPr>
        <w:instrText>‐</w:instrText>
      </w:r>
      <w:r w:rsidR="004000CB">
        <w:rPr>
          <w:rFonts w:eastAsia="Sabon-Roman" w:hint="eastAsia"/>
          <w:sz w:val="24"/>
          <w:szCs w:val="24"/>
        </w:rPr>
        <w:instrText>avoidance hypothesis","type":"article-journal","volume":"18"},"uris":["http://www.mendeley.com/documents/?uuid=eed36dc7-1da1-3356-9cd8-37d4adc20caf"]},{"id":"ITEM-2","itemData":{"abstract":"There is a</w:instrText>
      </w:r>
      <w:r w:rsidR="004000CB">
        <w:rPr>
          <w:rFonts w:eastAsia="Sabon-Roman"/>
          <w:sz w:val="24"/>
          <w:szCs w:val="24"/>
        </w:rPr>
        <w:instrText xml:space="preserve"> wealth of evidence demonstrating enhanced attention to threat in high trait anxious individuals (HTA) compared with low trait anxious individuals (LTA). In two experiments, we investigated whether this attentional bias is related to facilitated attentional engagement to threat or difficulties disengaging attention from threat. HTA and LTA undergraduates performed a modified exogenous cueing task, in which the location of a target was correctly or incorrectly cued by neutral, highly and mildly threatening pictures. Results indicate that at 100ms picture presentation, HTA individuals more strongly engaged their attention with and showed impaired disengagement from highly threatening pictures than LTA individuals. In addition, HTA individuals showed a stronger tendency to attentional avoidance of threat at the 200 and 500ms picture presentation. These data provide evidence for differential patterns of anxiety-related biases in attentive processing of threat at early versus later stages of information processing.","author":[{"dropping-particle":"","family":"Koster","given":"Ernst H.W.","non-dropping-particle":"","parse-names":false,"suffix":""},{"dropping-particle":"","family":"Crombez","given":"Geert","non-dropping-particle":"","parse-names":false,"suffix":""},{"dropping-particle":"","family":"Verschuere","given":"Bruno","non-dropping-particle":"","parse-names":false,"suffix":""},{"dropping-particle":"","family":"Damme","given":"Stefaan","non-dropping-particle":"Van","parse-names":false,"suffix":""},{"dropping-particle":"","family":"Wiersema","given":"Jan Roelf","non-dropping-particle":"","parse-names":false,"suffix":""}],"container-title":"Behaviour Research and Therapy","id":"ITEM-2","issue":"12","issued":{"date-parts":[["2006","12","1"]]},"page":"1757-1771","publisher":"Pergamon","title":"Components of attentional bias to threat in high trait anxiety: Facilitated engagement, impaired disengagement, and attentional avoidance","type":"article-journal","volume":"44"},"uris":["http://www.mendeley.com/documents/?uuid=8a29fd38-1cfb-4ffd-ab64-da939ccdc5b4"]}],"mendeley":{"formattedCitation":"(Koster, Crombez, Verschuere, Van Damme, &amp; Wiersema, 2006; Mogg, Bradley, Miles, &amp; Dixon, 2004)","manualFormatting":"(i.e., from negative scenes; Koster, Crombez, Verschuere, Van Damme, &amp; Wiersema, 2006; Mogg, Bradley, Miles, &amp; Dixon, 2004)","plainTextFormattedCitation":"(Koster, Crombez, Verschuere, Van Damme, &amp; Wiersema, 2006; Mogg, Bradley, Miles, &amp; Dixon, 2004)","previouslyFormattedCitation":"(Koster, Crombez, Verschuere, Van Damme, &amp; Wiersema, 2006; Mogg, Bradley, Miles, &amp; Dixon, 2004)"},"properties":{"noteIndex":0},"schema":"https://github.com/citation-style-language/schema/raw/master/csl-citation.json"}</w:instrText>
      </w:r>
      <w:r w:rsidR="00E220E3" w:rsidRPr="00C070BF">
        <w:rPr>
          <w:rFonts w:eastAsia="Sabon-Roman"/>
          <w:sz w:val="24"/>
          <w:szCs w:val="24"/>
        </w:rPr>
        <w:fldChar w:fldCharType="separate"/>
      </w:r>
      <w:r w:rsidR="00E220E3" w:rsidRPr="00C070BF">
        <w:rPr>
          <w:rFonts w:eastAsia="Sabon-Roman"/>
          <w:noProof/>
          <w:sz w:val="24"/>
          <w:szCs w:val="24"/>
        </w:rPr>
        <w:t>(i.e., from negative scenes; Koster, Crombez, Verschuere, Van Damme, &amp; Wiersema, 2006; Mogg, Bradley, Miles, &amp; Dixon, 2004)</w:t>
      </w:r>
      <w:r w:rsidR="00E220E3" w:rsidRPr="00C070BF">
        <w:rPr>
          <w:rFonts w:eastAsia="Sabon-Roman"/>
          <w:sz w:val="24"/>
          <w:szCs w:val="24"/>
        </w:rPr>
        <w:fldChar w:fldCharType="end"/>
      </w:r>
      <w:r w:rsidR="00E220E3" w:rsidRPr="00C070BF">
        <w:rPr>
          <w:rFonts w:eastAsia="Sabon-Roman"/>
          <w:sz w:val="24"/>
          <w:szCs w:val="24"/>
        </w:rPr>
        <w:t xml:space="preserve">. </w:t>
      </w:r>
      <w:r w:rsidR="005D6893">
        <w:rPr>
          <w:rFonts w:eastAsia="Sabon-Roman"/>
          <w:sz w:val="24"/>
          <w:szCs w:val="24"/>
        </w:rPr>
        <w:t xml:space="preserve">Further frameworks suggest that anxiety </w:t>
      </w:r>
      <w:r w:rsidR="001C7988">
        <w:rPr>
          <w:rFonts w:eastAsia="Sabon-Roman"/>
          <w:sz w:val="24"/>
          <w:szCs w:val="24"/>
        </w:rPr>
        <w:t xml:space="preserve">negatively </w:t>
      </w:r>
      <w:r w:rsidR="005D6893">
        <w:rPr>
          <w:rFonts w:eastAsia="Sabon-Roman"/>
          <w:sz w:val="24"/>
          <w:szCs w:val="24"/>
        </w:rPr>
        <w:t xml:space="preserve">impacts </w:t>
      </w:r>
      <w:r w:rsidR="001C7988">
        <w:rPr>
          <w:rFonts w:eastAsia="Sabon-Roman"/>
          <w:sz w:val="24"/>
          <w:szCs w:val="24"/>
        </w:rPr>
        <w:t xml:space="preserve">individuals’ processing </w:t>
      </w:r>
      <w:r w:rsidR="00B351C0" w:rsidRPr="00B351C0">
        <w:rPr>
          <w:rFonts w:eastAsia="Sabon-Roman"/>
          <w:sz w:val="24"/>
          <w:szCs w:val="24"/>
        </w:rPr>
        <w:t xml:space="preserve">efficiency </w:t>
      </w:r>
      <w:r w:rsidR="005D6893">
        <w:rPr>
          <w:rFonts w:eastAsia="Sabon-Roman"/>
          <w:sz w:val="24"/>
          <w:szCs w:val="24"/>
        </w:rPr>
        <w:t>on</w:t>
      </w:r>
      <w:r w:rsidR="001C7988">
        <w:rPr>
          <w:rFonts w:eastAsia="Sabon-Roman"/>
          <w:sz w:val="24"/>
          <w:szCs w:val="24"/>
        </w:rPr>
        <w:t xml:space="preserve"> cognitive </w:t>
      </w:r>
      <w:r w:rsidR="005D6893">
        <w:rPr>
          <w:rFonts w:eastAsia="Sabon-Roman"/>
          <w:sz w:val="24"/>
          <w:szCs w:val="24"/>
        </w:rPr>
        <w:t>tasks</w:t>
      </w:r>
      <w:r w:rsidR="001C7988">
        <w:rPr>
          <w:rFonts w:eastAsia="Sabon-Roman"/>
          <w:sz w:val="24"/>
          <w:szCs w:val="24"/>
        </w:rPr>
        <w:t>, such that</w:t>
      </w:r>
      <w:r w:rsidR="00B351C0" w:rsidRPr="00B351C0">
        <w:rPr>
          <w:rFonts w:eastAsia="Sabon-Roman"/>
          <w:sz w:val="24"/>
          <w:szCs w:val="24"/>
        </w:rPr>
        <w:t xml:space="preserve"> performance levels </w:t>
      </w:r>
      <w:r w:rsidR="001C7988">
        <w:rPr>
          <w:rFonts w:eastAsia="Sabon-Roman"/>
          <w:sz w:val="24"/>
          <w:szCs w:val="24"/>
        </w:rPr>
        <w:t xml:space="preserve">similar to non-anxious individuals are only achieved via increased effort or time </w:t>
      </w:r>
      <w:r w:rsidR="00B351C0" w:rsidRPr="00B351C0">
        <w:rPr>
          <w:rFonts w:eastAsia="Sabon-Roman"/>
          <w:sz w:val="24"/>
          <w:szCs w:val="24"/>
        </w:rPr>
        <w:t>(</w:t>
      </w:r>
      <w:r w:rsidR="005D6893" w:rsidRPr="005D6893">
        <w:rPr>
          <w:rFonts w:eastAsia="Sabon-Roman"/>
          <w:sz w:val="24"/>
          <w:szCs w:val="24"/>
        </w:rPr>
        <w:t xml:space="preserve">Eysenck, </w:t>
      </w:r>
      <w:proofErr w:type="spellStart"/>
      <w:r w:rsidR="005D6893" w:rsidRPr="005D6893">
        <w:rPr>
          <w:rFonts w:eastAsia="Sabon-Roman"/>
          <w:sz w:val="24"/>
          <w:szCs w:val="24"/>
        </w:rPr>
        <w:t>Derakshan</w:t>
      </w:r>
      <w:proofErr w:type="spellEnd"/>
      <w:r w:rsidR="005D6893" w:rsidRPr="005D6893">
        <w:rPr>
          <w:rFonts w:eastAsia="Sabon-Roman"/>
          <w:sz w:val="24"/>
          <w:szCs w:val="24"/>
        </w:rPr>
        <w:t>, Santos, &amp; Calvo, 2007</w:t>
      </w:r>
      <w:r w:rsidR="005D6893">
        <w:rPr>
          <w:rFonts w:eastAsia="Sabon-Roman"/>
          <w:sz w:val="24"/>
          <w:szCs w:val="24"/>
        </w:rPr>
        <w:t xml:space="preserve">; </w:t>
      </w:r>
      <w:r w:rsidR="00B351C0" w:rsidRPr="00B351C0">
        <w:rPr>
          <w:rFonts w:eastAsia="Sabon-Roman"/>
          <w:sz w:val="24"/>
          <w:szCs w:val="24"/>
        </w:rPr>
        <w:t xml:space="preserve">Eysenck &amp; </w:t>
      </w:r>
      <w:proofErr w:type="spellStart"/>
      <w:r w:rsidR="00B351C0" w:rsidRPr="00B351C0">
        <w:rPr>
          <w:rFonts w:eastAsia="Sabon-Roman"/>
          <w:sz w:val="24"/>
          <w:szCs w:val="24"/>
        </w:rPr>
        <w:t>Derakshan</w:t>
      </w:r>
      <w:proofErr w:type="spellEnd"/>
      <w:r w:rsidR="00B351C0" w:rsidRPr="00B351C0">
        <w:rPr>
          <w:rFonts w:eastAsia="Sabon-Roman"/>
          <w:sz w:val="24"/>
          <w:szCs w:val="24"/>
        </w:rPr>
        <w:t xml:space="preserve">, 2011).  Several studies have found links between reduced efficiency and increased anxiety symptoms in adults, as reflected in slower saccade onsets in an </w:t>
      </w:r>
      <w:proofErr w:type="spellStart"/>
      <w:r w:rsidR="00B351C0" w:rsidRPr="00B351C0">
        <w:rPr>
          <w:rFonts w:eastAsia="Sabon-Roman"/>
          <w:sz w:val="24"/>
          <w:szCs w:val="24"/>
        </w:rPr>
        <w:t>antisaccade</w:t>
      </w:r>
      <w:proofErr w:type="spellEnd"/>
      <w:r w:rsidR="00B351C0" w:rsidRPr="00B351C0">
        <w:rPr>
          <w:rFonts w:eastAsia="Sabon-Roman"/>
          <w:sz w:val="24"/>
          <w:szCs w:val="24"/>
        </w:rPr>
        <w:t xml:space="preserve"> task (</w:t>
      </w:r>
      <w:proofErr w:type="spellStart"/>
      <w:r w:rsidR="00B351C0" w:rsidRPr="00B351C0">
        <w:rPr>
          <w:rFonts w:eastAsia="Sabon-Roman"/>
          <w:sz w:val="24"/>
          <w:szCs w:val="24"/>
        </w:rPr>
        <w:t>Hepsomali</w:t>
      </w:r>
      <w:proofErr w:type="spellEnd"/>
      <w:r w:rsidR="00B351C0" w:rsidRPr="00B351C0">
        <w:rPr>
          <w:rFonts w:eastAsia="Sabon-Roman"/>
          <w:sz w:val="24"/>
          <w:szCs w:val="24"/>
        </w:rPr>
        <w:t>, Hadwin, Liversedge, &amp; Garner, 2017), as well as greater Contingent Negative Variation (CNV; reflecting greater response preparation) and increased pupillary responses indicating increased effort (Hepsomali, Hadwin, Liversedge, Degno, &amp; Garner, 2019).</w:t>
      </w:r>
    </w:p>
    <w:p w14:paraId="35985AF8" w14:textId="1A1B1CEF" w:rsidR="006A29D2" w:rsidRDefault="00182979" w:rsidP="00C070BF">
      <w:pPr>
        <w:spacing w:line="480" w:lineRule="auto"/>
        <w:ind w:firstLine="576"/>
        <w:rPr>
          <w:sz w:val="24"/>
          <w:szCs w:val="24"/>
        </w:rPr>
      </w:pPr>
      <w:r>
        <w:rPr>
          <w:rFonts w:eastAsia="Sabon-Roman"/>
          <w:sz w:val="24"/>
          <w:szCs w:val="24"/>
        </w:rPr>
        <w:t xml:space="preserve">The </w:t>
      </w:r>
      <w:r w:rsidR="00C21579">
        <w:rPr>
          <w:rFonts w:eastAsia="Sabon-Roman"/>
          <w:sz w:val="24"/>
          <w:szCs w:val="24"/>
        </w:rPr>
        <w:t xml:space="preserve">shared focus on executive control in theories of ADHD and anxiety – despite their different underlying </w:t>
      </w:r>
      <w:r w:rsidR="004717AC">
        <w:rPr>
          <w:rFonts w:eastAsia="Sabon-Roman"/>
          <w:sz w:val="24"/>
          <w:szCs w:val="24"/>
        </w:rPr>
        <w:t xml:space="preserve">putative </w:t>
      </w:r>
      <w:r w:rsidR="00C21579">
        <w:rPr>
          <w:rFonts w:eastAsia="Sabon-Roman"/>
          <w:sz w:val="24"/>
          <w:szCs w:val="24"/>
        </w:rPr>
        <w:t>causes and manifestations</w:t>
      </w:r>
      <w:r w:rsidR="004A1DAC">
        <w:rPr>
          <w:rFonts w:eastAsia="Sabon-Roman"/>
          <w:sz w:val="24"/>
          <w:szCs w:val="24"/>
        </w:rPr>
        <w:t xml:space="preserve"> </w:t>
      </w:r>
      <w:r w:rsidR="00B2159E">
        <w:rPr>
          <w:rFonts w:eastAsia="Sabon-Roman"/>
          <w:sz w:val="24"/>
          <w:szCs w:val="24"/>
        </w:rPr>
        <w:t xml:space="preserve">- </w:t>
      </w:r>
      <w:r w:rsidR="006A29D2" w:rsidRPr="00A75594">
        <w:rPr>
          <w:rFonts w:eastAsia="Sabon-Roman"/>
          <w:sz w:val="24"/>
          <w:szCs w:val="24"/>
        </w:rPr>
        <w:t xml:space="preserve">raises </w:t>
      </w:r>
      <w:r w:rsidR="004A1DAC">
        <w:rPr>
          <w:rFonts w:eastAsia="Sabon-Roman"/>
          <w:sz w:val="24"/>
          <w:szCs w:val="24"/>
        </w:rPr>
        <w:t xml:space="preserve">the </w:t>
      </w:r>
      <w:r w:rsidR="00C309C6">
        <w:rPr>
          <w:rFonts w:eastAsia="Sabon-Roman"/>
          <w:sz w:val="24"/>
          <w:szCs w:val="24"/>
        </w:rPr>
        <w:t>important</w:t>
      </w:r>
      <w:r w:rsidR="006A29D2" w:rsidRPr="00A75594">
        <w:rPr>
          <w:rFonts w:eastAsia="Sabon-Roman"/>
          <w:sz w:val="24"/>
          <w:szCs w:val="24"/>
        </w:rPr>
        <w:t xml:space="preserve"> question </w:t>
      </w:r>
      <w:r w:rsidR="00A61663">
        <w:rPr>
          <w:rFonts w:eastAsia="Sabon-Roman"/>
          <w:sz w:val="24"/>
          <w:szCs w:val="24"/>
        </w:rPr>
        <w:t>about</w:t>
      </w:r>
      <w:r w:rsidR="00A61663" w:rsidRPr="00A75594">
        <w:rPr>
          <w:rFonts w:eastAsia="Sabon-Roman"/>
          <w:sz w:val="24"/>
          <w:szCs w:val="24"/>
        </w:rPr>
        <w:t xml:space="preserve"> </w:t>
      </w:r>
      <w:r w:rsidR="00A61663">
        <w:rPr>
          <w:rFonts w:eastAsia="Sabon-Roman"/>
          <w:sz w:val="24"/>
          <w:szCs w:val="24"/>
        </w:rPr>
        <w:t>how individuals with</w:t>
      </w:r>
      <w:r w:rsidR="00C309C6">
        <w:rPr>
          <w:rFonts w:eastAsia="Sabon-Roman"/>
          <w:sz w:val="24"/>
          <w:szCs w:val="24"/>
        </w:rPr>
        <w:t xml:space="preserve"> </w:t>
      </w:r>
      <w:r w:rsidR="00B2159E">
        <w:rPr>
          <w:rFonts w:eastAsia="Sabon-Roman"/>
          <w:sz w:val="24"/>
          <w:szCs w:val="24"/>
        </w:rPr>
        <w:t xml:space="preserve">co-occurring symptoms of ADHD and anxiety </w:t>
      </w:r>
      <w:r w:rsidR="00A61663">
        <w:rPr>
          <w:rFonts w:eastAsia="Sabon-Roman"/>
          <w:sz w:val="24"/>
          <w:szCs w:val="24"/>
        </w:rPr>
        <w:t xml:space="preserve">will be affected by the emotional content of stimuli presented during tasks. </w:t>
      </w:r>
      <w:r w:rsidR="00C309C6">
        <w:rPr>
          <w:rFonts w:eastAsia="Sabon-Roman"/>
          <w:sz w:val="24"/>
          <w:szCs w:val="24"/>
        </w:rPr>
        <w:t xml:space="preserve">The studies that have explored </w:t>
      </w:r>
      <w:r w:rsidR="00CD6163">
        <w:rPr>
          <w:rFonts w:eastAsia="Sabon-Roman"/>
          <w:sz w:val="24"/>
          <w:szCs w:val="24"/>
        </w:rPr>
        <w:t xml:space="preserve">this </w:t>
      </w:r>
      <w:r w:rsidR="00C309C6">
        <w:rPr>
          <w:rFonts w:eastAsia="Sabon-Roman"/>
          <w:sz w:val="24"/>
          <w:szCs w:val="24"/>
        </w:rPr>
        <w:t xml:space="preserve">issue </w:t>
      </w:r>
      <w:r w:rsidR="00A61663">
        <w:rPr>
          <w:rFonts w:eastAsia="Sabon-Roman"/>
          <w:sz w:val="24"/>
          <w:szCs w:val="24"/>
        </w:rPr>
        <w:t xml:space="preserve">to date </w:t>
      </w:r>
      <w:r w:rsidR="00C309C6">
        <w:rPr>
          <w:rFonts w:eastAsia="Sabon-Roman"/>
          <w:sz w:val="24"/>
          <w:szCs w:val="24"/>
        </w:rPr>
        <w:t xml:space="preserve">have </w:t>
      </w:r>
      <w:r w:rsidR="006A29D2" w:rsidRPr="00A75594">
        <w:rPr>
          <w:sz w:val="24"/>
          <w:szCs w:val="24"/>
        </w:rPr>
        <w:t>found inconsistent results. Some studies have shown that</w:t>
      </w:r>
      <w:r w:rsidR="00D446C3">
        <w:rPr>
          <w:sz w:val="24"/>
          <w:szCs w:val="24"/>
        </w:rPr>
        <w:t>,</w:t>
      </w:r>
      <w:r w:rsidR="006A29D2" w:rsidRPr="00A75594">
        <w:rPr>
          <w:sz w:val="24"/>
          <w:szCs w:val="24"/>
        </w:rPr>
        <w:t xml:space="preserve"> </w:t>
      </w:r>
      <w:r w:rsidR="00C309C6">
        <w:rPr>
          <w:sz w:val="24"/>
          <w:szCs w:val="24"/>
        </w:rPr>
        <w:t>rather than exacerbating executive problems in ADHD, the prese</w:t>
      </w:r>
      <w:r w:rsidR="00677077">
        <w:rPr>
          <w:sz w:val="24"/>
          <w:szCs w:val="24"/>
        </w:rPr>
        <w:t xml:space="preserve">nce of anxiety </w:t>
      </w:r>
      <w:r w:rsidR="00CD6163">
        <w:rPr>
          <w:sz w:val="24"/>
          <w:szCs w:val="24"/>
        </w:rPr>
        <w:t xml:space="preserve">counter-acted </w:t>
      </w:r>
      <w:r w:rsidR="00677077">
        <w:rPr>
          <w:sz w:val="24"/>
          <w:szCs w:val="24"/>
        </w:rPr>
        <w:t xml:space="preserve">them </w:t>
      </w:r>
      <w:r w:rsidR="00D446C3">
        <w:rPr>
          <w:sz w:val="24"/>
          <w:szCs w:val="24"/>
        </w:rPr>
        <w:t>–</w:t>
      </w:r>
      <w:r w:rsidR="00C309C6">
        <w:rPr>
          <w:sz w:val="24"/>
          <w:szCs w:val="24"/>
        </w:rPr>
        <w:t xml:space="preserve"> </w:t>
      </w:r>
      <w:r w:rsidR="00D446C3">
        <w:rPr>
          <w:sz w:val="24"/>
          <w:szCs w:val="24"/>
        </w:rPr>
        <w:t xml:space="preserve">e.g., </w:t>
      </w:r>
      <w:r w:rsidR="00C309C6">
        <w:rPr>
          <w:sz w:val="24"/>
          <w:szCs w:val="24"/>
        </w:rPr>
        <w:t xml:space="preserve">improving performance on </w:t>
      </w:r>
      <w:r w:rsidR="006A29D2" w:rsidRPr="00A75594">
        <w:rPr>
          <w:sz w:val="24"/>
          <w:szCs w:val="24"/>
        </w:rPr>
        <w:t>response inhibition</w:t>
      </w:r>
      <w:r w:rsidR="00C309C6">
        <w:rPr>
          <w:sz w:val="24"/>
          <w:szCs w:val="24"/>
        </w:rPr>
        <w:t xml:space="preserve"> tasks</w:t>
      </w:r>
      <w:r w:rsidR="006A29D2" w:rsidRPr="00A75594">
        <w:rPr>
          <w:sz w:val="24"/>
          <w:szCs w:val="24"/>
        </w:rPr>
        <w:t xml:space="preserve"> </w:t>
      </w:r>
      <w:r w:rsidR="006A29D2" w:rsidRPr="00A75594">
        <w:rPr>
          <w:sz w:val="24"/>
          <w:szCs w:val="24"/>
        </w:rPr>
        <w:fldChar w:fldCharType="begin" w:fldLock="1"/>
      </w:r>
      <w:r w:rsidR="00292D52">
        <w:rPr>
          <w:sz w:val="24"/>
          <w:szCs w:val="24"/>
        </w:rPr>
        <w:instrText>ADDIN CSL_CITATION {"citationItems":[{"id":"ITEM-1","itemData":{"DOI":"10.1016/j.lindif.2014.07.010","ISSN":"10416080","abstract":"The present study examined the effects of Trait Anxiety on attentional task performance in children with and without attention deficit hyperactivity disorder (ADHD). 220 students between 8 and 12years performed two neuropsychological tasks related to selective and sustained attention. They were classified into four groups: ADHD+ANX, students with ADHD and Trait Anxiety (n=73); ADHD (n=53); ANX, a group with Trait Anxiety (n=15); and a non-clinical control group (n=41). Results offer evidence in both attentional tasks that the ADHD group performed worse than the non-clinical control and ANX groups, and the ANX group achieved similar results to the control group. Finally, the trait anxiety factor did not contribute to the performance of the different attentional tasks in the ADHD+ANX group. These results suggest important differences in ADHD symptomatology and comorbidity, indicating implications of these measures for differential diagnosis and treatment.","author":[{"dropping-particle":"","family":"Rodríguez","given":"Celestino","non-dropping-particle":"","parse-names":false,"suffix":""},{"dropping-particle":"","family":"González-Castro","given":"Paloma","non-dropping-particle":"","parse-names":false,"suffix":""},{"dropping-particle":"","family":"García","given":"Trinidad","non-dropping-particle":"","parse-names":false,"suffix":""},{"dropping-particle":"","family":"Núñez","given":"José Carlos","non-dropping-particle":"","parse-names":false,"suffix":""},{"dropping-particle":"","family":"Alvarez","given":"Luis","non-dropping-particle":"","parse-names":false,"suffix":""}],"container-title":"Learning and Individual Differences","id":"ITEM-1","issued":{"date-parts":[["2014","10"]]},"page":"147-152","title":"Attentional functions and trait anxiety in children with ADHD","type":"article-journal","volume":"35"},"uris":["http://www.mendeley.com/documents/?uuid=413fb1cd-1b6c-486c-ae6d-e49e859f0c16"]},{"id":"ITEM-2","itemData":{"DOI":"10.1177/1087054706286698","ISBN":"1087054706286","ISSN":"1087-0547","PMID":"17085624","abstract":"OBJECTIVE/METHOD: ADHD is often comorbid with anxiety disorders, with rates approaching 25% in many samples. This current review's goal is to examine the literature on ADHD with comorbid anxiety from 1998 to the present. RESULTS: Recent studies indicate that anxiety in ADHD may a) partially inhibit the impulsivity and response inhibition deficits, b) make working memory deficits worse, and c) may be qualitatively different from more phobic types of anxiety seen in pure anxiety samples. In examining subtypes of ADHD, measures of sluggish cognitive tempo show strong correlations with anxiety measures. Insights into the nature of the comorbidity between ADHD and anxiety may be gained by examining the possible comorbidity between Obsessive Compulsive Disorder and ADHD, shared risk factors for ADHD and anxiety, and the current pathogenic models of ADHD. CONCLUSION: The article concludes with a synthesis of the above work, along with directions for future research.","author":[{"dropping-particle":"","family":"Schatz","given":"David Beck","non-dropping-particle":"","parse-names":false,"suffix":""},{"dropping-particle":"","family":"Rostain","given":"Anthony L","non-dropping-particle":"","parse-names":false,"suffix":""}],"container-title":"Journal of attention disorders","id":"ITEM-2","issue":"2","issued":{"date-parts":[["2006","11","1"]]},"page":"141-9","title":"ADHD with comorbid anxiety: a review of the current literature.","type":"article-journal","volume":"10"},"uris":["http://www.mendeley.com/documents/?uuid=794a618d-bdab-4f7d-a134-9941574060e1"]}],"mendeley":{"formattedCitation":"(Rodríguez, González-Castro, García, Núñez, &amp; Alvarez, 2014; Schatz &amp; Rostain, 2006)","manualFormatting":"(e.g. Rodríguez, González-Castro, García, Núñez, &amp; Alvarez, 2014; for a review, see Schatz &amp; Rostain, 2006)","plainTextFormattedCitation":"(Rodríguez, González-Castro, García, Núñez, &amp; Alvarez, 2014; Schatz &amp; Rostain, 2006)","previouslyFormattedCitation":"(Rodríguez, González-Castro, García, Núñez, &amp; Alvarez, 2014; Schatz &amp; Rostain, 2006)"},"properties":{"noteIndex":0},"schema":"https://github.com/citation-style-language/schema/raw/master/csl-citation.json"}</w:instrText>
      </w:r>
      <w:r w:rsidR="006A29D2" w:rsidRPr="00A75594">
        <w:rPr>
          <w:sz w:val="24"/>
          <w:szCs w:val="24"/>
        </w:rPr>
        <w:fldChar w:fldCharType="separate"/>
      </w:r>
      <w:r w:rsidR="006A29D2" w:rsidRPr="00A75594">
        <w:rPr>
          <w:noProof/>
          <w:sz w:val="24"/>
          <w:szCs w:val="24"/>
        </w:rPr>
        <w:t>(e.g. Rodríguez, González-Castro, García, Núñez, &amp; Alvarez, 2014; for a review, see Schatz &amp; Rostain, 2006)</w:t>
      </w:r>
      <w:r w:rsidR="006A29D2" w:rsidRPr="00A75594">
        <w:rPr>
          <w:sz w:val="24"/>
          <w:szCs w:val="24"/>
        </w:rPr>
        <w:fldChar w:fldCharType="end"/>
      </w:r>
      <w:r w:rsidR="006A29D2" w:rsidRPr="00A75594">
        <w:rPr>
          <w:sz w:val="24"/>
          <w:szCs w:val="24"/>
        </w:rPr>
        <w:t xml:space="preserve">.  </w:t>
      </w:r>
      <w:r w:rsidR="00CD6163">
        <w:rPr>
          <w:sz w:val="24"/>
          <w:szCs w:val="24"/>
        </w:rPr>
        <w:t xml:space="preserve">Other </w:t>
      </w:r>
      <w:r w:rsidR="006A29D2" w:rsidRPr="00A75594">
        <w:rPr>
          <w:sz w:val="24"/>
          <w:szCs w:val="24"/>
        </w:rPr>
        <w:t xml:space="preserve">studies found </w:t>
      </w:r>
      <w:r w:rsidR="00C309C6">
        <w:rPr>
          <w:sz w:val="24"/>
          <w:szCs w:val="24"/>
        </w:rPr>
        <w:t xml:space="preserve">no impact of anxiety on ADHD </w:t>
      </w:r>
      <w:r w:rsidR="006A29D2" w:rsidRPr="00A75594">
        <w:rPr>
          <w:sz w:val="24"/>
          <w:szCs w:val="24"/>
        </w:rPr>
        <w:t xml:space="preserve">inhibitory difficulties </w:t>
      </w:r>
      <w:r w:rsidR="006A29D2" w:rsidRPr="00A75594">
        <w:rPr>
          <w:sz w:val="24"/>
          <w:szCs w:val="24"/>
        </w:rPr>
        <w:fldChar w:fldCharType="begin" w:fldLock="1"/>
      </w:r>
      <w:r w:rsidR="002A0354">
        <w:rPr>
          <w:sz w:val="24"/>
          <w:szCs w:val="24"/>
        </w:rPr>
        <w:instrText>ADDIN CSL_CITATION {"citationItems":[{"id":"ITEM-1","itemData":{"DOI":"10.1016/j.jad.2009.11.017","ISSN":"1573-2517","PMID":"20064664","abstract":"INTRODUCTION: The impact of internalizing comorbid disorders on cognitive functions in attention-deficit hyperactivity disorder (ADHD) is hardly understood. While inconsistent findings exist with respect to the modulating effect of anxiety on impulsivity in ADHD, only few neuropsychological studies focused on other attention parameters. This is the first study that examines the influence of anxiety disorders (ANX) on ADHD in a model-oriented approach including selectivity and intensity parameters of attention.\n\nMETHODS: Children with ADHD, ADHD+ANX and healthy controls (n=34 for each group, all aged 8-15years) participated in five neuropsychological tasks (alertness, sustained attention, divided attention, go/no-go and set-shifting). Group differences were evaluated using analysis of variance (ANOVA) for each dependent variable, with group as independent variable.\n\nRESULTS: Data indicated that children with ADHD performed worse than healthy controls with regard to almost all parameters of attention. While ANX had no mitigating effect on impulsivity in ADHD, performance in sustained attention and selective attention tasks of children with ADHD+ANX was better than that of children with ADHD only.\n\nLIMITATIONS: Since the present data were derived from a large neuropsychological data base which focused primary on children with ADHD and different comorbidities no comparison to a \"pure\" ANX group was possible.\n\nCONCLUSIONS: These findings might indicate that ADHD+ANX constitute a cognitively distinct subtype, with possible individual symptomatology, development and therapeutic needs. Further investigations are needed to clarify the specificity of these findings and to disentangle the impact of trait versus state anxiety on neuropsychological performance in children with ADHD.","author":[{"dropping-particle":"","family":"Vloet","given":"Timo D","non-dropping-particle":"","parse-names":false,"suffix":""},{"dropping-particle":"","family":"Konrad","given":"Kerstin","non-dropping-particle":"","parse-names":false,"suffix":""},{"dropping-particle":"","family":"Herpertz-Dahlmann","given":"Beate","non-dropping-particle":"","parse-names":false,"suffix":""},{"dropping-particle":"","family":"Polier","given":"Georg G","non-dropping-particle":"","parse-names":false,"suffix":""},{"dropping-particle":"","family":"Günther","given":"Thomas","non-dropping-particle":"","parse-names":false,"suffix":""}],"container-title":"Journal of affective disorders","id":"ITEM-1","issue":"3","issued":{"date-parts":[["2010","8"]]},"page":"283-90","title":"Impact of anxiety disorders on attentional functions in children with ADHD.","type":"article-journal","volume":"124"},"uris":["http://www.mendeley.com/documents/?uuid=ffc11f7d-3be5-4180-9321-b9dca56f2015"]}],"mendeley":{"formattedCitation":"(Vloet, Konrad, Herpertz-Dahlmann, Polier, &amp; Günther, 2010)","manualFormatting":"(e.g. Vloet, Konrad, Herpertz-Dahlmann, Polier, &amp; Günther, 2010)","plainTextFormattedCitation":"(Vloet, Konrad, Herpertz-Dahlmann, Polier, &amp; Günther, 2010)","previouslyFormattedCitation":"(Vloet, Konrad, Herpertz-Dahlmann, Polier, &amp; Günther, 2010)"},"properties":{"noteIndex":0},"schema":"https://github.com/citation-style-language/schema/raw/master/csl-citation.json"}</w:instrText>
      </w:r>
      <w:r w:rsidR="006A29D2" w:rsidRPr="00A75594">
        <w:rPr>
          <w:sz w:val="24"/>
          <w:szCs w:val="24"/>
        </w:rPr>
        <w:fldChar w:fldCharType="separate"/>
      </w:r>
      <w:r w:rsidR="006A29D2" w:rsidRPr="00A75594">
        <w:rPr>
          <w:noProof/>
          <w:sz w:val="24"/>
          <w:szCs w:val="24"/>
        </w:rPr>
        <w:t>(e.g. Vloet, Konrad, Herpertz-</w:t>
      </w:r>
      <w:r w:rsidR="006A29D2" w:rsidRPr="00A75594">
        <w:rPr>
          <w:noProof/>
          <w:sz w:val="24"/>
          <w:szCs w:val="24"/>
        </w:rPr>
        <w:lastRenderedPageBreak/>
        <w:t>Dahlmann, Polier, &amp; Günther, 2010)</w:t>
      </w:r>
      <w:r w:rsidR="006A29D2" w:rsidRPr="00A75594">
        <w:rPr>
          <w:sz w:val="24"/>
          <w:szCs w:val="24"/>
        </w:rPr>
        <w:fldChar w:fldCharType="end"/>
      </w:r>
      <w:r w:rsidR="006A29D2" w:rsidRPr="00A75594">
        <w:rPr>
          <w:sz w:val="24"/>
          <w:szCs w:val="24"/>
        </w:rPr>
        <w:t xml:space="preserve">. </w:t>
      </w:r>
      <w:r w:rsidR="003A457C">
        <w:rPr>
          <w:sz w:val="24"/>
          <w:szCs w:val="24"/>
        </w:rPr>
        <w:t xml:space="preserve">Further research has shown that </w:t>
      </w:r>
      <w:r w:rsidR="00243016">
        <w:rPr>
          <w:sz w:val="24"/>
          <w:szCs w:val="24"/>
        </w:rPr>
        <w:t xml:space="preserve">according to parent and self-reported measures, </w:t>
      </w:r>
      <w:r w:rsidR="006A29D2" w:rsidRPr="00A75594">
        <w:rPr>
          <w:sz w:val="24"/>
          <w:szCs w:val="24"/>
        </w:rPr>
        <w:t>comorbid anxiety exacerbate</w:t>
      </w:r>
      <w:r w:rsidR="0029295B">
        <w:rPr>
          <w:sz w:val="24"/>
          <w:szCs w:val="24"/>
        </w:rPr>
        <w:t>d</w:t>
      </w:r>
      <w:r w:rsidR="006A29D2" w:rsidRPr="00A75594">
        <w:rPr>
          <w:sz w:val="24"/>
          <w:szCs w:val="24"/>
        </w:rPr>
        <w:t xml:space="preserve"> the difficulties in inhibitory </w:t>
      </w:r>
      <w:r w:rsidR="00301CCA">
        <w:rPr>
          <w:sz w:val="24"/>
          <w:szCs w:val="24"/>
        </w:rPr>
        <w:t xml:space="preserve">control </w:t>
      </w:r>
      <w:r w:rsidR="006A29D2" w:rsidRPr="00A75594">
        <w:rPr>
          <w:sz w:val="24"/>
          <w:szCs w:val="24"/>
        </w:rPr>
        <w:t>and emotion</w:t>
      </w:r>
      <w:r w:rsidR="00301CCA">
        <w:rPr>
          <w:sz w:val="24"/>
          <w:szCs w:val="24"/>
        </w:rPr>
        <w:t xml:space="preserve"> regulation (i.e., ability to </w:t>
      </w:r>
      <w:r w:rsidR="002466A3">
        <w:rPr>
          <w:sz w:val="24"/>
          <w:szCs w:val="24"/>
        </w:rPr>
        <w:t>control</w:t>
      </w:r>
      <w:r w:rsidR="00301CCA">
        <w:rPr>
          <w:sz w:val="24"/>
          <w:szCs w:val="24"/>
        </w:rPr>
        <w:t xml:space="preserve"> emotional responses</w:t>
      </w:r>
      <w:r w:rsidR="00416F91">
        <w:rPr>
          <w:sz w:val="24"/>
          <w:szCs w:val="24"/>
        </w:rPr>
        <w:t xml:space="preserve"> and express emotions</w:t>
      </w:r>
      <w:r w:rsidR="00F601DE">
        <w:rPr>
          <w:sz w:val="24"/>
          <w:szCs w:val="24"/>
        </w:rPr>
        <w:t xml:space="preserve">) </w:t>
      </w:r>
      <w:r w:rsidR="006A29D2" w:rsidRPr="00A75594">
        <w:rPr>
          <w:sz w:val="24"/>
          <w:szCs w:val="24"/>
        </w:rPr>
        <w:t xml:space="preserve">in </w:t>
      </w:r>
      <w:r w:rsidR="00301CCA">
        <w:rPr>
          <w:sz w:val="24"/>
          <w:szCs w:val="24"/>
        </w:rPr>
        <w:t xml:space="preserve">both children </w:t>
      </w:r>
      <w:r w:rsidR="006A29D2" w:rsidRPr="00A75594">
        <w:rPr>
          <w:sz w:val="24"/>
          <w:szCs w:val="24"/>
        </w:rPr>
        <w:fldChar w:fldCharType="begin" w:fldLock="1"/>
      </w:r>
      <w:r w:rsidR="006A29D2" w:rsidRPr="00A75594">
        <w:rPr>
          <w:sz w:val="24"/>
          <w:szCs w:val="24"/>
        </w:rPr>
        <w:instrText>ADDIN CSL_CITATION {"citationItems":[{"id":"ITEM-1","itemData":{"DOI":"10.1177/1087054709356931","ISSN":"1557-1246","PMID":"20071639","abstract":"BACKGROUND: The present study investigated the impact of coexisting anxiety disorder in children with ADHD on their ability to regulate behavior.\n\nMETHOD: Parent reports on the Behavior Rating Inventory of Executive Function (BRIEF) in a comorbid group of children with ADHD and anxiety (n = 11) were compared to BRIEF reports in a group of children with a \"pure\" ADHD (n = 23), a \"pure\" anxiety (n = 24) and a group without any diagnosis (n = 104) in a 2 (ADHD vs. no ADHD) × 2 (anxiety vs. no anxiety) design.\n\nRESULTS: The children with ADHD and anxiety disorder scored significantly higher on the Inhibit scale than children within the other three groups. Main effects of diagnosis appeared in ADHD children on the Inhibit, Emotional Control, and Working Memory scales, and on the Shift and Emotional Control scales in anxious children.\n\nCONCLUSION: The results indicate that a behavioral dysregulation in ADHD children is aggravated by comorbid anxiety.","author":[{"dropping-particle":"","family":"Sørensen","given":"Lin","non-dropping-particle":"","parse-names":false,"suffix":""},{"dropping-particle":"","family":"Plessen","given":"Kerstin J.","non-dropping-particle":"","parse-names":false,"suffix":""},{"dropping-particle":"","family":"Nicholas","given":"Jude","non-dropping-particle":"","parse-names":false,"suffix":""},{"dropping-particle":"","family":"Lundervold","given":"Astri J.","non-dropping-particle":"","parse-names":false,"suffix":""}],"container-title":"Journal of attention disorders","id":"ITEM-1","issue":"1","issued":{"date-parts":[["2011","1","1"]]},"page":"56-66","publisher":"SAGE PublicationsSage CA: Los Angeles, CA","title":"Is behavioral regulation in children with ADHD aggravated by comorbid anxiety disorder?","type":"article-journal","volume":"15"},"uris":["http://www.mendeley.com/documents/?uuid=fee39734-8ea5-4bea-b0e8-826c0257df5c"]}],"mendeley":{"formattedCitation":"(Sørensen, Plessen, Nicholas, &amp; Lundervold, 2011)","plainTextFormattedCitation":"(Sørensen, Plessen, Nicholas, &amp; Lundervold, 2011)","previouslyFormattedCitation":"(Sørensen, Plessen, Nicholas, &amp; Lundervold, 2011)"},"properties":{"noteIndex":0},"schema":"https://github.com/citation-style-language/schema/raw/master/csl-citation.json"}</w:instrText>
      </w:r>
      <w:r w:rsidR="006A29D2" w:rsidRPr="00A75594">
        <w:rPr>
          <w:sz w:val="24"/>
          <w:szCs w:val="24"/>
        </w:rPr>
        <w:fldChar w:fldCharType="separate"/>
      </w:r>
      <w:r w:rsidR="006A29D2" w:rsidRPr="00A75594">
        <w:rPr>
          <w:noProof/>
          <w:sz w:val="24"/>
          <w:szCs w:val="24"/>
        </w:rPr>
        <w:t>(Sørensen, Plessen, Nicholas, &amp; Lundervold, 2011)</w:t>
      </w:r>
      <w:r w:rsidR="006A29D2" w:rsidRPr="00A75594">
        <w:rPr>
          <w:sz w:val="24"/>
          <w:szCs w:val="24"/>
        </w:rPr>
        <w:fldChar w:fldCharType="end"/>
      </w:r>
      <w:r w:rsidR="00301CCA">
        <w:rPr>
          <w:sz w:val="24"/>
          <w:szCs w:val="24"/>
        </w:rPr>
        <w:t xml:space="preserve"> and adults </w:t>
      </w:r>
      <w:r w:rsidR="006A29D2" w:rsidRPr="00A75594">
        <w:rPr>
          <w:sz w:val="24"/>
          <w:szCs w:val="24"/>
        </w:rPr>
        <w:fldChar w:fldCharType="begin" w:fldLock="1"/>
      </w:r>
      <w:r w:rsidR="006A29D2" w:rsidRPr="00A75594">
        <w:rPr>
          <w:sz w:val="24"/>
          <w:szCs w:val="24"/>
        </w:rPr>
        <w:instrText>ADDIN CSL_CITATION {"citationItems":[{"id":"ITEM-1","itemData":{"DOI":"10.1037/pas0000190","ISSN":"1939-134X","author":[{"dropping-particle":"","family":"Jarrett","given":"Matthew A.","non-dropping-particle":"","parse-names":false,"suffix":""}],"container-title":"Psychological Assessment","id":"ITEM-1","issue":"2","issued":{"date-parts":[["2016"]]},"page":"245-250","title":"Attention-deficit/hyperactivity disorder (ADHD) symptoms, anxiety symptoms, and executive functioning in emerging adults.","type":"article-journal","volume":"28"},"uris":["http://www.mendeley.com/documents/?uuid=b874b909-a006-47e9-9d6c-cbe865d60c1f"]}],"mendeley":{"formattedCitation":"(M. A. Jarrett, 2016)","manualFormatting":"(Jarrett, 2016)","plainTextFormattedCitation":"(M. A. Jarrett, 2016)","previouslyFormattedCitation":"(M. A. Jarrett, 2016)"},"properties":{"noteIndex":0},"schema":"https://github.com/citation-style-language/schema/raw/master/csl-citation.json"}</w:instrText>
      </w:r>
      <w:r w:rsidR="006A29D2" w:rsidRPr="00A75594">
        <w:rPr>
          <w:sz w:val="24"/>
          <w:szCs w:val="24"/>
        </w:rPr>
        <w:fldChar w:fldCharType="separate"/>
      </w:r>
      <w:r w:rsidR="006A29D2" w:rsidRPr="00A75594">
        <w:rPr>
          <w:noProof/>
          <w:sz w:val="24"/>
          <w:szCs w:val="24"/>
        </w:rPr>
        <w:t>(Jarrett, 2016)</w:t>
      </w:r>
      <w:r w:rsidR="006A29D2" w:rsidRPr="00A75594">
        <w:rPr>
          <w:sz w:val="24"/>
          <w:szCs w:val="24"/>
        </w:rPr>
        <w:fldChar w:fldCharType="end"/>
      </w:r>
      <w:r w:rsidR="00301CCA" w:rsidRPr="00301CCA">
        <w:rPr>
          <w:sz w:val="24"/>
          <w:szCs w:val="24"/>
        </w:rPr>
        <w:t xml:space="preserve"> </w:t>
      </w:r>
      <w:r w:rsidR="00301CCA">
        <w:rPr>
          <w:sz w:val="24"/>
          <w:szCs w:val="24"/>
        </w:rPr>
        <w:t>with ADHD</w:t>
      </w:r>
      <w:r w:rsidR="006A29D2" w:rsidRPr="00A75594">
        <w:rPr>
          <w:sz w:val="24"/>
          <w:szCs w:val="24"/>
        </w:rPr>
        <w:t xml:space="preserve">. </w:t>
      </w:r>
    </w:p>
    <w:p w14:paraId="1A0593EE" w14:textId="458AED92" w:rsidR="00567666" w:rsidRPr="00A75594" w:rsidRDefault="00F13C23">
      <w:pPr>
        <w:spacing w:line="480" w:lineRule="auto"/>
        <w:ind w:firstLine="576"/>
        <w:rPr>
          <w:sz w:val="24"/>
          <w:szCs w:val="24"/>
        </w:rPr>
      </w:pPr>
      <w:r>
        <w:rPr>
          <w:sz w:val="24"/>
          <w:szCs w:val="24"/>
        </w:rPr>
        <w:t>F</w:t>
      </w:r>
      <w:r w:rsidR="00C042D0">
        <w:rPr>
          <w:sz w:val="24"/>
          <w:szCs w:val="24"/>
        </w:rPr>
        <w:t>ew</w:t>
      </w:r>
      <w:r w:rsidR="00E624DB">
        <w:rPr>
          <w:sz w:val="24"/>
          <w:szCs w:val="24"/>
        </w:rPr>
        <w:t xml:space="preserve"> studies have examined attentional processes in</w:t>
      </w:r>
      <w:r w:rsidR="00C042D0">
        <w:rPr>
          <w:sz w:val="24"/>
          <w:szCs w:val="24"/>
        </w:rPr>
        <w:t xml:space="preserve"> ADHD and anxiety in</w:t>
      </w:r>
      <w:r w:rsidR="00E624DB">
        <w:rPr>
          <w:sz w:val="24"/>
          <w:szCs w:val="24"/>
        </w:rPr>
        <w:t xml:space="preserve"> the context of threat-related biases. One study for example, found that </w:t>
      </w:r>
      <w:r w:rsidR="008C4190">
        <w:rPr>
          <w:sz w:val="24"/>
          <w:szCs w:val="24"/>
        </w:rPr>
        <w:t>young people</w:t>
      </w:r>
      <w:r w:rsidR="00E624DB">
        <w:rPr>
          <w:sz w:val="24"/>
          <w:szCs w:val="24"/>
        </w:rPr>
        <w:t xml:space="preserve"> with</w:t>
      </w:r>
      <w:r w:rsidR="00E624DB" w:rsidRPr="00C070BF">
        <w:rPr>
          <w:sz w:val="24"/>
          <w:szCs w:val="24"/>
        </w:rPr>
        <w:t xml:space="preserve"> ADHD </w:t>
      </w:r>
      <w:r w:rsidR="002724EA" w:rsidRPr="00C070BF">
        <w:rPr>
          <w:sz w:val="24"/>
          <w:szCs w:val="24"/>
        </w:rPr>
        <w:t xml:space="preserve">showed poorer </w:t>
      </w:r>
      <w:r w:rsidR="008C4190" w:rsidRPr="00C070BF">
        <w:rPr>
          <w:sz w:val="24"/>
          <w:szCs w:val="24"/>
        </w:rPr>
        <w:t>sustained</w:t>
      </w:r>
      <w:r w:rsidR="002724EA" w:rsidRPr="00C070BF">
        <w:rPr>
          <w:sz w:val="24"/>
          <w:szCs w:val="24"/>
        </w:rPr>
        <w:t xml:space="preserve"> </w:t>
      </w:r>
      <w:r w:rsidR="008C4190" w:rsidRPr="00C070BF">
        <w:rPr>
          <w:sz w:val="24"/>
          <w:szCs w:val="24"/>
        </w:rPr>
        <w:t>attention</w:t>
      </w:r>
      <w:r w:rsidR="002724EA" w:rsidRPr="00C070BF">
        <w:rPr>
          <w:sz w:val="24"/>
          <w:szCs w:val="24"/>
        </w:rPr>
        <w:t xml:space="preserve"> </w:t>
      </w:r>
      <w:r w:rsidR="00CF0D4B" w:rsidRPr="00C070BF">
        <w:rPr>
          <w:sz w:val="24"/>
          <w:szCs w:val="24"/>
        </w:rPr>
        <w:t>and</w:t>
      </w:r>
      <w:r w:rsidR="002724EA" w:rsidRPr="00C070BF">
        <w:rPr>
          <w:sz w:val="24"/>
          <w:szCs w:val="24"/>
        </w:rPr>
        <w:t xml:space="preserve"> inhibitory control</w:t>
      </w:r>
      <w:r w:rsidR="00CF0D4B" w:rsidRPr="00C070BF">
        <w:rPr>
          <w:sz w:val="24"/>
          <w:szCs w:val="24"/>
        </w:rPr>
        <w:t xml:space="preserve"> (i.e., increased omission and commission errors </w:t>
      </w:r>
      <w:r w:rsidR="008C4190" w:rsidRPr="00C070BF">
        <w:rPr>
          <w:sz w:val="24"/>
          <w:szCs w:val="24"/>
        </w:rPr>
        <w:t>in</w:t>
      </w:r>
      <w:r w:rsidR="00CF0D4B" w:rsidRPr="00C070BF">
        <w:rPr>
          <w:sz w:val="24"/>
          <w:szCs w:val="24"/>
        </w:rPr>
        <w:t xml:space="preserve"> the </w:t>
      </w:r>
      <w:proofErr w:type="spellStart"/>
      <w:r w:rsidR="00CF0D4B" w:rsidRPr="00C070BF">
        <w:rPr>
          <w:sz w:val="24"/>
          <w:szCs w:val="24"/>
        </w:rPr>
        <w:t>Conners</w:t>
      </w:r>
      <w:proofErr w:type="spellEnd"/>
      <w:r w:rsidR="00CF0D4B" w:rsidRPr="00C070BF">
        <w:rPr>
          <w:sz w:val="24"/>
          <w:szCs w:val="24"/>
        </w:rPr>
        <w:t xml:space="preserve"> </w:t>
      </w:r>
      <w:r w:rsidR="002724EA" w:rsidRPr="00C070BF">
        <w:rPr>
          <w:sz w:val="24"/>
          <w:szCs w:val="24"/>
        </w:rPr>
        <w:t>Continuous</w:t>
      </w:r>
      <w:r w:rsidR="00E624DB" w:rsidRPr="00C070BF">
        <w:rPr>
          <w:sz w:val="24"/>
          <w:szCs w:val="24"/>
        </w:rPr>
        <w:t xml:space="preserve"> </w:t>
      </w:r>
      <w:r w:rsidR="002724EA" w:rsidRPr="00C070BF">
        <w:rPr>
          <w:sz w:val="24"/>
          <w:szCs w:val="24"/>
        </w:rPr>
        <w:t>Performance</w:t>
      </w:r>
      <w:r w:rsidR="00E624DB" w:rsidRPr="00C070BF">
        <w:rPr>
          <w:sz w:val="24"/>
          <w:szCs w:val="24"/>
        </w:rPr>
        <w:t xml:space="preserve"> Test</w:t>
      </w:r>
      <w:r w:rsidR="00CF0D4B" w:rsidRPr="00C070BF">
        <w:rPr>
          <w:sz w:val="24"/>
          <w:szCs w:val="24"/>
        </w:rPr>
        <w:t>-II</w:t>
      </w:r>
      <w:r w:rsidR="00E624DB" w:rsidRPr="00C070BF">
        <w:rPr>
          <w:sz w:val="24"/>
          <w:szCs w:val="24"/>
        </w:rPr>
        <w:t xml:space="preserve"> </w:t>
      </w:r>
      <w:r w:rsidR="008C4190" w:rsidRPr="00C070BF">
        <w:rPr>
          <w:sz w:val="24"/>
          <w:szCs w:val="24"/>
        </w:rPr>
        <w:t xml:space="preserve">and </w:t>
      </w:r>
      <w:r w:rsidR="00E624DB" w:rsidRPr="00C070BF">
        <w:rPr>
          <w:sz w:val="24"/>
          <w:szCs w:val="24"/>
        </w:rPr>
        <w:t xml:space="preserve">increased errors </w:t>
      </w:r>
      <w:r w:rsidR="008C4190" w:rsidRPr="00C070BF">
        <w:rPr>
          <w:sz w:val="24"/>
          <w:szCs w:val="24"/>
        </w:rPr>
        <w:t>in a Word-Colour Stoop task)</w:t>
      </w:r>
      <w:r w:rsidR="00E624DB" w:rsidRPr="00C070BF">
        <w:rPr>
          <w:sz w:val="24"/>
          <w:szCs w:val="24"/>
        </w:rPr>
        <w:t xml:space="preserve">, </w:t>
      </w:r>
      <w:r w:rsidR="00C042D0" w:rsidRPr="00C070BF">
        <w:rPr>
          <w:sz w:val="24"/>
          <w:szCs w:val="24"/>
        </w:rPr>
        <w:t>relative to young people</w:t>
      </w:r>
      <w:r w:rsidR="00E624DB" w:rsidRPr="00C070BF">
        <w:rPr>
          <w:sz w:val="24"/>
          <w:szCs w:val="24"/>
        </w:rPr>
        <w:t xml:space="preserve"> with </w:t>
      </w:r>
      <w:r w:rsidR="008C4190" w:rsidRPr="00C070BF">
        <w:rPr>
          <w:sz w:val="24"/>
          <w:szCs w:val="24"/>
        </w:rPr>
        <w:t>a</w:t>
      </w:r>
      <w:r w:rsidR="00E624DB" w:rsidRPr="00C070BF">
        <w:rPr>
          <w:sz w:val="24"/>
          <w:szCs w:val="24"/>
        </w:rPr>
        <w:t>nxiety</w:t>
      </w:r>
      <w:r w:rsidR="008C4190" w:rsidRPr="00C070BF">
        <w:rPr>
          <w:sz w:val="24"/>
          <w:szCs w:val="24"/>
        </w:rPr>
        <w:t xml:space="preserve"> disorders</w:t>
      </w:r>
      <w:r w:rsidR="00D446C3">
        <w:rPr>
          <w:sz w:val="24"/>
          <w:szCs w:val="24"/>
        </w:rPr>
        <w:t>. In contrast, individuals</w:t>
      </w:r>
      <w:r w:rsidR="00C042D0" w:rsidRPr="00C070BF">
        <w:rPr>
          <w:sz w:val="24"/>
          <w:szCs w:val="24"/>
        </w:rPr>
        <w:t xml:space="preserve"> </w:t>
      </w:r>
      <w:r w:rsidR="002724EA" w:rsidRPr="00C070BF">
        <w:rPr>
          <w:sz w:val="24"/>
          <w:szCs w:val="24"/>
        </w:rPr>
        <w:t xml:space="preserve">with anxiety </w:t>
      </w:r>
      <w:r w:rsidR="008C4190" w:rsidRPr="00C070BF">
        <w:rPr>
          <w:sz w:val="24"/>
          <w:szCs w:val="24"/>
        </w:rPr>
        <w:t xml:space="preserve">disorders </w:t>
      </w:r>
      <w:r w:rsidR="002724EA" w:rsidRPr="00C070BF">
        <w:rPr>
          <w:sz w:val="24"/>
          <w:szCs w:val="24"/>
        </w:rPr>
        <w:t xml:space="preserve">showed </w:t>
      </w:r>
      <w:r w:rsidR="00E624DB" w:rsidRPr="00C070BF">
        <w:rPr>
          <w:sz w:val="24"/>
          <w:szCs w:val="24"/>
        </w:rPr>
        <w:t xml:space="preserve">greater attentional bias toward threatening </w:t>
      </w:r>
      <w:r w:rsidR="00D446C3">
        <w:rPr>
          <w:sz w:val="24"/>
          <w:szCs w:val="24"/>
        </w:rPr>
        <w:t xml:space="preserve">(angry) </w:t>
      </w:r>
      <w:r w:rsidR="00E624DB" w:rsidRPr="00C070BF">
        <w:rPr>
          <w:sz w:val="24"/>
          <w:szCs w:val="24"/>
        </w:rPr>
        <w:t>faces</w:t>
      </w:r>
      <w:r w:rsidR="005A3F5D" w:rsidRPr="00C070BF">
        <w:rPr>
          <w:sz w:val="24"/>
          <w:szCs w:val="24"/>
        </w:rPr>
        <w:t>, as reflected with slower response times and more errors</w:t>
      </w:r>
      <w:r w:rsidR="002724EA" w:rsidRPr="00C070BF">
        <w:rPr>
          <w:sz w:val="24"/>
          <w:szCs w:val="24"/>
        </w:rPr>
        <w:t xml:space="preserve"> </w:t>
      </w:r>
      <w:r w:rsidR="008C4190" w:rsidRPr="00C070BF">
        <w:rPr>
          <w:sz w:val="24"/>
          <w:szCs w:val="24"/>
        </w:rPr>
        <w:t>in</w:t>
      </w:r>
      <w:r w:rsidR="00E624DB" w:rsidRPr="00C070BF">
        <w:rPr>
          <w:sz w:val="24"/>
          <w:szCs w:val="24"/>
        </w:rPr>
        <w:t xml:space="preserve"> </w:t>
      </w:r>
      <w:r w:rsidR="005A3F5D" w:rsidRPr="00C070BF">
        <w:rPr>
          <w:sz w:val="24"/>
          <w:szCs w:val="24"/>
        </w:rPr>
        <w:t>an emotional probe</w:t>
      </w:r>
      <w:r w:rsidR="002724EA" w:rsidRPr="00C070BF">
        <w:rPr>
          <w:sz w:val="24"/>
          <w:szCs w:val="24"/>
        </w:rPr>
        <w:t xml:space="preserve"> task</w:t>
      </w:r>
      <w:r w:rsidR="005A3F5D">
        <w:rPr>
          <w:sz w:val="24"/>
          <w:szCs w:val="24"/>
        </w:rPr>
        <w:t xml:space="preserve"> </w:t>
      </w:r>
      <w:r w:rsidR="005A3F5D" w:rsidRPr="001A13A9">
        <w:rPr>
          <w:sz w:val="24"/>
          <w:szCs w:val="24"/>
        </w:rPr>
        <w:fldChar w:fldCharType="begin" w:fldLock="1"/>
      </w:r>
      <w:r w:rsidR="005A3F5D" w:rsidRPr="001A13A9">
        <w:rPr>
          <w:sz w:val="24"/>
          <w:szCs w:val="24"/>
        </w:rPr>
        <w:instrText>ADDIN CSL_CITATION {"citationItems":[{"id":"ITEM-1","itemData":{"DOI":"10.1080/15374416.2012.651993","ISSN":"1537-4416","author":[{"dropping-particle":"","family":"Weissman","given":"Adam S.","non-dropping-particle":"","parse-names":false,"suffix":""},{"dropping-particle":"","family":"Chu","given":"Brian C.","non-dropping-particle":"","parse-names":false,"suffix":""},{"dropping-particle":"","family":"Reddy","given":"Linda A.","non-dropping-particle":"","parse-names":false,"suffix":""},{"dropping-particle":"","family":"Mohlman","given":"Jan","non-dropping-particle":"","parse-names":false,"suffix":""}],"container-title":"Journal of Clinical Child &amp; Adolescent Psychology","id":"ITEM-1","issue":"2","issued":{"date-parts":[["2012","3"]]},"page":"117-126","title":"Attention Mechanisms in Children with Anxiety Disorders and in Children with Attention Deficit Hyperactivity Disorder: Implications for Research and Practice","type":"article-journal","volume":"41"},"uris":["http://www.mendeley.com/documents/?uuid=17c6ccec-b8b3-3cbb-b6a8-cc1cad3594ed"]}],"mendeley":{"formattedCitation":"(Weissman, Chu, Reddy, &amp; Mohlman, 2012)","plainTextFormattedCitation":"(Weissman, Chu, Reddy, &amp; Mohlman, 2012)","previouslyFormattedCitation":"(Weissman, Chu, Reddy, &amp; Mohlman, 2012)"},"properties":{"noteIndex":0},"schema":"https://github.com/citation-style-language/schema/raw/master/csl-citation.json"}</w:instrText>
      </w:r>
      <w:r w:rsidR="005A3F5D" w:rsidRPr="001A13A9">
        <w:rPr>
          <w:sz w:val="24"/>
          <w:szCs w:val="24"/>
        </w:rPr>
        <w:fldChar w:fldCharType="separate"/>
      </w:r>
      <w:r w:rsidR="005A3F5D" w:rsidRPr="001A13A9">
        <w:rPr>
          <w:noProof/>
          <w:sz w:val="24"/>
          <w:szCs w:val="24"/>
        </w:rPr>
        <w:t>(Weissman, Chu, Reddy, &amp; Mohlman, 2012)</w:t>
      </w:r>
      <w:r w:rsidR="005A3F5D" w:rsidRPr="001A13A9">
        <w:rPr>
          <w:sz w:val="24"/>
          <w:szCs w:val="24"/>
        </w:rPr>
        <w:fldChar w:fldCharType="end"/>
      </w:r>
      <w:r w:rsidR="00C042D0" w:rsidRPr="00C070BF">
        <w:rPr>
          <w:sz w:val="24"/>
          <w:szCs w:val="24"/>
        </w:rPr>
        <w:t xml:space="preserve">. These findings support more general attention related deficits </w:t>
      </w:r>
      <w:r w:rsidR="00CD6163">
        <w:rPr>
          <w:sz w:val="24"/>
          <w:szCs w:val="24"/>
        </w:rPr>
        <w:t xml:space="preserve">in </w:t>
      </w:r>
      <w:r w:rsidR="005A3F5D" w:rsidRPr="00503BFD">
        <w:rPr>
          <w:sz w:val="24"/>
          <w:szCs w:val="24"/>
        </w:rPr>
        <w:t>ADHD and</w:t>
      </w:r>
      <w:r w:rsidR="00C042D0" w:rsidRPr="00C070BF">
        <w:rPr>
          <w:sz w:val="24"/>
          <w:szCs w:val="24"/>
        </w:rPr>
        <w:t xml:space="preserve"> more threat-related attentional biases </w:t>
      </w:r>
      <w:r w:rsidR="00CD6163">
        <w:rPr>
          <w:sz w:val="24"/>
          <w:szCs w:val="24"/>
        </w:rPr>
        <w:t>in</w:t>
      </w:r>
      <w:r w:rsidR="00CD6163" w:rsidRPr="00C070BF">
        <w:rPr>
          <w:sz w:val="24"/>
          <w:szCs w:val="24"/>
        </w:rPr>
        <w:t xml:space="preserve"> </w:t>
      </w:r>
      <w:r w:rsidR="00C042D0" w:rsidRPr="00C070BF">
        <w:rPr>
          <w:sz w:val="24"/>
          <w:szCs w:val="24"/>
        </w:rPr>
        <w:t>anxiety</w:t>
      </w:r>
      <w:r w:rsidR="00E624DB" w:rsidRPr="00C070BF">
        <w:rPr>
          <w:sz w:val="24"/>
          <w:szCs w:val="24"/>
        </w:rPr>
        <w:t xml:space="preserve">. </w:t>
      </w:r>
      <w:r w:rsidR="008C4190" w:rsidRPr="00C070BF">
        <w:rPr>
          <w:sz w:val="24"/>
          <w:szCs w:val="24"/>
        </w:rPr>
        <w:t xml:space="preserve">However, the study </w:t>
      </w:r>
      <w:r w:rsidR="005A3F5D">
        <w:rPr>
          <w:sz w:val="24"/>
          <w:szCs w:val="24"/>
        </w:rPr>
        <w:t xml:space="preserve">by Weissman et al. (2012) </w:t>
      </w:r>
      <w:r w:rsidR="008C4190" w:rsidRPr="00C070BF">
        <w:rPr>
          <w:sz w:val="24"/>
          <w:szCs w:val="24"/>
        </w:rPr>
        <w:t xml:space="preserve">did not consider the effects of comorbid ADHD and anxiety on cognitive performance in </w:t>
      </w:r>
      <w:r w:rsidR="000112CB">
        <w:rPr>
          <w:sz w:val="24"/>
          <w:szCs w:val="24"/>
        </w:rPr>
        <w:t>the context of threat</w:t>
      </w:r>
      <w:r w:rsidR="008C4190" w:rsidRPr="00C070BF">
        <w:rPr>
          <w:sz w:val="24"/>
          <w:szCs w:val="24"/>
        </w:rPr>
        <w:t xml:space="preserve">. </w:t>
      </w:r>
      <w:r>
        <w:rPr>
          <w:sz w:val="24"/>
          <w:szCs w:val="24"/>
        </w:rPr>
        <w:t>The current paper therefore extends existing research to</w:t>
      </w:r>
      <w:r w:rsidR="008C4190" w:rsidRPr="00C070BF">
        <w:rPr>
          <w:sz w:val="24"/>
          <w:szCs w:val="24"/>
        </w:rPr>
        <w:t xml:space="preserve"> </w:t>
      </w:r>
      <w:r>
        <w:rPr>
          <w:sz w:val="24"/>
          <w:szCs w:val="24"/>
        </w:rPr>
        <w:t>explore</w:t>
      </w:r>
      <w:r w:rsidR="00B87EBB" w:rsidRPr="00567666">
        <w:rPr>
          <w:sz w:val="24"/>
          <w:szCs w:val="24"/>
        </w:rPr>
        <w:t xml:space="preserve"> the impact of emotional threat on </w:t>
      </w:r>
      <w:r w:rsidR="00567666" w:rsidRPr="00C070BF">
        <w:rPr>
          <w:sz w:val="24"/>
          <w:szCs w:val="24"/>
        </w:rPr>
        <w:t xml:space="preserve">attentional processing and inhibitory </w:t>
      </w:r>
      <w:r w:rsidR="00B87EBB" w:rsidRPr="00567666">
        <w:rPr>
          <w:sz w:val="24"/>
          <w:szCs w:val="24"/>
        </w:rPr>
        <w:t>control in individuals with elevated levels of ADHD</w:t>
      </w:r>
      <w:r w:rsidR="00FC3049">
        <w:rPr>
          <w:sz w:val="24"/>
          <w:szCs w:val="24"/>
        </w:rPr>
        <w:t xml:space="preserve">, </w:t>
      </w:r>
      <w:r w:rsidR="00B87EBB" w:rsidRPr="00567666">
        <w:rPr>
          <w:sz w:val="24"/>
          <w:szCs w:val="24"/>
        </w:rPr>
        <w:t>anxiety</w:t>
      </w:r>
      <w:r w:rsidR="00C042D0">
        <w:rPr>
          <w:sz w:val="24"/>
          <w:szCs w:val="24"/>
        </w:rPr>
        <w:t xml:space="preserve"> and their combin</w:t>
      </w:r>
      <w:r>
        <w:rPr>
          <w:sz w:val="24"/>
          <w:szCs w:val="24"/>
        </w:rPr>
        <w:t>ed effect</w:t>
      </w:r>
      <w:r w:rsidR="005E287F" w:rsidRPr="00567666">
        <w:rPr>
          <w:sz w:val="24"/>
          <w:szCs w:val="24"/>
        </w:rPr>
        <w:t>.</w:t>
      </w:r>
      <w:r w:rsidR="005E287F">
        <w:rPr>
          <w:sz w:val="24"/>
          <w:szCs w:val="24"/>
        </w:rPr>
        <w:t xml:space="preserve"> </w:t>
      </w:r>
    </w:p>
    <w:p w14:paraId="3EFEA564" w14:textId="49560550" w:rsidR="006A29D2" w:rsidRPr="00A75594" w:rsidRDefault="00CD6163" w:rsidP="00C070BF">
      <w:pPr>
        <w:spacing w:line="480" w:lineRule="auto"/>
        <w:ind w:firstLine="720"/>
        <w:rPr>
          <w:rFonts w:eastAsia="Minion-Regular"/>
          <w:sz w:val="24"/>
          <w:szCs w:val="24"/>
        </w:rPr>
      </w:pPr>
      <w:r>
        <w:rPr>
          <w:sz w:val="24"/>
          <w:szCs w:val="24"/>
        </w:rPr>
        <w:t>Here w</w:t>
      </w:r>
      <w:r w:rsidR="004A1DAC">
        <w:rPr>
          <w:sz w:val="24"/>
          <w:szCs w:val="24"/>
        </w:rPr>
        <w:t xml:space="preserve">e </w:t>
      </w:r>
      <w:r w:rsidR="003F60A1">
        <w:rPr>
          <w:sz w:val="24"/>
          <w:szCs w:val="24"/>
        </w:rPr>
        <w:t>examined</w:t>
      </w:r>
      <w:r w:rsidR="004A1DAC">
        <w:rPr>
          <w:sz w:val="24"/>
          <w:szCs w:val="24"/>
        </w:rPr>
        <w:t xml:space="preserve"> t</w:t>
      </w:r>
      <w:r w:rsidR="005E287F">
        <w:rPr>
          <w:sz w:val="24"/>
          <w:szCs w:val="24"/>
        </w:rPr>
        <w:t>he impact of emotional threat on</w:t>
      </w:r>
      <w:r w:rsidR="006A29D2" w:rsidRPr="00A75594">
        <w:rPr>
          <w:sz w:val="24"/>
          <w:szCs w:val="24"/>
        </w:rPr>
        <w:t xml:space="preserve"> sustained attention and response inhibition </w:t>
      </w:r>
      <w:r w:rsidR="005E287F">
        <w:rPr>
          <w:sz w:val="24"/>
          <w:szCs w:val="24"/>
        </w:rPr>
        <w:t xml:space="preserve">by </w:t>
      </w:r>
      <w:r w:rsidR="000112CB">
        <w:rPr>
          <w:sz w:val="24"/>
          <w:szCs w:val="24"/>
        </w:rPr>
        <w:t xml:space="preserve">investigating </w:t>
      </w:r>
      <w:r w:rsidR="005E287F">
        <w:rPr>
          <w:sz w:val="24"/>
          <w:szCs w:val="24"/>
        </w:rPr>
        <w:t xml:space="preserve">saccadic eye-movements in </w:t>
      </w:r>
      <w:r w:rsidR="006A29D2" w:rsidRPr="00A75594">
        <w:rPr>
          <w:sz w:val="24"/>
          <w:szCs w:val="24"/>
        </w:rPr>
        <w:t>a</w:t>
      </w:r>
      <w:r w:rsidR="005E287F">
        <w:rPr>
          <w:sz w:val="24"/>
          <w:szCs w:val="24"/>
        </w:rPr>
        <w:t>n emotional</w:t>
      </w:r>
      <w:r w:rsidR="006A29D2" w:rsidRPr="00A75594">
        <w:rPr>
          <w:sz w:val="24"/>
          <w:szCs w:val="24"/>
        </w:rPr>
        <w:t xml:space="preserve"> </w:t>
      </w:r>
      <w:r w:rsidR="006A29D2" w:rsidRPr="00A75594">
        <w:rPr>
          <w:rFonts w:eastAsia="Minion-Regular"/>
          <w:sz w:val="24"/>
          <w:szCs w:val="24"/>
        </w:rPr>
        <w:t>Go/No-Go task</w:t>
      </w:r>
      <w:r w:rsidR="000B3CA0">
        <w:rPr>
          <w:rFonts w:eastAsia="Minion-Regular"/>
          <w:sz w:val="24"/>
          <w:szCs w:val="24"/>
        </w:rPr>
        <w:t xml:space="preserve"> in adults and children/</w:t>
      </w:r>
      <w:r w:rsidR="00D446C3">
        <w:rPr>
          <w:rFonts w:eastAsia="Minion-Regular"/>
          <w:sz w:val="24"/>
          <w:szCs w:val="24"/>
        </w:rPr>
        <w:t>adolescents who reported symptoms of anxiety and ADHD that fell within a typical range</w:t>
      </w:r>
      <w:r w:rsidR="00D446C3">
        <w:rPr>
          <w:rStyle w:val="FootnoteReference"/>
          <w:rFonts w:eastAsia="Minion-Regular"/>
          <w:sz w:val="24"/>
          <w:szCs w:val="24"/>
        </w:rPr>
        <w:footnoteReference w:id="1"/>
      </w:r>
      <w:r w:rsidR="006A29D2" w:rsidRPr="00A75594">
        <w:rPr>
          <w:rFonts w:eastAsia="Minion-Regular"/>
          <w:sz w:val="24"/>
          <w:szCs w:val="24"/>
        </w:rPr>
        <w:t>. In this task,</w:t>
      </w:r>
      <w:r w:rsidR="006A29D2" w:rsidRPr="00A75594">
        <w:rPr>
          <w:sz w:val="24"/>
          <w:szCs w:val="24"/>
        </w:rPr>
        <w:t xml:space="preserve"> automatic responses are built up during the presentation of Go </w:t>
      </w:r>
      <w:r w:rsidR="006A29D2" w:rsidRPr="00A75594">
        <w:rPr>
          <w:sz w:val="24"/>
          <w:szCs w:val="24"/>
        </w:rPr>
        <w:lastRenderedPageBreak/>
        <w:t>trials (80% of the trials) and response inhibition is measured during the presentation of No-Go trials (20% of the trials</w:t>
      </w:r>
      <w:r w:rsidR="00F13C23">
        <w:rPr>
          <w:sz w:val="24"/>
          <w:szCs w:val="24"/>
        </w:rPr>
        <w:t xml:space="preserve">). Go trials require participants to make an </w:t>
      </w:r>
      <w:r w:rsidR="00FC3049">
        <w:rPr>
          <w:sz w:val="24"/>
          <w:szCs w:val="24"/>
        </w:rPr>
        <w:t>eye-movement</w:t>
      </w:r>
      <w:r w:rsidR="00F13C23">
        <w:rPr>
          <w:sz w:val="24"/>
          <w:szCs w:val="24"/>
        </w:rPr>
        <w:t xml:space="preserve"> to</w:t>
      </w:r>
      <w:r w:rsidR="00FC3049">
        <w:rPr>
          <w:sz w:val="24"/>
          <w:szCs w:val="24"/>
        </w:rPr>
        <w:t>wards</w:t>
      </w:r>
      <w:r w:rsidR="00F13C23">
        <w:rPr>
          <w:sz w:val="24"/>
          <w:szCs w:val="24"/>
        </w:rPr>
        <w:t xml:space="preserve"> a </w:t>
      </w:r>
      <w:r w:rsidR="00FC3049">
        <w:rPr>
          <w:sz w:val="24"/>
          <w:szCs w:val="24"/>
        </w:rPr>
        <w:t>peripheral target</w:t>
      </w:r>
      <w:r w:rsidR="00F13C23">
        <w:rPr>
          <w:sz w:val="24"/>
          <w:szCs w:val="24"/>
        </w:rPr>
        <w:t xml:space="preserve"> stimulus and No</w:t>
      </w:r>
      <w:r w:rsidR="00FC3049">
        <w:rPr>
          <w:sz w:val="24"/>
          <w:szCs w:val="24"/>
        </w:rPr>
        <w:t>-</w:t>
      </w:r>
      <w:r w:rsidR="00F13C23">
        <w:rPr>
          <w:sz w:val="24"/>
          <w:szCs w:val="24"/>
        </w:rPr>
        <w:t>Go trials</w:t>
      </w:r>
      <w:r w:rsidR="006A29D2" w:rsidRPr="00A75594">
        <w:rPr>
          <w:sz w:val="24"/>
          <w:szCs w:val="24"/>
        </w:rPr>
        <w:t xml:space="preserve"> to withhold an eye-movement response</w:t>
      </w:r>
      <w:r w:rsidR="003F60A1">
        <w:rPr>
          <w:sz w:val="24"/>
          <w:szCs w:val="24"/>
        </w:rPr>
        <w:t xml:space="preserve"> (i.e., maintain central fixation)</w:t>
      </w:r>
      <w:r w:rsidR="006A29D2" w:rsidRPr="00A75594">
        <w:rPr>
          <w:sz w:val="24"/>
          <w:szCs w:val="24"/>
        </w:rPr>
        <w:t xml:space="preserve">. </w:t>
      </w:r>
      <w:r w:rsidR="005E287F">
        <w:rPr>
          <w:sz w:val="24"/>
          <w:szCs w:val="24"/>
        </w:rPr>
        <w:t xml:space="preserve">Trials varied in their emotional content – with targets either being </w:t>
      </w:r>
      <w:r w:rsidR="005E287F" w:rsidRPr="005E287F">
        <w:rPr>
          <w:sz w:val="24"/>
          <w:szCs w:val="24"/>
        </w:rPr>
        <w:t xml:space="preserve">emotional (happy and angry faces) </w:t>
      </w:r>
      <w:r w:rsidR="005E287F">
        <w:rPr>
          <w:sz w:val="24"/>
          <w:szCs w:val="24"/>
        </w:rPr>
        <w:t>or</w:t>
      </w:r>
      <w:r w:rsidR="005E287F" w:rsidRPr="005E287F">
        <w:rPr>
          <w:sz w:val="24"/>
          <w:szCs w:val="24"/>
        </w:rPr>
        <w:t xml:space="preserve"> non-emotional/neutral stimuli (coloured squares)</w:t>
      </w:r>
      <w:r w:rsidR="005E287F">
        <w:rPr>
          <w:sz w:val="24"/>
          <w:szCs w:val="24"/>
        </w:rPr>
        <w:t xml:space="preserve">. </w:t>
      </w:r>
      <w:r w:rsidR="006A29D2" w:rsidRPr="00A75594">
        <w:rPr>
          <w:rFonts w:eastAsia="Minion-Regular"/>
          <w:sz w:val="24"/>
          <w:szCs w:val="24"/>
        </w:rPr>
        <w:t>This paradigm provide</w:t>
      </w:r>
      <w:r w:rsidR="00D03A98">
        <w:rPr>
          <w:rFonts w:eastAsia="Minion-Regular"/>
          <w:sz w:val="24"/>
          <w:szCs w:val="24"/>
        </w:rPr>
        <w:t>s</w:t>
      </w:r>
      <w:r w:rsidR="006A29D2" w:rsidRPr="00A75594">
        <w:rPr>
          <w:rFonts w:eastAsia="Minion-Regular"/>
          <w:sz w:val="24"/>
          <w:szCs w:val="24"/>
        </w:rPr>
        <w:t xml:space="preserve"> two indices of sustained attention on Go trials </w:t>
      </w:r>
      <w:r w:rsidR="005C2E09">
        <w:rPr>
          <w:rFonts w:eastAsia="Minion-Regular"/>
          <w:sz w:val="24"/>
          <w:szCs w:val="24"/>
        </w:rPr>
        <w:t>including</w:t>
      </w:r>
      <w:r w:rsidR="006A29D2" w:rsidRPr="00A75594">
        <w:rPr>
          <w:rFonts w:eastAsia="Minion-Regular"/>
          <w:sz w:val="24"/>
          <w:szCs w:val="24"/>
        </w:rPr>
        <w:t xml:space="preserve">; (1) </w:t>
      </w:r>
      <w:r w:rsidR="005C2E09">
        <w:rPr>
          <w:rFonts w:eastAsia="Minion-Regular"/>
          <w:sz w:val="24"/>
          <w:szCs w:val="24"/>
        </w:rPr>
        <w:t xml:space="preserve">task efficiency or </w:t>
      </w:r>
      <w:r w:rsidR="006A29D2" w:rsidRPr="00A75594">
        <w:rPr>
          <w:rFonts w:eastAsia="Minion-Regular"/>
          <w:sz w:val="24"/>
          <w:szCs w:val="24"/>
        </w:rPr>
        <w:t>saccade onset latency</w:t>
      </w:r>
      <w:r w:rsidR="005C2E09">
        <w:rPr>
          <w:rFonts w:eastAsia="Minion-Regular"/>
          <w:sz w:val="24"/>
          <w:szCs w:val="24"/>
        </w:rPr>
        <w:t xml:space="preserve"> (i.e., </w:t>
      </w:r>
      <w:r w:rsidR="006A29D2" w:rsidRPr="00A75594">
        <w:rPr>
          <w:rFonts w:eastAsia="Minion-Regular"/>
          <w:sz w:val="24"/>
          <w:szCs w:val="24"/>
        </w:rPr>
        <w:t>time taken to make a correct eye-movement towards a target)</w:t>
      </w:r>
      <w:r w:rsidR="005C2E09">
        <w:rPr>
          <w:rFonts w:eastAsia="Minion-Regular"/>
          <w:sz w:val="24"/>
          <w:szCs w:val="24"/>
        </w:rPr>
        <w:t xml:space="preserve"> </w:t>
      </w:r>
      <w:r w:rsidR="006A29D2" w:rsidRPr="00A75594">
        <w:rPr>
          <w:rFonts w:eastAsia="Minion-Regular"/>
          <w:sz w:val="24"/>
          <w:szCs w:val="24"/>
        </w:rPr>
        <w:t xml:space="preserve">and (2) task effectiveness or performance as indicated by attentional lapses (as measured by the absence of a saccade to the target when one is required, i.e., an omission error). </w:t>
      </w:r>
      <w:r w:rsidR="00F65725" w:rsidRPr="00A75594">
        <w:rPr>
          <w:rFonts w:eastAsia="Minion-Regular"/>
          <w:sz w:val="24"/>
          <w:szCs w:val="24"/>
        </w:rPr>
        <w:t xml:space="preserve">This task </w:t>
      </w:r>
      <w:r w:rsidR="006A29D2" w:rsidRPr="00A75594">
        <w:rPr>
          <w:rFonts w:eastAsia="Minion-Regular"/>
          <w:sz w:val="24"/>
          <w:szCs w:val="24"/>
        </w:rPr>
        <w:t>provides a</w:t>
      </w:r>
      <w:r w:rsidR="005C2E09">
        <w:rPr>
          <w:rFonts w:eastAsia="Minion-Regular"/>
          <w:sz w:val="24"/>
          <w:szCs w:val="24"/>
        </w:rPr>
        <w:t xml:space="preserve">n additional measure of performance as reflected in </w:t>
      </w:r>
      <w:r w:rsidR="006A29D2" w:rsidRPr="00A75594">
        <w:rPr>
          <w:rFonts w:eastAsia="Minion-Regular"/>
          <w:sz w:val="24"/>
          <w:szCs w:val="24"/>
        </w:rPr>
        <w:t>(3) inhibitory control via the number of incorrect saccades (commission errors) to a target on No</w:t>
      </w:r>
      <w:r w:rsidR="00365512">
        <w:rPr>
          <w:rFonts w:eastAsia="Minion-Regular"/>
          <w:sz w:val="24"/>
          <w:szCs w:val="24"/>
        </w:rPr>
        <w:t>-</w:t>
      </w:r>
      <w:r w:rsidR="006A29D2" w:rsidRPr="00A75594">
        <w:rPr>
          <w:rFonts w:eastAsia="Minion-Regular"/>
          <w:sz w:val="24"/>
          <w:szCs w:val="24"/>
        </w:rPr>
        <w:t xml:space="preserve">Go trials. </w:t>
      </w:r>
    </w:p>
    <w:p w14:paraId="605008F7" w14:textId="5AC6388A" w:rsidR="00800DEC" w:rsidRDefault="005E287F" w:rsidP="005651AC">
      <w:pPr>
        <w:pStyle w:val="CommentText"/>
        <w:spacing w:line="480" w:lineRule="auto"/>
        <w:ind w:firstLine="567"/>
        <w:rPr>
          <w:rFonts w:eastAsia="Minion-Regular"/>
          <w:sz w:val="24"/>
          <w:szCs w:val="24"/>
        </w:rPr>
      </w:pPr>
      <w:r>
        <w:rPr>
          <w:rFonts w:eastAsia="Minion-Regular"/>
          <w:sz w:val="24"/>
          <w:szCs w:val="24"/>
        </w:rPr>
        <w:t xml:space="preserve">First, </w:t>
      </w:r>
      <w:r w:rsidR="00567666">
        <w:rPr>
          <w:rFonts w:eastAsia="Minion-Regular"/>
          <w:sz w:val="24"/>
          <w:szCs w:val="24"/>
        </w:rPr>
        <w:t xml:space="preserve">we predicted </w:t>
      </w:r>
      <w:r>
        <w:rPr>
          <w:rFonts w:eastAsia="Minion-Regular"/>
          <w:sz w:val="24"/>
          <w:szCs w:val="24"/>
        </w:rPr>
        <w:t xml:space="preserve">that individuals with elevated levels of ADHD would show generalised deficits in </w:t>
      </w:r>
      <w:r w:rsidR="006A29D2" w:rsidRPr="00A75594">
        <w:rPr>
          <w:rFonts w:eastAsia="Minion-Regular"/>
          <w:sz w:val="24"/>
          <w:szCs w:val="24"/>
        </w:rPr>
        <w:t xml:space="preserve">sustained attention </w:t>
      </w:r>
      <w:r>
        <w:rPr>
          <w:rFonts w:eastAsia="Minion-Regular"/>
          <w:sz w:val="24"/>
          <w:szCs w:val="24"/>
        </w:rPr>
        <w:t>and inhibitory control independent of the emotional content of trials</w:t>
      </w:r>
      <w:r w:rsidR="005F3AC8">
        <w:rPr>
          <w:rFonts w:eastAsia="Minion-Regular"/>
          <w:sz w:val="24"/>
          <w:szCs w:val="24"/>
        </w:rPr>
        <w:t xml:space="preserve"> </w:t>
      </w:r>
      <w:r w:rsidR="006A29D2" w:rsidRPr="00A75594">
        <w:rPr>
          <w:rFonts w:eastAsia="Minion-Regular"/>
          <w:sz w:val="24"/>
          <w:szCs w:val="24"/>
        </w:rPr>
        <w:t xml:space="preserve">(i.e., slower saccade latencies and more attentional lapses </w:t>
      </w:r>
      <w:r w:rsidR="004E71D6">
        <w:rPr>
          <w:rFonts w:eastAsia="Minion-Regular"/>
          <w:sz w:val="24"/>
          <w:szCs w:val="24"/>
        </w:rPr>
        <w:t>via</w:t>
      </w:r>
      <w:r w:rsidR="004E71D6" w:rsidRPr="00A75594">
        <w:rPr>
          <w:rFonts w:eastAsia="Minion-Regular"/>
          <w:sz w:val="24"/>
          <w:szCs w:val="24"/>
        </w:rPr>
        <w:t xml:space="preserve"> </w:t>
      </w:r>
      <w:r w:rsidR="006A29D2" w:rsidRPr="00A75594">
        <w:rPr>
          <w:rFonts w:eastAsia="Minion-Regular"/>
          <w:sz w:val="24"/>
          <w:szCs w:val="24"/>
        </w:rPr>
        <w:t>increased omission errors), and more commission errors, indicating difficulty suppressing reflexive saccades</w:t>
      </w:r>
      <w:r w:rsidR="004E71D6">
        <w:rPr>
          <w:rFonts w:eastAsia="Minion-Regular"/>
          <w:sz w:val="24"/>
          <w:szCs w:val="24"/>
        </w:rPr>
        <w:t xml:space="preserve"> to a target</w:t>
      </w:r>
      <w:r w:rsidR="006A29D2" w:rsidRPr="00A75594">
        <w:rPr>
          <w:rFonts w:eastAsia="Minion-Regular"/>
          <w:sz w:val="24"/>
          <w:szCs w:val="24"/>
        </w:rPr>
        <w:t xml:space="preserve">. </w:t>
      </w:r>
      <w:r w:rsidR="005F3AC8">
        <w:rPr>
          <w:rFonts w:eastAsia="Minion-Regular"/>
          <w:sz w:val="24"/>
          <w:szCs w:val="24"/>
        </w:rPr>
        <w:t xml:space="preserve">In contrast, we predicted that elevated levels of anxiety would be </w:t>
      </w:r>
      <w:r w:rsidR="004E71D6">
        <w:rPr>
          <w:rFonts w:eastAsia="Minion-Regular"/>
          <w:sz w:val="24"/>
          <w:szCs w:val="24"/>
        </w:rPr>
        <w:t xml:space="preserve">most </w:t>
      </w:r>
      <w:r w:rsidR="005F3AC8">
        <w:rPr>
          <w:rFonts w:eastAsia="Minion-Regular"/>
          <w:sz w:val="24"/>
          <w:szCs w:val="24"/>
        </w:rPr>
        <w:t>associated with threat specific effects on attention and inhibition. In particular</w:t>
      </w:r>
      <w:r w:rsidR="00567666">
        <w:rPr>
          <w:rFonts w:eastAsia="Minion-Regular"/>
          <w:sz w:val="24"/>
          <w:szCs w:val="24"/>
        </w:rPr>
        <w:t>,</w:t>
      </w:r>
      <w:r w:rsidR="005F3AC8">
        <w:rPr>
          <w:rFonts w:eastAsia="Minion-Regular"/>
          <w:sz w:val="24"/>
          <w:szCs w:val="24"/>
        </w:rPr>
        <w:t xml:space="preserve"> w</w:t>
      </w:r>
      <w:r w:rsidR="006A29D2" w:rsidRPr="00A75594">
        <w:rPr>
          <w:rFonts w:eastAsia="Minion-Regular"/>
          <w:sz w:val="24"/>
          <w:szCs w:val="24"/>
        </w:rPr>
        <w:t xml:space="preserve">e anticipated that </w:t>
      </w:r>
      <w:r w:rsidR="005C2E09">
        <w:rPr>
          <w:rFonts w:eastAsia="Minion-Regular"/>
          <w:sz w:val="24"/>
          <w:szCs w:val="24"/>
        </w:rPr>
        <w:t xml:space="preserve">increased </w:t>
      </w:r>
      <w:r w:rsidR="006A29D2" w:rsidRPr="00A75594">
        <w:rPr>
          <w:rFonts w:eastAsia="Minion-Regular"/>
          <w:sz w:val="24"/>
          <w:szCs w:val="24"/>
        </w:rPr>
        <w:t xml:space="preserve">anxiety </w:t>
      </w:r>
      <w:r w:rsidR="005C2E09">
        <w:rPr>
          <w:rFonts w:eastAsia="Minion-Regular"/>
          <w:sz w:val="24"/>
          <w:szCs w:val="24"/>
        </w:rPr>
        <w:t xml:space="preserve">symptoms </w:t>
      </w:r>
      <w:r w:rsidR="006A29D2" w:rsidRPr="00A75594">
        <w:rPr>
          <w:rFonts w:eastAsia="Minion-Regular"/>
          <w:sz w:val="24"/>
          <w:szCs w:val="24"/>
        </w:rPr>
        <w:t>would be associated with disrupted processing of angry face (vs happy</w:t>
      </w:r>
      <w:r w:rsidR="003F60A1">
        <w:rPr>
          <w:rFonts w:eastAsia="Minion-Regular"/>
          <w:sz w:val="24"/>
          <w:szCs w:val="24"/>
        </w:rPr>
        <w:t xml:space="preserve"> and non-face</w:t>
      </w:r>
      <w:r w:rsidR="006A29D2" w:rsidRPr="00A75594">
        <w:rPr>
          <w:rFonts w:eastAsia="Minion-Regular"/>
          <w:sz w:val="24"/>
          <w:szCs w:val="24"/>
        </w:rPr>
        <w:t>) stimuli. Following previous research</w:t>
      </w:r>
      <w:r w:rsidR="000E1F2F">
        <w:rPr>
          <w:rFonts w:eastAsia="Minion-Regular"/>
          <w:sz w:val="24"/>
          <w:szCs w:val="24"/>
        </w:rPr>
        <w:t xml:space="preserve"> </w:t>
      </w:r>
      <w:r w:rsidR="000E1F2F">
        <w:rPr>
          <w:rFonts w:eastAsia="Minion-Regular"/>
          <w:sz w:val="24"/>
          <w:szCs w:val="24"/>
        </w:rPr>
        <w:fldChar w:fldCharType="begin" w:fldLock="1"/>
      </w:r>
      <w:r w:rsidR="00292D52">
        <w:rPr>
          <w:rFonts w:eastAsia="Minion-Regular"/>
          <w:sz w:val="24"/>
          <w:szCs w:val="24"/>
        </w:rPr>
        <w:instrText>ADDIN CSL_CITATION {"citationItems":[{"id":"ITEM-1","itemData":{"DOI":"10.5127/jep.055316","ISSN":"2043-8087","abstract":"The current study used an eye-movement Remote Distractor Paradigm (RDP) to explore attention to threat and considered associations with personality traits (neuroticism and psychoticism) and self-reported friendship quality in children aged 9–11 years. The RDP asked children to look at and identify a target presented on a computer display in the presence or absence of a central, parafoveal or peripheral visual distractor (an angry, happy or neutral face). The results showed that symptoms of neuroticism were associated with hypervigilance for threat (i.e., slower latencies to initiate eye movements to the target in the presence of angry versus happy or neutral faces). In addition, when distractors were presented centrally, this relationship was most evident in children who reported lower levels of attentional control. Psychoticism traits were associated with increased selective attention to all distractors (as measured by directional errors to face stimuli) and to child reported lower friendship quality. Mo...","author":[{"dropping-particle":"","family":"Pavlou","given":"Katerina","non-dropping-particle":"","parse-names":false,"suffix":""},{"dropping-particle":"","family":"Benson","given":"Valerie","non-dropping-particle":"","parse-names":false,"suffix":""},{"dropping-particle":"","family":"Hadwin","given":"Julie A.","non-dropping-particle":"","parse-names":false,"suffix":""}],"container-title":"Journal of Experimental Psychopathology","id":"ITEM-1","issue":"3","issued":{"date-parts":[["2016","1","23"]]},"page":"jep.055316","publisher":"SAGE PublicationsSage UK: London, England","title":"Exploring Links between Neuroticism and Psychoticism Personality Traits, Attentional Biases to Threat and Friendship Quality in 9–11-year-olds","type":"article-journal","volume":"7"},"uris":["http://www.mendeley.com/documents/?uuid=1aeab5d9-444a-3e29-b65b-4d49dc2bbc46"]}],"mendeley":{"formattedCitation":"(Pavlou et al., 2016)","manualFormatting":"(e.g. Pavlou et al., 2016)","plainTextFormattedCitation":"(Pavlou et al., 2016)","previouslyFormattedCitation":"(Pavlou et al., 2016)"},"properties":{"noteIndex":0},"schema":"https://github.com/citation-style-language/schema/raw/master/csl-citation.json"}</w:instrText>
      </w:r>
      <w:r w:rsidR="000E1F2F">
        <w:rPr>
          <w:rFonts w:eastAsia="Minion-Regular"/>
          <w:sz w:val="24"/>
          <w:szCs w:val="24"/>
        </w:rPr>
        <w:fldChar w:fldCharType="separate"/>
      </w:r>
      <w:r w:rsidR="000E1F2F" w:rsidRPr="000E1F2F">
        <w:rPr>
          <w:rFonts w:eastAsia="Minion-Regular"/>
          <w:noProof/>
          <w:sz w:val="24"/>
          <w:szCs w:val="24"/>
        </w:rPr>
        <w:t>(</w:t>
      </w:r>
      <w:r w:rsidR="000A6359">
        <w:rPr>
          <w:rFonts w:eastAsia="Minion-Regular"/>
          <w:noProof/>
          <w:sz w:val="24"/>
          <w:szCs w:val="24"/>
        </w:rPr>
        <w:t xml:space="preserve">e.g. </w:t>
      </w:r>
      <w:r w:rsidR="000E1F2F" w:rsidRPr="000E1F2F">
        <w:rPr>
          <w:rFonts w:eastAsia="Minion-Regular"/>
          <w:noProof/>
          <w:sz w:val="24"/>
          <w:szCs w:val="24"/>
        </w:rPr>
        <w:t>Pavlou et al., 2016)</w:t>
      </w:r>
      <w:r w:rsidR="000E1F2F">
        <w:rPr>
          <w:rFonts w:eastAsia="Minion-Regular"/>
          <w:sz w:val="24"/>
          <w:szCs w:val="24"/>
        </w:rPr>
        <w:fldChar w:fldCharType="end"/>
      </w:r>
      <w:r w:rsidR="00A17817">
        <w:rPr>
          <w:rFonts w:eastAsia="Minion-Regular"/>
          <w:sz w:val="24"/>
          <w:szCs w:val="24"/>
        </w:rPr>
        <w:t xml:space="preserve"> </w:t>
      </w:r>
      <w:r w:rsidR="006A29D2" w:rsidRPr="00A75594">
        <w:rPr>
          <w:rFonts w:eastAsia="Minion-Regular"/>
          <w:sz w:val="24"/>
          <w:szCs w:val="24"/>
        </w:rPr>
        <w:t xml:space="preserve">we </w:t>
      </w:r>
      <w:r w:rsidR="00B263BD">
        <w:rPr>
          <w:rFonts w:eastAsia="Minion-Regular"/>
          <w:sz w:val="24"/>
          <w:szCs w:val="24"/>
        </w:rPr>
        <w:t>expected</w:t>
      </w:r>
      <w:r w:rsidR="00B263BD" w:rsidRPr="00A75594">
        <w:rPr>
          <w:rFonts w:eastAsia="Minion-Regular"/>
          <w:sz w:val="24"/>
          <w:szCs w:val="24"/>
        </w:rPr>
        <w:t xml:space="preserve"> </w:t>
      </w:r>
      <w:r w:rsidR="006A29D2" w:rsidRPr="00A75594">
        <w:rPr>
          <w:rFonts w:eastAsia="Minion-Regular"/>
          <w:sz w:val="24"/>
          <w:szCs w:val="24"/>
        </w:rPr>
        <w:t xml:space="preserve">that elevated anxiety would manifest in the current task as slower disengagement, that is, slower saccade onset latencies on angry </w:t>
      </w:r>
      <w:r w:rsidR="005C2E09">
        <w:rPr>
          <w:rFonts w:eastAsia="Minion-Regular"/>
          <w:sz w:val="24"/>
          <w:szCs w:val="24"/>
        </w:rPr>
        <w:t xml:space="preserve">Go trials </w:t>
      </w:r>
      <w:r w:rsidR="006A29D2" w:rsidRPr="00A75594">
        <w:rPr>
          <w:rFonts w:eastAsia="Minion-Regular"/>
          <w:sz w:val="24"/>
          <w:szCs w:val="24"/>
        </w:rPr>
        <w:t xml:space="preserve">and fewer saccadic commission errors in response to centrally presented angry </w:t>
      </w:r>
      <w:r w:rsidR="00574679">
        <w:rPr>
          <w:rFonts w:eastAsia="Minion-Regular"/>
          <w:sz w:val="24"/>
          <w:szCs w:val="24"/>
        </w:rPr>
        <w:t>No</w:t>
      </w:r>
      <w:r w:rsidR="00365512">
        <w:rPr>
          <w:rFonts w:eastAsia="Minion-Regular"/>
          <w:sz w:val="24"/>
          <w:szCs w:val="24"/>
        </w:rPr>
        <w:t>-</w:t>
      </w:r>
      <w:r w:rsidR="005C2E09">
        <w:rPr>
          <w:rFonts w:eastAsia="Minion-Regular"/>
          <w:sz w:val="24"/>
          <w:szCs w:val="24"/>
        </w:rPr>
        <w:t>Go trials</w:t>
      </w:r>
      <w:r w:rsidR="006A29D2" w:rsidRPr="00A75594">
        <w:rPr>
          <w:rFonts w:eastAsia="Minion-Regular"/>
          <w:sz w:val="24"/>
          <w:szCs w:val="24"/>
        </w:rPr>
        <w:t xml:space="preserve">.  Finally, we </w:t>
      </w:r>
      <w:r w:rsidR="00FA620B">
        <w:rPr>
          <w:rFonts w:eastAsia="Minion-Regular"/>
          <w:sz w:val="24"/>
          <w:szCs w:val="24"/>
        </w:rPr>
        <w:t>anticipated</w:t>
      </w:r>
      <w:r w:rsidR="00FA620B" w:rsidRPr="00A75594">
        <w:rPr>
          <w:rFonts w:eastAsia="Minion-Regular"/>
          <w:sz w:val="24"/>
          <w:szCs w:val="24"/>
        </w:rPr>
        <w:t xml:space="preserve"> </w:t>
      </w:r>
      <w:r w:rsidR="006A29D2" w:rsidRPr="00A75594">
        <w:rPr>
          <w:rFonts w:eastAsia="Minion-Regular"/>
          <w:sz w:val="24"/>
          <w:szCs w:val="24"/>
        </w:rPr>
        <w:t xml:space="preserve">that </w:t>
      </w:r>
      <w:r w:rsidR="005F3AC8">
        <w:rPr>
          <w:rFonts w:eastAsia="Minion-Regular"/>
          <w:sz w:val="24"/>
          <w:szCs w:val="24"/>
        </w:rPr>
        <w:t>elevated levels of</w:t>
      </w:r>
      <w:r w:rsidR="005F3AC8" w:rsidRPr="00A75594">
        <w:rPr>
          <w:rFonts w:eastAsia="Minion-Regular"/>
          <w:sz w:val="24"/>
          <w:szCs w:val="24"/>
        </w:rPr>
        <w:t xml:space="preserve"> </w:t>
      </w:r>
      <w:r w:rsidR="006A29D2" w:rsidRPr="00A75594">
        <w:rPr>
          <w:rFonts w:eastAsia="Minion-Regular"/>
          <w:sz w:val="24"/>
          <w:szCs w:val="24"/>
        </w:rPr>
        <w:t xml:space="preserve">anxiety would exacerbate the negative </w:t>
      </w:r>
      <w:r w:rsidR="00574679">
        <w:rPr>
          <w:rFonts w:eastAsia="Minion-Regular"/>
          <w:sz w:val="24"/>
          <w:szCs w:val="24"/>
        </w:rPr>
        <w:t>impact</w:t>
      </w:r>
      <w:r w:rsidR="00574679" w:rsidRPr="00A75594">
        <w:rPr>
          <w:rFonts w:eastAsia="Minion-Regular"/>
          <w:sz w:val="24"/>
          <w:szCs w:val="24"/>
        </w:rPr>
        <w:t xml:space="preserve"> </w:t>
      </w:r>
      <w:r w:rsidR="006A29D2" w:rsidRPr="00A75594">
        <w:rPr>
          <w:rFonts w:eastAsia="Minion-Regular"/>
          <w:sz w:val="24"/>
          <w:szCs w:val="24"/>
        </w:rPr>
        <w:t xml:space="preserve">of ADHD symptoms </w:t>
      </w:r>
      <w:r w:rsidR="00574679">
        <w:rPr>
          <w:rFonts w:eastAsia="Minion-Regular"/>
          <w:sz w:val="24"/>
          <w:szCs w:val="24"/>
        </w:rPr>
        <w:t xml:space="preserve">on </w:t>
      </w:r>
      <w:r w:rsidR="00574679">
        <w:rPr>
          <w:rFonts w:eastAsia="Minion-Regular"/>
          <w:sz w:val="24"/>
          <w:szCs w:val="24"/>
        </w:rPr>
        <w:lastRenderedPageBreak/>
        <w:t xml:space="preserve">cognitive processing </w:t>
      </w:r>
      <w:r w:rsidR="005F3AC8">
        <w:rPr>
          <w:rFonts w:eastAsia="Minion-Regular"/>
          <w:sz w:val="24"/>
          <w:szCs w:val="24"/>
        </w:rPr>
        <w:t>on threat trials (</w:t>
      </w:r>
      <w:r w:rsidR="00B263BD">
        <w:rPr>
          <w:rFonts w:eastAsia="Minion-Regular"/>
          <w:sz w:val="24"/>
          <w:szCs w:val="24"/>
        </w:rPr>
        <w:t xml:space="preserve">with deficits on all performance indices being most evident for </w:t>
      </w:r>
      <w:r w:rsidR="006A29D2" w:rsidRPr="00A75594">
        <w:rPr>
          <w:rFonts w:eastAsia="Minion-Regular"/>
          <w:sz w:val="24"/>
          <w:szCs w:val="24"/>
        </w:rPr>
        <w:t>angry compared with happy and non-face</w:t>
      </w:r>
      <w:r w:rsidR="00B263BD">
        <w:rPr>
          <w:rFonts w:eastAsia="Minion-Regular"/>
          <w:sz w:val="24"/>
          <w:szCs w:val="24"/>
        </w:rPr>
        <w:t xml:space="preserve"> cues</w:t>
      </w:r>
      <w:r w:rsidR="006A29D2" w:rsidRPr="00A75594">
        <w:rPr>
          <w:rFonts w:eastAsia="Minion-Regular"/>
          <w:sz w:val="24"/>
          <w:szCs w:val="24"/>
        </w:rPr>
        <w:t>).</w:t>
      </w:r>
      <w:r w:rsidR="005F3AC8">
        <w:rPr>
          <w:rFonts w:eastAsia="Minion-Regular"/>
          <w:sz w:val="24"/>
          <w:szCs w:val="24"/>
        </w:rPr>
        <w:t xml:space="preserve"> </w:t>
      </w:r>
    </w:p>
    <w:p w14:paraId="2763E668" w14:textId="6F81C0DE" w:rsidR="006A29D2" w:rsidRPr="00A40AC1" w:rsidRDefault="006A29D2" w:rsidP="00DE026C">
      <w:pPr>
        <w:pStyle w:val="CommentText"/>
        <w:spacing w:line="480" w:lineRule="auto"/>
        <w:ind w:firstLine="567"/>
        <w:rPr>
          <w:rFonts w:eastAsia="Minion-Regular"/>
          <w:sz w:val="24"/>
          <w:szCs w:val="24"/>
        </w:rPr>
      </w:pPr>
      <w:r w:rsidRPr="00A75594">
        <w:rPr>
          <w:rFonts w:eastAsia="Minion-Regular"/>
          <w:sz w:val="24"/>
          <w:szCs w:val="24"/>
        </w:rPr>
        <w:t xml:space="preserve">We explored these effects in both children/adolescents and adults, in order to examine </w:t>
      </w:r>
      <w:r w:rsidR="00574679">
        <w:rPr>
          <w:rFonts w:eastAsia="Minion-Regular"/>
          <w:sz w:val="24"/>
          <w:szCs w:val="24"/>
        </w:rPr>
        <w:t>potential age</w:t>
      </w:r>
      <w:r w:rsidRPr="00A75594">
        <w:rPr>
          <w:rFonts w:eastAsia="Minion-Regular"/>
          <w:sz w:val="24"/>
          <w:szCs w:val="24"/>
        </w:rPr>
        <w:t xml:space="preserve"> differences. We anticipated that performance would be reflected </w:t>
      </w:r>
      <w:r w:rsidR="00CD6163">
        <w:rPr>
          <w:rFonts w:eastAsia="Minion-Regular"/>
          <w:sz w:val="24"/>
          <w:szCs w:val="24"/>
        </w:rPr>
        <w:t>in</w:t>
      </w:r>
      <w:r w:rsidR="00CD6163" w:rsidRPr="00A75594">
        <w:rPr>
          <w:rFonts w:eastAsia="Minion-Regular"/>
          <w:sz w:val="24"/>
          <w:szCs w:val="24"/>
        </w:rPr>
        <w:t xml:space="preserve"> </w:t>
      </w:r>
      <w:r w:rsidR="00B263BD">
        <w:rPr>
          <w:rFonts w:eastAsia="Minion-Regular"/>
          <w:sz w:val="24"/>
          <w:szCs w:val="24"/>
        </w:rPr>
        <w:t xml:space="preserve">increased </w:t>
      </w:r>
      <w:r w:rsidRPr="00A40AC1">
        <w:rPr>
          <w:rFonts w:eastAsia="Minion-Regular"/>
          <w:sz w:val="24"/>
          <w:szCs w:val="24"/>
        </w:rPr>
        <w:t xml:space="preserve">accuracy (i.e. fewer saccade errors) and efficiency (i.e. faster saccade onset latency) </w:t>
      </w:r>
      <w:r w:rsidR="00CD6163">
        <w:rPr>
          <w:rFonts w:eastAsia="Minion-Regular"/>
          <w:sz w:val="24"/>
          <w:szCs w:val="24"/>
        </w:rPr>
        <w:t xml:space="preserve">in </w:t>
      </w:r>
      <w:r w:rsidRPr="00A40AC1">
        <w:rPr>
          <w:rFonts w:eastAsia="Minion-Regular"/>
          <w:sz w:val="24"/>
          <w:szCs w:val="24"/>
        </w:rPr>
        <w:t>adults compared to children.</w:t>
      </w:r>
      <w:r w:rsidR="003E7C96" w:rsidRPr="00A40AC1">
        <w:rPr>
          <w:rFonts w:eastAsia="Minion-Regular"/>
          <w:sz w:val="24"/>
          <w:szCs w:val="24"/>
        </w:rPr>
        <w:t xml:space="preserve"> </w:t>
      </w:r>
      <w:r w:rsidR="00CD6163">
        <w:rPr>
          <w:rFonts w:eastAsia="Minion-Regular"/>
          <w:sz w:val="24"/>
          <w:szCs w:val="24"/>
        </w:rPr>
        <w:t>With</w:t>
      </w:r>
      <w:r w:rsidR="003E7C96" w:rsidRPr="00A40AC1">
        <w:rPr>
          <w:rFonts w:eastAsia="Minion-Regular"/>
          <w:sz w:val="24"/>
          <w:szCs w:val="24"/>
        </w:rPr>
        <w:t xml:space="preserve"> regards to the individual differences, very few studies have examined age-dependent</w:t>
      </w:r>
      <w:r w:rsidR="00CD6163">
        <w:rPr>
          <w:rFonts w:eastAsia="Minion-Regular"/>
          <w:sz w:val="24"/>
          <w:szCs w:val="24"/>
        </w:rPr>
        <w:t xml:space="preserve"> </w:t>
      </w:r>
      <w:r w:rsidR="003E7C96" w:rsidRPr="00A40AC1">
        <w:rPr>
          <w:rFonts w:eastAsia="Minion-Regular"/>
          <w:sz w:val="24"/>
          <w:szCs w:val="24"/>
        </w:rPr>
        <w:t>cognitive performance in ADHD and anxiety.</w:t>
      </w:r>
      <w:r w:rsidR="00A40AC1" w:rsidRPr="00A40AC1">
        <w:rPr>
          <w:rFonts w:eastAsia="Minion-Regular"/>
          <w:sz w:val="24"/>
          <w:szCs w:val="24"/>
        </w:rPr>
        <w:t xml:space="preserve"> Some studies for example found that</w:t>
      </w:r>
      <w:r w:rsidR="00800DEC" w:rsidRPr="00A40AC1">
        <w:rPr>
          <w:rFonts w:eastAsia="Minion-Regular"/>
          <w:sz w:val="24"/>
          <w:szCs w:val="24"/>
        </w:rPr>
        <w:t xml:space="preserve"> impulsive behaviour in ADHD attenuates with age </w:t>
      </w:r>
      <w:r w:rsidR="00800DEC" w:rsidRPr="00A40AC1">
        <w:rPr>
          <w:rFonts w:eastAsia="Minion-Regular"/>
          <w:sz w:val="24"/>
          <w:szCs w:val="24"/>
        </w:rPr>
        <w:fldChar w:fldCharType="begin" w:fldLock="1"/>
      </w:r>
      <w:r w:rsidR="000F49FA">
        <w:rPr>
          <w:rFonts w:eastAsia="Minion-Regular"/>
          <w:sz w:val="24"/>
          <w:szCs w:val="24"/>
        </w:rPr>
        <w:instrText>ADDIN CSL_CITATION {"citationItems":[{"id":"ITEM-1","itemData":{"DOI":"10.1176/appi.ajp.157.5.816","ISSN":"0002953X","author":[{"dropping-particle":"","family":"Biederman","given":"J.","non-dropping-particle":"","parse-names":false,"suffix":""}],"container-title":"American Journal of Psychiatry","id":"ITEM-1","issue":"5","issued":{"date-parts":[["2000","5","1"]]},"page":"816-818","title":"Age-Dependent Decline of Symptoms of Attention Deficit Hyperactivity Disorder: Impact of Remission Definition and Symptom Type","type":"article-journal","volume":"157"},"uris":["http://www.mendeley.com/documents/?uuid=f949e3dc-3a8d-497f-96f3-9e1de4debdc4"]},{"id":"ITEM-2","itemData":{"DOI":"10.1093/jpepsy/jsm005","ISSN":"0146-8693","author":[{"dropping-particle":"","family":"Spencer","given":"T. J.","non-dropping-particle":"","parse-names":false,"suffix":""},{"dropping-particle":"","family":"Biederman","given":"J.","non-dropping-particle":"","parse-names":false,"suffix":""},{"dropping-particle":"","family":"Mick","given":"E.","non-dropping-particle":"","parse-names":false,"suffix":""}],"container-title":"Journal of Pediatric Psychology","id":"ITEM-2","issue":"6","issued":{"date-parts":[["2007","5","28"]]},"page":"631-642","publisher":"Oxford University Press","title":"Attention-Deficit/Hyperactivity Disorder: Diagnosis, Lifespan, Comorbidities, and Neurobiology","type":"article-journal","volume":"32"},"uris":["http://www.mendeley.com/documents/?uuid=b701047b-8ba0-3b39-b3bb-61465a186a56"]}],"mendeley":{"formattedCitation":"(Biederman, 2000; Spencer, Biederman, &amp; Mick, 2007)","plainTextFormattedCitation":"(Biederman, 2000; Spencer, Biederman, &amp; Mick, 2007)","previouslyFormattedCitation":"(Biederman, 2000; Spencer, Biederman, &amp; Mick, 2007)"},"properties":{"noteIndex":0},"schema":"https://github.com/citation-style-language/schema/raw/master/csl-citation.json"}</w:instrText>
      </w:r>
      <w:r w:rsidR="00800DEC" w:rsidRPr="00A40AC1">
        <w:rPr>
          <w:rFonts w:eastAsia="Minion-Regular"/>
          <w:sz w:val="24"/>
          <w:szCs w:val="24"/>
        </w:rPr>
        <w:fldChar w:fldCharType="separate"/>
      </w:r>
      <w:r w:rsidR="00EC0581" w:rsidRPr="00A40AC1">
        <w:rPr>
          <w:rFonts w:eastAsia="Minion-Regular"/>
          <w:noProof/>
          <w:sz w:val="24"/>
          <w:szCs w:val="24"/>
        </w:rPr>
        <w:t>(Biederman, 2000; Spencer, Biederman, &amp; Mick, 2007)</w:t>
      </w:r>
      <w:r w:rsidR="00800DEC" w:rsidRPr="00A40AC1">
        <w:rPr>
          <w:rFonts w:eastAsia="Minion-Regular"/>
          <w:sz w:val="24"/>
          <w:szCs w:val="24"/>
        </w:rPr>
        <w:fldChar w:fldCharType="end"/>
      </w:r>
      <w:r w:rsidR="00810BB1" w:rsidRPr="00A40AC1">
        <w:rPr>
          <w:rFonts w:eastAsia="Minion-Regular"/>
          <w:sz w:val="24"/>
          <w:szCs w:val="24"/>
        </w:rPr>
        <w:t>,</w:t>
      </w:r>
      <w:r w:rsidR="00800DEC" w:rsidRPr="00A40AC1">
        <w:rPr>
          <w:rFonts w:eastAsia="Minion-Regular"/>
          <w:sz w:val="24"/>
          <w:szCs w:val="24"/>
        </w:rPr>
        <w:t xml:space="preserve"> and </w:t>
      </w:r>
      <w:r w:rsidR="003E7C96" w:rsidRPr="00A40AC1">
        <w:rPr>
          <w:rFonts w:eastAsia="Minion-Regular"/>
          <w:sz w:val="24"/>
          <w:szCs w:val="24"/>
        </w:rPr>
        <w:t>since</w:t>
      </w:r>
      <w:r w:rsidR="002900C4" w:rsidRPr="00A40AC1">
        <w:rPr>
          <w:rFonts w:eastAsia="Minion-Regular"/>
          <w:sz w:val="24"/>
          <w:szCs w:val="24"/>
        </w:rPr>
        <w:t xml:space="preserve"> </w:t>
      </w:r>
      <w:r w:rsidR="00F00695" w:rsidRPr="00A40AC1">
        <w:rPr>
          <w:rFonts w:eastAsia="Minion-Regular"/>
          <w:sz w:val="24"/>
          <w:szCs w:val="24"/>
        </w:rPr>
        <w:t>inhibitory control varies with impulsiveness</w:t>
      </w:r>
      <w:r w:rsidR="003E7C96" w:rsidRPr="00A40AC1">
        <w:rPr>
          <w:rFonts w:eastAsia="Minion-Regular"/>
          <w:sz w:val="24"/>
          <w:szCs w:val="24"/>
        </w:rPr>
        <w:t xml:space="preserve"> (such that</w:t>
      </w:r>
      <w:r w:rsidR="00F00695" w:rsidRPr="00A40AC1">
        <w:rPr>
          <w:rFonts w:eastAsia="Minion-Regular"/>
          <w:sz w:val="24"/>
          <w:szCs w:val="24"/>
        </w:rPr>
        <w:t xml:space="preserve"> highly impulsive individuals show poorer inhibitory control due to slower information processing</w:t>
      </w:r>
      <w:r w:rsidR="003E7C96" w:rsidRPr="00A40AC1">
        <w:rPr>
          <w:rFonts w:eastAsia="Minion-Regular"/>
          <w:sz w:val="24"/>
          <w:szCs w:val="24"/>
        </w:rPr>
        <w:t>)</w:t>
      </w:r>
      <w:r w:rsidR="00DB413F" w:rsidRPr="00A40AC1">
        <w:rPr>
          <w:rFonts w:eastAsia="Minion-Regular"/>
          <w:sz w:val="24"/>
          <w:szCs w:val="24"/>
        </w:rPr>
        <w:t xml:space="preserve">, in both clinical </w:t>
      </w:r>
      <w:r w:rsidR="00DB413F" w:rsidRPr="00A40AC1">
        <w:rPr>
          <w:rFonts w:eastAsia="Minion-Regular"/>
          <w:sz w:val="24"/>
          <w:szCs w:val="24"/>
        </w:rPr>
        <w:fldChar w:fldCharType="begin" w:fldLock="1"/>
      </w:r>
      <w:r w:rsidR="00DB413F" w:rsidRPr="00A40AC1">
        <w:rPr>
          <w:rFonts w:eastAsia="Minion-Regular"/>
          <w:sz w:val="24"/>
          <w:szCs w:val="24"/>
        </w:rPr>
        <w:instrText>ADDIN CSL_CITATION {"citationItems":[{"id":"ITEM-1","itemData":{"DOI":"10.1037/a0031533","ISSN":"1931-1559","PMID":"23527647","abstract":"OBJECTIVE: Attention-deficit/hyperactivity disorder (ADHD) is associated with performance deficits across a broad range of tasks. Although individual tasks are designed to tap specific cognitive functions (e.g., memory, inhibition, planning, etc.), these deficits could also reflect general effects related to either inefficient or impulsive information processing or both. These two components cannot be isolated from each other on the basis of classical analysis in which mean reaction time (RT) and mean accuracy are handled separately.\n\nMETHOD: Seventy children with a diagnosis of combined type ADHD and 50 healthy controls (between 6 and 17 years) performed two tasks: a simple two-choice RT (2-CRT) task and a conflict control task (CCT) that required higher levels of executive control. RT and errors were analyzed using the Ratcliff diffusion model, which divides decisional time into separate estimates of information processing efficiency (called \"drift rate\") and speed-accuracy tradeoff (SATO, called \"boundary\"). The model also provides an estimate of general nondecisional time.\n\nRESULTS: Results were the same for both tasks independent of executive load. ADHD was associated with lower drift rate and less nondecisional time. The groups did not differ in terms of boundary parameter estimates.\n\nCONCLUSION: RT and accuracy performance in ADHD appears to reflect inefficient rather than impulsive information processing, an effect independent of executive function load. The results are consistent with models in which basic information processing deficits make an important contribution to the ADHD cognitive phenotype.","author":[{"dropping-particle":"","family":"Metin","given":"Baris","non-dropping-particle":"","parse-names":false,"suffix":""},{"dropping-particle":"","family":"Roeyers","given":"Herbert","non-dropping-particle":"","parse-names":false,"suffix":""},{"dropping-particle":"","family":"Wiersema","given":"Jan R","non-dropping-particle":"","parse-names":false,"suffix":""},{"dropping-particle":"","family":"Meere","given":"Jaap J","non-dropping-particle":"van der","parse-names":false,"suffix":""},{"dropping-particle":"","family":"Thompson","given":"Margaret","non-dropping-particle":"","parse-names":false,"suffix":""},{"dropping-particle":"","family":"Sonuga-Barke","given":"Edmund","non-dropping-particle":"","parse-names":false,"suffix":""}],"container-title":"Neuropsychology","id":"ITEM-1","issue":"2","issued":{"date-parts":[["2013","3","1"]]},"language":"English","page":"193-200","publisher":"American Psychological Association","title":"ADHD performance reflects inefficient but not impulsive information processing: a diffusion model analysis.","type":"article-journal","volume":"27"},"uris":["http://www.mendeley.com/documents/?uuid=6591c93d-2769-4f63-a3cd-a17a6fc686a0"]}],"mendeley":{"formattedCitation":"(Metin et al., 2013)","plainTextFormattedCitation":"(Metin et al., 2013)","previouslyFormattedCitation":"(Metin et al., 2013)"},"properties":{"noteIndex":0},"schema":"https://github.com/citation-style-language/schema/raw/master/csl-citation.json"}</w:instrText>
      </w:r>
      <w:r w:rsidR="00DB413F" w:rsidRPr="00A40AC1">
        <w:rPr>
          <w:rFonts w:eastAsia="Minion-Regular"/>
          <w:sz w:val="24"/>
          <w:szCs w:val="24"/>
        </w:rPr>
        <w:fldChar w:fldCharType="separate"/>
      </w:r>
      <w:r w:rsidR="00DB413F" w:rsidRPr="00A40AC1">
        <w:rPr>
          <w:rFonts w:eastAsia="Minion-Regular"/>
          <w:noProof/>
          <w:sz w:val="24"/>
          <w:szCs w:val="24"/>
        </w:rPr>
        <w:t>(Metin et al., 2013)</w:t>
      </w:r>
      <w:r w:rsidR="00DB413F" w:rsidRPr="00A40AC1">
        <w:rPr>
          <w:rFonts w:eastAsia="Minion-Regular"/>
          <w:sz w:val="24"/>
          <w:szCs w:val="24"/>
        </w:rPr>
        <w:fldChar w:fldCharType="end"/>
      </w:r>
      <w:r w:rsidR="00DB413F" w:rsidRPr="00A40AC1">
        <w:rPr>
          <w:rFonts w:eastAsia="Minion-Regular"/>
          <w:sz w:val="24"/>
          <w:szCs w:val="24"/>
        </w:rPr>
        <w:t xml:space="preserve"> and non-clinical </w:t>
      </w:r>
      <w:r w:rsidR="00800DEC" w:rsidRPr="00A40AC1">
        <w:rPr>
          <w:rFonts w:eastAsia="Minion-Regular"/>
          <w:sz w:val="24"/>
          <w:szCs w:val="24"/>
        </w:rPr>
        <w:t>samples</w:t>
      </w:r>
      <w:r w:rsidR="00DB413F" w:rsidRPr="00A40AC1">
        <w:rPr>
          <w:rFonts w:eastAsia="Minion-Regular"/>
          <w:sz w:val="24"/>
          <w:szCs w:val="24"/>
        </w:rPr>
        <w:t xml:space="preserve"> </w:t>
      </w:r>
      <w:r w:rsidR="00DB413F" w:rsidRPr="00A40AC1">
        <w:rPr>
          <w:rFonts w:eastAsia="Minion-Regular"/>
          <w:sz w:val="24"/>
          <w:szCs w:val="24"/>
        </w:rPr>
        <w:fldChar w:fldCharType="begin" w:fldLock="1"/>
      </w:r>
      <w:r w:rsidR="006A7353" w:rsidRPr="00A40AC1">
        <w:rPr>
          <w:rFonts w:eastAsia="Minion-Regular"/>
          <w:sz w:val="24"/>
          <w:szCs w:val="24"/>
        </w:rPr>
        <w:instrText>ADDIN CSL_CITATION {"citationItems":[{"id":"ITEM-1","itemData":{"DOI":"10.1111/j.1467-9280.1997.tb00545.x","ISSN":"0956-7976","abstract":"We report an experiment testing the hypothesis that impulsive behavior reflects a deficit in the ability to inhibit prepotent responses Specifically, we examined whether impulsive people respond mo...","author":[{"dropping-particle":"","family":"Logan","given":"Gordon D.","non-dropping-particle":"","parse-names":false,"suffix":""},{"dropping-particle":"","family":"Schachar","given":"Russell J.","non-dropping-particle":"","parse-names":false,"suffix":""},{"dropping-particle":"","family":"Tannock","given":"Rosemary","non-dropping-particle":"","parse-names":false,"suffix":""}],"container-title":"Psychological Science","id":"ITEM-1","issue":"1","issued":{"date-parts":[["1997","1","6"]]},"page":"60-64","publisher":"SAGE PublicationsSage CA: Los Angeles, CA","title":"Impulsivity and Inhibitory Control","type":"article-journal","volume":"8"},"uris":["http://www.mendeley.com/documents/?uuid=57a37121-fedd-3b88-99bd-0efbbaa16ffb"]}],"mendeley":{"formattedCitation":"(Logan, Schachar, &amp; Tannock, 1997)","plainTextFormattedCitation":"(Logan, Schachar, &amp; Tannock, 1997)","previouslyFormattedCitation":"(Logan, Schachar, &amp; Tannock, 1997)"},"properties":{"noteIndex":0},"schema":"https://github.com/citation-style-language/schema/raw/master/csl-citation.json"}</w:instrText>
      </w:r>
      <w:r w:rsidR="00DB413F" w:rsidRPr="00A40AC1">
        <w:rPr>
          <w:rFonts w:eastAsia="Minion-Regular"/>
          <w:sz w:val="24"/>
          <w:szCs w:val="24"/>
        </w:rPr>
        <w:fldChar w:fldCharType="separate"/>
      </w:r>
      <w:r w:rsidR="00DB413F" w:rsidRPr="00A40AC1">
        <w:rPr>
          <w:rFonts w:eastAsia="Minion-Regular"/>
          <w:noProof/>
          <w:sz w:val="24"/>
          <w:szCs w:val="24"/>
        </w:rPr>
        <w:t>(Logan, Schachar, &amp; Tannock, 1997)</w:t>
      </w:r>
      <w:r w:rsidR="00DB413F" w:rsidRPr="00A40AC1">
        <w:rPr>
          <w:rFonts w:eastAsia="Minion-Regular"/>
          <w:sz w:val="24"/>
          <w:szCs w:val="24"/>
        </w:rPr>
        <w:fldChar w:fldCharType="end"/>
      </w:r>
      <w:r w:rsidR="00471B3F">
        <w:rPr>
          <w:rFonts w:eastAsia="Minion-Regular"/>
          <w:sz w:val="24"/>
          <w:szCs w:val="24"/>
        </w:rPr>
        <w:t>,</w:t>
      </w:r>
      <w:r w:rsidR="00B263BD">
        <w:rPr>
          <w:rFonts w:eastAsia="Minion-Regular"/>
          <w:sz w:val="24"/>
          <w:szCs w:val="24"/>
        </w:rPr>
        <w:t xml:space="preserve"> we expected that associations between inhibitory</w:t>
      </w:r>
      <w:r w:rsidR="00A17817">
        <w:rPr>
          <w:rFonts w:eastAsia="Minion-Regular"/>
          <w:sz w:val="24"/>
          <w:szCs w:val="24"/>
        </w:rPr>
        <w:t xml:space="preserve"> control</w:t>
      </w:r>
      <w:r w:rsidR="00B263BD">
        <w:rPr>
          <w:rFonts w:eastAsia="Minion-Regular"/>
          <w:sz w:val="24"/>
          <w:szCs w:val="24"/>
        </w:rPr>
        <w:t xml:space="preserve"> and symptoms of ADHD </w:t>
      </w:r>
      <w:r w:rsidR="00A17817">
        <w:rPr>
          <w:rFonts w:eastAsia="Minion-Regular"/>
          <w:sz w:val="24"/>
          <w:szCs w:val="24"/>
        </w:rPr>
        <w:t>to</w:t>
      </w:r>
      <w:r w:rsidR="00B263BD">
        <w:rPr>
          <w:rFonts w:eastAsia="Minion-Regular"/>
          <w:sz w:val="24"/>
          <w:szCs w:val="24"/>
        </w:rPr>
        <w:t xml:space="preserve"> be less evident in adult</w:t>
      </w:r>
      <w:r w:rsidR="000E1F2F">
        <w:rPr>
          <w:rFonts w:eastAsia="Minion-Regular"/>
          <w:sz w:val="24"/>
          <w:szCs w:val="24"/>
        </w:rPr>
        <w:t>s</w:t>
      </w:r>
      <w:r w:rsidR="00CD6163">
        <w:rPr>
          <w:rFonts w:eastAsia="Minion-Regular"/>
          <w:sz w:val="24"/>
          <w:szCs w:val="24"/>
        </w:rPr>
        <w:t xml:space="preserve">. </w:t>
      </w:r>
    </w:p>
    <w:p w14:paraId="3E8AE7F7" w14:textId="77777777" w:rsidR="006A29D2" w:rsidRPr="00A75594" w:rsidRDefault="006A29D2" w:rsidP="008E3C7C">
      <w:pPr>
        <w:pStyle w:val="Heading2"/>
      </w:pPr>
      <w:bookmarkStart w:id="2" w:name="_Toc9501350"/>
      <w:r w:rsidRPr="00A75594">
        <w:t>Method</w:t>
      </w:r>
      <w:bookmarkEnd w:id="2"/>
    </w:p>
    <w:p w14:paraId="71F1D3CE" w14:textId="77777777" w:rsidR="006A29D2" w:rsidRPr="00A75594" w:rsidRDefault="006A29D2" w:rsidP="00956F88">
      <w:pPr>
        <w:pStyle w:val="Heading3"/>
        <w:tabs>
          <w:tab w:val="clear" w:pos="1021"/>
          <w:tab w:val="num" w:pos="1985"/>
        </w:tabs>
        <w:spacing w:line="480" w:lineRule="auto"/>
        <w:ind w:left="567" w:hanging="567"/>
        <w:rPr>
          <w:rFonts w:ascii="Times New Roman" w:hAnsi="Times New Roman" w:cs="Times New Roman"/>
          <w:sz w:val="24"/>
          <w:szCs w:val="24"/>
        </w:rPr>
      </w:pPr>
      <w:bookmarkStart w:id="3" w:name="_Toc9501351"/>
      <w:r w:rsidRPr="00A75594">
        <w:rPr>
          <w:rFonts w:ascii="Times New Roman" w:hAnsi="Times New Roman" w:cs="Times New Roman"/>
          <w:sz w:val="24"/>
          <w:szCs w:val="24"/>
        </w:rPr>
        <w:t>Participants</w:t>
      </w:r>
      <w:bookmarkEnd w:id="3"/>
    </w:p>
    <w:p w14:paraId="6557874F" w14:textId="135DC505" w:rsidR="000A38E7" w:rsidRPr="00A75594" w:rsidRDefault="006A29D2" w:rsidP="00956F88">
      <w:pPr>
        <w:spacing w:line="480" w:lineRule="auto"/>
        <w:ind w:firstLine="567"/>
        <w:rPr>
          <w:sz w:val="24"/>
          <w:szCs w:val="24"/>
        </w:rPr>
      </w:pPr>
      <w:r w:rsidRPr="00A75594">
        <w:rPr>
          <w:sz w:val="24"/>
          <w:szCs w:val="24"/>
        </w:rPr>
        <w:t>Fifty-four participants, including 27 adults (12 males) aged between 18-34 years old (</w:t>
      </w:r>
      <w:r w:rsidRPr="00A75594">
        <w:rPr>
          <w:i/>
          <w:sz w:val="24"/>
          <w:szCs w:val="24"/>
        </w:rPr>
        <w:t>M</w:t>
      </w:r>
      <w:r w:rsidRPr="00A75594">
        <w:rPr>
          <w:sz w:val="24"/>
          <w:szCs w:val="24"/>
        </w:rPr>
        <w:t xml:space="preserve">= 21.44, </w:t>
      </w:r>
      <w:r w:rsidRPr="00A75594">
        <w:rPr>
          <w:i/>
          <w:sz w:val="24"/>
          <w:szCs w:val="24"/>
        </w:rPr>
        <w:t>SD</w:t>
      </w:r>
      <w:r w:rsidRPr="00A75594">
        <w:rPr>
          <w:sz w:val="24"/>
          <w:szCs w:val="24"/>
        </w:rPr>
        <w:t>= 3.93) and 27 children and adolescents (12 males) aged between 8-15 years old (</w:t>
      </w:r>
      <w:r w:rsidRPr="00A75594">
        <w:rPr>
          <w:i/>
          <w:sz w:val="24"/>
          <w:szCs w:val="24"/>
        </w:rPr>
        <w:t>M</w:t>
      </w:r>
      <w:r w:rsidRPr="00A75594">
        <w:rPr>
          <w:sz w:val="24"/>
          <w:szCs w:val="24"/>
        </w:rPr>
        <w:t xml:space="preserve">= 11.84, </w:t>
      </w:r>
      <w:r w:rsidRPr="00A75594">
        <w:rPr>
          <w:i/>
          <w:sz w:val="24"/>
          <w:szCs w:val="24"/>
        </w:rPr>
        <w:t>SD</w:t>
      </w:r>
      <w:r w:rsidRPr="00A75594">
        <w:rPr>
          <w:sz w:val="24"/>
          <w:szCs w:val="24"/>
        </w:rPr>
        <w:t xml:space="preserve">= 2.22) participated in the current </w:t>
      </w:r>
      <w:r w:rsidRPr="0007078E">
        <w:rPr>
          <w:sz w:val="24"/>
          <w:szCs w:val="24"/>
        </w:rPr>
        <w:t xml:space="preserve">study.  The young people </w:t>
      </w:r>
      <w:r w:rsidR="00A913AC">
        <w:rPr>
          <w:sz w:val="24"/>
          <w:szCs w:val="24"/>
        </w:rPr>
        <w:t xml:space="preserve">who </w:t>
      </w:r>
      <w:r w:rsidR="0007078E">
        <w:rPr>
          <w:sz w:val="24"/>
          <w:szCs w:val="24"/>
        </w:rPr>
        <w:t xml:space="preserve">participated in this study </w:t>
      </w:r>
      <w:r w:rsidRPr="0007078E">
        <w:rPr>
          <w:sz w:val="24"/>
          <w:szCs w:val="24"/>
        </w:rPr>
        <w:t xml:space="preserve">were </w:t>
      </w:r>
      <w:r w:rsidR="00973D1F" w:rsidRPr="0007078E">
        <w:rPr>
          <w:sz w:val="24"/>
          <w:szCs w:val="24"/>
        </w:rPr>
        <w:t xml:space="preserve">pooled from a lager sample </w:t>
      </w:r>
      <w:r w:rsidR="007A23E5" w:rsidRPr="0007078E">
        <w:rPr>
          <w:sz w:val="24"/>
          <w:szCs w:val="24"/>
        </w:rPr>
        <w:t xml:space="preserve">of children and adolescents </w:t>
      </w:r>
      <w:r w:rsidR="00973D1F" w:rsidRPr="0007078E">
        <w:rPr>
          <w:sz w:val="24"/>
          <w:szCs w:val="24"/>
        </w:rPr>
        <w:t>(</w:t>
      </w:r>
      <w:r w:rsidR="00973D1F" w:rsidRPr="00C070BF">
        <w:rPr>
          <w:i/>
          <w:sz w:val="24"/>
          <w:szCs w:val="24"/>
        </w:rPr>
        <w:t>N</w:t>
      </w:r>
      <w:r w:rsidR="00973D1F" w:rsidRPr="0007078E">
        <w:rPr>
          <w:sz w:val="24"/>
          <w:szCs w:val="24"/>
        </w:rPr>
        <w:t>=71; 38 males)</w:t>
      </w:r>
      <w:r w:rsidR="0007078E">
        <w:rPr>
          <w:sz w:val="24"/>
          <w:szCs w:val="24"/>
        </w:rPr>
        <w:t xml:space="preserve">. </w:t>
      </w:r>
      <w:r w:rsidR="0007078E" w:rsidRPr="00C070BF">
        <w:rPr>
          <w:sz w:val="24"/>
          <w:szCs w:val="24"/>
        </w:rPr>
        <w:t xml:space="preserve"> </w:t>
      </w:r>
      <w:r w:rsidR="0081000C">
        <w:rPr>
          <w:sz w:val="24"/>
          <w:szCs w:val="24"/>
        </w:rPr>
        <w:t xml:space="preserve">Because </w:t>
      </w:r>
      <w:r w:rsidR="0007078E" w:rsidRPr="00C070BF">
        <w:rPr>
          <w:sz w:val="24"/>
          <w:szCs w:val="24"/>
        </w:rPr>
        <w:t xml:space="preserve">the focus </w:t>
      </w:r>
      <w:r w:rsidR="007846F9">
        <w:rPr>
          <w:sz w:val="24"/>
          <w:szCs w:val="24"/>
        </w:rPr>
        <w:t>was</w:t>
      </w:r>
      <w:r w:rsidR="0007078E" w:rsidRPr="00C070BF">
        <w:rPr>
          <w:sz w:val="24"/>
          <w:szCs w:val="24"/>
        </w:rPr>
        <w:t xml:space="preserve"> on cognitive </w:t>
      </w:r>
      <w:r w:rsidR="00B263BD">
        <w:rPr>
          <w:sz w:val="24"/>
          <w:szCs w:val="24"/>
        </w:rPr>
        <w:t xml:space="preserve">processing </w:t>
      </w:r>
      <w:r w:rsidR="0007078E" w:rsidRPr="00C070BF">
        <w:rPr>
          <w:sz w:val="24"/>
          <w:szCs w:val="24"/>
        </w:rPr>
        <w:t xml:space="preserve">in the non-clinical range we </w:t>
      </w:r>
      <w:r w:rsidRPr="0007078E">
        <w:rPr>
          <w:sz w:val="24"/>
          <w:szCs w:val="24"/>
        </w:rPr>
        <w:t xml:space="preserve">excluded </w:t>
      </w:r>
      <w:r w:rsidR="005A3F5D">
        <w:rPr>
          <w:sz w:val="24"/>
          <w:szCs w:val="24"/>
        </w:rPr>
        <w:t>children and adolescents</w:t>
      </w:r>
      <w:r w:rsidR="005A3F5D" w:rsidRPr="0007078E">
        <w:rPr>
          <w:sz w:val="24"/>
          <w:szCs w:val="24"/>
        </w:rPr>
        <w:t xml:space="preserve"> </w:t>
      </w:r>
      <w:r w:rsidR="0007078E" w:rsidRPr="00C070BF">
        <w:rPr>
          <w:sz w:val="24"/>
          <w:szCs w:val="24"/>
        </w:rPr>
        <w:t>who</w:t>
      </w:r>
      <w:r w:rsidRPr="0007078E">
        <w:rPr>
          <w:sz w:val="24"/>
          <w:szCs w:val="24"/>
        </w:rPr>
        <w:t xml:space="preserve"> met </w:t>
      </w:r>
      <w:r w:rsidR="0007078E" w:rsidRPr="00C070BF">
        <w:rPr>
          <w:sz w:val="24"/>
          <w:szCs w:val="24"/>
        </w:rPr>
        <w:t xml:space="preserve">the diagnostic </w:t>
      </w:r>
      <w:r w:rsidRPr="0007078E">
        <w:rPr>
          <w:sz w:val="24"/>
          <w:szCs w:val="24"/>
        </w:rPr>
        <w:t>criteria</w:t>
      </w:r>
      <w:r w:rsidR="0007078E">
        <w:rPr>
          <w:sz w:val="24"/>
          <w:szCs w:val="24"/>
        </w:rPr>
        <w:t xml:space="preserve"> (</w:t>
      </w:r>
      <w:r w:rsidR="002E20E5">
        <w:rPr>
          <w:sz w:val="24"/>
          <w:szCs w:val="24"/>
        </w:rPr>
        <w:t>symptom and criterion count</w:t>
      </w:r>
      <w:r w:rsidR="0007078E">
        <w:rPr>
          <w:sz w:val="24"/>
          <w:szCs w:val="24"/>
        </w:rPr>
        <w:t>)</w:t>
      </w:r>
      <w:r w:rsidRPr="0007078E">
        <w:rPr>
          <w:sz w:val="24"/>
          <w:szCs w:val="24"/>
        </w:rPr>
        <w:t xml:space="preserve"> for ADHD (inattention and hyperactivity/impulsivity</w:t>
      </w:r>
      <w:r w:rsidR="00E713F3" w:rsidRPr="0007078E">
        <w:rPr>
          <w:sz w:val="24"/>
          <w:szCs w:val="24"/>
        </w:rPr>
        <w:t xml:space="preserve"> subscales) or anxiety disorder</w:t>
      </w:r>
      <w:r w:rsidRPr="0007078E">
        <w:rPr>
          <w:sz w:val="24"/>
          <w:szCs w:val="24"/>
        </w:rPr>
        <w:t xml:space="preserve"> (specific phobia, social phobia, separation anxiety disorder, panic disorder, generalised anxiety disorder) scales of the Diagnostic Interview Schedule for Children (DISC-IV</w:t>
      </w:r>
      <w:r w:rsidRPr="00DE6417">
        <w:rPr>
          <w:sz w:val="24"/>
          <w:szCs w:val="24"/>
        </w:rPr>
        <w:fldChar w:fldCharType="begin" w:fldLock="1"/>
      </w:r>
      <w:r w:rsidR="002A0354" w:rsidRPr="0007078E">
        <w:rPr>
          <w:sz w:val="24"/>
          <w:szCs w:val="24"/>
        </w:rPr>
        <w:instrText>ADDIN CSL_CITATION {"citationItems":[{"id":"ITEM-1","itemData":{"DOI":"10.1097/00004583-200001000-00014","ISSN":"08908567","PMID":"10638065","abstract":"OBJECTIVE To describe the National Institute of Mental Health Diagnostic Interview Schedule for Children Version IV (NIMH DISC-IV) and how it differs from earlier versions of the interview. The NIMH DISC-IV is a highly structured diagnostic interview, designed to assess more than 30 psychiatric disorders occurring in children and adolescents, and can be administered by \"lay\" interviewers after a minimal training period. The interview is available in both English and Spanish versions. METHOD An editorial board was established in 1992 to guide DISC development and ensure that a standard version of the instrument is maintained. Preliminary reliability and acceptability results of the NIMH DISC-IV in a clinical sample of 84 parents and 82 children (aged 9-17 years) drawn from outpatient child and adolescent psychiatric clinics at 3 sites are presented. Results of the previous version in a community sample are reviewed. RESULTS Despite its greater length and complexity, the NIMH DISC-IV compares favorably with earlier versions. Alternative versions of the interview are in development (the Present State DISC, the Teacher DISC, the Quick DISC, the Voice DISC). CONCLUSIONS The NIMH DISC is an acceptable, inexpensive, and convenient instrument for ascertaining a comprehensive range of child and adolescent diagnoses.","author":[{"dropping-particle":"","family":"Shaffer","given":"David","non-dropping-particle":"","parse-names":false,"suffix":""},{"dropping-particle":"","family":"Fisher","given":"Prudence","non-dropping-particle":"","parse-names":false,"suffix":""},{"dropping-particle":"","family":"Lucas","given":"Christopher P.","non-dropping-particle":"","parse-names":false,"suffix":""},{"dropping-particle":"","family":"Dulcan","given":"MIina K.","non-dropping-particle":"","parse-names":false,"suffix":""},{"dropping-particle":"","family":"Schwab-Stone","given":"Mary E.","non-dropping-particle":"","parse-names":false,"suffix":""}],"container-title":"Journal of the American Academy of Child &amp; Adolescent Psychiatry","id":"ITEM-1","issue":"1","issued":{"date-parts":[["2000","1"]]},"page":"28-38","title":"NIMH Diagnostic Interview Schedule for Children Version IV (NIMH DISC-IV): Description, Differences From Previous Versions, and Reliability of Some Common Diagnoses","type":"article-journal","volume":"39"},"uris":["http://www.mendeley.com/documents/?uuid=6804a138-ebb6-3e5b-b249-f2b965e941f0"]}],"mendeley":{"formattedCitation":"(Shaffer, Fisher, Lucas, Dulcan, &amp; Schwab-Stone, 2000)","manualFormatting":"; Shaffer, Fisher, Lucas, Dulcan, &amp; Schwab-Stone, 2000)","plainTextFormattedCitation":"(Shaffer, Fisher, Lucas, Dulcan, &amp; Schwab-Stone, 2000)","previouslyFormattedCitation":"(Shaffer, Fisher, Lucas, Dulcan, &amp; Schwab-Stone, 2000)"},"properties":{"noteIndex":0},"schema":"https://github.com/citation-style-language/schema/raw/master/csl-citation.json"}</w:instrText>
      </w:r>
      <w:r w:rsidRPr="00DE6417">
        <w:rPr>
          <w:sz w:val="24"/>
          <w:szCs w:val="24"/>
        </w:rPr>
        <w:fldChar w:fldCharType="separate"/>
      </w:r>
      <w:r w:rsidR="00E713F3" w:rsidRPr="0007078E">
        <w:rPr>
          <w:noProof/>
          <w:sz w:val="24"/>
          <w:szCs w:val="24"/>
        </w:rPr>
        <w:t xml:space="preserve">; </w:t>
      </w:r>
      <w:r w:rsidR="00F65725" w:rsidRPr="0007078E">
        <w:rPr>
          <w:noProof/>
          <w:sz w:val="24"/>
          <w:szCs w:val="24"/>
        </w:rPr>
        <w:lastRenderedPageBreak/>
        <w:t>Shaffer, Fisher, Lucas, Dulcan, &amp; Schwab-Stone, 2000)</w:t>
      </w:r>
      <w:r w:rsidRPr="00DE6417">
        <w:rPr>
          <w:sz w:val="24"/>
          <w:szCs w:val="24"/>
        </w:rPr>
        <w:fldChar w:fldCharType="end"/>
      </w:r>
      <w:r w:rsidRPr="0007078E">
        <w:rPr>
          <w:sz w:val="24"/>
          <w:szCs w:val="24"/>
        </w:rPr>
        <w:t xml:space="preserve">.  We also excluded participants who met the </w:t>
      </w:r>
      <w:r w:rsidR="007846F9">
        <w:rPr>
          <w:sz w:val="24"/>
          <w:szCs w:val="24"/>
        </w:rPr>
        <w:t>symptom threshold</w:t>
      </w:r>
      <w:r w:rsidR="007846F9" w:rsidRPr="0007078E">
        <w:rPr>
          <w:sz w:val="24"/>
          <w:szCs w:val="24"/>
        </w:rPr>
        <w:t xml:space="preserve"> </w:t>
      </w:r>
      <w:r w:rsidRPr="0007078E">
        <w:rPr>
          <w:sz w:val="24"/>
          <w:szCs w:val="24"/>
        </w:rPr>
        <w:t xml:space="preserve">for depressive disorder, oppositional defiant disorder (ODD) and conduct disorder (CD) on the parent-reported </w:t>
      </w:r>
      <w:proofErr w:type="spellStart"/>
      <w:r w:rsidRPr="0007078E">
        <w:rPr>
          <w:sz w:val="24"/>
          <w:szCs w:val="24"/>
        </w:rPr>
        <w:t>Conners</w:t>
      </w:r>
      <w:proofErr w:type="spellEnd"/>
      <w:r w:rsidRPr="0007078E">
        <w:rPr>
          <w:sz w:val="24"/>
          <w:szCs w:val="24"/>
        </w:rPr>
        <w:t xml:space="preserve"> Comprehensive Behaviour Rating Scale (CBRS-P; </w:t>
      </w:r>
      <w:proofErr w:type="spellStart"/>
      <w:r w:rsidRPr="0007078E">
        <w:rPr>
          <w:sz w:val="24"/>
          <w:szCs w:val="24"/>
        </w:rPr>
        <w:t>Conners</w:t>
      </w:r>
      <w:proofErr w:type="spellEnd"/>
      <w:r w:rsidRPr="0007078E">
        <w:rPr>
          <w:sz w:val="24"/>
          <w:szCs w:val="24"/>
        </w:rPr>
        <w:t xml:space="preserve">, 2008; across both symptom count and standardised </w:t>
      </w:r>
      <w:r w:rsidRPr="0007078E">
        <w:rPr>
          <w:i/>
          <w:sz w:val="24"/>
          <w:szCs w:val="24"/>
        </w:rPr>
        <w:t>T</w:t>
      </w:r>
      <w:r w:rsidRPr="0007078E">
        <w:rPr>
          <w:sz w:val="24"/>
          <w:szCs w:val="24"/>
        </w:rPr>
        <w:t>- score</w:t>
      </w:r>
      <w:r w:rsidRPr="0007078E">
        <w:rPr>
          <w:rStyle w:val="FootnoteReference"/>
          <w:sz w:val="24"/>
          <w:szCs w:val="24"/>
        </w:rPr>
        <w:footnoteReference w:id="2"/>
      </w:r>
      <w:r w:rsidRPr="0007078E">
        <w:rPr>
          <w:sz w:val="24"/>
          <w:szCs w:val="24"/>
        </w:rPr>
        <w:t xml:space="preserve">). </w:t>
      </w:r>
      <w:r w:rsidR="000A38E7" w:rsidRPr="0007078E">
        <w:rPr>
          <w:sz w:val="24"/>
          <w:szCs w:val="24"/>
        </w:rPr>
        <w:t xml:space="preserve">Exclusion criteria also included taking psychoactive medication </w:t>
      </w:r>
      <w:r w:rsidR="003F60A1">
        <w:rPr>
          <w:sz w:val="24"/>
          <w:szCs w:val="24"/>
        </w:rPr>
        <w:t>and</w:t>
      </w:r>
      <w:r w:rsidR="000A38E7" w:rsidRPr="0007078E">
        <w:rPr>
          <w:sz w:val="24"/>
          <w:szCs w:val="24"/>
        </w:rPr>
        <w:t xml:space="preserve"> the recognition of severe learning difficulties or special educational needs.</w:t>
      </w:r>
      <w:r w:rsidR="000A38E7" w:rsidRPr="00A75594">
        <w:rPr>
          <w:sz w:val="24"/>
          <w:szCs w:val="24"/>
        </w:rPr>
        <w:t xml:space="preserve"> Young people were also required to be able </w:t>
      </w:r>
      <w:r w:rsidR="00DB14EA" w:rsidRPr="00A75594">
        <w:rPr>
          <w:sz w:val="24"/>
          <w:szCs w:val="24"/>
        </w:rPr>
        <w:t>to speak and understand English. Young people</w:t>
      </w:r>
      <w:r w:rsidR="000A38E7" w:rsidRPr="00A75594">
        <w:rPr>
          <w:sz w:val="24"/>
          <w:szCs w:val="24"/>
        </w:rPr>
        <w:t xml:space="preserve"> gave written assent to participate and a parent or legal guardian </w:t>
      </w:r>
      <w:r w:rsidR="00DB14EA" w:rsidRPr="00A75594">
        <w:rPr>
          <w:sz w:val="24"/>
          <w:szCs w:val="24"/>
        </w:rPr>
        <w:t>provided a</w:t>
      </w:r>
      <w:r w:rsidR="000A38E7" w:rsidRPr="00A75594">
        <w:rPr>
          <w:sz w:val="24"/>
          <w:szCs w:val="24"/>
        </w:rPr>
        <w:t xml:space="preserve"> written consent to participate.</w:t>
      </w:r>
    </w:p>
    <w:p w14:paraId="69EEDD1B" w14:textId="6F3A1670" w:rsidR="006A29D2" w:rsidRPr="00A75594" w:rsidRDefault="006A29D2" w:rsidP="00956F88">
      <w:pPr>
        <w:spacing w:line="480" w:lineRule="auto"/>
        <w:ind w:firstLine="720"/>
        <w:rPr>
          <w:sz w:val="24"/>
          <w:szCs w:val="24"/>
        </w:rPr>
      </w:pPr>
      <w:r w:rsidRPr="00A75594">
        <w:rPr>
          <w:sz w:val="24"/>
          <w:szCs w:val="24"/>
        </w:rPr>
        <w:t>Adult</w:t>
      </w:r>
      <w:r w:rsidR="00DB14EA" w:rsidRPr="00A75594">
        <w:rPr>
          <w:sz w:val="24"/>
          <w:szCs w:val="24"/>
        </w:rPr>
        <w:t xml:space="preserve"> volunteers were recruited via</w:t>
      </w:r>
      <w:r w:rsidRPr="00A75594">
        <w:rPr>
          <w:sz w:val="24"/>
          <w:szCs w:val="24"/>
        </w:rPr>
        <w:t xml:space="preserve"> study advert</w:t>
      </w:r>
      <w:r w:rsidR="00DB14EA" w:rsidRPr="00A75594">
        <w:rPr>
          <w:sz w:val="24"/>
          <w:szCs w:val="24"/>
        </w:rPr>
        <w:t>s</w:t>
      </w:r>
      <w:r w:rsidRPr="00A75594">
        <w:rPr>
          <w:sz w:val="24"/>
          <w:szCs w:val="24"/>
        </w:rPr>
        <w:t xml:space="preserve"> that </w:t>
      </w:r>
      <w:r w:rsidR="00DB14EA" w:rsidRPr="00A75594">
        <w:rPr>
          <w:sz w:val="24"/>
          <w:szCs w:val="24"/>
        </w:rPr>
        <w:t>were</w:t>
      </w:r>
      <w:r w:rsidRPr="00A75594">
        <w:rPr>
          <w:sz w:val="24"/>
          <w:szCs w:val="24"/>
        </w:rPr>
        <w:t xml:space="preserve"> placed around the </w:t>
      </w:r>
      <w:r w:rsidR="00DB14EA" w:rsidRPr="00A75594">
        <w:rPr>
          <w:sz w:val="24"/>
          <w:szCs w:val="24"/>
        </w:rPr>
        <w:t>U</w:t>
      </w:r>
      <w:r w:rsidRPr="00A75594">
        <w:rPr>
          <w:sz w:val="24"/>
          <w:szCs w:val="24"/>
        </w:rPr>
        <w:t>niversity campus. Adults undertook a short structured mini neuropsychiatric interview based on the DSM-IV criteria (Mini International Neuropsychiatric Interview, MINI; Sheehan et al., 1998)</w:t>
      </w:r>
      <w:r w:rsidR="005A3F5D">
        <w:rPr>
          <w:sz w:val="24"/>
          <w:szCs w:val="24"/>
        </w:rPr>
        <w:t xml:space="preserve"> and were screened for </w:t>
      </w:r>
      <w:r w:rsidRPr="00A75594">
        <w:rPr>
          <w:sz w:val="24"/>
          <w:szCs w:val="24"/>
        </w:rPr>
        <w:t>depression, mania, anxiety, obsessive compulsive disorder, and post-traumatic stress disorder, addiction to drugs and alcohol and strong family history of mood disorder, including panic disorder or panic attacks</w:t>
      </w:r>
      <w:r w:rsidR="000A38E7" w:rsidRPr="00A75594">
        <w:rPr>
          <w:sz w:val="24"/>
          <w:szCs w:val="24"/>
        </w:rPr>
        <w:t>.</w:t>
      </w:r>
      <w:r w:rsidRPr="00A75594">
        <w:rPr>
          <w:sz w:val="24"/>
          <w:szCs w:val="24"/>
        </w:rPr>
        <w:t xml:space="preserve"> </w:t>
      </w:r>
      <w:r w:rsidR="00E33E4B">
        <w:rPr>
          <w:sz w:val="24"/>
          <w:szCs w:val="24"/>
        </w:rPr>
        <w:t xml:space="preserve">No participant met any of these criteria. </w:t>
      </w:r>
    </w:p>
    <w:p w14:paraId="0BA534DF" w14:textId="77777777" w:rsidR="006A29D2" w:rsidRPr="00A75594" w:rsidRDefault="006A29D2" w:rsidP="00956F88">
      <w:pPr>
        <w:pStyle w:val="Heading3"/>
        <w:tabs>
          <w:tab w:val="clear" w:pos="1021"/>
          <w:tab w:val="num" w:pos="1985"/>
        </w:tabs>
        <w:spacing w:line="480" w:lineRule="auto"/>
        <w:ind w:left="567" w:hanging="567"/>
        <w:rPr>
          <w:rFonts w:ascii="Times New Roman" w:hAnsi="Times New Roman" w:cs="Times New Roman"/>
          <w:sz w:val="24"/>
          <w:szCs w:val="24"/>
        </w:rPr>
      </w:pPr>
      <w:bookmarkStart w:id="4" w:name="_Toc9501352"/>
      <w:r w:rsidRPr="00A75594">
        <w:rPr>
          <w:rFonts w:ascii="Times New Roman" w:hAnsi="Times New Roman" w:cs="Times New Roman"/>
          <w:sz w:val="24"/>
          <w:szCs w:val="24"/>
        </w:rPr>
        <w:t>Questionnaires</w:t>
      </w:r>
      <w:bookmarkEnd w:id="4"/>
    </w:p>
    <w:p w14:paraId="5BE9FD3E" w14:textId="77777777" w:rsidR="006A29D2" w:rsidRPr="00A75594" w:rsidRDefault="008E3C7C" w:rsidP="00956F88">
      <w:pPr>
        <w:pStyle w:val="Heading4"/>
        <w:spacing w:line="480" w:lineRule="auto"/>
        <w:rPr>
          <w:rFonts w:ascii="Times New Roman" w:hAnsi="Times New Roman" w:cs="Times New Roman"/>
          <w:vanish/>
          <w:sz w:val="24"/>
          <w:specVanish/>
        </w:rPr>
      </w:pPr>
      <w:r w:rsidRPr="00A75594">
        <w:rPr>
          <w:rFonts w:ascii="Times New Roman" w:hAnsi="Times New Roman" w:cs="Times New Roman"/>
          <w:sz w:val="24"/>
        </w:rPr>
        <w:tab/>
      </w:r>
      <w:r w:rsidR="006A29D2" w:rsidRPr="00A75594">
        <w:rPr>
          <w:rFonts w:ascii="Times New Roman" w:hAnsi="Times New Roman" w:cs="Times New Roman"/>
          <w:sz w:val="24"/>
        </w:rPr>
        <w:t xml:space="preserve">Trait anxiety. </w:t>
      </w:r>
    </w:p>
    <w:p w14:paraId="3AA51023" w14:textId="620823CA" w:rsidR="006A29D2" w:rsidRPr="00A75594" w:rsidRDefault="006A29D2" w:rsidP="00956F88">
      <w:pPr>
        <w:spacing w:line="480" w:lineRule="auto"/>
        <w:ind w:firstLine="567"/>
        <w:rPr>
          <w:sz w:val="24"/>
          <w:szCs w:val="24"/>
        </w:rPr>
      </w:pPr>
      <w:r w:rsidRPr="00A75594">
        <w:rPr>
          <w:sz w:val="24"/>
          <w:szCs w:val="24"/>
        </w:rPr>
        <w:t xml:space="preserve"> We used the State-Trait Anxiety Inventory for children (STAIC; Spielberger, Edwards, </w:t>
      </w:r>
      <w:proofErr w:type="spellStart"/>
      <w:r w:rsidRPr="00A75594">
        <w:rPr>
          <w:sz w:val="24"/>
          <w:szCs w:val="24"/>
        </w:rPr>
        <w:t>Montuori</w:t>
      </w:r>
      <w:proofErr w:type="spellEnd"/>
      <w:r w:rsidRPr="00A75594">
        <w:rPr>
          <w:sz w:val="24"/>
          <w:szCs w:val="24"/>
        </w:rPr>
        <w:t xml:space="preserve">, &amp; </w:t>
      </w:r>
      <w:proofErr w:type="spellStart"/>
      <w:r w:rsidRPr="00A75594">
        <w:rPr>
          <w:sz w:val="24"/>
          <w:szCs w:val="24"/>
        </w:rPr>
        <w:t>Lushene</w:t>
      </w:r>
      <w:proofErr w:type="spellEnd"/>
      <w:r w:rsidRPr="00A75594">
        <w:rPr>
          <w:sz w:val="24"/>
          <w:szCs w:val="24"/>
        </w:rPr>
        <w:t xml:space="preserve">, 1973) and adults (STAI; </w:t>
      </w:r>
      <w:r w:rsidRPr="00A75594">
        <w:rPr>
          <w:sz w:val="24"/>
          <w:szCs w:val="24"/>
        </w:rPr>
        <w:fldChar w:fldCharType="begin" w:fldLock="1"/>
      </w:r>
      <w:r w:rsidRPr="00A75594">
        <w:rPr>
          <w:sz w:val="24"/>
          <w:szCs w:val="24"/>
        </w:rPr>
        <w:instrText>ADDIN CSL_CITATION {"citationItems":[{"id":"ITEM-1","itemData":{"author":[{"dropping-particle":"","family":"Spielberger, C.D., Gorssuch, R.L., Lushene, P.R., Vagg, P.R., &amp; Jacobs","given":"G.A","non-dropping-particle":"","parse-names":false,"suffix":""}],"id":"ITEM-1","issued":{"date-parts":[["1983"]]},"publisher":"Consulting Psychologists Press, Inc.","publisher-place":"Palo Alto","title":"Manual for the State-Trait Anxiety Inventory","type":"chapter"},"uris":["http://www.mendeley.com/documents/?uuid=7ed142c8-989f-46eb-a0d2-428e635fb481"]}],"mendeley":{"formattedCitation":"(Spielberger, C.D., Gorssuch, R.L., Lushene, P.R., Vagg, P.R., &amp; Jacobs, 1983)","manualFormatting":"Spielberger, Gorssuch, Lushene, Vagg, &amp; Jacobs, 1983)","plainTextFormattedCitation":"(Spielberger, C.D., Gorssuch, R.L., Lushene, P.R., Vagg, P.R., &amp; Jacobs, 1983)","previouslyFormattedCitation":"(Spielberger, C.D., Gorssuch, R.L., Lushene, P.R., Vagg, P.R., &amp; Jacobs, 1983)"},"properties":{"noteIndex":0},"schema":"https://github.com/citation-style-language/schema/raw/master/csl-citation.json"}</w:instrText>
      </w:r>
      <w:r w:rsidRPr="00A75594">
        <w:rPr>
          <w:sz w:val="24"/>
          <w:szCs w:val="24"/>
        </w:rPr>
        <w:fldChar w:fldCharType="separate"/>
      </w:r>
      <w:r w:rsidRPr="00A75594">
        <w:rPr>
          <w:noProof/>
          <w:sz w:val="24"/>
          <w:szCs w:val="24"/>
        </w:rPr>
        <w:t>Spielberger, Gorssuch, Lushene, Vagg, &amp; Jacobs, 1983)</w:t>
      </w:r>
      <w:r w:rsidRPr="00A75594">
        <w:rPr>
          <w:sz w:val="24"/>
          <w:szCs w:val="24"/>
        </w:rPr>
        <w:fldChar w:fldCharType="end"/>
      </w:r>
      <w:r w:rsidRPr="00A75594">
        <w:rPr>
          <w:sz w:val="24"/>
          <w:szCs w:val="24"/>
        </w:rPr>
        <w:t xml:space="preserve"> to measure symptoms of </w:t>
      </w:r>
      <w:r w:rsidRPr="00A75594">
        <w:rPr>
          <w:bCs/>
          <w:sz w:val="24"/>
          <w:szCs w:val="24"/>
        </w:rPr>
        <w:t xml:space="preserve">trait anxiety. The trait anxiety scale includes 20 items and each item is rated on a 3-point Likert response scale for the child version and a </w:t>
      </w:r>
      <w:r w:rsidRPr="00A75594">
        <w:rPr>
          <w:sz w:val="24"/>
          <w:szCs w:val="24"/>
        </w:rPr>
        <w:t>4-point Likert scale for adults. The scale i</w:t>
      </w:r>
      <w:r w:rsidRPr="00A75594">
        <w:rPr>
          <w:bCs/>
          <w:sz w:val="24"/>
          <w:szCs w:val="24"/>
        </w:rPr>
        <w:t xml:space="preserve">s based on how individuals ‘usually </w:t>
      </w:r>
      <w:r w:rsidRPr="00A75594">
        <w:rPr>
          <w:bCs/>
          <w:sz w:val="24"/>
          <w:szCs w:val="24"/>
        </w:rPr>
        <w:lastRenderedPageBreak/>
        <w:t>feel’ (e.g., “I worry too much… hardly ever/sometimes/often” (child scale) or “almost never /sometimes/often/almost always” (adult scale)</w:t>
      </w:r>
      <w:r w:rsidR="004A26BC">
        <w:rPr>
          <w:bCs/>
          <w:sz w:val="24"/>
          <w:szCs w:val="24"/>
        </w:rPr>
        <w:t xml:space="preserve"> and possible score ranges are </w:t>
      </w:r>
      <w:r w:rsidR="0007078E">
        <w:rPr>
          <w:bCs/>
          <w:sz w:val="24"/>
          <w:szCs w:val="24"/>
        </w:rPr>
        <w:t xml:space="preserve">20-60 </w:t>
      </w:r>
      <w:r w:rsidR="004A26BC">
        <w:rPr>
          <w:bCs/>
          <w:sz w:val="24"/>
          <w:szCs w:val="24"/>
        </w:rPr>
        <w:t xml:space="preserve">and </w:t>
      </w:r>
      <w:r w:rsidR="0007078E">
        <w:rPr>
          <w:bCs/>
          <w:sz w:val="24"/>
          <w:szCs w:val="24"/>
        </w:rPr>
        <w:t xml:space="preserve">20-80, </w:t>
      </w:r>
      <w:r w:rsidR="004A26BC">
        <w:rPr>
          <w:bCs/>
          <w:sz w:val="24"/>
          <w:szCs w:val="24"/>
        </w:rPr>
        <w:t>respectively</w:t>
      </w:r>
      <w:r w:rsidRPr="00A75594">
        <w:rPr>
          <w:bCs/>
          <w:sz w:val="24"/>
          <w:szCs w:val="24"/>
        </w:rPr>
        <w:t xml:space="preserve">).  </w:t>
      </w:r>
      <w:r w:rsidRPr="00A75594">
        <w:rPr>
          <w:sz w:val="24"/>
          <w:szCs w:val="24"/>
        </w:rPr>
        <w:t>Child participant trait anxiety scores ranged from 23-46 (</w:t>
      </w:r>
      <w:r w:rsidRPr="00A75594">
        <w:rPr>
          <w:i/>
          <w:sz w:val="24"/>
          <w:szCs w:val="24"/>
        </w:rPr>
        <w:t>M</w:t>
      </w:r>
      <w:r w:rsidRPr="00A75594">
        <w:rPr>
          <w:sz w:val="24"/>
          <w:szCs w:val="24"/>
        </w:rPr>
        <w:t xml:space="preserve">= 32.90, </w:t>
      </w:r>
      <w:r w:rsidRPr="00A75594">
        <w:rPr>
          <w:i/>
          <w:sz w:val="24"/>
          <w:szCs w:val="24"/>
        </w:rPr>
        <w:t>SD</w:t>
      </w:r>
      <w:r w:rsidRPr="00A75594">
        <w:rPr>
          <w:sz w:val="24"/>
          <w:szCs w:val="24"/>
        </w:rPr>
        <w:t>= 7.17).</w:t>
      </w:r>
      <w:r w:rsidRPr="00A75594">
        <w:rPr>
          <w:i/>
          <w:iCs/>
          <w:sz w:val="24"/>
          <w:szCs w:val="24"/>
        </w:rPr>
        <w:t xml:space="preserve">  </w:t>
      </w:r>
      <w:r w:rsidRPr="00A75594">
        <w:rPr>
          <w:sz w:val="24"/>
          <w:szCs w:val="24"/>
        </w:rPr>
        <w:t>Adult participants’ trait anxiety scores ranged from 20-48 (</w:t>
      </w:r>
      <w:r w:rsidRPr="00A75594">
        <w:rPr>
          <w:i/>
          <w:sz w:val="24"/>
          <w:szCs w:val="24"/>
        </w:rPr>
        <w:t xml:space="preserve">M </w:t>
      </w:r>
      <w:r w:rsidRPr="00A75594">
        <w:rPr>
          <w:sz w:val="24"/>
          <w:szCs w:val="24"/>
        </w:rPr>
        <w:t xml:space="preserve">= 33.85, </w:t>
      </w:r>
      <w:r w:rsidRPr="00A75594">
        <w:rPr>
          <w:i/>
          <w:sz w:val="24"/>
          <w:szCs w:val="24"/>
        </w:rPr>
        <w:t>SD</w:t>
      </w:r>
      <w:r w:rsidRPr="00A75594">
        <w:rPr>
          <w:sz w:val="24"/>
          <w:szCs w:val="24"/>
        </w:rPr>
        <w:t>=6.58).</w:t>
      </w:r>
    </w:p>
    <w:p w14:paraId="6968D5AB" w14:textId="77777777" w:rsidR="006A29D2" w:rsidRPr="00A75594" w:rsidRDefault="008E3C7C" w:rsidP="00956F88">
      <w:pPr>
        <w:pStyle w:val="Heading4"/>
        <w:spacing w:line="480" w:lineRule="auto"/>
        <w:rPr>
          <w:rFonts w:ascii="Times New Roman" w:hAnsi="Times New Roman" w:cs="Times New Roman"/>
          <w:vanish/>
          <w:sz w:val="24"/>
          <w:specVanish/>
        </w:rPr>
      </w:pPr>
      <w:r w:rsidRPr="00A75594">
        <w:rPr>
          <w:rStyle w:val="Heading4Char"/>
          <w:rFonts w:ascii="Times New Roman" w:hAnsi="Times New Roman" w:cs="Times New Roman"/>
          <w:b/>
          <w:iCs/>
          <w:sz w:val="24"/>
        </w:rPr>
        <w:tab/>
      </w:r>
      <w:r w:rsidR="006A29D2" w:rsidRPr="00A75594">
        <w:rPr>
          <w:rStyle w:val="Heading4Char"/>
          <w:rFonts w:ascii="Times New Roman" w:hAnsi="Times New Roman" w:cs="Times New Roman"/>
          <w:b/>
          <w:iCs/>
          <w:sz w:val="24"/>
        </w:rPr>
        <w:t>ADHD Symptoms</w:t>
      </w:r>
      <w:r w:rsidR="006A29D2" w:rsidRPr="00A75594">
        <w:rPr>
          <w:rFonts w:ascii="Times New Roman" w:hAnsi="Times New Roman" w:cs="Times New Roman"/>
          <w:sz w:val="24"/>
        </w:rPr>
        <w:t xml:space="preserve">. </w:t>
      </w:r>
    </w:p>
    <w:p w14:paraId="75DA01D8" w14:textId="4FE58839" w:rsidR="006A29D2" w:rsidRPr="00A75594" w:rsidRDefault="006A29D2" w:rsidP="00956F88">
      <w:pPr>
        <w:spacing w:line="480" w:lineRule="auto"/>
        <w:ind w:firstLine="567"/>
        <w:rPr>
          <w:sz w:val="24"/>
          <w:szCs w:val="24"/>
        </w:rPr>
      </w:pPr>
      <w:r w:rsidRPr="00A75594">
        <w:rPr>
          <w:bCs/>
          <w:iCs/>
          <w:sz w:val="24"/>
          <w:szCs w:val="24"/>
        </w:rPr>
        <w:t xml:space="preserve"> Child and adolescent symptoms of ADHD were measured using the parent-reported Diagnostic Interview Scale for Children – Fourth Edition</w:t>
      </w:r>
      <w:r w:rsidRPr="00A75594">
        <w:rPr>
          <w:bCs/>
          <w:i/>
          <w:iCs/>
          <w:sz w:val="24"/>
          <w:szCs w:val="24"/>
        </w:rPr>
        <w:t xml:space="preserve"> </w:t>
      </w:r>
      <w:r w:rsidRPr="00A75594">
        <w:rPr>
          <w:bCs/>
          <w:sz w:val="24"/>
          <w:szCs w:val="24"/>
        </w:rPr>
        <w:t xml:space="preserve">(DISC-IV; </w:t>
      </w:r>
      <w:r w:rsidRPr="00A75594">
        <w:rPr>
          <w:sz w:val="24"/>
          <w:szCs w:val="24"/>
        </w:rPr>
        <w:fldChar w:fldCharType="begin" w:fldLock="1"/>
      </w:r>
      <w:r w:rsidRPr="00A75594">
        <w:rPr>
          <w:sz w:val="24"/>
          <w:szCs w:val="24"/>
        </w:rPr>
        <w:instrText>ADDIN CSL_CITATION {"citationItems":[{"id":"ITEM-1","itemData":{"DOI":"10.1097/00004583-200001000-00014","ISSN":"08908567","PMID":"10638065","abstract":"OBJECTIVE To describe the National Institute of Mental Health Diagnostic Interview Schedule for Children Version IV (NIMH DISC-IV) and how it differs from earlier versions of the interview. The NIMH DISC-IV is a highly structured diagnostic interview, designed to assess more than 30 psychiatric disorders occurring in children and adolescents, and can be administered by \"lay\" interviewers after a minimal training period. The interview is available in both English and Spanish versions. METHOD An editorial board was established in 1992 to guide DISC development and ensure that a standard version of the instrument is maintained. Preliminary reliability and acceptability results of the NIMH DISC-IV in a clinical sample of 84 parents and 82 children (aged 9-17 years) drawn from outpatient child and adolescent psychiatric clinics at 3 sites are presented. Results of the previous version in a community sample are reviewed. RESULTS Despite its greater length and complexity, the NIMH DISC-IV compares favorably with earlier versions. Alternative versions of the interview are in development (the Present State DISC, the Teacher DISC, the Quick DISC, the Voice DISC). CONCLUSIONS The NIMH DISC is an acceptable, inexpensive, and convenient instrument for ascertaining a comprehensive range of child and adolescent diagnoses.","author":[{"dropping-particle":"","family":"Shaffer","given":"David","non-dropping-particle":"","parse-names":false,"suffix":""},{"dropping-particle":"","family":"Fisher","given":"Prudence","non-dropping-particle":"","parse-names":false,"suffix":""},{"dropping-particle":"","family":"Lucas","given":"Christopher P.","non-dropping-particle":"","parse-names":false,"suffix":""},{"dropping-particle":"","family":"Dulcan","given":"MIina K.","non-dropping-particle":"","parse-names":false,"suffix":""},{"dropping-particle":"","family":"Schwab-Stone","given":"Mary E.","non-dropping-particle":"","parse-names":false,"suffix":""}],"container-title":"Journal of the American Academy of Child &amp; Adolescent Psychiatry","id":"ITEM-1","issue":"1","issued":{"date-parts":[["2000","1"]]},"page":"28-38","title":"NIMH Diagnostic Interview Schedule for Children Version IV (NIMH DISC-IV): Description, Differences From Previous Versions, and Reliability of Some Common Diagnoses","type":"article-journal","volume":"39"},"uris":["http://www.mendeley.com/documents/?uuid=6804a138-ebb6-3e5b-b249-f2b965e941f0"]}],"mendeley":{"formattedCitation":"(Shaffer et al., 2000)","manualFormatting":"Shaffer et al., 2000)","plainTextFormattedCitation":"(Shaffer et al., 2000)","previouslyFormattedCitation":"(Shaffer et al., 2000)"},"properties":{"noteIndex":0},"schema":"https://github.com/citation-style-language/schema/raw/master/csl-citation.json"}</w:instrText>
      </w:r>
      <w:r w:rsidRPr="00A75594">
        <w:rPr>
          <w:sz w:val="24"/>
          <w:szCs w:val="24"/>
        </w:rPr>
        <w:fldChar w:fldCharType="separate"/>
      </w:r>
      <w:r w:rsidRPr="00A75594">
        <w:rPr>
          <w:noProof/>
          <w:sz w:val="24"/>
          <w:szCs w:val="24"/>
        </w:rPr>
        <w:t>Shaffer et al., 2000)</w:t>
      </w:r>
      <w:r w:rsidRPr="00A75594">
        <w:rPr>
          <w:sz w:val="24"/>
          <w:szCs w:val="24"/>
        </w:rPr>
        <w:fldChar w:fldCharType="end"/>
      </w:r>
      <w:r w:rsidRPr="00A75594">
        <w:rPr>
          <w:sz w:val="24"/>
          <w:szCs w:val="24"/>
        </w:rPr>
        <w:t>. Th</w:t>
      </w:r>
      <w:r w:rsidR="004A26BC">
        <w:rPr>
          <w:sz w:val="24"/>
          <w:szCs w:val="24"/>
        </w:rPr>
        <w:t xml:space="preserve">e DISC </w:t>
      </w:r>
      <w:r w:rsidRPr="00A75594">
        <w:rPr>
          <w:sz w:val="24"/>
          <w:szCs w:val="24"/>
        </w:rPr>
        <w:t>is a structured diagnostic interview designed to assess psychiatric disorders (based on the Diagnostic and Statistical Manual; DSM-IV</w:t>
      </w:r>
      <w:r w:rsidR="00867BDD">
        <w:rPr>
          <w:sz w:val="24"/>
          <w:szCs w:val="24"/>
        </w:rPr>
        <w:t xml:space="preserve">, </w:t>
      </w:r>
      <w:r w:rsidR="00365512">
        <w:rPr>
          <w:sz w:val="24"/>
          <w:szCs w:val="24"/>
        </w:rPr>
        <w:t>1994</w:t>
      </w:r>
      <w:r w:rsidRPr="00A75594">
        <w:rPr>
          <w:sz w:val="24"/>
          <w:szCs w:val="24"/>
        </w:rPr>
        <w:t>) and symptoms in children and adolescents aged 6–17 years old.</w:t>
      </w:r>
      <w:r w:rsidRPr="00A75594">
        <w:rPr>
          <w:color w:val="333333"/>
          <w:sz w:val="24"/>
          <w:szCs w:val="24"/>
          <w:shd w:val="clear" w:color="auto" w:fill="FFFFFF"/>
        </w:rPr>
        <w:t xml:space="preserve">  </w:t>
      </w:r>
      <w:r w:rsidRPr="00A75594">
        <w:rPr>
          <w:sz w:val="24"/>
          <w:szCs w:val="24"/>
          <w:shd w:val="clear" w:color="auto" w:fill="FFFFFF"/>
        </w:rPr>
        <w:t xml:space="preserve">Most of the questions are recorded and coded as ‘yes’ (1), ‘no’ (0), not applicable (8), or ‘don't know’ (9).  The </w:t>
      </w:r>
      <w:r w:rsidRPr="00A75594">
        <w:rPr>
          <w:sz w:val="24"/>
          <w:szCs w:val="24"/>
        </w:rPr>
        <w:t xml:space="preserve">DISC has moderate to good diagnostic reliability and validity for the parent interview </w:t>
      </w:r>
      <w:r w:rsidRPr="00A75594">
        <w:rPr>
          <w:sz w:val="24"/>
          <w:szCs w:val="24"/>
        </w:rPr>
        <w:fldChar w:fldCharType="begin" w:fldLock="1"/>
      </w:r>
      <w:r w:rsidRPr="00A75594">
        <w:rPr>
          <w:sz w:val="24"/>
          <w:szCs w:val="24"/>
        </w:rPr>
        <w:instrText>ADDIN CSL_CITATION {"citationItems":[{"id":"ITEM-1","itemData":{"DOI":"10.1097/00004583-199607000-00013","ISSN":"08908567","PMID":"8768347","abstract":"OBJECTIVE To examine the criterion validity of the NIMH Diagnostic Interview Schedule for Children (DISC) Version 2.3 in the NIMH Methods for the Epidemiology of Child and Adolescent Mental Disorders (MECA) Study, using a design that permitted several comparisons of DISC-generated diagnoses with diagnoses based on clinician symptom ratings. METHOD Two hundred forty-seven youths were selected from the 1,285 parent-youth pairs that constituted the four-site MECA sample. Subjects who screened positive for any of the five diagnostic areas under investigation in the validity study (attention-deficit hyperactivity disorder, oppositional defiant disorder, conduct disorder, depressive disorder, and the major anxiety disorders) were recruited, as well as a comparable number of screen negatives. Clinicians reinterviewed separately both the youth and the primary caregiver using the DISC followed by a clinical-style interview, and then they rated the presence of symptoms and impairment. Computer algorithms combined this information into diagnoses using comparable rules for both DISC and clinical rating diagnoses. RESULTS In general, the DISC showed moderate to good validity across a number of diagnoses. CONCLUSIONS Results suggest some specific diagnostic areas in which further revision of the DISC is warranted. Three main sources of variability in DISC-clinician diagnostic agreement were evident over and above that due to the instrument itself, including (1) the informant used, (2) the algorithm applied in synthesizing symptom reports, and (3) the design of the validity comparison.","author":[{"dropping-particle":"","family":"Schwab-Stone","given":"Mary E.","non-dropping-particle":"","parse-names":false,"suffix":""},{"dropping-particle":"","family":"Shaffer","given":"David","non-dropping-particle":"","parse-names":false,"suffix":""},{"dropping-particle":"","family":"Dulcan","given":"Mina K.","non-dropping-particle":"","parse-names":false,"suffix":""},{"dropping-particle":"","family":"Jensen","given":"Peter S.","non-dropping-particle":"","parse-names":false,"suffix":""},{"dropping-particle":"","family":"Fisher","given":"Prudence","non-dropping-particle":"","parse-names":false,"suffix":""},{"dropping-particle":"","family":"Bird","given":"Hector R.","non-dropping-particle":"","parse-names":false,"suffix":""},{"dropping-particle":"","family":"Goodman","given":"Sherryl H.","non-dropping-particle":"","parse-names":false,"suffix":""},{"dropping-particle":"","family":"Lahey","given":"Benjamin B.","non-dropping-particle":"","parse-names":false,"suffix":""},{"dropping-particle":"","family":"Lichtman","given":"Judith H.","non-dropping-particle":"","parse-names":false,"suffix":""},{"dropping-particle":"","family":"Canino","given":"Glorisa","non-dropping-particle":"","parse-names":false,"suffix":""},{"dropping-particle":"","family":"Rubio-Stipec","given":"Maritza","non-dropping-particle":"","parse-names":false,"suffix":""},{"dropping-particle":"","family":"Rae","given":"Donald S.","non-dropping-particle":"","parse-names":false,"suffix":""}],"container-title":"Journal of the American Academy of Child &amp; Adolescent Psychiatry","id":"ITEM-1","issue":"7","issued":{"date-parts":[["1996","7"]]},"page":"878-888","title":"Criterion Validity of the NIMH Diagnostic Interview Schedule for Children Version 2.3 (DISC-2.3)","type":"article-journal","volume":"35"},"uris":["http://www.mendeley.com/documents/?uuid=84e4863a-8233-3218-bce4-2ba4ebb618ac"]}],"mendeley":{"formattedCitation":"(Schwab-Stone et al., 1996)","plainTextFormattedCitation":"(Schwab-Stone et al., 1996)","previouslyFormattedCitation":"(Schwab-Stone et al., 1996)"},"properties":{"noteIndex":0},"schema":"https://github.com/citation-style-language/schema/raw/master/csl-citation.json"}</w:instrText>
      </w:r>
      <w:r w:rsidRPr="00A75594">
        <w:rPr>
          <w:sz w:val="24"/>
          <w:szCs w:val="24"/>
        </w:rPr>
        <w:fldChar w:fldCharType="separate"/>
      </w:r>
      <w:r w:rsidRPr="00A75594">
        <w:rPr>
          <w:noProof/>
          <w:sz w:val="24"/>
          <w:szCs w:val="24"/>
        </w:rPr>
        <w:t>(Schwab-Stone et al., 1996)</w:t>
      </w:r>
      <w:r w:rsidRPr="00A75594">
        <w:rPr>
          <w:sz w:val="24"/>
          <w:szCs w:val="24"/>
        </w:rPr>
        <w:fldChar w:fldCharType="end"/>
      </w:r>
      <w:r w:rsidRPr="00A75594">
        <w:rPr>
          <w:sz w:val="24"/>
          <w:szCs w:val="24"/>
        </w:rPr>
        <w:t xml:space="preserve">. In particular, test-retest diagnostic reliability of the DISC- parent report for ADHD is .60 for and for any anxiety disorder .56 (κ- statistics). The ADHD-Combined symptom count for young people was taken from both the ADHD- Inattention and Hyperactivity/Impulsivity scales of the DISC- IV, </w:t>
      </w:r>
      <w:r w:rsidR="00BC2E80">
        <w:rPr>
          <w:sz w:val="24"/>
          <w:szCs w:val="24"/>
        </w:rPr>
        <w:t>with the potential score ranging between 0-23. The total symptom of the current sample ranged between</w:t>
      </w:r>
      <w:r w:rsidRPr="00A75594">
        <w:rPr>
          <w:sz w:val="24"/>
          <w:szCs w:val="24"/>
        </w:rPr>
        <w:t xml:space="preserve"> 0-20, (</w:t>
      </w:r>
      <w:r w:rsidRPr="00A75594">
        <w:rPr>
          <w:i/>
          <w:sz w:val="24"/>
          <w:szCs w:val="24"/>
        </w:rPr>
        <w:t>M</w:t>
      </w:r>
      <w:r w:rsidRPr="00A75594">
        <w:rPr>
          <w:sz w:val="24"/>
          <w:szCs w:val="24"/>
        </w:rPr>
        <w:t xml:space="preserve">= 6.10, </w:t>
      </w:r>
      <w:r w:rsidRPr="00A75594">
        <w:rPr>
          <w:i/>
          <w:sz w:val="24"/>
          <w:szCs w:val="24"/>
        </w:rPr>
        <w:t>SD</w:t>
      </w:r>
      <w:r w:rsidRPr="00A75594">
        <w:rPr>
          <w:sz w:val="24"/>
          <w:szCs w:val="24"/>
        </w:rPr>
        <w:t>= 6.24).</w:t>
      </w:r>
    </w:p>
    <w:p w14:paraId="4785BDEB" w14:textId="1DBF514C" w:rsidR="006A29D2" w:rsidRPr="00A75594" w:rsidRDefault="006A29D2" w:rsidP="00956F88">
      <w:pPr>
        <w:spacing w:line="480" w:lineRule="auto"/>
        <w:ind w:firstLine="567"/>
        <w:rPr>
          <w:sz w:val="24"/>
          <w:szCs w:val="24"/>
        </w:rPr>
      </w:pPr>
      <w:r w:rsidRPr="00A75594">
        <w:rPr>
          <w:iCs/>
          <w:sz w:val="24"/>
          <w:szCs w:val="24"/>
        </w:rPr>
        <w:t xml:space="preserve">We used the Current Symptoms Scale (CSS) </w:t>
      </w:r>
      <w:r w:rsidRPr="00A75594">
        <w:rPr>
          <w:iCs/>
          <w:sz w:val="24"/>
          <w:szCs w:val="24"/>
        </w:rPr>
        <w:fldChar w:fldCharType="begin" w:fldLock="1"/>
      </w:r>
      <w:r w:rsidRPr="00A75594">
        <w:rPr>
          <w:iCs/>
          <w:sz w:val="24"/>
          <w:szCs w:val="24"/>
        </w:rPr>
        <w:instrText>ADDIN CSL_CITATION {"citationItems":[{"id":"ITEM-1","itemData":{"author":[{"dropping-particle":"","family":"Barkley, R. A., &amp; Murphy","given":"K. R.","non-dropping-particle":"","parse-names":false,"suffix":""}],"edition":"3rd ed.","id":"ITEM-1","issued":{"date-parts":[["2006"]]},"publisher":"NY, US: Guilford Press.","publisher-place":"New York","title":"Attention-deficit hyperactivity disorder: A clinical workbook","type":"book"},"uris":["http://www.mendeley.com/documents/?uuid=c1969a76-61b4-3537-9350-c23fbd5e380b"]}],"mendeley":{"formattedCitation":"(Barkley, R. A., &amp; Murphy, 2006)","manualFormatting":"(Barkley &amp; Murphy, 2006)","plainTextFormattedCitation":"(Barkley, R. A., &amp; Murphy, 2006)","previouslyFormattedCitation":"(Barkley, R. A., &amp; Murphy, 2006)"},"properties":{"noteIndex":0},"schema":"https://github.com/citation-style-language/schema/raw/master/csl-citation.json"}</w:instrText>
      </w:r>
      <w:r w:rsidRPr="00A75594">
        <w:rPr>
          <w:iCs/>
          <w:sz w:val="24"/>
          <w:szCs w:val="24"/>
        </w:rPr>
        <w:fldChar w:fldCharType="separate"/>
      </w:r>
      <w:r w:rsidRPr="00A75594">
        <w:rPr>
          <w:iCs/>
          <w:noProof/>
          <w:sz w:val="24"/>
          <w:szCs w:val="24"/>
        </w:rPr>
        <w:t>(Barkley &amp; Murphy, 2006)</w:t>
      </w:r>
      <w:r w:rsidRPr="00A75594">
        <w:rPr>
          <w:iCs/>
          <w:sz w:val="24"/>
          <w:szCs w:val="24"/>
        </w:rPr>
        <w:fldChar w:fldCharType="end"/>
      </w:r>
      <w:r w:rsidRPr="00A75594">
        <w:rPr>
          <w:sz w:val="24"/>
          <w:szCs w:val="24"/>
        </w:rPr>
        <w:t xml:space="preserve"> to m</w:t>
      </w:r>
      <w:r w:rsidR="002165FB" w:rsidRPr="00A75594">
        <w:rPr>
          <w:sz w:val="24"/>
          <w:szCs w:val="24"/>
        </w:rPr>
        <w:t>easure ADHD symptoms in adults.</w:t>
      </w:r>
      <w:r w:rsidRPr="00A75594">
        <w:rPr>
          <w:sz w:val="24"/>
          <w:szCs w:val="24"/>
        </w:rPr>
        <w:t xml:space="preserve"> The scale </w:t>
      </w:r>
      <w:r w:rsidR="007846F9">
        <w:rPr>
          <w:sz w:val="24"/>
          <w:szCs w:val="24"/>
        </w:rPr>
        <w:t>has</w:t>
      </w:r>
      <w:r w:rsidRPr="00A75594">
        <w:rPr>
          <w:sz w:val="24"/>
          <w:szCs w:val="24"/>
        </w:rPr>
        <w:t xml:space="preserve"> two </w:t>
      </w:r>
      <w:r w:rsidR="007846F9">
        <w:rPr>
          <w:sz w:val="24"/>
          <w:szCs w:val="24"/>
        </w:rPr>
        <w:t>sections</w:t>
      </w:r>
      <w:r w:rsidRPr="00A75594">
        <w:rPr>
          <w:sz w:val="24"/>
          <w:szCs w:val="24"/>
        </w:rPr>
        <w:t>. The participant filled out the first part and an additional informant</w:t>
      </w:r>
      <w:r w:rsidR="007846F9">
        <w:rPr>
          <w:sz w:val="24"/>
          <w:szCs w:val="24"/>
        </w:rPr>
        <w:t xml:space="preserve">, </w:t>
      </w:r>
      <w:r w:rsidRPr="00A75594">
        <w:rPr>
          <w:sz w:val="24"/>
          <w:szCs w:val="24"/>
        </w:rPr>
        <w:t xml:space="preserve">known to the participant (i.e., friend or relative), filled out the second </w:t>
      </w:r>
      <w:r w:rsidR="007846F9">
        <w:rPr>
          <w:sz w:val="24"/>
          <w:szCs w:val="24"/>
        </w:rPr>
        <w:t>part</w:t>
      </w:r>
      <w:r w:rsidRPr="00A75594">
        <w:rPr>
          <w:rStyle w:val="FootnoteReference"/>
          <w:sz w:val="24"/>
          <w:szCs w:val="24"/>
        </w:rPr>
        <w:footnoteReference w:id="3"/>
      </w:r>
      <w:r w:rsidRPr="00A75594">
        <w:rPr>
          <w:sz w:val="24"/>
          <w:szCs w:val="24"/>
        </w:rPr>
        <w:t>, in or</w:t>
      </w:r>
      <w:r w:rsidR="00DB14EA" w:rsidRPr="00A75594">
        <w:rPr>
          <w:sz w:val="24"/>
          <w:szCs w:val="24"/>
        </w:rPr>
        <w:t>der to reduce self-report bias</w:t>
      </w:r>
      <w:r w:rsidRPr="00A75594">
        <w:rPr>
          <w:sz w:val="24"/>
          <w:szCs w:val="24"/>
        </w:rPr>
        <w:t xml:space="preserve">. </w:t>
      </w:r>
      <w:r w:rsidR="00471B3F">
        <w:rPr>
          <w:sz w:val="24"/>
          <w:szCs w:val="24"/>
        </w:rPr>
        <w:t xml:space="preserve">The latter was not used </w:t>
      </w:r>
      <w:r w:rsidR="00B301E7">
        <w:rPr>
          <w:sz w:val="24"/>
          <w:szCs w:val="24"/>
        </w:rPr>
        <w:t>for</w:t>
      </w:r>
      <w:r w:rsidR="00471B3F">
        <w:rPr>
          <w:sz w:val="24"/>
          <w:szCs w:val="24"/>
        </w:rPr>
        <w:t xml:space="preserve"> the main analyses. </w:t>
      </w:r>
      <w:r w:rsidRPr="00A75594">
        <w:rPr>
          <w:sz w:val="24"/>
          <w:szCs w:val="24"/>
        </w:rPr>
        <w:t>The scale is based on DSM-IV criteria for ADHD and measures the number of symptoms experienced in the last 6 months.  It includes 18</w:t>
      </w:r>
      <w:r w:rsidR="007846F9">
        <w:rPr>
          <w:sz w:val="24"/>
          <w:szCs w:val="24"/>
        </w:rPr>
        <w:t>-</w:t>
      </w:r>
      <w:r w:rsidRPr="00A75594">
        <w:rPr>
          <w:sz w:val="24"/>
          <w:szCs w:val="24"/>
        </w:rPr>
        <w:t xml:space="preserve">items and each asks the </w:t>
      </w:r>
      <w:r w:rsidRPr="00A75594">
        <w:rPr>
          <w:sz w:val="24"/>
          <w:szCs w:val="24"/>
        </w:rPr>
        <w:lastRenderedPageBreak/>
        <w:t>participant to endorse a symptom via a four-point Likert scale (never or rarely (0), sometimes (1), often (2), and, very often (3)</w:t>
      </w:r>
      <w:r w:rsidR="00867BDD">
        <w:rPr>
          <w:sz w:val="24"/>
          <w:szCs w:val="24"/>
        </w:rPr>
        <w:t>, making a potential score range from 0 - 54</w:t>
      </w:r>
      <w:r w:rsidRPr="00A75594">
        <w:rPr>
          <w:sz w:val="24"/>
          <w:szCs w:val="24"/>
        </w:rPr>
        <w:t>).  Items are equally divided into inattentive and hy</w:t>
      </w:r>
      <w:r w:rsidR="00B301E7">
        <w:rPr>
          <w:sz w:val="24"/>
          <w:szCs w:val="24"/>
        </w:rPr>
        <w:t xml:space="preserve">peractive/ impulsive subscales. </w:t>
      </w:r>
      <w:r w:rsidR="00034003">
        <w:rPr>
          <w:sz w:val="24"/>
          <w:szCs w:val="24"/>
        </w:rPr>
        <w:t>Only</w:t>
      </w:r>
      <w:r w:rsidRPr="00A75594">
        <w:rPr>
          <w:sz w:val="24"/>
          <w:szCs w:val="24"/>
        </w:rPr>
        <w:t xml:space="preserve"> items rated as “often” or “more” counted as an indicator of</w:t>
      </w:r>
      <w:r w:rsidR="00393A4D">
        <w:rPr>
          <w:sz w:val="24"/>
          <w:szCs w:val="24"/>
        </w:rPr>
        <w:t xml:space="preserve"> DSM-IV symptom count and included in the</w:t>
      </w:r>
      <w:r w:rsidRPr="00A75594">
        <w:rPr>
          <w:sz w:val="24"/>
          <w:szCs w:val="24"/>
        </w:rPr>
        <w:t xml:space="preserve"> total symptom count</w:t>
      </w:r>
      <w:r w:rsidR="00393A4D">
        <w:rPr>
          <w:sz w:val="24"/>
          <w:szCs w:val="24"/>
        </w:rPr>
        <w:t xml:space="preserve"> with scores</w:t>
      </w:r>
      <w:r w:rsidRPr="00A75594">
        <w:rPr>
          <w:sz w:val="24"/>
          <w:szCs w:val="24"/>
        </w:rPr>
        <w:t xml:space="preserve"> ranging from </w:t>
      </w:r>
      <w:r w:rsidRPr="0047154B">
        <w:rPr>
          <w:sz w:val="24"/>
          <w:szCs w:val="24"/>
        </w:rPr>
        <w:t>0-</w:t>
      </w:r>
      <w:r w:rsidR="00DA419E">
        <w:rPr>
          <w:sz w:val="24"/>
          <w:szCs w:val="24"/>
        </w:rPr>
        <w:t>9</w:t>
      </w:r>
      <w:r w:rsidRPr="0047154B">
        <w:rPr>
          <w:sz w:val="24"/>
          <w:szCs w:val="24"/>
        </w:rPr>
        <w:t xml:space="preserve"> (</w:t>
      </w:r>
      <w:r w:rsidRPr="0047154B">
        <w:rPr>
          <w:i/>
          <w:sz w:val="24"/>
          <w:szCs w:val="24"/>
        </w:rPr>
        <w:t>M</w:t>
      </w:r>
      <w:r w:rsidRPr="0047154B">
        <w:rPr>
          <w:sz w:val="24"/>
          <w:szCs w:val="24"/>
        </w:rPr>
        <w:t>=</w:t>
      </w:r>
      <w:r w:rsidR="00DA419E">
        <w:rPr>
          <w:sz w:val="24"/>
          <w:szCs w:val="24"/>
        </w:rPr>
        <w:t>2.03</w:t>
      </w:r>
      <w:r w:rsidR="0047154B">
        <w:rPr>
          <w:sz w:val="24"/>
          <w:szCs w:val="24"/>
        </w:rPr>
        <w:t>,</w:t>
      </w:r>
      <w:r w:rsidRPr="0047154B">
        <w:rPr>
          <w:sz w:val="24"/>
          <w:szCs w:val="24"/>
        </w:rPr>
        <w:t xml:space="preserve"> </w:t>
      </w:r>
      <w:r w:rsidRPr="0047154B">
        <w:rPr>
          <w:i/>
          <w:sz w:val="24"/>
          <w:szCs w:val="24"/>
        </w:rPr>
        <w:t>SD</w:t>
      </w:r>
      <w:r w:rsidRPr="0047154B">
        <w:rPr>
          <w:sz w:val="24"/>
          <w:szCs w:val="24"/>
        </w:rPr>
        <w:t xml:space="preserve">= </w:t>
      </w:r>
      <w:r w:rsidR="00DA419E">
        <w:rPr>
          <w:sz w:val="24"/>
          <w:szCs w:val="24"/>
        </w:rPr>
        <w:t>2.79</w:t>
      </w:r>
      <w:r w:rsidRPr="0047154B">
        <w:rPr>
          <w:sz w:val="24"/>
          <w:szCs w:val="24"/>
        </w:rPr>
        <w:t>).</w:t>
      </w:r>
    </w:p>
    <w:p w14:paraId="70D3C359" w14:textId="33A7CBCC" w:rsidR="006A29D2" w:rsidRPr="00A75594" w:rsidRDefault="006A29D2" w:rsidP="00956F88">
      <w:pPr>
        <w:pStyle w:val="Heading3"/>
        <w:tabs>
          <w:tab w:val="clear" w:pos="1021"/>
          <w:tab w:val="num" w:pos="1985"/>
        </w:tabs>
        <w:spacing w:line="480" w:lineRule="auto"/>
        <w:ind w:left="567" w:hanging="567"/>
        <w:rPr>
          <w:rFonts w:ascii="Times New Roman" w:hAnsi="Times New Roman" w:cs="Times New Roman"/>
          <w:sz w:val="24"/>
          <w:szCs w:val="24"/>
        </w:rPr>
      </w:pPr>
      <w:bookmarkStart w:id="5" w:name="_Toc9501353"/>
      <w:r w:rsidRPr="00A75594">
        <w:rPr>
          <w:rFonts w:ascii="Times New Roman" w:hAnsi="Times New Roman" w:cs="Times New Roman"/>
          <w:sz w:val="24"/>
          <w:szCs w:val="24"/>
        </w:rPr>
        <w:t>Experimental Go/No</w:t>
      </w:r>
      <w:r w:rsidR="00365512">
        <w:rPr>
          <w:rFonts w:ascii="Times New Roman" w:hAnsi="Times New Roman" w:cs="Times New Roman"/>
          <w:sz w:val="24"/>
          <w:szCs w:val="24"/>
        </w:rPr>
        <w:t>-</w:t>
      </w:r>
      <w:r w:rsidRPr="00A75594">
        <w:rPr>
          <w:rFonts w:ascii="Times New Roman" w:hAnsi="Times New Roman" w:cs="Times New Roman"/>
          <w:sz w:val="24"/>
          <w:szCs w:val="24"/>
        </w:rPr>
        <w:t>Go Task</w:t>
      </w:r>
      <w:bookmarkEnd w:id="5"/>
    </w:p>
    <w:p w14:paraId="06FA2B84" w14:textId="33B36B3E" w:rsidR="006A29D2" w:rsidRPr="00A75594" w:rsidRDefault="006A29D2" w:rsidP="00956F88">
      <w:pPr>
        <w:spacing w:line="480" w:lineRule="auto"/>
        <w:ind w:firstLine="720"/>
        <w:rPr>
          <w:sz w:val="24"/>
          <w:szCs w:val="24"/>
        </w:rPr>
      </w:pPr>
      <w:r w:rsidRPr="00A75594">
        <w:rPr>
          <w:sz w:val="24"/>
          <w:szCs w:val="24"/>
        </w:rPr>
        <w:t>The G</w:t>
      </w:r>
      <w:r w:rsidR="00170AEA">
        <w:rPr>
          <w:sz w:val="24"/>
          <w:szCs w:val="24"/>
        </w:rPr>
        <w:t>o</w:t>
      </w:r>
      <w:r w:rsidRPr="00A75594">
        <w:rPr>
          <w:sz w:val="24"/>
          <w:szCs w:val="24"/>
        </w:rPr>
        <w:t>/N</w:t>
      </w:r>
      <w:r w:rsidR="007A23E5">
        <w:rPr>
          <w:sz w:val="24"/>
          <w:szCs w:val="24"/>
        </w:rPr>
        <w:t>o</w:t>
      </w:r>
      <w:r w:rsidR="00365512">
        <w:rPr>
          <w:sz w:val="24"/>
          <w:szCs w:val="24"/>
        </w:rPr>
        <w:t>-</w:t>
      </w:r>
      <w:r w:rsidRPr="00A75594">
        <w:rPr>
          <w:sz w:val="24"/>
          <w:szCs w:val="24"/>
        </w:rPr>
        <w:t>G</w:t>
      </w:r>
      <w:r w:rsidR="007A23E5">
        <w:rPr>
          <w:sz w:val="24"/>
          <w:szCs w:val="24"/>
        </w:rPr>
        <w:t>o</w:t>
      </w:r>
      <w:r w:rsidRPr="00A75594">
        <w:rPr>
          <w:sz w:val="24"/>
          <w:szCs w:val="24"/>
        </w:rPr>
        <w:t xml:space="preserve"> task comprised four blocks including two blocks using non-face stimuli (blue and orange squares that </w:t>
      </w:r>
      <w:r w:rsidR="00867BDD">
        <w:rPr>
          <w:sz w:val="24"/>
          <w:szCs w:val="24"/>
        </w:rPr>
        <w:t xml:space="preserve">respectively represented </w:t>
      </w:r>
      <w:r w:rsidRPr="00A75594">
        <w:rPr>
          <w:sz w:val="24"/>
          <w:szCs w:val="24"/>
        </w:rPr>
        <w:t>Go and No</w:t>
      </w:r>
      <w:r w:rsidR="00365512">
        <w:rPr>
          <w:sz w:val="24"/>
          <w:szCs w:val="24"/>
        </w:rPr>
        <w:t>-</w:t>
      </w:r>
      <w:r w:rsidRPr="00A75594">
        <w:rPr>
          <w:sz w:val="24"/>
          <w:szCs w:val="24"/>
        </w:rPr>
        <w:t xml:space="preserve">Go cues </w:t>
      </w:r>
      <w:r w:rsidR="00867BDD">
        <w:rPr>
          <w:sz w:val="24"/>
          <w:szCs w:val="24"/>
        </w:rPr>
        <w:t xml:space="preserve">and where this feature was reversed between </w:t>
      </w:r>
      <w:r w:rsidRPr="00A75594">
        <w:rPr>
          <w:sz w:val="24"/>
          <w:szCs w:val="24"/>
        </w:rPr>
        <w:t xml:space="preserve">two blocks) and two blocks using facial emotional stimuli (happy and angry faces that were </w:t>
      </w:r>
      <w:r w:rsidR="00867BDD">
        <w:rPr>
          <w:sz w:val="24"/>
          <w:szCs w:val="24"/>
        </w:rPr>
        <w:t xml:space="preserve">respectively </w:t>
      </w:r>
      <w:r w:rsidRPr="00A75594">
        <w:rPr>
          <w:sz w:val="24"/>
          <w:szCs w:val="24"/>
        </w:rPr>
        <w:t xml:space="preserve">used </w:t>
      </w:r>
      <w:r w:rsidR="00867BDD">
        <w:rPr>
          <w:sz w:val="24"/>
          <w:szCs w:val="24"/>
        </w:rPr>
        <w:t xml:space="preserve">to represent </w:t>
      </w:r>
      <w:r w:rsidRPr="00A75594">
        <w:rPr>
          <w:sz w:val="24"/>
          <w:szCs w:val="24"/>
        </w:rPr>
        <w:t>Go and No</w:t>
      </w:r>
      <w:r w:rsidR="00365512">
        <w:rPr>
          <w:sz w:val="24"/>
          <w:szCs w:val="24"/>
        </w:rPr>
        <w:t>-</w:t>
      </w:r>
      <w:r w:rsidRPr="00A75594">
        <w:rPr>
          <w:sz w:val="24"/>
          <w:szCs w:val="24"/>
        </w:rPr>
        <w:t xml:space="preserve">Go </w:t>
      </w:r>
      <w:r w:rsidR="00867BDD">
        <w:rPr>
          <w:sz w:val="24"/>
          <w:szCs w:val="24"/>
        </w:rPr>
        <w:t xml:space="preserve">trials and where this feature was reversed between </w:t>
      </w:r>
      <w:r w:rsidRPr="00A75594">
        <w:rPr>
          <w:sz w:val="24"/>
          <w:szCs w:val="24"/>
        </w:rPr>
        <w:t xml:space="preserve">two blocks).  Emotional face stimuli were modelled by two (one male and one female) individuals from the </w:t>
      </w:r>
      <w:proofErr w:type="spellStart"/>
      <w:r w:rsidRPr="00A75594">
        <w:rPr>
          <w:sz w:val="24"/>
          <w:szCs w:val="24"/>
        </w:rPr>
        <w:t>NimStim</w:t>
      </w:r>
      <w:proofErr w:type="spellEnd"/>
      <w:r w:rsidRPr="00A75594">
        <w:rPr>
          <w:sz w:val="24"/>
          <w:szCs w:val="24"/>
        </w:rPr>
        <w:t xml:space="preserve"> face set </w:t>
      </w:r>
      <w:r w:rsidRPr="00A75594">
        <w:rPr>
          <w:sz w:val="24"/>
          <w:szCs w:val="24"/>
        </w:rPr>
        <w:fldChar w:fldCharType="begin" w:fldLock="1"/>
      </w:r>
      <w:r w:rsidRPr="00A75594">
        <w:rPr>
          <w:sz w:val="24"/>
          <w:szCs w:val="24"/>
        </w:rPr>
        <w:instrText>ADDIN CSL_CITATION {"citationItems":[{"id":"ITEM-1","itemData":{"DOI":"10.1016/j.psychres.2008.05.006","ISSN":"0165-1781","PMID":"19564050","abstract":"A set of face stimuli called the NimStim Set of Facial Expressions is described. The goal in creating this set was to provide facial expressions that untrained individuals, characteristic of research participants, would recognize. This set is large in number, multiracial, and available to the scientific community online. The results of psychometric evaluations of these stimuli are presented. The results lend empirical support for the validity and reliability of this set of facial expressions as determined by accurate identification of expressions and high intra-participant agreement across two testing sessions, respectively.","author":[{"dropping-particle":"","family":"Tottenham","given":"Nim","non-dropping-particle":"","parse-names":false,"suffix":""},{"dropping-particle":"","family":"Tanaka","given":"James W.","non-dropping-particle":"","parse-names":false,"suffix":""},{"dropping-particle":"","family":"Leon","given":"Andrew C.","non-dropping-particle":"","parse-names":false,"suffix":""},{"dropping-particle":"","family":"McCarry","given":"Thomas","non-dropping-particle":"","parse-names":false,"suffix":""},{"dropping-particle":"","family":"Nurse","given":"Marcella","non-dropping-particle":"","parse-names":false,"suffix":""},{"dropping-particle":"","family":"Hare","given":"Todd A.","non-dropping-particle":"","parse-names":false,"suffix":""},{"dropping-particle":"","family":"Marcus","given":"David J.","non-dropping-particle":"","parse-names":false,"suffix":""},{"dropping-particle":"","family":"Westerlund","given":"Alissa","non-dropping-particle":"","parse-names":false,"suffix":""},{"dropping-particle":"","family":"Casey","given":"BJ J","non-dropping-particle":"","parse-names":false,"suffix":""},{"dropping-particle":"","family":"Nelson","given":"Charles","non-dropping-particle":"","parse-names":false,"suffix":""}],"container-title":"Psychiatry research","id":"ITEM-1","issue":"3","issued":{"date-parts":[["2009","8","15"]]},"page":"242-9","title":"The NimStim set of facial expressions: judgments from untrained research participants.","type":"article-journal","volume":"168"},"uris":["http://www.mendeley.com/documents/?uuid=88b47bcc-f1ea-4ab9-9f78-5bdda70de437"]}],"mendeley":{"formattedCitation":"(Tottenham et al., 2009)","plainTextFormattedCitation":"(Tottenham et al., 2009)","previouslyFormattedCitation":"(Tottenham et al., 2009)"},"properties":{"noteIndex":0},"schema":"https://github.com/citation-style-language/schema/raw/master/csl-citation.json"}</w:instrText>
      </w:r>
      <w:r w:rsidRPr="00A75594">
        <w:rPr>
          <w:sz w:val="24"/>
          <w:szCs w:val="24"/>
        </w:rPr>
        <w:fldChar w:fldCharType="separate"/>
      </w:r>
      <w:r w:rsidRPr="00A75594">
        <w:rPr>
          <w:noProof/>
          <w:sz w:val="24"/>
          <w:szCs w:val="24"/>
        </w:rPr>
        <w:t>(Tottenham et al., 2009)</w:t>
      </w:r>
      <w:r w:rsidRPr="00A75594">
        <w:rPr>
          <w:sz w:val="24"/>
          <w:szCs w:val="24"/>
        </w:rPr>
        <w:fldChar w:fldCharType="end"/>
      </w:r>
      <w:r w:rsidRPr="00A75594">
        <w:rPr>
          <w:sz w:val="24"/>
          <w:szCs w:val="24"/>
        </w:rPr>
        <w:t>.  In order to reduce variations between images and prevent unwanted effects of chromatic and differently-illuminated images, image pre-processing was carried out using Adobe Photoshop CS6.  Images were converted to grayscale, face size was rescaled by keeping a constant aspect ratio for each face, head orientations were adjusted to horizontal plane and centring, hair was removed and intensity was adjusted to obtain images with stable contrast and illumination. Each experimental block consisted of 200 trials (80% Go trials and 20% No-Go trials presented in a random order), with each block preceded by 15 practice trials.</w:t>
      </w:r>
    </w:p>
    <w:p w14:paraId="466415EF" w14:textId="22E48603" w:rsidR="006A29D2" w:rsidRPr="00A75594" w:rsidRDefault="006A29D2" w:rsidP="00956F88">
      <w:pPr>
        <w:spacing w:line="480" w:lineRule="auto"/>
        <w:ind w:firstLine="720"/>
        <w:rPr>
          <w:iCs/>
          <w:sz w:val="24"/>
          <w:szCs w:val="24"/>
        </w:rPr>
      </w:pPr>
      <w:r w:rsidRPr="00A75594">
        <w:rPr>
          <w:sz w:val="24"/>
          <w:szCs w:val="24"/>
        </w:rPr>
        <w:t xml:space="preserve">In each trial sequence, participants saw an initial presentation of a black fixation cross that appeared at the centre of the screen (2000ms).  This fixation cross was followed by either a Go or a </w:t>
      </w:r>
      <w:r w:rsidRPr="00A75594">
        <w:rPr>
          <w:bCs/>
          <w:sz w:val="24"/>
          <w:szCs w:val="24"/>
        </w:rPr>
        <w:t xml:space="preserve">No-Go </w:t>
      </w:r>
      <w:r w:rsidRPr="00A75594">
        <w:rPr>
          <w:sz w:val="24"/>
          <w:szCs w:val="24"/>
        </w:rPr>
        <w:t xml:space="preserve">cue, along with an eccentric target (a white square) that was presented at 8 degrees eccentricity either to the left or to the right of fixation (600ms).  Participants were </w:t>
      </w:r>
      <w:r w:rsidRPr="00A75594">
        <w:rPr>
          <w:sz w:val="24"/>
          <w:szCs w:val="24"/>
        </w:rPr>
        <w:lastRenderedPageBreak/>
        <w:t xml:space="preserve">instructed to look at the central fixation cross until they saw a Go cue, during which they had to move their eyes towards the eccentric white square as quickly as possible and then bring their eyes back to the centre after the central fixation cross appeared </w:t>
      </w:r>
      <w:r w:rsidR="00A913AC">
        <w:rPr>
          <w:sz w:val="24"/>
          <w:szCs w:val="24"/>
        </w:rPr>
        <w:t>once more</w:t>
      </w:r>
      <w:r w:rsidRPr="00A75594">
        <w:rPr>
          <w:sz w:val="24"/>
          <w:szCs w:val="24"/>
        </w:rPr>
        <w:t xml:space="preserve">.  Participants were also asked to maintain central fixation in the presence of </w:t>
      </w:r>
      <w:r w:rsidRPr="00A75594">
        <w:rPr>
          <w:bCs/>
          <w:sz w:val="24"/>
          <w:szCs w:val="24"/>
        </w:rPr>
        <w:t xml:space="preserve">No-Go </w:t>
      </w:r>
      <w:r w:rsidRPr="00A75594">
        <w:rPr>
          <w:sz w:val="24"/>
          <w:szCs w:val="24"/>
        </w:rPr>
        <w:t>cues.  A randomised inter-trial interval (ITI) of 1500 – 2500ms was added between the initial fixation cross and the target screen.  An automatic recalibration was added every 25 trials throughout each block.  This was added to minimise data loss due to the continuous presentation of the trial sequences</w:t>
      </w:r>
      <w:r w:rsidRPr="00A75594">
        <w:rPr>
          <w:rStyle w:val="FootnoteReference"/>
          <w:sz w:val="24"/>
          <w:szCs w:val="24"/>
        </w:rPr>
        <w:footnoteReference w:id="4"/>
      </w:r>
      <w:r w:rsidRPr="00A75594">
        <w:rPr>
          <w:sz w:val="24"/>
          <w:szCs w:val="24"/>
        </w:rPr>
        <w:t>. The coloured squares subtended 3 x 3 degrees of visual angle, whereas the targets (white squares that subtended 1.5 x 1.5 degrees of visual angle).  The faces subtended 4.2 degrees horizontally and 6.5 degrees vertically (</w:t>
      </w:r>
      <w:r w:rsidR="002521AB" w:rsidRPr="00A75594">
        <w:rPr>
          <w:i/>
          <w:sz w:val="24"/>
          <w:szCs w:val="24"/>
        </w:rPr>
        <w:t xml:space="preserve">Figure </w:t>
      </w:r>
      <w:r w:rsidRPr="00A75594">
        <w:rPr>
          <w:i/>
          <w:sz w:val="24"/>
          <w:szCs w:val="24"/>
        </w:rPr>
        <w:t>1).</w:t>
      </w:r>
    </w:p>
    <w:p w14:paraId="25BDAA5D" w14:textId="77777777" w:rsidR="006A29D2" w:rsidRPr="00A75594" w:rsidRDefault="006A29D2" w:rsidP="00956F88">
      <w:pPr>
        <w:spacing w:line="480" w:lineRule="auto"/>
        <w:ind w:left="144" w:firstLine="576"/>
        <w:rPr>
          <w:rFonts w:eastAsiaTheme="majorEastAsia"/>
          <w:b/>
          <w:i/>
          <w:sz w:val="24"/>
          <w:szCs w:val="24"/>
        </w:rPr>
      </w:pPr>
      <w:r w:rsidRPr="00A75594">
        <w:rPr>
          <w:sz w:val="24"/>
          <w:szCs w:val="24"/>
        </w:rPr>
        <w:t xml:space="preserve">Eye movements were recorded using an EyeLink 1000 Plus Desk Mount eye tracking system (SR Research Ltd) housed in a department research laboratory.  The experiments were created and implemented using Experiment Builder software (SR Research Ltd.) and presented on a 23-inch monitor (1920 x 1080 resolution).  Although viewing was binocular, the vertical and horizontal movements of the right eye were sampled monocularly at a rate of 1000 Hz.  The eye-movement data were extracted in the form of saccadic reports the EyeLink Data Viewer software (SR Research Ltd). </w:t>
      </w:r>
    </w:p>
    <w:p w14:paraId="783D8673" w14:textId="77777777" w:rsidR="006A29D2" w:rsidRPr="00A75594" w:rsidRDefault="006A29D2" w:rsidP="00956F88">
      <w:pPr>
        <w:pStyle w:val="Heading3"/>
        <w:tabs>
          <w:tab w:val="clear" w:pos="1021"/>
          <w:tab w:val="num" w:pos="1985"/>
        </w:tabs>
        <w:spacing w:line="480" w:lineRule="auto"/>
        <w:ind w:left="567" w:hanging="567"/>
        <w:rPr>
          <w:rFonts w:ascii="Times New Roman" w:hAnsi="Times New Roman" w:cs="Times New Roman"/>
          <w:sz w:val="24"/>
          <w:szCs w:val="24"/>
        </w:rPr>
      </w:pPr>
      <w:bookmarkStart w:id="6" w:name="_Toc9501354"/>
      <w:r w:rsidRPr="00A75594">
        <w:rPr>
          <w:rFonts w:ascii="Times New Roman" w:hAnsi="Times New Roman" w:cs="Times New Roman"/>
          <w:sz w:val="24"/>
          <w:szCs w:val="24"/>
        </w:rPr>
        <w:t>Data Analyses</w:t>
      </w:r>
      <w:bookmarkEnd w:id="6"/>
    </w:p>
    <w:p w14:paraId="6B5BF3B8" w14:textId="3E9CFB29" w:rsidR="006A29D2" w:rsidRPr="00A75594" w:rsidRDefault="006A29D2" w:rsidP="00956F88">
      <w:pPr>
        <w:spacing w:line="480" w:lineRule="auto"/>
        <w:ind w:firstLine="720"/>
        <w:rPr>
          <w:sz w:val="24"/>
          <w:szCs w:val="24"/>
        </w:rPr>
      </w:pPr>
      <w:r w:rsidRPr="00A75594">
        <w:rPr>
          <w:sz w:val="24"/>
          <w:szCs w:val="24"/>
        </w:rPr>
        <w:t xml:space="preserve">We performed linear mixed effects models (LMMs) using the </w:t>
      </w:r>
      <w:proofErr w:type="spellStart"/>
      <w:r w:rsidRPr="00A75594">
        <w:rPr>
          <w:sz w:val="24"/>
          <w:szCs w:val="24"/>
        </w:rPr>
        <w:t>lmer</w:t>
      </w:r>
      <w:proofErr w:type="spellEnd"/>
      <w:r w:rsidRPr="00A75594">
        <w:rPr>
          <w:sz w:val="24"/>
          <w:szCs w:val="24"/>
        </w:rPr>
        <w:t xml:space="preserve"> function from the lme4 package </w:t>
      </w:r>
      <w:r w:rsidRPr="00A75594">
        <w:rPr>
          <w:sz w:val="24"/>
          <w:szCs w:val="24"/>
        </w:rPr>
        <w:fldChar w:fldCharType="begin" w:fldLock="1"/>
      </w:r>
      <w:r w:rsidRPr="00A75594">
        <w:rPr>
          <w:sz w:val="24"/>
          <w:szCs w:val="24"/>
        </w:rPr>
        <w:instrText>ADDIN CSL_CITATION {"citationItems":[{"id":"ITEM-1","itemData":{"DOI":"10.18637/jss.v067.i01","ISSN":"1548-7660","abstract":"Maximum likelihood or restricted maximum likelihood (REML) estimates of the parameters in linear mixed-effects models can be determined using the lmer function in the lme4 package for R. As for most model-fitting functions in R, the model is described in an lmer call by a formula, in this case including both fixed- and random-effects terms. The formula and data together determine a numerical representation of the model from which the profiled deviance or the profiled REML criterion can be evaluated as a function of some of the model parameters. The appropriate criterion is optimized, using one of the constrained optimization functions in R, to provide the parameter estimates. We describe the structure of the model, the steps in evaluating the profiled deviance or REML criterion, and the structure of classes or types that represents such a model. Sufficient detail is included to allow specialization of these structures by users who wish to write functions to fit specialized linear mixed models, such as models incorporating pedigrees or smoothing splines, that are not easily expressible in the formula language used by lmer.","author":[{"dropping-particle":"","family":"Bates","given":"Douglas","non-dropping-particle":"","parse-names":false,"suffix":""},{"dropping-particle":"","family":"Mächler","given":"Martin","non-dropping-particle":"","parse-names":false,"suffix":""},{"dropping-particle":"","family":"Bolker","given":"Ben","non-dropping-particle":"","parse-names":false,"suffix":""},{"dropping-particle":"","family":"Walker","given":"Steve","non-dropping-particle":"","parse-names":false,"suffix":""}],"container-title":"Journal of Statistical Software","id":"ITEM-1","issue":"1","issued":{"date-parts":[["2015","10","7"]]},"page":"1-48","title":"Fitting Linear Mixed-Effects Models Using &lt;b&gt;lme4&lt;/b&gt;","type":"article-journal","volume":"67"},"uris":["http://www.mendeley.com/documents/?uuid=017c0c26-1f42-4bf2-a581-f550ef7f3816"]}],"mendeley":{"formattedCitation":"(Bates, Mächler, Bolker, &amp; Walker, 2015)","plainTextFormattedCitation":"(Bates, Mächler, Bolker, &amp; Walker, 2015)","previouslyFormattedCitation":"(Bates, Mächler, Bolker, &amp; Walker, 2015)"},"properties":{"noteIndex":0},"schema":"https://github.com/citation-style-language/schema/raw/master/csl-citation.json"}</w:instrText>
      </w:r>
      <w:r w:rsidRPr="00A75594">
        <w:rPr>
          <w:sz w:val="24"/>
          <w:szCs w:val="24"/>
        </w:rPr>
        <w:fldChar w:fldCharType="separate"/>
      </w:r>
      <w:r w:rsidRPr="00A75594">
        <w:rPr>
          <w:noProof/>
          <w:sz w:val="24"/>
          <w:szCs w:val="24"/>
        </w:rPr>
        <w:t>(Bates, Mächler, Bolker, &amp; Walker, 2015)</w:t>
      </w:r>
      <w:r w:rsidRPr="00A75594">
        <w:rPr>
          <w:sz w:val="24"/>
          <w:szCs w:val="24"/>
        </w:rPr>
        <w:fldChar w:fldCharType="end"/>
      </w:r>
      <w:r w:rsidRPr="00A75594">
        <w:rPr>
          <w:sz w:val="24"/>
          <w:szCs w:val="24"/>
        </w:rPr>
        <w:t xml:space="preserve"> in R (R, Core Team, 2017) to examine the effects of anxiety and ADHD symptoms and </w:t>
      </w:r>
      <w:r w:rsidR="00255A73">
        <w:rPr>
          <w:sz w:val="24"/>
          <w:szCs w:val="24"/>
        </w:rPr>
        <w:t>a</w:t>
      </w:r>
      <w:r w:rsidRPr="00A75594">
        <w:rPr>
          <w:sz w:val="24"/>
          <w:szCs w:val="24"/>
        </w:rPr>
        <w:t>ge</w:t>
      </w:r>
      <w:r w:rsidR="00790CC1" w:rsidRPr="00A75594">
        <w:rPr>
          <w:sz w:val="24"/>
          <w:szCs w:val="24"/>
        </w:rPr>
        <w:t xml:space="preserve"> group</w:t>
      </w:r>
      <w:r w:rsidRPr="00A75594">
        <w:rPr>
          <w:sz w:val="24"/>
          <w:szCs w:val="24"/>
        </w:rPr>
        <w:t xml:space="preserve"> (children vs adults) on saccade onset latency in the presence of emotional and non-emotional stimuli. The saccade </w:t>
      </w:r>
      <w:r w:rsidRPr="00A75594">
        <w:rPr>
          <w:sz w:val="24"/>
          <w:szCs w:val="24"/>
        </w:rPr>
        <w:lastRenderedPageBreak/>
        <w:t>onset latency was measured on correct Go trials and it was defined as the time elapsed from the presentation of the Go cue until the first correct saccade landed to the interest area of the target. Saccade latencies below 80ms were excluded from the dataset</w:t>
      </w:r>
      <w:r w:rsidR="00B60AA5">
        <w:rPr>
          <w:sz w:val="24"/>
          <w:szCs w:val="24"/>
        </w:rPr>
        <w:t xml:space="preserve"> (approximately 1% of the data)</w:t>
      </w:r>
      <w:r w:rsidRPr="00A75594">
        <w:rPr>
          <w:sz w:val="24"/>
          <w:szCs w:val="24"/>
        </w:rPr>
        <w:t xml:space="preserve">.  </w:t>
      </w:r>
    </w:p>
    <w:p w14:paraId="41A1C31E" w14:textId="224D602A" w:rsidR="006A29D2" w:rsidRPr="00A75594" w:rsidRDefault="006A29D2" w:rsidP="00956F88">
      <w:pPr>
        <w:autoSpaceDE w:val="0"/>
        <w:autoSpaceDN w:val="0"/>
        <w:adjustRightInd w:val="0"/>
        <w:spacing w:line="480" w:lineRule="auto"/>
        <w:ind w:firstLine="720"/>
        <w:rPr>
          <w:sz w:val="24"/>
          <w:szCs w:val="24"/>
        </w:rPr>
      </w:pPr>
      <w:r w:rsidRPr="00A75594">
        <w:rPr>
          <w:sz w:val="24"/>
          <w:szCs w:val="24"/>
        </w:rPr>
        <w:t>We performed generalised linear mixed effects models (</w:t>
      </w:r>
      <w:proofErr w:type="spellStart"/>
      <w:r w:rsidRPr="00A75594">
        <w:rPr>
          <w:sz w:val="24"/>
          <w:szCs w:val="24"/>
        </w:rPr>
        <w:t>gLMMs</w:t>
      </w:r>
      <w:proofErr w:type="spellEnd"/>
      <w:r w:rsidRPr="00A75594">
        <w:rPr>
          <w:sz w:val="24"/>
          <w:szCs w:val="24"/>
        </w:rPr>
        <w:t xml:space="preserve">) using the </w:t>
      </w:r>
      <w:proofErr w:type="spellStart"/>
      <w:r w:rsidRPr="00A75594">
        <w:rPr>
          <w:sz w:val="24"/>
          <w:szCs w:val="24"/>
        </w:rPr>
        <w:t>glmer</w:t>
      </w:r>
      <w:proofErr w:type="spellEnd"/>
      <w:r w:rsidRPr="00A75594">
        <w:rPr>
          <w:sz w:val="24"/>
          <w:szCs w:val="24"/>
        </w:rPr>
        <w:t xml:space="preserve"> function from the lme4 package in R to examine the effects of anxiety and ADHD symptoms in saccadic accuracy (saccadic error rates; binary variables: 1 = error, 0 = no error) in the presence of emotional and non-emotional stimuli between children and adults. Saccadic accuracy was considered in relation to (1) omission errors, defined as the number of misses (absence of a saccade</w:t>
      </w:r>
      <w:r w:rsidR="00250763">
        <w:rPr>
          <w:sz w:val="24"/>
          <w:szCs w:val="24"/>
        </w:rPr>
        <w:t xml:space="preserve"> when one is required</w:t>
      </w:r>
      <w:r w:rsidRPr="00A75594">
        <w:rPr>
          <w:sz w:val="24"/>
          <w:szCs w:val="24"/>
        </w:rPr>
        <w:t>) in the presence of a Go cue, and (2) commission errors, defined as the number of incorrect saccades executed in the presence of a No-Go cue. Analyses revealed a low number of saccadic omission errors</w:t>
      </w:r>
      <w:r w:rsidR="004C06C8">
        <w:rPr>
          <w:sz w:val="24"/>
          <w:szCs w:val="24"/>
        </w:rPr>
        <w:t xml:space="preserve"> (Table </w:t>
      </w:r>
      <w:r w:rsidR="00BC2E80">
        <w:rPr>
          <w:sz w:val="24"/>
          <w:szCs w:val="24"/>
        </w:rPr>
        <w:t>1</w:t>
      </w:r>
      <w:r w:rsidR="004C06C8">
        <w:rPr>
          <w:sz w:val="24"/>
          <w:szCs w:val="24"/>
        </w:rPr>
        <w:t>),</w:t>
      </w:r>
      <w:r w:rsidRPr="00A75594">
        <w:rPr>
          <w:sz w:val="24"/>
          <w:szCs w:val="24"/>
        </w:rPr>
        <w:t xml:space="preserve"> therefore the results are only reported for </w:t>
      </w:r>
      <w:r w:rsidR="00250763">
        <w:rPr>
          <w:sz w:val="24"/>
          <w:szCs w:val="24"/>
        </w:rPr>
        <w:t xml:space="preserve">saccade latencies </w:t>
      </w:r>
      <w:r w:rsidRPr="00A75594">
        <w:rPr>
          <w:sz w:val="24"/>
          <w:szCs w:val="24"/>
        </w:rPr>
        <w:t>and sac</w:t>
      </w:r>
      <w:r w:rsidR="004C06C8">
        <w:rPr>
          <w:sz w:val="24"/>
          <w:szCs w:val="24"/>
        </w:rPr>
        <w:t>cadic commission errors.</w:t>
      </w:r>
    </w:p>
    <w:p w14:paraId="75C737AD" w14:textId="6002EFFF" w:rsidR="006A29D2" w:rsidRPr="00A75594" w:rsidRDefault="006E6E08" w:rsidP="00956F88">
      <w:pPr>
        <w:pStyle w:val="NormalWeb"/>
        <w:spacing w:before="0" w:line="480" w:lineRule="auto"/>
        <w:ind w:firstLine="567"/>
        <w:textAlignment w:val="baseline"/>
      </w:pPr>
      <w:r>
        <w:t>The</w:t>
      </w:r>
      <w:r w:rsidR="006A29D2" w:rsidRPr="00A75594">
        <w:t xml:space="preserve"> participants’ age group (adults vs. children), the cue condition (happy face, angry face and non-face stimuli), anxiety and ADHD symptoms (continuous variables) </w:t>
      </w:r>
      <w:r>
        <w:t>were</w:t>
      </w:r>
      <w:r w:rsidR="006A29D2" w:rsidRPr="00A75594">
        <w:t xml:space="preserve"> fixed factors across all the analyses.  We considered two- and three-way interactions </w:t>
      </w:r>
      <w:r w:rsidR="000564CE">
        <w:t>among</w:t>
      </w:r>
      <w:r w:rsidR="006A29D2" w:rsidRPr="00A75594">
        <w:t xml:space="preserve"> </w:t>
      </w:r>
      <w:r w:rsidR="000564CE">
        <w:t xml:space="preserve">ADHD symptoms, anxiety symptoms, </w:t>
      </w:r>
      <w:r w:rsidR="006A29D2" w:rsidRPr="00A75594">
        <w:t>cue condition</w:t>
      </w:r>
      <w:r w:rsidR="000564CE">
        <w:t xml:space="preserve"> and age group</w:t>
      </w:r>
      <w:r w:rsidR="006A29D2" w:rsidRPr="00A75594">
        <w:t xml:space="preserve">. </w:t>
      </w:r>
    </w:p>
    <w:p w14:paraId="76AFE99F" w14:textId="43052E35" w:rsidR="006A29D2" w:rsidRPr="00A75594" w:rsidRDefault="006A29D2" w:rsidP="00956F88">
      <w:pPr>
        <w:pStyle w:val="NormalWeb"/>
        <w:spacing w:before="0" w:line="480" w:lineRule="auto"/>
        <w:ind w:firstLine="567"/>
        <w:textAlignment w:val="baseline"/>
      </w:pPr>
      <w:r w:rsidRPr="00A75594">
        <w:t xml:space="preserve">The random effect of the models resolves the non-independence that stems from having multiple responses by the same participant and multiple trials across each experimental block. Therefore, </w:t>
      </w:r>
      <w:r w:rsidR="00250763">
        <w:t>p</w:t>
      </w:r>
      <w:r w:rsidRPr="00A75594">
        <w:t xml:space="preserve">articipant and </w:t>
      </w:r>
      <w:r w:rsidR="00250763">
        <w:t>t</w:t>
      </w:r>
      <w:r w:rsidRPr="00A75594">
        <w:t xml:space="preserve">rial number were used as random factors in a maximal random structure including random intercepts and slopes for the cue condition. The models were trimmed in a top-down method until convergence </w:t>
      </w:r>
      <w:r w:rsidRPr="00A75594">
        <w:fldChar w:fldCharType="begin" w:fldLock="1"/>
      </w:r>
      <w:r w:rsidRPr="00A75594">
        <w:instrText>ADDIN CSL_CITATION {"citationItems":[{"id":"ITEM-1","itemData":{"DOI":"10.1016/j.jml.2012.11.001","ISSN":"0749-596X","PMID":"24403724","abstract":"Linear mixed-effects models (LMEMs) have become increasingly prominent in psycholinguistics and related areas. However, many researchers do not seem to appreciate how random effects structures affect the generalizability of an analysis. Here, we argue that researchers using LMEMs for confirmatory hypothesis testing should minimally adhere to the standards that have been in place for many decades. Through theoretical arguments and Monte Carlo simulation, we show that LMEMs generalize best when they include the maximal random effects structurejustified by the design. The generalization performance of LMEMs includingdata-drivenrandom effects structures strongly depends upon modeling criteria and sample size, yielding reasonable results on moderately-sized samples when conservative criteria are used, but with little or no power advantage over maximal models. Finally, random-intercepts-only LMEMs used on within-subjects and/or within-items data from populations where subjects and/or items vary in their sensitivity to experimental manipulations always generalize worse than separateF1andF2tests, and in many cases, even worse thanF1alone. Maximal LMEMs should be the 'gold standard' for confirmatory hypothesis testing in psycholinguistics and beyond.","author":[{"dropping-particle":"","family":"Barr","given":"Dale J","non-dropping-particle":"","parse-names":false,"suffix":""},{"dropping-particle":"","family":"Levy","given":"Roger","non-dropping-particle":"","parse-names":false,"suffix":""},{"dropping-particle":"","family":"Scheepers","given":"Christoph","non-dropping-particle":"","parse-names":false,"suffix":""},{"dropping-particle":"","family":"Tily","given":"Harry J","non-dropping-particle":"","parse-names":false,"suffix":""}],"container-title":"Journal of memory and language","id":"ITEM-1","issue":"3","issued":{"date-parts":[["2013","4"]]},"publisher":"NIH Public Access","title":"Random effects structure for confirmatory hypothesis testing: Keep it maximal.","type":"article-journal","volume":"68"},"uris":["http://www.mendeley.com/documents/?uuid=1e0beb48-99e7-336a-a7ab-56a5ff6c362d"]}],"mendeley":{"formattedCitation":"(Barr, Levy, Scheepers, &amp; Tily, 2013)","plainTextFormattedCitation":"(Barr, Levy, Scheepers, &amp; Tily, 2013)","previouslyFormattedCitation":"(Barr, Levy, Scheepers, &amp; Tily, 2013)"},"properties":{"noteIndex":0},"schema":"https://github.com/citation-style-language/schema/raw/master/csl-citation.json"}</w:instrText>
      </w:r>
      <w:r w:rsidRPr="00A75594">
        <w:fldChar w:fldCharType="separate"/>
      </w:r>
      <w:r w:rsidRPr="00A75594">
        <w:rPr>
          <w:noProof/>
        </w:rPr>
        <w:t>(Barr, Levy, Scheepers, &amp; Tily, 2013)</w:t>
      </w:r>
      <w:r w:rsidRPr="00A75594">
        <w:fldChar w:fldCharType="end"/>
      </w:r>
      <w:r w:rsidRPr="00A75594">
        <w:t xml:space="preserve">.  In this case, the random structure of the first model was reduced first by removing the correlations, then the interactions between the slopes and then the random effects explaining the least variance until the maximal converging model was identified. The random structure </w:t>
      </w:r>
      <w:r w:rsidRPr="00A75594">
        <w:lastRenderedPageBreak/>
        <w:t>of the final model used for saccade latency</w:t>
      </w:r>
      <w:r w:rsidR="002F2455">
        <w:t xml:space="preserve"> </w:t>
      </w:r>
      <w:r w:rsidR="004E21D3">
        <w:t>and commission errors</w:t>
      </w:r>
      <w:r w:rsidRPr="00A75594">
        <w:t xml:space="preserve"> included different intercepts and slopes for the cue condition for the random effect of participants and trials</w:t>
      </w:r>
      <w:r w:rsidR="004E21D3">
        <w:t>.</w:t>
      </w:r>
      <w:r w:rsidRPr="00A75594">
        <w:t xml:space="preserve"> The saccade latencies were log transformed to ensure normal distribution. The continuous variables were mean centred to reduce collinearity between main effects and interactions. </w:t>
      </w:r>
    </w:p>
    <w:p w14:paraId="55A269AD" w14:textId="77777777" w:rsidR="006A29D2" w:rsidRPr="00A75594" w:rsidRDefault="006A29D2" w:rsidP="008E3C7C">
      <w:pPr>
        <w:pStyle w:val="Heading2"/>
      </w:pPr>
      <w:bookmarkStart w:id="7" w:name="_Toc9501355"/>
      <w:r w:rsidRPr="00A75594">
        <w:t>Results</w:t>
      </w:r>
      <w:bookmarkEnd w:id="7"/>
    </w:p>
    <w:p w14:paraId="05E610F4" w14:textId="25C98733" w:rsidR="003F259E" w:rsidRDefault="001063B5" w:rsidP="003C2A06">
      <w:pPr>
        <w:spacing w:line="480" w:lineRule="auto"/>
        <w:ind w:firstLine="567"/>
        <w:rPr>
          <w:sz w:val="24"/>
          <w:szCs w:val="24"/>
        </w:rPr>
      </w:pPr>
      <w:bookmarkStart w:id="8" w:name="_Toc9501356"/>
      <w:r w:rsidRPr="00CA2713">
        <w:rPr>
          <w:bCs/>
          <w:sz w:val="24"/>
          <w:szCs w:val="24"/>
        </w:rPr>
        <w:t xml:space="preserve">There were significant effects of cue </w:t>
      </w:r>
      <w:r w:rsidRPr="00503BFD">
        <w:rPr>
          <w:bCs/>
          <w:sz w:val="24"/>
          <w:szCs w:val="24"/>
        </w:rPr>
        <w:t xml:space="preserve">condition (Table </w:t>
      </w:r>
      <w:r w:rsidR="00C17E87" w:rsidRPr="00503BFD">
        <w:rPr>
          <w:bCs/>
          <w:sz w:val="24"/>
          <w:szCs w:val="24"/>
        </w:rPr>
        <w:t>2</w:t>
      </w:r>
      <w:r w:rsidRPr="00CA2713">
        <w:rPr>
          <w:bCs/>
          <w:sz w:val="24"/>
          <w:szCs w:val="24"/>
        </w:rPr>
        <w:t xml:space="preserve">).  </w:t>
      </w:r>
      <w:r w:rsidRPr="004A1DAC">
        <w:rPr>
          <w:bCs/>
          <w:sz w:val="24"/>
          <w:szCs w:val="24"/>
        </w:rPr>
        <w:t xml:space="preserve">Non-face cues elicited </w:t>
      </w:r>
      <w:r w:rsidR="006D2F22">
        <w:rPr>
          <w:bCs/>
          <w:sz w:val="24"/>
          <w:szCs w:val="24"/>
        </w:rPr>
        <w:t>faster</w:t>
      </w:r>
      <w:r w:rsidR="006D2F22" w:rsidRPr="00CA2713">
        <w:rPr>
          <w:bCs/>
          <w:sz w:val="24"/>
          <w:szCs w:val="24"/>
        </w:rPr>
        <w:t xml:space="preserve"> </w:t>
      </w:r>
      <w:r w:rsidRPr="004A1DAC">
        <w:rPr>
          <w:bCs/>
          <w:sz w:val="24"/>
          <w:szCs w:val="24"/>
        </w:rPr>
        <w:t xml:space="preserve">saccade latencies and more commission errors, compared to face cues. Angry faces elicited </w:t>
      </w:r>
      <w:r w:rsidR="007E2233">
        <w:rPr>
          <w:bCs/>
          <w:sz w:val="24"/>
          <w:szCs w:val="24"/>
        </w:rPr>
        <w:t>slower</w:t>
      </w:r>
      <w:r w:rsidRPr="00CA2713">
        <w:rPr>
          <w:bCs/>
          <w:sz w:val="24"/>
          <w:szCs w:val="24"/>
        </w:rPr>
        <w:t xml:space="preserve"> </w:t>
      </w:r>
      <w:r w:rsidRPr="004A1DAC">
        <w:rPr>
          <w:bCs/>
          <w:sz w:val="24"/>
          <w:szCs w:val="24"/>
        </w:rPr>
        <w:t xml:space="preserve">saccade latencies (i.e., slower stimulus disengagement) </w:t>
      </w:r>
      <w:r w:rsidR="00FB4978">
        <w:rPr>
          <w:bCs/>
          <w:sz w:val="24"/>
          <w:szCs w:val="24"/>
        </w:rPr>
        <w:t xml:space="preserve">and fewer commission errors (with a marginal effect, </w:t>
      </w:r>
      <w:r w:rsidR="00FB4978" w:rsidRPr="00FB4978">
        <w:rPr>
          <w:bCs/>
          <w:i/>
          <w:sz w:val="24"/>
          <w:szCs w:val="24"/>
        </w:rPr>
        <w:t>p</w:t>
      </w:r>
      <w:r w:rsidR="00FB4978">
        <w:rPr>
          <w:bCs/>
          <w:i/>
          <w:sz w:val="24"/>
          <w:szCs w:val="24"/>
        </w:rPr>
        <w:t xml:space="preserve"> </w:t>
      </w:r>
      <w:r w:rsidR="00FB4978">
        <w:rPr>
          <w:bCs/>
          <w:sz w:val="24"/>
          <w:szCs w:val="24"/>
        </w:rPr>
        <w:t xml:space="preserve">=.08) </w:t>
      </w:r>
      <w:r w:rsidRPr="004A1DAC">
        <w:rPr>
          <w:bCs/>
          <w:sz w:val="24"/>
          <w:szCs w:val="24"/>
        </w:rPr>
        <w:t xml:space="preserve">than happy faces. </w:t>
      </w:r>
      <w:bookmarkEnd w:id="8"/>
      <w:r w:rsidR="006A29D2" w:rsidRPr="00A75594">
        <w:rPr>
          <w:sz w:val="24"/>
          <w:szCs w:val="24"/>
        </w:rPr>
        <w:t xml:space="preserve">There was no main effect of </w:t>
      </w:r>
      <w:r>
        <w:rPr>
          <w:sz w:val="24"/>
          <w:szCs w:val="24"/>
        </w:rPr>
        <w:t>sex</w:t>
      </w:r>
      <w:r w:rsidRPr="00A75594">
        <w:rPr>
          <w:sz w:val="24"/>
          <w:szCs w:val="24"/>
        </w:rPr>
        <w:t xml:space="preserve"> </w:t>
      </w:r>
      <w:r w:rsidR="006A29D2" w:rsidRPr="00A75594">
        <w:rPr>
          <w:sz w:val="24"/>
          <w:szCs w:val="24"/>
        </w:rPr>
        <w:t>(</w:t>
      </w:r>
      <w:r w:rsidR="007E2233" w:rsidRPr="00C070BF">
        <w:rPr>
          <w:i/>
          <w:sz w:val="24"/>
          <w:szCs w:val="24"/>
        </w:rPr>
        <w:t>p’s</w:t>
      </w:r>
      <w:r w:rsidR="007E2233">
        <w:rPr>
          <w:i/>
          <w:sz w:val="24"/>
          <w:szCs w:val="24"/>
        </w:rPr>
        <w:t xml:space="preserve"> </w:t>
      </w:r>
      <w:r>
        <w:rPr>
          <w:sz w:val="24"/>
          <w:szCs w:val="24"/>
        </w:rPr>
        <w:t xml:space="preserve">&gt; .10). </w:t>
      </w:r>
      <w:r w:rsidR="006A29D2" w:rsidRPr="00A75594">
        <w:rPr>
          <w:sz w:val="24"/>
          <w:szCs w:val="24"/>
        </w:rPr>
        <w:t xml:space="preserve">There </w:t>
      </w:r>
      <w:r w:rsidR="00BC2E80">
        <w:rPr>
          <w:sz w:val="24"/>
          <w:szCs w:val="24"/>
        </w:rPr>
        <w:t>was a</w:t>
      </w:r>
      <w:r w:rsidR="00201075" w:rsidRPr="00A75594">
        <w:rPr>
          <w:sz w:val="24"/>
          <w:szCs w:val="24"/>
        </w:rPr>
        <w:t xml:space="preserve"> significant effect of age</w:t>
      </w:r>
      <w:r w:rsidR="007E2233">
        <w:rPr>
          <w:sz w:val="24"/>
          <w:szCs w:val="24"/>
        </w:rPr>
        <w:t xml:space="preserve"> (adults vs children/adolescents), with a</w:t>
      </w:r>
      <w:r w:rsidR="006A29D2" w:rsidRPr="00A75594">
        <w:rPr>
          <w:sz w:val="24"/>
          <w:szCs w:val="24"/>
        </w:rPr>
        <w:t xml:space="preserve">dults </w:t>
      </w:r>
      <w:r w:rsidR="007E2233">
        <w:rPr>
          <w:sz w:val="24"/>
          <w:szCs w:val="24"/>
        </w:rPr>
        <w:t>having</w:t>
      </w:r>
      <w:r w:rsidR="006A29D2" w:rsidRPr="00A75594">
        <w:rPr>
          <w:sz w:val="24"/>
          <w:szCs w:val="24"/>
        </w:rPr>
        <w:t xml:space="preserve"> </w:t>
      </w:r>
      <w:r w:rsidR="007E2233">
        <w:rPr>
          <w:sz w:val="24"/>
          <w:szCs w:val="24"/>
        </w:rPr>
        <w:t>faster</w:t>
      </w:r>
      <w:r w:rsidRPr="00A75594">
        <w:rPr>
          <w:sz w:val="24"/>
          <w:szCs w:val="24"/>
        </w:rPr>
        <w:t xml:space="preserve"> </w:t>
      </w:r>
      <w:r w:rsidR="006A29D2" w:rsidRPr="00A75594">
        <w:rPr>
          <w:sz w:val="24"/>
          <w:szCs w:val="24"/>
        </w:rPr>
        <w:t>saccade latencies and fewer saccadic commission</w:t>
      </w:r>
      <w:r w:rsidR="00201075" w:rsidRPr="00A75594">
        <w:rPr>
          <w:sz w:val="24"/>
          <w:szCs w:val="24"/>
        </w:rPr>
        <w:t xml:space="preserve"> errors </w:t>
      </w:r>
      <w:r w:rsidR="00F81FCE">
        <w:rPr>
          <w:sz w:val="24"/>
          <w:szCs w:val="24"/>
        </w:rPr>
        <w:t>compared to</w:t>
      </w:r>
      <w:r w:rsidR="00201075" w:rsidRPr="00A75594">
        <w:rPr>
          <w:sz w:val="24"/>
          <w:szCs w:val="24"/>
        </w:rPr>
        <w:t xml:space="preserve"> children (Tables 1 and </w:t>
      </w:r>
      <w:r w:rsidR="00C17E87">
        <w:rPr>
          <w:sz w:val="24"/>
          <w:szCs w:val="24"/>
        </w:rPr>
        <w:t>2</w:t>
      </w:r>
      <w:r w:rsidR="006A29D2" w:rsidRPr="00A75594">
        <w:rPr>
          <w:sz w:val="24"/>
          <w:szCs w:val="24"/>
        </w:rPr>
        <w:t xml:space="preserve">). </w:t>
      </w:r>
    </w:p>
    <w:p w14:paraId="3730CE02" w14:textId="064A3A05" w:rsidR="006A29D2" w:rsidRPr="00956F88" w:rsidRDefault="0085508A" w:rsidP="00956F88">
      <w:pPr>
        <w:pStyle w:val="Heading3"/>
        <w:tabs>
          <w:tab w:val="clear" w:pos="1021"/>
          <w:tab w:val="num" w:pos="1985"/>
        </w:tabs>
        <w:spacing w:line="480" w:lineRule="auto"/>
        <w:ind w:left="567" w:hanging="567"/>
        <w:rPr>
          <w:rFonts w:ascii="Times New Roman" w:hAnsi="Times New Roman" w:cs="Times New Roman"/>
        </w:rPr>
      </w:pPr>
      <w:bookmarkStart w:id="9" w:name="_Toc9501358"/>
      <w:r>
        <w:rPr>
          <w:rFonts w:ascii="Times New Roman" w:hAnsi="Times New Roman" w:cs="Times New Roman"/>
        </w:rPr>
        <w:t>E</w:t>
      </w:r>
      <w:r w:rsidR="006A29D2" w:rsidRPr="00956F88">
        <w:rPr>
          <w:rFonts w:ascii="Times New Roman" w:hAnsi="Times New Roman" w:cs="Times New Roman"/>
        </w:rPr>
        <w:t>ffects of ADHD Symptoms</w:t>
      </w:r>
      <w:bookmarkEnd w:id="9"/>
      <w:r w:rsidR="006A29D2" w:rsidRPr="00956F88">
        <w:rPr>
          <w:rFonts w:ascii="Times New Roman" w:hAnsi="Times New Roman" w:cs="Times New Roman"/>
        </w:rPr>
        <w:t xml:space="preserve">  </w:t>
      </w:r>
    </w:p>
    <w:p w14:paraId="17FA3A9A" w14:textId="61D775FA" w:rsidR="006A29D2" w:rsidRPr="00291B89" w:rsidRDefault="006A29D2" w:rsidP="00291B89">
      <w:pPr>
        <w:spacing w:line="480" w:lineRule="auto"/>
        <w:ind w:firstLine="720"/>
        <w:rPr>
          <w:sz w:val="24"/>
          <w:szCs w:val="24"/>
        </w:rPr>
      </w:pPr>
      <w:r w:rsidRPr="00A75594">
        <w:rPr>
          <w:bCs/>
          <w:sz w:val="24"/>
          <w:szCs w:val="24"/>
        </w:rPr>
        <w:t>There was no main effect of ADHD symptoms on either outcome (saccade latency and commission errors</w:t>
      </w:r>
      <w:r w:rsidR="00495DE3">
        <w:rPr>
          <w:bCs/>
          <w:sz w:val="24"/>
          <w:szCs w:val="24"/>
        </w:rPr>
        <w:t>)</w:t>
      </w:r>
      <w:r w:rsidRPr="00A75594">
        <w:rPr>
          <w:bCs/>
          <w:sz w:val="24"/>
          <w:szCs w:val="24"/>
        </w:rPr>
        <w:t xml:space="preserve">.  </w:t>
      </w:r>
      <w:r w:rsidR="00CD5E88">
        <w:rPr>
          <w:bCs/>
          <w:sz w:val="24"/>
          <w:szCs w:val="24"/>
        </w:rPr>
        <w:t>There was no significant two-way interaction between ADHD and age. T</w:t>
      </w:r>
      <w:r w:rsidRPr="00A75594">
        <w:rPr>
          <w:bCs/>
          <w:sz w:val="24"/>
          <w:szCs w:val="24"/>
        </w:rPr>
        <w:t xml:space="preserve">here </w:t>
      </w:r>
      <w:r w:rsidR="00C55538">
        <w:rPr>
          <w:bCs/>
          <w:sz w:val="24"/>
          <w:szCs w:val="24"/>
        </w:rPr>
        <w:t>was a</w:t>
      </w:r>
      <w:r w:rsidRPr="00A75594">
        <w:rPr>
          <w:bCs/>
          <w:sz w:val="24"/>
          <w:szCs w:val="24"/>
        </w:rPr>
        <w:t xml:space="preserve"> </w:t>
      </w:r>
      <w:r w:rsidR="00495DE3">
        <w:rPr>
          <w:bCs/>
          <w:sz w:val="24"/>
          <w:szCs w:val="24"/>
        </w:rPr>
        <w:t xml:space="preserve">significant </w:t>
      </w:r>
      <w:r w:rsidRPr="00A75594">
        <w:rPr>
          <w:bCs/>
          <w:sz w:val="24"/>
          <w:szCs w:val="24"/>
        </w:rPr>
        <w:t xml:space="preserve">interaction between ADHD and </w:t>
      </w:r>
      <w:r w:rsidR="00137865">
        <w:rPr>
          <w:bCs/>
          <w:sz w:val="24"/>
          <w:szCs w:val="24"/>
        </w:rPr>
        <w:t xml:space="preserve">cue </w:t>
      </w:r>
      <w:r w:rsidRPr="00A75594">
        <w:rPr>
          <w:bCs/>
          <w:sz w:val="24"/>
          <w:szCs w:val="24"/>
        </w:rPr>
        <w:t>condition</w:t>
      </w:r>
      <w:r w:rsidR="00495DE3">
        <w:rPr>
          <w:bCs/>
          <w:sz w:val="24"/>
          <w:szCs w:val="24"/>
        </w:rPr>
        <w:t xml:space="preserve"> (Table 2)</w:t>
      </w:r>
      <w:r w:rsidRPr="00A75594">
        <w:rPr>
          <w:bCs/>
          <w:sz w:val="24"/>
          <w:szCs w:val="24"/>
        </w:rPr>
        <w:t xml:space="preserve">, suggesting </w:t>
      </w:r>
      <w:r w:rsidR="00CD5E88">
        <w:rPr>
          <w:bCs/>
          <w:sz w:val="24"/>
          <w:szCs w:val="24"/>
        </w:rPr>
        <w:t xml:space="preserve">that </w:t>
      </w:r>
      <w:r w:rsidRPr="00A75594">
        <w:rPr>
          <w:bCs/>
          <w:sz w:val="24"/>
          <w:szCs w:val="24"/>
        </w:rPr>
        <w:t xml:space="preserve">ADHD </w:t>
      </w:r>
      <w:r w:rsidR="00CD5E88">
        <w:rPr>
          <w:bCs/>
          <w:sz w:val="24"/>
          <w:szCs w:val="24"/>
        </w:rPr>
        <w:t xml:space="preserve">target </w:t>
      </w:r>
      <w:r w:rsidRPr="00A75594">
        <w:rPr>
          <w:bCs/>
          <w:sz w:val="24"/>
          <w:szCs w:val="24"/>
        </w:rPr>
        <w:t xml:space="preserve">processing was disrupted in the context of angry </w:t>
      </w:r>
      <w:r w:rsidR="00495DE3">
        <w:rPr>
          <w:bCs/>
          <w:sz w:val="24"/>
          <w:szCs w:val="24"/>
        </w:rPr>
        <w:t xml:space="preserve">(vs happy) </w:t>
      </w:r>
      <w:r w:rsidRPr="00A75594">
        <w:rPr>
          <w:bCs/>
          <w:sz w:val="24"/>
          <w:szCs w:val="24"/>
        </w:rPr>
        <w:t>face</w:t>
      </w:r>
      <w:r w:rsidR="00C27563">
        <w:rPr>
          <w:bCs/>
          <w:sz w:val="24"/>
          <w:szCs w:val="24"/>
        </w:rPr>
        <w:t>s. Individuals with elevated levels of</w:t>
      </w:r>
      <w:r w:rsidRPr="00A75594">
        <w:rPr>
          <w:bCs/>
          <w:sz w:val="24"/>
          <w:szCs w:val="24"/>
        </w:rPr>
        <w:t xml:space="preserve"> </w:t>
      </w:r>
      <w:r w:rsidRPr="00A75594">
        <w:rPr>
          <w:sz w:val="24"/>
          <w:szCs w:val="24"/>
        </w:rPr>
        <w:t xml:space="preserve">ADHD symptoms </w:t>
      </w:r>
      <w:r w:rsidR="00C27563">
        <w:rPr>
          <w:sz w:val="24"/>
          <w:szCs w:val="24"/>
        </w:rPr>
        <w:t>made more</w:t>
      </w:r>
      <w:r w:rsidRPr="00A75594">
        <w:rPr>
          <w:sz w:val="24"/>
          <w:szCs w:val="24"/>
        </w:rPr>
        <w:t xml:space="preserve"> saccadic commission errors for angry relative to happy </w:t>
      </w:r>
      <w:r w:rsidR="00404EC6">
        <w:rPr>
          <w:sz w:val="24"/>
          <w:szCs w:val="24"/>
        </w:rPr>
        <w:t xml:space="preserve">faces </w:t>
      </w:r>
      <w:r w:rsidR="00D049FF">
        <w:rPr>
          <w:sz w:val="24"/>
          <w:szCs w:val="24"/>
        </w:rPr>
        <w:t>(No</w:t>
      </w:r>
      <w:r w:rsidR="00365512">
        <w:rPr>
          <w:sz w:val="24"/>
          <w:szCs w:val="24"/>
        </w:rPr>
        <w:t>-</w:t>
      </w:r>
      <w:r w:rsidR="00D049FF">
        <w:rPr>
          <w:sz w:val="24"/>
          <w:szCs w:val="24"/>
        </w:rPr>
        <w:t>Go trials)</w:t>
      </w:r>
      <w:r w:rsidR="00D049FF" w:rsidRPr="00A75594" w:rsidDel="00D049FF">
        <w:rPr>
          <w:sz w:val="24"/>
          <w:szCs w:val="24"/>
        </w:rPr>
        <w:t xml:space="preserve"> </w:t>
      </w:r>
      <w:r w:rsidRPr="00A75594">
        <w:rPr>
          <w:sz w:val="24"/>
          <w:szCs w:val="24"/>
        </w:rPr>
        <w:t>(</w:t>
      </w:r>
      <w:r w:rsidRPr="00A75594">
        <w:rPr>
          <w:i/>
          <w:sz w:val="24"/>
          <w:szCs w:val="24"/>
        </w:rPr>
        <w:t>β</w:t>
      </w:r>
      <w:r w:rsidRPr="00A75594">
        <w:rPr>
          <w:sz w:val="24"/>
          <w:szCs w:val="24"/>
        </w:rPr>
        <w:t xml:space="preserve"> = </w:t>
      </w:r>
      <w:r w:rsidR="00B66793">
        <w:rPr>
          <w:sz w:val="24"/>
          <w:szCs w:val="24"/>
        </w:rPr>
        <w:t>.26</w:t>
      </w:r>
      <w:r w:rsidRPr="00A75594">
        <w:rPr>
          <w:sz w:val="24"/>
          <w:szCs w:val="24"/>
        </w:rPr>
        <w:t xml:space="preserve">, SE = .11, </w:t>
      </w:r>
      <w:r w:rsidRPr="00A75594">
        <w:rPr>
          <w:i/>
          <w:sz w:val="24"/>
          <w:szCs w:val="24"/>
        </w:rPr>
        <w:t>z</w:t>
      </w:r>
      <w:r w:rsidR="00B66793">
        <w:rPr>
          <w:sz w:val="24"/>
          <w:szCs w:val="24"/>
        </w:rPr>
        <w:t xml:space="preserve"> = -2.48</w:t>
      </w:r>
      <w:r w:rsidRPr="00A75594">
        <w:rPr>
          <w:sz w:val="24"/>
          <w:szCs w:val="24"/>
        </w:rPr>
        <w:t xml:space="preserve">, </w:t>
      </w:r>
      <w:r w:rsidRPr="00137865">
        <w:rPr>
          <w:i/>
          <w:sz w:val="24"/>
          <w:szCs w:val="24"/>
        </w:rPr>
        <w:t>p</w:t>
      </w:r>
      <w:r w:rsidRPr="00137865">
        <w:rPr>
          <w:sz w:val="24"/>
          <w:szCs w:val="24"/>
        </w:rPr>
        <w:t xml:space="preserve"> &lt; .05)</w:t>
      </w:r>
      <w:r w:rsidR="00137865" w:rsidRPr="00137865">
        <w:rPr>
          <w:sz w:val="24"/>
          <w:szCs w:val="24"/>
        </w:rPr>
        <w:t>;</w:t>
      </w:r>
      <w:r w:rsidRPr="00137865">
        <w:rPr>
          <w:sz w:val="24"/>
          <w:szCs w:val="24"/>
        </w:rPr>
        <w:t xml:space="preserve"> </w:t>
      </w:r>
      <w:r w:rsidRPr="00137865">
        <w:rPr>
          <w:i/>
          <w:sz w:val="24"/>
          <w:szCs w:val="24"/>
        </w:rPr>
        <w:t xml:space="preserve">Figure </w:t>
      </w:r>
      <w:r w:rsidR="00BA05DA" w:rsidRPr="00137865">
        <w:rPr>
          <w:i/>
          <w:sz w:val="24"/>
          <w:szCs w:val="24"/>
        </w:rPr>
        <w:t>2</w:t>
      </w:r>
      <w:r w:rsidRPr="00137865">
        <w:rPr>
          <w:sz w:val="24"/>
          <w:szCs w:val="24"/>
        </w:rPr>
        <w:t>)</w:t>
      </w:r>
      <w:r w:rsidR="00C27563">
        <w:rPr>
          <w:sz w:val="24"/>
          <w:szCs w:val="24"/>
        </w:rPr>
        <w:t>.</w:t>
      </w:r>
      <w:r w:rsidRPr="00137865">
        <w:rPr>
          <w:sz w:val="24"/>
          <w:szCs w:val="24"/>
        </w:rPr>
        <w:t xml:space="preserve"> </w:t>
      </w:r>
      <w:r w:rsidR="004B36BF">
        <w:rPr>
          <w:sz w:val="24"/>
          <w:szCs w:val="24"/>
        </w:rPr>
        <w:t>Individuals with elevated ADHD symptoms also showed</w:t>
      </w:r>
      <w:r w:rsidR="00C27563">
        <w:rPr>
          <w:sz w:val="24"/>
          <w:szCs w:val="24"/>
        </w:rPr>
        <w:t xml:space="preserve"> </w:t>
      </w:r>
      <w:r w:rsidR="00404EC6">
        <w:rPr>
          <w:sz w:val="24"/>
          <w:szCs w:val="24"/>
        </w:rPr>
        <w:t>slower</w:t>
      </w:r>
      <w:r w:rsidR="00C27563">
        <w:rPr>
          <w:sz w:val="24"/>
          <w:szCs w:val="24"/>
        </w:rPr>
        <w:t xml:space="preserve"> latencies </w:t>
      </w:r>
      <w:r w:rsidRPr="00137865">
        <w:rPr>
          <w:sz w:val="24"/>
          <w:szCs w:val="24"/>
        </w:rPr>
        <w:t>for angry (vs. happy) faces</w:t>
      </w:r>
      <w:r w:rsidR="00C27563">
        <w:rPr>
          <w:sz w:val="24"/>
          <w:szCs w:val="24"/>
        </w:rPr>
        <w:t xml:space="preserve"> </w:t>
      </w:r>
      <w:r w:rsidR="00404EC6">
        <w:rPr>
          <w:sz w:val="24"/>
          <w:szCs w:val="24"/>
        </w:rPr>
        <w:t>on Go trials</w:t>
      </w:r>
      <w:r w:rsidR="00C27563">
        <w:rPr>
          <w:sz w:val="24"/>
          <w:szCs w:val="24"/>
        </w:rPr>
        <w:t>– with the effect approaching significance</w:t>
      </w:r>
      <w:r w:rsidRPr="00137865">
        <w:rPr>
          <w:sz w:val="24"/>
          <w:szCs w:val="24"/>
        </w:rPr>
        <w:t xml:space="preserve"> (</w:t>
      </w:r>
      <w:r w:rsidRPr="00137865">
        <w:rPr>
          <w:i/>
          <w:sz w:val="24"/>
          <w:szCs w:val="24"/>
        </w:rPr>
        <w:t>β</w:t>
      </w:r>
      <w:r w:rsidR="00B66793">
        <w:rPr>
          <w:sz w:val="24"/>
          <w:szCs w:val="24"/>
        </w:rPr>
        <w:t xml:space="preserve"> = </w:t>
      </w:r>
      <w:r w:rsidRPr="00137865">
        <w:rPr>
          <w:sz w:val="24"/>
          <w:szCs w:val="24"/>
        </w:rPr>
        <w:t xml:space="preserve">.02, </w:t>
      </w:r>
      <w:r w:rsidRPr="00B63589">
        <w:rPr>
          <w:sz w:val="24"/>
          <w:szCs w:val="24"/>
        </w:rPr>
        <w:t xml:space="preserve">SE = .01, </w:t>
      </w:r>
      <w:r w:rsidRPr="00B63589">
        <w:rPr>
          <w:i/>
          <w:sz w:val="24"/>
          <w:szCs w:val="24"/>
        </w:rPr>
        <w:t>t</w:t>
      </w:r>
      <w:r w:rsidR="00B66793">
        <w:rPr>
          <w:sz w:val="24"/>
          <w:szCs w:val="24"/>
        </w:rPr>
        <w:t xml:space="preserve"> = </w:t>
      </w:r>
      <w:r w:rsidRPr="00B63589">
        <w:rPr>
          <w:sz w:val="24"/>
          <w:szCs w:val="24"/>
        </w:rPr>
        <w:t>1.8</w:t>
      </w:r>
      <w:r w:rsidR="00B66793">
        <w:rPr>
          <w:sz w:val="24"/>
          <w:szCs w:val="24"/>
        </w:rPr>
        <w:t>3</w:t>
      </w:r>
      <w:r w:rsidRPr="00B63589">
        <w:rPr>
          <w:sz w:val="24"/>
          <w:szCs w:val="24"/>
        </w:rPr>
        <w:t xml:space="preserve">, </w:t>
      </w:r>
      <w:r w:rsidRPr="00B63589">
        <w:rPr>
          <w:i/>
          <w:sz w:val="24"/>
          <w:szCs w:val="24"/>
        </w:rPr>
        <w:t>p</w:t>
      </w:r>
      <w:r w:rsidRPr="00B63589">
        <w:rPr>
          <w:sz w:val="24"/>
          <w:szCs w:val="24"/>
        </w:rPr>
        <w:t xml:space="preserve"> = .07)</w:t>
      </w:r>
      <w:r w:rsidR="00137865" w:rsidRPr="00B63589">
        <w:rPr>
          <w:sz w:val="24"/>
          <w:szCs w:val="24"/>
        </w:rPr>
        <w:t xml:space="preserve">; </w:t>
      </w:r>
      <w:r w:rsidR="00137865" w:rsidRPr="00B63589">
        <w:rPr>
          <w:i/>
          <w:sz w:val="24"/>
          <w:szCs w:val="24"/>
        </w:rPr>
        <w:t>Figure 3</w:t>
      </w:r>
      <w:r w:rsidR="00137865" w:rsidRPr="00D049FF">
        <w:rPr>
          <w:sz w:val="24"/>
          <w:szCs w:val="24"/>
        </w:rPr>
        <w:t>)</w:t>
      </w:r>
      <w:r w:rsidRPr="00D049FF">
        <w:rPr>
          <w:sz w:val="24"/>
          <w:szCs w:val="24"/>
        </w:rPr>
        <w:t xml:space="preserve">. </w:t>
      </w:r>
      <w:r w:rsidR="002B1184">
        <w:rPr>
          <w:sz w:val="24"/>
          <w:szCs w:val="24"/>
        </w:rPr>
        <w:t xml:space="preserve">Contrast comparisons </w:t>
      </w:r>
      <w:r w:rsidR="000649BB">
        <w:rPr>
          <w:sz w:val="24"/>
          <w:szCs w:val="24"/>
        </w:rPr>
        <w:t xml:space="preserve">showed no significant interactions </w:t>
      </w:r>
      <w:r w:rsidR="002B1184">
        <w:rPr>
          <w:sz w:val="24"/>
          <w:szCs w:val="24"/>
        </w:rPr>
        <w:t xml:space="preserve">between ADHD symptoms and </w:t>
      </w:r>
      <w:r w:rsidR="00CD5E88">
        <w:rPr>
          <w:sz w:val="24"/>
          <w:szCs w:val="24"/>
        </w:rPr>
        <w:t xml:space="preserve">either </w:t>
      </w:r>
      <w:r w:rsidR="002B1184">
        <w:rPr>
          <w:sz w:val="24"/>
          <w:szCs w:val="24"/>
        </w:rPr>
        <w:t xml:space="preserve">happy/non-face and angry/non-face stimuli </w:t>
      </w:r>
      <w:r w:rsidR="000649BB">
        <w:rPr>
          <w:sz w:val="24"/>
          <w:szCs w:val="24"/>
        </w:rPr>
        <w:t xml:space="preserve">on saccade </w:t>
      </w:r>
      <w:r w:rsidR="000649BB">
        <w:rPr>
          <w:sz w:val="24"/>
          <w:szCs w:val="24"/>
        </w:rPr>
        <w:lastRenderedPageBreak/>
        <w:t xml:space="preserve">latency and commission errors (Table </w:t>
      </w:r>
      <w:r w:rsidR="00C17E87">
        <w:rPr>
          <w:sz w:val="24"/>
          <w:szCs w:val="24"/>
        </w:rPr>
        <w:t>2</w:t>
      </w:r>
      <w:r w:rsidR="000649BB">
        <w:rPr>
          <w:sz w:val="24"/>
          <w:szCs w:val="24"/>
        </w:rPr>
        <w:t xml:space="preserve">). </w:t>
      </w:r>
      <w:r w:rsidR="00CD5E88">
        <w:rPr>
          <w:sz w:val="24"/>
          <w:szCs w:val="24"/>
        </w:rPr>
        <w:t xml:space="preserve">There </w:t>
      </w:r>
      <w:r w:rsidR="000761B6">
        <w:rPr>
          <w:sz w:val="24"/>
          <w:szCs w:val="24"/>
        </w:rPr>
        <w:t xml:space="preserve">was no significant three-way interaction between ADHD symptoms, age group and cue condition. </w:t>
      </w:r>
      <w:r w:rsidR="00CD5E88">
        <w:rPr>
          <w:sz w:val="24"/>
          <w:szCs w:val="24"/>
        </w:rPr>
        <w:t xml:space="preserve"> </w:t>
      </w:r>
    </w:p>
    <w:p w14:paraId="1DC39749" w14:textId="77777777" w:rsidR="006A29D2" w:rsidRPr="00A75594" w:rsidRDefault="006A29D2" w:rsidP="00956F88">
      <w:pPr>
        <w:pStyle w:val="Heading3"/>
        <w:tabs>
          <w:tab w:val="clear" w:pos="1021"/>
          <w:tab w:val="num" w:pos="1985"/>
        </w:tabs>
        <w:spacing w:line="480" w:lineRule="auto"/>
        <w:ind w:left="567" w:hanging="567"/>
        <w:rPr>
          <w:rFonts w:ascii="Times New Roman" w:hAnsi="Times New Roman" w:cs="Times New Roman"/>
          <w:sz w:val="24"/>
          <w:szCs w:val="24"/>
        </w:rPr>
      </w:pPr>
      <w:bookmarkStart w:id="10" w:name="_Toc9501359"/>
      <w:r w:rsidRPr="00A75594">
        <w:rPr>
          <w:rFonts w:ascii="Times New Roman" w:hAnsi="Times New Roman" w:cs="Times New Roman"/>
          <w:sz w:val="24"/>
          <w:szCs w:val="24"/>
        </w:rPr>
        <w:t>Effects of Anxiety Symptoms</w:t>
      </w:r>
      <w:bookmarkEnd w:id="10"/>
      <w:r w:rsidRPr="00A75594">
        <w:rPr>
          <w:rFonts w:ascii="Times New Roman" w:hAnsi="Times New Roman" w:cs="Times New Roman"/>
          <w:sz w:val="24"/>
          <w:szCs w:val="24"/>
        </w:rPr>
        <w:t xml:space="preserve"> </w:t>
      </w:r>
    </w:p>
    <w:p w14:paraId="625B5611" w14:textId="3FD70BA2" w:rsidR="0041657E" w:rsidRPr="00291B89" w:rsidRDefault="006A29D2" w:rsidP="00291B89">
      <w:pPr>
        <w:spacing w:line="480" w:lineRule="auto"/>
        <w:ind w:firstLine="720"/>
        <w:rPr>
          <w:sz w:val="24"/>
          <w:szCs w:val="24"/>
        </w:rPr>
      </w:pPr>
      <w:r w:rsidRPr="00A75594">
        <w:rPr>
          <w:bCs/>
          <w:sz w:val="24"/>
          <w:szCs w:val="24"/>
        </w:rPr>
        <w:t xml:space="preserve">There was no significant main effect of anxiety on </w:t>
      </w:r>
      <w:r w:rsidR="00A3446E">
        <w:rPr>
          <w:bCs/>
          <w:sz w:val="24"/>
          <w:szCs w:val="24"/>
        </w:rPr>
        <w:t>any index of task performance</w:t>
      </w:r>
      <w:r w:rsidRPr="00A75594">
        <w:rPr>
          <w:bCs/>
          <w:sz w:val="24"/>
          <w:szCs w:val="24"/>
        </w:rPr>
        <w:t xml:space="preserve">. There </w:t>
      </w:r>
      <w:r w:rsidR="00A23E49">
        <w:rPr>
          <w:bCs/>
          <w:sz w:val="24"/>
          <w:szCs w:val="24"/>
        </w:rPr>
        <w:t>was</w:t>
      </w:r>
      <w:r w:rsidRPr="00A75594">
        <w:rPr>
          <w:bCs/>
          <w:sz w:val="24"/>
          <w:szCs w:val="24"/>
        </w:rPr>
        <w:t xml:space="preserve"> </w:t>
      </w:r>
      <w:r w:rsidR="00A23E49">
        <w:rPr>
          <w:bCs/>
          <w:sz w:val="24"/>
          <w:szCs w:val="24"/>
        </w:rPr>
        <w:t>a significant interaction</w:t>
      </w:r>
      <w:r w:rsidRPr="00A75594">
        <w:rPr>
          <w:bCs/>
          <w:sz w:val="24"/>
          <w:szCs w:val="24"/>
        </w:rPr>
        <w:t xml:space="preserve"> between anxiety symptoms and cue condition with regard to saccade latency, suggesting that attentional processing was affected by the presence of </w:t>
      </w:r>
      <w:r w:rsidR="00E766E7">
        <w:rPr>
          <w:bCs/>
          <w:sz w:val="24"/>
          <w:szCs w:val="24"/>
        </w:rPr>
        <w:t>angry faces</w:t>
      </w:r>
      <w:r w:rsidRPr="00A75594">
        <w:rPr>
          <w:bCs/>
          <w:sz w:val="24"/>
          <w:szCs w:val="24"/>
        </w:rPr>
        <w:t xml:space="preserve">. </w:t>
      </w:r>
      <w:r w:rsidR="0054796E" w:rsidRPr="00C7655F">
        <w:rPr>
          <w:bCs/>
          <w:sz w:val="24"/>
          <w:szCs w:val="24"/>
        </w:rPr>
        <w:t>Elevated anxiety levels</w:t>
      </w:r>
      <w:r w:rsidR="00362B09" w:rsidRPr="00C7655F">
        <w:rPr>
          <w:bCs/>
          <w:sz w:val="24"/>
          <w:szCs w:val="24"/>
        </w:rPr>
        <w:t xml:space="preserve"> </w:t>
      </w:r>
      <w:r w:rsidR="0054796E" w:rsidRPr="00C7655F">
        <w:rPr>
          <w:bCs/>
          <w:sz w:val="24"/>
          <w:szCs w:val="24"/>
        </w:rPr>
        <w:t xml:space="preserve">were associated with </w:t>
      </w:r>
      <w:r w:rsidR="00C7655F" w:rsidRPr="00C7655F">
        <w:rPr>
          <w:bCs/>
          <w:sz w:val="24"/>
          <w:szCs w:val="24"/>
        </w:rPr>
        <w:t>faster</w:t>
      </w:r>
      <w:r w:rsidR="0054796E" w:rsidRPr="00C7655F">
        <w:rPr>
          <w:bCs/>
          <w:sz w:val="24"/>
          <w:szCs w:val="24"/>
        </w:rPr>
        <w:t xml:space="preserve"> saccade latencies </w:t>
      </w:r>
      <w:r w:rsidR="00362B09" w:rsidRPr="00C7655F">
        <w:rPr>
          <w:bCs/>
          <w:sz w:val="24"/>
          <w:szCs w:val="24"/>
        </w:rPr>
        <w:t xml:space="preserve">for angry </w:t>
      </w:r>
      <w:r w:rsidR="00531FCE">
        <w:rPr>
          <w:bCs/>
          <w:sz w:val="24"/>
          <w:szCs w:val="24"/>
        </w:rPr>
        <w:t xml:space="preserve">face cues </w:t>
      </w:r>
      <w:r w:rsidRPr="00C7655F">
        <w:rPr>
          <w:bCs/>
          <w:sz w:val="24"/>
          <w:szCs w:val="24"/>
        </w:rPr>
        <w:t>compared to happy face</w:t>
      </w:r>
      <w:r w:rsidR="00531FCE">
        <w:rPr>
          <w:bCs/>
          <w:sz w:val="24"/>
          <w:szCs w:val="24"/>
        </w:rPr>
        <w:t xml:space="preserve"> cues</w:t>
      </w:r>
      <w:r w:rsidRPr="00C7655F">
        <w:rPr>
          <w:bCs/>
          <w:sz w:val="24"/>
          <w:szCs w:val="24"/>
        </w:rPr>
        <w:t xml:space="preserve"> (</w:t>
      </w:r>
      <w:r w:rsidRPr="00C7655F">
        <w:rPr>
          <w:bCs/>
          <w:i/>
          <w:sz w:val="24"/>
          <w:szCs w:val="24"/>
        </w:rPr>
        <w:t>β</w:t>
      </w:r>
      <w:r w:rsidRPr="00C7655F">
        <w:rPr>
          <w:bCs/>
          <w:sz w:val="24"/>
          <w:szCs w:val="24"/>
        </w:rPr>
        <w:t xml:space="preserve"> = </w:t>
      </w:r>
      <w:r w:rsidR="00B66793" w:rsidRPr="00C7655F">
        <w:rPr>
          <w:bCs/>
          <w:sz w:val="24"/>
          <w:szCs w:val="24"/>
        </w:rPr>
        <w:t>-.03</w:t>
      </w:r>
      <w:r w:rsidRPr="00C7655F">
        <w:rPr>
          <w:bCs/>
          <w:sz w:val="24"/>
          <w:szCs w:val="24"/>
        </w:rPr>
        <w:t xml:space="preserve">, SE = .01, </w:t>
      </w:r>
      <w:r w:rsidRPr="00C7655F">
        <w:rPr>
          <w:bCs/>
          <w:i/>
          <w:sz w:val="24"/>
          <w:szCs w:val="24"/>
        </w:rPr>
        <w:t>t</w:t>
      </w:r>
      <w:r w:rsidR="00B66793" w:rsidRPr="00C7655F">
        <w:rPr>
          <w:bCs/>
          <w:sz w:val="24"/>
          <w:szCs w:val="24"/>
        </w:rPr>
        <w:t xml:space="preserve"> = </w:t>
      </w:r>
      <w:r w:rsidR="00691B0A" w:rsidRPr="00C7655F">
        <w:rPr>
          <w:bCs/>
          <w:sz w:val="24"/>
          <w:szCs w:val="24"/>
        </w:rPr>
        <w:t>-</w:t>
      </w:r>
      <w:r w:rsidR="00B66793" w:rsidRPr="00C7655F">
        <w:rPr>
          <w:bCs/>
          <w:sz w:val="24"/>
          <w:szCs w:val="24"/>
        </w:rPr>
        <w:t>2.41</w:t>
      </w:r>
      <w:r w:rsidRPr="00C7655F">
        <w:rPr>
          <w:bCs/>
          <w:sz w:val="24"/>
          <w:szCs w:val="24"/>
        </w:rPr>
        <w:t xml:space="preserve">, </w:t>
      </w:r>
      <w:r w:rsidRPr="00C7655F">
        <w:rPr>
          <w:bCs/>
          <w:i/>
          <w:sz w:val="24"/>
          <w:szCs w:val="24"/>
        </w:rPr>
        <w:t>p</w:t>
      </w:r>
      <w:r w:rsidRPr="00C7655F">
        <w:rPr>
          <w:bCs/>
          <w:sz w:val="24"/>
          <w:szCs w:val="24"/>
        </w:rPr>
        <w:t xml:space="preserve"> &lt; .05), </w:t>
      </w:r>
      <w:r w:rsidR="00C7655F" w:rsidRPr="00C7655F">
        <w:rPr>
          <w:bCs/>
          <w:sz w:val="24"/>
          <w:szCs w:val="24"/>
        </w:rPr>
        <w:t xml:space="preserve">but </w:t>
      </w:r>
      <w:r w:rsidR="007C58C1">
        <w:rPr>
          <w:bCs/>
          <w:sz w:val="24"/>
          <w:szCs w:val="24"/>
        </w:rPr>
        <w:t xml:space="preserve">numerically </w:t>
      </w:r>
      <w:r w:rsidR="00C7655F" w:rsidRPr="00C7655F">
        <w:rPr>
          <w:bCs/>
          <w:sz w:val="24"/>
          <w:szCs w:val="24"/>
        </w:rPr>
        <w:t xml:space="preserve">slower saccade latencies when compared to non-face stimuli </w:t>
      </w:r>
      <w:r w:rsidR="007C58C1">
        <w:rPr>
          <w:bCs/>
          <w:sz w:val="24"/>
          <w:szCs w:val="24"/>
        </w:rPr>
        <w:t>(</w:t>
      </w:r>
      <w:r w:rsidR="00360B91" w:rsidRPr="00C7655F">
        <w:rPr>
          <w:sz w:val="24"/>
          <w:szCs w:val="24"/>
        </w:rPr>
        <w:t xml:space="preserve">this </w:t>
      </w:r>
      <w:r w:rsidR="00A3446E" w:rsidRPr="00C7655F">
        <w:rPr>
          <w:sz w:val="24"/>
          <w:szCs w:val="24"/>
        </w:rPr>
        <w:t xml:space="preserve">latter </w:t>
      </w:r>
      <w:r w:rsidR="00360B91" w:rsidRPr="00C7655F">
        <w:rPr>
          <w:sz w:val="24"/>
          <w:szCs w:val="24"/>
        </w:rPr>
        <w:t>effect was under statistical significance</w:t>
      </w:r>
      <w:r w:rsidR="007C58C1">
        <w:rPr>
          <w:sz w:val="24"/>
          <w:szCs w:val="24"/>
        </w:rPr>
        <w:t>,</w:t>
      </w:r>
      <w:r w:rsidRPr="00C7655F">
        <w:rPr>
          <w:sz w:val="24"/>
          <w:szCs w:val="24"/>
        </w:rPr>
        <w:t xml:space="preserve"> </w:t>
      </w:r>
      <w:r w:rsidRPr="00C7655F">
        <w:rPr>
          <w:i/>
          <w:iCs/>
          <w:sz w:val="24"/>
          <w:szCs w:val="24"/>
        </w:rPr>
        <w:t xml:space="preserve">β </w:t>
      </w:r>
      <w:r w:rsidRPr="00C7655F">
        <w:rPr>
          <w:sz w:val="24"/>
          <w:szCs w:val="24"/>
        </w:rPr>
        <w:t xml:space="preserve">= -.02, </w:t>
      </w:r>
      <w:r w:rsidRPr="00C7655F">
        <w:rPr>
          <w:iCs/>
          <w:sz w:val="24"/>
          <w:szCs w:val="24"/>
        </w:rPr>
        <w:t>SE</w:t>
      </w:r>
      <w:r w:rsidRPr="00C7655F">
        <w:rPr>
          <w:sz w:val="24"/>
          <w:szCs w:val="24"/>
        </w:rPr>
        <w:t xml:space="preserve"> = .01, </w:t>
      </w:r>
      <w:r w:rsidRPr="00C7655F">
        <w:rPr>
          <w:i/>
          <w:iCs/>
          <w:sz w:val="24"/>
          <w:szCs w:val="24"/>
        </w:rPr>
        <w:t>z</w:t>
      </w:r>
      <w:r w:rsidR="00B66793" w:rsidRPr="00C7655F">
        <w:rPr>
          <w:sz w:val="24"/>
          <w:szCs w:val="24"/>
        </w:rPr>
        <w:t xml:space="preserve"> = -1.75</w:t>
      </w:r>
      <w:r w:rsidRPr="00C7655F">
        <w:rPr>
          <w:sz w:val="24"/>
          <w:szCs w:val="24"/>
        </w:rPr>
        <w:t xml:space="preserve">, </w:t>
      </w:r>
      <w:r w:rsidRPr="00C7655F">
        <w:rPr>
          <w:i/>
          <w:iCs/>
          <w:sz w:val="24"/>
          <w:szCs w:val="24"/>
        </w:rPr>
        <w:t xml:space="preserve">p </w:t>
      </w:r>
      <w:r w:rsidR="00E27748" w:rsidRPr="00C7655F">
        <w:rPr>
          <w:sz w:val="24"/>
          <w:szCs w:val="24"/>
        </w:rPr>
        <w:t>=.</w:t>
      </w:r>
      <w:r w:rsidR="00360B91" w:rsidRPr="00C7655F">
        <w:rPr>
          <w:sz w:val="24"/>
          <w:szCs w:val="24"/>
        </w:rPr>
        <w:t>09</w:t>
      </w:r>
      <w:r w:rsidR="00967CB7">
        <w:rPr>
          <w:sz w:val="24"/>
          <w:szCs w:val="24"/>
        </w:rPr>
        <w:t xml:space="preserve">); </w:t>
      </w:r>
      <w:r w:rsidR="00967CB7" w:rsidRPr="00967CB7">
        <w:rPr>
          <w:i/>
          <w:sz w:val="24"/>
          <w:szCs w:val="24"/>
        </w:rPr>
        <w:t>Figure 4</w:t>
      </w:r>
      <w:r w:rsidRPr="00C7655F">
        <w:rPr>
          <w:sz w:val="24"/>
          <w:szCs w:val="24"/>
        </w:rPr>
        <w:t>).</w:t>
      </w:r>
      <w:r w:rsidRPr="00A75594">
        <w:rPr>
          <w:sz w:val="24"/>
          <w:szCs w:val="24"/>
        </w:rPr>
        <w:t xml:space="preserve"> </w:t>
      </w:r>
    </w:p>
    <w:p w14:paraId="0D81E229" w14:textId="77777777" w:rsidR="006A29D2" w:rsidRPr="00A75594" w:rsidRDefault="006A29D2" w:rsidP="00956F88">
      <w:pPr>
        <w:pStyle w:val="Heading3"/>
        <w:tabs>
          <w:tab w:val="clear" w:pos="1021"/>
          <w:tab w:val="num" w:pos="1985"/>
        </w:tabs>
        <w:spacing w:line="480" w:lineRule="auto"/>
        <w:ind w:left="567" w:hanging="567"/>
        <w:rPr>
          <w:rFonts w:ascii="Times New Roman" w:hAnsi="Times New Roman" w:cs="Times New Roman"/>
          <w:sz w:val="24"/>
          <w:szCs w:val="24"/>
        </w:rPr>
      </w:pPr>
      <w:bookmarkStart w:id="11" w:name="_Toc9501360"/>
      <w:r w:rsidRPr="00A75594">
        <w:rPr>
          <w:rFonts w:ascii="Times New Roman" w:hAnsi="Times New Roman" w:cs="Times New Roman"/>
          <w:sz w:val="24"/>
          <w:szCs w:val="24"/>
        </w:rPr>
        <w:t>ADHD x Anxiety Interaction</w:t>
      </w:r>
      <w:bookmarkEnd w:id="11"/>
      <w:r w:rsidRPr="00A75594">
        <w:rPr>
          <w:rFonts w:ascii="Times New Roman" w:hAnsi="Times New Roman" w:cs="Times New Roman"/>
          <w:sz w:val="24"/>
          <w:szCs w:val="24"/>
        </w:rPr>
        <w:t xml:space="preserve"> </w:t>
      </w:r>
    </w:p>
    <w:p w14:paraId="38DE965B" w14:textId="0BD67F8F" w:rsidR="00D30E97" w:rsidRPr="00291B89" w:rsidRDefault="006A29D2" w:rsidP="00291B89">
      <w:pPr>
        <w:spacing w:line="480" w:lineRule="auto"/>
        <w:ind w:firstLine="720"/>
        <w:rPr>
          <w:sz w:val="24"/>
          <w:szCs w:val="24"/>
        </w:rPr>
      </w:pPr>
      <w:r w:rsidRPr="00A75594">
        <w:rPr>
          <w:bCs/>
          <w:sz w:val="24"/>
          <w:szCs w:val="24"/>
        </w:rPr>
        <w:t xml:space="preserve">There were no two-way interactions between anxiety and ADHD symptoms for any outcomes. </w:t>
      </w:r>
      <w:r w:rsidR="004F0C18">
        <w:rPr>
          <w:bCs/>
          <w:sz w:val="24"/>
          <w:szCs w:val="24"/>
        </w:rPr>
        <w:t xml:space="preserve">The results </w:t>
      </w:r>
      <w:r w:rsidR="00A3446E">
        <w:rPr>
          <w:bCs/>
          <w:sz w:val="24"/>
          <w:szCs w:val="24"/>
        </w:rPr>
        <w:t xml:space="preserve">did however </w:t>
      </w:r>
      <w:r w:rsidR="004F0C18">
        <w:rPr>
          <w:bCs/>
          <w:sz w:val="24"/>
          <w:szCs w:val="24"/>
        </w:rPr>
        <w:t xml:space="preserve">show </w:t>
      </w:r>
      <w:r w:rsidRPr="00A75594">
        <w:rPr>
          <w:bCs/>
          <w:sz w:val="24"/>
          <w:szCs w:val="24"/>
        </w:rPr>
        <w:t xml:space="preserve">a significant three-way interaction </w:t>
      </w:r>
      <w:r w:rsidR="004F0C18">
        <w:rPr>
          <w:bCs/>
          <w:sz w:val="24"/>
          <w:szCs w:val="24"/>
        </w:rPr>
        <w:t xml:space="preserve">between </w:t>
      </w:r>
      <w:r w:rsidRPr="00A75594">
        <w:rPr>
          <w:bCs/>
          <w:sz w:val="24"/>
          <w:szCs w:val="24"/>
        </w:rPr>
        <w:t xml:space="preserve">symptoms of ADHD, anxiety and cue condition, </w:t>
      </w:r>
      <w:r w:rsidR="004F0C18">
        <w:rPr>
          <w:bCs/>
          <w:sz w:val="24"/>
          <w:szCs w:val="24"/>
        </w:rPr>
        <w:t xml:space="preserve">indicating </w:t>
      </w:r>
      <w:r w:rsidRPr="00A75594">
        <w:rPr>
          <w:bCs/>
          <w:sz w:val="24"/>
          <w:szCs w:val="24"/>
        </w:rPr>
        <w:t xml:space="preserve">that the presence of high levels of anxiety and ADHD symptoms </w:t>
      </w:r>
      <w:r w:rsidRPr="00A75594">
        <w:rPr>
          <w:sz w:val="24"/>
          <w:szCs w:val="24"/>
        </w:rPr>
        <w:t xml:space="preserve">were </w:t>
      </w:r>
      <w:r w:rsidR="004F0C18">
        <w:rPr>
          <w:sz w:val="24"/>
          <w:szCs w:val="24"/>
        </w:rPr>
        <w:t>associated with</w:t>
      </w:r>
      <w:r w:rsidR="004F0C18" w:rsidRPr="00A75594">
        <w:rPr>
          <w:sz w:val="24"/>
          <w:szCs w:val="24"/>
        </w:rPr>
        <w:t xml:space="preserve"> </w:t>
      </w:r>
      <w:r w:rsidRPr="00A75594">
        <w:rPr>
          <w:sz w:val="24"/>
          <w:szCs w:val="24"/>
        </w:rPr>
        <w:t xml:space="preserve">faster saccade latencies for angry </w:t>
      </w:r>
      <w:r w:rsidR="00C856A9">
        <w:rPr>
          <w:sz w:val="24"/>
          <w:szCs w:val="24"/>
        </w:rPr>
        <w:t>(versus happy)</w:t>
      </w:r>
      <w:r w:rsidR="008E267E">
        <w:rPr>
          <w:sz w:val="24"/>
          <w:szCs w:val="24"/>
        </w:rPr>
        <w:t xml:space="preserve"> face</w:t>
      </w:r>
      <w:r w:rsidR="00531FCE">
        <w:rPr>
          <w:sz w:val="24"/>
          <w:szCs w:val="24"/>
        </w:rPr>
        <w:t xml:space="preserve"> cues</w:t>
      </w:r>
      <w:r w:rsidR="00C856A9">
        <w:rPr>
          <w:sz w:val="24"/>
          <w:szCs w:val="24"/>
        </w:rPr>
        <w:t>, when compared to elevated ADHD</w:t>
      </w:r>
      <w:r w:rsidR="006D403E">
        <w:rPr>
          <w:sz w:val="24"/>
          <w:szCs w:val="24"/>
        </w:rPr>
        <w:t xml:space="preserve"> and fewer anxiety</w:t>
      </w:r>
      <w:r w:rsidR="00C856A9">
        <w:rPr>
          <w:sz w:val="24"/>
          <w:szCs w:val="24"/>
        </w:rPr>
        <w:t xml:space="preserve"> symptoms </w:t>
      </w:r>
      <w:r w:rsidRPr="00A75594">
        <w:rPr>
          <w:sz w:val="24"/>
          <w:szCs w:val="24"/>
        </w:rPr>
        <w:t>(</w:t>
      </w:r>
      <w:r w:rsidRPr="00A75594">
        <w:rPr>
          <w:i/>
          <w:sz w:val="24"/>
          <w:szCs w:val="24"/>
        </w:rPr>
        <w:t>β</w:t>
      </w:r>
      <w:r w:rsidRPr="00A75594">
        <w:rPr>
          <w:sz w:val="24"/>
          <w:szCs w:val="24"/>
        </w:rPr>
        <w:t xml:space="preserve"> = </w:t>
      </w:r>
      <w:r w:rsidR="005005BD">
        <w:rPr>
          <w:sz w:val="24"/>
          <w:szCs w:val="24"/>
        </w:rPr>
        <w:t>-</w:t>
      </w:r>
      <w:r w:rsidRPr="00A75594">
        <w:rPr>
          <w:sz w:val="24"/>
          <w:szCs w:val="24"/>
        </w:rPr>
        <w:t xml:space="preserve">.02, SE = .01, </w:t>
      </w:r>
      <w:r w:rsidRPr="00A75594">
        <w:rPr>
          <w:i/>
          <w:sz w:val="24"/>
          <w:szCs w:val="24"/>
        </w:rPr>
        <w:t>t</w:t>
      </w:r>
      <w:r w:rsidRPr="00A75594">
        <w:rPr>
          <w:sz w:val="24"/>
          <w:szCs w:val="24"/>
        </w:rPr>
        <w:t xml:space="preserve"> = </w:t>
      </w:r>
      <w:r w:rsidR="005005BD">
        <w:rPr>
          <w:sz w:val="24"/>
          <w:szCs w:val="24"/>
        </w:rPr>
        <w:t>-</w:t>
      </w:r>
      <w:r w:rsidRPr="00A75594">
        <w:rPr>
          <w:sz w:val="24"/>
          <w:szCs w:val="24"/>
        </w:rPr>
        <w:t>2.</w:t>
      </w:r>
      <w:r w:rsidR="005005BD">
        <w:rPr>
          <w:sz w:val="24"/>
          <w:szCs w:val="24"/>
        </w:rPr>
        <w:t>09</w:t>
      </w:r>
      <w:r w:rsidRPr="00A75594">
        <w:rPr>
          <w:sz w:val="24"/>
          <w:szCs w:val="24"/>
        </w:rPr>
        <w:t xml:space="preserve">, </w:t>
      </w:r>
      <w:r w:rsidRPr="00A75594">
        <w:rPr>
          <w:i/>
          <w:sz w:val="24"/>
          <w:szCs w:val="24"/>
        </w:rPr>
        <w:t>p</w:t>
      </w:r>
      <w:r w:rsidR="00CA19B3">
        <w:rPr>
          <w:sz w:val="24"/>
          <w:szCs w:val="24"/>
        </w:rPr>
        <w:t xml:space="preserve"> &lt; .05; </w:t>
      </w:r>
      <w:r w:rsidR="00C35DC1" w:rsidRPr="00A75594">
        <w:rPr>
          <w:i/>
          <w:sz w:val="24"/>
          <w:szCs w:val="24"/>
        </w:rPr>
        <w:t>Figure 5</w:t>
      </w:r>
      <w:r w:rsidRPr="00A75594">
        <w:rPr>
          <w:sz w:val="24"/>
          <w:szCs w:val="24"/>
        </w:rPr>
        <w:t>).  No other ef</w:t>
      </w:r>
      <w:r w:rsidR="005A3CAD" w:rsidRPr="00A75594">
        <w:rPr>
          <w:sz w:val="24"/>
          <w:szCs w:val="24"/>
        </w:rPr>
        <w:t xml:space="preserve">fects were significant (Table </w:t>
      </w:r>
      <w:r w:rsidR="00C17E87">
        <w:rPr>
          <w:sz w:val="24"/>
          <w:szCs w:val="24"/>
        </w:rPr>
        <w:t>2</w:t>
      </w:r>
      <w:r w:rsidRPr="00A75594">
        <w:rPr>
          <w:sz w:val="24"/>
          <w:szCs w:val="24"/>
        </w:rPr>
        <w:t xml:space="preserve">).  </w:t>
      </w:r>
    </w:p>
    <w:p w14:paraId="41AE9F5D" w14:textId="77777777" w:rsidR="006A29D2" w:rsidRPr="00A75594" w:rsidRDefault="006A29D2" w:rsidP="008E3C7C">
      <w:pPr>
        <w:pStyle w:val="Heading2"/>
      </w:pPr>
      <w:bookmarkStart w:id="12" w:name="_Toc9501361"/>
      <w:r w:rsidRPr="00A75594">
        <w:t>Discussion</w:t>
      </w:r>
      <w:bookmarkEnd w:id="12"/>
    </w:p>
    <w:p w14:paraId="6324868E" w14:textId="57C965F6" w:rsidR="006A29D2" w:rsidRPr="00BB037E" w:rsidRDefault="006A29D2" w:rsidP="00956F88">
      <w:pPr>
        <w:autoSpaceDE w:val="0"/>
        <w:autoSpaceDN w:val="0"/>
        <w:adjustRightInd w:val="0"/>
        <w:spacing w:line="480" w:lineRule="auto"/>
        <w:ind w:firstLine="720"/>
        <w:rPr>
          <w:sz w:val="24"/>
          <w:szCs w:val="24"/>
        </w:rPr>
      </w:pPr>
      <w:r w:rsidRPr="00A75594">
        <w:rPr>
          <w:sz w:val="24"/>
          <w:szCs w:val="24"/>
        </w:rPr>
        <w:t xml:space="preserve">This study examined the effects of anxiety and ADHD symptoms on </w:t>
      </w:r>
      <w:r w:rsidR="00BF52C4">
        <w:rPr>
          <w:sz w:val="24"/>
          <w:szCs w:val="24"/>
        </w:rPr>
        <w:t xml:space="preserve">sustained attention and </w:t>
      </w:r>
      <w:r w:rsidR="00CD5E88">
        <w:rPr>
          <w:sz w:val="24"/>
          <w:szCs w:val="24"/>
        </w:rPr>
        <w:t xml:space="preserve">inhibitory </w:t>
      </w:r>
      <w:r w:rsidRPr="00A75594">
        <w:rPr>
          <w:sz w:val="24"/>
          <w:szCs w:val="24"/>
        </w:rPr>
        <w:t xml:space="preserve">control in children and adults using emotionally-loaded (happy and angry faces) and </w:t>
      </w:r>
      <w:r w:rsidR="00C47047">
        <w:rPr>
          <w:sz w:val="24"/>
          <w:szCs w:val="24"/>
        </w:rPr>
        <w:t>non-emotional/non-face</w:t>
      </w:r>
      <w:r w:rsidR="007A3F3C">
        <w:rPr>
          <w:sz w:val="24"/>
          <w:szCs w:val="24"/>
        </w:rPr>
        <w:t xml:space="preserve"> </w:t>
      </w:r>
      <w:r w:rsidR="007A3F3C" w:rsidRPr="00A75594">
        <w:rPr>
          <w:sz w:val="24"/>
          <w:szCs w:val="24"/>
        </w:rPr>
        <w:t>stimuli</w:t>
      </w:r>
      <w:r w:rsidRPr="00A75594">
        <w:rPr>
          <w:sz w:val="24"/>
          <w:szCs w:val="24"/>
        </w:rPr>
        <w:t xml:space="preserve">. </w:t>
      </w:r>
      <w:r w:rsidR="002B78D0">
        <w:rPr>
          <w:sz w:val="24"/>
          <w:szCs w:val="24"/>
        </w:rPr>
        <w:t>In general</w:t>
      </w:r>
      <w:r w:rsidR="00C47047">
        <w:rPr>
          <w:sz w:val="24"/>
          <w:szCs w:val="24"/>
        </w:rPr>
        <w:t>,</w:t>
      </w:r>
      <w:r w:rsidR="002B78D0">
        <w:rPr>
          <w:sz w:val="24"/>
          <w:szCs w:val="24"/>
        </w:rPr>
        <w:t xml:space="preserve"> adults made faster saccades and fewer commission errors compared with children/adolescents.  E</w:t>
      </w:r>
      <w:r w:rsidR="000E08C4">
        <w:rPr>
          <w:sz w:val="24"/>
          <w:szCs w:val="24"/>
        </w:rPr>
        <w:t xml:space="preserve">levated ADHD symptoms </w:t>
      </w:r>
      <w:r w:rsidR="00A10C2A">
        <w:rPr>
          <w:sz w:val="24"/>
          <w:szCs w:val="24"/>
        </w:rPr>
        <w:lastRenderedPageBreak/>
        <w:t>w</w:t>
      </w:r>
      <w:r w:rsidR="007712CE">
        <w:rPr>
          <w:sz w:val="24"/>
          <w:szCs w:val="24"/>
        </w:rPr>
        <w:t>ere</w:t>
      </w:r>
      <w:r w:rsidRPr="00A75594">
        <w:rPr>
          <w:sz w:val="24"/>
          <w:szCs w:val="24"/>
        </w:rPr>
        <w:t xml:space="preserve"> associated with an increased impairment in </w:t>
      </w:r>
      <w:r w:rsidR="00C42942">
        <w:rPr>
          <w:sz w:val="24"/>
          <w:szCs w:val="24"/>
        </w:rPr>
        <w:t xml:space="preserve">inhibitory control </w:t>
      </w:r>
      <w:r w:rsidRPr="00A75594">
        <w:rPr>
          <w:sz w:val="24"/>
          <w:szCs w:val="24"/>
        </w:rPr>
        <w:t>(as reflected in more saccadic commission errors for angry faces) and reduced sustained attention (as reflected in slower saccade latencies for angry face</w:t>
      </w:r>
      <w:r w:rsidR="00A10C2A">
        <w:rPr>
          <w:sz w:val="24"/>
          <w:szCs w:val="24"/>
        </w:rPr>
        <w:t xml:space="preserve"> cues</w:t>
      </w:r>
      <w:r w:rsidRPr="00A75594">
        <w:rPr>
          <w:sz w:val="24"/>
          <w:szCs w:val="24"/>
        </w:rPr>
        <w:t>)</w:t>
      </w:r>
      <w:r w:rsidR="007712CE" w:rsidRPr="007712CE">
        <w:rPr>
          <w:sz w:val="24"/>
          <w:szCs w:val="24"/>
        </w:rPr>
        <w:t xml:space="preserve"> </w:t>
      </w:r>
      <w:r w:rsidR="007712CE" w:rsidRPr="00A75594">
        <w:rPr>
          <w:sz w:val="24"/>
          <w:szCs w:val="24"/>
        </w:rPr>
        <w:t>when processing threat</w:t>
      </w:r>
      <w:r w:rsidRPr="00A75594">
        <w:rPr>
          <w:sz w:val="24"/>
          <w:szCs w:val="24"/>
        </w:rPr>
        <w:t xml:space="preserve">. In contrast, increased levels of anxiety were associated with faster saccade latencies in response to angry </w:t>
      </w:r>
      <w:r w:rsidR="00A10C2A">
        <w:rPr>
          <w:sz w:val="24"/>
          <w:szCs w:val="24"/>
        </w:rPr>
        <w:t>(versus happy) face cues</w:t>
      </w:r>
      <w:r w:rsidRPr="00A75594">
        <w:rPr>
          <w:sz w:val="24"/>
          <w:szCs w:val="24"/>
        </w:rPr>
        <w:t xml:space="preserve">. Moreover, when </w:t>
      </w:r>
      <w:r w:rsidR="00D60E30">
        <w:rPr>
          <w:sz w:val="24"/>
          <w:szCs w:val="24"/>
        </w:rPr>
        <w:t xml:space="preserve">both </w:t>
      </w:r>
      <w:r w:rsidRPr="00A75594">
        <w:rPr>
          <w:sz w:val="24"/>
          <w:szCs w:val="24"/>
        </w:rPr>
        <w:t xml:space="preserve">anxiety and ADHD symptoms were elevated the effect of elevated anxiety symptoms on </w:t>
      </w:r>
      <w:r w:rsidR="00C016CF">
        <w:rPr>
          <w:sz w:val="24"/>
          <w:szCs w:val="24"/>
        </w:rPr>
        <w:t xml:space="preserve">faster </w:t>
      </w:r>
      <w:r w:rsidRPr="00A75594">
        <w:rPr>
          <w:sz w:val="24"/>
          <w:szCs w:val="24"/>
        </w:rPr>
        <w:t xml:space="preserve">saccade latency </w:t>
      </w:r>
      <w:r w:rsidR="00C016CF">
        <w:rPr>
          <w:sz w:val="24"/>
          <w:szCs w:val="24"/>
        </w:rPr>
        <w:t xml:space="preserve">for angry versus happy faces </w:t>
      </w:r>
      <w:r w:rsidRPr="00A75594">
        <w:rPr>
          <w:sz w:val="24"/>
          <w:szCs w:val="24"/>
        </w:rPr>
        <w:t xml:space="preserve">remained, while those associated with </w:t>
      </w:r>
      <w:r w:rsidRPr="00BB037E">
        <w:rPr>
          <w:sz w:val="24"/>
          <w:szCs w:val="24"/>
        </w:rPr>
        <w:t xml:space="preserve">symptoms of ADHD were no longer evident. </w:t>
      </w:r>
    </w:p>
    <w:p w14:paraId="0B4AD247" w14:textId="37166F7F" w:rsidR="006A29D2" w:rsidRPr="002A4812" w:rsidRDefault="006A29D2" w:rsidP="00BD4FC5">
      <w:pPr>
        <w:autoSpaceDE w:val="0"/>
        <w:autoSpaceDN w:val="0"/>
        <w:adjustRightInd w:val="0"/>
        <w:spacing w:line="480" w:lineRule="auto"/>
        <w:ind w:firstLine="720"/>
        <w:rPr>
          <w:color w:val="000000"/>
          <w:sz w:val="24"/>
          <w:szCs w:val="24"/>
          <w:shd w:val="clear" w:color="auto" w:fill="FFFFFF"/>
        </w:rPr>
      </w:pPr>
      <w:r w:rsidRPr="00A75594">
        <w:rPr>
          <w:sz w:val="24"/>
          <w:szCs w:val="24"/>
        </w:rPr>
        <w:t xml:space="preserve">Individuals who reported increased ADHD symptoms showed </w:t>
      </w:r>
      <w:r w:rsidR="000025AA">
        <w:rPr>
          <w:sz w:val="24"/>
          <w:szCs w:val="24"/>
        </w:rPr>
        <w:t>reduced ability</w:t>
      </w:r>
      <w:r w:rsidRPr="00A75594">
        <w:rPr>
          <w:sz w:val="24"/>
          <w:szCs w:val="24"/>
        </w:rPr>
        <w:t xml:space="preserve"> to suppress reflexive saccades </w:t>
      </w:r>
      <w:r w:rsidR="00D60E30">
        <w:rPr>
          <w:sz w:val="24"/>
          <w:szCs w:val="24"/>
        </w:rPr>
        <w:t>on No</w:t>
      </w:r>
      <w:r w:rsidR="00365512">
        <w:rPr>
          <w:sz w:val="24"/>
          <w:szCs w:val="24"/>
        </w:rPr>
        <w:t>-</w:t>
      </w:r>
      <w:r w:rsidR="00D60E30">
        <w:rPr>
          <w:sz w:val="24"/>
          <w:szCs w:val="24"/>
        </w:rPr>
        <w:t>Go trials</w:t>
      </w:r>
      <w:r w:rsidR="00C55538">
        <w:rPr>
          <w:sz w:val="24"/>
          <w:szCs w:val="24"/>
        </w:rPr>
        <w:t>,</w:t>
      </w:r>
      <w:r w:rsidR="00D60E30">
        <w:rPr>
          <w:sz w:val="24"/>
          <w:szCs w:val="24"/>
        </w:rPr>
        <w:t xml:space="preserve"> </w:t>
      </w:r>
      <w:r w:rsidR="00C55538">
        <w:rPr>
          <w:sz w:val="24"/>
          <w:szCs w:val="24"/>
        </w:rPr>
        <w:t xml:space="preserve">specifically </w:t>
      </w:r>
      <w:r w:rsidR="00C55538" w:rsidRPr="00A75594">
        <w:rPr>
          <w:sz w:val="24"/>
          <w:szCs w:val="24"/>
        </w:rPr>
        <w:t xml:space="preserve">in the context of angry </w:t>
      </w:r>
      <w:r w:rsidR="00C55538">
        <w:rPr>
          <w:sz w:val="24"/>
          <w:szCs w:val="24"/>
        </w:rPr>
        <w:t>(</w:t>
      </w:r>
      <w:r w:rsidR="00C55538" w:rsidRPr="00A75594">
        <w:rPr>
          <w:sz w:val="24"/>
          <w:szCs w:val="24"/>
        </w:rPr>
        <w:t>compared to happy</w:t>
      </w:r>
      <w:r w:rsidR="00C55538">
        <w:rPr>
          <w:sz w:val="24"/>
          <w:szCs w:val="24"/>
        </w:rPr>
        <w:t>)</w:t>
      </w:r>
      <w:r w:rsidR="00C55538" w:rsidRPr="00A75594">
        <w:rPr>
          <w:sz w:val="24"/>
          <w:szCs w:val="24"/>
        </w:rPr>
        <w:t xml:space="preserve"> faces</w:t>
      </w:r>
      <w:r w:rsidRPr="00A75594">
        <w:rPr>
          <w:sz w:val="24"/>
          <w:szCs w:val="24"/>
        </w:rPr>
        <w:t xml:space="preserve">. </w:t>
      </w:r>
      <w:r w:rsidR="00DA419E">
        <w:rPr>
          <w:sz w:val="24"/>
          <w:szCs w:val="24"/>
        </w:rPr>
        <w:t xml:space="preserve">Contrary to our expectations, the results did not support a generalised inhibitory-control deficit for high ADHD. </w:t>
      </w:r>
      <w:r w:rsidR="00C55538">
        <w:rPr>
          <w:sz w:val="24"/>
          <w:szCs w:val="24"/>
        </w:rPr>
        <w:t>L</w:t>
      </w:r>
      <w:r w:rsidR="00336A44">
        <w:rPr>
          <w:sz w:val="24"/>
          <w:szCs w:val="24"/>
        </w:rPr>
        <w:t xml:space="preserve">owered </w:t>
      </w:r>
      <w:r w:rsidR="00D60E30">
        <w:rPr>
          <w:sz w:val="24"/>
          <w:szCs w:val="24"/>
        </w:rPr>
        <w:t xml:space="preserve">inhibitory control </w:t>
      </w:r>
      <w:r w:rsidRPr="00A75594">
        <w:rPr>
          <w:sz w:val="24"/>
          <w:szCs w:val="24"/>
        </w:rPr>
        <w:t xml:space="preserve">in response to angry </w:t>
      </w:r>
      <w:r w:rsidR="00C55538">
        <w:rPr>
          <w:sz w:val="24"/>
          <w:szCs w:val="24"/>
        </w:rPr>
        <w:t xml:space="preserve">(vs happy and neutral) </w:t>
      </w:r>
      <w:r w:rsidRPr="00A75594">
        <w:rPr>
          <w:sz w:val="24"/>
          <w:szCs w:val="24"/>
        </w:rPr>
        <w:t xml:space="preserve">faces, has been previously accompanied by reduced right parietal ERP (Event-Related Potential) amplitudes in both children </w:t>
      </w:r>
      <w:r w:rsidRPr="00A75594">
        <w:rPr>
          <w:sz w:val="24"/>
          <w:szCs w:val="24"/>
        </w:rPr>
        <w:fldChar w:fldCharType="begin" w:fldLock="1"/>
      </w:r>
      <w:r w:rsidRPr="00A75594">
        <w:rPr>
          <w:sz w:val="24"/>
          <w:szCs w:val="24"/>
        </w:rPr>
        <w:instrText>ADDIN CSL_CITATION {"citationItems":[{"id":"ITEM-1","itemData":{"DOI":"10.1177/0883073813476139","ISSN":"0883-0738","abstract":"This event-related potential study focused on neural correlates of inhibitory affective control in attention-deficit hyperactivity disorder (ADHD). Sixteen boys with ADHD and 16 healthy boys underwent an emotional Go/NoGo task with pictures of facial expressions from the categories anger, sadness, happiness, and neutral. The participants were instructed to execute or withhold a motor response to specific emotions. Patients relative to controls displayed a severe impairment in response inhibition toward anger cues, which was accompanied by a reduced P300 amplitude (positive voltage deflection about 300 ms after picture onset). The control group showed a P300 differentiation of the affective categories that was absent in the ADHD group. The pronounced anger-processing deficit in ADHD patients might be linked to their interpersonal difficulties and should be addressed in psychotherapy.","author":[{"dropping-particle":"","family":"Kochel","given":"A.","non-dropping-particle":"","parse-names":false,"suffix":""},{"dropping-particle":"","family":"Leutgeb","given":"V.","non-dropping-particle":"","parse-names":false,"suffix":""},{"dropping-particle":"","family":"Schienle","given":"A.","non-dropping-particle":"","parse-names":false,"suffix":""}],"container-title":"Journal of Child Neurology","id":"ITEM-1","issue":"4","issued":{"date-parts":[["2013","2","28"]]},"page":"459-468","title":"Disrupted Response Inhibition Toward Facial Anger Cues in Children With Attention-Deficit Hyperactivity Disorder (ADHD): An Event-Related Potential Study","type":"article-journal","volume":"29"},"uris":["http://www.mendeley.com/documents/?uuid=327c491f-2e57-4d73-8afd-810f7837b889"]}],"mendeley":{"formattedCitation":"(Kochel et al., 2013)","plainTextFormattedCitation":"(Kochel et al., 2013)","previouslyFormattedCitation":"(Kochel et al., 2013)"},"properties":{"noteIndex":0},"schema":"https://github.com/citation-style-language/schema/raw/master/csl-citation.json"}</w:instrText>
      </w:r>
      <w:r w:rsidRPr="00A75594">
        <w:rPr>
          <w:sz w:val="24"/>
          <w:szCs w:val="24"/>
        </w:rPr>
        <w:fldChar w:fldCharType="separate"/>
      </w:r>
      <w:r w:rsidRPr="00A75594">
        <w:rPr>
          <w:noProof/>
          <w:sz w:val="24"/>
          <w:szCs w:val="24"/>
        </w:rPr>
        <w:t>(Kochel et al., 2013)</w:t>
      </w:r>
      <w:r w:rsidRPr="00A75594">
        <w:rPr>
          <w:sz w:val="24"/>
          <w:szCs w:val="24"/>
        </w:rPr>
        <w:fldChar w:fldCharType="end"/>
      </w:r>
      <w:r w:rsidRPr="00A75594">
        <w:rPr>
          <w:sz w:val="24"/>
          <w:szCs w:val="24"/>
        </w:rPr>
        <w:t xml:space="preserve"> and adults </w:t>
      </w:r>
      <w:r w:rsidRPr="00A75594">
        <w:rPr>
          <w:sz w:val="24"/>
          <w:szCs w:val="24"/>
        </w:rPr>
        <w:fldChar w:fldCharType="begin" w:fldLock="1"/>
      </w:r>
      <w:r w:rsidR="00A34041">
        <w:rPr>
          <w:sz w:val="24"/>
          <w:szCs w:val="24"/>
        </w:rPr>
        <w:instrText>ADDIN CSL_CITATION {"citationItems":[{"id":"ITEM-1","itemData":{"DOI":"10.1016/j.neulet.2012.09.053","ISSN":"03043940","abstract":"Boys afflicted with ADHD (Attention-deficit/hyperactivity disorder) are characterized by deficient response inhibition and reduced electrocortical late positivity when presented with facial expressions of anger. This deficit might contribute to their problems in social interactions. We conducted the present event-related potential study with 15 men suffering from ADHD and 15 healthy controls in order to investigate whether similar dysfunctions are present in adult ADHD. The participants underwent an emotional version of a Go/NoGo task while event-related potentials (ERPs) were recorded. They were instructed to inhibit a motor response to one of four facial emotional expressions: anger, fear, sadness, or happiness. There were no behavioral differences in inhibitory control between the ADHD and the control group. However, the patients showed a reduced right parietal late positivity when instructed to inhibit a response to negative emotions. Obviously, the patients have learned to compensate for their deficit on a behavioral level, while it is still visible on the electrocortical level in this relatively simple task. Interestingly, the reduced positivity correlated with lowered self-reported emotional intelligence in the ADHD group.","author":[{"dropping-particle":"","family":"Köchel","given":"Angelika","non-dropping-particle":"","parse-names":false,"suffix":""},{"dropping-particle":"","family":"Leutgeb","given":"Verena","non-dropping-particle":"","parse-names":false,"suffix":""},{"dropping-particle":"","family":"Schienle","given":"Anne","non-dropping-particle":"","parse-names":false,"suffix":""}],"container-title":"Neuroscience Letters","id":"ITEM-1","issue":"1","issued":{"date-parts":[["2012","11"]]},"page":"47-52","title":"Affective inhibitory control in adults with attention deficit hyperactivity disorder: Abnormalities in electrocortical late positivity","type":"article-journal","volume":"530"},"uris":["http://www.mendeley.com/documents/?uuid=8ee628db-58c8-44a3-b74c-9e17568a4407"]}],"mendeley":{"formattedCitation":"(Köchel, Leutgeb, &amp; Schienle, 2012)","plainTextFormattedCitation":"(Köchel, Leutgeb, &amp; Schienle, 2012)","previouslyFormattedCitation":"(Köchel, Leutgeb, &amp; Schienle, 2012)"},"properties":{"noteIndex":0},"schema":"https://github.com/citation-style-language/schema/raw/master/csl-citation.json"}</w:instrText>
      </w:r>
      <w:r w:rsidRPr="00A75594">
        <w:rPr>
          <w:sz w:val="24"/>
          <w:szCs w:val="24"/>
        </w:rPr>
        <w:fldChar w:fldCharType="separate"/>
      </w:r>
      <w:r w:rsidR="00A34041" w:rsidRPr="00A34041">
        <w:rPr>
          <w:noProof/>
          <w:sz w:val="24"/>
          <w:szCs w:val="24"/>
        </w:rPr>
        <w:t>(Köchel, Leutgeb, &amp; Schienle, 2012)</w:t>
      </w:r>
      <w:r w:rsidRPr="00A75594">
        <w:rPr>
          <w:sz w:val="24"/>
          <w:szCs w:val="24"/>
        </w:rPr>
        <w:fldChar w:fldCharType="end"/>
      </w:r>
      <w:r w:rsidRPr="00A75594">
        <w:rPr>
          <w:sz w:val="24"/>
          <w:szCs w:val="24"/>
        </w:rPr>
        <w:t xml:space="preserve"> with ADHD, </w:t>
      </w:r>
      <w:r w:rsidR="00E15508">
        <w:rPr>
          <w:sz w:val="24"/>
          <w:szCs w:val="24"/>
        </w:rPr>
        <w:t>suggesting</w:t>
      </w:r>
      <w:r w:rsidRPr="00A75594">
        <w:rPr>
          <w:sz w:val="24"/>
          <w:szCs w:val="24"/>
        </w:rPr>
        <w:t xml:space="preserve"> reduced </w:t>
      </w:r>
      <w:r w:rsidR="00630784">
        <w:rPr>
          <w:sz w:val="24"/>
          <w:szCs w:val="24"/>
        </w:rPr>
        <w:t>processing of</w:t>
      </w:r>
      <w:r w:rsidRPr="00A75594">
        <w:rPr>
          <w:sz w:val="24"/>
          <w:szCs w:val="24"/>
        </w:rPr>
        <w:t xml:space="preserve"> negative emotional stimuli relative to positive or neutral stimuli. </w:t>
      </w:r>
      <w:r w:rsidR="000E08C4" w:rsidRPr="00A75594">
        <w:rPr>
          <w:sz w:val="24"/>
          <w:szCs w:val="24"/>
        </w:rPr>
        <w:t>Further</w:t>
      </w:r>
      <w:r w:rsidR="000025AA">
        <w:rPr>
          <w:sz w:val="24"/>
          <w:szCs w:val="24"/>
        </w:rPr>
        <w:t>more</w:t>
      </w:r>
      <w:r w:rsidR="000E08C4" w:rsidRPr="00A75594">
        <w:rPr>
          <w:sz w:val="24"/>
          <w:szCs w:val="24"/>
        </w:rPr>
        <w:t xml:space="preserve">, </w:t>
      </w:r>
      <w:r w:rsidR="00E15508">
        <w:rPr>
          <w:sz w:val="24"/>
          <w:szCs w:val="24"/>
        </w:rPr>
        <w:t xml:space="preserve">other studies have found </w:t>
      </w:r>
      <w:r w:rsidR="000E08C4" w:rsidRPr="00A75594">
        <w:rPr>
          <w:color w:val="000000"/>
          <w:sz w:val="24"/>
          <w:szCs w:val="24"/>
          <w:shd w:val="clear" w:color="auto" w:fill="FFFFFF"/>
        </w:rPr>
        <w:t xml:space="preserve">reduced ventrolateral prefrontal activation in adolescents with ADHD when negative words were used in an emotional Stroop task, highlighting reduced attentional engagement in the presence of negative stimuli </w:t>
      </w:r>
      <w:r w:rsidR="000E08C4" w:rsidRPr="00A75594">
        <w:rPr>
          <w:color w:val="000000"/>
          <w:sz w:val="24"/>
          <w:szCs w:val="24"/>
          <w:shd w:val="clear" w:color="auto" w:fill="FFFFFF"/>
        </w:rPr>
        <w:fldChar w:fldCharType="begin" w:fldLock="1"/>
      </w:r>
      <w:r w:rsidR="000E08C4" w:rsidRPr="00A75594">
        <w:rPr>
          <w:color w:val="000000"/>
          <w:sz w:val="24"/>
          <w:szCs w:val="24"/>
          <w:shd w:val="clear" w:color="auto" w:fill="FFFFFF"/>
        </w:rPr>
        <w:instrText>ADDIN CSL_CITATION {"citationItems":[{"id":"ITEM-1","itemData":{"DOI":"10.1017/S1355617709991019","ISSN":"1469-7661","PMID":"19849880","abstract":"This fMRI study investigates the neural bases of cognitive control of emotion processing in pediatric bipolar disorder (PBD) and attention deficit hyperactivity disorder (ADHD). Seventeen un-medicated PBD patients, 15 un-medicated ADHD patients, and 14 healthy controls (HC) (mean age = 13.78 +/- 2.47) performed an emotional valence Stroop Task, requiring them to match the color of an emotionally valenced word to the color of either of two adjacent circles. Both patient groups responded significantly slower than HC, but there were no group differences in accuracy. A voxel-wise analysis of variance on brain activation revealed a significant interaction of group by word valence [F(2,41) = 4.44; p = .02]. Similar group differences were found for negative and positive words. For negative versus neutral words, both patient groups exhibited greater activation in dorsolateral prefrontal cortex (DLPFC) and parietal cortex relative to HC. The PBD group exhibited greater activation in ventrolateral prefrontal cortex (VLPFC) and anterior cingulate cortex (ACC) relative to HC. The ADHD group exhibited decreased VLPFC activation relative to HC and the PBD group. During cognitive control of emotion processing, PBD patients deployed the VLPFC to a greater extent than HC. The ADHD patients showed decreased VLPFC engagement relative to both HC and PBD patients.","author":[{"dropping-particle":"","family":"Passarotti","given":"Alessandra M","non-dropping-particle":"","parse-names":false,"suffix":""},{"dropping-particle":"","family":"Sweeney","given":"John A","non-dropping-particle":"","parse-names":false,"suffix":""},{"dropping-particle":"","family":"Pavuluri","given":"Mani N","non-dropping-particle":"","parse-names":false,"suffix":""}],"container-title":"Journal of the International Neuropsychological Society : JINS","id":"ITEM-1","issue":"1","issued":{"date-parts":[["2010","1"]]},"page":"106-17","publisher":"NIH Public Access","title":"Differential engagement of cognitive and affective neural systems in pediatric bipolar disorder and attention deficit hyperactivity disorder.","type":"article-journal","volume":"16"},"uris":["http://www.mendeley.com/documents/?uuid=d1278b10-c110-33b6-8bfd-32474ba3314c"]}],"mendeley":{"formattedCitation":"(Passarotti, Sweeney, &amp; Pavuluri, 2010a)","plainTextFormattedCitation":"(Passarotti, Sweeney, &amp; Pavuluri, 2010a)","previouslyFormattedCitation":"(Passarotti, Sweeney, &amp; Pavuluri, 2010a)"},"properties":{"noteIndex":0},"schema":"https://github.com/citation-style-language/schema/raw/master/csl-citation.json"}</w:instrText>
      </w:r>
      <w:r w:rsidR="000E08C4" w:rsidRPr="00A75594">
        <w:rPr>
          <w:color w:val="000000"/>
          <w:sz w:val="24"/>
          <w:szCs w:val="24"/>
          <w:shd w:val="clear" w:color="auto" w:fill="FFFFFF"/>
        </w:rPr>
        <w:fldChar w:fldCharType="separate"/>
      </w:r>
      <w:r w:rsidR="000E08C4" w:rsidRPr="00A75594">
        <w:rPr>
          <w:noProof/>
          <w:color w:val="000000"/>
          <w:sz w:val="24"/>
          <w:szCs w:val="24"/>
          <w:shd w:val="clear" w:color="auto" w:fill="FFFFFF"/>
        </w:rPr>
        <w:t>(Passarotti, Sweeney, &amp; Pavuluri, 2010a)</w:t>
      </w:r>
      <w:r w:rsidR="000E08C4" w:rsidRPr="00A75594">
        <w:rPr>
          <w:color w:val="000000"/>
          <w:sz w:val="24"/>
          <w:szCs w:val="24"/>
          <w:shd w:val="clear" w:color="auto" w:fill="FFFFFF"/>
        </w:rPr>
        <w:fldChar w:fldCharType="end"/>
      </w:r>
      <w:r w:rsidR="000E08C4" w:rsidRPr="00A75594">
        <w:rPr>
          <w:color w:val="000000"/>
          <w:sz w:val="24"/>
          <w:szCs w:val="24"/>
          <w:shd w:val="clear" w:color="auto" w:fill="FFFFFF"/>
        </w:rPr>
        <w:t>.</w:t>
      </w:r>
      <w:r w:rsidR="000E08C4">
        <w:rPr>
          <w:color w:val="000000"/>
          <w:sz w:val="24"/>
          <w:szCs w:val="24"/>
          <w:shd w:val="clear" w:color="auto" w:fill="FFFFFF"/>
        </w:rPr>
        <w:t xml:space="preserve"> </w:t>
      </w:r>
      <w:r w:rsidR="00345156">
        <w:rPr>
          <w:color w:val="000000"/>
          <w:sz w:val="24"/>
          <w:szCs w:val="24"/>
          <w:shd w:val="clear" w:color="auto" w:fill="FFFFFF"/>
        </w:rPr>
        <w:t xml:space="preserve">Further studies have found that </w:t>
      </w:r>
      <w:r w:rsidRPr="00A75594">
        <w:rPr>
          <w:sz w:val="24"/>
          <w:szCs w:val="24"/>
        </w:rPr>
        <w:t xml:space="preserve">children with ADHD showed </w:t>
      </w:r>
      <w:r w:rsidRPr="00A75594">
        <w:rPr>
          <w:color w:val="000000"/>
          <w:sz w:val="24"/>
          <w:szCs w:val="24"/>
          <w:shd w:val="clear" w:color="auto" w:fill="FFFFFF"/>
        </w:rPr>
        <w:t>reduced prefrontal activity (i.e., in ventrolateral, orbitofrontal and medial prefrontal cortices) when angry</w:t>
      </w:r>
      <w:r w:rsidR="000052E7">
        <w:rPr>
          <w:color w:val="000000"/>
          <w:sz w:val="24"/>
          <w:szCs w:val="24"/>
          <w:shd w:val="clear" w:color="auto" w:fill="FFFFFF"/>
        </w:rPr>
        <w:t xml:space="preserve"> </w:t>
      </w:r>
      <w:r w:rsidR="002B5599">
        <w:rPr>
          <w:color w:val="000000"/>
          <w:sz w:val="24"/>
          <w:szCs w:val="24"/>
          <w:shd w:val="clear" w:color="auto" w:fill="FFFFFF"/>
        </w:rPr>
        <w:t>(versus neutral)</w:t>
      </w:r>
      <w:r w:rsidRPr="00A75594">
        <w:rPr>
          <w:color w:val="000000"/>
          <w:sz w:val="24"/>
          <w:szCs w:val="24"/>
          <w:shd w:val="clear" w:color="auto" w:fill="FFFFFF"/>
        </w:rPr>
        <w:t xml:space="preserve"> faces were used in a </w:t>
      </w:r>
      <w:r w:rsidR="00345156">
        <w:rPr>
          <w:color w:val="000000"/>
          <w:sz w:val="24"/>
          <w:szCs w:val="24"/>
          <w:shd w:val="clear" w:color="auto" w:fill="FFFFFF"/>
        </w:rPr>
        <w:t xml:space="preserve">2-back </w:t>
      </w:r>
      <w:r w:rsidRPr="00A75594">
        <w:rPr>
          <w:color w:val="000000"/>
          <w:sz w:val="24"/>
          <w:szCs w:val="24"/>
          <w:shd w:val="clear" w:color="auto" w:fill="FFFFFF"/>
        </w:rPr>
        <w:t>working memory task and increased prefrontal activity in the presence of happy</w:t>
      </w:r>
      <w:r w:rsidR="002B5599">
        <w:rPr>
          <w:color w:val="000000"/>
          <w:sz w:val="24"/>
          <w:szCs w:val="24"/>
          <w:shd w:val="clear" w:color="auto" w:fill="FFFFFF"/>
        </w:rPr>
        <w:t xml:space="preserve"> (versus neutral)</w:t>
      </w:r>
      <w:r w:rsidRPr="00A75594">
        <w:rPr>
          <w:color w:val="000000"/>
          <w:sz w:val="24"/>
          <w:szCs w:val="24"/>
          <w:shd w:val="clear" w:color="auto" w:fill="FFFFFF"/>
        </w:rPr>
        <w:t xml:space="preserve"> faces, when compared to healthy controls</w:t>
      </w:r>
      <w:r w:rsidR="00503BFD">
        <w:rPr>
          <w:color w:val="000000"/>
          <w:sz w:val="24"/>
          <w:szCs w:val="24"/>
          <w:shd w:val="clear" w:color="auto" w:fill="FFFFFF"/>
        </w:rPr>
        <w:t xml:space="preserve"> </w:t>
      </w:r>
      <w:r w:rsidR="00503BFD" w:rsidRPr="00A75594">
        <w:rPr>
          <w:color w:val="000000"/>
          <w:sz w:val="24"/>
          <w:szCs w:val="24"/>
          <w:shd w:val="clear" w:color="auto" w:fill="FFFFFF"/>
        </w:rPr>
        <w:fldChar w:fldCharType="begin" w:fldLock="1"/>
      </w:r>
      <w:r w:rsidR="00503BFD" w:rsidRPr="00A75594">
        <w:rPr>
          <w:color w:val="000000"/>
          <w:sz w:val="24"/>
          <w:szCs w:val="24"/>
          <w:shd w:val="clear" w:color="auto" w:fill="FFFFFF"/>
        </w:rPr>
        <w:instrText>ADDIN CSL_CITATION {"citationItems":[{"id":"ITEM-1","itemData":{"DOI":"10.1016/j.jaac.2010.07.009","ISSN":"1527-5418","PMID":"20855051","abstract":"OBJECTIVE This functional magnetic resonance imaging (fMRI) study examined how working memory circuits are affected by face emotion processing in pediatric bipolar disorder (PBD) and attention-deficit/hyperactivity disorder (ADHD). METHODS A total of 23 patients with PBD, 14 patients with ADHD, and 19 healthy control (HC) subjects (mean age, 13.36 ± 2.55 years) underwent an affective, two-back fMRI task with blocks of happy, angry, and neutral faces. RESULTS For angry versus neutral faces PBD patients, relative to ADHD patients, exhibited increased activation in the subgenual anterior cingulate cortex (ACC) and orbitofrontal cortex, and reduced activation in the dorsolateral prefrontal cortex (DLPFC) and premotor cortex. Relative to the HC group, the PBD group showed no increased activation and reduced activation at the junction of DLPFC and ventrolateral prefrontal cortex (VLPFC). Relative to HC, the ADHD patients exhibited greater activation in the DLPFC and reduced activation in the ventral and medial PFC, pregenual ACC, striatum, and temporo-parietal regions. For happy versus neutral faces, relative to the ADHD group, the PBD group exhibited greater activation in the bilateral caudate, and relative to the HC group the ADHD group showed increased activation in the DLPFC, striatal, and parietal regions, and no reduced activation. The ADHD group, compared with the HC group, showed no reduced activation and increased activation in regions that were underactive for the angry face condition. CONCLUSIONS Relative to the ADHD group, the PBD group exhibited greater deployment of the emotion-processing circuitry and reduced deployment of working memory circuitry. Commonalities across PBD and ADHD patients, relative to the HC individuals, entailed cortico-subcortical activity that was reduced under negative emotional challenge and increased under positive emotional challenge.","author":[{"dropping-particle":"","family":"Passarotti","given":"Alessandra M","non-dropping-particle":"","parse-names":false,"suffix":""},{"dropping-particle":"","family":"Sweeney","given":"John A","non-dropping-particle":"","parse-names":false,"suffix":""},{"dropping-particle":"","family":"Pavuluri","given":"Mani N","non-dropping-particle":"","parse-names":false,"suffix":""}],"container-title":"Journal of the American Academy of Child and Adolescent Psychiatry","id":"ITEM-1","issue":"10","issued":{"date-parts":[["2010","10"]]},"page":"1064-80","publisher":"NIH Public Access","title":"Emotion processing influences working memory circuits in pediatric bipolar disorder and attention-deficit/hyperactivity disorder.","type":"article-journal","volume":"49"},"uris":["http://www.mendeley.com/documents/?uuid=ac9baee1-a7c5-3053-802a-43b619a378d5"]}],"mendeley":{"formattedCitation":"(Passarotti, Sweeney, &amp; Pavuluri, 2010b)","plainTextFormattedCitation":"(Passarotti, Sweeney, &amp; Pavuluri, 2010b)","previouslyFormattedCitation":"(Passarotti, Sweeney, &amp; Pavuluri, 2010b)"},"properties":{"noteIndex":0},"schema":"https://github.com/citation-style-language/schema/raw/master/csl-citation.json"}</w:instrText>
      </w:r>
      <w:r w:rsidR="00503BFD" w:rsidRPr="00A75594">
        <w:rPr>
          <w:color w:val="000000"/>
          <w:sz w:val="24"/>
          <w:szCs w:val="24"/>
          <w:shd w:val="clear" w:color="auto" w:fill="FFFFFF"/>
        </w:rPr>
        <w:fldChar w:fldCharType="separate"/>
      </w:r>
      <w:r w:rsidR="00503BFD" w:rsidRPr="00A75594">
        <w:rPr>
          <w:noProof/>
          <w:color w:val="000000"/>
          <w:sz w:val="24"/>
          <w:szCs w:val="24"/>
          <w:shd w:val="clear" w:color="auto" w:fill="FFFFFF"/>
        </w:rPr>
        <w:t>(Passarotti, Sweeney, &amp; Pavuluri, 2010b)</w:t>
      </w:r>
      <w:r w:rsidR="00503BFD" w:rsidRPr="00A75594">
        <w:rPr>
          <w:color w:val="000000"/>
          <w:sz w:val="24"/>
          <w:szCs w:val="24"/>
          <w:shd w:val="clear" w:color="auto" w:fill="FFFFFF"/>
        </w:rPr>
        <w:fldChar w:fldCharType="end"/>
      </w:r>
      <w:r w:rsidR="00503BFD" w:rsidRPr="00A75594">
        <w:rPr>
          <w:color w:val="000000"/>
          <w:sz w:val="24"/>
          <w:szCs w:val="24"/>
          <w:shd w:val="clear" w:color="auto" w:fill="FFFFFF"/>
        </w:rPr>
        <w:t>.</w:t>
      </w:r>
      <w:r w:rsidR="00503BFD">
        <w:rPr>
          <w:color w:val="000000"/>
          <w:sz w:val="24"/>
          <w:szCs w:val="24"/>
          <w:shd w:val="clear" w:color="auto" w:fill="FFFFFF"/>
        </w:rPr>
        <w:t xml:space="preserve"> Together these findings support </w:t>
      </w:r>
      <w:r w:rsidR="00A46E04">
        <w:rPr>
          <w:color w:val="000000"/>
          <w:sz w:val="24"/>
          <w:szCs w:val="24"/>
          <w:shd w:val="clear" w:color="auto" w:fill="FFFFFF"/>
        </w:rPr>
        <w:t xml:space="preserve">the claim </w:t>
      </w:r>
      <w:r w:rsidR="00503BFD">
        <w:rPr>
          <w:color w:val="000000"/>
          <w:sz w:val="24"/>
          <w:szCs w:val="24"/>
          <w:shd w:val="clear" w:color="auto" w:fill="FFFFFF"/>
        </w:rPr>
        <w:t>that</w:t>
      </w:r>
      <w:r w:rsidR="00503BFD" w:rsidRPr="00A75594">
        <w:rPr>
          <w:color w:val="000000"/>
          <w:sz w:val="24"/>
          <w:szCs w:val="24"/>
          <w:shd w:val="clear" w:color="auto" w:fill="FFFFFF"/>
        </w:rPr>
        <w:t xml:space="preserve"> </w:t>
      </w:r>
      <w:r w:rsidR="000052E7">
        <w:rPr>
          <w:color w:val="000000"/>
          <w:sz w:val="24"/>
          <w:szCs w:val="24"/>
          <w:shd w:val="clear" w:color="auto" w:fill="FFFFFF"/>
        </w:rPr>
        <w:t>executive function</w:t>
      </w:r>
      <w:r w:rsidR="00503BFD" w:rsidRPr="00A75594">
        <w:rPr>
          <w:color w:val="000000"/>
          <w:sz w:val="24"/>
          <w:szCs w:val="24"/>
          <w:shd w:val="clear" w:color="auto" w:fill="FFFFFF"/>
        </w:rPr>
        <w:t xml:space="preserve"> difficulties in ADHD </w:t>
      </w:r>
      <w:r w:rsidR="00503BFD">
        <w:rPr>
          <w:color w:val="000000"/>
          <w:sz w:val="24"/>
          <w:szCs w:val="24"/>
          <w:shd w:val="clear" w:color="auto" w:fill="FFFFFF"/>
        </w:rPr>
        <w:t xml:space="preserve">are modulated by the emotional valence of the stimuli. </w:t>
      </w:r>
      <w:r w:rsidR="000052E7">
        <w:rPr>
          <w:sz w:val="24"/>
          <w:szCs w:val="24"/>
        </w:rPr>
        <w:t>T</w:t>
      </w:r>
      <w:r w:rsidRPr="00A75594">
        <w:rPr>
          <w:sz w:val="24"/>
          <w:szCs w:val="24"/>
        </w:rPr>
        <w:t>he curren</w:t>
      </w:r>
      <w:r w:rsidR="006F08C6">
        <w:rPr>
          <w:sz w:val="24"/>
          <w:szCs w:val="24"/>
        </w:rPr>
        <w:t xml:space="preserve">t </w:t>
      </w:r>
      <w:r w:rsidR="006F08C6">
        <w:rPr>
          <w:sz w:val="24"/>
          <w:szCs w:val="24"/>
        </w:rPr>
        <w:lastRenderedPageBreak/>
        <w:t>study showed similar findings</w:t>
      </w:r>
      <w:r w:rsidRPr="00A75594">
        <w:rPr>
          <w:sz w:val="24"/>
          <w:szCs w:val="24"/>
        </w:rPr>
        <w:t xml:space="preserve"> </w:t>
      </w:r>
      <w:r w:rsidR="00BC5D21">
        <w:rPr>
          <w:sz w:val="24"/>
          <w:szCs w:val="24"/>
        </w:rPr>
        <w:t xml:space="preserve">with </w:t>
      </w:r>
      <w:r w:rsidRPr="00A75594">
        <w:rPr>
          <w:sz w:val="24"/>
          <w:szCs w:val="24"/>
        </w:rPr>
        <w:t xml:space="preserve">regard to </w:t>
      </w:r>
      <w:r w:rsidR="00503BFD">
        <w:rPr>
          <w:sz w:val="24"/>
          <w:szCs w:val="24"/>
        </w:rPr>
        <w:t>disrupted</w:t>
      </w:r>
      <w:r w:rsidR="006F08C6">
        <w:rPr>
          <w:sz w:val="24"/>
          <w:szCs w:val="24"/>
        </w:rPr>
        <w:t xml:space="preserve"> </w:t>
      </w:r>
      <w:r w:rsidR="008B6E2E">
        <w:rPr>
          <w:sz w:val="24"/>
          <w:szCs w:val="24"/>
        </w:rPr>
        <w:t xml:space="preserve">inhibitory control </w:t>
      </w:r>
      <w:r w:rsidR="00503BFD">
        <w:rPr>
          <w:sz w:val="24"/>
          <w:szCs w:val="24"/>
        </w:rPr>
        <w:t xml:space="preserve">in ADHD </w:t>
      </w:r>
      <w:r w:rsidR="00BA620E">
        <w:rPr>
          <w:sz w:val="24"/>
          <w:szCs w:val="24"/>
        </w:rPr>
        <w:t xml:space="preserve">that </w:t>
      </w:r>
      <w:r w:rsidR="005C6779">
        <w:rPr>
          <w:sz w:val="24"/>
          <w:szCs w:val="24"/>
        </w:rPr>
        <w:t>were</w:t>
      </w:r>
      <w:r w:rsidR="00503BFD">
        <w:rPr>
          <w:sz w:val="24"/>
          <w:szCs w:val="24"/>
        </w:rPr>
        <w:t xml:space="preserve"> evident </w:t>
      </w:r>
      <w:r w:rsidR="00630784">
        <w:rPr>
          <w:sz w:val="24"/>
          <w:szCs w:val="24"/>
        </w:rPr>
        <w:t xml:space="preserve">specifically </w:t>
      </w:r>
      <w:r w:rsidR="00503BFD">
        <w:rPr>
          <w:sz w:val="24"/>
          <w:szCs w:val="24"/>
        </w:rPr>
        <w:t>in</w:t>
      </w:r>
      <w:r w:rsidRPr="00A75594">
        <w:rPr>
          <w:sz w:val="24"/>
          <w:szCs w:val="24"/>
        </w:rPr>
        <w:t xml:space="preserve"> the presence of negative compar</w:t>
      </w:r>
      <w:r w:rsidR="006F08C6">
        <w:rPr>
          <w:sz w:val="24"/>
          <w:szCs w:val="24"/>
        </w:rPr>
        <w:t>ed to positive emotional faces.</w:t>
      </w:r>
    </w:p>
    <w:p w14:paraId="6E014176" w14:textId="01F0ADA0" w:rsidR="004000CB" w:rsidRDefault="00DA419E" w:rsidP="00DA419E">
      <w:pPr>
        <w:spacing w:line="480" w:lineRule="auto"/>
        <w:ind w:firstLine="720"/>
        <w:rPr>
          <w:sz w:val="24"/>
          <w:szCs w:val="24"/>
        </w:rPr>
      </w:pPr>
      <w:r>
        <w:rPr>
          <w:sz w:val="24"/>
          <w:szCs w:val="24"/>
        </w:rPr>
        <w:t>In the current study, disrupted performance</w:t>
      </w:r>
      <w:r w:rsidRPr="00A75594">
        <w:rPr>
          <w:sz w:val="24"/>
          <w:szCs w:val="24"/>
        </w:rPr>
        <w:t xml:space="preserve"> </w:t>
      </w:r>
      <w:r>
        <w:rPr>
          <w:sz w:val="24"/>
          <w:szCs w:val="24"/>
        </w:rPr>
        <w:t xml:space="preserve">to </w:t>
      </w:r>
      <w:r w:rsidRPr="00A75594">
        <w:rPr>
          <w:sz w:val="24"/>
          <w:szCs w:val="24"/>
        </w:rPr>
        <w:t>angry faces in individuals with high</w:t>
      </w:r>
      <w:r>
        <w:rPr>
          <w:sz w:val="24"/>
          <w:szCs w:val="24"/>
        </w:rPr>
        <w:t>er</w:t>
      </w:r>
      <w:r w:rsidRPr="00A75594">
        <w:rPr>
          <w:sz w:val="24"/>
          <w:szCs w:val="24"/>
        </w:rPr>
        <w:t xml:space="preserve"> ADHD was also supported by </w:t>
      </w:r>
      <w:r>
        <w:rPr>
          <w:sz w:val="24"/>
          <w:szCs w:val="24"/>
        </w:rPr>
        <w:t xml:space="preserve">less efficient </w:t>
      </w:r>
      <w:r w:rsidR="000252BE">
        <w:rPr>
          <w:sz w:val="24"/>
          <w:szCs w:val="24"/>
        </w:rPr>
        <w:t>processing</w:t>
      </w:r>
      <w:r w:rsidRPr="00A75594">
        <w:rPr>
          <w:sz w:val="24"/>
          <w:szCs w:val="24"/>
        </w:rPr>
        <w:t xml:space="preserve"> (i.e. slower saccade latenc</w:t>
      </w:r>
      <w:r>
        <w:rPr>
          <w:sz w:val="24"/>
          <w:szCs w:val="24"/>
        </w:rPr>
        <w:t>ies</w:t>
      </w:r>
      <w:r w:rsidRPr="00A75594">
        <w:rPr>
          <w:sz w:val="24"/>
          <w:szCs w:val="24"/>
        </w:rPr>
        <w:t>) in response to angry (vs. happy) face</w:t>
      </w:r>
      <w:r>
        <w:rPr>
          <w:sz w:val="24"/>
          <w:szCs w:val="24"/>
        </w:rPr>
        <w:t xml:space="preserve"> cues. I</w:t>
      </w:r>
      <w:r w:rsidR="006A29D2" w:rsidRPr="00A75594">
        <w:rPr>
          <w:sz w:val="24"/>
          <w:szCs w:val="24"/>
        </w:rPr>
        <w:t xml:space="preserve">nterestingly, this effect suggests that increased ADHD symptoms were associated with difficulties disengaging from angry faces (slowing a required response to move the eyes away from an angry face).  In support, disrupted processing of angry (but not happy) faces in ADHD were previously shown with reduced haemodynamic response during recognition of angry faces and </w:t>
      </w:r>
      <w:r w:rsidR="00620A64">
        <w:rPr>
          <w:sz w:val="24"/>
          <w:szCs w:val="24"/>
        </w:rPr>
        <w:t xml:space="preserve">a </w:t>
      </w:r>
      <w:r w:rsidR="006A29D2" w:rsidRPr="00A75594">
        <w:rPr>
          <w:sz w:val="24"/>
          <w:szCs w:val="24"/>
        </w:rPr>
        <w:t xml:space="preserve">typical (increased) response during recognition of happy faces </w:t>
      </w:r>
      <w:r w:rsidR="006A29D2" w:rsidRPr="00A75594">
        <w:rPr>
          <w:sz w:val="24"/>
          <w:szCs w:val="24"/>
        </w:rPr>
        <w:fldChar w:fldCharType="begin" w:fldLock="1"/>
      </w:r>
      <w:r w:rsidR="006A29D2" w:rsidRPr="00A75594">
        <w:rPr>
          <w:sz w:val="24"/>
          <w:szCs w:val="24"/>
        </w:rPr>
        <w:instrText>ADDIN CSL_CITATION {"citationItems":[{"id":"ITEM-1","itemData":{"DOI":"10.1016/J.NEUROPSYCHOLOGIA.2014.08.010","ISSN":"0028-3932","PMID":"25152531","abstract":"Children with attention-deficit/hyperactivity disorder (ADHD) have difficulty recognizing facial expressions. They identify angry expressions less accurately than typically developing (TD) children, yet little is known about their atypical neural basis for the recognition of facial expressions. Here, we used near-infrared spectroscopy (NIRS) to examine the distinctive cerebral hemodynamics of ADHD and TD children while they viewed happy and angry expressions. We measured the hemodynamic responses of 13 ADHD boys and 13 TD boys to happy and angry expressions at their bilateral temporal areas, which are sensitive to face processing. The ADHD children showed an increased concentration of oxy-Hb for happy faces but not for angry faces, while TD children showed increased oxy-Hb for both faces. Moreover, the individual peak latency of hemodynamic response in the right temporal area showed significantly greater variance in the ADHD group than in the TD group. Such atypical brain activity observed in ADHD boys may relate to their preserved ability to recognize a happy expression and their difficulty recognizing an angry expression. We firstly demonstrated that NIRS can be used to detect atypical hemodynamic response to facial expressions in ADHD children.","author":[{"dropping-particle":"","family":"Ichikawa","given":"Hiroko","non-dropping-particle":"","parse-names":false,"suffix":""},{"dropping-particle":"","family":"Nakato","given":"Emi","non-dropping-particle":"","parse-names":false,"suffix":""},{"dropping-particle":"","family":"Kanazawa","given":"So","non-dropping-particle":"","parse-names":false,"suffix":""},{"dropping-particle":"","family":"Shimamura","given":"Keiichi","non-dropping-particle":"","parse-names":false,"suffix":""},{"dropping-particle":"","family":"Sakuta","given":"Yuiko","non-dropping-particle":"","parse-names":false,"suffix":""},{"dropping-particle":"","family":"Sakuta","given":"Ryoichi","non-dropping-particle":"","parse-names":false,"suffix":""},{"dropping-particle":"","family":"Yamaguchi","given":"Masami K.","non-dropping-particle":"","parse-names":false,"suffix":""},{"dropping-particle":"","family":"Kakigi","given":"Ryusuke","non-dropping-particle":"","parse-names":false,"suffix":""}],"container-title":"Neuropsychologia","id":"ITEM-1","issued":{"date-parts":[["2014","10","1"]]},"page":"51-58","publisher":"Pergamon","title":"Hemodynamic response of children with attention-deficit and hyperactive disorder (ADHD) to emotional facial expressions","type":"article-journal","volume":"63"},"uris":["http://www.mendeley.com/documents/?uuid=e1407ad0-7210-4242-916a-1db902ff8cbf"]}],"mendeley":{"formattedCitation":"(Ichikawa et al., 2014)","plainTextFormattedCitation":"(Ichikawa et al., 2014)","previouslyFormattedCitation":"(Ichikawa et al., 2014)"},"properties":{"noteIndex":0},"schema":"https://github.com/citation-style-language/schema/raw/master/csl-citation.json"}</w:instrText>
      </w:r>
      <w:r w:rsidR="006A29D2" w:rsidRPr="00A75594">
        <w:rPr>
          <w:sz w:val="24"/>
          <w:szCs w:val="24"/>
        </w:rPr>
        <w:fldChar w:fldCharType="separate"/>
      </w:r>
      <w:r w:rsidR="006A29D2" w:rsidRPr="00A75594">
        <w:rPr>
          <w:noProof/>
          <w:sz w:val="24"/>
          <w:szCs w:val="24"/>
        </w:rPr>
        <w:t>(Ichikawa et al., 2014)</w:t>
      </w:r>
      <w:r w:rsidR="006A29D2" w:rsidRPr="00A75594">
        <w:rPr>
          <w:sz w:val="24"/>
          <w:szCs w:val="24"/>
        </w:rPr>
        <w:fldChar w:fldCharType="end"/>
      </w:r>
      <w:r w:rsidR="006A29D2" w:rsidRPr="00A75594">
        <w:rPr>
          <w:sz w:val="24"/>
          <w:szCs w:val="24"/>
        </w:rPr>
        <w:t xml:space="preserve">. Other studies, have also shown that challenges </w:t>
      </w:r>
      <w:r w:rsidR="006A29D2" w:rsidRPr="00A75594">
        <w:rPr>
          <w:noProof/>
          <w:sz w:val="24"/>
          <w:szCs w:val="24"/>
        </w:rPr>
        <w:t xml:space="preserve">with emotion identification in ADHD </w:t>
      </w:r>
      <w:r w:rsidR="00F77D1E">
        <w:rPr>
          <w:noProof/>
          <w:sz w:val="24"/>
          <w:szCs w:val="24"/>
        </w:rPr>
        <w:t>are</w:t>
      </w:r>
      <w:r w:rsidR="00F77D1E" w:rsidRPr="00A75594">
        <w:rPr>
          <w:noProof/>
          <w:sz w:val="24"/>
          <w:szCs w:val="24"/>
        </w:rPr>
        <w:t xml:space="preserve"> </w:t>
      </w:r>
      <w:r w:rsidR="006A29D2" w:rsidRPr="00A75594">
        <w:rPr>
          <w:noProof/>
          <w:sz w:val="24"/>
          <w:szCs w:val="24"/>
        </w:rPr>
        <w:t>specific to negative stimuli (including  anger, sadness and fear) (e.g.</w:t>
      </w:r>
      <w:r w:rsidR="00D835E0">
        <w:rPr>
          <w:noProof/>
          <w:sz w:val="24"/>
          <w:szCs w:val="24"/>
        </w:rPr>
        <w:t>,</w:t>
      </w:r>
      <w:r w:rsidR="006A29D2" w:rsidRPr="00A75594">
        <w:rPr>
          <w:noProof/>
          <w:sz w:val="24"/>
          <w:szCs w:val="24"/>
        </w:rPr>
        <w:t xml:space="preserve"> </w:t>
      </w:r>
      <w:r w:rsidR="006A29D2" w:rsidRPr="00A75594">
        <w:rPr>
          <w:noProof/>
          <w:sz w:val="24"/>
          <w:szCs w:val="24"/>
        </w:rPr>
        <w:fldChar w:fldCharType="begin" w:fldLock="1"/>
      </w:r>
      <w:r w:rsidR="00A34041">
        <w:rPr>
          <w:noProof/>
          <w:sz w:val="24"/>
          <w:szCs w:val="24"/>
        </w:rPr>
        <w:instrText>ADDIN CSL_CITATION {"citationItems":[{"id":"ITEM-1","itemData":{"DOI":"10.1016/j.pediatrneurol.2006.01.014","ISSN":"0887-8994","PMID":"16876003","abstract":"In ADHD, impaired interpersonal relationships have been documented. They have been hypothesized to be secondary to impairment of receptive nonverbal language. Recognition of emotional facial expressions is an important aspect of receptive nonverbal language, and it has been demonstrated to be central to organization of emotional and social behavior. This study investigated the identification of facial expression of four emotions (joy, anger, disgust, and sadness) in a group of 30 children aged 7-12 years who met the DSM-IV criteria for ADHD disorder of the predominantly hyperactive-impulsive type and have no comorbid mental retardation, specific learning difficulties, developmental coordination disorder, pervasive developmental disorders, conduct disorder, bipolar disorder, or substance abuse, and in 30 matched unimpaired control children. The test used includes 16 validated photographs depicting these emotions in varying intensities constructed by morphing. Children with ADHD exhibited a general deficit in decoding emotional facial expressions, with specific deficit in identifying anger and sadness. Self-rating of the task difficulty revealed lack of awareness of decoding errors in the ADHD group as compared with control subjects. Within the ADHD group, there was a significant correlation between interpersonal problems and emotional facial expression decoding impairment, which was more marked for anger expressions. These results suggest suboptimal nonverbal decoding abilities in ADHD that may have important implications for therapy.","author":[{"dropping-particle":"","family":"Pelc","given":"Karine","non-dropping-particle":"","parse-names":false,"suffix":""},{"dropping-particle":"","family":"Kornreich","given":"Charles","non-dropping-particle":"","parse-names":false,"suffix":""},{"dropping-particle":"","family":"Foisy","given":"Marie-Line","non-dropping-particle":"","parse-names":false,"suffix":""},{"dropping-particle":"","family":"Dan","given":"Bernard","non-dropping-particle":"","parse-names":false,"suffix":""}],"container-title":"Pediatric neurology","id":"ITEM-1","issue":"2","issued":{"date-parts":[["2006","8","1"]]},"page":"93-7","publisher":"Elsevier","title":"Recognition of emotional facial expressions in attention-deficit hyperactivity disorder.","type":"article-journal","volume":"35"},"uris":["http://www.mendeley.com/documents/?uuid=1603b25b-b6b5-42c2-a07c-1979696548c9"]},{"id":"ITEM-2","itemData":{"DOI":"10.1016/j.biopsych.2007.11.022","ISSN":"1873-2402","PMID":"18272140","abstract":"BACKGROUND: In addition to cognitive impairment, there are disruptions to mood and emotion processing in attention-deficit/hyperactivity disorder (ADHD) but little is known about their neural basis. We examined ADHD disturbances in mood and emotion recognition and underlying neural systems before and after treatment with stimulant medication.\n\nMETHODS: Participants were 51 unmedicated ADHD adolescents and 51 matched healthy control subjects rated for depressed and anxious mood and accuracy for identifying facial expressions of basic emotion. Brain function was recorded using event-related potentials (ERPs) while subjects viewed these expressions. ADHD subjects were retested after 4 weeks, following treatment with methylphenidate (MPH).\n\nRESULTS: ADHD subjects showed a profile of emotion-related impairment: higher depression and anxiety, deficits in identifying threat-related emotional expressions in particular, and alterations in ERPs. There was a pronounced reduction in occipital activity during the early perceptual analysis of emotional expression (within 120 msec), followed by an exaggeration of activity associated with structural encoding (120-220 msec) and subsequent reduction and slowing of temporal brain activity subserving context processing (300-400 msec). Methylphenidate normalized neural activity and produced some improvement of emotion recognition but had no impact on negative mood. Improvements in neural activity with MPH were consistent predictors of improvement in clinical features of emotional lability and hyperactivity.\n\nCONCLUSIONS: Objective behavioral and brain function measures of emotion processing may provide a valuable addition to the clinical armamentarium for assessing emotional disturbances in ADHD and the efficacy of stimulants for treating these disturbances.","author":[{"dropping-particle":"","family":"Williams","given":"Leanne M.","non-dropping-particle":"","parse-names":false,"suffix":""},{"dropping-particle":"","family":"Hermens","given":"Daniel F.","non-dropping-particle":"","parse-names":false,"suffix":""},{"dropping-particle":"","family":"Palmer","given":"Donna","non-dropping-particle":"","parse-names":false,"suffix":""},{"dropping-particle":"","family":"Kohn","given":"Michael","non-dropping-particle":"","parse-names":false,"suffix":""},{"dropping-particle":"","family":"Clarke","given":"Simon","non-dropping-particle":"","parse-names":false,"suffix":""},{"dropping-particle":"","family":"Keage","given":"Hannah","non-dropping-particle":"","parse-names":false,"suffix":""},{"dropping-particle":"","family":"Clark","given":"C. Richard","non-dropping-particle":"","parse-names":false,"suffix":""},{"dropping-particle":"","family":"Gordon","given":"Evian","non-dropping-particle":"","parse-names":false,"suffix":""}],"container-title":"Biological psychiatry","id":"ITEM-2","issue":"10","issued":{"date-parts":[["2008","5","15"]]},"page":"917-26","publisher":"Elsevier","title":"Misinterpreting emotional expressions in attention-deficit/hyperactivity disorder: evidence for a neural marker and stimulant effects.","type":"article-journal","volume":"63"},"uris":["http://www.mendeley.com/documents/?uuid=43255631-85b9-4b6b-a887-0c60baa3b4f4"]},{"id":"ITEM-3","itemData":{"DOI":"10.1177/01454455980222002","ISSN":"0145-4455","abstract":"Fifty children and adolescents were tested for their ability to recognize the 6 basic facial expressions of emotion depicted in Ekman and Friesen's normed photographs. Subjects were presented with sets of 6 photographs of faces, each portraying a different basic emotion, and stories portraying those emotions were read to them. After each story, the subject was asked to point to the photograph in the set that depicted the emotion described. Overall, the children correctly identified the emotions on 74% of the presentations. The highest level of accuracy in recognition was for happiness, followed by sadness, with fear being the emotional expression that was mistaken most often. When compared to studies of children in the general population, children with ADHD have deficits in their ability to accurately recognize facial expressions of emotion. These findings have important implications for the remediation of social skill deficits commonly seen in children with ADHD.","author":[{"dropping-particle":"","family":"Singh","given":"Subhashni D.","non-dropping-particle":"","parse-names":false,"suffix":""},{"dropping-particle":"","family":"Ellis","given":"Cynthia R.","non-dropping-particle":"","parse-names":false,"suffix":""},{"dropping-particle":"","family":"Winton","given":"Alan S. W.","non-dropping-particle":"","parse-names":false,"suffix":""},{"dropping-particle":"","family":"Singh","given":"Nirbhay N.","non-dropping-particle":"","parse-names":false,"suffix":""},{"dropping-particle":"","family":"Leung","given":"Jin Pang","non-dropping-particle":"","parse-names":false,"suffix":""},{"dropping-particle":"","family":"Oswald","given":"Donald P.","non-dropping-particle":"","parse-names":false,"suffix":""}],"container-title":"Behavior Modification","id":"ITEM-3","issue":"2","issued":{"date-parts":[["1998","4","26"]]},"page":"128-142","publisher":"SAGE PUBLICATIONS, INC.2455 Teller Road, Thousand Oaks, CA 91320","title":"Recognition of Facial Expressions of Emotion by Children with Attention-Deficit Hyperactivity Disorder","type":"article-journal","volume":"22"},"uris":["http://www.mendeley.com/documents/?uuid=ea18cdce-8754-3aad-8ed1-90fcdecf558f"]}],"mendeley":{"formattedCitation":"(Pelc, Kornreich, Foisy, &amp; Dan, 2006; Singh et al., 1998; Williams et al., 2008)","manualFormatting":"Pelc et al., 2006; Singh et al., 1998; Williams et al., 2008)","plainTextFormattedCitation":"(Pelc, Kornreich, Foisy, &amp; Dan, 2006; Singh et al., 1998; Williams et al., 2008)","previouslyFormattedCitation":"(Pelc, Kornreich, Foisy, &amp; Dan, 2006; Singh et al., 1998; Williams et al., 2008)"},"properties":{"noteIndex":0},"schema":"https://github.com/citation-style-language/schema/raw/master/csl-citation.json"}</w:instrText>
      </w:r>
      <w:r w:rsidR="006A29D2" w:rsidRPr="00A75594">
        <w:rPr>
          <w:noProof/>
          <w:sz w:val="24"/>
          <w:szCs w:val="24"/>
        </w:rPr>
        <w:fldChar w:fldCharType="separate"/>
      </w:r>
      <w:r w:rsidR="006A29D2" w:rsidRPr="00A75594">
        <w:rPr>
          <w:noProof/>
          <w:sz w:val="24"/>
          <w:szCs w:val="24"/>
        </w:rPr>
        <w:t>Pelc et al., 2006; Singh et al., 1998; Williams et al., 2008)</w:t>
      </w:r>
      <w:r w:rsidR="006A29D2" w:rsidRPr="00A75594">
        <w:rPr>
          <w:noProof/>
          <w:sz w:val="24"/>
          <w:szCs w:val="24"/>
        </w:rPr>
        <w:fldChar w:fldCharType="end"/>
      </w:r>
      <w:r w:rsidR="006A29D2" w:rsidRPr="00A75594">
        <w:rPr>
          <w:noProof/>
          <w:sz w:val="24"/>
          <w:szCs w:val="24"/>
        </w:rPr>
        <w:t xml:space="preserve">. </w:t>
      </w:r>
      <w:r w:rsidR="00FC4873">
        <w:rPr>
          <w:noProof/>
          <w:sz w:val="24"/>
          <w:szCs w:val="24"/>
        </w:rPr>
        <w:t>Overall, the curent</w:t>
      </w:r>
      <w:r w:rsidR="004000CB">
        <w:rPr>
          <w:noProof/>
          <w:sz w:val="24"/>
          <w:szCs w:val="24"/>
        </w:rPr>
        <w:t xml:space="preserve"> findings </w:t>
      </w:r>
      <w:r w:rsidR="00914754">
        <w:rPr>
          <w:noProof/>
          <w:sz w:val="24"/>
          <w:szCs w:val="24"/>
        </w:rPr>
        <w:t>support a</w:t>
      </w:r>
      <w:r w:rsidR="004000CB">
        <w:rPr>
          <w:noProof/>
          <w:sz w:val="24"/>
          <w:szCs w:val="24"/>
        </w:rPr>
        <w:t xml:space="preserve"> threat-specific attentional and inhibitory control disruption </w:t>
      </w:r>
      <w:r>
        <w:rPr>
          <w:noProof/>
          <w:sz w:val="24"/>
          <w:szCs w:val="24"/>
        </w:rPr>
        <w:t xml:space="preserve">in high ADHD </w:t>
      </w:r>
      <w:r w:rsidR="004000CB">
        <w:rPr>
          <w:noProof/>
          <w:sz w:val="24"/>
          <w:szCs w:val="24"/>
        </w:rPr>
        <w:t xml:space="preserve">found </w:t>
      </w:r>
      <w:r w:rsidR="00914754">
        <w:rPr>
          <w:noProof/>
          <w:sz w:val="24"/>
          <w:szCs w:val="24"/>
        </w:rPr>
        <w:t xml:space="preserve">also </w:t>
      </w:r>
      <w:r w:rsidR="004000CB">
        <w:rPr>
          <w:noProof/>
          <w:sz w:val="24"/>
          <w:szCs w:val="24"/>
        </w:rPr>
        <w:t xml:space="preserve">in </w:t>
      </w:r>
      <w:r w:rsidR="00BA620E">
        <w:rPr>
          <w:noProof/>
          <w:sz w:val="24"/>
          <w:szCs w:val="24"/>
        </w:rPr>
        <w:t>previous research</w:t>
      </w:r>
      <w:r w:rsidR="004000CB">
        <w:rPr>
          <w:noProof/>
          <w:sz w:val="24"/>
          <w:szCs w:val="24"/>
        </w:rPr>
        <w:t xml:space="preserve">. </w:t>
      </w:r>
    </w:p>
    <w:p w14:paraId="5AC0F690" w14:textId="41CE016D" w:rsidR="00915D6B" w:rsidRPr="008F415A" w:rsidRDefault="00914754" w:rsidP="00914754">
      <w:pPr>
        <w:spacing w:line="480" w:lineRule="auto"/>
        <w:ind w:firstLine="720"/>
        <w:rPr>
          <w:sz w:val="24"/>
          <w:szCs w:val="24"/>
        </w:rPr>
      </w:pPr>
      <w:r>
        <w:rPr>
          <w:sz w:val="24"/>
          <w:szCs w:val="24"/>
        </w:rPr>
        <w:t xml:space="preserve">Angry faces impacted attentional processing in individuals with elevated levels of anxiety in a different way </w:t>
      </w:r>
      <w:r w:rsidR="00CA7A75">
        <w:rPr>
          <w:sz w:val="24"/>
          <w:szCs w:val="24"/>
        </w:rPr>
        <w:t>to</w:t>
      </w:r>
      <w:r>
        <w:rPr>
          <w:sz w:val="24"/>
          <w:szCs w:val="24"/>
        </w:rPr>
        <w:t xml:space="preserve"> that of ADHD. </w:t>
      </w:r>
      <w:r w:rsidR="000052E7">
        <w:rPr>
          <w:sz w:val="24"/>
          <w:szCs w:val="24"/>
        </w:rPr>
        <w:t>Increased</w:t>
      </w:r>
      <w:r w:rsidR="006A29D2" w:rsidRPr="00A75594">
        <w:rPr>
          <w:sz w:val="24"/>
          <w:szCs w:val="24"/>
        </w:rPr>
        <w:t xml:space="preserve"> anxiety </w:t>
      </w:r>
      <w:r w:rsidR="000052E7">
        <w:rPr>
          <w:sz w:val="24"/>
          <w:szCs w:val="24"/>
        </w:rPr>
        <w:t xml:space="preserve">was associated with </w:t>
      </w:r>
      <w:r w:rsidR="006A29D2" w:rsidRPr="00A75594">
        <w:rPr>
          <w:sz w:val="24"/>
          <w:szCs w:val="24"/>
        </w:rPr>
        <w:t xml:space="preserve">faster </w:t>
      </w:r>
      <w:r>
        <w:rPr>
          <w:sz w:val="24"/>
          <w:szCs w:val="24"/>
        </w:rPr>
        <w:t>saccade latencies</w:t>
      </w:r>
      <w:r w:rsidR="006A29D2" w:rsidRPr="00A75594">
        <w:rPr>
          <w:sz w:val="24"/>
          <w:szCs w:val="24"/>
        </w:rPr>
        <w:t xml:space="preserve"> </w:t>
      </w:r>
      <w:r w:rsidR="00752C35">
        <w:rPr>
          <w:sz w:val="24"/>
          <w:szCs w:val="24"/>
        </w:rPr>
        <w:t>for</w:t>
      </w:r>
      <w:r w:rsidR="006A29D2" w:rsidRPr="00A75594">
        <w:rPr>
          <w:sz w:val="24"/>
          <w:szCs w:val="24"/>
        </w:rPr>
        <w:t xml:space="preserve"> angry relative to happy </w:t>
      </w:r>
      <w:r w:rsidR="00D44B68" w:rsidRPr="00A75594">
        <w:rPr>
          <w:sz w:val="24"/>
          <w:szCs w:val="24"/>
        </w:rPr>
        <w:t>facial expressions</w:t>
      </w:r>
      <w:r w:rsidR="006A29D2" w:rsidRPr="00A75594">
        <w:rPr>
          <w:sz w:val="24"/>
          <w:szCs w:val="24"/>
        </w:rPr>
        <w:t xml:space="preserve">. </w:t>
      </w:r>
      <w:r w:rsidR="007050D5">
        <w:rPr>
          <w:sz w:val="24"/>
          <w:szCs w:val="24"/>
        </w:rPr>
        <w:t>In this study</w:t>
      </w:r>
      <w:r w:rsidR="00503BFD">
        <w:rPr>
          <w:sz w:val="24"/>
          <w:szCs w:val="24"/>
        </w:rPr>
        <w:t>,</w:t>
      </w:r>
      <w:r w:rsidR="007050D5">
        <w:rPr>
          <w:sz w:val="24"/>
          <w:szCs w:val="24"/>
        </w:rPr>
        <w:t xml:space="preserve"> faces were central to task goals and behaviour.  </w:t>
      </w:r>
      <w:r w:rsidR="006A29D2" w:rsidRPr="00A75594">
        <w:rPr>
          <w:sz w:val="24"/>
          <w:szCs w:val="24"/>
        </w:rPr>
        <w:t xml:space="preserve">Previous evidence </w:t>
      </w:r>
      <w:r w:rsidR="007B0DCC">
        <w:rPr>
          <w:sz w:val="24"/>
          <w:szCs w:val="24"/>
        </w:rPr>
        <w:t xml:space="preserve">has </w:t>
      </w:r>
      <w:r w:rsidR="006A29D2" w:rsidRPr="00A75594">
        <w:rPr>
          <w:sz w:val="24"/>
          <w:szCs w:val="24"/>
        </w:rPr>
        <w:t>show</w:t>
      </w:r>
      <w:r w:rsidR="007B0DCC">
        <w:rPr>
          <w:sz w:val="24"/>
          <w:szCs w:val="24"/>
        </w:rPr>
        <w:t>n</w:t>
      </w:r>
      <w:r w:rsidR="006A29D2" w:rsidRPr="00A75594">
        <w:rPr>
          <w:sz w:val="24"/>
          <w:szCs w:val="24"/>
        </w:rPr>
        <w:t xml:space="preserve"> that </w:t>
      </w:r>
      <w:r w:rsidR="00620A64">
        <w:rPr>
          <w:sz w:val="24"/>
          <w:szCs w:val="24"/>
        </w:rPr>
        <w:t xml:space="preserve">threatening stimuli presented peripherally </w:t>
      </w:r>
      <w:r w:rsidR="00BB3F05">
        <w:rPr>
          <w:sz w:val="24"/>
          <w:szCs w:val="24"/>
        </w:rPr>
        <w:t xml:space="preserve">capture </w:t>
      </w:r>
      <w:r w:rsidR="006A29D2" w:rsidRPr="00A75594">
        <w:rPr>
          <w:sz w:val="24"/>
          <w:szCs w:val="24"/>
        </w:rPr>
        <w:t>attention</w:t>
      </w:r>
      <w:r w:rsidR="00620A64">
        <w:rPr>
          <w:sz w:val="24"/>
          <w:szCs w:val="24"/>
        </w:rPr>
        <w:t>, as reflected in</w:t>
      </w:r>
      <w:r w:rsidR="006A29D2" w:rsidRPr="00A75594">
        <w:rPr>
          <w:sz w:val="24"/>
          <w:szCs w:val="24"/>
        </w:rPr>
        <w:t xml:space="preserve"> faster response</w:t>
      </w:r>
      <w:r w:rsidR="00620A64">
        <w:rPr>
          <w:sz w:val="24"/>
          <w:szCs w:val="24"/>
        </w:rPr>
        <w:t xml:space="preserve"> times </w:t>
      </w:r>
      <w:r w:rsidR="006A29D2" w:rsidRPr="00A75594">
        <w:rPr>
          <w:sz w:val="24"/>
          <w:szCs w:val="24"/>
        </w:rPr>
        <w:fldChar w:fldCharType="begin" w:fldLock="1"/>
      </w:r>
      <w:r w:rsidR="000E1F2F">
        <w:rPr>
          <w:sz w:val="24"/>
          <w:szCs w:val="24"/>
        </w:rPr>
        <w:instrText>ADDIN CSL_CITATION {"citationItems":[{"id":"ITEM-1","itemData":{"DOI":"10.1016/j.cpr.2009.11.003","ISSN":"1873-7811","PMID":"20005616","abstract":"A wealth of research demonstrates attentional biases toward threat in the anxiety disorders. Several models have been advanced to explain these biases in anxiety, yet the mechanisms comprising and mediating the biases remain unclear. In the present article, we review evidence regarding the mechanisms of attentional biases through careful examination of the components of attentional bias, the mechanisms underlying these components, and the stage of information processing during which the biases occur. Facilitated attention, difficulty in disengagement, and attentional avoidance comprise the components of attentional bias. A threat detection mechanism likely underlies facilitated attention, a process that may be neurally centered around the amygdala. Attentional control ability likely underlies difficulty in disengagement, emotion regulation goals likely underlie attentional avoidance, and both of these processes may be neurally centered around prefrontal cortex functioning. The threat detection mechanism may be a mostly automatic process, attentional avoidance may be a mostly strategic process, and difficulty in disengagement may be a mixture of automatic and strategic processing. Recommendations for future research are discussed.","author":[{"dropping-particle":"","family":"Cisler","given":"Josh M.","non-dropping-particle":"","parse-names":false,"suffix":""},{"dropping-particle":"","family":"Koster","given":"Ernst H.W. W","non-dropping-particle":"","parse-names":false,"suffix":""}],"container-title":"Clinical psychology review","id":"ITEM-1","issue":"2","issued":{"date-parts":[["2010","3"]]},"page":"203-16","title":"Mechanisms of attentional biases towards threat in anxiety disorders: An integrative review.","type":"article-journal","volume":"30"},"uris":["http://www.mendeley.com/documents/?uuid=9f59087d-d793-4c82-b9ba-d339d48ccd39"]}],"mendeley":{"formattedCitation":"(Cisler &amp; Koster, 2010)","manualFormatting":"(see the review by Cisler &amp; Koster, 2010)","plainTextFormattedCitation":"(Cisler &amp; Koster, 2010)","previouslyFormattedCitation":"(Cisler &amp; Koster, 2010)"},"properties":{"noteIndex":0},"schema":"https://github.com/citation-style-language/schema/raw/master/csl-citation.json"}</w:instrText>
      </w:r>
      <w:r w:rsidR="006A29D2" w:rsidRPr="00A75594">
        <w:rPr>
          <w:sz w:val="24"/>
          <w:szCs w:val="24"/>
        </w:rPr>
        <w:fldChar w:fldCharType="separate"/>
      </w:r>
      <w:r w:rsidR="006A29D2" w:rsidRPr="00A75594">
        <w:rPr>
          <w:noProof/>
          <w:sz w:val="24"/>
          <w:szCs w:val="24"/>
        </w:rPr>
        <w:t>(</w:t>
      </w:r>
      <w:r w:rsidR="000B78CE">
        <w:rPr>
          <w:noProof/>
          <w:sz w:val="24"/>
          <w:szCs w:val="24"/>
        </w:rPr>
        <w:t xml:space="preserve">see the </w:t>
      </w:r>
      <w:r w:rsidR="006A29D2" w:rsidRPr="00A75594">
        <w:rPr>
          <w:noProof/>
          <w:sz w:val="24"/>
          <w:szCs w:val="24"/>
        </w:rPr>
        <w:t>review by Cisler &amp; Koster, 2010)</w:t>
      </w:r>
      <w:r w:rsidR="006A29D2" w:rsidRPr="00A75594">
        <w:rPr>
          <w:sz w:val="24"/>
          <w:szCs w:val="24"/>
        </w:rPr>
        <w:fldChar w:fldCharType="end"/>
      </w:r>
      <w:r w:rsidR="006A29D2" w:rsidRPr="00A75594">
        <w:rPr>
          <w:sz w:val="24"/>
          <w:szCs w:val="24"/>
        </w:rPr>
        <w:t xml:space="preserve"> in </w:t>
      </w:r>
      <w:r w:rsidR="007050D5">
        <w:rPr>
          <w:sz w:val="24"/>
          <w:szCs w:val="24"/>
        </w:rPr>
        <w:t>individuals who report</w:t>
      </w:r>
      <w:r w:rsidR="00BB3F05">
        <w:rPr>
          <w:sz w:val="24"/>
          <w:szCs w:val="24"/>
        </w:rPr>
        <w:t>ed</w:t>
      </w:r>
      <w:r w:rsidR="007050D5">
        <w:rPr>
          <w:sz w:val="24"/>
          <w:szCs w:val="24"/>
        </w:rPr>
        <w:t xml:space="preserve"> </w:t>
      </w:r>
      <w:r w:rsidR="006A29D2" w:rsidRPr="00A75594">
        <w:rPr>
          <w:sz w:val="24"/>
          <w:szCs w:val="24"/>
        </w:rPr>
        <w:t xml:space="preserve">high trait anxiety </w:t>
      </w:r>
      <w:r w:rsidR="006A29D2" w:rsidRPr="00A75594">
        <w:rPr>
          <w:sz w:val="24"/>
          <w:szCs w:val="24"/>
        </w:rPr>
        <w:fldChar w:fldCharType="begin" w:fldLock="1"/>
      </w:r>
      <w:r w:rsidR="006A29D2" w:rsidRPr="00A75594">
        <w:rPr>
          <w:sz w:val="24"/>
          <w:szCs w:val="24"/>
        </w:rPr>
        <w:instrText>ADDIN CSL_CITATION {"citationItems":[{"id":"ITEM-1","itemData":{"DOI":"10.1080/02699930050156636","ISSN":"0269-9931","abstract":"Attentional biases for emotional faces were investigated in high, medium, and low anxiety groups (N = 54) using a probe detection task. Four types of facial expression (threat, sad, happy, neutral) were used to examine the specificity of the bias. Attentional bias measures were derived from manual reaction times (RTs) to probes and the direction of initial eye movement (EM) to the faces. The RT data indicated enhanced vigilance for threat rather than neutral faces in high and medium, but not low, state anxiety. The bias for negative faces appeared to be a combined function of stimulus threat value and the individual's anxiety level. The RT bias did not seem to depend on overt orienting, as many participants made few EMs. However, those who made frequent EMs to the faces showed concordance between the RT and EM bias measures, and so the RT measure of attentional bias for negative versus positive faces at 500 ms appears to provide a valid index of the direction of initial orienting to emotional stimuli. The...","author":[{"dropping-particle":"","family":"Bradley","given":"Brendan P.","non-dropping-particle":"","parse-names":false,"suffix":""},{"dropping-particle":"","family":"Mogg","given":"Karin","non-dropping-particle":"","parse-names":false,"suffix":""},{"dropping-particle":"","family":"Millar","given":"Neil H.","non-dropping-particle":"","parse-names":false,"suffix":""}],"container-title":"Cognition and Emotion","id":"ITEM-1","issue":"6","issued":{"date-parts":[["2000","11"]]},"page":"789-808","publisher":" Taylor &amp; Francis Group ","title":"Covert and overt orienting of attention to emotional faces in anxiety","type":"article-journal","volume":"14"},"uris":["http://www.mendeley.com/documents/?uuid=e94f358d-6cf8-325e-9c3b-0c42e90e4546"]}],"mendeley":{"formattedCitation":"(Bradley, Mogg, &amp; Millar, 2000)","plainTextFormattedCitation":"(Bradley, Mogg, &amp; Millar, 2000)","previouslyFormattedCitation":"(Bradley, Mogg, &amp; Millar, 2000)"},"properties":{"noteIndex":0},"schema":"https://github.com/citation-style-language/schema/raw/master/csl-citation.json"}</w:instrText>
      </w:r>
      <w:r w:rsidR="006A29D2" w:rsidRPr="00A75594">
        <w:rPr>
          <w:sz w:val="24"/>
          <w:szCs w:val="24"/>
        </w:rPr>
        <w:fldChar w:fldCharType="separate"/>
      </w:r>
      <w:r w:rsidR="006A29D2" w:rsidRPr="00A75594">
        <w:rPr>
          <w:noProof/>
          <w:sz w:val="24"/>
          <w:szCs w:val="24"/>
        </w:rPr>
        <w:t>(Bradley, Mogg, &amp; Millar, 2000)</w:t>
      </w:r>
      <w:r w:rsidR="006A29D2" w:rsidRPr="00A75594">
        <w:rPr>
          <w:sz w:val="24"/>
          <w:szCs w:val="24"/>
        </w:rPr>
        <w:fldChar w:fldCharType="end"/>
      </w:r>
      <w:r w:rsidR="006A29D2" w:rsidRPr="00A75594">
        <w:rPr>
          <w:sz w:val="24"/>
          <w:szCs w:val="24"/>
        </w:rPr>
        <w:t xml:space="preserve"> and </w:t>
      </w:r>
      <w:r w:rsidR="007050D5">
        <w:rPr>
          <w:sz w:val="24"/>
          <w:szCs w:val="24"/>
        </w:rPr>
        <w:t xml:space="preserve">those diagnosed with </w:t>
      </w:r>
      <w:r w:rsidR="006A29D2" w:rsidRPr="00A75594">
        <w:rPr>
          <w:sz w:val="24"/>
          <w:szCs w:val="24"/>
        </w:rPr>
        <w:t xml:space="preserve">clinical anxiety </w:t>
      </w:r>
      <w:r w:rsidR="006A29D2" w:rsidRPr="00A75594">
        <w:rPr>
          <w:sz w:val="24"/>
          <w:szCs w:val="24"/>
        </w:rPr>
        <w:fldChar w:fldCharType="begin" w:fldLock="1"/>
      </w:r>
      <w:r w:rsidR="006A29D2" w:rsidRPr="00A75594">
        <w:rPr>
          <w:sz w:val="24"/>
          <w:szCs w:val="24"/>
        </w:rPr>
        <w:instrText>ADDIN CSL_CITATION {"citationItems":[{"id":"ITEM-1","itemData":{"ISSN":"0005-7967","PMID":"12051486","abstract":"The experiment tested whether patients with social phobia direct their attention to or away from faces with a range of emotional expressions. A modified dot probe paradigm (J. Abnorm. Psychol. 95 (1986) 15) measured whether participants attended more to faces or to household objects. Twenty patients with social phobia were faster in identifying the probe when it occurred in the location of the household objects, regardless of whether the facial expressions were positive, neutral, or negative. In contrast, controls did not exhibit an attentional preference. The results are in line with recent theories of social phobia that emphasize the role of reduced processing of external social cues in maintaining social anxiety.","author":[{"dropping-particle":"","family":"Chen","given":"Y P","non-dropping-particle":"","parse-names":false,"suffix":""},{"dropping-particle":"","family":"Ehlers","given":"A","non-dropping-particle":"","parse-names":false,"suffix":""},{"dropping-particle":"","family":"Clark","given":"D M","non-dropping-particle":"","parse-names":false,"suffix":""},{"dropping-particle":"","family":"Mansell","given":"W","non-dropping-particle":"","parse-names":false,"suffix":""}],"container-title":"Behaviour research and therapy","id":"ITEM-1","issue":"6","issued":{"date-parts":[["2002","6"]]},"page":"677-87","title":"Patients with generalized social phobia direct their attention away from faces.","type":"article-journal","volume":"40"},"uris":["http://www.mendeley.com/documents/?uuid=a650f69e-9da5-3a8c-bf7f-2dd27655a81f"]}],"mendeley":{"formattedCitation":"(Chen, Ehlers, Clark, &amp; Mansell, 2002)","plainTextFormattedCitation":"(Chen, Ehlers, Clark, &amp; Mansell, 2002)","previouslyFormattedCitation":"(Chen, Ehlers, Clark, &amp; Mansell, 2002)"},"properties":{"noteIndex":0},"schema":"https://github.com/citation-style-language/schema/raw/master/csl-citation.json"}</w:instrText>
      </w:r>
      <w:r w:rsidR="006A29D2" w:rsidRPr="00A75594">
        <w:rPr>
          <w:sz w:val="24"/>
          <w:szCs w:val="24"/>
        </w:rPr>
        <w:fldChar w:fldCharType="separate"/>
      </w:r>
      <w:r w:rsidR="006A29D2" w:rsidRPr="00A75594">
        <w:rPr>
          <w:noProof/>
          <w:sz w:val="24"/>
          <w:szCs w:val="24"/>
        </w:rPr>
        <w:t>(Chen, Ehlers, Clark, &amp; Mansell, 2002)</w:t>
      </w:r>
      <w:r w:rsidR="006A29D2" w:rsidRPr="00A75594">
        <w:rPr>
          <w:sz w:val="24"/>
          <w:szCs w:val="24"/>
        </w:rPr>
        <w:fldChar w:fldCharType="end"/>
      </w:r>
      <w:r w:rsidR="007050D5">
        <w:rPr>
          <w:sz w:val="24"/>
          <w:szCs w:val="24"/>
        </w:rPr>
        <w:t>.  Further studies have suggested that over extended time periods</w:t>
      </w:r>
      <w:r w:rsidR="000B78CE">
        <w:rPr>
          <w:sz w:val="24"/>
          <w:szCs w:val="24"/>
        </w:rPr>
        <w:t>,</w:t>
      </w:r>
      <w:r w:rsidR="007050D5">
        <w:rPr>
          <w:sz w:val="24"/>
          <w:szCs w:val="24"/>
        </w:rPr>
        <w:t xml:space="preserve"> anxiety is linked to </w:t>
      </w:r>
      <w:r w:rsidR="006A29D2" w:rsidRPr="00A75594">
        <w:rPr>
          <w:sz w:val="24"/>
          <w:szCs w:val="24"/>
        </w:rPr>
        <w:t xml:space="preserve">increased avoidance </w:t>
      </w:r>
      <w:r w:rsidR="007050D5">
        <w:rPr>
          <w:sz w:val="24"/>
          <w:szCs w:val="24"/>
        </w:rPr>
        <w:t>of</w:t>
      </w:r>
      <w:r w:rsidR="006A29D2" w:rsidRPr="00A75594">
        <w:rPr>
          <w:sz w:val="24"/>
          <w:szCs w:val="24"/>
        </w:rPr>
        <w:t xml:space="preserve"> threat</w:t>
      </w:r>
      <w:r w:rsidR="000B78CE">
        <w:rPr>
          <w:sz w:val="24"/>
          <w:szCs w:val="24"/>
        </w:rPr>
        <w:t>en</w:t>
      </w:r>
      <w:r w:rsidR="006A29D2" w:rsidRPr="00A75594">
        <w:rPr>
          <w:sz w:val="24"/>
          <w:szCs w:val="24"/>
        </w:rPr>
        <w:t xml:space="preserve">ing stimuli </w:t>
      </w:r>
      <w:r w:rsidR="006A29D2" w:rsidRPr="00A75594">
        <w:rPr>
          <w:sz w:val="24"/>
          <w:szCs w:val="24"/>
        </w:rPr>
        <w:fldChar w:fldCharType="begin" w:fldLock="1"/>
      </w:r>
      <w:r w:rsidR="004000CB">
        <w:rPr>
          <w:sz w:val="24"/>
          <w:szCs w:val="24"/>
        </w:rPr>
        <w:instrText>ADDIN CSL_CITATION {"citationItems":[{"id":"ITEM-1","itemData":{"DOI":"10.1080/02699930341000158","ISSN":"0269-9931","author":[{"dropping-particle":"","family":"Mogg","given":"Karin","non-dropping-particle":"","parse-names":false,"suffix":""},{"dropping-particle":"","family":"Bradley","given":"Brendan","non-dropping-particle":"","parse-names":false,"suffix":""},{"dropping-particle":"","family":"Miles","given":"Felicity","non-dropping-particle":"","parse-names":false,"suffix":""},{"dropping-particle":"","family":"Dixon","given":"Rachel","non-dropping-particle":"","parse-names":false,"suffix":""}],"container-title":"Cognition &amp; Emotion","id":"ITEM-1","issue":"5","issued":{"date-parts":[["2004","8"]]},"page":"689-700","title":"BRIEF REPORT Time course of attentional bias for threat scenes: Testing the vigilance‐avoidance hypothesis","type":"article-journal","volume":"18"},"uris":["http://www.mendeley.com/documents/?uuid=eed36dc7-1da1-3356-9cd8-37d4adc20caf"]}],"mendeley":{"formattedCitation":"(Mogg et al., 2004)","manualFormatting":"(Mogg et al., 2004)","plainTextFormattedCitation":"(Mogg et al., 2004)","previouslyFormattedCitation":"(Mogg et al., 2004)"},"properties":{"noteIndex":0},"schema":"https://github.com/citation-style-language/schema/raw/master/csl-citation.json"}</w:instrText>
      </w:r>
      <w:r w:rsidR="006A29D2" w:rsidRPr="00A75594">
        <w:rPr>
          <w:sz w:val="24"/>
          <w:szCs w:val="24"/>
        </w:rPr>
        <w:fldChar w:fldCharType="separate"/>
      </w:r>
      <w:r w:rsidR="006A29D2" w:rsidRPr="00A75594">
        <w:rPr>
          <w:noProof/>
          <w:sz w:val="24"/>
          <w:szCs w:val="24"/>
        </w:rPr>
        <w:t>(Mogg et al., 2004)</w:t>
      </w:r>
      <w:r w:rsidR="006A29D2" w:rsidRPr="00A75594">
        <w:rPr>
          <w:sz w:val="24"/>
          <w:szCs w:val="24"/>
        </w:rPr>
        <w:fldChar w:fldCharType="end"/>
      </w:r>
      <w:r w:rsidR="006A29D2" w:rsidRPr="00A75594">
        <w:rPr>
          <w:sz w:val="24"/>
          <w:szCs w:val="24"/>
        </w:rPr>
        <w:t xml:space="preserve">. </w:t>
      </w:r>
      <w:r w:rsidR="006F08C6">
        <w:rPr>
          <w:sz w:val="24"/>
          <w:szCs w:val="24"/>
        </w:rPr>
        <w:t>O</w:t>
      </w:r>
      <w:r w:rsidR="006A29D2" w:rsidRPr="00A75594">
        <w:rPr>
          <w:sz w:val="24"/>
          <w:szCs w:val="24"/>
        </w:rPr>
        <w:t xml:space="preserve">ther studies have also shown that anxiety is associated </w:t>
      </w:r>
      <w:r w:rsidR="002A4812">
        <w:rPr>
          <w:sz w:val="24"/>
          <w:szCs w:val="24"/>
        </w:rPr>
        <w:t xml:space="preserve">with </w:t>
      </w:r>
      <w:r w:rsidR="006A29D2" w:rsidRPr="00A75594">
        <w:rPr>
          <w:sz w:val="24"/>
          <w:szCs w:val="24"/>
        </w:rPr>
        <w:t xml:space="preserve">attentional disengagement difficulties </w:t>
      </w:r>
      <w:r w:rsidR="000B78CE">
        <w:rPr>
          <w:sz w:val="24"/>
          <w:szCs w:val="24"/>
        </w:rPr>
        <w:t>in relation to</w:t>
      </w:r>
      <w:r w:rsidR="000B78CE" w:rsidRPr="00A75594">
        <w:rPr>
          <w:sz w:val="24"/>
          <w:szCs w:val="24"/>
        </w:rPr>
        <w:t xml:space="preserve"> </w:t>
      </w:r>
      <w:r w:rsidR="006A29D2" w:rsidRPr="00A75594">
        <w:rPr>
          <w:sz w:val="24"/>
          <w:szCs w:val="24"/>
        </w:rPr>
        <w:t>negative stimuli</w:t>
      </w:r>
      <w:r w:rsidR="006A29D2" w:rsidRPr="00A75594">
        <w:rPr>
          <w:rFonts w:eastAsia="Sabon-Roman"/>
          <w:sz w:val="24"/>
          <w:szCs w:val="24"/>
        </w:rPr>
        <w:t xml:space="preserve"> in children and adults </w:t>
      </w:r>
      <w:r w:rsidR="006A29D2" w:rsidRPr="00A75594">
        <w:rPr>
          <w:rFonts w:eastAsia="Sabon-Roman"/>
          <w:sz w:val="24"/>
          <w:szCs w:val="24"/>
        </w:rPr>
        <w:fldChar w:fldCharType="begin" w:fldLock="1"/>
      </w:r>
      <w:r w:rsidR="00A34041">
        <w:rPr>
          <w:rFonts w:eastAsia="Sabon-Roman"/>
          <w:sz w:val="24"/>
          <w:szCs w:val="24"/>
        </w:rPr>
        <w:instrText>ADDIN CSL_CITATION {"citationItems":[{"id":"ITEM-1","itemData":{"DOI":"10.5127/jep.055316","ISSN":"2043-8087","abstract":"The current study used an eye-movement Remote Distractor Paradigm (RDP) to explore attention to threat and considered associations with personality traits (neuroticism and psychoticism) and self-reported friendship quality in children aged 9–11 years. The RDP asked children to look at and identify a target presented on a computer display in the presence or absence of a central, parafoveal or peripheral visual distractor (an angry, happy or neutral face). The results showed that symptoms of neuroticism were associated with hypervigilance for threat (i.e., slower latencies to initiate eye movements to the target in the presence of angry versus happy or neutral faces). In addition, when distractors were presented centrally, this relationship was most evident in children who reported lower levels of attentional control. Psychoticism traits were associated with increased selective attention to all distractors (as measured by directional errors to face stimuli) and to child reported lower friendship quality. Mo...","author":[{"dropping-particle":"","family":"Pavlou","given":"Katerina","non-dropping-particle":"","parse-names":false,"suffix":""},{"dropping-particle":"","family":"Benson","given":"Valerie","non-dropping-particle":"","parse-names":false,"suffix":""},{"dropping-particle":"","family":"Hadwin","given":"Julie A.","non-dropping-particle":"","parse-names":false,"suffix":""}],"container-title":"Journal of Experimental Psychopathology","id":"ITEM-1","issue":"3","issued":{"date-parts":[["2016","1","23"]]},"page":"jep.055316","publisher":"SAGE PublicationsSage UK: London, England","title":"Exploring Links between Neuroticism and Psychoticism Personality Traits, Attentional Biases to Threat and Friendship Quality in 9–11-year-olds","type":"article-journal","volume":"7"},"uris":["http://www.mendeley.com/documents/?uuid=1aeab5d9-444a-3e29-b65b-4d49dc2bbc46"]},{"id":"ITEM-2","itemData":{"DOI":"10.1080/02699931.2011.630990","ISSN":"1464-0600","PMID":"22375840","abstract":"The current study explored the proposition that anxiety is associated with impaired inhibition of threat. Using a modified version of the remote distractor paradigm, we considered whether this impairment is related to attentional capture by threat, difficulties disengaging from threat presented within foveal vision, or difficulties orienting to task-relevant stimuli when threat is present in central, parafoveal and peripheral locations in the visual field. Participants were asked to direct their eyes towards and identify a target in the presence and absence of a distractor (an angry, happy or neutral face). Trait anxiety was associated with a delay in initiating eye movements to the target in the presence of central, parafoveal and peripheral threatening distractors. These findings suggest that elevated anxiety is linked to difficulties inhibiting task-irrelevant threat presented across a broad region of the visual field.","author":[{"dropping-particle":"","family":"Richards","given":"Helen J.","non-dropping-particle":"","parse-names":false,"suffix":""},{"dropping-particle":"","family":"Benson","given":"Valerie","non-dropping-particle":"","parse-names":false,"suffix":""},{"dropping-particle":"","family":"Hadwin","given":"Julie A.","non-dropping-particle":"","parse-names":false,"suffix":""}],"container-title":"Cognition &amp; emotion","id":"ITEM-2","issue":"5","issued":{"date-parts":[["2012","1","12"]]},"language":"en","page":"934-42","publisher":"Taylor &amp; Francis Group","title":"The attentional processes underlying impaired inhibition of threat in anxiety: the remote distractor effect.","type":"article-journal","volume":"26"},"uris":["http://www.mendeley.com/documents/?uuid=0d26c794-422b-46a6-848a-7fc67923096b"]},{"id":"ITEM-3","itemData":{"DOI":"10.1037/a0017747","ISSN":"1931-1516","PMID":"20001128","abstract":"This study examined the effects of trait anxiety and age on performance of an emotional working memory task designed to investigate attentional control processes in the context of emotion. Participants included children, adolescents, and adults (8-30 years old). They performed the Emotional Face N-Back (EFNBACK) task, a modified n-back working memory task with four emotional distracter types (no picture, neutral, fearful, and happy) and two memory-load conditions (0-back and 2-back), and completed self-report trait anxiety measures. Results indicated that participants high in trait anxiety had slower reaction times on the fearful 2-back memory-load condition. A significant interaction with age indicated that this effect was greater in the younger participants. These findings suggest that anxious individuals, particularly younger ones, exhibit difficulty resisting interference from threat-related stimuli when greater attentional resources are being recruited.","author":[{"dropping-particle":"","family":"Ladouceur","given":"Cecile D.","non-dropping-particle":"","parse-names":false,"suffix":""},{"dropping-particle":"","family":"Silk","given":"Jennifer S.","non-dropping-particle":"","parse-names":false,"suffix":""},{"dropping-particle":"","family":"Dahl","given":"Ronald E.","non-dropping-particle":"","parse-names":false,"suffix":""},{"dropping-particle":"","family":"Ostapenko","given":"Laura","non-dropping-particle":"","parse-names":false,"suffix":""},{"dropping-particle":"","family":"Kronhaus","given":"Dina M.","non-dropping-particle":"","parse-names":false,"suffix":""},{"dropping-particle":"","family":"Phillips","given":"Mary L.","non-dropping-particle":"","parse-names":false,"suffix":""}],"container-title":"Emotion","id":"ITEM-3","issue":"6","issued":{"date-parts":[["2009","12"]]},"page":"855-864","title":"Fearful faces influence attentional control processes in anxious youth and adults.","type":"article-journal","volume":"9"},"uris":["http://www.mendeley.com/documents/?uuid=16f23661-0ff9-3ab0-a273-43b5d202b248"]}],"mendeley":{"formattedCitation":"(Ladouceur et al., 2009; Pavlou et al., 2016; Richards, Benson, &amp; Hadwin, 2012)","plainTextFormattedCitation":"(Ladouceur et al., 2009; Pavlou et al., 2016; Richards, Benson, &amp; Hadwin, 2012)","previouslyFormattedCitation":"(Ladouceur et al., 2009; Pavlou et al., 2016; Richards, Benson, &amp; Hadwin, 2012)"},"properties":{"noteIndex":0},"schema":"https://github.com/citation-style-language/schema/raw/master/csl-citation.json"}</w:instrText>
      </w:r>
      <w:r w:rsidR="006A29D2" w:rsidRPr="00A75594">
        <w:rPr>
          <w:rFonts w:eastAsia="Sabon-Roman"/>
          <w:sz w:val="24"/>
          <w:szCs w:val="24"/>
        </w:rPr>
        <w:fldChar w:fldCharType="separate"/>
      </w:r>
      <w:r w:rsidR="00A34041" w:rsidRPr="00A34041">
        <w:rPr>
          <w:rFonts w:eastAsia="Sabon-Roman"/>
          <w:noProof/>
          <w:sz w:val="24"/>
          <w:szCs w:val="24"/>
        </w:rPr>
        <w:t xml:space="preserve">(Ladouceur et al., 2009; Pavlou et al., 2016; Richards, Benson, </w:t>
      </w:r>
      <w:r w:rsidR="00A34041" w:rsidRPr="00A34041">
        <w:rPr>
          <w:rFonts w:eastAsia="Sabon-Roman"/>
          <w:noProof/>
          <w:sz w:val="24"/>
          <w:szCs w:val="24"/>
        </w:rPr>
        <w:lastRenderedPageBreak/>
        <w:t>&amp; Hadwin, 2012)</w:t>
      </w:r>
      <w:r w:rsidR="006A29D2" w:rsidRPr="00A75594">
        <w:rPr>
          <w:rFonts w:eastAsia="Sabon-Roman"/>
          <w:sz w:val="24"/>
          <w:szCs w:val="24"/>
        </w:rPr>
        <w:fldChar w:fldCharType="end"/>
      </w:r>
      <w:r w:rsidR="006A29D2" w:rsidRPr="00A75594">
        <w:rPr>
          <w:sz w:val="24"/>
          <w:szCs w:val="24"/>
        </w:rPr>
        <w:t xml:space="preserve">. </w:t>
      </w:r>
      <w:r w:rsidR="007050D5" w:rsidRPr="00A75594">
        <w:rPr>
          <w:sz w:val="24"/>
          <w:szCs w:val="24"/>
        </w:rPr>
        <w:t xml:space="preserve">However, in these studies, threatening stimuli </w:t>
      </w:r>
      <w:r w:rsidR="007050D5">
        <w:rPr>
          <w:sz w:val="24"/>
          <w:szCs w:val="24"/>
        </w:rPr>
        <w:t xml:space="preserve">all acted as distractors and were </w:t>
      </w:r>
      <w:r w:rsidR="007050D5" w:rsidRPr="00A75594">
        <w:rPr>
          <w:sz w:val="24"/>
          <w:szCs w:val="24"/>
        </w:rPr>
        <w:t>irrelevant to the task goals</w:t>
      </w:r>
      <w:r w:rsidR="00915D6B">
        <w:rPr>
          <w:sz w:val="24"/>
          <w:szCs w:val="24"/>
        </w:rPr>
        <w:t>,</w:t>
      </w:r>
      <w:r w:rsidR="00915D6B" w:rsidRPr="00915D6B">
        <w:rPr>
          <w:sz w:val="24"/>
          <w:szCs w:val="24"/>
        </w:rPr>
        <w:t xml:space="preserve"> </w:t>
      </w:r>
      <w:r w:rsidR="00915D6B">
        <w:rPr>
          <w:sz w:val="24"/>
          <w:szCs w:val="24"/>
        </w:rPr>
        <w:t xml:space="preserve">suggesting that </w:t>
      </w:r>
      <w:r w:rsidR="00594B7A">
        <w:rPr>
          <w:sz w:val="24"/>
          <w:szCs w:val="24"/>
        </w:rPr>
        <w:t xml:space="preserve">the </w:t>
      </w:r>
      <w:r w:rsidR="00915D6B" w:rsidRPr="008F415A">
        <w:rPr>
          <w:sz w:val="24"/>
          <w:szCs w:val="24"/>
        </w:rPr>
        <w:t xml:space="preserve">mixed findings across studies </w:t>
      </w:r>
      <w:r w:rsidR="00594B7A">
        <w:rPr>
          <w:sz w:val="24"/>
          <w:szCs w:val="24"/>
        </w:rPr>
        <w:t>relate</w:t>
      </w:r>
      <w:r w:rsidR="00E400B1">
        <w:rPr>
          <w:sz w:val="24"/>
          <w:szCs w:val="24"/>
        </w:rPr>
        <w:t>d</w:t>
      </w:r>
      <w:r w:rsidR="00594B7A">
        <w:rPr>
          <w:sz w:val="24"/>
          <w:szCs w:val="24"/>
        </w:rPr>
        <w:t xml:space="preserve"> to threat-related attentional biases</w:t>
      </w:r>
      <w:r w:rsidR="00915D6B" w:rsidRPr="008F415A">
        <w:rPr>
          <w:sz w:val="24"/>
          <w:szCs w:val="24"/>
        </w:rPr>
        <w:t xml:space="preserve"> </w:t>
      </w:r>
      <w:r w:rsidR="00075164">
        <w:rPr>
          <w:sz w:val="24"/>
          <w:szCs w:val="24"/>
        </w:rPr>
        <w:t xml:space="preserve">in anxiety, </w:t>
      </w:r>
      <w:r w:rsidR="00915D6B" w:rsidRPr="008F415A">
        <w:rPr>
          <w:sz w:val="24"/>
          <w:szCs w:val="24"/>
        </w:rPr>
        <w:t xml:space="preserve">may be attributed to </w:t>
      </w:r>
      <w:r w:rsidR="000052E7">
        <w:rPr>
          <w:sz w:val="24"/>
          <w:szCs w:val="24"/>
        </w:rPr>
        <w:t xml:space="preserve">the different </w:t>
      </w:r>
      <w:r w:rsidR="00AD3153">
        <w:rPr>
          <w:sz w:val="24"/>
          <w:szCs w:val="24"/>
        </w:rPr>
        <w:t xml:space="preserve">task requirements </w:t>
      </w:r>
      <w:r w:rsidR="000052E7">
        <w:rPr>
          <w:sz w:val="24"/>
          <w:szCs w:val="24"/>
        </w:rPr>
        <w:t>and</w:t>
      </w:r>
      <w:r w:rsidR="00915D6B" w:rsidRPr="008F415A">
        <w:rPr>
          <w:sz w:val="24"/>
          <w:szCs w:val="24"/>
        </w:rPr>
        <w:t xml:space="preserve"> methodological manipulations (i.e., task relevant and irrelevant stimuli and presentation duration of stimuli). Future studies should consider the </w:t>
      </w:r>
      <w:r w:rsidR="00AD3153">
        <w:rPr>
          <w:sz w:val="24"/>
          <w:szCs w:val="24"/>
        </w:rPr>
        <w:t>importance</w:t>
      </w:r>
      <w:r w:rsidR="00AD3153" w:rsidRPr="008F415A">
        <w:rPr>
          <w:sz w:val="24"/>
          <w:szCs w:val="24"/>
        </w:rPr>
        <w:t xml:space="preserve"> </w:t>
      </w:r>
      <w:r w:rsidR="00915D6B" w:rsidRPr="008F415A">
        <w:rPr>
          <w:sz w:val="24"/>
          <w:szCs w:val="24"/>
        </w:rPr>
        <w:t xml:space="preserve">of task relevant over irrelevant stimuli </w:t>
      </w:r>
      <w:r w:rsidR="00075164">
        <w:rPr>
          <w:sz w:val="24"/>
          <w:szCs w:val="24"/>
        </w:rPr>
        <w:t>on</w:t>
      </w:r>
      <w:r w:rsidR="00915D6B" w:rsidRPr="008F415A">
        <w:rPr>
          <w:sz w:val="24"/>
          <w:szCs w:val="24"/>
        </w:rPr>
        <w:t xml:space="preserve"> attentional processes </w:t>
      </w:r>
      <w:r w:rsidR="00EF3B0C">
        <w:rPr>
          <w:sz w:val="24"/>
          <w:szCs w:val="24"/>
        </w:rPr>
        <w:t>to</w:t>
      </w:r>
      <w:r w:rsidR="00915D6B" w:rsidRPr="008F415A">
        <w:rPr>
          <w:sz w:val="24"/>
          <w:szCs w:val="24"/>
        </w:rPr>
        <w:t xml:space="preserve"> emotional stimuli, </w:t>
      </w:r>
      <w:r w:rsidR="00EF3B0C">
        <w:rPr>
          <w:sz w:val="24"/>
          <w:szCs w:val="24"/>
        </w:rPr>
        <w:t>to further</w:t>
      </w:r>
      <w:r w:rsidR="00915D6B" w:rsidRPr="008F415A">
        <w:rPr>
          <w:sz w:val="24"/>
          <w:szCs w:val="24"/>
        </w:rPr>
        <w:t xml:space="preserve"> disentangle </w:t>
      </w:r>
      <w:r w:rsidR="00BA620E">
        <w:rPr>
          <w:sz w:val="24"/>
          <w:szCs w:val="24"/>
        </w:rPr>
        <w:t>inconsistencies</w:t>
      </w:r>
      <w:r w:rsidR="00AD3153">
        <w:rPr>
          <w:sz w:val="24"/>
          <w:szCs w:val="24"/>
        </w:rPr>
        <w:t xml:space="preserve"> in </w:t>
      </w:r>
      <w:r w:rsidR="00915D6B" w:rsidRPr="008F415A">
        <w:rPr>
          <w:sz w:val="24"/>
          <w:szCs w:val="24"/>
        </w:rPr>
        <w:t>attentional engagement and disengagement processes</w:t>
      </w:r>
      <w:r w:rsidR="00BA620E">
        <w:rPr>
          <w:sz w:val="24"/>
          <w:szCs w:val="24"/>
        </w:rPr>
        <w:t xml:space="preserve"> in anxiety research</w:t>
      </w:r>
      <w:r w:rsidR="00915D6B" w:rsidRPr="008F415A">
        <w:rPr>
          <w:sz w:val="24"/>
          <w:szCs w:val="24"/>
        </w:rPr>
        <w:t xml:space="preserve">. </w:t>
      </w:r>
    </w:p>
    <w:p w14:paraId="10DB5870" w14:textId="1B021B81" w:rsidR="006A29D2" w:rsidRPr="00A75594" w:rsidRDefault="00BA620E" w:rsidP="0062757B">
      <w:pPr>
        <w:spacing w:line="480" w:lineRule="auto"/>
        <w:ind w:firstLine="720"/>
        <w:rPr>
          <w:sz w:val="24"/>
          <w:szCs w:val="24"/>
        </w:rPr>
      </w:pPr>
      <w:r>
        <w:rPr>
          <w:sz w:val="24"/>
          <w:szCs w:val="24"/>
        </w:rPr>
        <w:t>O</w:t>
      </w:r>
      <w:r w:rsidR="006A29D2" w:rsidRPr="00A75594">
        <w:rPr>
          <w:sz w:val="24"/>
          <w:szCs w:val="24"/>
        </w:rPr>
        <w:t>ur results show</w:t>
      </w:r>
      <w:r w:rsidR="00887E44">
        <w:rPr>
          <w:sz w:val="24"/>
          <w:szCs w:val="24"/>
        </w:rPr>
        <w:t>ed</w:t>
      </w:r>
      <w:r w:rsidR="006A29D2" w:rsidRPr="00A75594">
        <w:rPr>
          <w:sz w:val="24"/>
          <w:szCs w:val="24"/>
        </w:rPr>
        <w:t xml:space="preserve"> that the presence of increased anxiety symptoms in ADHD did not </w:t>
      </w:r>
      <w:r w:rsidR="004972BB">
        <w:rPr>
          <w:sz w:val="24"/>
          <w:szCs w:val="24"/>
        </w:rPr>
        <w:t xml:space="preserve">impact </w:t>
      </w:r>
      <w:r w:rsidR="006A29D2" w:rsidRPr="00A75594">
        <w:rPr>
          <w:sz w:val="24"/>
          <w:szCs w:val="24"/>
        </w:rPr>
        <w:t xml:space="preserve">the number </w:t>
      </w:r>
      <w:r w:rsidR="009A72A7" w:rsidRPr="00A75594">
        <w:rPr>
          <w:sz w:val="24"/>
          <w:szCs w:val="24"/>
        </w:rPr>
        <w:t>of inhibitory</w:t>
      </w:r>
      <w:r w:rsidR="004972BB">
        <w:rPr>
          <w:sz w:val="24"/>
          <w:szCs w:val="24"/>
        </w:rPr>
        <w:t xml:space="preserve"> control </w:t>
      </w:r>
      <w:r w:rsidR="006A29D2" w:rsidRPr="00A75594">
        <w:rPr>
          <w:sz w:val="24"/>
          <w:szCs w:val="24"/>
        </w:rPr>
        <w:t>errors</w:t>
      </w:r>
      <w:r w:rsidR="00594B7A">
        <w:rPr>
          <w:sz w:val="24"/>
          <w:szCs w:val="24"/>
        </w:rPr>
        <w:t xml:space="preserve"> </w:t>
      </w:r>
      <w:r w:rsidR="00192CA8">
        <w:rPr>
          <w:sz w:val="24"/>
          <w:szCs w:val="24"/>
        </w:rPr>
        <w:t xml:space="preserve">(i.e., </w:t>
      </w:r>
      <w:r w:rsidR="00B60EA6">
        <w:rPr>
          <w:sz w:val="24"/>
          <w:szCs w:val="24"/>
        </w:rPr>
        <w:t xml:space="preserve">the </w:t>
      </w:r>
      <w:r w:rsidR="00192CA8">
        <w:rPr>
          <w:sz w:val="24"/>
          <w:szCs w:val="24"/>
        </w:rPr>
        <w:t>absence of an interactive effect)</w:t>
      </w:r>
      <w:r w:rsidR="00CC7C1F">
        <w:rPr>
          <w:sz w:val="24"/>
          <w:szCs w:val="24"/>
        </w:rPr>
        <w:t xml:space="preserve">, but counteracted the effects of ADHD on sustained attention </w:t>
      </w:r>
      <w:r w:rsidR="00914754">
        <w:rPr>
          <w:sz w:val="24"/>
          <w:szCs w:val="24"/>
        </w:rPr>
        <w:t>in</w:t>
      </w:r>
      <w:r w:rsidR="00CC7C1F">
        <w:rPr>
          <w:sz w:val="24"/>
          <w:szCs w:val="24"/>
        </w:rPr>
        <w:t xml:space="preserve"> </w:t>
      </w:r>
      <w:r w:rsidR="001A0AC5">
        <w:rPr>
          <w:sz w:val="24"/>
          <w:szCs w:val="24"/>
        </w:rPr>
        <w:t xml:space="preserve">the emotional </w:t>
      </w:r>
      <w:r w:rsidR="00CC7C1F">
        <w:rPr>
          <w:sz w:val="24"/>
          <w:szCs w:val="24"/>
        </w:rPr>
        <w:t>context</w:t>
      </w:r>
      <w:r w:rsidR="00914754">
        <w:rPr>
          <w:sz w:val="24"/>
          <w:szCs w:val="24"/>
        </w:rPr>
        <w:t xml:space="preserve">. In other words, the </w:t>
      </w:r>
      <w:r w:rsidR="00CC7C1F">
        <w:rPr>
          <w:sz w:val="24"/>
          <w:szCs w:val="24"/>
        </w:rPr>
        <w:t xml:space="preserve">slower </w:t>
      </w:r>
      <w:r w:rsidR="00CC7C1F" w:rsidRPr="00A75594">
        <w:rPr>
          <w:sz w:val="24"/>
          <w:szCs w:val="24"/>
        </w:rPr>
        <w:t xml:space="preserve">processing </w:t>
      </w:r>
      <w:r w:rsidR="00CC7C1F">
        <w:rPr>
          <w:sz w:val="24"/>
          <w:szCs w:val="24"/>
        </w:rPr>
        <w:t xml:space="preserve">to move attention away from </w:t>
      </w:r>
      <w:r w:rsidR="00CC7C1F" w:rsidRPr="00A75594">
        <w:rPr>
          <w:sz w:val="24"/>
          <w:szCs w:val="24"/>
        </w:rPr>
        <w:t xml:space="preserve">angry faces </w:t>
      </w:r>
      <w:r w:rsidR="00914754">
        <w:rPr>
          <w:sz w:val="24"/>
          <w:szCs w:val="24"/>
        </w:rPr>
        <w:t>in ADHD was</w:t>
      </w:r>
      <w:r w:rsidR="00CC7C1F" w:rsidRPr="00A75594">
        <w:rPr>
          <w:sz w:val="24"/>
          <w:szCs w:val="24"/>
        </w:rPr>
        <w:t xml:space="preserve"> no longer evident</w:t>
      </w:r>
      <w:r w:rsidR="00CC7C1F">
        <w:rPr>
          <w:sz w:val="24"/>
          <w:szCs w:val="24"/>
        </w:rPr>
        <w:t xml:space="preserve"> </w:t>
      </w:r>
      <w:r w:rsidR="001A0AC5">
        <w:rPr>
          <w:sz w:val="24"/>
          <w:szCs w:val="24"/>
        </w:rPr>
        <w:t>when</w:t>
      </w:r>
      <w:r w:rsidR="00CC7C1F">
        <w:rPr>
          <w:sz w:val="24"/>
          <w:szCs w:val="24"/>
        </w:rPr>
        <w:t xml:space="preserve"> </w:t>
      </w:r>
      <w:r w:rsidR="001A0AC5">
        <w:rPr>
          <w:sz w:val="24"/>
          <w:szCs w:val="24"/>
        </w:rPr>
        <w:t xml:space="preserve">both </w:t>
      </w:r>
      <w:r w:rsidR="00CC7C1F">
        <w:rPr>
          <w:sz w:val="24"/>
          <w:szCs w:val="24"/>
        </w:rPr>
        <w:t>anxiety</w:t>
      </w:r>
      <w:r w:rsidR="001A0AC5">
        <w:rPr>
          <w:sz w:val="24"/>
          <w:szCs w:val="24"/>
        </w:rPr>
        <w:t xml:space="preserve"> and ADHD symptoms were elevated</w:t>
      </w:r>
      <w:r w:rsidR="00CC7C1F">
        <w:rPr>
          <w:sz w:val="24"/>
          <w:szCs w:val="24"/>
        </w:rPr>
        <w:t>.  The former finding was supported by pr</w:t>
      </w:r>
      <w:r w:rsidR="00CC7C1F" w:rsidRPr="009C1678">
        <w:rPr>
          <w:sz w:val="24"/>
          <w:szCs w:val="24"/>
        </w:rPr>
        <w:t>evious</w:t>
      </w:r>
      <w:r w:rsidR="00594B7A" w:rsidRPr="009C1678">
        <w:rPr>
          <w:sz w:val="24"/>
          <w:szCs w:val="24"/>
        </w:rPr>
        <w:t xml:space="preserve"> studies that examined inhibitory control using symbolic stimuli </w:t>
      </w:r>
      <w:r w:rsidR="00CC7C1F">
        <w:rPr>
          <w:sz w:val="24"/>
          <w:szCs w:val="24"/>
        </w:rPr>
        <w:t xml:space="preserve">and </w:t>
      </w:r>
      <w:r w:rsidR="00594B7A" w:rsidRPr="009C1678">
        <w:rPr>
          <w:sz w:val="24"/>
          <w:szCs w:val="24"/>
        </w:rPr>
        <w:t xml:space="preserve">found that anxiety </w:t>
      </w:r>
      <w:r w:rsidR="00AD04BB" w:rsidRPr="009C1678">
        <w:rPr>
          <w:sz w:val="24"/>
          <w:szCs w:val="24"/>
        </w:rPr>
        <w:t xml:space="preserve">symptoms </w:t>
      </w:r>
      <w:r w:rsidR="00594B7A" w:rsidRPr="009C1678">
        <w:rPr>
          <w:sz w:val="24"/>
          <w:szCs w:val="24"/>
        </w:rPr>
        <w:t xml:space="preserve">had no impact on ADHD inhibitory difficulties </w:t>
      </w:r>
      <w:r w:rsidR="00594B7A" w:rsidRPr="009C1678">
        <w:rPr>
          <w:sz w:val="24"/>
          <w:szCs w:val="24"/>
        </w:rPr>
        <w:fldChar w:fldCharType="begin" w:fldLock="1"/>
      </w:r>
      <w:r w:rsidR="00A83298" w:rsidRPr="009C1678">
        <w:rPr>
          <w:sz w:val="24"/>
          <w:szCs w:val="24"/>
        </w:rPr>
        <w:instrText>ADDIN CSL_CITATION {"citationItems":[{"id":"ITEM-1","itemData":{"DOI":"10.1016/j.jad.2009.11.017","ISSN":"1573-2517","PMID":"20064664","abstract":"INTRODUCTION: The impact of internalizing comorbid disorders on cognitive functions in attention-deficit hyperactivity disorder (ADHD) is hardly understood. While inconsistent findings exist with respect to the modulating effect of anxiety on impulsivity in ADHD, only few neuropsychological studies focused on other attention parameters. This is the first study that examines the influence of anxiety disorders (ANX) on ADHD in a model-oriented approach including selectivity and intensity parameters of attention.\n\nMETHODS: Children with ADHD, ADHD+ANX and healthy controls (n=34 for each group, all aged 8-15years) participated in five neuropsychological tasks (alertness, sustained attention, divided attention, go/no-go and set-shifting). Group differences were evaluated using analysis of variance (ANOVA) for each dependent variable, with group as independent variable.\n\nRESULTS: Data indicated that children with ADHD performed worse than healthy controls with regard to almost all parameters of attention. While ANX had no mitigating effect on impulsivity in ADHD, performance in sustained attention and selective attention tasks of children with ADHD+ANX was better than that of children with ADHD only.\n\nLIMITATIONS: Since the present data were derived from a large neuropsychological data base which focused primary on children with ADHD and different comorbidities no comparison to a \"pure\" ANX group was possible.\n\nCONCLUSIONS: These findings might indicate that ADHD+ANX constitute a cognitively distinct subtype, with possible individual symptomatology, development and therapeutic needs. Further investigations are needed to clarify the specificity of these findings and to disentangle the impact of trait versus state anxiety on neuropsychological performance in children with ADHD.","author":[{"dropping-particle":"","family":"Vloet","given":"Timo D","non-dropping-particle":"","parse-names":false,"suffix":""},{"dropping-particle":"","family":"Konrad","given":"Kerstin","non-dropping-particle":"","parse-names":false,"suffix":""},{"dropping-particle":"","family":"Herpertz-Dahlmann","given":"Beate","non-dropping-particle":"","parse-names":false,"suffix":""},{"dropping-particle":"","family":"Polier","given":"Georg G","non-dropping-particle":"","parse-names":false,"suffix":""},{"dropping-particle":"","family":"Günther","given":"Thomas","non-dropping-particle":"","parse-names":false,"suffix":""}],"container-title":"Journal of affective disorders","id":"ITEM-1","issue":"3","issued":{"date-parts":[["2010","8"]]},"page":"283-90","title":"Impact of anxiety disorders on attentional functions in children with ADHD.","type":"article-journal","volume":"124"},"uris":["http://www.mendeley.com/documents/?uuid=ffc11f7d-3be5-4180-9321-b9dca56f2015"]}],"mendeley":{"formattedCitation":"(Vloet et al., 2010)","manualFormatting":"(e.g. Vloet et al., 2010)","plainTextFormattedCitation":"(Vloet et al., 2010)","previouslyFormattedCitation":"(Vloet et al., 2010)"},"properties":{"noteIndex":0},"schema":"https://github.com/citation-style-language/schema/raw/master/csl-citation.json"}</w:instrText>
      </w:r>
      <w:r w:rsidR="00594B7A" w:rsidRPr="009C1678">
        <w:rPr>
          <w:sz w:val="24"/>
          <w:szCs w:val="24"/>
        </w:rPr>
        <w:fldChar w:fldCharType="separate"/>
      </w:r>
      <w:r w:rsidR="00594B7A" w:rsidRPr="009C1678">
        <w:rPr>
          <w:noProof/>
          <w:sz w:val="24"/>
          <w:szCs w:val="24"/>
        </w:rPr>
        <w:t>(</w:t>
      </w:r>
      <w:r w:rsidR="00015165" w:rsidRPr="009C1678">
        <w:rPr>
          <w:noProof/>
          <w:sz w:val="24"/>
          <w:szCs w:val="24"/>
        </w:rPr>
        <w:t xml:space="preserve">e.g. </w:t>
      </w:r>
      <w:r w:rsidR="00594B7A" w:rsidRPr="009C1678">
        <w:rPr>
          <w:noProof/>
          <w:sz w:val="24"/>
          <w:szCs w:val="24"/>
        </w:rPr>
        <w:t>Vloet et al., 2010)</w:t>
      </w:r>
      <w:r w:rsidR="00594B7A" w:rsidRPr="009C1678">
        <w:rPr>
          <w:sz w:val="24"/>
          <w:szCs w:val="24"/>
        </w:rPr>
        <w:fldChar w:fldCharType="end"/>
      </w:r>
      <w:r w:rsidR="00594B7A" w:rsidRPr="009C1678">
        <w:rPr>
          <w:sz w:val="24"/>
          <w:szCs w:val="24"/>
        </w:rPr>
        <w:t>.</w:t>
      </w:r>
      <w:r w:rsidR="00A97112" w:rsidRPr="009C1678">
        <w:rPr>
          <w:sz w:val="24"/>
          <w:szCs w:val="24"/>
        </w:rPr>
        <w:t xml:space="preserve"> This finding however, contradicts other studies </w:t>
      </w:r>
      <w:r w:rsidR="00F671A7" w:rsidRPr="009C1678">
        <w:rPr>
          <w:sz w:val="24"/>
          <w:szCs w:val="24"/>
        </w:rPr>
        <w:t>showing</w:t>
      </w:r>
      <w:r w:rsidR="00A97112" w:rsidRPr="009C1678">
        <w:rPr>
          <w:sz w:val="24"/>
          <w:szCs w:val="24"/>
        </w:rPr>
        <w:t xml:space="preserve"> that</w:t>
      </w:r>
      <w:r w:rsidR="00C32274">
        <w:rPr>
          <w:sz w:val="24"/>
          <w:szCs w:val="24"/>
        </w:rPr>
        <w:t xml:space="preserve"> </w:t>
      </w:r>
      <w:r w:rsidR="00F671A7">
        <w:rPr>
          <w:sz w:val="24"/>
          <w:szCs w:val="24"/>
        </w:rPr>
        <w:t xml:space="preserve">the presence of </w:t>
      </w:r>
      <w:r w:rsidR="00C32274">
        <w:rPr>
          <w:sz w:val="24"/>
          <w:szCs w:val="24"/>
        </w:rPr>
        <w:t xml:space="preserve">anxiety </w:t>
      </w:r>
      <w:r w:rsidR="00F671A7">
        <w:rPr>
          <w:sz w:val="24"/>
          <w:szCs w:val="24"/>
        </w:rPr>
        <w:t>in ADHD was associated with improved response inhibition</w:t>
      </w:r>
      <w:r w:rsidR="009C1678">
        <w:rPr>
          <w:sz w:val="24"/>
          <w:szCs w:val="24"/>
        </w:rPr>
        <w:t xml:space="preserve"> in ADHD</w:t>
      </w:r>
      <w:r w:rsidR="00F671A7">
        <w:rPr>
          <w:sz w:val="24"/>
          <w:szCs w:val="24"/>
        </w:rPr>
        <w:t xml:space="preserve"> </w:t>
      </w:r>
      <w:r w:rsidR="00F671A7">
        <w:rPr>
          <w:sz w:val="24"/>
          <w:szCs w:val="24"/>
        </w:rPr>
        <w:fldChar w:fldCharType="begin" w:fldLock="1"/>
      </w:r>
      <w:r w:rsidR="00F671A7">
        <w:rPr>
          <w:sz w:val="24"/>
          <w:szCs w:val="24"/>
        </w:rPr>
        <w:instrText>ADDIN CSL_CITATION {"citationItems":[{"id":"ITEM-1","itemData":{"DOI":"10.1097/00004583-200009000-00015","ISSN":"0890-8567","PMID":"10986812","abstract":"OBJECTIVE: To compare children with comorbid anxiety disorders (ANX) and attention-deficit hyperactivity disorder (ADHD) with children with either pure disorder and normal controls on 2 cognitive measures to elucidate the cognitive basis of this comorbidity.\n\nMETHOD: Four groups of children aged 8 to 12 years (n = 64 total) were assessed: ANX, ADHD, both conditions (comorbid group), and neither condition (normal control group). Groups were compared on 2 cognitive measures: a measure of auditory emotional perception (dichotic listening task) and a measure of response inhibition (stop task), chosen for their relative specificity for ANX and ADHD, respectively, in previous studies.\n\nRESULTS: Multivariate analyses of variance revealed significant group differences on the dichotic listening task (p &lt; .05), with the comorbid group differing from the control group on emotion targets (p &lt; .01) and the ADHD group differing from the control group on word targets (p &lt; .05). On the stop task, the ADHD group appeared slower than the other diagnostic groups on both go and stop-signal reaction times, but differences were not significant.\n\nCONCLUSIONS: In this study, children with comorbid ANX and ADHD showed reduced auditory emotion recognition relative to controls but did not show response inhibition deficits. Thus they appeared cognitively distinct from children with either pure disorder.","author":[{"dropping-particle":"","family":"Manassis","given":"K","non-dropping-particle":"","parse-names":false,"suffix":""},{"dropping-particle":"","family":"Tannock","given":"R","non-dropping-particle":"","parse-names":false,"suffix":""},{"dropping-particle":"","family":"Barbosa","given":"J","non-dropping-particle":"","parse-names":false,"suffix":""}],"container-title":"Journal of the American Academy of Child and Adolescent Psychiatry","id":"ITEM-1","issue":"9","issued":{"date-parts":[["2000","9"]]},"page":"1152-9","title":"Dichotic listening and response inhibition in children with comorbid anxiety disorders and ADHD.","type":"article-journal","volume":"39"},"uris":["http://www.mendeley.com/documents/?uuid=f44a959a-4c45-46b8-9d91-6a84aa9ffab3"]},{"id":"ITEM-2","itemData":{"DOI":"10.1016/j.lindif.2014.07.010","ISSN":"10416080","abstract":"The present study examined the effects of Trait Anxiety on attentional task performance in children with and without attention deficit hyperactivity disorder (ADHD). 220 students between 8 and 12years performed two neuropsychological tasks related to selective and sustained attention. They were classified into four groups: ADHD+ANX, students with ADHD and Trait Anxiety (n=73); ADHD (n=53); ANX, a group with Trait Anxiety (n=15); and a non-clinical control group (n=41). Results offer evidence in both attentional tasks that the ADHD group performed worse than the non-clinical control and ANX groups, and the ANX group achieved similar results to the control group. Finally, the trait anxiety factor did not contribute to the performance of the different attentional tasks in the ADHD+ANX group. These results suggest important differences in ADHD symptomatology and comorbidity, indicating implications of these measures for differential diagnosis and treatment.","author":[{"dropping-particle":"","family":"Rodríguez","given":"Celestino","non-dropping-particle":"","parse-names":false,"suffix":""},{"dropping-particle":"","family":"González-Castro","given":"Paloma","non-dropping-particle":"","parse-names":false,"suffix":""},{"dropping-particle":"","family":"García","given":"Trinidad","non-dropping-particle":"","parse-names":false,"suffix":""},{"dropping-particle":"","family":"Núñez","given":"José Carlos","non-dropping-particle":"","parse-names":false,"suffix":""},{"dropping-particle":"","family":"Alvarez","given":"Luis","non-dropping-particle":"","parse-names":false,"suffix":""}],"container-title":"Learning and Individual Differences","id":"ITEM-2","issued":{"date-parts":[["2014","10"]]},"page":"147-152","title":"Attentional functions and trait anxiety in children with ADHD","type":"article-journal","volume":"35"},"uris":["http://www.mendeley.com/documents/?uuid=413fb1cd-1b6c-486c-ae6d-e49e859f0c16"]}],"mendeley":{"formattedCitation":"(Manassis, Tannock, &amp; Barbosa, 2000; Rodríguez et al., 2014)","manualFormatting":"(e.g. Manassis, Tannock, &amp; Barbosa, 2000; Rodríguez et al., 2014)","plainTextFormattedCitation":"(Manassis, Tannock, &amp; Barbosa, 2000; Rodríguez et al., 2014)","previouslyFormattedCitation":"(Manassis, Tannock, &amp; Barbosa, 2000; Rodríguez et al., 2014)"},"properties":{"noteIndex":0},"schema":"https://github.com/citation-style-language/schema/raw/master/csl-citation.json"}</w:instrText>
      </w:r>
      <w:r w:rsidR="00F671A7">
        <w:rPr>
          <w:sz w:val="24"/>
          <w:szCs w:val="24"/>
        </w:rPr>
        <w:fldChar w:fldCharType="separate"/>
      </w:r>
      <w:r w:rsidR="00F671A7" w:rsidRPr="007D7972">
        <w:rPr>
          <w:noProof/>
          <w:sz w:val="24"/>
          <w:szCs w:val="24"/>
        </w:rPr>
        <w:t>(</w:t>
      </w:r>
      <w:r w:rsidR="00F671A7">
        <w:rPr>
          <w:noProof/>
          <w:sz w:val="24"/>
          <w:szCs w:val="24"/>
        </w:rPr>
        <w:t xml:space="preserve">e.g. </w:t>
      </w:r>
      <w:r w:rsidR="00F671A7" w:rsidRPr="007D7972">
        <w:rPr>
          <w:noProof/>
          <w:sz w:val="24"/>
          <w:szCs w:val="24"/>
        </w:rPr>
        <w:t>Manassis, Tannock, &amp; Barbosa, 2000; Rodríguez et al., 2014)</w:t>
      </w:r>
      <w:r w:rsidR="00F671A7">
        <w:rPr>
          <w:sz w:val="24"/>
          <w:szCs w:val="24"/>
        </w:rPr>
        <w:fldChar w:fldCharType="end"/>
      </w:r>
      <w:r w:rsidR="00F671A7">
        <w:rPr>
          <w:sz w:val="24"/>
          <w:szCs w:val="24"/>
        </w:rPr>
        <w:t xml:space="preserve">. </w:t>
      </w:r>
      <w:r w:rsidR="00CC7C1F">
        <w:rPr>
          <w:sz w:val="24"/>
          <w:szCs w:val="24"/>
        </w:rPr>
        <w:t xml:space="preserve"> </w:t>
      </w:r>
      <w:r w:rsidR="000052E7">
        <w:rPr>
          <w:sz w:val="24"/>
          <w:szCs w:val="24"/>
        </w:rPr>
        <w:t>More recently, a</w:t>
      </w:r>
      <w:r w:rsidR="00292D52">
        <w:rPr>
          <w:sz w:val="24"/>
          <w:szCs w:val="24"/>
        </w:rPr>
        <w:t xml:space="preserve"> meta-analysis has found that clinical anxiety did not </w:t>
      </w:r>
      <w:r w:rsidR="00CC0936">
        <w:rPr>
          <w:sz w:val="24"/>
          <w:szCs w:val="24"/>
        </w:rPr>
        <w:t xml:space="preserve">have a negative impact on </w:t>
      </w:r>
      <w:r w:rsidR="00292D52">
        <w:rPr>
          <w:sz w:val="24"/>
          <w:szCs w:val="24"/>
        </w:rPr>
        <w:t xml:space="preserve">attention and working memory </w:t>
      </w:r>
      <w:r w:rsidR="00CC0936">
        <w:rPr>
          <w:sz w:val="24"/>
          <w:szCs w:val="24"/>
        </w:rPr>
        <w:t>and</w:t>
      </w:r>
      <w:r w:rsidR="00292D52">
        <w:rPr>
          <w:sz w:val="24"/>
          <w:szCs w:val="24"/>
        </w:rPr>
        <w:t xml:space="preserve"> improved response inhibition in children with ADHD </w:t>
      </w:r>
      <w:r w:rsidR="00292D52">
        <w:rPr>
          <w:sz w:val="24"/>
          <w:szCs w:val="24"/>
        </w:rPr>
        <w:fldChar w:fldCharType="begin" w:fldLock="1"/>
      </w:r>
      <w:r w:rsidR="00292D52">
        <w:rPr>
          <w:sz w:val="24"/>
          <w:szCs w:val="24"/>
        </w:rPr>
        <w:instrText>ADDIN CSL_CITATION {"citationItems":[{"id":"ITEM-1","itemData":{"DOI":"10.1007/s10567-018-0255-8","ISSN":"1096-4037","author":[{"dropping-particle":"","family":"Maric","given":"Marija","non-dropping-particle":"","parse-names":false,"suffix":""},{"dropping-particle":"","family":"Bexkens","given":"Anika","non-dropping-particle":"","parse-names":false,"suffix":""},{"dropping-particle":"","family":"Bögels","given":"Susan M.","non-dropping-particle":"","parse-names":false,"suffix":""}],"container-title":"Clinical Child and Family Psychology Review","id":"ITEM-1","issue":"3","issued":{"date-parts":[["2018","9","26"]]},"page":"340-353","publisher":"Springer US","title":"Is Clinical Anxiety a Risk or a Protective Factor for Executive Functioning in Youth with ADHD? A Meta-regression Analysis","type":"article-journal","volume":"21"},"uris":["http://www.mendeley.com/documents/?uuid=cde0c3a0-9f27-36c9-aaba-4d0bc3804926"]}],"mendeley":{"formattedCitation":"(Maric, Bexkens, &amp; Bögels, 2018)","plainTextFormattedCitation":"(Maric, Bexkens, &amp; Bögels, 2018)"},"properties":{"noteIndex":0},"schema":"https://github.com/citation-style-language/schema/raw/master/csl-citation.json"}</w:instrText>
      </w:r>
      <w:r w:rsidR="00292D52">
        <w:rPr>
          <w:sz w:val="24"/>
          <w:szCs w:val="24"/>
        </w:rPr>
        <w:fldChar w:fldCharType="separate"/>
      </w:r>
      <w:r w:rsidR="00292D52" w:rsidRPr="00292D52">
        <w:rPr>
          <w:noProof/>
          <w:sz w:val="24"/>
          <w:szCs w:val="24"/>
        </w:rPr>
        <w:t>(Maric, Bexkens, &amp; Bögels, 2018)</w:t>
      </w:r>
      <w:r w:rsidR="00292D52">
        <w:rPr>
          <w:sz w:val="24"/>
          <w:szCs w:val="24"/>
        </w:rPr>
        <w:fldChar w:fldCharType="end"/>
      </w:r>
      <w:r w:rsidR="001A0AC5">
        <w:rPr>
          <w:sz w:val="24"/>
          <w:szCs w:val="24"/>
        </w:rPr>
        <w:t>, highlighting that anxiety attenuates executive function deficits associated with ADHD</w:t>
      </w:r>
      <w:r w:rsidR="00292D52">
        <w:rPr>
          <w:sz w:val="24"/>
          <w:szCs w:val="24"/>
        </w:rPr>
        <w:t>.</w:t>
      </w:r>
      <w:r w:rsidR="00CC7C1F">
        <w:rPr>
          <w:sz w:val="24"/>
          <w:szCs w:val="24"/>
        </w:rPr>
        <w:t xml:space="preserve"> </w:t>
      </w:r>
      <w:r w:rsidR="000052E7">
        <w:rPr>
          <w:sz w:val="24"/>
          <w:szCs w:val="24"/>
        </w:rPr>
        <w:t xml:space="preserve">However, these findings were only focused on tasks using emotionally neutral stimuli. </w:t>
      </w:r>
      <w:r w:rsidR="00CC7C1F">
        <w:rPr>
          <w:sz w:val="24"/>
          <w:szCs w:val="24"/>
        </w:rPr>
        <w:t>In the cur</w:t>
      </w:r>
      <w:r w:rsidR="0053117A">
        <w:rPr>
          <w:sz w:val="24"/>
          <w:szCs w:val="24"/>
        </w:rPr>
        <w:t>rent study, the counteracting effects of anxiety on sustained attention in ADHD were specific to emotional stimuli. P</w:t>
      </w:r>
      <w:r w:rsidR="00CC7C1F" w:rsidRPr="00A75594">
        <w:rPr>
          <w:sz w:val="24"/>
          <w:szCs w:val="24"/>
        </w:rPr>
        <w:t>revious evidence ha</w:t>
      </w:r>
      <w:r w:rsidR="00CC7C1F">
        <w:rPr>
          <w:sz w:val="24"/>
          <w:szCs w:val="24"/>
        </w:rPr>
        <w:t>s</w:t>
      </w:r>
      <w:r w:rsidR="00CC7C1F" w:rsidRPr="00A75594">
        <w:rPr>
          <w:sz w:val="24"/>
          <w:szCs w:val="24"/>
        </w:rPr>
        <w:t xml:space="preserve"> shown a similar effect, with anxiety </w:t>
      </w:r>
      <w:r w:rsidR="00CC7C1F">
        <w:rPr>
          <w:sz w:val="24"/>
          <w:szCs w:val="24"/>
        </w:rPr>
        <w:t>moderating</w:t>
      </w:r>
      <w:r w:rsidR="00CC7C1F" w:rsidRPr="00A75594">
        <w:rPr>
          <w:sz w:val="24"/>
          <w:szCs w:val="24"/>
        </w:rPr>
        <w:t xml:space="preserve"> impairments in emotion recognition in children with comorbid conduct </w:t>
      </w:r>
      <w:r w:rsidR="00CC7C1F" w:rsidRPr="00A75594">
        <w:rPr>
          <w:sz w:val="24"/>
          <w:szCs w:val="24"/>
        </w:rPr>
        <w:lastRenderedPageBreak/>
        <w:t xml:space="preserve">disorder (CD) </w:t>
      </w:r>
      <w:r w:rsidR="00CC7C1F" w:rsidRPr="00A75594">
        <w:rPr>
          <w:sz w:val="24"/>
          <w:szCs w:val="24"/>
        </w:rPr>
        <w:fldChar w:fldCharType="begin" w:fldLock="1"/>
      </w:r>
      <w:r w:rsidR="00CC7C1F" w:rsidRPr="00A75594">
        <w:rPr>
          <w:sz w:val="24"/>
          <w:szCs w:val="24"/>
        </w:rPr>
        <w:instrText>ADDIN CSL_CITATION {"citationItems":[{"id":"ITEM-1","itemData":{"DOI":"10.1111/jcpp.12544","ISSN":"00219630","author":[{"dropping-particle":"","family":"Short","given":"Roxanna M.L.","non-dropping-particle":"","parse-names":false,"suffix":""},{"dropping-particle":"","family":"Sonuga-Barke","given":"Edmund J.S.","non-dropping-particle":"","parse-names":false,"suffix":""},{"dropping-particle":"","family":"Adams","given":"Wendy J.","non-dropping-particle":"","parse-names":false,"suffix":""},{"dropping-particle":"","family":"Fairchild","given":"Graeme","non-dropping-particle":"","parse-names":false,"suffix":""}],"container-title":"Journal of Child Psychology and Psychiatry","id":"ITEM-1","issue":"8","issued":{"date-parts":[["2016","8","1"]]},"page":"917-926","publisher":"Wiley/Blackwell (10.1111)","title":"Does comorbid anxiety counteract emotion recognition deficits in conduct disorder?","type":"article-journal","volume":"57"},"uris":["http://www.mendeley.com/documents/?uuid=6efd6887-3211-3821-95fe-dead9e30066e"]}],"mendeley":{"formattedCitation":"(Short, Sonuga-Barke, Adams, &amp; Fairchild, 2016)","plainTextFormattedCitation":"(Short, Sonuga-Barke, Adams, &amp; Fairchild, 2016)","previouslyFormattedCitation":"(Short, Sonuga-Barke, Adams, &amp; Fairchild, 2016)"},"properties":{"noteIndex":0},"schema":"https://github.com/citation-style-language/schema/raw/master/csl-citation.json"}</w:instrText>
      </w:r>
      <w:r w:rsidR="00CC7C1F" w:rsidRPr="00A75594">
        <w:rPr>
          <w:sz w:val="24"/>
          <w:szCs w:val="24"/>
        </w:rPr>
        <w:fldChar w:fldCharType="separate"/>
      </w:r>
      <w:r w:rsidR="00CC7C1F" w:rsidRPr="00A75594">
        <w:rPr>
          <w:noProof/>
          <w:sz w:val="24"/>
          <w:szCs w:val="24"/>
        </w:rPr>
        <w:t>(Short, Sonuga-Barke, Adams, &amp; Fairchild, 2016)</w:t>
      </w:r>
      <w:r w:rsidR="00CC7C1F" w:rsidRPr="00A75594">
        <w:rPr>
          <w:sz w:val="24"/>
          <w:szCs w:val="24"/>
        </w:rPr>
        <w:fldChar w:fldCharType="end"/>
      </w:r>
      <w:r w:rsidR="00CC7C1F" w:rsidRPr="00A75594">
        <w:rPr>
          <w:sz w:val="24"/>
          <w:szCs w:val="24"/>
        </w:rPr>
        <w:t xml:space="preserve">. In this study, Short et al. (2016) examined emotion recognition of anger, fear, happiness, sadness and disgust using a five-alternative-forced-choice task in adolescents </w:t>
      </w:r>
      <w:r w:rsidR="00CC7C1F">
        <w:rPr>
          <w:sz w:val="24"/>
          <w:szCs w:val="24"/>
        </w:rPr>
        <w:t xml:space="preserve">diagnosed </w:t>
      </w:r>
      <w:r w:rsidR="00CC7C1F" w:rsidRPr="00A75594">
        <w:rPr>
          <w:sz w:val="24"/>
          <w:szCs w:val="24"/>
        </w:rPr>
        <w:t xml:space="preserve">with CD, anxiety, comorbid CD/anxiety and typical controls. </w:t>
      </w:r>
      <w:r w:rsidR="00CC7C1F">
        <w:rPr>
          <w:sz w:val="24"/>
          <w:szCs w:val="24"/>
        </w:rPr>
        <w:t>The</w:t>
      </w:r>
      <w:r w:rsidR="00CC7C1F" w:rsidRPr="00A75594">
        <w:rPr>
          <w:sz w:val="24"/>
          <w:szCs w:val="24"/>
        </w:rPr>
        <w:t xml:space="preserve"> results showed that </w:t>
      </w:r>
      <w:r w:rsidR="00CC7C1F">
        <w:rPr>
          <w:sz w:val="24"/>
          <w:szCs w:val="24"/>
        </w:rPr>
        <w:t>young people with CD showed larger impairments in the recognition of fear, anger and disgust, whereas young people with anxiety did not differ from controls. E</w:t>
      </w:r>
      <w:r w:rsidR="00CC7C1F" w:rsidRPr="00A75594">
        <w:rPr>
          <w:sz w:val="24"/>
          <w:szCs w:val="24"/>
        </w:rPr>
        <w:t>motion recognition (across all emotions) of comorbid CD/anxiety was similar to that of the control group, suggesting that emotion processing in anxiety counteracted the impairments associated with CD.</w:t>
      </w:r>
      <w:r w:rsidR="0053117A">
        <w:rPr>
          <w:sz w:val="24"/>
          <w:szCs w:val="24"/>
        </w:rPr>
        <w:t xml:space="preserve"> </w:t>
      </w:r>
      <w:r w:rsidR="00EC6416">
        <w:rPr>
          <w:sz w:val="24"/>
          <w:szCs w:val="24"/>
        </w:rPr>
        <w:t xml:space="preserve">Consistently, </w:t>
      </w:r>
      <w:r w:rsidR="000052E7">
        <w:rPr>
          <w:sz w:val="24"/>
          <w:szCs w:val="24"/>
        </w:rPr>
        <w:t xml:space="preserve">the </w:t>
      </w:r>
      <w:r w:rsidR="00914754">
        <w:rPr>
          <w:sz w:val="24"/>
          <w:szCs w:val="24"/>
        </w:rPr>
        <w:t>findings</w:t>
      </w:r>
      <w:r w:rsidR="00CC0936">
        <w:rPr>
          <w:sz w:val="24"/>
          <w:szCs w:val="24"/>
        </w:rPr>
        <w:t xml:space="preserve"> </w:t>
      </w:r>
      <w:r w:rsidR="005C6779">
        <w:rPr>
          <w:sz w:val="24"/>
          <w:szCs w:val="24"/>
        </w:rPr>
        <w:t xml:space="preserve">from the current study </w:t>
      </w:r>
      <w:r w:rsidR="00CC0936">
        <w:rPr>
          <w:sz w:val="24"/>
          <w:szCs w:val="24"/>
        </w:rPr>
        <w:t>support that</w:t>
      </w:r>
      <w:r w:rsidR="00961597">
        <w:rPr>
          <w:sz w:val="24"/>
          <w:szCs w:val="24"/>
        </w:rPr>
        <w:t xml:space="preserve"> rather than exacerbating,</w:t>
      </w:r>
      <w:r w:rsidR="00CC0936">
        <w:rPr>
          <w:sz w:val="24"/>
          <w:szCs w:val="24"/>
        </w:rPr>
        <w:t xml:space="preserve"> </w:t>
      </w:r>
      <w:r w:rsidR="00961597">
        <w:rPr>
          <w:sz w:val="24"/>
          <w:szCs w:val="24"/>
        </w:rPr>
        <w:t>the effects of a</w:t>
      </w:r>
      <w:r w:rsidR="00CC0936">
        <w:rPr>
          <w:sz w:val="24"/>
          <w:szCs w:val="24"/>
        </w:rPr>
        <w:t xml:space="preserve">nxiety </w:t>
      </w:r>
      <w:r w:rsidR="00961597">
        <w:rPr>
          <w:sz w:val="24"/>
          <w:szCs w:val="24"/>
        </w:rPr>
        <w:t xml:space="preserve">on emotional processing </w:t>
      </w:r>
      <w:r w:rsidR="005C6779">
        <w:rPr>
          <w:sz w:val="24"/>
          <w:szCs w:val="24"/>
        </w:rPr>
        <w:t>counteracted</w:t>
      </w:r>
      <w:r w:rsidR="00961597">
        <w:rPr>
          <w:sz w:val="24"/>
          <w:szCs w:val="24"/>
        </w:rPr>
        <w:t xml:space="preserve"> those of ADHD.</w:t>
      </w:r>
    </w:p>
    <w:p w14:paraId="749D4D75" w14:textId="7580C6DE" w:rsidR="007E77FA" w:rsidRDefault="006A29D2" w:rsidP="0062757B">
      <w:pPr>
        <w:spacing w:line="480" w:lineRule="auto"/>
        <w:ind w:firstLine="720"/>
        <w:rPr>
          <w:sz w:val="24"/>
          <w:szCs w:val="24"/>
        </w:rPr>
      </w:pPr>
      <w:r w:rsidRPr="00A75594">
        <w:rPr>
          <w:sz w:val="24"/>
          <w:szCs w:val="24"/>
        </w:rPr>
        <w:t xml:space="preserve">In summary, the current study </w:t>
      </w:r>
      <w:r w:rsidR="007C4E67">
        <w:rPr>
          <w:sz w:val="24"/>
          <w:szCs w:val="24"/>
        </w:rPr>
        <w:t xml:space="preserve">used </w:t>
      </w:r>
      <w:r w:rsidR="007C4E67" w:rsidRPr="00A75594">
        <w:rPr>
          <w:sz w:val="24"/>
          <w:szCs w:val="24"/>
        </w:rPr>
        <w:t xml:space="preserve">saccadic eye-movement measurements </w:t>
      </w:r>
      <w:r w:rsidR="007C4E67">
        <w:rPr>
          <w:sz w:val="24"/>
          <w:szCs w:val="24"/>
        </w:rPr>
        <w:t xml:space="preserve">to </w:t>
      </w:r>
      <w:r w:rsidRPr="00A75594">
        <w:rPr>
          <w:sz w:val="24"/>
          <w:szCs w:val="24"/>
        </w:rPr>
        <w:t xml:space="preserve">examine the synergistic effects of ADHD and anxiety symptoms on </w:t>
      </w:r>
      <w:r w:rsidR="00FF1BAE">
        <w:rPr>
          <w:sz w:val="24"/>
          <w:szCs w:val="24"/>
        </w:rPr>
        <w:t>inhibitory</w:t>
      </w:r>
      <w:r w:rsidR="00FF1BAE" w:rsidRPr="00A75594">
        <w:rPr>
          <w:sz w:val="24"/>
          <w:szCs w:val="24"/>
        </w:rPr>
        <w:t xml:space="preserve"> </w:t>
      </w:r>
      <w:r w:rsidRPr="00A75594">
        <w:rPr>
          <w:sz w:val="24"/>
          <w:szCs w:val="24"/>
        </w:rPr>
        <w:t xml:space="preserve">control and </w:t>
      </w:r>
      <w:r w:rsidR="007C4E67">
        <w:rPr>
          <w:sz w:val="24"/>
          <w:szCs w:val="24"/>
        </w:rPr>
        <w:t>sustained attention for processing emotional and non-emotional (symbolic) stimuli</w:t>
      </w:r>
      <w:r w:rsidRPr="00A75594">
        <w:rPr>
          <w:sz w:val="24"/>
          <w:szCs w:val="24"/>
        </w:rPr>
        <w:t xml:space="preserve">. </w:t>
      </w:r>
      <w:r w:rsidR="00AD04BB">
        <w:rPr>
          <w:sz w:val="24"/>
          <w:szCs w:val="24"/>
        </w:rPr>
        <w:t>The results showed</w:t>
      </w:r>
      <w:r w:rsidR="00AD04BB" w:rsidRPr="00FF1BAE">
        <w:rPr>
          <w:sz w:val="24"/>
          <w:szCs w:val="24"/>
        </w:rPr>
        <w:t xml:space="preserve"> </w:t>
      </w:r>
      <w:r w:rsidR="00AD04BB">
        <w:rPr>
          <w:sz w:val="24"/>
          <w:szCs w:val="24"/>
        </w:rPr>
        <w:t xml:space="preserve">that cognitive deficits associated with elevated ADHD </w:t>
      </w:r>
      <w:r w:rsidR="005C6779">
        <w:rPr>
          <w:sz w:val="24"/>
          <w:szCs w:val="24"/>
        </w:rPr>
        <w:t xml:space="preserve">symptoms </w:t>
      </w:r>
      <w:r w:rsidR="00AD04BB">
        <w:rPr>
          <w:sz w:val="24"/>
          <w:szCs w:val="24"/>
        </w:rPr>
        <w:t xml:space="preserve">were </w:t>
      </w:r>
      <w:r w:rsidR="005C6779">
        <w:rPr>
          <w:sz w:val="24"/>
          <w:szCs w:val="24"/>
        </w:rPr>
        <w:t xml:space="preserve">specific to the </w:t>
      </w:r>
      <w:r w:rsidR="00AD04BB">
        <w:rPr>
          <w:sz w:val="24"/>
          <w:szCs w:val="24"/>
        </w:rPr>
        <w:t xml:space="preserve">emotional </w:t>
      </w:r>
      <w:r w:rsidR="005C6779">
        <w:rPr>
          <w:sz w:val="24"/>
          <w:szCs w:val="24"/>
        </w:rPr>
        <w:t>content of the stimuli, thus not supporting more generalised attention deficit</w:t>
      </w:r>
      <w:r w:rsidR="00AD04BB" w:rsidRPr="00F3021B">
        <w:rPr>
          <w:sz w:val="24"/>
          <w:szCs w:val="24"/>
        </w:rPr>
        <w:t>s</w:t>
      </w:r>
      <w:r w:rsidR="00AD04BB">
        <w:rPr>
          <w:sz w:val="24"/>
          <w:szCs w:val="24"/>
        </w:rPr>
        <w:t>.</w:t>
      </w:r>
      <w:r w:rsidR="00AD04BB" w:rsidRPr="00F3021B">
        <w:rPr>
          <w:sz w:val="24"/>
          <w:szCs w:val="24"/>
        </w:rPr>
        <w:t xml:space="preserve"> </w:t>
      </w:r>
      <w:r w:rsidR="00B40E78">
        <w:rPr>
          <w:sz w:val="24"/>
          <w:szCs w:val="24"/>
        </w:rPr>
        <w:t>ADHD symptoms were associated w</w:t>
      </w:r>
      <w:r w:rsidR="00915D6B">
        <w:rPr>
          <w:sz w:val="24"/>
          <w:szCs w:val="24"/>
        </w:rPr>
        <w:t xml:space="preserve">ith reduced inhibitory control and </w:t>
      </w:r>
      <w:r w:rsidR="007C4E67">
        <w:rPr>
          <w:sz w:val="24"/>
          <w:szCs w:val="24"/>
        </w:rPr>
        <w:t>less efficient sustained attention</w:t>
      </w:r>
      <w:r w:rsidR="00FF1BAE">
        <w:rPr>
          <w:sz w:val="24"/>
          <w:szCs w:val="24"/>
        </w:rPr>
        <w:t xml:space="preserve"> in response to angry</w:t>
      </w:r>
      <w:r w:rsidR="00915D6B">
        <w:rPr>
          <w:sz w:val="24"/>
          <w:szCs w:val="24"/>
        </w:rPr>
        <w:t xml:space="preserve"> </w:t>
      </w:r>
      <w:r w:rsidR="00FF1BAE">
        <w:rPr>
          <w:sz w:val="24"/>
          <w:szCs w:val="24"/>
        </w:rPr>
        <w:t>(</w:t>
      </w:r>
      <w:r w:rsidR="00915D6B">
        <w:rPr>
          <w:sz w:val="24"/>
          <w:szCs w:val="24"/>
        </w:rPr>
        <w:t>compared with happy faces</w:t>
      </w:r>
      <w:r w:rsidR="00FF1BAE">
        <w:rPr>
          <w:sz w:val="24"/>
          <w:szCs w:val="24"/>
        </w:rPr>
        <w:t>)</w:t>
      </w:r>
      <w:r w:rsidR="00AD04BB">
        <w:rPr>
          <w:sz w:val="24"/>
          <w:szCs w:val="24"/>
        </w:rPr>
        <w:t>. In contrast, i</w:t>
      </w:r>
      <w:r w:rsidR="00915D6B">
        <w:rPr>
          <w:sz w:val="24"/>
          <w:szCs w:val="24"/>
        </w:rPr>
        <w:t>ncreased anxiety</w:t>
      </w:r>
      <w:r w:rsidR="00FF1BAE">
        <w:rPr>
          <w:sz w:val="24"/>
          <w:szCs w:val="24"/>
        </w:rPr>
        <w:t xml:space="preserve"> symptoms</w:t>
      </w:r>
      <w:r w:rsidR="00915D6B">
        <w:rPr>
          <w:sz w:val="24"/>
          <w:szCs w:val="24"/>
        </w:rPr>
        <w:t xml:space="preserve"> were linked to</w:t>
      </w:r>
      <w:r w:rsidR="00915D6B" w:rsidRPr="00206F12">
        <w:rPr>
          <w:sz w:val="24"/>
          <w:szCs w:val="24"/>
        </w:rPr>
        <w:t xml:space="preserve"> </w:t>
      </w:r>
      <w:r w:rsidR="00915D6B" w:rsidRPr="00956F88">
        <w:rPr>
          <w:sz w:val="24"/>
          <w:szCs w:val="24"/>
        </w:rPr>
        <w:t xml:space="preserve">faster </w:t>
      </w:r>
      <w:r w:rsidR="00915D6B">
        <w:rPr>
          <w:sz w:val="24"/>
          <w:szCs w:val="24"/>
        </w:rPr>
        <w:t>processing of</w:t>
      </w:r>
      <w:r w:rsidR="00915D6B" w:rsidRPr="00956F88">
        <w:rPr>
          <w:sz w:val="24"/>
          <w:szCs w:val="24"/>
        </w:rPr>
        <w:t xml:space="preserve"> angry </w:t>
      </w:r>
      <w:r w:rsidR="007C4E67">
        <w:rPr>
          <w:sz w:val="24"/>
          <w:szCs w:val="24"/>
        </w:rPr>
        <w:t xml:space="preserve">face </w:t>
      </w:r>
      <w:r w:rsidR="00915D6B" w:rsidRPr="00956F88">
        <w:rPr>
          <w:sz w:val="24"/>
          <w:szCs w:val="24"/>
        </w:rPr>
        <w:t>relative to happy face</w:t>
      </w:r>
      <w:r w:rsidR="007C4E67">
        <w:rPr>
          <w:sz w:val="24"/>
          <w:szCs w:val="24"/>
        </w:rPr>
        <w:t xml:space="preserve"> cues</w:t>
      </w:r>
      <w:r w:rsidR="00915D6B" w:rsidRPr="00956F88">
        <w:rPr>
          <w:sz w:val="24"/>
          <w:szCs w:val="24"/>
        </w:rPr>
        <w:t>.</w:t>
      </w:r>
      <w:r w:rsidR="00915D6B">
        <w:rPr>
          <w:sz w:val="24"/>
          <w:szCs w:val="24"/>
        </w:rPr>
        <w:t xml:space="preserve"> </w:t>
      </w:r>
      <w:r w:rsidRPr="00A75594">
        <w:rPr>
          <w:sz w:val="24"/>
          <w:szCs w:val="24"/>
        </w:rPr>
        <w:t xml:space="preserve">The interaction between ADHD and anxiety showed that the effect of anxiety symptoms </w:t>
      </w:r>
      <w:r w:rsidR="00E66B51">
        <w:rPr>
          <w:sz w:val="24"/>
          <w:szCs w:val="24"/>
        </w:rPr>
        <w:t>prevailed over those associated with ADHD, indicating</w:t>
      </w:r>
      <w:r w:rsidRPr="00A75594">
        <w:rPr>
          <w:sz w:val="24"/>
          <w:szCs w:val="24"/>
        </w:rPr>
        <w:t xml:space="preserve"> a reduction of the effect of ADHD symptoms on sustained attention </w:t>
      </w:r>
      <w:r w:rsidR="007C4E67">
        <w:rPr>
          <w:sz w:val="24"/>
          <w:szCs w:val="24"/>
        </w:rPr>
        <w:t xml:space="preserve">and inhibitory control </w:t>
      </w:r>
      <w:r w:rsidRPr="00A75594">
        <w:rPr>
          <w:sz w:val="24"/>
          <w:szCs w:val="24"/>
        </w:rPr>
        <w:t xml:space="preserve">during </w:t>
      </w:r>
      <w:r w:rsidR="00E66B51">
        <w:rPr>
          <w:sz w:val="24"/>
          <w:szCs w:val="24"/>
        </w:rPr>
        <w:t xml:space="preserve">the </w:t>
      </w:r>
      <w:r w:rsidRPr="00A75594">
        <w:rPr>
          <w:sz w:val="24"/>
          <w:szCs w:val="24"/>
        </w:rPr>
        <w:t xml:space="preserve">processing </w:t>
      </w:r>
      <w:r w:rsidR="00BB3F05">
        <w:rPr>
          <w:sz w:val="24"/>
          <w:szCs w:val="24"/>
        </w:rPr>
        <w:t xml:space="preserve">of </w:t>
      </w:r>
      <w:r w:rsidR="007C4E67">
        <w:rPr>
          <w:sz w:val="24"/>
          <w:szCs w:val="24"/>
        </w:rPr>
        <w:t>threat stimuli</w:t>
      </w:r>
      <w:r w:rsidRPr="00A75594">
        <w:rPr>
          <w:sz w:val="24"/>
          <w:szCs w:val="24"/>
        </w:rPr>
        <w:t xml:space="preserve">. The current findings </w:t>
      </w:r>
      <w:r w:rsidR="001A3671">
        <w:rPr>
          <w:sz w:val="24"/>
          <w:szCs w:val="24"/>
        </w:rPr>
        <w:t>might likely</w:t>
      </w:r>
      <w:r w:rsidRPr="00A75594">
        <w:rPr>
          <w:sz w:val="24"/>
          <w:szCs w:val="24"/>
        </w:rPr>
        <w:t xml:space="preserve"> stimulate future research to further investigate the interaction between cognition and emotion across a wider spectrum of ADHD and anxiety symptoms including clinical levels. </w:t>
      </w:r>
    </w:p>
    <w:p w14:paraId="2A35F75C" w14:textId="22F629CA" w:rsidR="006A29D2" w:rsidRPr="00A75594" w:rsidRDefault="006A29D2" w:rsidP="0062757B">
      <w:pPr>
        <w:spacing w:line="480" w:lineRule="auto"/>
        <w:ind w:firstLine="720"/>
        <w:rPr>
          <w:sz w:val="24"/>
          <w:szCs w:val="24"/>
        </w:rPr>
      </w:pPr>
      <w:r w:rsidRPr="00A75594">
        <w:rPr>
          <w:sz w:val="24"/>
          <w:szCs w:val="24"/>
        </w:rPr>
        <w:lastRenderedPageBreak/>
        <w:t xml:space="preserve">This research enables the </w:t>
      </w:r>
      <w:r w:rsidRPr="00A75594">
        <w:rPr>
          <w:rFonts w:eastAsia="Sabon-Roman"/>
          <w:sz w:val="24"/>
          <w:szCs w:val="24"/>
        </w:rPr>
        <w:t xml:space="preserve">disentanglement of the psychological challenges associated with ADHD from those </w:t>
      </w:r>
      <w:r w:rsidRPr="00F834D8">
        <w:rPr>
          <w:sz w:val="24"/>
          <w:szCs w:val="24"/>
        </w:rPr>
        <w:t>underpinning comorbid disorders</w:t>
      </w:r>
      <w:r w:rsidRPr="00A75594">
        <w:rPr>
          <w:sz w:val="24"/>
          <w:szCs w:val="24"/>
        </w:rPr>
        <w:t xml:space="preserve"> (i.e.</w:t>
      </w:r>
      <w:r w:rsidR="001A3671">
        <w:rPr>
          <w:sz w:val="24"/>
          <w:szCs w:val="24"/>
        </w:rPr>
        <w:t>,</w:t>
      </w:r>
      <w:r w:rsidRPr="00A75594">
        <w:rPr>
          <w:sz w:val="24"/>
          <w:szCs w:val="24"/>
        </w:rPr>
        <w:t xml:space="preserve"> anxiety) and has implications on interventional approaches </w:t>
      </w:r>
      <w:r w:rsidR="0062757B">
        <w:rPr>
          <w:sz w:val="24"/>
          <w:szCs w:val="24"/>
        </w:rPr>
        <w:t>related to</w:t>
      </w:r>
      <w:r w:rsidRPr="00A75594">
        <w:rPr>
          <w:sz w:val="24"/>
          <w:szCs w:val="24"/>
        </w:rPr>
        <w:t xml:space="preserve"> attention</w:t>
      </w:r>
      <w:r w:rsidR="0062757B">
        <w:rPr>
          <w:sz w:val="24"/>
          <w:szCs w:val="24"/>
        </w:rPr>
        <w:t>al</w:t>
      </w:r>
      <w:r w:rsidRPr="00A75594">
        <w:rPr>
          <w:sz w:val="24"/>
          <w:szCs w:val="24"/>
        </w:rPr>
        <w:t xml:space="preserve"> </w:t>
      </w:r>
      <w:r w:rsidR="0062757B">
        <w:rPr>
          <w:sz w:val="24"/>
          <w:szCs w:val="24"/>
        </w:rPr>
        <w:t>biases</w:t>
      </w:r>
      <w:r w:rsidR="00F834D8">
        <w:rPr>
          <w:sz w:val="24"/>
          <w:szCs w:val="24"/>
        </w:rPr>
        <w:t xml:space="preserve">. </w:t>
      </w:r>
      <w:r w:rsidR="0062757B">
        <w:rPr>
          <w:sz w:val="24"/>
          <w:szCs w:val="24"/>
        </w:rPr>
        <w:t xml:space="preserve">For example, emerging </w:t>
      </w:r>
      <w:r w:rsidR="0062757B" w:rsidRPr="0062757B">
        <w:rPr>
          <w:sz w:val="24"/>
          <w:szCs w:val="24"/>
        </w:rPr>
        <w:t xml:space="preserve">evidence on attentional trainings and especially those focusing on bias modifications (ABM; Attention Bias Modification), aim to reduce clinical symptoms (i.e., of anxiety) by reducing negative attentional biases through attention training that involves processes such as orienting attention away from threat or towards non-threat stimuli </w:t>
      </w:r>
      <w:r w:rsidR="0062757B" w:rsidRPr="0062757B">
        <w:rPr>
          <w:sz w:val="24"/>
          <w:szCs w:val="24"/>
        </w:rPr>
        <w:fldChar w:fldCharType="begin" w:fldLock="1"/>
      </w:r>
      <w:r w:rsidR="00A34041">
        <w:rPr>
          <w:sz w:val="24"/>
          <w:szCs w:val="24"/>
        </w:rPr>
        <w:instrText>ADDIN CSL_CITATION {"citationItems":[{"id":"ITEM-1","itemData":{"DOI":"10.1016/j.brat.2016.08.001","ISBN":"0005-7967","ISSN":"1873622X","PMID":"27616718","abstract":"Anxiety disorders are common and difficult to treat. Some cognitive models of anxiety propose that attention bias to threat causes and maintains anxiety. This view led to the development of a computer-delivered treatment: attention bias modification (ABM) which predominantly trains attention avoidance of threat. However, meta-analyses indicate disappointing effectiveness of ABM-threat-avoidance training in reducing anxiety. This article considers how ABM may be improved, based on a review of key ideas from models of anxiety, attention and cognitive control. These are combined into an integrative framework of cognitive functions which support automatic threat evaluation/detection and goal-directed thought and action, which reciprocally influence each other. It considers roles of bottom-up and top-down processes involved in threat-evaluation, orienting and inhibitory control in different manifestations of attention bias (initial orienting, attention maintenance, threat avoidance, threat-distractor interference) and different ABM methods (e.g., ABM-threat-avoidance, ABM-positive-search). The framework has implications for computer-delivered treatments for anxiety. ABM methods which encourage active goal-focused attention-search for positive/nonthreat information and flexible cognitive control across multiple processes (particularly inhibitory control, which supports a positive goal-engagement mode over processing of minor threat cues) may prove more effective in reducing anxiety than ABM-threat-avoidance training which targets a specific bias in spatial orienting to threat.","author":[{"dropping-particle":"","family":"Mogg","given":"Karin","non-dropping-particle":"","parse-names":false,"suffix":""},{"dropping-particle":"","family":"Bradley","given":"Brendan P.","non-dropping-particle":"","parse-names":false,"suffix":""}],"container-title":"Behaviour Research and Therapy","id":"ITEM-1","issued":{"date-parts":[["2016","12","1"]]},"page":"76-108","publisher":"Pergamon","title":"Anxiety and attention to threat: Cognitive mechanisms and treatment with attention bias modification","type":"article-journal","volume":"87"},"uris":["http://www.mendeley.com/documents/?uuid=113a868a-03c1-4c71-b185-28ba39134719"]},{"id":"ITEM-2","itemData":{"DOI":"10.1016/j.tics.2018.01.001","ISSN":"1879-307X","PMID":"29402737","abstract":"Research in experimental psychopathology and cognitive theories of anxiety highlight threat-related attention biases (ABs) and underpin the development of a computer-delivered treatment for anxiety disorders: attention-bias modification (ABM) training. Variable effects of ABM training on anxiety and ABs generate conflicting research recommendations, novel ABM training procedures, and theoretical controversy. This article summarises an updated cognitive-motivational framework, integrating proposals from cognitive models of anxiety and attention, as well as evidence of ABs. Interactions between motivational salience-driven and goal-directed influences on multiple cognitive processes (e.g., stimulus evaluation, inhibition, switching, orienting) underlie anxiety and the variable manifestations of ABs (orienting towards and away from threat; threat-distractor interference). This theoretical analysis also considers ABM training as cognitive skill training, describes a conceptual framework for evaluating/developing novel ABM training procedures, and complements network-based research on reciprocal anxiety-cognition relationships.","author":[{"dropping-particle":"","family":"Mogg","given":"Karin","non-dropping-particle":"","parse-names":false,"suffix":""},{"dropping-particle":"","family":"Bradley","given":"Brendan P","non-dropping-particle":"","parse-names":false,"suffix":""}],"container-title":"Trends in cognitive sciences","id":"ITEM-2","issue":"3","issued":{"date-parts":[["2018","3","1"]]},"page":"225-240","publisher":"Elsevier","title":"Anxiety and Threat-Related Attention: Cognitive-Motivational Framework and Treatment.","type":"article-journal","volume":"22"},"uris":["http://www.mendeley.com/documents/?uuid=95949e04-ca66-3032-87fb-9e30cef9b869"]}],"mendeley":{"formattedCitation":"(Mogg &amp; Bradley, 2016, 2018)","manualFormatting":"(e.g. Mogg &amp; Bradley, 2016, 2018)","plainTextFormattedCitation":"(Mogg &amp; Bradley, 2016, 2018)","previouslyFormattedCitation":"(Mogg &amp; Bradley, 2016, 2018)"},"properties":{"noteIndex":0},"schema":"https://github.com/citation-style-language/schema/ra\u0013  w/master/csl-citation.json"}</w:instrText>
      </w:r>
      <w:r w:rsidR="0062757B" w:rsidRPr="0062757B">
        <w:rPr>
          <w:sz w:val="24"/>
          <w:szCs w:val="24"/>
        </w:rPr>
        <w:fldChar w:fldCharType="separate"/>
      </w:r>
      <w:r w:rsidR="0062757B" w:rsidRPr="0062757B">
        <w:rPr>
          <w:noProof/>
          <w:sz w:val="24"/>
          <w:szCs w:val="24"/>
        </w:rPr>
        <w:t>(e.g. Mogg &amp; Bradley, 2016, 2018)</w:t>
      </w:r>
      <w:r w:rsidR="0062757B" w:rsidRPr="0062757B">
        <w:rPr>
          <w:sz w:val="24"/>
          <w:szCs w:val="24"/>
        </w:rPr>
        <w:fldChar w:fldCharType="end"/>
      </w:r>
      <w:r w:rsidR="0062757B" w:rsidRPr="0062757B">
        <w:rPr>
          <w:sz w:val="24"/>
          <w:szCs w:val="24"/>
        </w:rPr>
        <w:t xml:space="preserve">. This interventional approach has </w:t>
      </w:r>
      <w:r w:rsidR="005B0CDF">
        <w:rPr>
          <w:sz w:val="24"/>
          <w:szCs w:val="24"/>
        </w:rPr>
        <w:t xml:space="preserve">been </w:t>
      </w:r>
      <w:r w:rsidR="0062757B" w:rsidRPr="0062757B">
        <w:rPr>
          <w:sz w:val="24"/>
          <w:szCs w:val="24"/>
        </w:rPr>
        <w:t>mainly adapted for anxiety disorders</w:t>
      </w:r>
      <w:r w:rsidR="008A3A36">
        <w:rPr>
          <w:sz w:val="24"/>
          <w:szCs w:val="24"/>
        </w:rPr>
        <w:t xml:space="preserve">. </w:t>
      </w:r>
      <w:r w:rsidR="001A6EE6">
        <w:rPr>
          <w:sz w:val="24"/>
          <w:szCs w:val="24"/>
        </w:rPr>
        <w:t>However,</w:t>
      </w:r>
      <w:r w:rsidR="0062757B" w:rsidRPr="0062757B">
        <w:rPr>
          <w:sz w:val="24"/>
          <w:szCs w:val="24"/>
        </w:rPr>
        <w:t xml:space="preserve"> our findings suggest that this approach could be </w:t>
      </w:r>
      <w:r w:rsidR="00E400B1">
        <w:rPr>
          <w:sz w:val="24"/>
          <w:szCs w:val="24"/>
        </w:rPr>
        <w:t xml:space="preserve">extended to </w:t>
      </w:r>
      <w:r w:rsidR="001E6FAD">
        <w:rPr>
          <w:sz w:val="24"/>
          <w:szCs w:val="24"/>
        </w:rPr>
        <w:t xml:space="preserve">ADHD </w:t>
      </w:r>
      <w:r w:rsidR="003B7BBB">
        <w:rPr>
          <w:sz w:val="24"/>
          <w:szCs w:val="24"/>
        </w:rPr>
        <w:t>with</w:t>
      </w:r>
      <w:r w:rsidR="001E6FAD">
        <w:rPr>
          <w:sz w:val="24"/>
          <w:szCs w:val="24"/>
        </w:rPr>
        <w:t xml:space="preserve"> and </w:t>
      </w:r>
      <w:r w:rsidR="003B7BBB">
        <w:rPr>
          <w:sz w:val="24"/>
          <w:szCs w:val="24"/>
        </w:rPr>
        <w:t>without anxiety that</w:t>
      </w:r>
      <w:r w:rsidR="0062757B" w:rsidRPr="0062757B">
        <w:rPr>
          <w:sz w:val="24"/>
          <w:szCs w:val="24"/>
        </w:rPr>
        <w:t xml:space="preserve"> </w:t>
      </w:r>
      <w:r w:rsidR="003B7BBB">
        <w:rPr>
          <w:sz w:val="24"/>
          <w:szCs w:val="24"/>
        </w:rPr>
        <w:t>was</w:t>
      </w:r>
      <w:r w:rsidR="0062757B" w:rsidRPr="0062757B">
        <w:rPr>
          <w:sz w:val="24"/>
          <w:szCs w:val="24"/>
        </w:rPr>
        <w:t xml:space="preserve"> found to be associated with attentional </w:t>
      </w:r>
      <w:r w:rsidR="00F834D8">
        <w:rPr>
          <w:sz w:val="24"/>
          <w:szCs w:val="24"/>
        </w:rPr>
        <w:t>disruptions specific to</w:t>
      </w:r>
      <w:r w:rsidR="0062757B" w:rsidRPr="0062757B">
        <w:rPr>
          <w:sz w:val="24"/>
          <w:szCs w:val="24"/>
        </w:rPr>
        <w:t xml:space="preserve"> threat contexts.</w:t>
      </w:r>
      <w:r w:rsidR="001A6EE6">
        <w:rPr>
          <w:sz w:val="24"/>
          <w:szCs w:val="24"/>
        </w:rPr>
        <w:t xml:space="preserve"> </w:t>
      </w:r>
    </w:p>
    <w:p w14:paraId="735F5FC2" w14:textId="77777777" w:rsidR="00B31341" w:rsidRPr="00A75594" w:rsidRDefault="00B31341" w:rsidP="0062757B">
      <w:pPr>
        <w:spacing w:line="480" w:lineRule="auto"/>
        <w:ind w:firstLine="720"/>
        <w:rPr>
          <w:sz w:val="24"/>
          <w:szCs w:val="24"/>
        </w:rPr>
      </w:pPr>
      <w:r w:rsidRPr="00A75594">
        <w:rPr>
          <w:sz w:val="24"/>
          <w:szCs w:val="24"/>
        </w:rPr>
        <w:br w:type="page"/>
      </w:r>
    </w:p>
    <w:p w14:paraId="2CE97F6D" w14:textId="77777777" w:rsidR="00B31341" w:rsidRPr="00C070BF" w:rsidRDefault="00B31341" w:rsidP="00B31341">
      <w:pPr>
        <w:spacing w:line="480" w:lineRule="auto"/>
        <w:ind w:firstLine="720"/>
        <w:jc w:val="center"/>
        <w:rPr>
          <w:b/>
          <w:sz w:val="24"/>
          <w:szCs w:val="24"/>
        </w:rPr>
      </w:pPr>
      <w:r w:rsidRPr="00C070BF">
        <w:rPr>
          <w:b/>
          <w:sz w:val="24"/>
          <w:szCs w:val="24"/>
        </w:rPr>
        <w:lastRenderedPageBreak/>
        <w:t>References</w:t>
      </w:r>
    </w:p>
    <w:p w14:paraId="43B5BA18" w14:textId="423E26E1" w:rsidR="00292D52" w:rsidRPr="00292D52" w:rsidRDefault="002A0354" w:rsidP="00292D52">
      <w:pPr>
        <w:widowControl w:val="0"/>
        <w:autoSpaceDE w:val="0"/>
        <w:autoSpaceDN w:val="0"/>
        <w:adjustRightInd w:val="0"/>
        <w:spacing w:line="480" w:lineRule="auto"/>
        <w:ind w:left="480" w:hanging="480"/>
        <w:rPr>
          <w:noProof/>
          <w:sz w:val="24"/>
          <w:szCs w:val="24"/>
        </w:rPr>
      </w:pPr>
      <w:r w:rsidRPr="00C070BF">
        <w:rPr>
          <w:b/>
          <w:sz w:val="24"/>
          <w:szCs w:val="24"/>
        </w:rPr>
        <w:fldChar w:fldCharType="begin" w:fldLock="1"/>
      </w:r>
      <w:r w:rsidRPr="00C070BF">
        <w:rPr>
          <w:b/>
          <w:sz w:val="24"/>
          <w:szCs w:val="24"/>
        </w:rPr>
        <w:instrText xml:space="preserve">ADDIN Mendeley Bibliography CSL_BIBLIOGRAPHY </w:instrText>
      </w:r>
      <w:r w:rsidRPr="00C070BF">
        <w:rPr>
          <w:b/>
          <w:sz w:val="24"/>
          <w:szCs w:val="24"/>
        </w:rPr>
        <w:fldChar w:fldCharType="separate"/>
      </w:r>
      <w:r w:rsidR="00292D52" w:rsidRPr="00292D52">
        <w:rPr>
          <w:noProof/>
          <w:sz w:val="24"/>
          <w:szCs w:val="24"/>
        </w:rPr>
        <w:t xml:space="preserve">American Psychiatric Association. (2013). </w:t>
      </w:r>
      <w:r w:rsidR="00292D52" w:rsidRPr="00292D52">
        <w:rPr>
          <w:i/>
          <w:iCs/>
          <w:noProof/>
          <w:sz w:val="24"/>
          <w:szCs w:val="24"/>
        </w:rPr>
        <w:t>Diagnostic and statistical manual of mental disorders (5th ed.)</w:t>
      </w:r>
      <w:r w:rsidR="00292D52" w:rsidRPr="00292D52">
        <w:rPr>
          <w:noProof/>
          <w:sz w:val="24"/>
          <w:szCs w:val="24"/>
        </w:rPr>
        <w:t xml:space="preserve">. </w:t>
      </w:r>
      <w:r w:rsidR="00292D52" w:rsidRPr="00292D52">
        <w:rPr>
          <w:i/>
          <w:iCs/>
          <w:noProof/>
          <w:sz w:val="24"/>
          <w:szCs w:val="24"/>
        </w:rPr>
        <w:t>American Journal of Psychiatry</w:t>
      </w:r>
      <w:r w:rsidR="00292D52" w:rsidRPr="00292D52">
        <w:rPr>
          <w:noProof/>
          <w:sz w:val="24"/>
          <w:szCs w:val="24"/>
        </w:rPr>
        <w:t>. Retrieved from http://ajp.psychiatryonline.org/article.aspx?articleID=158714</w:t>
      </w:r>
    </w:p>
    <w:p w14:paraId="2DB10216"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Barkley, R. A., &amp; Murphy, K. R. (2006). </w:t>
      </w:r>
      <w:r w:rsidRPr="00292D52">
        <w:rPr>
          <w:i/>
          <w:iCs/>
          <w:noProof/>
          <w:sz w:val="24"/>
          <w:szCs w:val="24"/>
        </w:rPr>
        <w:t>Attention-deficit hyperactivity disorder: A clinical workbook</w:t>
      </w:r>
      <w:r w:rsidRPr="00292D52">
        <w:rPr>
          <w:noProof/>
          <w:sz w:val="24"/>
          <w:szCs w:val="24"/>
        </w:rPr>
        <w:t xml:space="preserve"> (3rd ed.). New York: NY, US: Guilford Press. Retrieved from http://psycnet.apa.org/record/2006-03341-000</w:t>
      </w:r>
    </w:p>
    <w:p w14:paraId="7AA9D7E3"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Barkley, R. A. (1997). Behavioral inhibition, sustained attention, and executive functions: constructing a unifying theory of ADHD. </w:t>
      </w:r>
      <w:r w:rsidRPr="00292D52">
        <w:rPr>
          <w:i/>
          <w:iCs/>
          <w:noProof/>
          <w:sz w:val="24"/>
          <w:szCs w:val="24"/>
        </w:rPr>
        <w:t>Psychological Bulletin</w:t>
      </w:r>
      <w:r w:rsidRPr="00292D52">
        <w:rPr>
          <w:noProof/>
          <w:sz w:val="24"/>
          <w:szCs w:val="24"/>
        </w:rPr>
        <w:t xml:space="preserve">, </w:t>
      </w:r>
      <w:r w:rsidRPr="00292D52">
        <w:rPr>
          <w:i/>
          <w:iCs/>
          <w:noProof/>
          <w:sz w:val="24"/>
          <w:szCs w:val="24"/>
        </w:rPr>
        <w:t>121</w:t>
      </w:r>
      <w:r w:rsidRPr="00292D52">
        <w:rPr>
          <w:noProof/>
          <w:sz w:val="24"/>
          <w:szCs w:val="24"/>
        </w:rPr>
        <w:t>(1), 65–94. Retrieved from http://www.ncbi.nlm.nih.gov/pubmed/9000892</w:t>
      </w:r>
    </w:p>
    <w:p w14:paraId="60CC0DC2"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Barr, D. J., Levy, R., Scheepers, C., &amp; Tily, H. J. (2013). Random effects structure for confirmatory hypothesis testing: Keep it maximal. </w:t>
      </w:r>
      <w:r w:rsidRPr="00292D52">
        <w:rPr>
          <w:i/>
          <w:iCs/>
          <w:noProof/>
          <w:sz w:val="24"/>
          <w:szCs w:val="24"/>
        </w:rPr>
        <w:t>Journal of Memory and Language</w:t>
      </w:r>
      <w:r w:rsidRPr="00292D52">
        <w:rPr>
          <w:noProof/>
          <w:sz w:val="24"/>
          <w:szCs w:val="24"/>
        </w:rPr>
        <w:t xml:space="preserve">, </w:t>
      </w:r>
      <w:r w:rsidRPr="00292D52">
        <w:rPr>
          <w:i/>
          <w:iCs/>
          <w:noProof/>
          <w:sz w:val="24"/>
          <w:szCs w:val="24"/>
        </w:rPr>
        <w:t>68</w:t>
      </w:r>
      <w:r w:rsidRPr="00292D52">
        <w:rPr>
          <w:noProof/>
          <w:sz w:val="24"/>
          <w:szCs w:val="24"/>
        </w:rPr>
        <w:t>(3). https://doi.org/10.1016/j.jml.2012.11.001</w:t>
      </w:r>
    </w:p>
    <w:p w14:paraId="0F38B3B5"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Bates, D., Mächler, M., Bolker, B., &amp; Walker, S. (2015). Fitting Linear Mixed-Effects Models Using </w:t>
      </w:r>
      <w:r w:rsidRPr="00292D52">
        <w:rPr>
          <w:b/>
          <w:bCs/>
          <w:noProof/>
          <w:sz w:val="24"/>
          <w:szCs w:val="24"/>
        </w:rPr>
        <w:t>lme4</w:t>
      </w:r>
      <w:r w:rsidRPr="00292D52">
        <w:rPr>
          <w:noProof/>
          <w:sz w:val="24"/>
          <w:szCs w:val="24"/>
        </w:rPr>
        <w:t xml:space="preserve">. </w:t>
      </w:r>
      <w:r w:rsidRPr="00292D52">
        <w:rPr>
          <w:i/>
          <w:iCs/>
          <w:noProof/>
          <w:sz w:val="24"/>
          <w:szCs w:val="24"/>
        </w:rPr>
        <w:t>Journal of Statistical Software</w:t>
      </w:r>
      <w:r w:rsidRPr="00292D52">
        <w:rPr>
          <w:noProof/>
          <w:sz w:val="24"/>
          <w:szCs w:val="24"/>
        </w:rPr>
        <w:t xml:space="preserve">, </w:t>
      </w:r>
      <w:r w:rsidRPr="00292D52">
        <w:rPr>
          <w:i/>
          <w:iCs/>
          <w:noProof/>
          <w:sz w:val="24"/>
          <w:szCs w:val="24"/>
        </w:rPr>
        <w:t>67</w:t>
      </w:r>
      <w:r w:rsidRPr="00292D52">
        <w:rPr>
          <w:noProof/>
          <w:sz w:val="24"/>
          <w:szCs w:val="24"/>
        </w:rPr>
        <w:t>(1), 1–48. https://doi.org/10.18637/jss.v067.i01</w:t>
      </w:r>
    </w:p>
    <w:p w14:paraId="0D52CD45"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Biederman, J. (2000). Age-Dependent Decline of Symptoms of Attention Deficit Hyperactivity Disorder: Impact of Remission Definition and Symptom Type. </w:t>
      </w:r>
      <w:r w:rsidRPr="00292D52">
        <w:rPr>
          <w:i/>
          <w:iCs/>
          <w:noProof/>
          <w:sz w:val="24"/>
          <w:szCs w:val="24"/>
        </w:rPr>
        <w:t>American Journal of Psychiatry</w:t>
      </w:r>
      <w:r w:rsidRPr="00292D52">
        <w:rPr>
          <w:noProof/>
          <w:sz w:val="24"/>
          <w:szCs w:val="24"/>
        </w:rPr>
        <w:t xml:space="preserve">, </w:t>
      </w:r>
      <w:r w:rsidRPr="00292D52">
        <w:rPr>
          <w:i/>
          <w:iCs/>
          <w:noProof/>
          <w:sz w:val="24"/>
          <w:szCs w:val="24"/>
        </w:rPr>
        <w:t>157</w:t>
      </w:r>
      <w:r w:rsidRPr="00292D52">
        <w:rPr>
          <w:noProof/>
          <w:sz w:val="24"/>
          <w:szCs w:val="24"/>
        </w:rPr>
        <w:t>(5), 816–818. https://doi.org/10.1176/appi.ajp.157.5.816</w:t>
      </w:r>
    </w:p>
    <w:p w14:paraId="3C99917B"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Bluschke, A., Roessner, V., &amp; Beste, C. (2016). Specific cognitive-neurophysiological processes predict impulsivity in the childhood attention-deficit/hyperactivity disorder combined subtype. </w:t>
      </w:r>
      <w:r w:rsidRPr="00292D52">
        <w:rPr>
          <w:i/>
          <w:iCs/>
          <w:noProof/>
          <w:sz w:val="24"/>
          <w:szCs w:val="24"/>
        </w:rPr>
        <w:t>Psychological Medicine</w:t>
      </w:r>
      <w:r w:rsidRPr="00292D52">
        <w:rPr>
          <w:noProof/>
          <w:sz w:val="24"/>
          <w:szCs w:val="24"/>
        </w:rPr>
        <w:t xml:space="preserve">, </w:t>
      </w:r>
      <w:r w:rsidRPr="00292D52">
        <w:rPr>
          <w:i/>
          <w:iCs/>
          <w:noProof/>
          <w:sz w:val="24"/>
          <w:szCs w:val="24"/>
        </w:rPr>
        <w:t>46</w:t>
      </w:r>
      <w:r w:rsidRPr="00292D52">
        <w:rPr>
          <w:noProof/>
          <w:sz w:val="24"/>
          <w:szCs w:val="24"/>
        </w:rPr>
        <w:t>(6), 1277–1287. https://doi.org/10.1017/S0033291715002822</w:t>
      </w:r>
    </w:p>
    <w:p w14:paraId="6A6EE51C"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lastRenderedPageBreak/>
        <w:t xml:space="preserve">Bowen, R., Chavira, D. A., Bailey, K., Stein, M. T. M. B. M. T., &amp; Stein, M. T. M. B. M. T. (2008). Nature of anxiety comorbid with attention deficit hyperactivity disorder in children from a pediatric primary care setting. </w:t>
      </w:r>
      <w:r w:rsidRPr="00292D52">
        <w:rPr>
          <w:i/>
          <w:iCs/>
          <w:noProof/>
          <w:sz w:val="24"/>
          <w:szCs w:val="24"/>
        </w:rPr>
        <w:t>Psychiatry Research</w:t>
      </w:r>
      <w:r w:rsidRPr="00292D52">
        <w:rPr>
          <w:noProof/>
          <w:sz w:val="24"/>
          <w:szCs w:val="24"/>
        </w:rPr>
        <w:t xml:space="preserve">, </w:t>
      </w:r>
      <w:r w:rsidRPr="00292D52">
        <w:rPr>
          <w:i/>
          <w:iCs/>
          <w:noProof/>
          <w:sz w:val="24"/>
          <w:szCs w:val="24"/>
        </w:rPr>
        <w:t>157</w:t>
      </w:r>
      <w:r w:rsidRPr="00292D52">
        <w:rPr>
          <w:noProof/>
          <w:sz w:val="24"/>
          <w:szCs w:val="24"/>
        </w:rPr>
        <w:t>(1–3), 201–209. https://doi.org/10.1016/j.psychres.2004.12.015</w:t>
      </w:r>
    </w:p>
    <w:p w14:paraId="3B5863AD"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Bradley, B. P., Mogg, K., &amp; Millar, N. H. (2000). Covert and overt orienting of attention to emotional faces in anxiety. </w:t>
      </w:r>
      <w:r w:rsidRPr="00292D52">
        <w:rPr>
          <w:i/>
          <w:iCs/>
          <w:noProof/>
          <w:sz w:val="24"/>
          <w:szCs w:val="24"/>
        </w:rPr>
        <w:t>Cognition and Emotion</w:t>
      </w:r>
      <w:r w:rsidRPr="00292D52">
        <w:rPr>
          <w:noProof/>
          <w:sz w:val="24"/>
          <w:szCs w:val="24"/>
        </w:rPr>
        <w:t xml:space="preserve">, </w:t>
      </w:r>
      <w:r w:rsidRPr="00292D52">
        <w:rPr>
          <w:i/>
          <w:iCs/>
          <w:noProof/>
          <w:sz w:val="24"/>
          <w:szCs w:val="24"/>
        </w:rPr>
        <w:t>14</w:t>
      </w:r>
      <w:r w:rsidRPr="00292D52">
        <w:rPr>
          <w:noProof/>
          <w:sz w:val="24"/>
          <w:szCs w:val="24"/>
        </w:rPr>
        <w:t>(6), 789–808. https://doi.org/10.1080/02699930050156636</w:t>
      </w:r>
    </w:p>
    <w:p w14:paraId="48F4AB08"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Chen, Y. P., Ehlers, A., Clark, D. M., &amp; Mansell, W. (2002). Patients with generalized social phobia direct their attention away from faces. </w:t>
      </w:r>
      <w:r w:rsidRPr="00292D52">
        <w:rPr>
          <w:i/>
          <w:iCs/>
          <w:noProof/>
          <w:sz w:val="24"/>
          <w:szCs w:val="24"/>
        </w:rPr>
        <w:t>Behaviour Research and Therapy</w:t>
      </w:r>
      <w:r w:rsidRPr="00292D52">
        <w:rPr>
          <w:noProof/>
          <w:sz w:val="24"/>
          <w:szCs w:val="24"/>
        </w:rPr>
        <w:t xml:space="preserve">, </w:t>
      </w:r>
      <w:r w:rsidRPr="00292D52">
        <w:rPr>
          <w:i/>
          <w:iCs/>
          <w:noProof/>
          <w:sz w:val="24"/>
          <w:szCs w:val="24"/>
        </w:rPr>
        <w:t>40</w:t>
      </w:r>
      <w:r w:rsidRPr="00292D52">
        <w:rPr>
          <w:noProof/>
          <w:sz w:val="24"/>
          <w:szCs w:val="24"/>
        </w:rPr>
        <w:t>(6), 677–687. Retrieved from http://www.ncbi.nlm.nih.gov/pubmed/12051486</w:t>
      </w:r>
    </w:p>
    <w:p w14:paraId="6D521ACF"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Cisler, J. M., &amp; Koster, E. H. W. W. (2010). Mechanisms of attentional biases towards threat in anxiety disorders: An integrative review. </w:t>
      </w:r>
      <w:r w:rsidRPr="00292D52">
        <w:rPr>
          <w:i/>
          <w:iCs/>
          <w:noProof/>
          <w:sz w:val="24"/>
          <w:szCs w:val="24"/>
        </w:rPr>
        <w:t>Clinical Psychology Review</w:t>
      </w:r>
      <w:r w:rsidRPr="00292D52">
        <w:rPr>
          <w:noProof/>
          <w:sz w:val="24"/>
          <w:szCs w:val="24"/>
        </w:rPr>
        <w:t xml:space="preserve">, </w:t>
      </w:r>
      <w:r w:rsidRPr="00292D52">
        <w:rPr>
          <w:i/>
          <w:iCs/>
          <w:noProof/>
          <w:sz w:val="24"/>
          <w:szCs w:val="24"/>
        </w:rPr>
        <w:t>30</w:t>
      </w:r>
      <w:r w:rsidRPr="00292D52">
        <w:rPr>
          <w:noProof/>
          <w:sz w:val="24"/>
          <w:szCs w:val="24"/>
        </w:rPr>
        <w:t>(2), 203–216. https://doi.org/10.1016/j.cpr.2009.11.003</w:t>
      </w:r>
    </w:p>
    <w:p w14:paraId="01DB6D4A"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Eysenck, M. W., &amp; Derakshan, N. (2011). New perspectives in attentional control theory. </w:t>
      </w:r>
      <w:r w:rsidRPr="00292D52">
        <w:rPr>
          <w:i/>
          <w:iCs/>
          <w:noProof/>
          <w:sz w:val="24"/>
          <w:szCs w:val="24"/>
        </w:rPr>
        <w:t>Personality and Individual Differences</w:t>
      </w:r>
      <w:r w:rsidRPr="00292D52">
        <w:rPr>
          <w:noProof/>
          <w:sz w:val="24"/>
          <w:szCs w:val="24"/>
        </w:rPr>
        <w:t xml:space="preserve">, </w:t>
      </w:r>
      <w:r w:rsidRPr="00292D52">
        <w:rPr>
          <w:i/>
          <w:iCs/>
          <w:noProof/>
          <w:sz w:val="24"/>
          <w:szCs w:val="24"/>
        </w:rPr>
        <w:t>50</w:t>
      </w:r>
      <w:r w:rsidRPr="00292D52">
        <w:rPr>
          <w:noProof/>
          <w:sz w:val="24"/>
          <w:szCs w:val="24"/>
        </w:rPr>
        <w:t>(7), 955–960. https://doi.org/10.1016/j.paid.2010.08.019</w:t>
      </w:r>
    </w:p>
    <w:p w14:paraId="59FC6D8C"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Eysenck, M. W., Derakshan, N., Santos, R., &amp; Calvo, M. G. (2007). Anxiety and cognitive performance: Attentional control theory. </w:t>
      </w:r>
      <w:r w:rsidRPr="00292D52">
        <w:rPr>
          <w:i/>
          <w:iCs/>
          <w:noProof/>
          <w:sz w:val="24"/>
          <w:szCs w:val="24"/>
        </w:rPr>
        <w:t>Emotion</w:t>
      </w:r>
      <w:r w:rsidRPr="00292D52">
        <w:rPr>
          <w:noProof/>
          <w:sz w:val="24"/>
          <w:szCs w:val="24"/>
        </w:rPr>
        <w:t xml:space="preserve">, </w:t>
      </w:r>
      <w:r w:rsidRPr="00292D52">
        <w:rPr>
          <w:i/>
          <w:iCs/>
          <w:noProof/>
          <w:sz w:val="24"/>
          <w:szCs w:val="24"/>
        </w:rPr>
        <w:t>7</w:t>
      </w:r>
      <w:r w:rsidRPr="00292D52">
        <w:rPr>
          <w:noProof/>
          <w:sz w:val="24"/>
          <w:szCs w:val="24"/>
        </w:rPr>
        <w:t>(2), 336–353. https://doi.org/10.1037/1528-3542.7.2.336</w:t>
      </w:r>
    </w:p>
    <w:p w14:paraId="44038082"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Fox, E., Derakshan, N., &amp; Shoker, L. (2008). Trait anxiety modulates the electrophysiological indices of rapid spatial orienting towards angry faces. </w:t>
      </w:r>
      <w:r w:rsidRPr="00292D52">
        <w:rPr>
          <w:i/>
          <w:iCs/>
          <w:noProof/>
          <w:sz w:val="24"/>
          <w:szCs w:val="24"/>
        </w:rPr>
        <w:t>Neuroreport</w:t>
      </w:r>
      <w:r w:rsidRPr="00292D52">
        <w:rPr>
          <w:noProof/>
          <w:sz w:val="24"/>
          <w:szCs w:val="24"/>
        </w:rPr>
        <w:t xml:space="preserve">, </w:t>
      </w:r>
      <w:r w:rsidRPr="00292D52">
        <w:rPr>
          <w:i/>
          <w:iCs/>
          <w:noProof/>
          <w:sz w:val="24"/>
          <w:szCs w:val="24"/>
        </w:rPr>
        <w:t>19</w:t>
      </w:r>
      <w:r w:rsidRPr="00292D52">
        <w:rPr>
          <w:noProof/>
          <w:sz w:val="24"/>
          <w:szCs w:val="24"/>
        </w:rPr>
        <w:t>(3), 259–263. https://doi.org/10.1097/WNR.0b013e3282f53d2a</w:t>
      </w:r>
    </w:p>
    <w:p w14:paraId="5565D43E"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Graziano, P. A., &amp; Garcia, A. (2016). Attention-deficit hyperactivity disorder and children’s </w:t>
      </w:r>
      <w:r w:rsidRPr="00292D52">
        <w:rPr>
          <w:noProof/>
          <w:sz w:val="24"/>
          <w:szCs w:val="24"/>
        </w:rPr>
        <w:lastRenderedPageBreak/>
        <w:t xml:space="preserve">emotion dysregulation: A meta-analysis. </w:t>
      </w:r>
      <w:r w:rsidRPr="00292D52">
        <w:rPr>
          <w:i/>
          <w:iCs/>
          <w:noProof/>
          <w:sz w:val="24"/>
          <w:szCs w:val="24"/>
        </w:rPr>
        <w:t>Clinical Psychology Review</w:t>
      </w:r>
      <w:r w:rsidRPr="00292D52">
        <w:rPr>
          <w:noProof/>
          <w:sz w:val="24"/>
          <w:szCs w:val="24"/>
        </w:rPr>
        <w:t xml:space="preserve">, </w:t>
      </w:r>
      <w:r w:rsidRPr="00292D52">
        <w:rPr>
          <w:i/>
          <w:iCs/>
          <w:noProof/>
          <w:sz w:val="24"/>
          <w:szCs w:val="24"/>
        </w:rPr>
        <w:t>46</w:t>
      </w:r>
      <w:r w:rsidRPr="00292D52">
        <w:rPr>
          <w:noProof/>
          <w:sz w:val="24"/>
          <w:szCs w:val="24"/>
        </w:rPr>
        <w:t>, 106–123. https://doi.org/10.1016/j.cpr.2016.04.011</w:t>
      </w:r>
    </w:p>
    <w:p w14:paraId="3E8C2045"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Hepsomali, P., Hadwin, J. A., Liversedge, S. P., Degno, F., &amp; Garner, M. (2019). The impact of cognitive load on processing efficiency and performance effectiveness in anxiety: evidence from event-related potentials and pupillary responses. </w:t>
      </w:r>
      <w:r w:rsidRPr="00292D52">
        <w:rPr>
          <w:i/>
          <w:iCs/>
          <w:noProof/>
          <w:sz w:val="24"/>
          <w:szCs w:val="24"/>
        </w:rPr>
        <w:t>Experimental Brain Research</w:t>
      </w:r>
      <w:r w:rsidRPr="00292D52">
        <w:rPr>
          <w:noProof/>
          <w:sz w:val="24"/>
          <w:szCs w:val="24"/>
        </w:rPr>
        <w:t>, 1–13. https://doi.org/10.1007/s00221-018-05466-y</w:t>
      </w:r>
    </w:p>
    <w:p w14:paraId="20BED76D"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Hepsomali, P., Hadwin, J. A., Liversedge, S. P., &amp; Garner, M. (2017). Pupillometric and saccadic measures of affective and executive processing in anxiety. </w:t>
      </w:r>
      <w:r w:rsidRPr="00292D52">
        <w:rPr>
          <w:i/>
          <w:iCs/>
          <w:noProof/>
          <w:sz w:val="24"/>
          <w:szCs w:val="24"/>
        </w:rPr>
        <w:t>Biological Psychology</w:t>
      </w:r>
      <w:r w:rsidRPr="00292D52">
        <w:rPr>
          <w:noProof/>
          <w:sz w:val="24"/>
          <w:szCs w:val="24"/>
        </w:rPr>
        <w:t xml:space="preserve">, </w:t>
      </w:r>
      <w:r w:rsidRPr="00292D52">
        <w:rPr>
          <w:i/>
          <w:iCs/>
          <w:noProof/>
          <w:sz w:val="24"/>
          <w:szCs w:val="24"/>
        </w:rPr>
        <w:t>127</w:t>
      </w:r>
      <w:r w:rsidRPr="00292D52">
        <w:rPr>
          <w:noProof/>
          <w:sz w:val="24"/>
          <w:szCs w:val="24"/>
        </w:rPr>
        <w:t>, 173–179. https://doi.org/10.1016/J.BIOPSYCHO.2017.05.013</w:t>
      </w:r>
    </w:p>
    <w:p w14:paraId="545B3AB3"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Ichikawa, H., Nakato, E., Kanazawa, S., Shimamura, K., Sakuta, Y., Sakuta, R., … Kakigi, R. (2014). Hemodynamic response of children with attention-deficit and hyperactive disorder (ADHD) to emotional facial expressions. </w:t>
      </w:r>
      <w:r w:rsidRPr="00292D52">
        <w:rPr>
          <w:i/>
          <w:iCs/>
          <w:noProof/>
          <w:sz w:val="24"/>
          <w:szCs w:val="24"/>
        </w:rPr>
        <w:t>Neuropsychologia</w:t>
      </w:r>
      <w:r w:rsidRPr="00292D52">
        <w:rPr>
          <w:noProof/>
          <w:sz w:val="24"/>
          <w:szCs w:val="24"/>
        </w:rPr>
        <w:t xml:space="preserve">, </w:t>
      </w:r>
      <w:r w:rsidRPr="00292D52">
        <w:rPr>
          <w:i/>
          <w:iCs/>
          <w:noProof/>
          <w:sz w:val="24"/>
          <w:szCs w:val="24"/>
        </w:rPr>
        <w:t>63</w:t>
      </w:r>
      <w:r w:rsidRPr="00292D52">
        <w:rPr>
          <w:noProof/>
          <w:sz w:val="24"/>
          <w:szCs w:val="24"/>
        </w:rPr>
        <w:t>, 51–58. https://doi.org/10.1016/J.NEUROPSYCHOLOGIA.2014.08.010</w:t>
      </w:r>
    </w:p>
    <w:p w14:paraId="4AE7D784"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Jarrett, M. A. (2016). Attention-deficit/hyperactivity disorder (ADHD) symptoms, anxiety symptoms, and executive functioning in emerging adults. </w:t>
      </w:r>
      <w:r w:rsidRPr="00292D52">
        <w:rPr>
          <w:i/>
          <w:iCs/>
          <w:noProof/>
          <w:sz w:val="24"/>
          <w:szCs w:val="24"/>
        </w:rPr>
        <w:t>Psychological Assessment</w:t>
      </w:r>
      <w:r w:rsidRPr="00292D52">
        <w:rPr>
          <w:noProof/>
          <w:sz w:val="24"/>
          <w:szCs w:val="24"/>
        </w:rPr>
        <w:t xml:space="preserve">, </w:t>
      </w:r>
      <w:r w:rsidRPr="00292D52">
        <w:rPr>
          <w:i/>
          <w:iCs/>
          <w:noProof/>
          <w:sz w:val="24"/>
          <w:szCs w:val="24"/>
        </w:rPr>
        <w:t>28</w:t>
      </w:r>
      <w:r w:rsidRPr="00292D52">
        <w:rPr>
          <w:noProof/>
          <w:sz w:val="24"/>
          <w:szCs w:val="24"/>
        </w:rPr>
        <w:t>(2), 245–250. https://doi.org/10.1037/pas0000190</w:t>
      </w:r>
    </w:p>
    <w:p w14:paraId="3B43D1C6"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Jarrett, M. a, &amp; Ollendick, T. H. (2008). A conceptual review of the comorbidity of attention-deficit/hyperactivity disorder and anxiety: implications for future research and practice. </w:t>
      </w:r>
      <w:r w:rsidRPr="00292D52">
        <w:rPr>
          <w:i/>
          <w:iCs/>
          <w:noProof/>
          <w:sz w:val="24"/>
          <w:szCs w:val="24"/>
        </w:rPr>
        <w:t>Clinical Psychology Review</w:t>
      </w:r>
      <w:r w:rsidRPr="00292D52">
        <w:rPr>
          <w:noProof/>
          <w:sz w:val="24"/>
          <w:szCs w:val="24"/>
        </w:rPr>
        <w:t xml:space="preserve">, </w:t>
      </w:r>
      <w:r w:rsidRPr="00292D52">
        <w:rPr>
          <w:i/>
          <w:iCs/>
          <w:noProof/>
          <w:sz w:val="24"/>
          <w:szCs w:val="24"/>
        </w:rPr>
        <w:t>28</w:t>
      </w:r>
      <w:r w:rsidRPr="00292D52">
        <w:rPr>
          <w:noProof/>
          <w:sz w:val="24"/>
          <w:szCs w:val="24"/>
        </w:rPr>
        <w:t>(7), 1266–1280. https://doi.org/10.1016/j.cpr.2008.05.004</w:t>
      </w:r>
    </w:p>
    <w:p w14:paraId="33D36535"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Kochel, A., Leutgeb, V., &amp; Schienle, A. (2013). Disrupted Response Inhibition Toward Facial Anger Cues in Children With Attention-Deficit Hyperactivity Disorder (ADHD): An Event-Related Potential Study. </w:t>
      </w:r>
      <w:r w:rsidRPr="00292D52">
        <w:rPr>
          <w:i/>
          <w:iCs/>
          <w:noProof/>
          <w:sz w:val="24"/>
          <w:szCs w:val="24"/>
        </w:rPr>
        <w:t>Journal of Child Neurology</w:t>
      </w:r>
      <w:r w:rsidRPr="00292D52">
        <w:rPr>
          <w:noProof/>
          <w:sz w:val="24"/>
          <w:szCs w:val="24"/>
        </w:rPr>
        <w:t xml:space="preserve">, </w:t>
      </w:r>
      <w:r w:rsidRPr="00292D52">
        <w:rPr>
          <w:i/>
          <w:iCs/>
          <w:noProof/>
          <w:sz w:val="24"/>
          <w:szCs w:val="24"/>
        </w:rPr>
        <w:t>29</w:t>
      </w:r>
      <w:r w:rsidRPr="00292D52">
        <w:rPr>
          <w:noProof/>
          <w:sz w:val="24"/>
          <w:szCs w:val="24"/>
        </w:rPr>
        <w:t xml:space="preserve">(4), 459–468. </w:t>
      </w:r>
      <w:r w:rsidRPr="00292D52">
        <w:rPr>
          <w:noProof/>
          <w:sz w:val="24"/>
          <w:szCs w:val="24"/>
        </w:rPr>
        <w:lastRenderedPageBreak/>
        <w:t>https://doi.org/10.1177/0883073813476139</w:t>
      </w:r>
    </w:p>
    <w:p w14:paraId="4FDE78A5"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Köchel, A., Leutgeb, V., &amp; Schienle, A. (2012). Affective inhibitory control in adults with attention deficit hyperactivity disorder: Abnormalities in electrocortical late positivity. </w:t>
      </w:r>
      <w:r w:rsidRPr="00292D52">
        <w:rPr>
          <w:i/>
          <w:iCs/>
          <w:noProof/>
          <w:sz w:val="24"/>
          <w:szCs w:val="24"/>
        </w:rPr>
        <w:t>Neuroscience Letters</w:t>
      </w:r>
      <w:r w:rsidRPr="00292D52">
        <w:rPr>
          <w:noProof/>
          <w:sz w:val="24"/>
          <w:szCs w:val="24"/>
        </w:rPr>
        <w:t xml:space="preserve">, </w:t>
      </w:r>
      <w:r w:rsidRPr="00292D52">
        <w:rPr>
          <w:i/>
          <w:iCs/>
          <w:noProof/>
          <w:sz w:val="24"/>
          <w:szCs w:val="24"/>
        </w:rPr>
        <w:t>530</w:t>
      </w:r>
      <w:r w:rsidRPr="00292D52">
        <w:rPr>
          <w:noProof/>
          <w:sz w:val="24"/>
          <w:szCs w:val="24"/>
        </w:rPr>
        <w:t>(1), 47–52. https://doi.org/10.1016/j.neulet.2012.09.053</w:t>
      </w:r>
    </w:p>
    <w:p w14:paraId="24C73C57"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Koster, E. H. W., Crombez, G., Verschuere, B., Van Damme, S., &amp; Wiersema, J. R. (2006). Components of attentional bias to threat in high trait anxiety: Facilitated engagement, impaired disengagement, and attentional avoidance. </w:t>
      </w:r>
      <w:r w:rsidRPr="00292D52">
        <w:rPr>
          <w:i/>
          <w:iCs/>
          <w:noProof/>
          <w:sz w:val="24"/>
          <w:szCs w:val="24"/>
        </w:rPr>
        <w:t>Behaviour Research and Therapy</w:t>
      </w:r>
      <w:r w:rsidRPr="00292D52">
        <w:rPr>
          <w:noProof/>
          <w:sz w:val="24"/>
          <w:szCs w:val="24"/>
        </w:rPr>
        <w:t xml:space="preserve">, </w:t>
      </w:r>
      <w:r w:rsidRPr="00292D52">
        <w:rPr>
          <w:i/>
          <w:iCs/>
          <w:noProof/>
          <w:sz w:val="24"/>
          <w:szCs w:val="24"/>
        </w:rPr>
        <w:t>44</w:t>
      </w:r>
      <w:r w:rsidRPr="00292D52">
        <w:rPr>
          <w:noProof/>
          <w:sz w:val="24"/>
          <w:szCs w:val="24"/>
        </w:rPr>
        <w:t>(12), 1757–1771. Retrieved from https://www.sciencedirect.com/science/article/pii/S0005796706000039?via%3Dihub</w:t>
      </w:r>
    </w:p>
    <w:p w14:paraId="0A62ACC0"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Ladouceur, C. D., Silk, J. S., Dahl, R. E., Ostapenko, L., Kronhaus, D. M., &amp; Phillips, M. L. (2009). Fearful faces influence attentional control processes in anxious youth and adults. </w:t>
      </w:r>
      <w:r w:rsidRPr="00292D52">
        <w:rPr>
          <w:i/>
          <w:iCs/>
          <w:noProof/>
          <w:sz w:val="24"/>
          <w:szCs w:val="24"/>
        </w:rPr>
        <w:t>Emotion</w:t>
      </w:r>
      <w:r w:rsidRPr="00292D52">
        <w:rPr>
          <w:noProof/>
          <w:sz w:val="24"/>
          <w:szCs w:val="24"/>
        </w:rPr>
        <w:t xml:space="preserve">, </w:t>
      </w:r>
      <w:r w:rsidRPr="00292D52">
        <w:rPr>
          <w:i/>
          <w:iCs/>
          <w:noProof/>
          <w:sz w:val="24"/>
          <w:szCs w:val="24"/>
        </w:rPr>
        <w:t>9</w:t>
      </w:r>
      <w:r w:rsidRPr="00292D52">
        <w:rPr>
          <w:noProof/>
          <w:sz w:val="24"/>
          <w:szCs w:val="24"/>
        </w:rPr>
        <w:t>(6), 855–864. https://doi.org/10.1037/a0017747</w:t>
      </w:r>
    </w:p>
    <w:p w14:paraId="0689FEBF"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Liotti, M., Pliszka, S. R., Perez, R., Kothmann, D., &amp; Woldorff, M. G. (2005). Abnormal Brain Activity Related to Performance Monitoring and Error Detection in Children with ADHD. </w:t>
      </w:r>
      <w:r w:rsidRPr="00292D52">
        <w:rPr>
          <w:i/>
          <w:iCs/>
          <w:noProof/>
          <w:sz w:val="24"/>
          <w:szCs w:val="24"/>
        </w:rPr>
        <w:t>Cortex</w:t>
      </w:r>
      <w:r w:rsidRPr="00292D52">
        <w:rPr>
          <w:noProof/>
          <w:sz w:val="24"/>
          <w:szCs w:val="24"/>
        </w:rPr>
        <w:t xml:space="preserve">, </w:t>
      </w:r>
      <w:r w:rsidRPr="00292D52">
        <w:rPr>
          <w:i/>
          <w:iCs/>
          <w:noProof/>
          <w:sz w:val="24"/>
          <w:szCs w:val="24"/>
        </w:rPr>
        <w:t>41</w:t>
      </w:r>
      <w:r w:rsidRPr="00292D52">
        <w:rPr>
          <w:noProof/>
          <w:sz w:val="24"/>
          <w:szCs w:val="24"/>
        </w:rPr>
        <w:t>(3), 377–388. https://doi.org/10.1016/S0010-9452(08)70274-0</w:t>
      </w:r>
    </w:p>
    <w:p w14:paraId="76FE9351"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Logan, G. D., Schachar, R. J., &amp; Tannock, R. (1997). Impulsivity and Inhibitory Control. </w:t>
      </w:r>
      <w:r w:rsidRPr="00292D52">
        <w:rPr>
          <w:i/>
          <w:iCs/>
          <w:noProof/>
          <w:sz w:val="24"/>
          <w:szCs w:val="24"/>
        </w:rPr>
        <w:t>Psychological Science</w:t>
      </w:r>
      <w:r w:rsidRPr="00292D52">
        <w:rPr>
          <w:noProof/>
          <w:sz w:val="24"/>
          <w:szCs w:val="24"/>
        </w:rPr>
        <w:t xml:space="preserve">, </w:t>
      </w:r>
      <w:r w:rsidRPr="00292D52">
        <w:rPr>
          <w:i/>
          <w:iCs/>
          <w:noProof/>
          <w:sz w:val="24"/>
          <w:szCs w:val="24"/>
        </w:rPr>
        <w:t>8</w:t>
      </w:r>
      <w:r w:rsidRPr="00292D52">
        <w:rPr>
          <w:noProof/>
          <w:sz w:val="24"/>
          <w:szCs w:val="24"/>
        </w:rPr>
        <w:t>(1), 60–64. https://doi.org/10.1111/j.1467-9280.1997.tb00545.x</w:t>
      </w:r>
    </w:p>
    <w:p w14:paraId="1F667188"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Manassis, K., Tannock, R., &amp; Barbosa, J. (2000). Dichotic listening and response inhibition in children with comorbid anxiety disorders and ADHD. </w:t>
      </w:r>
      <w:r w:rsidRPr="00292D52">
        <w:rPr>
          <w:i/>
          <w:iCs/>
          <w:noProof/>
          <w:sz w:val="24"/>
          <w:szCs w:val="24"/>
        </w:rPr>
        <w:t>Journal of the American Academy of Child and Adolescent Psychiatry</w:t>
      </w:r>
      <w:r w:rsidRPr="00292D52">
        <w:rPr>
          <w:noProof/>
          <w:sz w:val="24"/>
          <w:szCs w:val="24"/>
        </w:rPr>
        <w:t xml:space="preserve">, </w:t>
      </w:r>
      <w:r w:rsidRPr="00292D52">
        <w:rPr>
          <w:i/>
          <w:iCs/>
          <w:noProof/>
          <w:sz w:val="24"/>
          <w:szCs w:val="24"/>
        </w:rPr>
        <w:t>39</w:t>
      </w:r>
      <w:r w:rsidRPr="00292D52">
        <w:rPr>
          <w:noProof/>
          <w:sz w:val="24"/>
          <w:szCs w:val="24"/>
        </w:rPr>
        <w:t>(9), 1152–1159. https://doi.org/10.1097/00004583-200009000-00015</w:t>
      </w:r>
    </w:p>
    <w:p w14:paraId="381E1F7C"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Maric, M., Bexkens, A., &amp; Bögels, S. M. (2018). Is Clinical Anxiety a Risk or a Protective Factor for Executive Functioning in Youth with ADHD? A Meta-regression Analysis. </w:t>
      </w:r>
      <w:r w:rsidRPr="00292D52">
        <w:rPr>
          <w:i/>
          <w:iCs/>
          <w:noProof/>
          <w:sz w:val="24"/>
          <w:szCs w:val="24"/>
        </w:rPr>
        <w:lastRenderedPageBreak/>
        <w:t>Clinical Child and Family Psychology Review</w:t>
      </w:r>
      <w:r w:rsidRPr="00292D52">
        <w:rPr>
          <w:noProof/>
          <w:sz w:val="24"/>
          <w:szCs w:val="24"/>
        </w:rPr>
        <w:t xml:space="preserve">, </w:t>
      </w:r>
      <w:r w:rsidRPr="00292D52">
        <w:rPr>
          <w:i/>
          <w:iCs/>
          <w:noProof/>
          <w:sz w:val="24"/>
          <w:szCs w:val="24"/>
        </w:rPr>
        <w:t>21</w:t>
      </w:r>
      <w:r w:rsidRPr="00292D52">
        <w:rPr>
          <w:noProof/>
          <w:sz w:val="24"/>
          <w:szCs w:val="24"/>
        </w:rPr>
        <w:t>(3), 340–353. https://doi.org/10.1007/s10567-018-0255-8</w:t>
      </w:r>
    </w:p>
    <w:p w14:paraId="76AAB0E9"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Metin, B., Roeyers, H., Wiersema, J. R., van der Meere, J. J., Thompson, M., &amp; Sonuga-Barke, E. (2013). ADHD performance reflects inefficient but not impulsive information processing: a diffusion model analysis. </w:t>
      </w:r>
      <w:r w:rsidRPr="00292D52">
        <w:rPr>
          <w:i/>
          <w:iCs/>
          <w:noProof/>
          <w:sz w:val="24"/>
          <w:szCs w:val="24"/>
        </w:rPr>
        <w:t>Neuropsychology</w:t>
      </w:r>
      <w:r w:rsidRPr="00292D52">
        <w:rPr>
          <w:noProof/>
          <w:sz w:val="24"/>
          <w:szCs w:val="24"/>
        </w:rPr>
        <w:t xml:space="preserve">, </w:t>
      </w:r>
      <w:r w:rsidRPr="00292D52">
        <w:rPr>
          <w:i/>
          <w:iCs/>
          <w:noProof/>
          <w:sz w:val="24"/>
          <w:szCs w:val="24"/>
        </w:rPr>
        <w:t>27</w:t>
      </w:r>
      <w:r w:rsidRPr="00292D52">
        <w:rPr>
          <w:noProof/>
          <w:sz w:val="24"/>
          <w:szCs w:val="24"/>
        </w:rPr>
        <w:t>(2), 193–200. https://doi.org/10.1037/a0031533</w:t>
      </w:r>
    </w:p>
    <w:p w14:paraId="0D51C4D2"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Mogg, K., Bradley, B., Miles, F., &amp; Dixon, R. (2004). BRIEF REPORT Time course of attentional bias for threat scenes: Testing the vigilance‐avoidance hypothesis. </w:t>
      </w:r>
      <w:r w:rsidRPr="00292D52">
        <w:rPr>
          <w:i/>
          <w:iCs/>
          <w:noProof/>
          <w:sz w:val="24"/>
          <w:szCs w:val="24"/>
        </w:rPr>
        <w:t>Cognition &amp; Emotion</w:t>
      </w:r>
      <w:r w:rsidRPr="00292D52">
        <w:rPr>
          <w:noProof/>
          <w:sz w:val="24"/>
          <w:szCs w:val="24"/>
        </w:rPr>
        <w:t xml:space="preserve">, </w:t>
      </w:r>
      <w:r w:rsidRPr="00292D52">
        <w:rPr>
          <w:i/>
          <w:iCs/>
          <w:noProof/>
          <w:sz w:val="24"/>
          <w:szCs w:val="24"/>
        </w:rPr>
        <w:t>18</w:t>
      </w:r>
      <w:r w:rsidRPr="00292D52">
        <w:rPr>
          <w:noProof/>
          <w:sz w:val="24"/>
          <w:szCs w:val="24"/>
        </w:rPr>
        <w:t>(5), 689–700. https://doi.org/10.1080/02699930341000158</w:t>
      </w:r>
    </w:p>
    <w:p w14:paraId="14F86E9B"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Mogg, K., &amp; Bradley, B. P. (2016). Anxiety and attention to threat: Cognitive mechanisms and treatment with attention bias modification. </w:t>
      </w:r>
      <w:r w:rsidRPr="00292D52">
        <w:rPr>
          <w:i/>
          <w:iCs/>
          <w:noProof/>
          <w:sz w:val="24"/>
          <w:szCs w:val="24"/>
        </w:rPr>
        <w:t>Behaviour Research and Therapy</w:t>
      </w:r>
      <w:r w:rsidRPr="00292D52">
        <w:rPr>
          <w:noProof/>
          <w:sz w:val="24"/>
          <w:szCs w:val="24"/>
        </w:rPr>
        <w:t xml:space="preserve">, </w:t>
      </w:r>
      <w:r w:rsidRPr="00292D52">
        <w:rPr>
          <w:i/>
          <w:iCs/>
          <w:noProof/>
          <w:sz w:val="24"/>
          <w:szCs w:val="24"/>
        </w:rPr>
        <w:t>87</w:t>
      </w:r>
      <w:r w:rsidRPr="00292D52">
        <w:rPr>
          <w:noProof/>
          <w:sz w:val="24"/>
          <w:szCs w:val="24"/>
        </w:rPr>
        <w:t>, 76–108. https://doi.org/10.1016/j.brat.2016.08.001</w:t>
      </w:r>
    </w:p>
    <w:p w14:paraId="19B7DA45"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Mogg, K., &amp; Bradley, B. P. (2018). Anxiety and Threat-Related Attention: Cognitive-Motivational Framework and Treatment. </w:t>
      </w:r>
      <w:r w:rsidRPr="00292D52">
        <w:rPr>
          <w:i/>
          <w:iCs/>
          <w:noProof/>
          <w:sz w:val="24"/>
          <w:szCs w:val="24"/>
        </w:rPr>
        <w:t>Trends in Cognitive Sciences</w:t>
      </w:r>
      <w:r w:rsidRPr="00292D52">
        <w:rPr>
          <w:noProof/>
          <w:sz w:val="24"/>
          <w:szCs w:val="24"/>
        </w:rPr>
        <w:t xml:space="preserve">, </w:t>
      </w:r>
      <w:r w:rsidRPr="00292D52">
        <w:rPr>
          <w:i/>
          <w:iCs/>
          <w:noProof/>
          <w:sz w:val="24"/>
          <w:szCs w:val="24"/>
        </w:rPr>
        <w:t>22</w:t>
      </w:r>
      <w:r w:rsidRPr="00292D52">
        <w:rPr>
          <w:noProof/>
          <w:sz w:val="24"/>
          <w:szCs w:val="24"/>
        </w:rPr>
        <w:t>(3), 225–240. https://doi.org/10.1016/j.tics.2018.01.001</w:t>
      </w:r>
    </w:p>
    <w:p w14:paraId="3D3D581E"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Passarotti, A. M., Sweeney, J. A., &amp; Pavuluri, M. N. (2010a). Differential engagement of cognitive and affective neural systems in pediatric bipolar disorder and attention deficit hyperactivity disorder. </w:t>
      </w:r>
      <w:r w:rsidRPr="00292D52">
        <w:rPr>
          <w:i/>
          <w:iCs/>
          <w:noProof/>
          <w:sz w:val="24"/>
          <w:szCs w:val="24"/>
        </w:rPr>
        <w:t>Journal of the International Neuropsychological Society : JINS</w:t>
      </w:r>
      <w:r w:rsidRPr="00292D52">
        <w:rPr>
          <w:noProof/>
          <w:sz w:val="24"/>
          <w:szCs w:val="24"/>
        </w:rPr>
        <w:t xml:space="preserve">, </w:t>
      </w:r>
      <w:r w:rsidRPr="00292D52">
        <w:rPr>
          <w:i/>
          <w:iCs/>
          <w:noProof/>
          <w:sz w:val="24"/>
          <w:szCs w:val="24"/>
        </w:rPr>
        <w:t>16</w:t>
      </w:r>
      <w:r w:rsidRPr="00292D52">
        <w:rPr>
          <w:noProof/>
          <w:sz w:val="24"/>
          <w:szCs w:val="24"/>
        </w:rPr>
        <w:t>(1), 106–117. https://doi.org/10.1017/S1355617709991019</w:t>
      </w:r>
    </w:p>
    <w:p w14:paraId="756A4293"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Passarotti, A. M., Sweeney, J. A., &amp; Pavuluri, M. N. (2010b). Emotion processing influences working memory circuits in pediatric bipolar disorder and attention-deficit/hyperactivity disorder. </w:t>
      </w:r>
      <w:r w:rsidRPr="00292D52">
        <w:rPr>
          <w:i/>
          <w:iCs/>
          <w:noProof/>
          <w:sz w:val="24"/>
          <w:szCs w:val="24"/>
        </w:rPr>
        <w:t>Journal of the American Academy of Child and Adolescent Psychiatry</w:t>
      </w:r>
      <w:r w:rsidRPr="00292D52">
        <w:rPr>
          <w:noProof/>
          <w:sz w:val="24"/>
          <w:szCs w:val="24"/>
        </w:rPr>
        <w:t xml:space="preserve">, </w:t>
      </w:r>
      <w:r w:rsidRPr="00292D52">
        <w:rPr>
          <w:i/>
          <w:iCs/>
          <w:noProof/>
          <w:sz w:val="24"/>
          <w:szCs w:val="24"/>
        </w:rPr>
        <w:t>49</w:t>
      </w:r>
      <w:r w:rsidRPr="00292D52">
        <w:rPr>
          <w:noProof/>
          <w:sz w:val="24"/>
          <w:szCs w:val="24"/>
        </w:rPr>
        <w:t>(10), 1064–1080. https://doi.org/10.1016/j.jaac.2010.07.009</w:t>
      </w:r>
    </w:p>
    <w:p w14:paraId="0888ECC7"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lastRenderedPageBreak/>
        <w:t xml:space="preserve">Pavlou, K., Benson, V., &amp; Hadwin, J. A. (2016). Exploring Links between Neuroticism and Psychoticism Personality Traits, Attentional Biases to Threat and Friendship Quality in 9–11-year-olds. </w:t>
      </w:r>
      <w:r w:rsidRPr="00292D52">
        <w:rPr>
          <w:i/>
          <w:iCs/>
          <w:noProof/>
          <w:sz w:val="24"/>
          <w:szCs w:val="24"/>
        </w:rPr>
        <w:t>Journal of Experimental Psychopathology</w:t>
      </w:r>
      <w:r w:rsidRPr="00292D52">
        <w:rPr>
          <w:noProof/>
          <w:sz w:val="24"/>
          <w:szCs w:val="24"/>
        </w:rPr>
        <w:t xml:space="preserve">, </w:t>
      </w:r>
      <w:r w:rsidRPr="00292D52">
        <w:rPr>
          <w:i/>
          <w:iCs/>
          <w:noProof/>
          <w:sz w:val="24"/>
          <w:szCs w:val="24"/>
        </w:rPr>
        <w:t>7</w:t>
      </w:r>
      <w:r w:rsidRPr="00292D52">
        <w:rPr>
          <w:noProof/>
          <w:sz w:val="24"/>
          <w:szCs w:val="24"/>
        </w:rPr>
        <w:t>(3), jep.055316. https://doi.org/10.5127/jep.055316</w:t>
      </w:r>
    </w:p>
    <w:p w14:paraId="07F04D03"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Pelc, K., Kornreich, C., Foisy, M.-L., &amp; Dan, B. (2006). Recognition of emotional facial expressions in attention-deficit hyperactivity disorder. </w:t>
      </w:r>
      <w:r w:rsidRPr="00292D52">
        <w:rPr>
          <w:i/>
          <w:iCs/>
          <w:noProof/>
          <w:sz w:val="24"/>
          <w:szCs w:val="24"/>
        </w:rPr>
        <w:t>Pediatric Neurology</w:t>
      </w:r>
      <w:r w:rsidRPr="00292D52">
        <w:rPr>
          <w:noProof/>
          <w:sz w:val="24"/>
          <w:szCs w:val="24"/>
        </w:rPr>
        <w:t xml:space="preserve">, </w:t>
      </w:r>
      <w:r w:rsidRPr="00292D52">
        <w:rPr>
          <w:i/>
          <w:iCs/>
          <w:noProof/>
          <w:sz w:val="24"/>
          <w:szCs w:val="24"/>
        </w:rPr>
        <w:t>35</w:t>
      </w:r>
      <w:r w:rsidRPr="00292D52">
        <w:rPr>
          <w:noProof/>
          <w:sz w:val="24"/>
          <w:szCs w:val="24"/>
        </w:rPr>
        <w:t>(2), 93–97. https://doi.org/10.1016/j.pediatrneurol.2006.01.014</w:t>
      </w:r>
    </w:p>
    <w:p w14:paraId="28C720D7"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Richards, H. J., Benson, V., Donnelly, N., &amp; Hadwin, J. A. (2014). Exploring the function of selective attention and hypervigilance for threat in anxiety. </w:t>
      </w:r>
      <w:r w:rsidRPr="00292D52">
        <w:rPr>
          <w:i/>
          <w:iCs/>
          <w:noProof/>
          <w:sz w:val="24"/>
          <w:szCs w:val="24"/>
        </w:rPr>
        <w:t>Clinical Psychology Review</w:t>
      </w:r>
      <w:r w:rsidRPr="00292D52">
        <w:rPr>
          <w:noProof/>
          <w:sz w:val="24"/>
          <w:szCs w:val="24"/>
        </w:rPr>
        <w:t xml:space="preserve">, </w:t>
      </w:r>
      <w:r w:rsidRPr="00292D52">
        <w:rPr>
          <w:i/>
          <w:iCs/>
          <w:noProof/>
          <w:sz w:val="24"/>
          <w:szCs w:val="24"/>
        </w:rPr>
        <w:t>34</w:t>
      </w:r>
      <w:r w:rsidRPr="00292D52">
        <w:rPr>
          <w:noProof/>
          <w:sz w:val="24"/>
          <w:szCs w:val="24"/>
        </w:rPr>
        <w:t>(1), 1–13. https://doi.org/10.1016/j.cpr.2013.10.006</w:t>
      </w:r>
    </w:p>
    <w:p w14:paraId="7A43AD25"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Richards, H. J., Benson, V., &amp; Hadwin, J. A. (2012). The attentional processes underlying impaired inhibition of threat in anxiety: the remote distractor effect. </w:t>
      </w:r>
      <w:r w:rsidRPr="00292D52">
        <w:rPr>
          <w:i/>
          <w:iCs/>
          <w:noProof/>
          <w:sz w:val="24"/>
          <w:szCs w:val="24"/>
        </w:rPr>
        <w:t>Cognition &amp; Emotion</w:t>
      </w:r>
      <w:r w:rsidRPr="00292D52">
        <w:rPr>
          <w:noProof/>
          <w:sz w:val="24"/>
          <w:szCs w:val="24"/>
        </w:rPr>
        <w:t xml:space="preserve">, </w:t>
      </w:r>
      <w:r w:rsidRPr="00292D52">
        <w:rPr>
          <w:i/>
          <w:iCs/>
          <w:noProof/>
          <w:sz w:val="24"/>
          <w:szCs w:val="24"/>
        </w:rPr>
        <w:t>26</w:t>
      </w:r>
      <w:r w:rsidRPr="00292D52">
        <w:rPr>
          <w:noProof/>
          <w:sz w:val="24"/>
          <w:szCs w:val="24"/>
        </w:rPr>
        <w:t>(5), 934–942. https://doi.org/10.1080/02699931.2011.630990</w:t>
      </w:r>
    </w:p>
    <w:p w14:paraId="11566ADE"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Rodríguez, C., González-Castro, P., García, T., Núñez, J. C., &amp; Alvarez, L. (2014). Attentional functions and trait anxiety in children with ADHD. </w:t>
      </w:r>
      <w:r w:rsidRPr="00292D52">
        <w:rPr>
          <w:i/>
          <w:iCs/>
          <w:noProof/>
          <w:sz w:val="24"/>
          <w:szCs w:val="24"/>
        </w:rPr>
        <w:t>Learning and Individual Differences</w:t>
      </w:r>
      <w:r w:rsidRPr="00292D52">
        <w:rPr>
          <w:noProof/>
          <w:sz w:val="24"/>
          <w:szCs w:val="24"/>
        </w:rPr>
        <w:t xml:space="preserve">, </w:t>
      </w:r>
      <w:r w:rsidRPr="00292D52">
        <w:rPr>
          <w:i/>
          <w:iCs/>
          <w:noProof/>
          <w:sz w:val="24"/>
          <w:szCs w:val="24"/>
        </w:rPr>
        <w:t>35</w:t>
      </w:r>
      <w:r w:rsidRPr="00292D52">
        <w:rPr>
          <w:noProof/>
          <w:sz w:val="24"/>
          <w:szCs w:val="24"/>
        </w:rPr>
        <w:t>, 147–152. https://doi.org/10.1016/j.lindif.2014.07.010</w:t>
      </w:r>
    </w:p>
    <w:p w14:paraId="3B4E7508"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Schatz, D. B., &amp; Rostain, A. L. (2006). ADHD with comorbid anxiety: a review of the current literature. </w:t>
      </w:r>
      <w:r w:rsidRPr="00292D52">
        <w:rPr>
          <w:i/>
          <w:iCs/>
          <w:noProof/>
          <w:sz w:val="24"/>
          <w:szCs w:val="24"/>
        </w:rPr>
        <w:t>Journal of Attention Disorders</w:t>
      </w:r>
      <w:r w:rsidRPr="00292D52">
        <w:rPr>
          <w:noProof/>
          <w:sz w:val="24"/>
          <w:szCs w:val="24"/>
        </w:rPr>
        <w:t xml:space="preserve">, </w:t>
      </w:r>
      <w:r w:rsidRPr="00292D52">
        <w:rPr>
          <w:i/>
          <w:iCs/>
          <w:noProof/>
          <w:sz w:val="24"/>
          <w:szCs w:val="24"/>
        </w:rPr>
        <w:t>10</w:t>
      </w:r>
      <w:r w:rsidRPr="00292D52">
        <w:rPr>
          <w:noProof/>
          <w:sz w:val="24"/>
          <w:szCs w:val="24"/>
        </w:rPr>
        <w:t>(2), 141–149. https://doi.org/10.1177/1087054706286698</w:t>
      </w:r>
    </w:p>
    <w:p w14:paraId="4BEC7817"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Schwab-Stone, M. E., Shaffer, D., Dulcan, M. K., Jensen, P. S., Fisher, P., Bird, H. R., … Rae, D. S. (1996). Criterion Validity of the NIMH Diagnostic Interview Schedule for Children Version 2.3 (DISC-2.3). </w:t>
      </w:r>
      <w:r w:rsidRPr="00292D52">
        <w:rPr>
          <w:i/>
          <w:iCs/>
          <w:noProof/>
          <w:sz w:val="24"/>
          <w:szCs w:val="24"/>
        </w:rPr>
        <w:t>Journal of the American Academy of Child &amp; Adolescent Psychiatry</w:t>
      </w:r>
      <w:r w:rsidRPr="00292D52">
        <w:rPr>
          <w:noProof/>
          <w:sz w:val="24"/>
          <w:szCs w:val="24"/>
        </w:rPr>
        <w:t xml:space="preserve">, </w:t>
      </w:r>
      <w:r w:rsidRPr="00292D52">
        <w:rPr>
          <w:i/>
          <w:iCs/>
          <w:noProof/>
          <w:sz w:val="24"/>
          <w:szCs w:val="24"/>
        </w:rPr>
        <w:t>35</w:t>
      </w:r>
      <w:r w:rsidRPr="00292D52">
        <w:rPr>
          <w:noProof/>
          <w:sz w:val="24"/>
          <w:szCs w:val="24"/>
        </w:rPr>
        <w:t>(7), 878–888. https://doi.org/10.1097/00004583-199607000-</w:t>
      </w:r>
      <w:r w:rsidRPr="00292D52">
        <w:rPr>
          <w:noProof/>
          <w:sz w:val="24"/>
          <w:szCs w:val="24"/>
        </w:rPr>
        <w:lastRenderedPageBreak/>
        <w:t>00013</w:t>
      </w:r>
    </w:p>
    <w:p w14:paraId="49C7EF6F"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Senderecka, M., Grabowska, A., Szewczyk, J., Gerc, K., &amp; Chmylak, R. (2012). Response inhibition of children with ADHD in the stop-signal task: an event-related potential study. </w:t>
      </w:r>
      <w:r w:rsidRPr="00292D52">
        <w:rPr>
          <w:i/>
          <w:iCs/>
          <w:noProof/>
          <w:sz w:val="24"/>
          <w:szCs w:val="24"/>
        </w:rPr>
        <w:t>International Journal of Psychophysiology : Official Journal of the International Organization of Psychophysiology</w:t>
      </w:r>
      <w:r w:rsidRPr="00292D52">
        <w:rPr>
          <w:noProof/>
          <w:sz w:val="24"/>
          <w:szCs w:val="24"/>
        </w:rPr>
        <w:t xml:space="preserve">, </w:t>
      </w:r>
      <w:r w:rsidRPr="00292D52">
        <w:rPr>
          <w:i/>
          <w:iCs/>
          <w:noProof/>
          <w:sz w:val="24"/>
          <w:szCs w:val="24"/>
        </w:rPr>
        <w:t>85</w:t>
      </w:r>
      <w:r w:rsidRPr="00292D52">
        <w:rPr>
          <w:noProof/>
          <w:sz w:val="24"/>
          <w:szCs w:val="24"/>
        </w:rPr>
        <w:t>(1), 93–105. https://doi.org/10.1016/j.ijpsycho.2011.05.007</w:t>
      </w:r>
    </w:p>
    <w:p w14:paraId="16395071"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Shaffer, D., Fisher, P., Lucas, C. P., Dulcan, Mi. K., &amp; Schwab-Stone, M. E. (2000). NIMH Diagnostic Interview Schedule for Children Version IV (NIMH DISC-IV): Description, Differences From Previous Versions, and Reliability of Some Common Diagnoses. </w:t>
      </w:r>
      <w:r w:rsidRPr="00292D52">
        <w:rPr>
          <w:i/>
          <w:iCs/>
          <w:noProof/>
          <w:sz w:val="24"/>
          <w:szCs w:val="24"/>
        </w:rPr>
        <w:t>Journal of the American Academy of Child &amp; Adolescent Psychiatry</w:t>
      </w:r>
      <w:r w:rsidRPr="00292D52">
        <w:rPr>
          <w:noProof/>
          <w:sz w:val="24"/>
          <w:szCs w:val="24"/>
        </w:rPr>
        <w:t xml:space="preserve">, </w:t>
      </w:r>
      <w:r w:rsidRPr="00292D52">
        <w:rPr>
          <w:i/>
          <w:iCs/>
          <w:noProof/>
          <w:sz w:val="24"/>
          <w:szCs w:val="24"/>
        </w:rPr>
        <w:t>39</w:t>
      </w:r>
      <w:r w:rsidRPr="00292D52">
        <w:rPr>
          <w:noProof/>
          <w:sz w:val="24"/>
          <w:szCs w:val="24"/>
        </w:rPr>
        <w:t>(1), 28–38. https://doi.org/10.1097/00004583-200001000-00014</w:t>
      </w:r>
    </w:p>
    <w:p w14:paraId="2FCFADBC"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Shaw, P., Stringaris, A., Nigg, J., &amp; Leibenluft, E. (2014). Emotion Dysregulation in Attention Deficit Hyperactivity Disorder. </w:t>
      </w:r>
      <w:r w:rsidRPr="00292D52">
        <w:rPr>
          <w:i/>
          <w:iCs/>
          <w:noProof/>
          <w:sz w:val="24"/>
          <w:szCs w:val="24"/>
        </w:rPr>
        <w:t>American Journal of Psychiatry</w:t>
      </w:r>
      <w:r w:rsidRPr="00292D52">
        <w:rPr>
          <w:noProof/>
          <w:sz w:val="24"/>
          <w:szCs w:val="24"/>
        </w:rPr>
        <w:t xml:space="preserve">, </w:t>
      </w:r>
      <w:r w:rsidRPr="00292D52">
        <w:rPr>
          <w:i/>
          <w:iCs/>
          <w:noProof/>
          <w:sz w:val="24"/>
          <w:szCs w:val="24"/>
        </w:rPr>
        <w:t>171</w:t>
      </w:r>
      <w:r w:rsidRPr="00292D52">
        <w:rPr>
          <w:noProof/>
          <w:sz w:val="24"/>
          <w:szCs w:val="24"/>
        </w:rPr>
        <w:t>(3), 276–293. https://doi.org/10.1176/appi.ajp.2013.13070966</w:t>
      </w:r>
    </w:p>
    <w:p w14:paraId="4D48BEFE"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Short, R. M. L., Sonuga-Barke, E. J. S., Adams, W. J., &amp; Fairchild, G. (2016). Does comorbid anxiety counteract emotion recognition deficits in conduct disorder? </w:t>
      </w:r>
      <w:r w:rsidRPr="00292D52">
        <w:rPr>
          <w:i/>
          <w:iCs/>
          <w:noProof/>
          <w:sz w:val="24"/>
          <w:szCs w:val="24"/>
        </w:rPr>
        <w:t>Journal of Child Psychology and Psychiatry</w:t>
      </w:r>
      <w:r w:rsidRPr="00292D52">
        <w:rPr>
          <w:noProof/>
          <w:sz w:val="24"/>
          <w:szCs w:val="24"/>
        </w:rPr>
        <w:t xml:space="preserve">, </w:t>
      </w:r>
      <w:r w:rsidRPr="00292D52">
        <w:rPr>
          <w:i/>
          <w:iCs/>
          <w:noProof/>
          <w:sz w:val="24"/>
          <w:szCs w:val="24"/>
        </w:rPr>
        <w:t>57</w:t>
      </w:r>
      <w:r w:rsidRPr="00292D52">
        <w:rPr>
          <w:noProof/>
          <w:sz w:val="24"/>
          <w:szCs w:val="24"/>
        </w:rPr>
        <w:t>(8), 917–926. https://doi.org/10.1111/jcpp.12544</w:t>
      </w:r>
    </w:p>
    <w:p w14:paraId="7AD3EADD"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Singh, S. D., Ellis, C. R., Winton, A. S. W., Singh, N. N., Leung, J. P., &amp; Oswald, D. P. (1998). Recognition of Facial Expressions of Emotion by Children with Attention-Deficit Hyperactivity Disorder. </w:t>
      </w:r>
      <w:r w:rsidRPr="00292D52">
        <w:rPr>
          <w:i/>
          <w:iCs/>
          <w:noProof/>
          <w:sz w:val="24"/>
          <w:szCs w:val="24"/>
        </w:rPr>
        <w:t>Behavior Modification</w:t>
      </w:r>
      <w:r w:rsidRPr="00292D52">
        <w:rPr>
          <w:noProof/>
          <w:sz w:val="24"/>
          <w:szCs w:val="24"/>
        </w:rPr>
        <w:t xml:space="preserve">, </w:t>
      </w:r>
      <w:r w:rsidRPr="00292D52">
        <w:rPr>
          <w:i/>
          <w:iCs/>
          <w:noProof/>
          <w:sz w:val="24"/>
          <w:szCs w:val="24"/>
        </w:rPr>
        <w:t>22</w:t>
      </w:r>
      <w:r w:rsidRPr="00292D52">
        <w:rPr>
          <w:noProof/>
          <w:sz w:val="24"/>
          <w:szCs w:val="24"/>
        </w:rPr>
        <w:t>(2), 128–142. https://doi.org/10.1177/01454455980222002</w:t>
      </w:r>
    </w:p>
    <w:p w14:paraId="2EE62343"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Sørensen, L., Plessen, K. J., Nicholas, J., &amp; Lundervold, A. J. (2011). Is behavioral regulation in children with ADHD aggravated by comorbid anxiety disorder? </w:t>
      </w:r>
      <w:r w:rsidRPr="00292D52">
        <w:rPr>
          <w:i/>
          <w:iCs/>
          <w:noProof/>
          <w:sz w:val="24"/>
          <w:szCs w:val="24"/>
        </w:rPr>
        <w:t xml:space="preserve">Journal of Attention </w:t>
      </w:r>
      <w:r w:rsidRPr="00292D52">
        <w:rPr>
          <w:i/>
          <w:iCs/>
          <w:noProof/>
          <w:sz w:val="24"/>
          <w:szCs w:val="24"/>
        </w:rPr>
        <w:lastRenderedPageBreak/>
        <w:t>Disorders</w:t>
      </w:r>
      <w:r w:rsidRPr="00292D52">
        <w:rPr>
          <w:noProof/>
          <w:sz w:val="24"/>
          <w:szCs w:val="24"/>
        </w:rPr>
        <w:t xml:space="preserve">, </w:t>
      </w:r>
      <w:r w:rsidRPr="00292D52">
        <w:rPr>
          <w:i/>
          <w:iCs/>
          <w:noProof/>
          <w:sz w:val="24"/>
          <w:szCs w:val="24"/>
        </w:rPr>
        <w:t>15</w:t>
      </w:r>
      <w:r w:rsidRPr="00292D52">
        <w:rPr>
          <w:noProof/>
          <w:sz w:val="24"/>
          <w:szCs w:val="24"/>
        </w:rPr>
        <w:t>(1), 56–66. https://doi.org/10.1177/1087054709356931</w:t>
      </w:r>
    </w:p>
    <w:p w14:paraId="4DE3884C"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Spencer, T. J., Biederman, J., &amp; Mick, E. (2007). Attention-Deficit/Hyperactivity Disorder: Diagnosis, Lifespan, Comorbidities, and Neurobiology. </w:t>
      </w:r>
      <w:r w:rsidRPr="00292D52">
        <w:rPr>
          <w:i/>
          <w:iCs/>
          <w:noProof/>
          <w:sz w:val="24"/>
          <w:szCs w:val="24"/>
        </w:rPr>
        <w:t>Journal of Pediatric Psychology</w:t>
      </w:r>
      <w:r w:rsidRPr="00292D52">
        <w:rPr>
          <w:noProof/>
          <w:sz w:val="24"/>
          <w:szCs w:val="24"/>
        </w:rPr>
        <w:t xml:space="preserve">, </w:t>
      </w:r>
      <w:r w:rsidRPr="00292D52">
        <w:rPr>
          <w:i/>
          <w:iCs/>
          <w:noProof/>
          <w:sz w:val="24"/>
          <w:szCs w:val="24"/>
        </w:rPr>
        <w:t>32</w:t>
      </w:r>
      <w:r w:rsidRPr="00292D52">
        <w:rPr>
          <w:noProof/>
          <w:sz w:val="24"/>
          <w:szCs w:val="24"/>
        </w:rPr>
        <w:t>(6), 631–642. https://doi.org/10.1093/jpepsy/jsm005</w:t>
      </w:r>
    </w:p>
    <w:p w14:paraId="2CF0A5F9"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Spielberger, C.D., Gorssuch, R.L., Lushene, P.R., Vagg, P.R., &amp; Jacobs, G. . (1983). Manual for the State-Trait Anxiety Inventory. Palo Alto: Consulting Psychologists Press, Inc.</w:t>
      </w:r>
    </w:p>
    <w:p w14:paraId="271C1D8C"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Tottenham, N., Tanaka, J. W., Leon, A. C., McCarry, T., Nurse, M., Hare, T. A., … Nelson, C. (2009). The NimStim set of facial expressions: judgments from untrained research participants. </w:t>
      </w:r>
      <w:r w:rsidRPr="00292D52">
        <w:rPr>
          <w:i/>
          <w:iCs/>
          <w:noProof/>
          <w:sz w:val="24"/>
          <w:szCs w:val="24"/>
        </w:rPr>
        <w:t>Psychiatry Research</w:t>
      </w:r>
      <w:r w:rsidRPr="00292D52">
        <w:rPr>
          <w:noProof/>
          <w:sz w:val="24"/>
          <w:szCs w:val="24"/>
        </w:rPr>
        <w:t xml:space="preserve">, </w:t>
      </w:r>
      <w:r w:rsidRPr="00292D52">
        <w:rPr>
          <w:i/>
          <w:iCs/>
          <w:noProof/>
          <w:sz w:val="24"/>
          <w:szCs w:val="24"/>
        </w:rPr>
        <w:t>168</w:t>
      </w:r>
      <w:r w:rsidRPr="00292D52">
        <w:rPr>
          <w:noProof/>
          <w:sz w:val="24"/>
          <w:szCs w:val="24"/>
        </w:rPr>
        <w:t>(3), 242–249. https://doi.org/10.1016/j.psychres.2008.05.006</w:t>
      </w:r>
    </w:p>
    <w:p w14:paraId="7CA64066"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Van Cauwenberge, V., Sonuga-Barke, E. J. S., Hoppenbrouwers, K., Van Leeuwen, K., &amp; Wiersema, J. R. (2015). “Turning down the heat”: Is poor performance of children with ADHD on tasks tapping “hot” emotional regulation caused by deficits in “cool” executive functions? </w:t>
      </w:r>
      <w:r w:rsidRPr="00292D52">
        <w:rPr>
          <w:i/>
          <w:iCs/>
          <w:noProof/>
          <w:sz w:val="24"/>
          <w:szCs w:val="24"/>
        </w:rPr>
        <w:t>Research in Developmental Disabilities</w:t>
      </w:r>
      <w:r w:rsidRPr="00292D52">
        <w:rPr>
          <w:noProof/>
          <w:sz w:val="24"/>
          <w:szCs w:val="24"/>
        </w:rPr>
        <w:t xml:space="preserve">, </w:t>
      </w:r>
      <w:r w:rsidRPr="00292D52">
        <w:rPr>
          <w:i/>
          <w:iCs/>
          <w:noProof/>
          <w:sz w:val="24"/>
          <w:szCs w:val="24"/>
        </w:rPr>
        <w:t>47</w:t>
      </w:r>
      <w:r w:rsidRPr="00292D52">
        <w:rPr>
          <w:noProof/>
          <w:sz w:val="24"/>
          <w:szCs w:val="24"/>
        </w:rPr>
        <w:t>, 199–207. https://doi.org/10.1016/J.RIDD.2015.09.012</w:t>
      </w:r>
    </w:p>
    <w:p w14:paraId="11018045"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Vloet, T. D., Konrad, K., Herpertz-Dahlmann, B., Polier, G. G., &amp; Günther, T. (2010). Impact of anxiety disorders on attentional functions in children with ADHD. </w:t>
      </w:r>
      <w:r w:rsidRPr="00292D52">
        <w:rPr>
          <w:i/>
          <w:iCs/>
          <w:noProof/>
          <w:sz w:val="24"/>
          <w:szCs w:val="24"/>
        </w:rPr>
        <w:t>Journal of Affective Disorders</w:t>
      </w:r>
      <w:r w:rsidRPr="00292D52">
        <w:rPr>
          <w:noProof/>
          <w:sz w:val="24"/>
          <w:szCs w:val="24"/>
        </w:rPr>
        <w:t xml:space="preserve">, </w:t>
      </w:r>
      <w:r w:rsidRPr="00292D52">
        <w:rPr>
          <w:i/>
          <w:iCs/>
          <w:noProof/>
          <w:sz w:val="24"/>
          <w:szCs w:val="24"/>
        </w:rPr>
        <w:t>124</w:t>
      </w:r>
      <w:r w:rsidRPr="00292D52">
        <w:rPr>
          <w:noProof/>
          <w:sz w:val="24"/>
          <w:szCs w:val="24"/>
        </w:rPr>
        <w:t>(3), 283–290. https://doi.org/10.1016/j.jad.2009.11.017</w:t>
      </w:r>
    </w:p>
    <w:p w14:paraId="01A28A3F"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Weissman, A. S., Chu, B. C., Reddy, L. A., &amp; Mohlman, J. (2012). Attention Mechanisms in Children with Anxiety Disorders and in Children with Attention Deficit Hyperactivity Disorder: Implications for Research and Practice. </w:t>
      </w:r>
      <w:r w:rsidRPr="00292D52">
        <w:rPr>
          <w:i/>
          <w:iCs/>
          <w:noProof/>
          <w:sz w:val="24"/>
          <w:szCs w:val="24"/>
        </w:rPr>
        <w:t>Journal of Clinical Child &amp; Adolescent Psychology</w:t>
      </w:r>
      <w:r w:rsidRPr="00292D52">
        <w:rPr>
          <w:noProof/>
          <w:sz w:val="24"/>
          <w:szCs w:val="24"/>
        </w:rPr>
        <w:t xml:space="preserve">, </w:t>
      </w:r>
      <w:r w:rsidRPr="00292D52">
        <w:rPr>
          <w:i/>
          <w:iCs/>
          <w:noProof/>
          <w:sz w:val="24"/>
          <w:szCs w:val="24"/>
        </w:rPr>
        <w:t>41</w:t>
      </w:r>
      <w:r w:rsidRPr="00292D52">
        <w:rPr>
          <w:noProof/>
          <w:sz w:val="24"/>
          <w:szCs w:val="24"/>
        </w:rPr>
        <w:t>(2), 117–126. https://doi.org/10.1080/15374416.2012.651993</w:t>
      </w:r>
    </w:p>
    <w:p w14:paraId="539E48AF" w14:textId="77777777" w:rsidR="00292D52" w:rsidRP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Willcutt, E. G., Doyle, A. E., Nigg, J. T., Faraone, S. V, &amp; Pennington, B. F. (2005). Validity </w:t>
      </w:r>
      <w:r w:rsidRPr="00292D52">
        <w:rPr>
          <w:noProof/>
          <w:sz w:val="24"/>
          <w:szCs w:val="24"/>
        </w:rPr>
        <w:lastRenderedPageBreak/>
        <w:t xml:space="preserve">of the executive function theory of attention-deficit/hyperactivity disorder: a meta-analytic review. </w:t>
      </w:r>
      <w:r w:rsidRPr="00292D52">
        <w:rPr>
          <w:i/>
          <w:iCs/>
          <w:noProof/>
          <w:sz w:val="24"/>
          <w:szCs w:val="24"/>
        </w:rPr>
        <w:t>Biological Psychiatry</w:t>
      </w:r>
      <w:r w:rsidRPr="00292D52">
        <w:rPr>
          <w:noProof/>
          <w:sz w:val="24"/>
          <w:szCs w:val="24"/>
        </w:rPr>
        <w:t xml:space="preserve">, </w:t>
      </w:r>
      <w:r w:rsidRPr="00292D52">
        <w:rPr>
          <w:i/>
          <w:iCs/>
          <w:noProof/>
          <w:sz w:val="24"/>
          <w:szCs w:val="24"/>
        </w:rPr>
        <w:t>57</w:t>
      </w:r>
      <w:r w:rsidRPr="00292D52">
        <w:rPr>
          <w:noProof/>
          <w:sz w:val="24"/>
          <w:szCs w:val="24"/>
        </w:rPr>
        <w:t>(11), 1336–1346. https://doi.org/10.1016/j.biopsych.2005.02.006</w:t>
      </w:r>
    </w:p>
    <w:p w14:paraId="7A574B72" w14:textId="0020C99B" w:rsidR="00292D52" w:rsidRDefault="00292D52" w:rsidP="00292D52">
      <w:pPr>
        <w:widowControl w:val="0"/>
        <w:autoSpaceDE w:val="0"/>
        <w:autoSpaceDN w:val="0"/>
        <w:adjustRightInd w:val="0"/>
        <w:spacing w:line="480" w:lineRule="auto"/>
        <w:ind w:left="480" w:hanging="480"/>
        <w:rPr>
          <w:noProof/>
          <w:sz w:val="24"/>
          <w:szCs w:val="24"/>
        </w:rPr>
      </w:pPr>
      <w:r w:rsidRPr="00292D52">
        <w:rPr>
          <w:noProof/>
          <w:sz w:val="24"/>
          <w:szCs w:val="24"/>
        </w:rPr>
        <w:t xml:space="preserve">Williams, L. M., Hermens, D. F., Palmer, D., Kohn, M., Clarke, S., Keage, H., … Gordon, E. (2008). Misinterpreting emotional expressions in attention-deficit/hyperactivity disorder: evidence for a neural marker and stimulant effects. </w:t>
      </w:r>
      <w:r w:rsidRPr="00292D52">
        <w:rPr>
          <w:i/>
          <w:iCs/>
          <w:noProof/>
          <w:sz w:val="24"/>
          <w:szCs w:val="24"/>
        </w:rPr>
        <w:t>Biological Psychiatry</w:t>
      </w:r>
      <w:r w:rsidRPr="00292D52">
        <w:rPr>
          <w:noProof/>
          <w:sz w:val="24"/>
          <w:szCs w:val="24"/>
        </w:rPr>
        <w:t xml:space="preserve">, </w:t>
      </w:r>
      <w:r w:rsidRPr="00292D52">
        <w:rPr>
          <w:i/>
          <w:iCs/>
          <w:noProof/>
          <w:sz w:val="24"/>
          <w:szCs w:val="24"/>
        </w:rPr>
        <w:t>63</w:t>
      </w:r>
      <w:r w:rsidRPr="00292D52">
        <w:rPr>
          <w:noProof/>
          <w:sz w:val="24"/>
          <w:szCs w:val="24"/>
        </w:rPr>
        <w:t>(10), 917–926. https://doi.org/10.1016/j.biopsych.2007.11.022</w:t>
      </w:r>
    </w:p>
    <w:p w14:paraId="04E2DF4F" w14:textId="0E9D7C52" w:rsidR="00D07161" w:rsidRDefault="00D07161">
      <w:pPr>
        <w:spacing w:before="0" w:after="160" w:line="259" w:lineRule="auto"/>
        <w:rPr>
          <w:noProof/>
          <w:sz w:val="24"/>
          <w:szCs w:val="24"/>
        </w:rPr>
      </w:pPr>
      <w:r>
        <w:rPr>
          <w:noProof/>
          <w:sz w:val="24"/>
          <w:szCs w:val="24"/>
        </w:rPr>
        <w:br w:type="page"/>
      </w:r>
    </w:p>
    <w:p w14:paraId="0232D91A" w14:textId="77777777" w:rsidR="00D07161" w:rsidRPr="00FB4978" w:rsidRDefault="00D07161" w:rsidP="00D07161">
      <w:pPr>
        <w:pStyle w:val="Caption"/>
        <w:keepNext/>
        <w:rPr>
          <w:sz w:val="22"/>
          <w:szCs w:val="22"/>
        </w:rPr>
      </w:pPr>
      <w:bookmarkStart w:id="13" w:name="_Hlk39444984"/>
      <w:r w:rsidRPr="00FB4978">
        <w:rPr>
          <w:i w:val="0"/>
          <w:sz w:val="22"/>
          <w:szCs w:val="22"/>
        </w:rPr>
        <w:lastRenderedPageBreak/>
        <w:t xml:space="preserve">Table </w:t>
      </w:r>
      <w:r>
        <w:rPr>
          <w:i w:val="0"/>
          <w:sz w:val="22"/>
          <w:szCs w:val="22"/>
        </w:rPr>
        <w:t>1</w:t>
      </w:r>
      <w:r w:rsidRPr="00FB4978">
        <w:rPr>
          <w:sz w:val="22"/>
          <w:szCs w:val="22"/>
        </w:rPr>
        <w:t xml:space="preserve">: </w:t>
      </w:r>
      <w:r>
        <w:rPr>
          <w:sz w:val="22"/>
          <w:szCs w:val="22"/>
        </w:rPr>
        <w:t>Estimated marginal means</w:t>
      </w:r>
      <w:r w:rsidRPr="00FB4978">
        <w:rPr>
          <w:sz w:val="22"/>
          <w:szCs w:val="22"/>
        </w:rPr>
        <w:t xml:space="preserve"> (</w:t>
      </w:r>
      <w:proofErr w:type="spellStart"/>
      <w:r w:rsidRPr="00FB4978">
        <w:rPr>
          <w:sz w:val="22"/>
          <w:szCs w:val="22"/>
        </w:rPr>
        <w:t>ms</w:t>
      </w:r>
      <w:proofErr w:type="spellEnd"/>
      <w:r w:rsidRPr="00FB4978">
        <w:rPr>
          <w:sz w:val="22"/>
          <w:szCs w:val="22"/>
        </w:rPr>
        <w:t xml:space="preserve">) </w:t>
      </w:r>
      <w:r>
        <w:rPr>
          <w:sz w:val="22"/>
          <w:szCs w:val="22"/>
        </w:rPr>
        <w:t xml:space="preserve">for Saccade Latency and Estimated Marginal </w:t>
      </w:r>
      <w:r>
        <w:rPr>
          <w:iCs/>
          <w:sz w:val="22"/>
          <w:szCs w:val="22"/>
        </w:rPr>
        <w:t xml:space="preserve">Probabilities for </w:t>
      </w:r>
      <w:r w:rsidRPr="00FB4978">
        <w:rPr>
          <w:iCs/>
          <w:sz w:val="22"/>
          <w:szCs w:val="22"/>
        </w:rPr>
        <w:t>Commission Errors in Children and Adults for each Cue Condition.</w:t>
      </w:r>
    </w:p>
    <w:tbl>
      <w:tblPr>
        <w:tblW w:w="9918" w:type="dxa"/>
        <w:tblBorders>
          <w:top w:val="single" w:sz="8" w:space="0" w:color="auto"/>
          <w:bottom w:val="single" w:sz="8" w:space="0" w:color="auto"/>
        </w:tblBorders>
        <w:tblLayout w:type="fixed"/>
        <w:tblCellMar>
          <w:left w:w="0" w:type="dxa"/>
          <w:right w:w="0" w:type="dxa"/>
        </w:tblCellMar>
        <w:tblLook w:val="0420" w:firstRow="1" w:lastRow="0" w:firstColumn="0" w:lastColumn="0" w:noHBand="0" w:noVBand="1"/>
      </w:tblPr>
      <w:tblGrid>
        <w:gridCol w:w="1129"/>
        <w:gridCol w:w="1276"/>
        <w:gridCol w:w="1134"/>
        <w:gridCol w:w="1134"/>
        <w:gridCol w:w="992"/>
        <w:gridCol w:w="142"/>
        <w:gridCol w:w="1276"/>
        <w:gridCol w:w="992"/>
        <w:gridCol w:w="1134"/>
        <w:gridCol w:w="709"/>
      </w:tblGrid>
      <w:tr w:rsidR="00D07161" w:rsidRPr="009E3B2D" w14:paraId="3C38E8B7" w14:textId="77777777" w:rsidTr="001F0738">
        <w:trPr>
          <w:trHeight w:val="74"/>
        </w:trPr>
        <w:tc>
          <w:tcPr>
            <w:tcW w:w="1129" w:type="dxa"/>
            <w:tcBorders>
              <w:right w:val="nil"/>
            </w:tcBorders>
            <w:shd w:val="clear" w:color="auto" w:fill="auto"/>
            <w:tcMar>
              <w:top w:w="58" w:type="dxa"/>
              <w:left w:w="115" w:type="dxa"/>
              <w:bottom w:w="58" w:type="dxa"/>
              <w:right w:w="115" w:type="dxa"/>
            </w:tcMar>
            <w:vAlign w:val="center"/>
            <w:hideMark/>
          </w:tcPr>
          <w:p w14:paraId="73BF5BEF" w14:textId="77777777" w:rsidR="00D07161" w:rsidRPr="009E3B2D" w:rsidRDefault="00D07161" w:rsidP="001F0738">
            <w:pPr>
              <w:spacing w:before="0" w:line="240" w:lineRule="auto"/>
              <w:rPr>
                <w:sz w:val="24"/>
                <w:szCs w:val="24"/>
                <w:lang w:eastAsia="en-GB"/>
              </w:rPr>
            </w:pPr>
          </w:p>
        </w:tc>
        <w:tc>
          <w:tcPr>
            <w:tcW w:w="4678" w:type="dxa"/>
            <w:gridSpan w:val="5"/>
            <w:tcBorders>
              <w:top w:val="single" w:sz="8" w:space="0" w:color="auto"/>
              <w:left w:val="nil"/>
              <w:bottom w:val="single" w:sz="6" w:space="0" w:color="auto"/>
              <w:right w:val="nil"/>
            </w:tcBorders>
            <w:shd w:val="clear" w:color="auto" w:fill="auto"/>
            <w:tcMar>
              <w:top w:w="58" w:type="dxa"/>
              <w:left w:w="115" w:type="dxa"/>
              <w:bottom w:w="58" w:type="dxa"/>
              <w:right w:w="115" w:type="dxa"/>
            </w:tcMar>
            <w:vAlign w:val="center"/>
            <w:hideMark/>
          </w:tcPr>
          <w:p w14:paraId="0F36E773" w14:textId="77777777" w:rsidR="00D07161" w:rsidRPr="009E3B2D" w:rsidRDefault="00D07161" w:rsidP="001F0738">
            <w:pPr>
              <w:spacing w:before="0" w:line="240" w:lineRule="auto"/>
              <w:jc w:val="center"/>
              <w:rPr>
                <w:rFonts w:ascii="Arial" w:hAnsi="Arial" w:cs="Arial"/>
                <w:sz w:val="36"/>
                <w:szCs w:val="36"/>
                <w:lang w:eastAsia="en-GB"/>
              </w:rPr>
            </w:pPr>
            <w:r w:rsidRPr="009E3B2D">
              <w:rPr>
                <w:b/>
                <w:color w:val="000000"/>
                <w:kern w:val="24"/>
                <w:lang w:eastAsia="en-GB"/>
              </w:rPr>
              <w:t>Children</w:t>
            </w:r>
          </w:p>
        </w:tc>
        <w:tc>
          <w:tcPr>
            <w:tcW w:w="4111" w:type="dxa"/>
            <w:gridSpan w:val="4"/>
            <w:tcBorders>
              <w:top w:val="single" w:sz="8" w:space="0" w:color="auto"/>
              <w:left w:val="nil"/>
              <w:bottom w:val="single" w:sz="6" w:space="0" w:color="auto"/>
              <w:right w:val="nil"/>
            </w:tcBorders>
            <w:shd w:val="clear" w:color="auto" w:fill="auto"/>
            <w:vAlign w:val="center"/>
          </w:tcPr>
          <w:p w14:paraId="4859E87D" w14:textId="77777777" w:rsidR="00D07161" w:rsidRPr="009E3B2D" w:rsidRDefault="00D07161" w:rsidP="001F0738">
            <w:pPr>
              <w:spacing w:before="0" w:line="240" w:lineRule="auto"/>
              <w:jc w:val="center"/>
              <w:rPr>
                <w:rFonts w:ascii="Arial" w:hAnsi="Arial" w:cs="Arial"/>
                <w:sz w:val="36"/>
                <w:szCs w:val="36"/>
                <w:lang w:eastAsia="en-GB"/>
              </w:rPr>
            </w:pPr>
            <w:r w:rsidRPr="009E3B2D">
              <w:rPr>
                <w:b/>
                <w:color w:val="000000"/>
                <w:kern w:val="24"/>
                <w:lang w:eastAsia="en-GB"/>
              </w:rPr>
              <w:t>Adults</w:t>
            </w:r>
          </w:p>
        </w:tc>
      </w:tr>
      <w:tr w:rsidR="00D07161" w:rsidRPr="009E3B2D" w14:paraId="20811BA2" w14:textId="77777777" w:rsidTr="001F0738">
        <w:trPr>
          <w:trHeight w:val="231"/>
        </w:trPr>
        <w:tc>
          <w:tcPr>
            <w:tcW w:w="1129" w:type="dxa"/>
            <w:shd w:val="clear" w:color="auto" w:fill="auto"/>
            <w:tcMar>
              <w:top w:w="58" w:type="dxa"/>
              <w:left w:w="115" w:type="dxa"/>
              <w:bottom w:w="58" w:type="dxa"/>
              <w:right w:w="115" w:type="dxa"/>
            </w:tcMar>
            <w:vAlign w:val="center"/>
            <w:hideMark/>
          </w:tcPr>
          <w:p w14:paraId="6E447E22" w14:textId="77777777" w:rsidR="00D07161" w:rsidRPr="00A777B6" w:rsidRDefault="00D07161" w:rsidP="001F0738">
            <w:pPr>
              <w:spacing w:before="0" w:line="240" w:lineRule="auto"/>
              <w:rPr>
                <w:rFonts w:ascii="Arial" w:hAnsi="Arial" w:cs="Arial"/>
                <w:sz w:val="6"/>
                <w:szCs w:val="6"/>
                <w:lang w:eastAsia="en-GB"/>
              </w:rPr>
            </w:pPr>
          </w:p>
        </w:tc>
        <w:tc>
          <w:tcPr>
            <w:tcW w:w="2410" w:type="dxa"/>
            <w:gridSpan w:val="2"/>
            <w:tcBorders>
              <w:top w:val="single" w:sz="6" w:space="0" w:color="auto"/>
              <w:bottom w:val="single" w:sz="6" w:space="0" w:color="auto"/>
            </w:tcBorders>
            <w:shd w:val="clear" w:color="auto" w:fill="auto"/>
            <w:tcMar>
              <w:top w:w="58" w:type="dxa"/>
              <w:left w:w="115" w:type="dxa"/>
              <w:bottom w:w="58" w:type="dxa"/>
              <w:right w:w="115" w:type="dxa"/>
            </w:tcMar>
            <w:hideMark/>
          </w:tcPr>
          <w:p w14:paraId="54A7CD65" w14:textId="77777777" w:rsidR="00D07161" w:rsidRPr="00A777B6" w:rsidRDefault="00D07161" w:rsidP="001F0738">
            <w:pPr>
              <w:spacing w:before="0" w:line="240" w:lineRule="auto"/>
              <w:jc w:val="center"/>
              <w:rPr>
                <w:rFonts w:ascii="Arial" w:hAnsi="Arial" w:cs="Arial"/>
                <w:sz w:val="6"/>
                <w:szCs w:val="6"/>
                <w:lang w:eastAsia="en-GB"/>
              </w:rPr>
            </w:pPr>
            <w:r w:rsidRPr="009E3B2D">
              <w:rPr>
                <w:color w:val="000000"/>
                <w:kern w:val="24"/>
                <w:lang w:eastAsia="en-GB"/>
              </w:rPr>
              <w:t>Lat</w:t>
            </w:r>
            <w:r>
              <w:rPr>
                <w:color w:val="000000"/>
                <w:kern w:val="24"/>
                <w:lang w:eastAsia="en-GB"/>
              </w:rPr>
              <w:t>ency</w:t>
            </w:r>
          </w:p>
        </w:tc>
        <w:tc>
          <w:tcPr>
            <w:tcW w:w="2126" w:type="dxa"/>
            <w:gridSpan w:val="2"/>
            <w:tcBorders>
              <w:top w:val="single" w:sz="6" w:space="0" w:color="auto"/>
              <w:bottom w:val="single" w:sz="6" w:space="0" w:color="auto"/>
              <w:right w:val="nil"/>
            </w:tcBorders>
            <w:shd w:val="clear" w:color="auto" w:fill="auto"/>
            <w:tcMar>
              <w:top w:w="58" w:type="dxa"/>
              <w:left w:w="115" w:type="dxa"/>
              <w:bottom w:w="58" w:type="dxa"/>
              <w:right w:w="115" w:type="dxa"/>
            </w:tcMar>
            <w:hideMark/>
          </w:tcPr>
          <w:p w14:paraId="447F7D06" w14:textId="77777777" w:rsidR="00D07161" w:rsidRPr="00A777B6" w:rsidRDefault="00D07161" w:rsidP="001F0738">
            <w:pPr>
              <w:spacing w:before="0" w:line="240" w:lineRule="auto"/>
              <w:jc w:val="center"/>
              <w:rPr>
                <w:rFonts w:ascii="Arial" w:hAnsi="Arial" w:cs="Arial"/>
                <w:sz w:val="6"/>
                <w:szCs w:val="6"/>
                <w:lang w:eastAsia="en-GB"/>
              </w:rPr>
            </w:pPr>
            <w:r>
              <w:rPr>
                <w:color w:val="000000"/>
                <w:kern w:val="24"/>
                <w:lang w:eastAsia="en-GB"/>
              </w:rPr>
              <w:t>C</w:t>
            </w:r>
            <w:r w:rsidRPr="009E3B2D">
              <w:rPr>
                <w:color w:val="000000"/>
                <w:kern w:val="24"/>
                <w:lang w:eastAsia="en-GB"/>
              </w:rPr>
              <w:t>E</w:t>
            </w:r>
          </w:p>
        </w:tc>
        <w:tc>
          <w:tcPr>
            <w:tcW w:w="142" w:type="dxa"/>
            <w:tcBorders>
              <w:top w:val="nil"/>
              <w:left w:val="nil"/>
              <w:bottom w:val="nil"/>
              <w:right w:val="nil"/>
            </w:tcBorders>
          </w:tcPr>
          <w:p w14:paraId="69EC2725" w14:textId="77777777" w:rsidR="00D07161" w:rsidRPr="009C458A" w:rsidRDefault="00D07161" w:rsidP="001F0738">
            <w:pPr>
              <w:spacing w:before="0" w:line="240" w:lineRule="auto"/>
              <w:jc w:val="center"/>
              <w:rPr>
                <w:color w:val="000000"/>
                <w:kern w:val="24"/>
                <w:lang w:eastAsia="en-GB"/>
              </w:rPr>
            </w:pPr>
          </w:p>
        </w:tc>
        <w:tc>
          <w:tcPr>
            <w:tcW w:w="2268" w:type="dxa"/>
            <w:gridSpan w:val="2"/>
            <w:tcBorders>
              <w:top w:val="single" w:sz="6" w:space="0" w:color="auto"/>
              <w:left w:val="nil"/>
              <w:bottom w:val="single" w:sz="6" w:space="0" w:color="auto"/>
              <w:right w:val="nil"/>
            </w:tcBorders>
            <w:shd w:val="clear" w:color="auto" w:fill="auto"/>
            <w:tcMar>
              <w:top w:w="58" w:type="dxa"/>
              <w:left w:w="115" w:type="dxa"/>
              <w:bottom w:w="58" w:type="dxa"/>
              <w:right w:w="115" w:type="dxa"/>
            </w:tcMar>
            <w:hideMark/>
          </w:tcPr>
          <w:p w14:paraId="23A699B9" w14:textId="77777777" w:rsidR="00D07161" w:rsidRPr="00A777B6" w:rsidRDefault="00D07161" w:rsidP="001F0738">
            <w:pPr>
              <w:spacing w:before="0" w:line="240" w:lineRule="auto"/>
              <w:jc w:val="center"/>
              <w:rPr>
                <w:color w:val="000000"/>
                <w:kern w:val="24"/>
                <w:sz w:val="6"/>
                <w:szCs w:val="6"/>
                <w:lang w:eastAsia="en-GB"/>
              </w:rPr>
            </w:pPr>
            <w:r>
              <w:rPr>
                <w:color w:val="000000"/>
                <w:kern w:val="24"/>
                <w:lang w:eastAsia="en-GB"/>
              </w:rPr>
              <w:t>Latency</w:t>
            </w:r>
          </w:p>
        </w:tc>
        <w:tc>
          <w:tcPr>
            <w:tcW w:w="1843" w:type="dxa"/>
            <w:gridSpan w:val="2"/>
            <w:tcBorders>
              <w:top w:val="single" w:sz="6" w:space="0" w:color="auto"/>
              <w:left w:val="nil"/>
              <w:bottom w:val="single" w:sz="6" w:space="0" w:color="auto"/>
              <w:right w:val="nil"/>
            </w:tcBorders>
          </w:tcPr>
          <w:p w14:paraId="49641B88" w14:textId="77777777" w:rsidR="00D07161" w:rsidRPr="00A777B6" w:rsidRDefault="00D07161" w:rsidP="001F0738">
            <w:pPr>
              <w:spacing w:before="0" w:line="240" w:lineRule="auto"/>
              <w:jc w:val="center"/>
              <w:rPr>
                <w:rFonts w:ascii="Arial" w:hAnsi="Arial" w:cs="Arial"/>
                <w:sz w:val="6"/>
                <w:szCs w:val="6"/>
                <w:lang w:eastAsia="en-GB"/>
              </w:rPr>
            </w:pPr>
            <w:r>
              <w:rPr>
                <w:color w:val="000000"/>
                <w:kern w:val="24"/>
                <w:lang w:eastAsia="en-GB"/>
              </w:rPr>
              <w:t>CE</w:t>
            </w:r>
          </w:p>
        </w:tc>
      </w:tr>
      <w:tr w:rsidR="00D07161" w:rsidRPr="009E3B2D" w14:paraId="17D9BD11" w14:textId="77777777" w:rsidTr="001F0738">
        <w:trPr>
          <w:trHeight w:val="388"/>
        </w:trPr>
        <w:tc>
          <w:tcPr>
            <w:tcW w:w="1129" w:type="dxa"/>
            <w:tcBorders>
              <w:top w:val="nil"/>
            </w:tcBorders>
            <w:shd w:val="clear" w:color="auto" w:fill="auto"/>
            <w:tcMar>
              <w:top w:w="58" w:type="dxa"/>
              <w:left w:w="115" w:type="dxa"/>
              <w:bottom w:w="58" w:type="dxa"/>
              <w:right w:w="115" w:type="dxa"/>
            </w:tcMar>
            <w:vAlign w:val="center"/>
          </w:tcPr>
          <w:p w14:paraId="140DC68F" w14:textId="77777777" w:rsidR="00D07161" w:rsidRPr="00A777B6" w:rsidRDefault="00D07161" w:rsidP="001F0738">
            <w:pPr>
              <w:rPr>
                <w:b/>
                <w:color w:val="000000"/>
                <w:kern w:val="24"/>
                <w:sz w:val="6"/>
                <w:szCs w:val="6"/>
                <w:lang w:eastAsia="en-GB"/>
              </w:rPr>
            </w:pPr>
          </w:p>
        </w:tc>
        <w:tc>
          <w:tcPr>
            <w:tcW w:w="1276" w:type="dxa"/>
            <w:tcBorders>
              <w:top w:val="single" w:sz="6" w:space="0" w:color="auto"/>
              <w:bottom w:val="single" w:sz="6" w:space="0" w:color="auto"/>
            </w:tcBorders>
            <w:shd w:val="clear" w:color="auto" w:fill="auto"/>
            <w:tcMar>
              <w:top w:w="58" w:type="dxa"/>
              <w:left w:w="115" w:type="dxa"/>
              <w:bottom w:w="58" w:type="dxa"/>
              <w:right w:w="115" w:type="dxa"/>
            </w:tcMar>
          </w:tcPr>
          <w:p w14:paraId="6F8711F8" w14:textId="77777777" w:rsidR="00D07161" w:rsidRPr="00A777B6" w:rsidRDefault="00D07161" w:rsidP="001F0738">
            <w:pPr>
              <w:spacing w:line="240" w:lineRule="auto"/>
              <w:jc w:val="center"/>
              <w:rPr>
                <w:lang w:eastAsia="en-GB"/>
              </w:rPr>
            </w:pPr>
            <w:r w:rsidRPr="00A777B6">
              <w:rPr>
                <w:lang w:eastAsia="en-GB"/>
              </w:rPr>
              <w:t>M (SE)</w:t>
            </w:r>
          </w:p>
        </w:tc>
        <w:tc>
          <w:tcPr>
            <w:tcW w:w="1134" w:type="dxa"/>
            <w:tcBorders>
              <w:top w:val="single" w:sz="6" w:space="0" w:color="auto"/>
              <w:bottom w:val="single" w:sz="6" w:space="0" w:color="auto"/>
            </w:tcBorders>
            <w:shd w:val="clear" w:color="auto" w:fill="auto"/>
          </w:tcPr>
          <w:p w14:paraId="2BC955E0" w14:textId="77777777" w:rsidR="00D07161" w:rsidRPr="00A777B6" w:rsidRDefault="00D07161" w:rsidP="001F0738">
            <w:pPr>
              <w:spacing w:line="240" w:lineRule="auto"/>
              <w:jc w:val="center"/>
              <w:rPr>
                <w:lang w:eastAsia="en-GB"/>
              </w:rPr>
            </w:pPr>
            <w:r w:rsidRPr="00A777B6">
              <w:rPr>
                <w:lang w:eastAsia="en-GB"/>
              </w:rPr>
              <w:t>95%CI</w:t>
            </w:r>
          </w:p>
        </w:tc>
        <w:tc>
          <w:tcPr>
            <w:tcW w:w="1134" w:type="dxa"/>
            <w:tcBorders>
              <w:top w:val="single" w:sz="6" w:space="0" w:color="auto"/>
              <w:bottom w:val="single" w:sz="6" w:space="0" w:color="auto"/>
            </w:tcBorders>
            <w:shd w:val="clear" w:color="auto" w:fill="auto"/>
            <w:tcMar>
              <w:top w:w="58" w:type="dxa"/>
              <w:left w:w="115" w:type="dxa"/>
              <w:bottom w:w="58" w:type="dxa"/>
              <w:right w:w="115" w:type="dxa"/>
            </w:tcMar>
          </w:tcPr>
          <w:p w14:paraId="65F032BD" w14:textId="77777777" w:rsidR="00D07161" w:rsidRPr="00A777B6" w:rsidRDefault="00D07161" w:rsidP="001F0738">
            <w:pPr>
              <w:spacing w:line="240" w:lineRule="auto"/>
              <w:jc w:val="center"/>
              <w:rPr>
                <w:lang w:eastAsia="en-GB"/>
              </w:rPr>
            </w:pPr>
            <w:r w:rsidRPr="00A777B6">
              <w:rPr>
                <w:lang w:eastAsia="en-GB"/>
              </w:rPr>
              <w:t>Prob (SE)</w:t>
            </w:r>
          </w:p>
        </w:tc>
        <w:tc>
          <w:tcPr>
            <w:tcW w:w="992" w:type="dxa"/>
            <w:tcBorders>
              <w:top w:val="single" w:sz="6" w:space="0" w:color="auto"/>
              <w:bottom w:val="single" w:sz="6" w:space="0" w:color="auto"/>
              <w:right w:val="nil"/>
            </w:tcBorders>
            <w:shd w:val="clear" w:color="auto" w:fill="auto"/>
            <w:tcMar>
              <w:top w:w="58" w:type="dxa"/>
              <w:left w:w="115" w:type="dxa"/>
              <w:bottom w:w="58" w:type="dxa"/>
              <w:right w:w="115" w:type="dxa"/>
            </w:tcMar>
          </w:tcPr>
          <w:p w14:paraId="4AD7579F" w14:textId="77777777" w:rsidR="00D07161" w:rsidRPr="00A777B6" w:rsidRDefault="00D07161" w:rsidP="001F0738">
            <w:pPr>
              <w:spacing w:line="240" w:lineRule="auto"/>
              <w:jc w:val="center"/>
              <w:rPr>
                <w:lang w:eastAsia="en-GB"/>
              </w:rPr>
            </w:pPr>
            <w:r w:rsidRPr="00A777B6">
              <w:rPr>
                <w:lang w:eastAsia="en-GB"/>
              </w:rPr>
              <w:t>95%CI</w:t>
            </w:r>
          </w:p>
        </w:tc>
        <w:tc>
          <w:tcPr>
            <w:tcW w:w="142" w:type="dxa"/>
            <w:tcBorders>
              <w:top w:val="nil"/>
              <w:left w:val="nil"/>
              <w:bottom w:val="nil"/>
              <w:right w:val="nil"/>
            </w:tcBorders>
          </w:tcPr>
          <w:p w14:paraId="42495C3B" w14:textId="77777777" w:rsidR="00D07161" w:rsidRPr="00A777B6" w:rsidRDefault="00D07161" w:rsidP="001F0738">
            <w:pPr>
              <w:spacing w:before="0" w:line="240" w:lineRule="auto"/>
              <w:jc w:val="center"/>
              <w:rPr>
                <w:lang w:eastAsia="en-GB"/>
              </w:rPr>
            </w:pPr>
          </w:p>
        </w:tc>
        <w:tc>
          <w:tcPr>
            <w:tcW w:w="1276" w:type="dxa"/>
            <w:tcBorders>
              <w:top w:val="single" w:sz="6" w:space="0" w:color="auto"/>
              <w:left w:val="nil"/>
              <w:bottom w:val="single" w:sz="6" w:space="0" w:color="auto"/>
              <w:right w:val="nil"/>
            </w:tcBorders>
            <w:shd w:val="clear" w:color="auto" w:fill="auto"/>
            <w:tcMar>
              <w:top w:w="58" w:type="dxa"/>
              <w:left w:w="115" w:type="dxa"/>
              <w:bottom w:w="58" w:type="dxa"/>
              <w:right w:w="115" w:type="dxa"/>
            </w:tcMar>
          </w:tcPr>
          <w:p w14:paraId="13642BBD" w14:textId="77777777" w:rsidR="00D07161" w:rsidRPr="00A777B6" w:rsidRDefault="00D07161" w:rsidP="001F0738">
            <w:pPr>
              <w:spacing w:line="240" w:lineRule="auto"/>
              <w:jc w:val="center"/>
              <w:rPr>
                <w:lang w:eastAsia="en-GB"/>
              </w:rPr>
            </w:pPr>
            <w:r w:rsidRPr="00A777B6">
              <w:rPr>
                <w:lang w:eastAsia="en-GB"/>
              </w:rPr>
              <w:t>M(SE)</w:t>
            </w:r>
          </w:p>
        </w:tc>
        <w:tc>
          <w:tcPr>
            <w:tcW w:w="992" w:type="dxa"/>
            <w:tcBorders>
              <w:top w:val="single" w:sz="6" w:space="0" w:color="auto"/>
              <w:left w:val="nil"/>
              <w:bottom w:val="single" w:sz="6" w:space="0" w:color="auto"/>
            </w:tcBorders>
            <w:shd w:val="clear" w:color="auto" w:fill="auto"/>
            <w:tcMar>
              <w:top w:w="58" w:type="dxa"/>
              <w:left w:w="115" w:type="dxa"/>
              <w:bottom w:w="58" w:type="dxa"/>
              <w:right w:w="115" w:type="dxa"/>
            </w:tcMar>
          </w:tcPr>
          <w:p w14:paraId="04EE9F25" w14:textId="77777777" w:rsidR="00D07161" w:rsidRPr="00A777B6" w:rsidRDefault="00D07161" w:rsidP="001F0738">
            <w:pPr>
              <w:spacing w:line="240" w:lineRule="auto"/>
              <w:jc w:val="center"/>
              <w:rPr>
                <w:lang w:eastAsia="en-GB"/>
              </w:rPr>
            </w:pPr>
            <w:r w:rsidRPr="00A777B6">
              <w:rPr>
                <w:lang w:eastAsia="en-GB"/>
              </w:rPr>
              <w:t>95%CI</w:t>
            </w:r>
          </w:p>
        </w:tc>
        <w:tc>
          <w:tcPr>
            <w:tcW w:w="1134" w:type="dxa"/>
            <w:tcBorders>
              <w:top w:val="single" w:sz="6" w:space="0" w:color="auto"/>
              <w:bottom w:val="single" w:sz="6" w:space="0" w:color="auto"/>
            </w:tcBorders>
            <w:shd w:val="clear" w:color="auto" w:fill="auto"/>
            <w:tcMar>
              <w:top w:w="58" w:type="dxa"/>
              <w:left w:w="115" w:type="dxa"/>
              <w:bottom w:w="58" w:type="dxa"/>
              <w:right w:w="115" w:type="dxa"/>
            </w:tcMar>
          </w:tcPr>
          <w:p w14:paraId="515C0BBB" w14:textId="77777777" w:rsidR="00D07161" w:rsidRPr="00A777B6" w:rsidRDefault="00D07161" w:rsidP="001F0738">
            <w:pPr>
              <w:spacing w:line="240" w:lineRule="auto"/>
              <w:jc w:val="center"/>
              <w:rPr>
                <w:lang w:eastAsia="en-GB"/>
              </w:rPr>
            </w:pPr>
            <w:r w:rsidRPr="00A777B6">
              <w:rPr>
                <w:lang w:eastAsia="en-GB"/>
              </w:rPr>
              <w:t>Prob (SE)</w:t>
            </w:r>
          </w:p>
        </w:tc>
        <w:tc>
          <w:tcPr>
            <w:tcW w:w="709" w:type="dxa"/>
            <w:tcBorders>
              <w:top w:val="single" w:sz="6" w:space="0" w:color="auto"/>
              <w:bottom w:val="single" w:sz="6" w:space="0" w:color="auto"/>
            </w:tcBorders>
          </w:tcPr>
          <w:p w14:paraId="533AF51A" w14:textId="77777777" w:rsidR="00D07161" w:rsidRPr="00A777B6" w:rsidRDefault="00D07161" w:rsidP="001F0738">
            <w:pPr>
              <w:spacing w:line="240" w:lineRule="auto"/>
              <w:jc w:val="center"/>
              <w:rPr>
                <w:lang w:eastAsia="en-GB"/>
              </w:rPr>
            </w:pPr>
            <w:r w:rsidRPr="00A777B6">
              <w:rPr>
                <w:lang w:eastAsia="en-GB"/>
              </w:rPr>
              <w:t>95%CI</w:t>
            </w:r>
          </w:p>
        </w:tc>
      </w:tr>
      <w:tr w:rsidR="00D07161" w:rsidRPr="009E3B2D" w14:paraId="3C00BEFF" w14:textId="77777777" w:rsidTr="001F0738">
        <w:trPr>
          <w:trHeight w:val="20"/>
        </w:trPr>
        <w:tc>
          <w:tcPr>
            <w:tcW w:w="1129" w:type="dxa"/>
            <w:tcBorders>
              <w:bottom w:val="nil"/>
              <w:right w:val="nil"/>
            </w:tcBorders>
            <w:shd w:val="clear" w:color="auto" w:fill="auto"/>
            <w:tcMar>
              <w:top w:w="58" w:type="dxa"/>
              <w:left w:w="115" w:type="dxa"/>
              <w:bottom w:w="58" w:type="dxa"/>
              <w:right w:w="115" w:type="dxa"/>
            </w:tcMar>
            <w:hideMark/>
          </w:tcPr>
          <w:p w14:paraId="1736E7C1" w14:textId="77777777" w:rsidR="00D07161" w:rsidRPr="009E3B2D" w:rsidRDefault="00D07161" w:rsidP="001F0738">
            <w:pPr>
              <w:rPr>
                <w:rFonts w:ascii="Arial" w:hAnsi="Arial" w:cs="Arial"/>
                <w:b/>
                <w:sz w:val="36"/>
                <w:szCs w:val="36"/>
                <w:lang w:eastAsia="en-GB"/>
              </w:rPr>
            </w:pPr>
            <w:r w:rsidRPr="009E3B2D">
              <w:rPr>
                <w:b/>
                <w:color w:val="000000"/>
                <w:kern w:val="24"/>
                <w:lang w:eastAsia="en-GB"/>
              </w:rPr>
              <w:t>Non-face</w:t>
            </w:r>
          </w:p>
        </w:tc>
        <w:tc>
          <w:tcPr>
            <w:tcW w:w="1276" w:type="dxa"/>
            <w:tcBorders>
              <w:top w:val="single" w:sz="6" w:space="0" w:color="auto"/>
              <w:left w:val="nil"/>
              <w:bottom w:val="nil"/>
              <w:right w:val="nil"/>
            </w:tcBorders>
            <w:shd w:val="clear" w:color="auto" w:fill="auto"/>
            <w:tcMar>
              <w:top w:w="58" w:type="dxa"/>
              <w:left w:w="115" w:type="dxa"/>
              <w:bottom w:w="58" w:type="dxa"/>
              <w:right w:w="115" w:type="dxa"/>
            </w:tcMar>
          </w:tcPr>
          <w:p w14:paraId="3065A1E5" w14:textId="77777777" w:rsidR="00D07161" w:rsidRPr="00B70172" w:rsidRDefault="00D07161" w:rsidP="001F0738">
            <w:pPr>
              <w:spacing w:line="240" w:lineRule="auto"/>
              <w:jc w:val="center"/>
              <w:rPr>
                <w:lang w:eastAsia="en-GB"/>
              </w:rPr>
            </w:pPr>
            <w:r>
              <w:rPr>
                <w:lang w:eastAsia="en-GB"/>
              </w:rPr>
              <w:t>339(8.67)</w:t>
            </w:r>
          </w:p>
        </w:tc>
        <w:tc>
          <w:tcPr>
            <w:tcW w:w="1134" w:type="dxa"/>
            <w:tcBorders>
              <w:top w:val="single" w:sz="6" w:space="0" w:color="auto"/>
              <w:left w:val="nil"/>
              <w:bottom w:val="nil"/>
              <w:right w:val="nil"/>
            </w:tcBorders>
            <w:shd w:val="clear" w:color="auto" w:fill="auto"/>
          </w:tcPr>
          <w:p w14:paraId="46008C4F" w14:textId="77777777" w:rsidR="00D07161" w:rsidRPr="00B70172" w:rsidRDefault="00D07161" w:rsidP="001F0738">
            <w:pPr>
              <w:spacing w:line="240" w:lineRule="auto"/>
              <w:jc w:val="center"/>
              <w:rPr>
                <w:lang w:eastAsia="en-GB"/>
              </w:rPr>
            </w:pPr>
            <w:r>
              <w:rPr>
                <w:lang w:eastAsia="en-GB"/>
              </w:rPr>
              <w:t>316-363</w:t>
            </w:r>
          </w:p>
        </w:tc>
        <w:tc>
          <w:tcPr>
            <w:tcW w:w="1134" w:type="dxa"/>
            <w:tcBorders>
              <w:top w:val="single" w:sz="6" w:space="0" w:color="auto"/>
              <w:left w:val="nil"/>
              <w:bottom w:val="nil"/>
              <w:right w:val="nil"/>
            </w:tcBorders>
            <w:shd w:val="clear" w:color="auto" w:fill="auto"/>
            <w:tcMar>
              <w:top w:w="58" w:type="dxa"/>
              <w:left w:w="115" w:type="dxa"/>
              <w:bottom w:w="58" w:type="dxa"/>
              <w:right w:w="115" w:type="dxa"/>
            </w:tcMar>
          </w:tcPr>
          <w:p w14:paraId="1E137C6E" w14:textId="77777777" w:rsidR="00D07161" w:rsidRPr="00B70172" w:rsidRDefault="00D07161" w:rsidP="001F0738">
            <w:pPr>
              <w:spacing w:line="240" w:lineRule="auto"/>
              <w:jc w:val="center"/>
              <w:rPr>
                <w:lang w:eastAsia="en-GB"/>
              </w:rPr>
            </w:pPr>
            <w:r>
              <w:rPr>
                <w:lang w:eastAsia="en-GB"/>
              </w:rPr>
              <w:t>.04(.01)</w:t>
            </w:r>
          </w:p>
        </w:tc>
        <w:tc>
          <w:tcPr>
            <w:tcW w:w="992" w:type="dxa"/>
            <w:tcBorders>
              <w:top w:val="single" w:sz="6" w:space="0" w:color="auto"/>
              <w:left w:val="nil"/>
              <w:bottom w:val="nil"/>
              <w:right w:val="nil"/>
            </w:tcBorders>
            <w:shd w:val="clear" w:color="auto" w:fill="auto"/>
            <w:tcMar>
              <w:top w:w="58" w:type="dxa"/>
              <w:left w:w="115" w:type="dxa"/>
              <w:bottom w:w="58" w:type="dxa"/>
              <w:right w:w="115" w:type="dxa"/>
            </w:tcMar>
          </w:tcPr>
          <w:p w14:paraId="6C99579B" w14:textId="77777777" w:rsidR="00D07161" w:rsidRPr="00B70172" w:rsidRDefault="00D07161" w:rsidP="001F0738">
            <w:pPr>
              <w:spacing w:line="240" w:lineRule="auto"/>
              <w:jc w:val="center"/>
              <w:rPr>
                <w:lang w:eastAsia="en-GB"/>
              </w:rPr>
            </w:pPr>
            <w:r>
              <w:rPr>
                <w:lang w:eastAsia="en-GB"/>
              </w:rPr>
              <w:t>.02-.06</w:t>
            </w:r>
          </w:p>
        </w:tc>
        <w:tc>
          <w:tcPr>
            <w:tcW w:w="142" w:type="dxa"/>
            <w:tcBorders>
              <w:top w:val="nil"/>
              <w:left w:val="nil"/>
              <w:bottom w:val="nil"/>
              <w:right w:val="nil"/>
            </w:tcBorders>
          </w:tcPr>
          <w:p w14:paraId="51C2D8BB" w14:textId="77777777" w:rsidR="00D07161" w:rsidRPr="00B70172" w:rsidRDefault="00D07161" w:rsidP="001F0738">
            <w:pPr>
              <w:spacing w:before="0" w:line="240" w:lineRule="auto"/>
              <w:jc w:val="center"/>
              <w:rPr>
                <w:lang w:eastAsia="en-GB"/>
              </w:rPr>
            </w:pPr>
          </w:p>
        </w:tc>
        <w:tc>
          <w:tcPr>
            <w:tcW w:w="1276" w:type="dxa"/>
            <w:tcBorders>
              <w:top w:val="single" w:sz="6" w:space="0" w:color="auto"/>
              <w:left w:val="nil"/>
              <w:bottom w:val="nil"/>
              <w:right w:val="nil"/>
            </w:tcBorders>
            <w:shd w:val="clear" w:color="auto" w:fill="auto"/>
            <w:tcMar>
              <w:top w:w="58" w:type="dxa"/>
              <w:left w:w="115" w:type="dxa"/>
              <w:bottom w:w="58" w:type="dxa"/>
              <w:right w:w="115" w:type="dxa"/>
            </w:tcMar>
          </w:tcPr>
          <w:p w14:paraId="3B016EDA" w14:textId="77777777" w:rsidR="00D07161" w:rsidRPr="00B70172" w:rsidRDefault="00D07161" w:rsidP="001F0738">
            <w:pPr>
              <w:spacing w:line="240" w:lineRule="auto"/>
              <w:jc w:val="center"/>
              <w:rPr>
                <w:lang w:eastAsia="en-GB"/>
              </w:rPr>
            </w:pPr>
            <w:r>
              <w:rPr>
                <w:lang w:eastAsia="en-GB"/>
              </w:rPr>
              <w:t>290(7.44)</w:t>
            </w:r>
          </w:p>
        </w:tc>
        <w:tc>
          <w:tcPr>
            <w:tcW w:w="992" w:type="dxa"/>
            <w:tcBorders>
              <w:top w:val="single" w:sz="6" w:space="0" w:color="auto"/>
              <w:left w:val="nil"/>
              <w:bottom w:val="nil"/>
              <w:right w:val="nil"/>
            </w:tcBorders>
            <w:shd w:val="clear" w:color="auto" w:fill="auto"/>
            <w:tcMar>
              <w:top w:w="58" w:type="dxa"/>
              <w:left w:w="115" w:type="dxa"/>
              <w:bottom w:w="58" w:type="dxa"/>
              <w:right w:w="115" w:type="dxa"/>
            </w:tcMar>
          </w:tcPr>
          <w:p w14:paraId="410670C5" w14:textId="77777777" w:rsidR="00D07161" w:rsidRPr="00B70172" w:rsidRDefault="00D07161" w:rsidP="001F0738">
            <w:pPr>
              <w:spacing w:line="240" w:lineRule="auto"/>
              <w:jc w:val="center"/>
              <w:rPr>
                <w:lang w:eastAsia="en-GB"/>
              </w:rPr>
            </w:pPr>
            <w:r>
              <w:rPr>
                <w:lang w:eastAsia="en-GB"/>
              </w:rPr>
              <w:t>276-306</w:t>
            </w:r>
          </w:p>
        </w:tc>
        <w:tc>
          <w:tcPr>
            <w:tcW w:w="1134" w:type="dxa"/>
            <w:tcBorders>
              <w:top w:val="single" w:sz="6" w:space="0" w:color="auto"/>
              <w:left w:val="nil"/>
              <w:bottom w:val="nil"/>
              <w:right w:val="nil"/>
            </w:tcBorders>
            <w:shd w:val="clear" w:color="auto" w:fill="auto"/>
            <w:tcMar>
              <w:top w:w="58" w:type="dxa"/>
              <w:left w:w="115" w:type="dxa"/>
              <w:bottom w:w="58" w:type="dxa"/>
              <w:right w:w="115" w:type="dxa"/>
            </w:tcMar>
          </w:tcPr>
          <w:p w14:paraId="2F210BA9" w14:textId="77777777" w:rsidR="00D07161" w:rsidRPr="00B70172" w:rsidRDefault="00D07161" w:rsidP="001F0738">
            <w:pPr>
              <w:spacing w:line="240" w:lineRule="auto"/>
              <w:jc w:val="center"/>
              <w:rPr>
                <w:lang w:eastAsia="en-GB"/>
              </w:rPr>
            </w:pPr>
            <w:r>
              <w:rPr>
                <w:lang w:eastAsia="en-GB"/>
              </w:rPr>
              <w:t>.01 (.004)</w:t>
            </w:r>
          </w:p>
        </w:tc>
        <w:tc>
          <w:tcPr>
            <w:tcW w:w="709" w:type="dxa"/>
            <w:tcBorders>
              <w:top w:val="single" w:sz="6" w:space="0" w:color="auto"/>
              <w:left w:val="nil"/>
              <w:bottom w:val="nil"/>
            </w:tcBorders>
          </w:tcPr>
          <w:p w14:paraId="21C920EC" w14:textId="77777777" w:rsidR="00D07161" w:rsidRPr="00B70172" w:rsidRDefault="00D07161" w:rsidP="001F0738">
            <w:pPr>
              <w:spacing w:line="240" w:lineRule="auto"/>
              <w:jc w:val="center"/>
              <w:rPr>
                <w:lang w:eastAsia="en-GB"/>
              </w:rPr>
            </w:pPr>
            <w:r>
              <w:rPr>
                <w:lang w:eastAsia="en-GB"/>
              </w:rPr>
              <w:t>.01-02</w:t>
            </w:r>
          </w:p>
        </w:tc>
      </w:tr>
      <w:tr w:rsidR="00D07161" w:rsidRPr="009E3B2D" w14:paraId="437D03B7" w14:textId="77777777" w:rsidTr="001F0738">
        <w:trPr>
          <w:trHeight w:val="20"/>
        </w:trPr>
        <w:tc>
          <w:tcPr>
            <w:tcW w:w="1129" w:type="dxa"/>
            <w:tcBorders>
              <w:top w:val="nil"/>
              <w:bottom w:val="nil"/>
              <w:right w:val="nil"/>
            </w:tcBorders>
            <w:shd w:val="clear" w:color="auto" w:fill="auto"/>
            <w:tcMar>
              <w:top w:w="58" w:type="dxa"/>
              <w:left w:w="115" w:type="dxa"/>
              <w:bottom w:w="58" w:type="dxa"/>
              <w:right w:w="115" w:type="dxa"/>
            </w:tcMar>
            <w:hideMark/>
          </w:tcPr>
          <w:p w14:paraId="03AC1E7F" w14:textId="77777777" w:rsidR="00D07161" w:rsidRPr="009E3B2D" w:rsidRDefault="00D07161" w:rsidP="001F0738">
            <w:pPr>
              <w:rPr>
                <w:rFonts w:ascii="Arial" w:hAnsi="Arial" w:cs="Arial"/>
                <w:b/>
                <w:sz w:val="36"/>
                <w:szCs w:val="36"/>
                <w:lang w:eastAsia="en-GB"/>
              </w:rPr>
            </w:pPr>
            <w:r w:rsidRPr="009E3B2D">
              <w:rPr>
                <w:b/>
                <w:color w:val="000000"/>
                <w:kern w:val="24"/>
                <w:lang w:eastAsia="en-GB"/>
              </w:rPr>
              <w:t>Happy</w:t>
            </w:r>
          </w:p>
        </w:tc>
        <w:tc>
          <w:tcPr>
            <w:tcW w:w="1276" w:type="dxa"/>
            <w:tcBorders>
              <w:top w:val="nil"/>
              <w:left w:val="nil"/>
              <w:bottom w:val="nil"/>
              <w:right w:val="nil"/>
            </w:tcBorders>
            <w:shd w:val="clear" w:color="auto" w:fill="auto"/>
            <w:tcMar>
              <w:top w:w="58" w:type="dxa"/>
              <w:left w:w="115" w:type="dxa"/>
              <w:bottom w:w="58" w:type="dxa"/>
              <w:right w:w="115" w:type="dxa"/>
            </w:tcMar>
          </w:tcPr>
          <w:p w14:paraId="7D1AAA27" w14:textId="77777777" w:rsidR="00D07161" w:rsidRPr="00B70172" w:rsidRDefault="00D07161" w:rsidP="001F0738">
            <w:pPr>
              <w:spacing w:line="240" w:lineRule="auto"/>
              <w:jc w:val="center"/>
              <w:rPr>
                <w:lang w:eastAsia="en-GB"/>
              </w:rPr>
            </w:pPr>
            <w:r>
              <w:rPr>
                <w:lang w:eastAsia="en-GB"/>
              </w:rPr>
              <w:t>428(12.06)</w:t>
            </w:r>
          </w:p>
        </w:tc>
        <w:tc>
          <w:tcPr>
            <w:tcW w:w="1134" w:type="dxa"/>
            <w:tcBorders>
              <w:top w:val="nil"/>
              <w:left w:val="nil"/>
              <w:bottom w:val="nil"/>
              <w:right w:val="nil"/>
            </w:tcBorders>
            <w:shd w:val="clear" w:color="auto" w:fill="auto"/>
          </w:tcPr>
          <w:p w14:paraId="02FE86F8" w14:textId="77777777" w:rsidR="00D07161" w:rsidRPr="00B70172" w:rsidRDefault="00D07161" w:rsidP="001F0738">
            <w:pPr>
              <w:spacing w:line="240" w:lineRule="auto"/>
              <w:jc w:val="center"/>
              <w:rPr>
                <w:lang w:eastAsia="en-GB"/>
              </w:rPr>
            </w:pPr>
            <w:r>
              <w:rPr>
                <w:lang w:eastAsia="en-GB"/>
              </w:rPr>
              <w:t>396-462</w:t>
            </w:r>
          </w:p>
        </w:tc>
        <w:tc>
          <w:tcPr>
            <w:tcW w:w="1134" w:type="dxa"/>
            <w:tcBorders>
              <w:top w:val="nil"/>
              <w:left w:val="nil"/>
              <w:bottom w:val="nil"/>
              <w:right w:val="nil"/>
            </w:tcBorders>
            <w:shd w:val="clear" w:color="auto" w:fill="auto"/>
            <w:tcMar>
              <w:top w:w="58" w:type="dxa"/>
              <w:left w:w="115" w:type="dxa"/>
              <w:bottom w:w="58" w:type="dxa"/>
              <w:right w:w="115" w:type="dxa"/>
            </w:tcMar>
          </w:tcPr>
          <w:p w14:paraId="798C81AD" w14:textId="77777777" w:rsidR="00D07161" w:rsidRPr="00B70172" w:rsidRDefault="00D07161" w:rsidP="001F0738">
            <w:pPr>
              <w:spacing w:line="240" w:lineRule="auto"/>
              <w:jc w:val="center"/>
              <w:rPr>
                <w:lang w:eastAsia="en-GB"/>
              </w:rPr>
            </w:pPr>
            <w:r>
              <w:rPr>
                <w:lang w:eastAsia="en-GB"/>
              </w:rPr>
              <w:t>.07(.01)</w:t>
            </w:r>
          </w:p>
        </w:tc>
        <w:tc>
          <w:tcPr>
            <w:tcW w:w="992" w:type="dxa"/>
            <w:tcBorders>
              <w:top w:val="nil"/>
              <w:left w:val="nil"/>
              <w:bottom w:val="nil"/>
              <w:right w:val="nil"/>
            </w:tcBorders>
            <w:shd w:val="clear" w:color="auto" w:fill="auto"/>
            <w:tcMar>
              <w:top w:w="58" w:type="dxa"/>
              <w:left w:w="115" w:type="dxa"/>
              <w:bottom w:w="58" w:type="dxa"/>
              <w:right w:w="115" w:type="dxa"/>
            </w:tcMar>
          </w:tcPr>
          <w:p w14:paraId="1E57C2C9" w14:textId="77777777" w:rsidR="00D07161" w:rsidRPr="00B70172" w:rsidRDefault="00D07161" w:rsidP="001F0738">
            <w:pPr>
              <w:spacing w:line="240" w:lineRule="auto"/>
              <w:jc w:val="center"/>
              <w:rPr>
                <w:lang w:eastAsia="en-GB"/>
              </w:rPr>
            </w:pPr>
            <w:r>
              <w:rPr>
                <w:lang w:eastAsia="en-GB"/>
              </w:rPr>
              <w:t>.05-.09</w:t>
            </w:r>
          </w:p>
        </w:tc>
        <w:tc>
          <w:tcPr>
            <w:tcW w:w="142" w:type="dxa"/>
            <w:tcBorders>
              <w:top w:val="nil"/>
              <w:left w:val="nil"/>
              <w:bottom w:val="nil"/>
              <w:right w:val="nil"/>
            </w:tcBorders>
          </w:tcPr>
          <w:p w14:paraId="27D86A05" w14:textId="77777777" w:rsidR="00D07161" w:rsidRPr="00B70172" w:rsidRDefault="00D07161" w:rsidP="001F0738">
            <w:pPr>
              <w:spacing w:before="0" w:line="240" w:lineRule="auto"/>
              <w:jc w:val="center"/>
              <w:rPr>
                <w:lang w:eastAsia="en-GB"/>
              </w:rPr>
            </w:pPr>
          </w:p>
        </w:tc>
        <w:tc>
          <w:tcPr>
            <w:tcW w:w="1276" w:type="dxa"/>
            <w:tcBorders>
              <w:top w:val="nil"/>
              <w:left w:val="nil"/>
              <w:bottom w:val="nil"/>
              <w:right w:val="nil"/>
            </w:tcBorders>
            <w:shd w:val="clear" w:color="auto" w:fill="auto"/>
            <w:tcMar>
              <w:top w:w="58" w:type="dxa"/>
              <w:left w:w="115" w:type="dxa"/>
              <w:bottom w:w="58" w:type="dxa"/>
              <w:right w:w="115" w:type="dxa"/>
            </w:tcMar>
          </w:tcPr>
          <w:p w14:paraId="346802DB" w14:textId="77777777" w:rsidR="00D07161" w:rsidRPr="00B70172" w:rsidRDefault="00D07161" w:rsidP="001F0738">
            <w:pPr>
              <w:spacing w:line="240" w:lineRule="auto"/>
              <w:jc w:val="center"/>
              <w:rPr>
                <w:lang w:eastAsia="en-GB"/>
              </w:rPr>
            </w:pPr>
            <w:r>
              <w:rPr>
                <w:lang w:eastAsia="en-GB"/>
              </w:rPr>
              <w:t>376(10.62)</w:t>
            </w:r>
          </w:p>
        </w:tc>
        <w:tc>
          <w:tcPr>
            <w:tcW w:w="992" w:type="dxa"/>
            <w:tcBorders>
              <w:top w:val="nil"/>
              <w:left w:val="nil"/>
              <w:bottom w:val="nil"/>
              <w:right w:val="nil"/>
            </w:tcBorders>
            <w:shd w:val="clear" w:color="auto" w:fill="auto"/>
            <w:tcMar>
              <w:top w:w="58" w:type="dxa"/>
              <w:left w:w="115" w:type="dxa"/>
              <w:bottom w:w="58" w:type="dxa"/>
              <w:right w:w="115" w:type="dxa"/>
            </w:tcMar>
          </w:tcPr>
          <w:p w14:paraId="15425883" w14:textId="77777777" w:rsidR="00D07161" w:rsidRPr="00B70172" w:rsidRDefault="00D07161" w:rsidP="001F0738">
            <w:pPr>
              <w:spacing w:line="240" w:lineRule="auto"/>
              <w:jc w:val="center"/>
              <w:rPr>
                <w:lang w:eastAsia="en-GB"/>
              </w:rPr>
            </w:pPr>
            <w:r>
              <w:rPr>
                <w:lang w:eastAsia="en-GB"/>
              </w:rPr>
              <w:t>356-398</w:t>
            </w:r>
          </w:p>
        </w:tc>
        <w:tc>
          <w:tcPr>
            <w:tcW w:w="1134" w:type="dxa"/>
            <w:tcBorders>
              <w:top w:val="nil"/>
              <w:left w:val="nil"/>
              <w:bottom w:val="nil"/>
              <w:right w:val="nil"/>
            </w:tcBorders>
            <w:shd w:val="clear" w:color="auto" w:fill="auto"/>
            <w:tcMar>
              <w:top w:w="58" w:type="dxa"/>
              <w:left w:w="115" w:type="dxa"/>
              <w:bottom w:w="58" w:type="dxa"/>
              <w:right w:w="115" w:type="dxa"/>
            </w:tcMar>
          </w:tcPr>
          <w:p w14:paraId="2D4A61F9" w14:textId="77777777" w:rsidR="00D07161" w:rsidRPr="00B70172" w:rsidRDefault="00D07161" w:rsidP="001F0738">
            <w:pPr>
              <w:spacing w:line="240" w:lineRule="auto"/>
              <w:jc w:val="center"/>
              <w:rPr>
                <w:lang w:eastAsia="en-GB"/>
              </w:rPr>
            </w:pPr>
            <w:r>
              <w:rPr>
                <w:lang w:eastAsia="en-GB"/>
              </w:rPr>
              <w:t>.03(.006</w:t>
            </w:r>
          </w:p>
        </w:tc>
        <w:tc>
          <w:tcPr>
            <w:tcW w:w="709" w:type="dxa"/>
            <w:tcBorders>
              <w:top w:val="nil"/>
              <w:left w:val="nil"/>
              <w:bottom w:val="nil"/>
            </w:tcBorders>
          </w:tcPr>
          <w:p w14:paraId="199D52C5" w14:textId="77777777" w:rsidR="00D07161" w:rsidRPr="00B70172" w:rsidRDefault="00D07161" w:rsidP="001F0738">
            <w:pPr>
              <w:spacing w:line="240" w:lineRule="auto"/>
              <w:jc w:val="center"/>
              <w:rPr>
                <w:lang w:eastAsia="en-GB"/>
              </w:rPr>
            </w:pPr>
            <w:r>
              <w:rPr>
                <w:lang w:eastAsia="en-GB"/>
              </w:rPr>
              <w:t>.02-.04</w:t>
            </w:r>
          </w:p>
        </w:tc>
      </w:tr>
      <w:tr w:rsidR="00D07161" w:rsidRPr="009E3B2D" w14:paraId="44763E14" w14:textId="77777777" w:rsidTr="001F0738">
        <w:trPr>
          <w:trHeight w:val="20"/>
        </w:trPr>
        <w:tc>
          <w:tcPr>
            <w:tcW w:w="1129" w:type="dxa"/>
            <w:tcBorders>
              <w:top w:val="nil"/>
              <w:bottom w:val="single" w:sz="8" w:space="0" w:color="auto"/>
              <w:right w:val="nil"/>
            </w:tcBorders>
            <w:shd w:val="clear" w:color="auto" w:fill="auto"/>
            <w:tcMar>
              <w:top w:w="58" w:type="dxa"/>
              <w:left w:w="115" w:type="dxa"/>
              <w:bottom w:w="58" w:type="dxa"/>
              <w:right w:w="115" w:type="dxa"/>
            </w:tcMar>
            <w:hideMark/>
          </w:tcPr>
          <w:p w14:paraId="2E046D81" w14:textId="77777777" w:rsidR="00D07161" w:rsidRPr="009E3B2D" w:rsidRDefault="00D07161" w:rsidP="001F0738">
            <w:pPr>
              <w:rPr>
                <w:rFonts w:ascii="Arial" w:hAnsi="Arial" w:cs="Arial"/>
                <w:b/>
                <w:sz w:val="36"/>
                <w:szCs w:val="36"/>
                <w:lang w:eastAsia="en-GB"/>
              </w:rPr>
            </w:pPr>
            <w:r w:rsidRPr="009E3B2D">
              <w:rPr>
                <w:b/>
                <w:color w:val="000000"/>
                <w:kern w:val="24"/>
                <w:lang w:eastAsia="en-GB"/>
              </w:rPr>
              <w:t>Angry</w:t>
            </w:r>
          </w:p>
        </w:tc>
        <w:tc>
          <w:tcPr>
            <w:tcW w:w="1276" w:type="dxa"/>
            <w:tcBorders>
              <w:top w:val="nil"/>
              <w:left w:val="nil"/>
              <w:bottom w:val="single" w:sz="8" w:space="0" w:color="auto"/>
              <w:right w:val="nil"/>
            </w:tcBorders>
            <w:shd w:val="clear" w:color="auto" w:fill="auto"/>
            <w:tcMar>
              <w:top w:w="58" w:type="dxa"/>
              <w:left w:w="115" w:type="dxa"/>
              <w:bottom w:w="58" w:type="dxa"/>
              <w:right w:w="115" w:type="dxa"/>
            </w:tcMar>
          </w:tcPr>
          <w:p w14:paraId="7AE9C886" w14:textId="77777777" w:rsidR="00D07161" w:rsidRPr="00B70172" w:rsidRDefault="00D07161" w:rsidP="001F0738">
            <w:pPr>
              <w:spacing w:line="240" w:lineRule="auto"/>
              <w:jc w:val="center"/>
              <w:rPr>
                <w:lang w:eastAsia="en-GB"/>
              </w:rPr>
            </w:pPr>
            <w:r>
              <w:rPr>
                <w:lang w:eastAsia="en-GB"/>
              </w:rPr>
              <w:t>447(14.50)</w:t>
            </w:r>
          </w:p>
        </w:tc>
        <w:tc>
          <w:tcPr>
            <w:tcW w:w="1134" w:type="dxa"/>
            <w:tcBorders>
              <w:top w:val="nil"/>
              <w:left w:val="nil"/>
              <w:bottom w:val="single" w:sz="8" w:space="0" w:color="auto"/>
              <w:right w:val="nil"/>
            </w:tcBorders>
            <w:shd w:val="clear" w:color="auto" w:fill="auto"/>
          </w:tcPr>
          <w:p w14:paraId="75BEB4A3" w14:textId="77777777" w:rsidR="00D07161" w:rsidRPr="00B70172" w:rsidRDefault="00D07161" w:rsidP="001F0738">
            <w:pPr>
              <w:spacing w:line="240" w:lineRule="auto"/>
              <w:jc w:val="center"/>
              <w:rPr>
                <w:lang w:eastAsia="en-GB"/>
              </w:rPr>
            </w:pPr>
            <w:r>
              <w:rPr>
                <w:lang w:eastAsia="en-GB"/>
              </w:rPr>
              <w:t>409-489</w:t>
            </w:r>
          </w:p>
        </w:tc>
        <w:tc>
          <w:tcPr>
            <w:tcW w:w="1134" w:type="dxa"/>
            <w:tcBorders>
              <w:top w:val="nil"/>
              <w:left w:val="nil"/>
              <w:bottom w:val="single" w:sz="8" w:space="0" w:color="auto"/>
              <w:right w:val="nil"/>
            </w:tcBorders>
            <w:shd w:val="clear" w:color="auto" w:fill="auto"/>
            <w:tcMar>
              <w:top w:w="58" w:type="dxa"/>
              <w:left w:w="115" w:type="dxa"/>
              <w:bottom w:w="58" w:type="dxa"/>
              <w:right w:w="115" w:type="dxa"/>
            </w:tcMar>
          </w:tcPr>
          <w:p w14:paraId="3024CA13" w14:textId="77777777" w:rsidR="00D07161" w:rsidRPr="00B70172" w:rsidRDefault="00D07161" w:rsidP="001F0738">
            <w:pPr>
              <w:spacing w:line="240" w:lineRule="auto"/>
              <w:jc w:val="center"/>
              <w:rPr>
                <w:lang w:eastAsia="en-GB"/>
              </w:rPr>
            </w:pPr>
            <w:r>
              <w:rPr>
                <w:lang w:eastAsia="en-GB"/>
              </w:rPr>
              <w:t>.07(.02)</w:t>
            </w:r>
          </w:p>
        </w:tc>
        <w:tc>
          <w:tcPr>
            <w:tcW w:w="992" w:type="dxa"/>
            <w:tcBorders>
              <w:top w:val="nil"/>
              <w:left w:val="nil"/>
              <w:bottom w:val="single" w:sz="8" w:space="0" w:color="auto"/>
              <w:right w:val="nil"/>
            </w:tcBorders>
            <w:shd w:val="clear" w:color="auto" w:fill="auto"/>
            <w:tcMar>
              <w:top w:w="58" w:type="dxa"/>
              <w:left w:w="115" w:type="dxa"/>
              <w:bottom w:w="58" w:type="dxa"/>
              <w:right w:w="115" w:type="dxa"/>
            </w:tcMar>
          </w:tcPr>
          <w:p w14:paraId="0E69144C" w14:textId="77777777" w:rsidR="00D07161" w:rsidRPr="00B70172" w:rsidRDefault="00D07161" w:rsidP="001F0738">
            <w:pPr>
              <w:spacing w:line="240" w:lineRule="auto"/>
              <w:jc w:val="center"/>
              <w:rPr>
                <w:lang w:eastAsia="en-GB"/>
              </w:rPr>
            </w:pPr>
            <w:r>
              <w:rPr>
                <w:lang w:eastAsia="en-GB"/>
              </w:rPr>
              <w:t>.05- .11</w:t>
            </w:r>
          </w:p>
        </w:tc>
        <w:tc>
          <w:tcPr>
            <w:tcW w:w="142" w:type="dxa"/>
            <w:tcBorders>
              <w:top w:val="nil"/>
              <w:left w:val="nil"/>
              <w:bottom w:val="single" w:sz="8" w:space="0" w:color="auto"/>
              <w:right w:val="nil"/>
            </w:tcBorders>
          </w:tcPr>
          <w:p w14:paraId="703C4F78" w14:textId="77777777" w:rsidR="00D07161" w:rsidRPr="00B70172" w:rsidRDefault="00D07161" w:rsidP="001F0738">
            <w:pPr>
              <w:spacing w:before="0" w:line="240" w:lineRule="auto"/>
              <w:jc w:val="center"/>
              <w:rPr>
                <w:lang w:eastAsia="en-GB"/>
              </w:rPr>
            </w:pPr>
          </w:p>
        </w:tc>
        <w:tc>
          <w:tcPr>
            <w:tcW w:w="1276" w:type="dxa"/>
            <w:tcBorders>
              <w:top w:val="nil"/>
              <w:left w:val="nil"/>
              <w:bottom w:val="single" w:sz="8" w:space="0" w:color="auto"/>
              <w:right w:val="nil"/>
            </w:tcBorders>
            <w:shd w:val="clear" w:color="auto" w:fill="auto"/>
            <w:tcMar>
              <w:top w:w="58" w:type="dxa"/>
              <w:left w:w="115" w:type="dxa"/>
              <w:bottom w:w="58" w:type="dxa"/>
              <w:right w:w="115" w:type="dxa"/>
            </w:tcMar>
          </w:tcPr>
          <w:p w14:paraId="54C1A0B5" w14:textId="77777777" w:rsidR="00D07161" w:rsidRPr="00B70172" w:rsidRDefault="00D07161" w:rsidP="001F0738">
            <w:pPr>
              <w:spacing w:line="240" w:lineRule="auto"/>
              <w:jc w:val="center"/>
              <w:rPr>
                <w:lang w:eastAsia="en-GB"/>
              </w:rPr>
            </w:pPr>
            <w:r>
              <w:rPr>
                <w:lang w:eastAsia="en-GB"/>
              </w:rPr>
              <w:t>383(12.43)</w:t>
            </w:r>
          </w:p>
        </w:tc>
        <w:tc>
          <w:tcPr>
            <w:tcW w:w="992" w:type="dxa"/>
            <w:tcBorders>
              <w:top w:val="nil"/>
              <w:left w:val="nil"/>
              <w:bottom w:val="single" w:sz="8" w:space="0" w:color="auto"/>
              <w:right w:val="nil"/>
            </w:tcBorders>
            <w:shd w:val="clear" w:color="auto" w:fill="auto"/>
            <w:tcMar>
              <w:top w:w="58" w:type="dxa"/>
              <w:left w:w="115" w:type="dxa"/>
              <w:bottom w:w="58" w:type="dxa"/>
              <w:right w:w="115" w:type="dxa"/>
            </w:tcMar>
          </w:tcPr>
          <w:p w14:paraId="233F322C" w14:textId="77777777" w:rsidR="00D07161" w:rsidRPr="00B70172" w:rsidRDefault="00D07161" w:rsidP="001F0738">
            <w:pPr>
              <w:spacing w:line="240" w:lineRule="auto"/>
              <w:jc w:val="center"/>
              <w:rPr>
                <w:lang w:eastAsia="en-GB"/>
              </w:rPr>
            </w:pPr>
            <w:r>
              <w:rPr>
                <w:lang w:eastAsia="en-GB"/>
              </w:rPr>
              <w:t>359-409</w:t>
            </w:r>
          </w:p>
        </w:tc>
        <w:tc>
          <w:tcPr>
            <w:tcW w:w="1134" w:type="dxa"/>
            <w:tcBorders>
              <w:top w:val="nil"/>
              <w:left w:val="nil"/>
              <w:bottom w:val="single" w:sz="8" w:space="0" w:color="auto"/>
              <w:right w:val="nil"/>
            </w:tcBorders>
            <w:shd w:val="clear" w:color="auto" w:fill="auto"/>
            <w:tcMar>
              <w:top w:w="58" w:type="dxa"/>
              <w:left w:w="115" w:type="dxa"/>
              <w:bottom w:w="58" w:type="dxa"/>
              <w:right w:w="115" w:type="dxa"/>
            </w:tcMar>
          </w:tcPr>
          <w:p w14:paraId="4A748379" w14:textId="77777777" w:rsidR="00D07161" w:rsidRPr="00B70172" w:rsidRDefault="00D07161" w:rsidP="001F0738">
            <w:pPr>
              <w:spacing w:line="240" w:lineRule="auto"/>
              <w:jc w:val="center"/>
              <w:rPr>
                <w:lang w:eastAsia="en-GB"/>
              </w:rPr>
            </w:pPr>
            <w:r>
              <w:rPr>
                <w:lang w:eastAsia="en-GB"/>
              </w:rPr>
              <w:t>.02(.006)</w:t>
            </w:r>
          </w:p>
        </w:tc>
        <w:tc>
          <w:tcPr>
            <w:tcW w:w="709" w:type="dxa"/>
            <w:tcBorders>
              <w:top w:val="nil"/>
              <w:left w:val="nil"/>
              <w:bottom w:val="single" w:sz="8" w:space="0" w:color="auto"/>
            </w:tcBorders>
          </w:tcPr>
          <w:p w14:paraId="72E4895A" w14:textId="77777777" w:rsidR="00D07161" w:rsidRPr="00B70172" w:rsidRDefault="00D07161" w:rsidP="001F0738">
            <w:pPr>
              <w:spacing w:line="240" w:lineRule="auto"/>
              <w:jc w:val="center"/>
              <w:rPr>
                <w:lang w:eastAsia="en-GB"/>
              </w:rPr>
            </w:pPr>
            <w:r>
              <w:rPr>
                <w:lang w:eastAsia="en-GB"/>
              </w:rPr>
              <w:t>.01-.04</w:t>
            </w:r>
          </w:p>
        </w:tc>
      </w:tr>
    </w:tbl>
    <w:p w14:paraId="07384CD3" w14:textId="77777777" w:rsidR="00D07161" w:rsidRDefault="00D07161" w:rsidP="00D07161">
      <w:pPr>
        <w:rPr>
          <w:u w:val="single"/>
        </w:rPr>
      </w:pPr>
      <w:r w:rsidRPr="00704B67">
        <w:rPr>
          <w:noProof/>
          <w:lang w:eastAsia="en-GB"/>
        </w:rPr>
        <mc:AlternateContent>
          <mc:Choice Requires="wps">
            <w:drawing>
              <wp:anchor distT="0" distB="0" distL="114300" distR="114300" simplePos="0" relativeHeight="251660288" behindDoc="0" locked="0" layoutInCell="1" allowOverlap="1" wp14:anchorId="4ABC8304" wp14:editId="3CFB171B">
                <wp:simplePos x="0" y="0"/>
                <wp:positionH relativeFrom="margin">
                  <wp:posOffset>-38100</wp:posOffset>
                </wp:positionH>
                <wp:positionV relativeFrom="paragraph">
                  <wp:posOffset>8255</wp:posOffset>
                </wp:positionV>
                <wp:extent cx="6295390" cy="488950"/>
                <wp:effectExtent l="0" t="0" r="0" b="0"/>
                <wp:wrapNone/>
                <wp:docPr id="8" name="Rectangle 2"/>
                <wp:cNvGraphicFramePr/>
                <a:graphic xmlns:a="http://schemas.openxmlformats.org/drawingml/2006/main">
                  <a:graphicData uri="http://schemas.microsoft.com/office/word/2010/wordprocessingShape">
                    <wps:wsp>
                      <wps:cNvSpPr/>
                      <wps:spPr>
                        <a:xfrm>
                          <a:off x="0" y="0"/>
                          <a:ext cx="6295390" cy="488950"/>
                        </a:xfrm>
                        <a:prstGeom prst="rect">
                          <a:avLst/>
                        </a:prstGeom>
                      </wps:spPr>
                      <wps:txbx>
                        <w:txbxContent>
                          <w:p w14:paraId="72FA78FD" w14:textId="77777777" w:rsidR="00D07161" w:rsidRDefault="00D07161" w:rsidP="00D07161">
                            <w:pPr>
                              <w:pStyle w:val="NormalWeb"/>
                              <w:spacing w:before="0" w:line="240" w:lineRule="auto"/>
                              <w:rPr>
                                <w:rFonts w:eastAsia="SimSun"/>
                                <w:color w:val="000000"/>
                                <w:kern w:val="24"/>
                                <w:sz w:val="18"/>
                                <w:szCs w:val="18"/>
                              </w:rPr>
                            </w:pPr>
                            <w:r>
                              <w:rPr>
                                <w:rFonts w:eastAsia="SimSun"/>
                                <w:i/>
                                <w:iCs/>
                                <w:color w:val="000000"/>
                                <w:kern w:val="24"/>
                                <w:sz w:val="18"/>
                                <w:szCs w:val="18"/>
                              </w:rPr>
                              <w:t>Note:</w:t>
                            </w:r>
                            <w:r>
                              <w:rPr>
                                <w:rFonts w:eastAsia="SimSun"/>
                                <w:color w:val="000000"/>
                                <w:kern w:val="24"/>
                                <w:sz w:val="18"/>
                                <w:szCs w:val="18"/>
                              </w:rPr>
                              <w:t xml:space="preserve"> Latency reflects saccade latency, </w:t>
                            </w:r>
                            <w:r>
                              <w:rPr>
                                <w:rFonts w:eastAsia="SimSun" w:cstheme="minorBidi"/>
                                <w:color w:val="000000" w:themeColor="dark1"/>
                                <w:kern w:val="24"/>
                                <w:sz w:val="18"/>
                                <w:szCs w:val="18"/>
                              </w:rPr>
                              <w:t xml:space="preserve">Commission Errors (CE), 95% Confidence Intervals (95%CI), </w:t>
                            </w:r>
                            <w:r>
                              <w:rPr>
                                <w:rFonts w:eastAsia="SimSun"/>
                                <w:color w:val="000000"/>
                                <w:kern w:val="24"/>
                                <w:sz w:val="18"/>
                                <w:szCs w:val="18"/>
                              </w:rPr>
                              <w:t>Standard Errors shown in parentheses (SE).</w:t>
                            </w:r>
                          </w:p>
                          <w:p w14:paraId="0E007501" w14:textId="77777777" w:rsidR="00D07161" w:rsidRPr="00D80924" w:rsidRDefault="00D07161" w:rsidP="00D07161">
                            <w:pPr>
                              <w:pStyle w:val="NormalWeb"/>
                              <w:spacing w:before="0" w:line="240" w:lineRule="auto"/>
                              <w:rPr>
                                <w:rFonts w:eastAsia="SimSun" w:cstheme="minorBidi"/>
                                <w:color w:val="000000" w:themeColor="dark1"/>
                                <w:kern w:val="24"/>
                                <w:sz w:val="18"/>
                                <w:szCs w:val="18"/>
                              </w:rPr>
                            </w:pPr>
                            <w:r w:rsidRPr="00D80924">
                              <w:rPr>
                                <w:rFonts w:eastAsia="SimSun" w:cstheme="minorBidi"/>
                                <w:color w:val="000000" w:themeColor="dark1"/>
                                <w:kern w:val="24"/>
                                <w:sz w:val="18"/>
                                <w:szCs w:val="18"/>
                              </w:rPr>
                              <w:t>Bias adjustment applied on the marginal probabilities based on sigma = 0.63788</w:t>
                            </w:r>
                          </w:p>
                          <w:p w14:paraId="42955AD7" w14:textId="77777777" w:rsidR="00D07161" w:rsidRPr="00D80924" w:rsidRDefault="00D07161" w:rsidP="00D07161">
                            <w:pPr>
                              <w:pStyle w:val="NormalWeb"/>
                              <w:spacing w:before="0" w:line="240" w:lineRule="auto"/>
                              <w:rPr>
                                <w:rFonts w:eastAsia="SimSun" w:cstheme="minorBidi"/>
                                <w:color w:val="000000" w:themeColor="dark1"/>
                                <w:kern w:val="24"/>
                                <w:sz w:val="18"/>
                                <w:szCs w:val="18"/>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ABC8304" id="Rectangle 2" o:spid="_x0000_s1026" style="position:absolute;margin-left:-3pt;margin-top:.65pt;width:495.7pt;height:3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" filled="f" stroked="f">
                <v:textbox>
                  <w:txbxContent>
                    <w:p w14:paraId="72FA78FD" w14:textId="77777777" w:rsidR="00D07161" w:rsidRDefault="00D07161" w:rsidP="00D07161">
                      <w:pPr>
                        <w:pStyle w:val="NormalWeb"/>
                        <w:spacing w:before="0" w:line="240" w:lineRule="auto"/>
                        <w:rPr>
                          <w:rFonts w:eastAsia="SimSun"/>
                          <w:color w:val="000000"/>
                          <w:kern w:val="24"/>
                          <w:sz w:val="18"/>
                          <w:szCs w:val="18"/>
                        </w:rPr>
                      </w:pPr>
                      <w:r>
                        <w:rPr>
                          <w:rFonts w:eastAsia="SimSun"/>
                          <w:i/>
                          <w:iCs/>
                          <w:color w:val="000000"/>
                          <w:kern w:val="24"/>
                          <w:sz w:val="18"/>
                          <w:szCs w:val="18"/>
                        </w:rPr>
                        <w:t>Note:</w:t>
                      </w:r>
                      <w:r>
                        <w:rPr>
                          <w:rFonts w:eastAsia="SimSun"/>
                          <w:color w:val="000000"/>
                          <w:kern w:val="24"/>
                          <w:sz w:val="18"/>
                          <w:szCs w:val="18"/>
                        </w:rPr>
                        <w:t xml:space="preserve"> Latency reflects saccade latency, </w:t>
                      </w:r>
                      <w:r>
                        <w:rPr>
                          <w:rFonts w:eastAsia="SimSun" w:cstheme="minorBidi"/>
                          <w:color w:val="000000" w:themeColor="dark1"/>
                          <w:kern w:val="24"/>
                          <w:sz w:val="18"/>
                          <w:szCs w:val="18"/>
                        </w:rPr>
                        <w:t xml:space="preserve">Commission Errors (CE), 95% Confidence Intervals (95%CI), </w:t>
                      </w:r>
                      <w:r>
                        <w:rPr>
                          <w:rFonts w:eastAsia="SimSun"/>
                          <w:color w:val="000000"/>
                          <w:kern w:val="24"/>
                          <w:sz w:val="18"/>
                          <w:szCs w:val="18"/>
                        </w:rPr>
                        <w:t>Standard Errors shown in parentheses (SE).</w:t>
                      </w:r>
                    </w:p>
                    <w:p w14:paraId="0E007501" w14:textId="77777777" w:rsidR="00D07161" w:rsidRPr="00D80924" w:rsidRDefault="00D07161" w:rsidP="00D07161">
                      <w:pPr>
                        <w:pStyle w:val="NormalWeb"/>
                        <w:spacing w:before="0" w:line="240" w:lineRule="auto"/>
                        <w:rPr>
                          <w:rFonts w:eastAsia="SimSun" w:cstheme="minorBidi"/>
                          <w:color w:val="000000" w:themeColor="dark1"/>
                          <w:kern w:val="24"/>
                          <w:sz w:val="18"/>
                          <w:szCs w:val="18"/>
                        </w:rPr>
                      </w:pPr>
                      <w:r w:rsidRPr="00D80924">
                        <w:rPr>
                          <w:rFonts w:eastAsia="SimSun" w:cstheme="minorBidi"/>
                          <w:color w:val="000000" w:themeColor="dark1"/>
                          <w:kern w:val="24"/>
                          <w:sz w:val="18"/>
                          <w:szCs w:val="18"/>
                        </w:rPr>
                        <w:t>Bias adjustment applied on the marginal probabilities based on sigma = 0.63788</w:t>
                      </w:r>
                    </w:p>
                    <w:p w14:paraId="42955AD7" w14:textId="77777777" w:rsidR="00D07161" w:rsidRPr="00D80924" w:rsidRDefault="00D07161" w:rsidP="00D07161">
                      <w:pPr>
                        <w:pStyle w:val="NormalWeb"/>
                        <w:spacing w:before="0" w:line="240" w:lineRule="auto"/>
                        <w:rPr>
                          <w:rFonts w:eastAsia="SimSun" w:cstheme="minorBidi"/>
                          <w:color w:val="000000" w:themeColor="dark1"/>
                          <w:kern w:val="24"/>
                          <w:sz w:val="18"/>
                          <w:szCs w:val="18"/>
                        </w:rPr>
                      </w:pPr>
                    </w:p>
                  </w:txbxContent>
                </v:textbox>
                <w10:wrap anchorx="margin"/>
              </v:rect>
            </w:pict>
          </mc:Fallback>
        </mc:AlternateContent>
      </w:r>
    </w:p>
    <w:bookmarkEnd w:id="13"/>
    <w:p w14:paraId="15E8000A" w14:textId="77777777" w:rsidR="00D07161" w:rsidRDefault="00D07161" w:rsidP="00D07161"/>
    <w:p w14:paraId="00563AC1" w14:textId="77777777" w:rsidR="00D07161" w:rsidRDefault="00D07161" w:rsidP="00D07161"/>
    <w:p w14:paraId="0718BDA8" w14:textId="77777777" w:rsidR="00D07161" w:rsidRDefault="00D07161" w:rsidP="00D07161"/>
    <w:p w14:paraId="5B308AB5" w14:textId="77777777" w:rsidR="00D07161" w:rsidRDefault="00D07161" w:rsidP="00D07161"/>
    <w:p w14:paraId="70461E34" w14:textId="77777777" w:rsidR="00D07161" w:rsidRDefault="00D07161" w:rsidP="00D07161"/>
    <w:p w14:paraId="4D01A75A" w14:textId="77777777" w:rsidR="00D07161" w:rsidRDefault="00D07161" w:rsidP="00D07161"/>
    <w:p w14:paraId="537E0847" w14:textId="77777777" w:rsidR="00D07161" w:rsidRDefault="00D07161" w:rsidP="00D07161"/>
    <w:p w14:paraId="25106ACE" w14:textId="77777777" w:rsidR="00D07161" w:rsidRDefault="00D07161" w:rsidP="00D07161"/>
    <w:p w14:paraId="01DE209B" w14:textId="77777777" w:rsidR="00D07161" w:rsidRDefault="00D07161" w:rsidP="00D07161"/>
    <w:p w14:paraId="41957D86" w14:textId="77777777" w:rsidR="00D07161" w:rsidRDefault="00D07161" w:rsidP="00D07161"/>
    <w:p w14:paraId="1EFD65C3" w14:textId="77777777" w:rsidR="00D07161" w:rsidRDefault="00D07161" w:rsidP="00D07161"/>
    <w:p w14:paraId="7A35996B" w14:textId="77777777" w:rsidR="00D07161" w:rsidRDefault="00D07161" w:rsidP="00D07161"/>
    <w:p w14:paraId="754B84D2" w14:textId="77777777" w:rsidR="00D07161" w:rsidRDefault="00D07161" w:rsidP="00D07161"/>
    <w:p w14:paraId="6D335C4E" w14:textId="77777777" w:rsidR="00D07161" w:rsidRPr="00FB4978" w:rsidRDefault="00D07161" w:rsidP="00D07161">
      <w:pPr>
        <w:pStyle w:val="Caption"/>
        <w:keepNext/>
        <w:rPr>
          <w:sz w:val="22"/>
          <w:szCs w:val="22"/>
        </w:rPr>
      </w:pPr>
      <w:r w:rsidRPr="00FB4978">
        <w:rPr>
          <w:i w:val="0"/>
          <w:sz w:val="22"/>
          <w:szCs w:val="22"/>
        </w:rPr>
        <w:t xml:space="preserve">Table </w:t>
      </w:r>
      <w:r w:rsidRPr="00FB4978">
        <w:rPr>
          <w:i w:val="0"/>
          <w:sz w:val="22"/>
          <w:szCs w:val="22"/>
        </w:rPr>
        <w:fldChar w:fldCharType="begin"/>
      </w:r>
      <w:r w:rsidRPr="00FB4978">
        <w:rPr>
          <w:i w:val="0"/>
          <w:sz w:val="22"/>
          <w:szCs w:val="22"/>
        </w:rPr>
        <w:instrText xml:space="preserve"> SEQ Table \* ARABIC </w:instrText>
      </w:r>
      <w:r w:rsidRPr="00FB4978">
        <w:rPr>
          <w:i w:val="0"/>
          <w:sz w:val="22"/>
          <w:szCs w:val="22"/>
        </w:rPr>
        <w:fldChar w:fldCharType="separate"/>
      </w:r>
      <w:r w:rsidRPr="00FB4978">
        <w:rPr>
          <w:i w:val="0"/>
          <w:noProof/>
          <w:sz w:val="22"/>
          <w:szCs w:val="22"/>
        </w:rPr>
        <w:t>2</w:t>
      </w:r>
      <w:r w:rsidRPr="00FB4978">
        <w:rPr>
          <w:i w:val="0"/>
          <w:sz w:val="22"/>
          <w:szCs w:val="22"/>
        </w:rPr>
        <w:fldChar w:fldCharType="end"/>
      </w:r>
      <w:r w:rsidRPr="00FB4978">
        <w:rPr>
          <w:i w:val="0"/>
          <w:sz w:val="22"/>
          <w:szCs w:val="22"/>
        </w:rPr>
        <w:t>:</w:t>
      </w:r>
      <w:r w:rsidRPr="00FB4978">
        <w:rPr>
          <w:sz w:val="22"/>
          <w:szCs w:val="22"/>
        </w:rPr>
        <w:t xml:space="preserve"> LMMs of Group, Cue Condition, ADHD and Anxiety, and Interactions on Saccade Latency and </w:t>
      </w:r>
      <w:proofErr w:type="spellStart"/>
      <w:r w:rsidRPr="00FB4978">
        <w:rPr>
          <w:sz w:val="22"/>
          <w:szCs w:val="22"/>
        </w:rPr>
        <w:t>gLMMs</w:t>
      </w:r>
      <w:proofErr w:type="spellEnd"/>
      <w:r w:rsidRPr="00FB4978">
        <w:rPr>
          <w:sz w:val="22"/>
          <w:szCs w:val="22"/>
        </w:rPr>
        <w:t xml:space="preserve"> on Saccade Accuracy of Commission Errors.</w:t>
      </w:r>
    </w:p>
    <w:tbl>
      <w:tblPr>
        <w:tblW w:w="9933" w:type="dxa"/>
        <w:tblBorders>
          <w:top w:val="single" w:sz="8" w:space="0" w:color="auto"/>
          <w:bottom w:val="single" w:sz="8" w:space="0" w:color="auto"/>
        </w:tblBorders>
        <w:tblLayout w:type="fixed"/>
        <w:tblCellMar>
          <w:left w:w="0" w:type="dxa"/>
          <w:right w:w="0" w:type="dxa"/>
        </w:tblCellMar>
        <w:tblLook w:val="0420" w:firstRow="1" w:lastRow="0" w:firstColumn="0" w:lastColumn="0" w:noHBand="0" w:noVBand="1"/>
      </w:tblPr>
      <w:tblGrid>
        <w:gridCol w:w="2410"/>
        <w:gridCol w:w="1990"/>
        <w:gridCol w:w="653"/>
        <w:gridCol w:w="566"/>
        <w:gridCol w:w="787"/>
        <w:gridCol w:w="6"/>
        <w:gridCol w:w="686"/>
        <w:gridCol w:w="202"/>
        <w:gridCol w:w="624"/>
        <w:gridCol w:w="567"/>
        <w:gridCol w:w="708"/>
        <w:gridCol w:w="734"/>
      </w:tblGrid>
      <w:tr w:rsidR="00D07161" w:rsidRPr="009864E6" w14:paraId="58F9F976" w14:textId="77777777" w:rsidTr="001F0738">
        <w:trPr>
          <w:trHeight w:val="103"/>
        </w:trPr>
        <w:tc>
          <w:tcPr>
            <w:tcW w:w="2410" w:type="dxa"/>
            <w:tcBorders>
              <w:top w:val="single" w:sz="12" w:space="0" w:color="auto"/>
            </w:tcBorders>
            <w:shd w:val="clear" w:color="auto" w:fill="auto"/>
            <w:tcMar>
              <w:top w:w="46" w:type="dxa"/>
              <w:left w:w="91" w:type="dxa"/>
              <w:bottom w:w="46" w:type="dxa"/>
              <w:right w:w="91" w:type="dxa"/>
            </w:tcMar>
            <w:hideMark/>
          </w:tcPr>
          <w:p w14:paraId="66690B74" w14:textId="77777777" w:rsidR="00D07161" w:rsidRPr="009864E6" w:rsidRDefault="00D07161" w:rsidP="001F0738">
            <w:pPr>
              <w:spacing w:before="0" w:line="240" w:lineRule="auto"/>
              <w:rPr>
                <w:lang w:eastAsia="en-GB"/>
              </w:rPr>
            </w:pPr>
          </w:p>
        </w:tc>
        <w:tc>
          <w:tcPr>
            <w:tcW w:w="1990" w:type="dxa"/>
            <w:tcBorders>
              <w:top w:val="single" w:sz="12" w:space="0" w:color="auto"/>
              <w:bottom w:val="single" w:sz="8" w:space="0" w:color="auto"/>
            </w:tcBorders>
            <w:shd w:val="clear" w:color="auto" w:fill="auto"/>
            <w:tcMar>
              <w:top w:w="46" w:type="dxa"/>
              <w:left w:w="91" w:type="dxa"/>
              <w:bottom w:w="46" w:type="dxa"/>
              <w:right w:w="91" w:type="dxa"/>
            </w:tcMar>
            <w:hideMark/>
          </w:tcPr>
          <w:p w14:paraId="66E9495D" w14:textId="77777777" w:rsidR="00D07161" w:rsidRPr="009864E6" w:rsidRDefault="00D07161" w:rsidP="001F0738">
            <w:pPr>
              <w:spacing w:before="0" w:line="240" w:lineRule="auto"/>
              <w:rPr>
                <w:lang w:eastAsia="en-GB"/>
              </w:rPr>
            </w:pPr>
          </w:p>
        </w:tc>
        <w:tc>
          <w:tcPr>
            <w:tcW w:w="2698" w:type="dxa"/>
            <w:gridSpan w:val="5"/>
            <w:tcBorders>
              <w:top w:val="single" w:sz="12" w:space="0" w:color="auto"/>
              <w:bottom w:val="single" w:sz="8" w:space="0" w:color="auto"/>
            </w:tcBorders>
            <w:shd w:val="clear" w:color="auto" w:fill="auto"/>
            <w:tcMar>
              <w:top w:w="46" w:type="dxa"/>
              <w:left w:w="91" w:type="dxa"/>
              <w:bottom w:w="46" w:type="dxa"/>
              <w:right w:w="91" w:type="dxa"/>
            </w:tcMar>
            <w:vAlign w:val="center"/>
            <w:hideMark/>
          </w:tcPr>
          <w:p w14:paraId="1EB06807" w14:textId="77777777" w:rsidR="00D07161" w:rsidRPr="009864E6" w:rsidRDefault="00D07161" w:rsidP="001F0738">
            <w:pPr>
              <w:spacing w:before="0" w:line="240" w:lineRule="auto"/>
              <w:jc w:val="center"/>
              <w:rPr>
                <w:lang w:eastAsia="en-GB"/>
              </w:rPr>
            </w:pPr>
            <w:r w:rsidRPr="009864E6">
              <w:rPr>
                <w:b/>
                <w:bCs/>
                <w:color w:val="000000"/>
                <w:kern w:val="24"/>
                <w:lang w:eastAsia="en-GB"/>
              </w:rPr>
              <w:t>Saccade Latency</w:t>
            </w:r>
          </w:p>
        </w:tc>
        <w:tc>
          <w:tcPr>
            <w:tcW w:w="202" w:type="dxa"/>
            <w:tcBorders>
              <w:top w:val="single" w:sz="12" w:space="0" w:color="auto"/>
              <w:bottom w:val="single" w:sz="8" w:space="0" w:color="auto"/>
            </w:tcBorders>
            <w:shd w:val="clear" w:color="auto" w:fill="auto"/>
            <w:tcMar>
              <w:top w:w="46" w:type="dxa"/>
              <w:left w:w="91" w:type="dxa"/>
              <w:bottom w:w="46" w:type="dxa"/>
              <w:right w:w="91" w:type="dxa"/>
            </w:tcMar>
            <w:vAlign w:val="center"/>
            <w:hideMark/>
          </w:tcPr>
          <w:p w14:paraId="709395F4" w14:textId="77777777" w:rsidR="00D07161" w:rsidRPr="009864E6" w:rsidRDefault="00D07161" w:rsidP="001F0738">
            <w:pPr>
              <w:spacing w:before="0" w:line="240" w:lineRule="auto"/>
              <w:rPr>
                <w:lang w:eastAsia="en-GB"/>
              </w:rPr>
            </w:pPr>
          </w:p>
        </w:tc>
        <w:tc>
          <w:tcPr>
            <w:tcW w:w="2633" w:type="dxa"/>
            <w:gridSpan w:val="4"/>
            <w:tcBorders>
              <w:top w:val="single" w:sz="12" w:space="0" w:color="auto"/>
              <w:bottom w:val="single" w:sz="8" w:space="0" w:color="auto"/>
            </w:tcBorders>
            <w:shd w:val="clear" w:color="auto" w:fill="auto"/>
            <w:tcMar>
              <w:top w:w="46" w:type="dxa"/>
              <w:left w:w="91" w:type="dxa"/>
              <w:bottom w:w="46" w:type="dxa"/>
              <w:right w:w="91" w:type="dxa"/>
            </w:tcMar>
            <w:vAlign w:val="center"/>
            <w:hideMark/>
          </w:tcPr>
          <w:p w14:paraId="68ECA16E" w14:textId="77777777" w:rsidR="00D07161" w:rsidRPr="009864E6" w:rsidRDefault="00D07161" w:rsidP="001F0738">
            <w:pPr>
              <w:spacing w:before="0" w:line="240" w:lineRule="auto"/>
              <w:jc w:val="center"/>
              <w:rPr>
                <w:lang w:eastAsia="en-GB"/>
              </w:rPr>
            </w:pPr>
            <w:r w:rsidRPr="009864E6">
              <w:rPr>
                <w:b/>
                <w:bCs/>
                <w:color w:val="000000"/>
                <w:kern w:val="24"/>
                <w:lang w:eastAsia="en-GB"/>
              </w:rPr>
              <w:t>Saccade Accuracy</w:t>
            </w:r>
          </w:p>
        </w:tc>
      </w:tr>
      <w:tr w:rsidR="00D07161" w:rsidRPr="009864E6" w14:paraId="4DD37DF7" w14:textId="77777777" w:rsidTr="001F0738">
        <w:trPr>
          <w:trHeight w:val="165"/>
        </w:trPr>
        <w:tc>
          <w:tcPr>
            <w:tcW w:w="2410" w:type="dxa"/>
            <w:shd w:val="clear" w:color="auto" w:fill="auto"/>
            <w:tcMar>
              <w:top w:w="46" w:type="dxa"/>
              <w:left w:w="91" w:type="dxa"/>
              <w:bottom w:w="46" w:type="dxa"/>
              <w:right w:w="91" w:type="dxa"/>
            </w:tcMar>
            <w:hideMark/>
          </w:tcPr>
          <w:p w14:paraId="08E4116B" w14:textId="77777777" w:rsidR="00D07161" w:rsidRPr="009864E6" w:rsidRDefault="00D07161" w:rsidP="001F0738">
            <w:pPr>
              <w:spacing w:before="0" w:line="240" w:lineRule="auto"/>
              <w:rPr>
                <w:lang w:eastAsia="en-GB"/>
              </w:rPr>
            </w:pPr>
          </w:p>
        </w:tc>
        <w:tc>
          <w:tcPr>
            <w:tcW w:w="1990" w:type="dxa"/>
            <w:tcBorders>
              <w:top w:val="single" w:sz="8" w:space="0" w:color="auto"/>
            </w:tcBorders>
            <w:shd w:val="clear" w:color="auto" w:fill="auto"/>
            <w:tcMar>
              <w:top w:w="46" w:type="dxa"/>
              <w:left w:w="91" w:type="dxa"/>
              <w:bottom w:w="46" w:type="dxa"/>
              <w:right w:w="91" w:type="dxa"/>
            </w:tcMar>
            <w:hideMark/>
          </w:tcPr>
          <w:p w14:paraId="307CD86A" w14:textId="77777777" w:rsidR="00D07161" w:rsidRPr="009864E6" w:rsidRDefault="00D07161" w:rsidP="001F0738">
            <w:pPr>
              <w:spacing w:before="0" w:line="240" w:lineRule="auto"/>
              <w:rPr>
                <w:lang w:eastAsia="en-GB"/>
              </w:rPr>
            </w:pPr>
          </w:p>
        </w:tc>
        <w:tc>
          <w:tcPr>
            <w:tcW w:w="2698" w:type="dxa"/>
            <w:gridSpan w:val="5"/>
            <w:tcBorders>
              <w:top w:val="single" w:sz="8" w:space="0" w:color="auto"/>
              <w:bottom w:val="single" w:sz="8" w:space="0" w:color="auto"/>
            </w:tcBorders>
            <w:shd w:val="clear" w:color="auto" w:fill="auto"/>
            <w:tcMar>
              <w:top w:w="46" w:type="dxa"/>
              <w:left w:w="91" w:type="dxa"/>
              <w:bottom w:w="46" w:type="dxa"/>
              <w:right w:w="91" w:type="dxa"/>
            </w:tcMar>
            <w:hideMark/>
          </w:tcPr>
          <w:p w14:paraId="40872A3B" w14:textId="77777777" w:rsidR="00D07161" w:rsidRPr="009864E6" w:rsidRDefault="00D07161" w:rsidP="001F0738">
            <w:pPr>
              <w:spacing w:before="0" w:line="240" w:lineRule="auto"/>
              <w:jc w:val="center"/>
              <w:rPr>
                <w:lang w:eastAsia="en-GB"/>
              </w:rPr>
            </w:pPr>
            <w:r w:rsidRPr="009864E6">
              <w:rPr>
                <w:color w:val="000000"/>
                <w:kern w:val="24"/>
                <w:lang w:eastAsia="en-GB"/>
              </w:rPr>
              <w:t>Hits</w:t>
            </w:r>
          </w:p>
        </w:tc>
        <w:tc>
          <w:tcPr>
            <w:tcW w:w="202" w:type="dxa"/>
            <w:tcBorders>
              <w:top w:val="single" w:sz="8" w:space="0" w:color="auto"/>
            </w:tcBorders>
            <w:shd w:val="clear" w:color="auto" w:fill="auto"/>
            <w:tcMar>
              <w:top w:w="46" w:type="dxa"/>
              <w:left w:w="91" w:type="dxa"/>
              <w:bottom w:w="46" w:type="dxa"/>
              <w:right w:w="91" w:type="dxa"/>
            </w:tcMar>
            <w:hideMark/>
          </w:tcPr>
          <w:p w14:paraId="1C6BFD77" w14:textId="77777777" w:rsidR="00D07161" w:rsidRPr="009864E6" w:rsidRDefault="00D07161" w:rsidP="001F0738">
            <w:pPr>
              <w:spacing w:before="0" w:line="240" w:lineRule="auto"/>
              <w:rPr>
                <w:lang w:eastAsia="en-GB"/>
              </w:rPr>
            </w:pPr>
          </w:p>
        </w:tc>
        <w:tc>
          <w:tcPr>
            <w:tcW w:w="2633" w:type="dxa"/>
            <w:gridSpan w:val="4"/>
            <w:tcBorders>
              <w:top w:val="single" w:sz="8" w:space="0" w:color="auto"/>
              <w:bottom w:val="single" w:sz="8" w:space="0" w:color="auto"/>
            </w:tcBorders>
            <w:shd w:val="clear" w:color="auto" w:fill="auto"/>
            <w:tcMar>
              <w:top w:w="46" w:type="dxa"/>
              <w:left w:w="91" w:type="dxa"/>
              <w:bottom w:w="46" w:type="dxa"/>
              <w:right w:w="91" w:type="dxa"/>
            </w:tcMar>
            <w:hideMark/>
          </w:tcPr>
          <w:p w14:paraId="75E78483" w14:textId="77777777" w:rsidR="00D07161" w:rsidRPr="009864E6" w:rsidRDefault="00D07161" w:rsidP="001F0738">
            <w:pPr>
              <w:spacing w:before="0" w:line="240" w:lineRule="auto"/>
              <w:jc w:val="center"/>
              <w:rPr>
                <w:lang w:eastAsia="en-GB"/>
              </w:rPr>
            </w:pPr>
            <w:r w:rsidRPr="009864E6">
              <w:rPr>
                <w:color w:val="000000"/>
                <w:kern w:val="24"/>
                <w:lang w:eastAsia="en-GB"/>
              </w:rPr>
              <w:t>CE</w:t>
            </w:r>
          </w:p>
        </w:tc>
      </w:tr>
      <w:tr w:rsidR="00D07161" w:rsidRPr="009864E6" w14:paraId="327E08BE" w14:textId="77777777" w:rsidTr="001F0738">
        <w:trPr>
          <w:trHeight w:val="85"/>
        </w:trPr>
        <w:tc>
          <w:tcPr>
            <w:tcW w:w="2410" w:type="dxa"/>
            <w:shd w:val="clear" w:color="auto" w:fill="auto"/>
            <w:tcMar>
              <w:top w:w="46" w:type="dxa"/>
              <w:left w:w="91" w:type="dxa"/>
              <w:bottom w:w="46" w:type="dxa"/>
              <w:right w:w="91" w:type="dxa"/>
            </w:tcMar>
            <w:hideMark/>
          </w:tcPr>
          <w:p w14:paraId="4594479E" w14:textId="77777777" w:rsidR="00D07161" w:rsidRPr="009864E6" w:rsidRDefault="00D07161" w:rsidP="001F0738">
            <w:pPr>
              <w:spacing w:before="0" w:line="240" w:lineRule="auto"/>
              <w:rPr>
                <w:lang w:eastAsia="en-GB"/>
              </w:rPr>
            </w:pPr>
          </w:p>
        </w:tc>
        <w:tc>
          <w:tcPr>
            <w:tcW w:w="1990" w:type="dxa"/>
            <w:shd w:val="clear" w:color="auto" w:fill="auto"/>
            <w:tcMar>
              <w:top w:w="46" w:type="dxa"/>
              <w:left w:w="91" w:type="dxa"/>
              <w:bottom w:w="46" w:type="dxa"/>
              <w:right w:w="91" w:type="dxa"/>
            </w:tcMar>
            <w:hideMark/>
          </w:tcPr>
          <w:p w14:paraId="648C5EE6" w14:textId="77777777" w:rsidR="00D07161" w:rsidRPr="009864E6" w:rsidRDefault="00D07161" w:rsidP="001F0738">
            <w:pPr>
              <w:spacing w:before="0" w:line="240" w:lineRule="auto"/>
              <w:rPr>
                <w:lang w:eastAsia="en-GB"/>
              </w:rPr>
            </w:pPr>
          </w:p>
        </w:tc>
        <w:tc>
          <w:tcPr>
            <w:tcW w:w="653" w:type="dxa"/>
            <w:tcBorders>
              <w:top w:val="single" w:sz="8" w:space="0" w:color="auto"/>
              <w:bottom w:val="single" w:sz="8" w:space="0" w:color="auto"/>
            </w:tcBorders>
            <w:shd w:val="clear" w:color="auto" w:fill="auto"/>
            <w:tcMar>
              <w:top w:w="46" w:type="dxa"/>
              <w:left w:w="91" w:type="dxa"/>
              <w:bottom w:w="46" w:type="dxa"/>
              <w:right w:w="91" w:type="dxa"/>
            </w:tcMar>
            <w:vAlign w:val="center"/>
            <w:hideMark/>
          </w:tcPr>
          <w:p w14:paraId="782189F9" w14:textId="77777777" w:rsidR="00D07161" w:rsidRPr="009864E6" w:rsidRDefault="00D07161" w:rsidP="001F0738">
            <w:pPr>
              <w:spacing w:before="0" w:line="240" w:lineRule="auto"/>
              <w:jc w:val="center"/>
              <w:rPr>
                <w:lang w:eastAsia="en-GB"/>
              </w:rPr>
            </w:pPr>
            <w:r w:rsidRPr="009864E6">
              <w:rPr>
                <w:i/>
                <w:iCs/>
                <w:color w:val="000000"/>
                <w:kern w:val="24"/>
                <w:lang w:eastAsia="en-GB"/>
              </w:rPr>
              <w:t>β</w:t>
            </w:r>
          </w:p>
        </w:tc>
        <w:tc>
          <w:tcPr>
            <w:tcW w:w="566" w:type="dxa"/>
            <w:tcBorders>
              <w:top w:val="single" w:sz="8" w:space="0" w:color="auto"/>
              <w:bottom w:val="single" w:sz="8" w:space="0" w:color="auto"/>
            </w:tcBorders>
            <w:shd w:val="clear" w:color="auto" w:fill="auto"/>
            <w:tcMar>
              <w:top w:w="46" w:type="dxa"/>
              <w:left w:w="91" w:type="dxa"/>
              <w:bottom w:w="46" w:type="dxa"/>
              <w:right w:w="91" w:type="dxa"/>
            </w:tcMar>
            <w:vAlign w:val="center"/>
            <w:hideMark/>
          </w:tcPr>
          <w:p w14:paraId="39B70F4B" w14:textId="77777777" w:rsidR="00D07161" w:rsidRPr="009864E6" w:rsidRDefault="00D07161" w:rsidP="001F0738">
            <w:pPr>
              <w:spacing w:before="0" w:line="240" w:lineRule="auto"/>
              <w:jc w:val="center"/>
              <w:rPr>
                <w:lang w:eastAsia="en-GB"/>
              </w:rPr>
            </w:pPr>
            <w:r w:rsidRPr="009864E6">
              <w:rPr>
                <w:i/>
                <w:iCs/>
                <w:color w:val="000000"/>
                <w:kern w:val="24"/>
                <w:lang w:eastAsia="en-GB"/>
              </w:rPr>
              <w:t>SE</w:t>
            </w:r>
          </w:p>
        </w:tc>
        <w:tc>
          <w:tcPr>
            <w:tcW w:w="793" w:type="dxa"/>
            <w:gridSpan w:val="2"/>
            <w:tcBorders>
              <w:top w:val="single" w:sz="8" w:space="0" w:color="auto"/>
              <w:bottom w:val="single" w:sz="8" w:space="0" w:color="auto"/>
            </w:tcBorders>
            <w:shd w:val="clear" w:color="auto" w:fill="auto"/>
            <w:tcMar>
              <w:top w:w="46" w:type="dxa"/>
              <w:left w:w="91" w:type="dxa"/>
              <w:bottom w:w="46" w:type="dxa"/>
              <w:right w:w="91" w:type="dxa"/>
            </w:tcMar>
            <w:vAlign w:val="center"/>
            <w:hideMark/>
          </w:tcPr>
          <w:p w14:paraId="3ED27136" w14:textId="77777777" w:rsidR="00D07161" w:rsidRPr="009864E6" w:rsidRDefault="00D07161" w:rsidP="001F0738">
            <w:pPr>
              <w:spacing w:before="0" w:line="240" w:lineRule="auto"/>
              <w:jc w:val="center"/>
              <w:rPr>
                <w:lang w:eastAsia="en-GB"/>
              </w:rPr>
            </w:pPr>
            <w:r w:rsidRPr="009864E6">
              <w:rPr>
                <w:i/>
                <w:iCs/>
                <w:color w:val="000000"/>
                <w:kern w:val="24"/>
                <w:lang w:eastAsia="en-GB"/>
              </w:rPr>
              <w:t>t</w:t>
            </w:r>
          </w:p>
        </w:tc>
        <w:tc>
          <w:tcPr>
            <w:tcW w:w="686" w:type="dxa"/>
            <w:tcBorders>
              <w:top w:val="single" w:sz="8" w:space="0" w:color="auto"/>
              <w:bottom w:val="single" w:sz="8" w:space="0" w:color="auto"/>
            </w:tcBorders>
            <w:shd w:val="clear" w:color="auto" w:fill="auto"/>
            <w:tcMar>
              <w:top w:w="46" w:type="dxa"/>
              <w:left w:w="91" w:type="dxa"/>
              <w:bottom w:w="46" w:type="dxa"/>
              <w:right w:w="91" w:type="dxa"/>
            </w:tcMar>
            <w:vAlign w:val="center"/>
            <w:hideMark/>
          </w:tcPr>
          <w:p w14:paraId="2A4DEA9A" w14:textId="77777777" w:rsidR="00D07161" w:rsidRPr="009864E6" w:rsidRDefault="00D07161" w:rsidP="001F0738">
            <w:pPr>
              <w:spacing w:before="0" w:line="240" w:lineRule="auto"/>
              <w:jc w:val="center"/>
              <w:rPr>
                <w:lang w:eastAsia="en-GB"/>
              </w:rPr>
            </w:pPr>
            <w:r w:rsidRPr="009864E6">
              <w:rPr>
                <w:color w:val="000000"/>
                <w:kern w:val="24"/>
                <w:lang w:eastAsia="en-GB"/>
              </w:rPr>
              <w:t>Sign</w:t>
            </w:r>
            <w:r w:rsidRPr="009864E6">
              <w:rPr>
                <w:i/>
                <w:iCs/>
                <w:color w:val="000000"/>
                <w:kern w:val="24"/>
                <w:lang w:eastAsia="en-GB"/>
              </w:rPr>
              <w:t>.</w:t>
            </w:r>
          </w:p>
        </w:tc>
        <w:tc>
          <w:tcPr>
            <w:tcW w:w="202" w:type="dxa"/>
            <w:shd w:val="clear" w:color="auto" w:fill="auto"/>
            <w:tcMar>
              <w:top w:w="46" w:type="dxa"/>
              <w:left w:w="91" w:type="dxa"/>
              <w:bottom w:w="46" w:type="dxa"/>
              <w:right w:w="91" w:type="dxa"/>
            </w:tcMar>
            <w:vAlign w:val="center"/>
            <w:hideMark/>
          </w:tcPr>
          <w:p w14:paraId="0A2DE273" w14:textId="77777777" w:rsidR="00D07161" w:rsidRPr="009864E6" w:rsidRDefault="00D07161" w:rsidP="001F0738">
            <w:pPr>
              <w:spacing w:before="0" w:line="240" w:lineRule="auto"/>
              <w:rPr>
                <w:lang w:eastAsia="en-GB"/>
              </w:rPr>
            </w:pPr>
          </w:p>
        </w:tc>
        <w:tc>
          <w:tcPr>
            <w:tcW w:w="624" w:type="dxa"/>
            <w:tcBorders>
              <w:top w:val="single" w:sz="8" w:space="0" w:color="auto"/>
              <w:bottom w:val="single" w:sz="8" w:space="0" w:color="auto"/>
            </w:tcBorders>
            <w:shd w:val="clear" w:color="auto" w:fill="auto"/>
            <w:tcMar>
              <w:top w:w="46" w:type="dxa"/>
              <w:left w:w="91" w:type="dxa"/>
              <w:bottom w:w="46" w:type="dxa"/>
              <w:right w:w="91" w:type="dxa"/>
            </w:tcMar>
            <w:vAlign w:val="center"/>
            <w:hideMark/>
          </w:tcPr>
          <w:p w14:paraId="1D551AB7" w14:textId="77777777" w:rsidR="00D07161" w:rsidRPr="009864E6" w:rsidRDefault="00D07161" w:rsidP="001F0738">
            <w:pPr>
              <w:spacing w:before="0" w:line="240" w:lineRule="auto"/>
              <w:jc w:val="center"/>
              <w:rPr>
                <w:lang w:eastAsia="en-GB"/>
              </w:rPr>
            </w:pPr>
            <w:r w:rsidRPr="009864E6">
              <w:rPr>
                <w:i/>
                <w:iCs/>
                <w:color w:val="000000"/>
                <w:kern w:val="24"/>
                <w:lang w:eastAsia="en-GB"/>
              </w:rPr>
              <w:t>β</w:t>
            </w:r>
          </w:p>
        </w:tc>
        <w:tc>
          <w:tcPr>
            <w:tcW w:w="567" w:type="dxa"/>
            <w:tcBorders>
              <w:top w:val="single" w:sz="8" w:space="0" w:color="auto"/>
              <w:bottom w:val="single" w:sz="8" w:space="0" w:color="auto"/>
            </w:tcBorders>
            <w:shd w:val="clear" w:color="auto" w:fill="auto"/>
            <w:tcMar>
              <w:top w:w="46" w:type="dxa"/>
              <w:left w:w="91" w:type="dxa"/>
              <w:bottom w:w="46" w:type="dxa"/>
              <w:right w:w="91" w:type="dxa"/>
            </w:tcMar>
            <w:vAlign w:val="center"/>
            <w:hideMark/>
          </w:tcPr>
          <w:p w14:paraId="64EE9626" w14:textId="77777777" w:rsidR="00D07161" w:rsidRPr="009864E6" w:rsidRDefault="00D07161" w:rsidP="001F0738">
            <w:pPr>
              <w:spacing w:before="0" w:line="240" w:lineRule="auto"/>
              <w:jc w:val="center"/>
              <w:rPr>
                <w:lang w:eastAsia="en-GB"/>
              </w:rPr>
            </w:pPr>
            <w:r w:rsidRPr="009864E6">
              <w:rPr>
                <w:i/>
                <w:iCs/>
                <w:color w:val="000000"/>
                <w:kern w:val="24"/>
                <w:lang w:eastAsia="en-GB"/>
              </w:rPr>
              <w:t>SE</w:t>
            </w:r>
          </w:p>
        </w:tc>
        <w:tc>
          <w:tcPr>
            <w:tcW w:w="708" w:type="dxa"/>
            <w:tcBorders>
              <w:top w:val="single" w:sz="8" w:space="0" w:color="auto"/>
              <w:bottom w:val="single" w:sz="8" w:space="0" w:color="auto"/>
            </w:tcBorders>
            <w:shd w:val="clear" w:color="auto" w:fill="auto"/>
            <w:tcMar>
              <w:top w:w="46" w:type="dxa"/>
              <w:left w:w="91" w:type="dxa"/>
              <w:bottom w:w="46" w:type="dxa"/>
              <w:right w:w="91" w:type="dxa"/>
            </w:tcMar>
            <w:vAlign w:val="center"/>
            <w:hideMark/>
          </w:tcPr>
          <w:p w14:paraId="30032E6F" w14:textId="77777777" w:rsidR="00D07161" w:rsidRPr="009864E6" w:rsidRDefault="00D07161" w:rsidP="001F0738">
            <w:pPr>
              <w:spacing w:before="0" w:line="240" w:lineRule="auto"/>
              <w:jc w:val="center"/>
              <w:rPr>
                <w:lang w:eastAsia="en-GB"/>
              </w:rPr>
            </w:pPr>
            <w:r w:rsidRPr="009864E6">
              <w:rPr>
                <w:i/>
                <w:iCs/>
                <w:color w:val="000000"/>
                <w:kern w:val="24"/>
                <w:lang w:eastAsia="en-GB"/>
              </w:rPr>
              <w:t>z</w:t>
            </w:r>
          </w:p>
        </w:tc>
        <w:tc>
          <w:tcPr>
            <w:tcW w:w="734" w:type="dxa"/>
            <w:tcBorders>
              <w:top w:val="single" w:sz="8" w:space="0" w:color="auto"/>
              <w:bottom w:val="single" w:sz="8" w:space="0" w:color="auto"/>
            </w:tcBorders>
            <w:shd w:val="clear" w:color="auto" w:fill="auto"/>
            <w:tcMar>
              <w:top w:w="46" w:type="dxa"/>
              <w:left w:w="91" w:type="dxa"/>
              <w:bottom w:w="46" w:type="dxa"/>
              <w:right w:w="91" w:type="dxa"/>
            </w:tcMar>
            <w:vAlign w:val="center"/>
            <w:hideMark/>
          </w:tcPr>
          <w:p w14:paraId="0519311E" w14:textId="77777777" w:rsidR="00D07161" w:rsidRPr="009864E6" w:rsidRDefault="00D07161" w:rsidP="001F0738">
            <w:pPr>
              <w:spacing w:before="0" w:line="240" w:lineRule="auto"/>
              <w:jc w:val="center"/>
              <w:rPr>
                <w:lang w:eastAsia="en-GB"/>
              </w:rPr>
            </w:pPr>
            <w:r w:rsidRPr="009864E6">
              <w:rPr>
                <w:color w:val="000000"/>
                <w:kern w:val="24"/>
                <w:lang w:eastAsia="en-GB"/>
              </w:rPr>
              <w:t>Sign</w:t>
            </w:r>
            <w:r w:rsidRPr="009864E6">
              <w:rPr>
                <w:i/>
                <w:iCs/>
                <w:color w:val="000000"/>
                <w:kern w:val="24"/>
                <w:lang w:eastAsia="en-GB"/>
              </w:rPr>
              <w:t>.</w:t>
            </w:r>
          </w:p>
        </w:tc>
      </w:tr>
      <w:tr w:rsidR="00D07161" w:rsidRPr="009864E6" w14:paraId="7BE07F9E" w14:textId="77777777" w:rsidTr="001F0738">
        <w:trPr>
          <w:trHeight w:val="148"/>
        </w:trPr>
        <w:tc>
          <w:tcPr>
            <w:tcW w:w="4400" w:type="dxa"/>
            <w:gridSpan w:val="2"/>
            <w:shd w:val="clear" w:color="auto" w:fill="auto"/>
            <w:tcMar>
              <w:top w:w="46" w:type="dxa"/>
              <w:left w:w="91" w:type="dxa"/>
              <w:bottom w:w="46" w:type="dxa"/>
              <w:right w:w="91" w:type="dxa"/>
            </w:tcMar>
            <w:vAlign w:val="center"/>
            <w:hideMark/>
          </w:tcPr>
          <w:p w14:paraId="28222762" w14:textId="77777777" w:rsidR="00D07161" w:rsidRPr="009864E6" w:rsidRDefault="00D07161" w:rsidP="001F0738">
            <w:pPr>
              <w:spacing w:before="0" w:line="240" w:lineRule="auto"/>
              <w:jc w:val="center"/>
              <w:rPr>
                <w:lang w:eastAsia="en-GB"/>
              </w:rPr>
            </w:pPr>
            <w:r w:rsidRPr="009864E6">
              <w:rPr>
                <w:color w:val="000000"/>
                <w:kern w:val="24"/>
                <w:lang w:eastAsia="en-GB"/>
              </w:rPr>
              <w:t>Intercept</w:t>
            </w:r>
          </w:p>
        </w:tc>
        <w:tc>
          <w:tcPr>
            <w:tcW w:w="653" w:type="dxa"/>
            <w:tcBorders>
              <w:top w:val="single" w:sz="8" w:space="0" w:color="auto"/>
            </w:tcBorders>
            <w:shd w:val="clear" w:color="auto" w:fill="auto"/>
            <w:tcMar>
              <w:top w:w="46" w:type="dxa"/>
              <w:left w:w="91" w:type="dxa"/>
              <w:bottom w:w="46" w:type="dxa"/>
              <w:right w:w="91" w:type="dxa"/>
            </w:tcMar>
            <w:vAlign w:val="center"/>
            <w:hideMark/>
          </w:tcPr>
          <w:p w14:paraId="414DA395" w14:textId="77777777" w:rsidR="00D07161" w:rsidRPr="009864E6" w:rsidRDefault="00D07161" w:rsidP="001F0738">
            <w:pPr>
              <w:spacing w:before="0" w:line="240" w:lineRule="auto"/>
              <w:jc w:val="center"/>
              <w:rPr>
                <w:lang w:eastAsia="en-GB"/>
              </w:rPr>
            </w:pPr>
            <w:r w:rsidRPr="009864E6">
              <w:rPr>
                <w:color w:val="000000"/>
                <w:kern w:val="24"/>
                <w:lang w:eastAsia="en-GB"/>
              </w:rPr>
              <w:t>5.92</w:t>
            </w:r>
          </w:p>
        </w:tc>
        <w:tc>
          <w:tcPr>
            <w:tcW w:w="566" w:type="dxa"/>
            <w:tcBorders>
              <w:top w:val="single" w:sz="8" w:space="0" w:color="auto"/>
            </w:tcBorders>
            <w:shd w:val="clear" w:color="auto" w:fill="auto"/>
            <w:tcMar>
              <w:top w:w="46" w:type="dxa"/>
              <w:left w:w="91" w:type="dxa"/>
              <w:bottom w:w="46" w:type="dxa"/>
              <w:right w:w="91" w:type="dxa"/>
            </w:tcMar>
            <w:vAlign w:val="center"/>
            <w:hideMark/>
          </w:tcPr>
          <w:p w14:paraId="5A8961D2" w14:textId="77777777" w:rsidR="00D07161" w:rsidRPr="009864E6" w:rsidRDefault="00D07161" w:rsidP="001F0738">
            <w:pPr>
              <w:spacing w:before="0" w:line="240" w:lineRule="auto"/>
              <w:jc w:val="center"/>
              <w:rPr>
                <w:lang w:eastAsia="en-GB"/>
              </w:rPr>
            </w:pPr>
            <w:r w:rsidRPr="009864E6">
              <w:rPr>
                <w:color w:val="000000"/>
                <w:kern w:val="24"/>
                <w:lang w:eastAsia="en-GB"/>
              </w:rPr>
              <w:t>.02</w:t>
            </w:r>
          </w:p>
        </w:tc>
        <w:tc>
          <w:tcPr>
            <w:tcW w:w="787" w:type="dxa"/>
            <w:tcBorders>
              <w:top w:val="single" w:sz="8" w:space="0" w:color="auto"/>
            </w:tcBorders>
            <w:shd w:val="clear" w:color="auto" w:fill="auto"/>
            <w:tcMar>
              <w:top w:w="46" w:type="dxa"/>
              <w:left w:w="91" w:type="dxa"/>
              <w:bottom w:w="46" w:type="dxa"/>
              <w:right w:w="91" w:type="dxa"/>
            </w:tcMar>
            <w:vAlign w:val="center"/>
            <w:hideMark/>
          </w:tcPr>
          <w:p w14:paraId="637A9532" w14:textId="77777777" w:rsidR="00D07161" w:rsidRPr="009864E6" w:rsidRDefault="00D07161" w:rsidP="001F0738">
            <w:pPr>
              <w:spacing w:before="0" w:line="240" w:lineRule="auto"/>
              <w:jc w:val="center"/>
              <w:rPr>
                <w:lang w:eastAsia="en-GB"/>
              </w:rPr>
            </w:pPr>
            <w:r>
              <w:rPr>
                <w:color w:val="000000"/>
                <w:kern w:val="24"/>
                <w:lang w:eastAsia="en-GB"/>
              </w:rPr>
              <w:t>309.99</w:t>
            </w:r>
          </w:p>
        </w:tc>
        <w:tc>
          <w:tcPr>
            <w:tcW w:w="692" w:type="dxa"/>
            <w:gridSpan w:val="2"/>
            <w:tcBorders>
              <w:top w:val="single" w:sz="8" w:space="0" w:color="auto"/>
            </w:tcBorders>
            <w:shd w:val="clear" w:color="auto" w:fill="auto"/>
            <w:tcMar>
              <w:top w:w="46" w:type="dxa"/>
              <w:left w:w="91" w:type="dxa"/>
              <w:bottom w:w="46" w:type="dxa"/>
              <w:right w:w="91" w:type="dxa"/>
            </w:tcMar>
            <w:vAlign w:val="center"/>
            <w:hideMark/>
          </w:tcPr>
          <w:p w14:paraId="70BA8C2F" w14:textId="77777777" w:rsidR="00D07161" w:rsidRPr="009864E6" w:rsidRDefault="00D07161" w:rsidP="001F0738">
            <w:pPr>
              <w:spacing w:before="0" w:line="240" w:lineRule="auto"/>
              <w:jc w:val="center"/>
              <w:rPr>
                <w:lang w:eastAsia="en-GB"/>
              </w:rPr>
            </w:pPr>
            <w:r>
              <w:rPr>
                <w:lang w:eastAsia="en-GB"/>
              </w:rPr>
              <w:t>***</w:t>
            </w:r>
          </w:p>
        </w:tc>
        <w:tc>
          <w:tcPr>
            <w:tcW w:w="202" w:type="dxa"/>
            <w:tcBorders>
              <w:top w:val="single" w:sz="8" w:space="0" w:color="auto"/>
            </w:tcBorders>
            <w:shd w:val="clear" w:color="auto" w:fill="auto"/>
            <w:tcMar>
              <w:top w:w="46" w:type="dxa"/>
              <w:left w:w="91" w:type="dxa"/>
              <w:bottom w:w="46" w:type="dxa"/>
              <w:right w:w="91" w:type="dxa"/>
            </w:tcMar>
            <w:vAlign w:val="center"/>
            <w:hideMark/>
          </w:tcPr>
          <w:p w14:paraId="3FA0CBEE" w14:textId="77777777" w:rsidR="00D07161" w:rsidRPr="009864E6" w:rsidRDefault="00D07161" w:rsidP="001F0738">
            <w:pPr>
              <w:spacing w:before="0" w:line="240" w:lineRule="auto"/>
              <w:rPr>
                <w:lang w:eastAsia="en-GB"/>
              </w:rPr>
            </w:pPr>
          </w:p>
        </w:tc>
        <w:tc>
          <w:tcPr>
            <w:tcW w:w="624" w:type="dxa"/>
            <w:tcBorders>
              <w:top w:val="single" w:sz="8" w:space="0" w:color="auto"/>
            </w:tcBorders>
            <w:shd w:val="clear" w:color="auto" w:fill="auto"/>
            <w:tcMar>
              <w:top w:w="46" w:type="dxa"/>
              <w:left w:w="91" w:type="dxa"/>
              <w:bottom w:w="46" w:type="dxa"/>
              <w:right w:w="91" w:type="dxa"/>
            </w:tcMar>
            <w:vAlign w:val="center"/>
            <w:hideMark/>
          </w:tcPr>
          <w:p w14:paraId="16BC2FD2" w14:textId="77777777" w:rsidR="00D07161" w:rsidRPr="009864E6" w:rsidRDefault="00D07161" w:rsidP="001F0738">
            <w:pPr>
              <w:spacing w:before="0" w:line="240" w:lineRule="auto"/>
              <w:jc w:val="center"/>
              <w:rPr>
                <w:lang w:eastAsia="en-GB"/>
              </w:rPr>
            </w:pPr>
            <w:r>
              <w:rPr>
                <w:color w:val="000000"/>
                <w:kern w:val="24"/>
                <w:lang w:eastAsia="en-GB"/>
              </w:rPr>
              <w:t>-.52</w:t>
            </w:r>
          </w:p>
        </w:tc>
        <w:tc>
          <w:tcPr>
            <w:tcW w:w="567" w:type="dxa"/>
            <w:tcBorders>
              <w:top w:val="single" w:sz="8" w:space="0" w:color="auto"/>
            </w:tcBorders>
            <w:shd w:val="clear" w:color="auto" w:fill="auto"/>
            <w:tcMar>
              <w:top w:w="46" w:type="dxa"/>
              <w:left w:w="91" w:type="dxa"/>
              <w:bottom w:w="46" w:type="dxa"/>
              <w:right w:w="91" w:type="dxa"/>
            </w:tcMar>
            <w:vAlign w:val="center"/>
            <w:hideMark/>
          </w:tcPr>
          <w:p w14:paraId="4C835445" w14:textId="77777777" w:rsidR="00D07161" w:rsidRPr="009864E6" w:rsidRDefault="00D07161" w:rsidP="001F0738">
            <w:pPr>
              <w:spacing w:before="0" w:line="240" w:lineRule="auto"/>
              <w:jc w:val="center"/>
              <w:rPr>
                <w:lang w:eastAsia="en-GB"/>
              </w:rPr>
            </w:pPr>
            <w:r w:rsidRPr="009864E6">
              <w:rPr>
                <w:color w:val="000000"/>
                <w:kern w:val="24"/>
                <w:lang w:eastAsia="en-GB"/>
              </w:rPr>
              <w:t>.09</w:t>
            </w:r>
          </w:p>
        </w:tc>
        <w:tc>
          <w:tcPr>
            <w:tcW w:w="708" w:type="dxa"/>
            <w:tcBorders>
              <w:top w:val="single" w:sz="8" w:space="0" w:color="auto"/>
            </w:tcBorders>
            <w:shd w:val="clear" w:color="auto" w:fill="auto"/>
            <w:tcMar>
              <w:top w:w="46" w:type="dxa"/>
              <w:left w:w="91" w:type="dxa"/>
              <w:bottom w:w="46" w:type="dxa"/>
              <w:right w:w="91" w:type="dxa"/>
            </w:tcMar>
            <w:vAlign w:val="center"/>
            <w:hideMark/>
          </w:tcPr>
          <w:p w14:paraId="6544B1C2" w14:textId="77777777" w:rsidR="00D07161" w:rsidRPr="009864E6" w:rsidRDefault="00D07161" w:rsidP="001F0738">
            <w:pPr>
              <w:spacing w:before="0" w:line="240" w:lineRule="auto"/>
              <w:jc w:val="center"/>
              <w:rPr>
                <w:lang w:eastAsia="en-GB"/>
              </w:rPr>
            </w:pPr>
            <w:r>
              <w:rPr>
                <w:color w:val="000000"/>
                <w:kern w:val="24"/>
                <w:lang w:eastAsia="en-GB"/>
              </w:rPr>
              <w:t>-5.74</w:t>
            </w:r>
          </w:p>
        </w:tc>
        <w:tc>
          <w:tcPr>
            <w:tcW w:w="734" w:type="dxa"/>
            <w:tcBorders>
              <w:top w:val="single" w:sz="8" w:space="0" w:color="auto"/>
            </w:tcBorders>
            <w:shd w:val="clear" w:color="auto" w:fill="auto"/>
            <w:tcMar>
              <w:top w:w="46" w:type="dxa"/>
              <w:left w:w="91" w:type="dxa"/>
              <w:bottom w:w="46" w:type="dxa"/>
              <w:right w:w="91" w:type="dxa"/>
            </w:tcMar>
            <w:vAlign w:val="center"/>
            <w:hideMark/>
          </w:tcPr>
          <w:p w14:paraId="17643F63" w14:textId="77777777" w:rsidR="00D07161" w:rsidRPr="009864E6" w:rsidRDefault="00D07161" w:rsidP="001F0738">
            <w:pPr>
              <w:spacing w:before="0" w:line="240" w:lineRule="auto"/>
              <w:jc w:val="center"/>
              <w:rPr>
                <w:lang w:eastAsia="en-GB"/>
              </w:rPr>
            </w:pPr>
            <w:r w:rsidRPr="009864E6">
              <w:rPr>
                <w:color w:val="000000"/>
                <w:kern w:val="24"/>
                <w:lang w:eastAsia="en-GB"/>
              </w:rPr>
              <w:t>***</w:t>
            </w:r>
          </w:p>
        </w:tc>
      </w:tr>
      <w:tr w:rsidR="00D07161" w:rsidRPr="009864E6" w14:paraId="4CD7B7BC" w14:textId="77777777" w:rsidTr="001F0738">
        <w:trPr>
          <w:trHeight w:val="195"/>
        </w:trPr>
        <w:tc>
          <w:tcPr>
            <w:tcW w:w="2410" w:type="dxa"/>
            <w:shd w:val="clear" w:color="auto" w:fill="auto"/>
            <w:tcMar>
              <w:top w:w="46" w:type="dxa"/>
              <w:left w:w="91" w:type="dxa"/>
              <w:bottom w:w="46" w:type="dxa"/>
              <w:right w:w="91" w:type="dxa"/>
            </w:tcMar>
            <w:vAlign w:val="center"/>
            <w:hideMark/>
          </w:tcPr>
          <w:p w14:paraId="6E8CDB9D" w14:textId="77777777" w:rsidR="00D07161" w:rsidRPr="009864E6" w:rsidRDefault="00D07161" w:rsidP="001F0738">
            <w:pPr>
              <w:spacing w:before="0" w:line="240" w:lineRule="auto"/>
              <w:rPr>
                <w:lang w:eastAsia="en-GB"/>
              </w:rPr>
            </w:pPr>
            <w:r w:rsidRPr="009864E6">
              <w:rPr>
                <w:color w:val="000000"/>
                <w:kern w:val="24"/>
                <w:lang w:eastAsia="en-GB"/>
              </w:rPr>
              <w:t>Group</w:t>
            </w:r>
          </w:p>
        </w:tc>
        <w:tc>
          <w:tcPr>
            <w:tcW w:w="1990" w:type="dxa"/>
            <w:shd w:val="clear" w:color="auto" w:fill="auto"/>
            <w:tcMar>
              <w:top w:w="46" w:type="dxa"/>
              <w:left w:w="91" w:type="dxa"/>
              <w:bottom w:w="46" w:type="dxa"/>
              <w:right w:w="91" w:type="dxa"/>
            </w:tcMar>
            <w:hideMark/>
          </w:tcPr>
          <w:p w14:paraId="2CD202C2" w14:textId="77777777" w:rsidR="00D07161" w:rsidRPr="009864E6" w:rsidRDefault="00D07161" w:rsidP="001F0738">
            <w:pPr>
              <w:spacing w:before="0" w:line="240" w:lineRule="auto"/>
              <w:rPr>
                <w:lang w:eastAsia="en-GB"/>
              </w:rPr>
            </w:pPr>
            <w:proofErr w:type="gramStart"/>
            <w:r>
              <w:rPr>
                <w:color w:val="000000"/>
                <w:kern w:val="24"/>
                <w:lang w:eastAsia="en-GB"/>
              </w:rPr>
              <w:t>adults</w:t>
            </w:r>
            <w:proofErr w:type="gramEnd"/>
            <w:r>
              <w:rPr>
                <w:color w:val="000000"/>
                <w:kern w:val="24"/>
                <w:lang w:eastAsia="en-GB"/>
              </w:rPr>
              <w:t xml:space="preserve"> vs</w:t>
            </w:r>
            <w:r w:rsidRPr="009864E6">
              <w:rPr>
                <w:color w:val="000000"/>
                <w:kern w:val="24"/>
                <w:lang w:eastAsia="en-GB"/>
              </w:rPr>
              <w:t xml:space="preserve"> children</w:t>
            </w:r>
          </w:p>
        </w:tc>
        <w:tc>
          <w:tcPr>
            <w:tcW w:w="653" w:type="dxa"/>
            <w:shd w:val="clear" w:color="auto" w:fill="auto"/>
            <w:tcMar>
              <w:top w:w="46" w:type="dxa"/>
              <w:left w:w="91" w:type="dxa"/>
              <w:bottom w:w="46" w:type="dxa"/>
              <w:right w:w="91" w:type="dxa"/>
            </w:tcMar>
            <w:vAlign w:val="center"/>
            <w:hideMark/>
          </w:tcPr>
          <w:p w14:paraId="0FC09589" w14:textId="77777777" w:rsidR="00D07161" w:rsidRPr="009864E6" w:rsidRDefault="00D07161" w:rsidP="001F0738">
            <w:pPr>
              <w:spacing w:before="0" w:line="240" w:lineRule="auto"/>
              <w:jc w:val="center"/>
              <w:rPr>
                <w:lang w:eastAsia="en-GB"/>
              </w:rPr>
            </w:pPr>
            <w:r>
              <w:rPr>
                <w:color w:val="000000"/>
                <w:kern w:val="24"/>
                <w:lang w:eastAsia="en-GB"/>
              </w:rPr>
              <w:t>-</w:t>
            </w:r>
            <w:r w:rsidRPr="009864E6">
              <w:rPr>
                <w:color w:val="000000"/>
                <w:kern w:val="24"/>
                <w:lang w:eastAsia="en-GB"/>
              </w:rPr>
              <w:t>.15</w:t>
            </w:r>
          </w:p>
        </w:tc>
        <w:tc>
          <w:tcPr>
            <w:tcW w:w="566" w:type="dxa"/>
            <w:shd w:val="clear" w:color="auto" w:fill="auto"/>
            <w:tcMar>
              <w:top w:w="46" w:type="dxa"/>
              <w:left w:w="91" w:type="dxa"/>
              <w:bottom w:w="46" w:type="dxa"/>
              <w:right w:w="91" w:type="dxa"/>
            </w:tcMar>
            <w:vAlign w:val="center"/>
            <w:hideMark/>
          </w:tcPr>
          <w:p w14:paraId="6A356010" w14:textId="77777777" w:rsidR="00D07161" w:rsidRPr="009864E6" w:rsidRDefault="00D07161" w:rsidP="001F0738">
            <w:pPr>
              <w:spacing w:before="0" w:line="240" w:lineRule="auto"/>
              <w:jc w:val="center"/>
              <w:rPr>
                <w:lang w:eastAsia="en-GB"/>
              </w:rPr>
            </w:pPr>
            <w:r w:rsidRPr="009864E6">
              <w:rPr>
                <w:color w:val="000000"/>
                <w:kern w:val="24"/>
                <w:lang w:eastAsia="en-GB"/>
              </w:rPr>
              <w:t>.04</w:t>
            </w:r>
          </w:p>
        </w:tc>
        <w:tc>
          <w:tcPr>
            <w:tcW w:w="793" w:type="dxa"/>
            <w:gridSpan w:val="2"/>
            <w:shd w:val="clear" w:color="auto" w:fill="auto"/>
            <w:tcMar>
              <w:top w:w="46" w:type="dxa"/>
              <w:left w:w="91" w:type="dxa"/>
              <w:bottom w:w="46" w:type="dxa"/>
              <w:right w:w="91" w:type="dxa"/>
            </w:tcMar>
            <w:vAlign w:val="center"/>
            <w:hideMark/>
          </w:tcPr>
          <w:p w14:paraId="1CB347F7" w14:textId="77777777" w:rsidR="00D07161" w:rsidRPr="009864E6" w:rsidRDefault="00D07161" w:rsidP="001F0738">
            <w:pPr>
              <w:spacing w:before="0" w:line="240" w:lineRule="auto"/>
              <w:jc w:val="center"/>
              <w:rPr>
                <w:lang w:eastAsia="en-GB"/>
              </w:rPr>
            </w:pPr>
            <w:r>
              <w:rPr>
                <w:color w:val="000000"/>
                <w:kern w:val="24"/>
                <w:lang w:eastAsia="en-GB"/>
              </w:rPr>
              <w:t>-</w:t>
            </w:r>
            <w:r w:rsidRPr="009864E6">
              <w:rPr>
                <w:color w:val="000000"/>
                <w:kern w:val="24"/>
                <w:lang w:eastAsia="en-GB"/>
              </w:rPr>
              <w:t>3.8</w:t>
            </w:r>
            <w:r>
              <w:rPr>
                <w:color w:val="000000"/>
                <w:kern w:val="24"/>
                <w:lang w:eastAsia="en-GB"/>
              </w:rPr>
              <w:t>7</w:t>
            </w:r>
          </w:p>
        </w:tc>
        <w:tc>
          <w:tcPr>
            <w:tcW w:w="686" w:type="dxa"/>
            <w:shd w:val="clear" w:color="auto" w:fill="auto"/>
            <w:tcMar>
              <w:top w:w="46" w:type="dxa"/>
              <w:left w:w="91" w:type="dxa"/>
              <w:bottom w:w="46" w:type="dxa"/>
              <w:right w:w="91" w:type="dxa"/>
            </w:tcMar>
            <w:vAlign w:val="center"/>
            <w:hideMark/>
          </w:tcPr>
          <w:p w14:paraId="24DC95C4" w14:textId="77777777" w:rsidR="00D07161" w:rsidRPr="009864E6" w:rsidRDefault="00D07161" w:rsidP="001F0738">
            <w:pPr>
              <w:spacing w:before="0" w:line="240" w:lineRule="auto"/>
              <w:jc w:val="center"/>
              <w:rPr>
                <w:lang w:eastAsia="en-GB"/>
              </w:rPr>
            </w:pPr>
            <w:r w:rsidRPr="009864E6">
              <w:rPr>
                <w:color w:val="000000"/>
                <w:kern w:val="24"/>
                <w:lang w:eastAsia="en-GB"/>
              </w:rPr>
              <w:t>***</w:t>
            </w:r>
          </w:p>
        </w:tc>
        <w:tc>
          <w:tcPr>
            <w:tcW w:w="202" w:type="dxa"/>
            <w:shd w:val="clear" w:color="auto" w:fill="auto"/>
            <w:tcMar>
              <w:top w:w="46" w:type="dxa"/>
              <w:left w:w="91" w:type="dxa"/>
              <w:bottom w:w="46" w:type="dxa"/>
              <w:right w:w="91" w:type="dxa"/>
            </w:tcMar>
            <w:vAlign w:val="center"/>
            <w:hideMark/>
          </w:tcPr>
          <w:p w14:paraId="3D6A3B2C" w14:textId="77777777" w:rsidR="00D07161" w:rsidRPr="009864E6" w:rsidRDefault="00D07161" w:rsidP="001F0738">
            <w:pPr>
              <w:spacing w:before="0" w:line="240" w:lineRule="auto"/>
              <w:rPr>
                <w:lang w:eastAsia="en-GB"/>
              </w:rPr>
            </w:pPr>
          </w:p>
        </w:tc>
        <w:tc>
          <w:tcPr>
            <w:tcW w:w="624" w:type="dxa"/>
            <w:shd w:val="clear" w:color="auto" w:fill="auto"/>
            <w:tcMar>
              <w:top w:w="46" w:type="dxa"/>
              <w:left w:w="91" w:type="dxa"/>
              <w:bottom w:w="46" w:type="dxa"/>
              <w:right w:w="91" w:type="dxa"/>
            </w:tcMar>
            <w:vAlign w:val="center"/>
            <w:hideMark/>
          </w:tcPr>
          <w:p w14:paraId="2F6CDEF4" w14:textId="77777777" w:rsidR="00D07161" w:rsidRPr="009864E6" w:rsidRDefault="00D07161" w:rsidP="001F0738">
            <w:pPr>
              <w:spacing w:before="0" w:line="240" w:lineRule="auto"/>
              <w:jc w:val="center"/>
              <w:rPr>
                <w:lang w:eastAsia="en-GB"/>
              </w:rPr>
            </w:pPr>
            <w:r>
              <w:rPr>
                <w:color w:val="000000"/>
                <w:kern w:val="24"/>
                <w:lang w:eastAsia="en-GB"/>
              </w:rPr>
              <w:t>-.56</w:t>
            </w:r>
          </w:p>
        </w:tc>
        <w:tc>
          <w:tcPr>
            <w:tcW w:w="567" w:type="dxa"/>
            <w:shd w:val="clear" w:color="auto" w:fill="auto"/>
            <w:tcMar>
              <w:top w:w="46" w:type="dxa"/>
              <w:left w:w="91" w:type="dxa"/>
              <w:bottom w:w="46" w:type="dxa"/>
              <w:right w:w="91" w:type="dxa"/>
            </w:tcMar>
            <w:vAlign w:val="center"/>
            <w:hideMark/>
          </w:tcPr>
          <w:p w14:paraId="7EB1F38E" w14:textId="77777777" w:rsidR="00D07161" w:rsidRPr="009864E6" w:rsidRDefault="00D07161" w:rsidP="001F0738">
            <w:pPr>
              <w:spacing w:before="0" w:line="240" w:lineRule="auto"/>
              <w:jc w:val="center"/>
              <w:rPr>
                <w:lang w:eastAsia="en-GB"/>
              </w:rPr>
            </w:pPr>
            <w:r>
              <w:rPr>
                <w:color w:val="000000"/>
                <w:kern w:val="24"/>
                <w:lang w:eastAsia="en-GB"/>
              </w:rPr>
              <w:t>.18</w:t>
            </w:r>
          </w:p>
        </w:tc>
        <w:tc>
          <w:tcPr>
            <w:tcW w:w="708" w:type="dxa"/>
            <w:shd w:val="clear" w:color="auto" w:fill="auto"/>
            <w:tcMar>
              <w:top w:w="46" w:type="dxa"/>
              <w:left w:w="91" w:type="dxa"/>
              <w:bottom w:w="46" w:type="dxa"/>
              <w:right w:w="91" w:type="dxa"/>
            </w:tcMar>
            <w:vAlign w:val="center"/>
            <w:hideMark/>
          </w:tcPr>
          <w:p w14:paraId="0BD98247" w14:textId="77777777" w:rsidR="00D07161" w:rsidRPr="009864E6" w:rsidRDefault="00D07161" w:rsidP="001F0738">
            <w:pPr>
              <w:spacing w:before="0" w:line="240" w:lineRule="auto"/>
              <w:jc w:val="center"/>
              <w:rPr>
                <w:lang w:eastAsia="en-GB"/>
              </w:rPr>
            </w:pPr>
            <w:r>
              <w:rPr>
                <w:color w:val="000000"/>
                <w:kern w:val="24"/>
                <w:lang w:eastAsia="en-GB"/>
              </w:rPr>
              <w:t>-</w:t>
            </w:r>
            <w:r w:rsidRPr="009864E6">
              <w:rPr>
                <w:color w:val="000000"/>
                <w:kern w:val="24"/>
                <w:lang w:eastAsia="en-GB"/>
              </w:rPr>
              <w:t>3</w:t>
            </w:r>
            <w:r>
              <w:rPr>
                <w:color w:val="000000"/>
                <w:kern w:val="24"/>
                <w:lang w:eastAsia="en-GB"/>
              </w:rPr>
              <w:t>.09</w:t>
            </w:r>
          </w:p>
        </w:tc>
        <w:tc>
          <w:tcPr>
            <w:tcW w:w="734" w:type="dxa"/>
            <w:shd w:val="clear" w:color="auto" w:fill="auto"/>
            <w:tcMar>
              <w:top w:w="46" w:type="dxa"/>
              <w:left w:w="91" w:type="dxa"/>
              <w:bottom w:w="46" w:type="dxa"/>
              <w:right w:w="91" w:type="dxa"/>
            </w:tcMar>
            <w:vAlign w:val="center"/>
            <w:hideMark/>
          </w:tcPr>
          <w:p w14:paraId="3267A2A7" w14:textId="77777777" w:rsidR="00D07161" w:rsidRPr="009864E6" w:rsidRDefault="00D07161" w:rsidP="001F0738">
            <w:pPr>
              <w:spacing w:before="0" w:line="240" w:lineRule="auto"/>
              <w:jc w:val="center"/>
              <w:rPr>
                <w:lang w:eastAsia="en-GB"/>
              </w:rPr>
            </w:pPr>
            <w:r w:rsidRPr="009864E6">
              <w:rPr>
                <w:color w:val="000000"/>
                <w:kern w:val="24"/>
                <w:lang w:eastAsia="en-GB"/>
              </w:rPr>
              <w:t>**</w:t>
            </w:r>
          </w:p>
        </w:tc>
      </w:tr>
      <w:tr w:rsidR="00D07161" w:rsidRPr="009864E6" w14:paraId="2CAB034C" w14:textId="77777777" w:rsidTr="001F0738">
        <w:trPr>
          <w:trHeight w:val="115"/>
        </w:trPr>
        <w:tc>
          <w:tcPr>
            <w:tcW w:w="2410" w:type="dxa"/>
            <w:shd w:val="clear" w:color="auto" w:fill="auto"/>
            <w:tcMar>
              <w:top w:w="46" w:type="dxa"/>
              <w:left w:w="91" w:type="dxa"/>
              <w:bottom w:w="46" w:type="dxa"/>
              <w:right w:w="91" w:type="dxa"/>
            </w:tcMar>
            <w:vAlign w:val="center"/>
            <w:hideMark/>
          </w:tcPr>
          <w:p w14:paraId="0AB083B0" w14:textId="77777777" w:rsidR="00D07161" w:rsidRPr="009864E6" w:rsidRDefault="00D07161" w:rsidP="001F0738">
            <w:pPr>
              <w:spacing w:before="0" w:line="240" w:lineRule="auto"/>
              <w:rPr>
                <w:lang w:eastAsia="en-GB"/>
              </w:rPr>
            </w:pPr>
            <w:r w:rsidRPr="009864E6">
              <w:rPr>
                <w:color w:val="000000"/>
                <w:kern w:val="24"/>
                <w:lang w:eastAsia="en-GB"/>
              </w:rPr>
              <w:t>Cue Condition</w:t>
            </w:r>
          </w:p>
        </w:tc>
        <w:tc>
          <w:tcPr>
            <w:tcW w:w="1990" w:type="dxa"/>
            <w:shd w:val="clear" w:color="auto" w:fill="auto"/>
            <w:tcMar>
              <w:top w:w="46" w:type="dxa"/>
              <w:left w:w="91" w:type="dxa"/>
              <w:bottom w:w="46" w:type="dxa"/>
              <w:right w:w="91" w:type="dxa"/>
            </w:tcMar>
            <w:hideMark/>
          </w:tcPr>
          <w:p w14:paraId="30B8A8FE" w14:textId="77777777" w:rsidR="00D07161" w:rsidRPr="009864E6" w:rsidRDefault="00D07161" w:rsidP="001F0738">
            <w:pPr>
              <w:spacing w:before="0" w:line="240" w:lineRule="auto"/>
              <w:rPr>
                <w:lang w:eastAsia="en-GB"/>
              </w:rPr>
            </w:pPr>
          </w:p>
        </w:tc>
        <w:tc>
          <w:tcPr>
            <w:tcW w:w="653" w:type="dxa"/>
            <w:shd w:val="clear" w:color="auto" w:fill="auto"/>
            <w:tcMar>
              <w:top w:w="46" w:type="dxa"/>
              <w:left w:w="91" w:type="dxa"/>
              <w:bottom w:w="46" w:type="dxa"/>
              <w:right w:w="91" w:type="dxa"/>
            </w:tcMar>
            <w:vAlign w:val="center"/>
            <w:hideMark/>
          </w:tcPr>
          <w:p w14:paraId="3737D8A3" w14:textId="77777777" w:rsidR="00D07161" w:rsidRPr="009864E6" w:rsidRDefault="00D07161" w:rsidP="001F0738">
            <w:pPr>
              <w:spacing w:before="0" w:line="240" w:lineRule="auto"/>
              <w:rPr>
                <w:lang w:eastAsia="en-GB"/>
              </w:rPr>
            </w:pPr>
          </w:p>
        </w:tc>
        <w:tc>
          <w:tcPr>
            <w:tcW w:w="566" w:type="dxa"/>
            <w:shd w:val="clear" w:color="auto" w:fill="auto"/>
            <w:tcMar>
              <w:top w:w="46" w:type="dxa"/>
              <w:left w:w="91" w:type="dxa"/>
              <w:bottom w:w="46" w:type="dxa"/>
              <w:right w:w="91" w:type="dxa"/>
            </w:tcMar>
            <w:vAlign w:val="center"/>
            <w:hideMark/>
          </w:tcPr>
          <w:p w14:paraId="747EC02D" w14:textId="77777777" w:rsidR="00D07161" w:rsidRPr="009864E6" w:rsidRDefault="00D07161" w:rsidP="001F0738">
            <w:pPr>
              <w:spacing w:before="0" w:line="240" w:lineRule="auto"/>
              <w:rPr>
                <w:lang w:eastAsia="en-GB"/>
              </w:rPr>
            </w:pPr>
          </w:p>
        </w:tc>
        <w:tc>
          <w:tcPr>
            <w:tcW w:w="793" w:type="dxa"/>
            <w:gridSpan w:val="2"/>
            <w:shd w:val="clear" w:color="auto" w:fill="auto"/>
            <w:tcMar>
              <w:top w:w="46" w:type="dxa"/>
              <w:left w:w="91" w:type="dxa"/>
              <w:bottom w:w="46" w:type="dxa"/>
              <w:right w:w="91" w:type="dxa"/>
            </w:tcMar>
            <w:vAlign w:val="center"/>
            <w:hideMark/>
          </w:tcPr>
          <w:p w14:paraId="3D9F6BD2" w14:textId="77777777" w:rsidR="00D07161" w:rsidRPr="009864E6" w:rsidRDefault="00D07161" w:rsidP="001F0738">
            <w:pPr>
              <w:spacing w:before="0" w:line="240" w:lineRule="auto"/>
              <w:rPr>
                <w:lang w:eastAsia="en-GB"/>
              </w:rPr>
            </w:pPr>
          </w:p>
        </w:tc>
        <w:tc>
          <w:tcPr>
            <w:tcW w:w="686" w:type="dxa"/>
            <w:shd w:val="clear" w:color="auto" w:fill="auto"/>
            <w:tcMar>
              <w:top w:w="46" w:type="dxa"/>
              <w:left w:w="91" w:type="dxa"/>
              <w:bottom w:w="46" w:type="dxa"/>
              <w:right w:w="91" w:type="dxa"/>
            </w:tcMar>
            <w:vAlign w:val="center"/>
            <w:hideMark/>
          </w:tcPr>
          <w:p w14:paraId="27F8194D" w14:textId="77777777" w:rsidR="00D07161" w:rsidRPr="009864E6" w:rsidRDefault="00D07161" w:rsidP="001F0738">
            <w:pPr>
              <w:spacing w:before="0" w:line="240" w:lineRule="auto"/>
              <w:rPr>
                <w:lang w:eastAsia="en-GB"/>
              </w:rPr>
            </w:pPr>
          </w:p>
        </w:tc>
        <w:tc>
          <w:tcPr>
            <w:tcW w:w="202" w:type="dxa"/>
            <w:shd w:val="clear" w:color="auto" w:fill="auto"/>
            <w:tcMar>
              <w:top w:w="46" w:type="dxa"/>
              <w:left w:w="91" w:type="dxa"/>
              <w:bottom w:w="46" w:type="dxa"/>
              <w:right w:w="91" w:type="dxa"/>
            </w:tcMar>
            <w:vAlign w:val="center"/>
            <w:hideMark/>
          </w:tcPr>
          <w:p w14:paraId="73EF79C8" w14:textId="77777777" w:rsidR="00D07161" w:rsidRPr="009864E6" w:rsidRDefault="00D07161" w:rsidP="001F0738">
            <w:pPr>
              <w:spacing w:before="0" w:line="240" w:lineRule="auto"/>
              <w:rPr>
                <w:lang w:eastAsia="en-GB"/>
              </w:rPr>
            </w:pPr>
          </w:p>
        </w:tc>
        <w:tc>
          <w:tcPr>
            <w:tcW w:w="624" w:type="dxa"/>
            <w:shd w:val="clear" w:color="auto" w:fill="auto"/>
            <w:tcMar>
              <w:top w:w="46" w:type="dxa"/>
              <w:left w:w="91" w:type="dxa"/>
              <w:bottom w:w="46" w:type="dxa"/>
              <w:right w:w="91" w:type="dxa"/>
            </w:tcMar>
            <w:vAlign w:val="center"/>
            <w:hideMark/>
          </w:tcPr>
          <w:p w14:paraId="451FF38E" w14:textId="77777777" w:rsidR="00D07161" w:rsidRPr="009864E6" w:rsidRDefault="00D07161" w:rsidP="001F0738">
            <w:pPr>
              <w:spacing w:before="0" w:line="240" w:lineRule="auto"/>
              <w:rPr>
                <w:lang w:eastAsia="en-GB"/>
              </w:rPr>
            </w:pPr>
          </w:p>
        </w:tc>
        <w:tc>
          <w:tcPr>
            <w:tcW w:w="567" w:type="dxa"/>
            <w:shd w:val="clear" w:color="auto" w:fill="auto"/>
            <w:tcMar>
              <w:top w:w="46" w:type="dxa"/>
              <w:left w:w="91" w:type="dxa"/>
              <w:bottom w:w="46" w:type="dxa"/>
              <w:right w:w="91" w:type="dxa"/>
            </w:tcMar>
            <w:vAlign w:val="center"/>
            <w:hideMark/>
          </w:tcPr>
          <w:p w14:paraId="75CF58D6" w14:textId="77777777" w:rsidR="00D07161" w:rsidRPr="009864E6" w:rsidRDefault="00D07161" w:rsidP="001F0738">
            <w:pPr>
              <w:spacing w:before="0" w:line="240" w:lineRule="auto"/>
              <w:rPr>
                <w:lang w:eastAsia="en-GB"/>
              </w:rPr>
            </w:pPr>
          </w:p>
        </w:tc>
        <w:tc>
          <w:tcPr>
            <w:tcW w:w="708" w:type="dxa"/>
            <w:shd w:val="clear" w:color="auto" w:fill="auto"/>
            <w:tcMar>
              <w:top w:w="46" w:type="dxa"/>
              <w:left w:w="91" w:type="dxa"/>
              <w:bottom w:w="46" w:type="dxa"/>
              <w:right w:w="91" w:type="dxa"/>
            </w:tcMar>
            <w:vAlign w:val="center"/>
            <w:hideMark/>
          </w:tcPr>
          <w:p w14:paraId="2E900A2C" w14:textId="77777777" w:rsidR="00D07161" w:rsidRPr="009864E6" w:rsidRDefault="00D07161" w:rsidP="001F0738">
            <w:pPr>
              <w:spacing w:before="0" w:line="240" w:lineRule="auto"/>
              <w:rPr>
                <w:lang w:eastAsia="en-GB"/>
              </w:rPr>
            </w:pPr>
          </w:p>
        </w:tc>
        <w:tc>
          <w:tcPr>
            <w:tcW w:w="734" w:type="dxa"/>
            <w:shd w:val="clear" w:color="auto" w:fill="auto"/>
            <w:tcMar>
              <w:top w:w="46" w:type="dxa"/>
              <w:left w:w="91" w:type="dxa"/>
              <w:bottom w:w="46" w:type="dxa"/>
              <w:right w:w="91" w:type="dxa"/>
            </w:tcMar>
            <w:vAlign w:val="center"/>
            <w:hideMark/>
          </w:tcPr>
          <w:p w14:paraId="66E2FA59" w14:textId="77777777" w:rsidR="00D07161" w:rsidRPr="009864E6" w:rsidRDefault="00D07161" w:rsidP="001F0738">
            <w:pPr>
              <w:spacing w:before="0" w:line="240" w:lineRule="auto"/>
              <w:rPr>
                <w:lang w:eastAsia="en-GB"/>
              </w:rPr>
            </w:pPr>
          </w:p>
        </w:tc>
      </w:tr>
      <w:tr w:rsidR="00D07161" w:rsidRPr="006E4400" w14:paraId="63AC77A7" w14:textId="77777777" w:rsidTr="001F0738">
        <w:trPr>
          <w:trHeight w:val="178"/>
        </w:trPr>
        <w:tc>
          <w:tcPr>
            <w:tcW w:w="2410" w:type="dxa"/>
            <w:vMerge w:val="restart"/>
            <w:shd w:val="clear" w:color="auto" w:fill="auto"/>
            <w:tcMar>
              <w:top w:w="46" w:type="dxa"/>
              <w:left w:w="91" w:type="dxa"/>
              <w:bottom w:w="46" w:type="dxa"/>
              <w:right w:w="91" w:type="dxa"/>
            </w:tcMar>
            <w:vAlign w:val="center"/>
            <w:hideMark/>
          </w:tcPr>
          <w:p w14:paraId="37AA41B8" w14:textId="77777777" w:rsidR="00D07161" w:rsidRPr="009864E6" w:rsidRDefault="00D07161" w:rsidP="001F0738">
            <w:pPr>
              <w:spacing w:before="0" w:line="240" w:lineRule="auto"/>
              <w:rPr>
                <w:lang w:eastAsia="en-GB"/>
              </w:rPr>
            </w:pPr>
          </w:p>
        </w:tc>
        <w:tc>
          <w:tcPr>
            <w:tcW w:w="1990" w:type="dxa"/>
            <w:shd w:val="clear" w:color="auto" w:fill="auto"/>
            <w:tcMar>
              <w:top w:w="46" w:type="dxa"/>
              <w:left w:w="91" w:type="dxa"/>
              <w:bottom w:w="46" w:type="dxa"/>
              <w:right w:w="91" w:type="dxa"/>
            </w:tcMar>
            <w:hideMark/>
          </w:tcPr>
          <w:p w14:paraId="19A7F1C9" w14:textId="77777777" w:rsidR="00D07161" w:rsidRPr="006E4400" w:rsidRDefault="00D07161" w:rsidP="001F0738">
            <w:pPr>
              <w:spacing w:before="0" w:line="240" w:lineRule="auto"/>
              <w:rPr>
                <w:lang w:eastAsia="en-GB"/>
              </w:rPr>
            </w:pPr>
            <w:r w:rsidRPr="006E4400">
              <w:rPr>
                <w:color w:val="000000"/>
                <w:kern w:val="24"/>
                <w:lang w:eastAsia="en-GB"/>
              </w:rPr>
              <w:t>angry</w:t>
            </w:r>
            <w:r>
              <w:rPr>
                <w:color w:val="000000"/>
                <w:kern w:val="24"/>
                <w:lang w:eastAsia="en-GB"/>
              </w:rPr>
              <w:t xml:space="preserve"> vs </w:t>
            </w:r>
            <w:r w:rsidRPr="006E4400">
              <w:rPr>
                <w:color w:val="000000"/>
                <w:kern w:val="24"/>
                <w:lang w:eastAsia="en-GB"/>
              </w:rPr>
              <w:t>happy</w:t>
            </w:r>
          </w:p>
        </w:tc>
        <w:tc>
          <w:tcPr>
            <w:tcW w:w="653" w:type="dxa"/>
            <w:shd w:val="clear" w:color="auto" w:fill="auto"/>
            <w:tcMar>
              <w:top w:w="46" w:type="dxa"/>
              <w:left w:w="91" w:type="dxa"/>
              <w:bottom w:w="46" w:type="dxa"/>
              <w:right w:w="91" w:type="dxa"/>
            </w:tcMar>
            <w:hideMark/>
          </w:tcPr>
          <w:p w14:paraId="5AF35980" w14:textId="77777777" w:rsidR="00D07161" w:rsidRPr="006E4400" w:rsidRDefault="00D07161" w:rsidP="001F0738">
            <w:pPr>
              <w:spacing w:before="0" w:line="240" w:lineRule="auto"/>
              <w:jc w:val="center"/>
              <w:rPr>
                <w:lang w:eastAsia="en-GB"/>
              </w:rPr>
            </w:pPr>
            <w:r w:rsidRPr="006E4400">
              <w:rPr>
                <w:color w:val="000000"/>
                <w:kern w:val="24"/>
                <w:lang w:eastAsia="en-GB"/>
              </w:rPr>
              <w:t>.03</w:t>
            </w:r>
          </w:p>
        </w:tc>
        <w:tc>
          <w:tcPr>
            <w:tcW w:w="566" w:type="dxa"/>
            <w:shd w:val="clear" w:color="auto" w:fill="auto"/>
            <w:tcMar>
              <w:top w:w="46" w:type="dxa"/>
              <w:left w:w="91" w:type="dxa"/>
              <w:bottom w:w="46" w:type="dxa"/>
              <w:right w:w="91" w:type="dxa"/>
            </w:tcMar>
            <w:hideMark/>
          </w:tcPr>
          <w:p w14:paraId="44BD6728" w14:textId="77777777" w:rsidR="00D07161" w:rsidRPr="006E4400" w:rsidRDefault="00D07161" w:rsidP="001F0738">
            <w:pPr>
              <w:spacing w:before="0" w:line="240" w:lineRule="auto"/>
              <w:jc w:val="center"/>
              <w:rPr>
                <w:lang w:eastAsia="en-GB"/>
              </w:rPr>
            </w:pPr>
            <w:r w:rsidRPr="006E4400">
              <w:rPr>
                <w:color w:val="000000"/>
                <w:kern w:val="24"/>
                <w:lang w:eastAsia="en-GB"/>
              </w:rPr>
              <w:t>.01</w:t>
            </w:r>
          </w:p>
        </w:tc>
        <w:tc>
          <w:tcPr>
            <w:tcW w:w="793" w:type="dxa"/>
            <w:gridSpan w:val="2"/>
            <w:shd w:val="clear" w:color="auto" w:fill="auto"/>
            <w:tcMar>
              <w:top w:w="46" w:type="dxa"/>
              <w:left w:w="91" w:type="dxa"/>
              <w:bottom w:w="46" w:type="dxa"/>
              <w:right w:w="91" w:type="dxa"/>
            </w:tcMar>
            <w:hideMark/>
          </w:tcPr>
          <w:p w14:paraId="312B3356" w14:textId="77777777" w:rsidR="00D07161" w:rsidRPr="006E4400" w:rsidRDefault="00D07161" w:rsidP="001F0738">
            <w:pPr>
              <w:spacing w:before="0" w:line="240" w:lineRule="auto"/>
              <w:jc w:val="center"/>
              <w:rPr>
                <w:lang w:eastAsia="en-GB"/>
              </w:rPr>
            </w:pPr>
            <w:r>
              <w:rPr>
                <w:color w:val="000000"/>
                <w:kern w:val="24"/>
                <w:lang w:eastAsia="en-GB"/>
              </w:rPr>
              <w:t>2.79</w:t>
            </w:r>
          </w:p>
        </w:tc>
        <w:tc>
          <w:tcPr>
            <w:tcW w:w="686" w:type="dxa"/>
            <w:shd w:val="clear" w:color="auto" w:fill="auto"/>
            <w:tcMar>
              <w:top w:w="46" w:type="dxa"/>
              <w:left w:w="91" w:type="dxa"/>
              <w:bottom w:w="46" w:type="dxa"/>
              <w:right w:w="91" w:type="dxa"/>
            </w:tcMar>
            <w:hideMark/>
          </w:tcPr>
          <w:p w14:paraId="615D40DC" w14:textId="77777777" w:rsidR="00D07161" w:rsidRPr="006E4400" w:rsidRDefault="00D07161" w:rsidP="001F0738">
            <w:pPr>
              <w:spacing w:before="0" w:line="240" w:lineRule="auto"/>
              <w:jc w:val="center"/>
              <w:rPr>
                <w:lang w:eastAsia="en-GB"/>
              </w:rPr>
            </w:pPr>
            <w:r w:rsidRPr="006E4400">
              <w:rPr>
                <w:color w:val="000000"/>
                <w:kern w:val="24"/>
                <w:lang w:eastAsia="en-GB"/>
              </w:rPr>
              <w:t>**</w:t>
            </w:r>
          </w:p>
        </w:tc>
        <w:tc>
          <w:tcPr>
            <w:tcW w:w="202" w:type="dxa"/>
            <w:shd w:val="clear" w:color="auto" w:fill="auto"/>
            <w:tcMar>
              <w:top w:w="46" w:type="dxa"/>
              <w:left w:w="91" w:type="dxa"/>
              <w:bottom w:w="46" w:type="dxa"/>
              <w:right w:w="91" w:type="dxa"/>
            </w:tcMar>
            <w:hideMark/>
          </w:tcPr>
          <w:p w14:paraId="518E10DC" w14:textId="77777777" w:rsidR="00D07161" w:rsidRPr="006E4400" w:rsidRDefault="00D07161" w:rsidP="001F0738">
            <w:pPr>
              <w:spacing w:before="0" w:line="240" w:lineRule="auto"/>
              <w:jc w:val="center"/>
              <w:rPr>
                <w:lang w:eastAsia="en-GB"/>
              </w:rPr>
            </w:pPr>
          </w:p>
        </w:tc>
        <w:tc>
          <w:tcPr>
            <w:tcW w:w="624" w:type="dxa"/>
            <w:shd w:val="clear" w:color="auto" w:fill="auto"/>
            <w:tcMar>
              <w:top w:w="46" w:type="dxa"/>
              <w:left w:w="91" w:type="dxa"/>
              <w:bottom w:w="46" w:type="dxa"/>
              <w:right w:w="91" w:type="dxa"/>
            </w:tcMar>
            <w:hideMark/>
          </w:tcPr>
          <w:p w14:paraId="5229B910" w14:textId="77777777" w:rsidR="00D07161" w:rsidRPr="006E4400" w:rsidRDefault="00D07161" w:rsidP="001F0738">
            <w:pPr>
              <w:spacing w:before="0" w:line="240" w:lineRule="auto"/>
              <w:jc w:val="center"/>
              <w:rPr>
                <w:lang w:eastAsia="en-GB"/>
              </w:rPr>
            </w:pPr>
            <w:r w:rsidRPr="006E4400">
              <w:rPr>
                <w:color w:val="000000"/>
                <w:kern w:val="24"/>
                <w:lang w:eastAsia="en-GB"/>
              </w:rPr>
              <w:t>-.19</w:t>
            </w:r>
          </w:p>
        </w:tc>
        <w:tc>
          <w:tcPr>
            <w:tcW w:w="567" w:type="dxa"/>
            <w:shd w:val="clear" w:color="auto" w:fill="auto"/>
            <w:tcMar>
              <w:top w:w="46" w:type="dxa"/>
              <w:left w:w="91" w:type="dxa"/>
              <w:bottom w:w="46" w:type="dxa"/>
              <w:right w:w="91" w:type="dxa"/>
            </w:tcMar>
            <w:hideMark/>
          </w:tcPr>
          <w:p w14:paraId="25AD7F4B" w14:textId="77777777" w:rsidR="00D07161" w:rsidRPr="006E4400" w:rsidRDefault="00D07161" w:rsidP="001F0738">
            <w:pPr>
              <w:spacing w:before="0" w:line="240" w:lineRule="auto"/>
              <w:jc w:val="center"/>
              <w:rPr>
                <w:lang w:eastAsia="en-GB"/>
              </w:rPr>
            </w:pPr>
            <w:r w:rsidRPr="006E4400">
              <w:rPr>
                <w:color w:val="000000"/>
                <w:kern w:val="24"/>
                <w:lang w:eastAsia="en-GB"/>
              </w:rPr>
              <w:t>.11</w:t>
            </w:r>
          </w:p>
        </w:tc>
        <w:tc>
          <w:tcPr>
            <w:tcW w:w="708" w:type="dxa"/>
            <w:shd w:val="clear" w:color="auto" w:fill="auto"/>
            <w:tcMar>
              <w:top w:w="46" w:type="dxa"/>
              <w:left w:w="91" w:type="dxa"/>
              <w:bottom w:w="46" w:type="dxa"/>
              <w:right w:w="91" w:type="dxa"/>
            </w:tcMar>
            <w:hideMark/>
          </w:tcPr>
          <w:p w14:paraId="0BF929FB" w14:textId="77777777" w:rsidR="00D07161" w:rsidRPr="006E4400" w:rsidRDefault="00D07161" w:rsidP="001F0738">
            <w:pPr>
              <w:spacing w:before="0" w:line="240" w:lineRule="auto"/>
              <w:jc w:val="center"/>
              <w:rPr>
                <w:lang w:eastAsia="en-GB"/>
              </w:rPr>
            </w:pPr>
            <w:r w:rsidRPr="006E4400">
              <w:rPr>
                <w:color w:val="000000"/>
                <w:kern w:val="24"/>
                <w:lang w:eastAsia="en-GB"/>
              </w:rPr>
              <w:t>-1.73</w:t>
            </w:r>
          </w:p>
        </w:tc>
        <w:tc>
          <w:tcPr>
            <w:tcW w:w="734" w:type="dxa"/>
            <w:shd w:val="clear" w:color="auto" w:fill="auto"/>
            <w:tcMar>
              <w:top w:w="46" w:type="dxa"/>
              <w:left w:w="91" w:type="dxa"/>
              <w:bottom w:w="46" w:type="dxa"/>
              <w:right w:w="91" w:type="dxa"/>
            </w:tcMar>
            <w:hideMark/>
          </w:tcPr>
          <w:p w14:paraId="70CC2B77" w14:textId="77777777" w:rsidR="00D07161" w:rsidRPr="006E4400" w:rsidRDefault="00D07161" w:rsidP="001F0738">
            <w:pPr>
              <w:spacing w:before="0" w:line="240" w:lineRule="auto"/>
              <w:jc w:val="center"/>
              <w:rPr>
                <w:lang w:eastAsia="en-GB"/>
              </w:rPr>
            </w:pPr>
            <w:r w:rsidRPr="006E4400">
              <w:rPr>
                <w:b/>
                <w:bCs/>
                <w:color w:val="000000"/>
                <w:kern w:val="24"/>
                <w:lang w:eastAsia="en-GB"/>
              </w:rPr>
              <w:t>.</w:t>
            </w:r>
          </w:p>
        </w:tc>
      </w:tr>
      <w:tr w:rsidR="00D07161" w:rsidRPr="006E4400" w14:paraId="07580EA9" w14:textId="77777777" w:rsidTr="001F0738">
        <w:trPr>
          <w:trHeight w:val="97"/>
        </w:trPr>
        <w:tc>
          <w:tcPr>
            <w:tcW w:w="2410" w:type="dxa"/>
            <w:vMerge/>
            <w:vAlign w:val="center"/>
            <w:hideMark/>
          </w:tcPr>
          <w:p w14:paraId="6A773295" w14:textId="77777777" w:rsidR="00D07161" w:rsidRPr="009864E6" w:rsidRDefault="00D07161" w:rsidP="001F0738">
            <w:pPr>
              <w:spacing w:before="0" w:line="240" w:lineRule="auto"/>
              <w:rPr>
                <w:lang w:eastAsia="en-GB"/>
              </w:rPr>
            </w:pPr>
          </w:p>
        </w:tc>
        <w:tc>
          <w:tcPr>
            <w:tcW w:w="1990" w:type="dxa"/>
            <w:shd w:val="clear" w:color="auto" w:fill="auto"/>
            <w:tcMar>
              <w:top w:w="46" w:type="dxa"/>
              <w:left w:w="91" w:type="dxa"/>
              <w:bottom w:w="46" w:type="dxa"/>
              <w:right w:w="91" w:type="dxa"/>
            </w:tcMar>
            <w:hideMark/>
          </w:tcPr>
          <w:p w14:paraId="79DC7410" w14:textId="77777777" w:rsidR="00D07161" w:rsidRPr="006E4400" w:rsidRDefault="00D07161" w:rsidP="001F0738">
            <w:pPr>
              <w:spacing w:before="0" w:line="240" w:lineRule="auto"/>
              <w:rPr>
                <w:lang w:eastAsia="en-GB"/>
              </w:rPr>
            </w:pPr>
            <w:r>
              <w:rPr>
                <w:color w:val="000000"/>
                <w:kern w:val="24"/>
                <w:lang w:eastAsia="en-GB"/>
              </w:rPr>
              <w:t>happy vs non-face</w:t>
            </w:r>
          </w:p>
        </w:tc>
        <w:tc>
          <w:tcPr>
            <w:tcW w:w="653" w:type="dxa"/>
            <w:shd w:val="clear" w:color="auto" w:fill="auto"/>
            <w:tcMar>
              <w:top w:w="46" w:type="dxa"/>
              <w:left w:w="91" w:type="dxa"/>
              <w:bottom w:w="46" w:type="dxa"/>
              <w:right w:w="91" w:type="dxa"/>
            </w:tcMar>
            <w:hideMark/>
          </w:tcPr>
          <w:p w14:paraId="195D8645" w14:textId="77777777" w:rsidR="00D07161" w:rsidRPr="006E4400" w:rsidRDefault="00D07161" w:rsidP="001F0738">
            <w:pPr>
              <w:spacing w:before="0" w:line="240" w:lineRule="auto"/>
              <w:jc w:val="center"/>
              <w:rPr>
                <w:lang w:eastAsia="en-GB"/>
              </w:rPr>
            </w:pPr>
            <w:r w:rsidRPr="006E4400">
              <w:rPr>
                <w:color w:val="000000"/>
                <w:kern w:val="24"/>
                <w:lang w:eastAsia="en-GB"/>
              </w:rPr>
              <w:t>.24</w:t>
            </w:r>
          </w:p>
        </w:tc>
        <w:tc>
          <w:tcPr>
            <w:tcW w:w="566" w:type="dxa"/>
            <w:shd w:val="clear" w:color="auto" w:fill="auto"/>
            <w:tcMar>
              <w:top w:w="46" w:type="dxa"/>
              <w:left w:w="91" w:type="dxa"/>
              <w:bottom w:w="46" w:type="dxa"/>
              <w:right w:w="91" w:type="dxa"/>
            </w:tcMar>
            <w:hideMark/>
          </w:tcPr>
          <w:p w14:paraId="33F4D3AB" w14:textId="77777777" w:rsidR="00D07161" w:rsidRPr="006E4400" w:rsidRDefault="00D07161" w:rsidP="001F0738">
            <w:pPr>
              <w:spacing w:before="0" w:line="240" w:lineRule="auto"/>
              <w:jc w:val="center"/>
              <w:rPr>
                <w:lang w:eastAsia="en-GB"/>
              </w:rPr>
            </w:pPr>
            <w:r w:rsidRPr="006E4400">
              <w:rPr>
                <w:color w:val="000000"/>
                <w:kern w:val="24"/>
                <w:lang w:eastAsia="en-GB"/>
              </w:rPr>
              <w:t>.01</w:t>
            </w:r>
          </w:p>
        </w:tc>
        <w:tc>
          <w:tcPr>
            <w:tcW w:w="793" w:type="dxa"/>
            <w:gridSpan w:val="2"/>
            <w:shd w:val="clear" w:color="auto" w:fill="auto"/>
            <w:tcMar>
              <w:top w:w="46" w:type="dxa"/>
              <w:left w:w="91" w:type="dxa"/>
              <w:bottom w:w="46" w:type="dxa"/>
              <w:right w:w="91" w:type="dxa"/>
            </w:tcMar>
            <w:hideMark/>
          </w:tcPr>
          <w:p w14:paraId="52690F5A" w14:textId="77777777" w:rsidR="00D07161" w:rsidRPr="006E4400" w:rsidRDefault="00D07161" w:rsidP="001F0738">
            <w:pPr>
              <w:spacing w:before="0" w:line="240" w:lineRule="auto"/>
              <w:jc w:val="center"/>
              <w:rPr>
                <w:lang w:eastAsia="en-GB"/>
              </w:rPr>
            </w:pPr>
            <w:r w:rsidRPr="006E4400">
              <w:rPr>
                <w:color w:val="000000"/>
                <w:kern w:val="24"/>
                <w:lang w:eastAsia="en-GB"/>
              </w:rPr>
              <w:t>18.</w:t>
            </w:r>
            <w:r>
              <w:rPr>
                <w:color w:val="000000"/>
                <w:kern w:val="24"/>
                <w:lang w:eastAsia="en-GB"/>
              </w:rPr>
              <w:t>50</w:t>
            </w:r>
          </w:p>
        </w:tc>
        <w:tc>
          <w:tcPr>
            <w:tcW w:w="686" w:type="dxa"/>
            <w:shd w:val="clear" w:color="auto" w:fill="auto"/>
            <w:tcMar>
              <w:top w:w="46" w:type="dxa"/>
              <w:left w:w="91" w:type="dxa"/>
              <w:bottom w:w="46" w:type="dxa"/>
              <w:right w:w="91" w:type="dxa"/>
            </w:tcMar>
            <w:hideMark/>
          </w:tcPr>
          <w:p w14:paraId="237ECD6F" w14:textId="77777777" w:rsidR="00D07161" w:rsidRPr="006E4400" w:rsidRDefault="00D07161" w:rsidP="001F0738">
            <w:pPr>
              <w:spacing w:before="0" w:line="240" w:lineRule="auto"/>
              <w:jc w:val="center"/>
              <w:rPr>
                <w:lang w:eastAsia="en-GB"/>
              </w:rPr>
            </w:pPr>
            <w:r w:rsidRPr="006E4400">
              <w:rPr>
                <w:color w:val="000000"/>
                <w:kern w:val="24"/>
                <w:lang w:eastAsia="en-GB"/>
              </w:rPr>
              <w:t>***</w:t>
            </w:r>
          </w:p>
        </w:tc>
        <w:tc>
          <w:tcPr>
            <w:tcW w:w="202" w:type="dxa"/>
            <w:shd w:val="clear" w:color="auto" w:fill="auto"/>
            <w:tcMar>
              <w:top w:w="46" w:type="dxa"/>
              <w:left w:w="91" w:type="dxa"/>
              <w:bottom w:w="46" w:type="dxa"/>
              <w:right w:w="91" w:type="dxa"/>
            </w:tcMar>
            <w:hideMark/>
          </w:tcPr>
          <w:p w14:paraId="529BD7B7" w14:textId="77777777" w:rsidR="00D07161" w:rsidRPr="006E4400" w:rsidRDefault="00D07161" w:rsidP="001F0738">
            <w:pPr>
              <w:spacing w:before="0" w:line="240" w:lineRule="auto"/>
              <w:jc w:val="center"/>
              <w:rPr>
                <w:lang w:eastAsia="en-GB"/>
              </w:rPr>
            </w:pPr>
          </w:p>
        </w:tc>
        <w:tc>
          <w:tcPr>
            <w:tcW w:w="624" w:type="dxa"/>
            <w:shd w:val="clear" w:color="auto" w:fill="auto"/>
            <w:tcMar>
              <w:top w:w="46" w:type="dxa"/>
              <w:left w:w="91" w:type="dxa"/>
              <w:bottom w:w="46" w:type="dxa"/>
              <w:right w:w="91" w:type="dxa"/>
            </w:tcMar>
            <w:hideMark/>
          </w:tcPr>
          <w:p w14:paraId="3FAF70C1" w14:textId="77777777" w:rsidR="00D07161" w:rsidRPr="006E4400" w:rsidRDefault="00D07161" w:rsidP="001F0738">
            <w:pPr>
              <w:spacing w:before="0" w:line="240" w:lineRule="auto"/>
              <w:jc w:val="center"/>
              <w:rPr>
                <w:lang w:eastAsia="en-GB"/>
              </w:rPr>
            </w:pPr>
            <w:r w:rsidRPr="006E4400">
              <w:rPr>
                <w:color w:val="000000"/>
                <w:kern w:val="24"/>
                <w:lang w:eastAsia="en-GB"/>
              </w:rPr>
              <w:t>-.50</w:t>
            </w:r>
          </w:p>
        </w:tc>
        <w:tc>
          <w:tcPr>
            <w:tcW w:w="567" w:type="dxa"/>
            <w:shd w:val="clear" w:color="auto" w:fill="auto"/>
            <w:tcMar>
              <w:top w:w="46" w:type="dxa"/>
              <w:left w:w="91" w:type="dxa"/>
              <w:bottom w:w="46" w:type="dxa"/>
              <w:right w:w="91" w:type="dxa"/>
            </w:tcMar>
            <w:hideMark/>
          </w:tcPr>
          <w:p w14:paraId="48857DD2" w14:textId="77777777" w:rsidR="00D07161" w:rsidRPr="006E4400" w:rsidRDefault="00D07161" w:rsidP="001F0738">
            <w:pPr>
              <w:spacing w:before="0" w:line="240" w:lineRule="auto"/>
              <w:jc w:val="center"/>
              <w:rPr>
                <w:lang w:eastAsia="en-GB"/>
              </w:rPr>
            </w:pPr>
            <w:r w:rsidRPr="006E4400">
              <w:rPr>
                <w:color w:val="000000"/>
                <w:kern w:val="24"/>
                <w:lang w:eastAsia="en-GB"/>
              </w:rPr>
              <w:t>.10</w:t>
            </w:r>
          </w:p>
        </w:tc>
        <w:tc>
          <w:tcPr>
            <w:tcW w:w="708" w:type="dxa"/>
            <w:shd w:val="clear" w:color="auto" w:fill="auto"/>
            <w:tcMar>
              <w:top w:w="46" w:type="dxa"/>
              <w:left w:w="91" w:type="dxa"/>
              <w:bottom w:w="46" w:type="dxa"/>
              <w:right w:w="91" w:type="dxa"/>
            </w:tcMar>
            <w:hideMark/>
          </w:tcPr>
          <w:p w14:paraId="4438B5BC" w14:textId="77777777" w:rsidR="00D07161" w:rsidRPr="006E4400" w:rsidRDefault="00D07161" w:rsidP="001F0738">
            <w:pPr>
              <w:spacing w:before="0" w:line="240" w:lineRule="auto"/>
              <w:jc w:val="center"/>
              <w:rPr>
                <w:lang w:eastAsia="en-GB"/>
              </w:rPr>
            </w:pPr>
            <w:r w:rsidRPr="006E4400">
              <w:rPr>
                <w:color w:val="000000"/>
                <w:kern w:val="24"/>
                <w:lang w:eastAsia="en-GB"/>
              </w:rPr>
              <w:t>-4.88</w:t>
            </w:r>
          </w:p>
        </w:tc>
        <w:tc>
          <w:tcPr>
            <w:tcW w:w="734" w:type="dxa"/>
            <w:shd w:val="clear" w:color="auto" w:fill="auto"/>
            <w:tcMar>
              <w:top w:w="46" w:type="dxa"/>
              <w:left w:w="91" w:type="dxa"/>
              <w:bottom w:w="46" w:type="dxa"/>
              <w:right w:w="91" w:type="dxa"/>
            </w:tcMar>
            <w:hideMark/>
          </w:tcPr>
          <w:p w14:paraId="4EA0BBF9" w14:textId="77777777" w:rsidR="00D07161" w:rsidRPr="006E4400" w:rsidRDefault="00D07161" w:rsidP="001F0738">
            <w:pPr>
              <w:spacing w:before="0" w:line="240" w:lineRule="auto"/>
              <w:jc w:val="center"/>
              <w:rPr>
                <w:lang w:eastAsia="en-GB"/>
              </w:rPr>
            </w:pPr>
            <w:r w:rsidRPr="006E4400">
              <w:rPr>
                <w:color w:val="000000"/>
                <w:kern w:val="24"/>
                <w:lang w:eastAsia="en-GB"/>
              </w:rPr>
              <w:t>***</w:t>
            </w:r>
          </w:p>
        </w:tc>
      </w:tr>
      <w:tr w:rsidR="00D07161" w:rsidRPr="006E4400" w14:paraId="3B3DE8A1" w14:textId="77777777" w:rsidTr="001F0738">
        <w:trPr>
          <w:trHeight w:val="20"/>
        </w:trPr>
        <w:tc>
          <w:tcPr>
            <w:tcW w:w="2410" w:type="dxa"/>
            <w:vMerge/>
            <w:vAlign w:val="center"/>
            <w:hideMark/>
          </w:tcPr>
          <w:p w14:paraId="58371CA5" w14:textId="77777777" w:rsidR="00D07161" w:rsidRPr="009864E6" w:rsidRDefault="00D07161" w:rsidP="001F0738">
            <w:pPr>
              <w:spacing w:before="0" w:line="240" w:lineRule="auto"/>
              <w:rPr>
                <w:lang w:eastAsia="en-GB"/>
              </w:rPr>
            </w:pPr>
          </w:p>
        </w:tc>
        <w:tc>
          <w:tcPr>
            <w:tcW w:w="1990" w:type="dxa"/>
            <w:shd w:val="clear" w:color="auto" w:fill="auto"/>
            <w:tcMar>
              <w:top w:w="46" w:type="dxa"/>
              <w:left w:w="91" w:type="dxa"/>
              <w:bottom w:w="46" w:type="dxa"/>
              <w:right w:w="91" w:type="dxa"/>
            </w:tcMar>
            <w:hideMark/>
          </w:tcPr>
          <w:p w14:paraId="5552C912" w14:textId="77777777" w:rsidR="00D07161" w:rsidRPr="006E4400" w:rsidRDefault="00D07161" w:rsidP="001F0738">
            <w:pPr>
              <w:spacing w:before="0" w:line="240" w:lineRule="auto"/>
              <w:rPr>
                <w:lang w:eastAsia="en-GB"/>
              </w:rPr>
            </w:pPr>
            <w:r w:rsidRPr="006E4400">
              <w:rPr>
                <w:color w:val="000000"/>
                <w:kern w:val="24"/>
                <w:lang w:eastAsia="en-GB"/>
              </w:rPr>
              <w:t>angry</w:t>
            </w:r>
            <w:r>
              <w:rPr>
                <w:color w:val="000000"/>
                <w:kern w:val="24"/>
                <w:lang w:eastAsia="en-GB"/>
              </w:rPr>
              <w:t xml:space="preserve"> vs non-face</w:t>
            </w:r>
          </w:p>
        </w:tc>
        <w:tc>
          <w:tcPr>
            <w:tcW w:w="653" w:type="dxa"/>
            <w:shd w:val="clear" w:color="auto" w:fill="auto"/>
            <w:tcMar>
              <w:top w:w="46" w:type="dxa"/>
              <w:left w:w="91" w:type="dxa"/>
              <w:bottom w:w="46" w:type="dxa"/>
              <w:right w:w="91" w:type="dxa"/>
            </w:tcMar>
            <w:hideMark/>
          </w:tcPr>
          <w:p w14:paraId="63F89D4A" w14:textId="77777777" w:rsidR="00D07161" w:rsidRPr="006E4400" w:rsidRDefault="00D07161" w:rsidP="001F0738">
            <w:pPr>
              <w:spacing w:before="0" w:line="240" w:lineRule="auto"/>
              <w:jc w:val="center"/>
              <w:rPr>
                <w:lang w:eastAsia="en-GB"/>
              </w:rPr>
            </w:pPr>
            <w:r w:rsidRPr="006E4400">
              <w:rPr>
                <w:color w:val="000000"/>
                <w:kern w:val="24"/>
                <w:lang w:eastAsia="en-GB"/>
              </w:rPr>
              <w:t>.28</w:t>
            </w:r>
          </w:p>
        </w:tc>
        <w:tc>
          <w:tcPr>
            <w:tcW w:w="566" w:type="dxa"/>
            <w:shd w:val="clear" w:color="auto" w:fill="auto"/>
            <w:tcMar>
              <w:top w:w="46" w:type="dxa"/>
              <w:left w:w="91" w:type="dxa"/>
              <w:bottom w:w="46" w:type="dxa"/>
              <w:right w:w="91" w:type="dxa"/>
            </w:tcMar>
            <w:hideMark/>
          </w:tcPr>
          <w:p w14:paraId="53B71359" w14:textId="77777777" w:rsidR="00D07161" w:rsidRPr="006E4400" w:rsidRDefault="00D07161" w:rsidP="001F0738">
            <w:pPr>
              <w:spacing w:before="0" w:line="240" w:lineRule="auto"/>
              <w:jc w:val="center"/>
              <w:rPr>
                <w:lang w:eastAsia="en-GB"/>
              </w:rPr>
            </w:pPr>
            <w:r w:rsidRPr="006E4400">
              <w:rPr>
                <w:color w:val="000000"/>
                <w:kern w:val="24"/>
                <w:lang w:eastAsia="en-GB"/>
              </w:rPr>
              <w:t>.01</w:t>
            </w:r>
          </w:p>
        </w:tc>
        <w:tc>
          <w:tcPr>
            <w:tcW w:w="793" w:type="dxa"/>
            <w:gridSpan w:val="2"/>
            <w:shd w:val="clear" w:color="auto" w:fill="auto"/>
            <w:tcMar>
              <w:top w:w="46" w:type="dxa"/>
              <w:left w:w="91" w:type="dxa"/>
              <w:bottom w:w="46" w:type="dxa"/>
              <w:right w:w="91" w:type="dxa"/>
            </w:tcMar>
            <w:hideMark/>
          </w:tcPr>
          <w:p w14:paraId="316E13A7" w14:textId="77777777" w:rsidR="00D07161" w:rsidRPr="006E4400" w:rsidRDefault="00D07161" w:rsidP="001F0738">
            <w:pPr>
              <w:spacing w:before="0" w:line="240" w:lineRule="auto"/>
              <w:jc w:val="center"/>
              <w:rPr>
                <w:lang w:eastAsia="en-GB"/>
              </w:rPr>
            </w:pPr>
            <w:r>
              <w:rPr>
                <w:color w:val="000000"/>
                <w:kern w:val="24"/>
                <w:lang w:eastAsia="en-GB"/>
              </w:rPr>
              <w:t>20.13</w:t>
            </w:r>
          </w:p>
        </w:tc>
        <w:tc>
          <w:tcPr>
            <w:tcW w:w="686" w:type="dxa"/>
            <w:shd w:val="clear" w:color="auto" w:fill="auto"/>
            <w:tcMar>
              <w:top w:w="46" w:type="dxa"/>
              <w:left w:w="91" w:type="dxa"/>
              <w:bottom w:w="46" w:type="dxa"/>
              <w:right w:w="91" w:type="dxa"/>
            </w:tcMar>
            <w:hideMark/>
          </w:tcPr>
          <w:p w14:paraId="66F4AABC" w14:textId="77777777" w:rsidR="00D07161" w:rsidRPr="006E4400" w:rsidRDefault="00D07161" w:rsidP="001F0738">
            <w:pPr>
              <w:spacing w:before="0" w:line="240" w:lineRule="auto"/>
              <w:jc w:val="center"/>
              <w:rPr>
                <w:lang w:eastAsia="en-GB"/>
              </w:rPr>
            </w:pPr>
            <w:r w:rsidRPr="006E4400">
              <w:rPr>
                <w:color w:val="000000"/>
                <w:kern w:val="24"/>
                <w:lang w:eastAsia="en-GB"/>
              </w:rPr>
              <w:t>***</w:t>
            </w:r>
          </w:p>
        </w:tc>
        <w:tc>
          <w:tcPr>
            <w:tcW w:w="202" w:type="dxa"/>
            <w:shd w:val="clear" w:color="auto" w:fill="auto"/>
            <w:tcMar>
              <w:top w:w="46" w:type="dxa"/>
              <w:left w:w="91" w:type="dxa"/>
              <w:bottom w:w="46" w:type="dxa"/>
              <w:right w:w="91" w:type="dxa"/>
            </w:tcMar>
            <w:hideMark/>
          </w:tcPr>
          <w:p w14:paraId="5346C98F" w14:textId="77777777" w:rsidR="00D07161" w:rsidRPr="006E4400" w:rsidRDefault="00D07161" w:rsidP="001F0738">
            <w:pPr>
              <w:spacing w:before="0" w:line="240" w:lineRule="auto"/>
              <w:jc w:val="center"/>
              <w:rPr>
                <w:lang w:eastAsia="en-GB"/>
              </w:rPr>
            </w:pPr>
          </w:p>
        </w:tc>
        <w:tc>
          <w:tcPr>
            <w:tcW w:w="624" w:type="dxa"/>
            <w:shd w:val="clear" w:color="auto" w:fill="auto"/>
            <w:tcMar>
              <w:top w:w="46" w:type="dxa"/>
              <w:left w:w="91" w:type="dxa"/>
              <w:bottom w:w="46" w:type="dxa"/>
              <w:right w:w="91" w:type="dxa"/>
            </w:tcMar>
            <w:hideMark/>
          </w:tcPr>
          <w:p w14:paraId="5DAF55EE" w14:textId="77777777" w:rsidR="00D07161" w:rsidRPr="006E4400" w:rsidRDefault="00D07161" w:rsidP="001F0738">
            <w:pPr>
              <w:spacing w:before="0" w:line="240" w:lineRule="auto"/>
              <w:jc w:val="center"/>
              <w:rPr>
                <w:lang w:eastAsia="en-GB"/>
              </w:rPr>
            </w:pPr>
            <w:r w:rsidRPr="006E4400">
              <w:rPr>
                <w:color w:val="000000"/>
                <w:kern w:val="24"/>
                <w:lang w:eastAsia="en-GB"/>
              </w:rPr>
              <w:t>-.69</w:t>
            </w:r>
          </w:p>
        </w:tc>
        <w:tc>
          <w:tcPr>
            <w:tcW w:w="567" w:type="dxa"/>
            <w:shd w:val="clear" w:color="auto" w:fill="auto"/>
            <w:tcMar>
              <w:top w:w="46" w:type="dxa"/>
              <w:left w:w="91" w:type="dxa"/>
              <w:bottom w:w="46" w:type="dxa"/>
              <w:right w:w="91" w:type="dxa"/>
            </w:tcMar>
            <w:hideMark/>
          </w:tcPr>
          <w:p w14:paraId="2A806347" w14:textId="77777777" w:rsidR="00D07161" w:rsidRPr="006E4400" w:rsidRDefault="00D07161" w:rsidP="001F0738">
            <w:pPr>
              <w:spacing w:before="0" w:line="240" w:lineRule="auto"/>
              <w:jc w:val="center"/>
              <w:rPr>
                <w:lang w:eastAsia="en-GB"/>
              </w:rPr>
            </w:pPr>
            <w:r w:rsidRPr="006E4400">
              <w:rPr>
                <w:color w:val="000000"/>
                <w:kern w:val="24"/>
                <w:lang w:eastAsia="en-GB"/>
              </w:rPr>
              <w:t>.10</w:t>
            </w:r>
          </w:p>
        </w:tc>
        <w:tc>
          <w:tcPr>
            <w:tcW w:w="708" w:type="dxa"/>
            <w:shd w:val="clear" w:color="auto" w:fill="auto"/>
            <w:tcMar>
              <w:top w:w="46" w:type="dxa"/>
              <w:left w:w="91" w:type="dxa"/>
              <w:bottom w:w="46" w:type="dxa"/>
              <w:right w:w="91" w:type="dxa"/>
            </w:tcMar>
            <w:hideMark/>
          </w:tcPr>
          <w:p w14:paraId="1A6D7024" w14:textId="77777777" w:rsidR="00D07161" w:rsidRPr="006E4400" w:rsidRDefault="00D07161" w:rsidP="001F0738">
            <w:pPr>
              <w:spacing w:before="0" w:line="240" w:lineRule="auto"/>
              <w:jc w:val="center"/>
              <w:rPr>
                <w:lang w:eastAsia="en-GB"/>
              </w:rPr>
            </w:pPr>
            <w:r w:rsidRPr="006E4400">
              <w:rPr>
                <w:color w:val="000000"/>
                <w:kern w:val="24"/>
                <w:lang w:eastAsia="en-GB"/>
              </w:rPr>
              <w:t>-6.74</w:t>
            </w:r>
          </w:p>
        </w:tc>
        <w:tc>
          <w:tcPr>
            <w:tcW w:w="734" w:type="dxa"/>
            <w:shd w:val="clear" w:color="auto" w:fill="auto"/>
            <w:tcMar>
              <w:top w:w="46" w:type="dxa"/>
              <w:left w:w="91" w:type="dxa"/>
              <w:bottom w:w="46" w:type="dxa"/>
              <w:right w:w="91" w:type="dxa"/>
            </w:tcMar>
            <w:hideMark/>
          </w:tcPr>
          <w:p w14:paraId="7373C448" w14:textId="77777777" w:rsidR="00D07161" w:rsidRPr="006E4400" w:rsidRDefault="00D07161" w:rsidP="001F0738">
            <w:pPr>
              <w:spacing w:before="0" w:line="240" w:lineRule="auto"/>
              <w:jc w:val="center"/>
              <w:rPr>
                <w:lang w:eastAsia="en-GB"/>
              </w:rPr>
            </w:pPr>
            <w:r w:rsidRPr="006E4400">
              <w:rPr>
                <w:color w:val="000000"/>
                <w:kern w:val="24"/>
                <w:lang w:eastAsia="en-GB"/>
              </w:rPr>
              <w:t>***</w:t>
            </w:r>
          </w:p>
        </w:tc>
      </w:tr>
      <w:tr w:rsidR="00D07161" w:rsidRPr="006E4400" w14:paraId="0E8051E5" w14:textId="77777777" w:rsidTr="001F0738">
        <w:trPr>
          <w:trHeight w:val="17"/>
        </w:trPr>
        <w:tc>
          <w:tcPr>
            <w:tcW w:w="2410" w:type="dxa"/>
            <w:shd w:val="clear" w:color="auto" w:fill="auto"/>
            <w:tcMar>
              <w:top w:w="46" w:type="dxa"/>
              <w:left w:w="91" w:type="dxa"/>
              <w:bottom w:w="46" w:type="dxa"/>
              <w:right w:w="91" w:type="dxa"/>
            </w:tcMar>
            <w:vAlign w:val="center"/>
            <w:hideMark/>
          </w:tcPr>
          <w:p w14:paraId="511246AC" w14:textId="77777777" w:rsidR="00D07161" w:rsidRPr="009864E6" w:rsidRDefault="00D07161" w:rsidP="001F0738">
            <w:pPr>
              <w:spacing w:before="0" w:line="240" w:lineRule="auto"/>
              <w:rPr>
                <w:lang w:eastAsia="en-GB"/>
              </w:rPr>
            </w:pPr>
            <w:r w:rsidRPr="009864E6">
              <w:rPr>
                <w:color w:val="000000"/>
                <w:kern w:val="24"/>
                <w:lang w:eastAsia="en-GB"/>
              </w:rPr>
              <w:t xml:space="preserve">Group * Cue Condition </w:t>
            </w:r>
          </w:p>
        </w:tc>
        <w:tc>
          <w:tcPr>
            <w:tcW w:w="1990" w:type="dxa"/>
            <w:shd w:val="clear" w:color="auto" w:fill="auto"/>
            <w:tcMar>
              <w:top w:w="46" w:type="dxa"/>
              <w:left w:w="91" w:type="dxa"/>
              <w:bottom w:w="46" w:type="dxa"/>
              <w:right w:w="91" w:type="dxa"/>
            </w:tcMar>
            <w:vAlign w:val="center"/>
            <w:hideMark/>
          </w:tcPr>
          <w:p w14:paraId="452E1AB0" w14:textId="77777777" w:rsidR="00D07161" w:rsidRPr="006E4400" w:rsidRDefault="00D07161" w:rsidP="001F0738">
            <w:pPr>
              <w:spacing w:before="0" w:line="240" w:lineRule="auto"/>
              <w:rPr>
                <w:lang w:eastAsia="en-GB"/>
              </w:rPr>
            </w:pPr>
          </w:p>
        </w:tc>
        <w:tc>
          <w:tcPr>
            <w:tcW w:w="653" w:type="dxa"/>
            <w:shd w:val="clear" w:color="auto" w:fill="auto"/>
            <w:tcMar>
              <w:top w:w="46" w:type="dxa"/>
              <w:left w:w="91" w:type="dxa"/>
              <w:bottom w:w="46" w:type="dxa"/>
              <w:right w:w="91" w:type="dxa"/>
            </w:tcMar>
            <w:vAlign w:val="center"/>
            <w:hideMark/>
          </w:tcPr>
          <w:p w14:paraId="14C2A27D" w14:textId="77777777" w:rsidR="00D07161" w:rsidRPr="006E4400" w:rsidRDefault="00D07161" w:rsidP="001F0738">
            <w:pPr>
              <w:spacing w:before="0" w:line="240" w:lineRule="auto"/>
              <w:rPr>
                <w:lang w:eastAsia="en-GB"/>
              </w:rPr>
            </w:pPr>
          </w:p>
        </w:tc>
        <w:tc>
          <w:tcPr>
            <w:tcW w:w="566" w:type="dxa"/>
            <w:shd w:val="clear" w:color="auto" w:fill="auto"/>
            <w:tcMar>
              <w:top w:w="46" w:type="dxa"/>
              <w:left w:w="91" w:type="dxa"/>
              <w:bottom w:w="46" w:type="dxa"/>
              <w:right w:w="91" w:type="dxa"/>
            </w:tcMar>
            <w:vAlign w:val="center"/>
            <w:hideMark/>
          </w:tcPr>
          <w:p w14:paraId="09E05301" w14:textId="77777777" w:rsidR="00D07161" w:rsidRPr="006E4400" w:rsidRDefault="00D07161" w:rsidP="001F0738">
            <w:pPr>
              <w:spacing w:before="0" w:line="240" w:lineRule="auto"/>
              <w:rPr>
                <w:lang w:eastAsia="en-GB"/>
              </w:rPr>
            </w:pPr>
          </w:p>
        </w:tc>
        <w:tc>
          <w:tcPr>
            <w:tcW w:w="793" w:type="dxa"/>
            <w:gridSpan w:val="2"/>
            <w:shd w:val="clear" w:color="auto" w:fill="auto"/>
            <w:tcMar>
              <w:top w:w="46" w:type="dxa"/>
              <w:left w:w="91" w:type="dxa"/>
              <w:bottom w:w="46" w:type="dxa"/>
              <w:right w:w="91" w:type="dxa"/>
            </w:tcMar>
            <w:vAlign w:val="center"/>
            <w:hideMark/>
          </w:tcPr>
          <w:p w14:paraId="7DDD0CAD" w14:textId="77777777" w:rsidR="00D07161" w:rsidRPr="006E4400" w:rsidRDefault="00D07161" w:rsidP="001F0738">
            <w:pPr>
              <w:spacing w:before="0" w:line="240" w:lineRule="auto"/>
              <w:rPr>
                <w:lang w:eastAsia="en-GB"/>
              </w:rPr>
            </w:pPr>
          </w:p>
        </w:tc>
        <w:tc>
          <w:tcPr>
            <w:tcW w:w="686" w:type="dxa"/>
            <w:shd w:val="clear" w:color="auto" w:fill="auto"/>
            <w:tcMar>
              <w:top w:w="46" w:type="dxa"/>
              <w:left w:w="91" w:type="dxa"/>
              <w:bottom w:w="46" w:type="dxa"/>
              <w:right w:w="91" w:type="dxa"/>
            </w:tcMar>
            <w:vAlign w:val="center"/>
            <w:hideMark/>
          </w:tcPr>
          <w:p w14:paraId="243C3559" w14:textId="77777777" w:rsidR="00D07161" w:rsidRPr="006E4400" w:rsidRDefault="00D07161" w:rsidP="001F0738">
            <w:pPr>
              <w:spacing w:before="0" w:line="240" w:lineRule="auto"/>
              <w:rPr>
                <w:lang w:eastAsia="en-GB"/>
              </w:rPr>
            </w:pPr>
          </w:p>
        </w:tc>
        <w:tc>
          <w:tcPr>
            <w:tcW w:w="202" w:type="dxa"/>
            <w:shd w:val="clear" w:color="auto" w:fill="auto"/>
            <w:tcMar>
              <w:top w:w="46" w:type="dxa"/>
              <w:left w:w="91" w:type="dxa"/>
              <w:bottom w:w="46" w:type="dxa"/>
              <w:right w:w="91" w:type="dxa"/>
            </w:tcMar>
            <w:vAlign w:val="center"/>
            <w:hideMark/>
          </w:tcPr>
          <w:p w14:paraId="34D74B69" w14:textId="77777777" w:rsidR="00D07161" w:rsidRPr="006E4400" w:rsidRDefault="00D07161" w:rsidP="001F0738">
            <w:pPr>
              <w:spacing w:before="0" w:line="240" w:lineRule="auto"/>
              <w:rPr>
                <w:lang w:eastAsia="en-GB"/>
              </w:rPr>
            </w:pPr>
          </w:p>
        </w:tc>
        <w:tc>
          <w:tcPr>
            <w:tcW w:w="624" w:type="dxa"/>
            <w:shd w:val="clear" w:color="auto" w:fill="auto"/>
            <w:tcMar>
              <w:top w:w="46" w:type="dxa"/>
              <w:left w:w="91" w:type="dxa"/>
              <w:bottom w:w="46" w:type="dxa"/>
              <w:right w:w="91" w:type="dxa"/>
            </w:tcMar>
            <w:vAlign w:val="center"/>
            <w:hideMark/>
          </w:tcPr>
          <w:p w14:paraId="4274B7D6" w14:textId="77777777" w:rsidR="00D07161" w:rsidRPr="006E4400" w:rsidRDefault="00D07161" w:rsidP="001F0738">
            <w:pPr>
              <w:spacing w:before="0" w:line="240" w:lineRule="auto"/>
              <w:rPr>
                <w:lang w:eastAsia="en-GB"/>
              </w:rPr>
            </w:pPr>
          </w:p>
        </w:tc>
        <w:tc>
          <w:tcPr>
            <w:tcW w:w="567" w:type="dxa"/>
            <w:shd w:val="clear" w:color="auto" w:fill="auto"/>
            <w:tcMar>
              <w:top w:w="46" w:type="dxa"/>
              <w:left w:w="91" w:type="dxa"/>
              <w:bottom w:w="46" w:type="dxa"/>
              <w:right w:w="91" w:type="dxa"/>
            </w:tcMar>
            <w:vAlign w:val="center"/>
            <w:hideMark/>
          </w:tcPr>
          <w:p w14:paraId="12BD6B88" w14:textId="77777777" w:rsidR="00D07161" w:rsidRPr="006E4400" w:rsidRDefault="00D07161" w:rsidP="001F0738">
            <w:pPr>
              <w:spacing w:before="0" w:line="240" w:lineRule="auto"/>
              <w:rPr>
                <w:lang w:eastAsia="en-GB"/>
              </w:rPr>
            </w:pPr>
          </w:p>
        </w:tc>
        <w:tc>
          <w:tcPr>
            <w:tcW w:w="708" w:type="dxa"/>
            <w:shd w:val="clear" w:color="auto" w:fill="auto"/>
            <w:tcMar>
              <w:top w:w="46" w:type="dxa"/>
              <w:left w:w="91" w:type="dxa"/>
              <w:bottom w:w="46" w:type="dxa"/>
              <w:right w:w="91" w:type="dxa"/>
            </w:tcMar>
            <w:vAlign w:val="center"/>
            <w:hideMark/>
          </w:tcPr>
          <w:p w14:paraId="07D2EB45" w14:textId="77777777" w:rsidR="00D07161" w:rsidRPr="006E4400" w:rsidRDefault="00D07161" w:rsidP="001F0738">
            <w:pPr>
              <w:spacing w:before="0" w:line="240" w:lineRule="auto"/>
              <w:rPr>
                <w:lang w:eastAsia="en-GB"/>
              </w:rPr>
            </w:pPr>
          </w:p>
        </w:tc>
        <w:tc>
          <w:tcPr>
            <w:tcW w:w="734" w:type="dxa"/>
            <w:shd w:val="clear" w:color="auto" w:fill="auto"/>
            <w:tcMar>
              <w:top w:w="46" w:type="dxa"/>
              <w:left w:w="91" w:type="dxa"/>
              <w:bottom w:w="46" w:type="dxa"/>
              <w:right w:w="91" w:type="dxa"/>
            </w:tcMar>
            <w:vAlign w:val="center"/>
            <w:hideMark/>
          </w:tcPr>
          <w:p w14:paraId="419865A5" w14:textId="77777777" w:rsidR="00D07161" w:rsidRPr="006E4400" w:rsidRDefault="00D07161" w:rsidP="001F0738">
            <w:pPr>
              <w:spacing w:before="0" w:line="240" w:lineRule="auto"/>
              <w:rPr>
                <w:lang w:eastAsia="en-GB"/>
              </w:rPr>
            </w:pPr>
          </w:p>
        </w:tc>
      </w:tr>
      <w:tr w:rsidR="00D07161" w:rsidRPr="006E4400" w14:paraId="7E66B2A0" w14:textId="77777777" w:rsidTr="001F0738">
        <w:trPr>
          <w:trHeight w:val="17"/>
        </w:trPr>
        <w:tc>
          <w:tcPr>
            <w:tcW w:w="2410" w:type="dxa"/>
            <w:shd w:val="clear" w:color="auto" w:fill="auto"/>
            <w:tcMar>
              <w:top w:w="46" w:type="dxa"/>
              <w:left w:w="91" w:type="dxa"/>
              <w:bottom w:w="46" w:type="dxa"/>
              <w:right w:w="91" w:type="dxa"/>
            </w:tcMar>
            <w:vAlign w:val="center"/>
            <w:hideMark/>
          </w:tcPr>
          <w:p w14:paraId="6BD287B2" w14:textId="77777777" w:rsidR="00D07161" w:rsidRPr="009864E6" w:rsidRDefault="00D07161" w:rsidP="001F0738">
            <w:pPr>
              <w:spacing w:before="0" w:line="240" w:lineRule="auto"/>
              <w:rPr>
                <w:lang w:eastAsia="en-GB"/>
              </w:rPr>
            </w:pPr>
          </w:p>
        </w:tc>
        <w:tc>
          <w:tcPr>
            <w:tcW w:w="1990" w:type="dxa"/>
            <w:shd w:val="clear" w:color="auto" w:fill="auto"/>
            <w:tcMar>
              <w:top w:w="46" w:type="dxa"/>
              <w:left w:w="91" w:type="dxa"/>
              <w:bottom w:w="46" w:type="dxa"/>
              <w:right w:w="91" w:type="dxa"/>
            </w:tcMar>
            <w:vAlign w:val="center"/>
            <w:hideMark/>
          </w:tcPr>
          <w:p w14:paraId="06AC98C6" w14:textId="77777777" w:rsidR="00D07161" w:rsidRPr="006E4400" w:rsidRDefault="00D07161" w:rsidP="001F0738">
            <w:pPr>
              <w:spacing w:before="0" w:line="240" w:lineRule="auto"/>
              <w:rPr>
                <w:lang w:eastAsia="en-GB"/>
              </w:rPr>
            </w:pPr>
            <w:r>
              <w:rPr>
                <w:color w:val="000000"/>
                <w:kern w:val="24"/>
                <w:lang w:eastAsia="en-GB"/>
              </w:rPr>
              <w:t xml:space="preserve">angry vs </w:t>
            </w:r>
            <w:r w:rsidRPr="006E4400">
              <w:rPr>
                <w:color w:val="000000"/>
                <w:kern w:val="24"/>
                <w:lang w:eastAsia="en-GB"/>
              </w:rPr>
              <w:t>happy</w:t>
            </w:r>
          </w:p>
        </w:tc>
        <w:tc>
          <w:tcPr>
            <w:tcW w:w="653" w:type="dxa"/>
            <w:shd w:val="clear" w:color="auto" w:fill="auto"/>
            <w:tcMar>
              <w:top w:w="46" w:type="dxa"/>
              <w:left w:w="91" w:type="dxa"/>
              <w:bottom w:w="46" w:type="dxa"/>
              <w:right w:w="91" w:type="dxa"/>
            </w:tcMar>
            <w:vAlign w:val="center"/>
            <w:hideMark/>
          </w:tcPr>
          <w:p w14:paraId="266DA6FE" w14:textId="77777777" w:rsidR="00D07161" w:rsidRPr="006E4400" w:rsidRDefault="00D07161" w:rsidP="001F0738">
            <w:pPr>
              <w:spacing w:before="0" w:line="240" w:lineRule="auto"/>
              <w:jc w:val="center"/>
              <w:rPr>
                <w:lang w:eastAsia="en-GB"/>
              </w:rPr>
            </w:pPr>
            <w:r>
              <w:rPr>
                <w:color w:val="000000"/>
                <w:kern w:val="24"/>
                <w:lang w:eastAsia="en-GB"/>
              </w:rPr>
              <w:t>.03</w:t>
            </w:r>
          </w:p>
        </w:tc>
        <w:tc>
          <w:tcPr>
            <w:tcW w:w="566" w:type="dxa"/>
            <w:shd w:val="clear" w:color="auto" w:fill="auto"/>
            <w:tcMar>
              <w:top w:w="46" w:type="dxa"/>
              <w:left w:w="91" w:type="dxa"/>
              <w:bottom w:w="46" w:type="dxa"/>
              <w:right w:w="91" w:type="dxa"/>
            </w:tcMar>
            <w:vAlign w:val="center"/>
            <w:hideMark/>
          </w:tcPr>
          <w:p w14:paraId="57AC278D" w14:textId="77777777" w:rsidR="00D07161" w:rsidRPr="006E4400" w:rsidRDefault="00D07161" w:rsidP="001F0738">
            <w:pPr>
              <w:spacing w:before="0" w:line="240" w:lineRule="auto"/>
              <w:jc w:val="center"/>
              <w:rPr>
                <w:lang w:eastAsia="en-GB"/>
              </w:rPr>
            </w:pPr>
            <w:r w:rsidRPr="006E4400">
              <w:rPr>
                <w:color w:val="000000"/>
                <w:kern w:val="24"/>
                <w:lang w:eastAsia="en-GB"/>
              </w:rPr>
              <w:t>.02</w:t>
            </w:r>
          </w:p>
        </w:tc>
        <w:tc>
          <w:tcPr>
            <w:tcW w:w="793" w:type="dxa"/>
            <w:gridSpan w:val="2"/>
            <w:shd w:val="clear" w:color="auto" w:fill="auto"/>
            <w:tcMar>
              <w:top w:w="46" w:type="dxa"/>
              <w:left w:w="91" w:type="dxa"/>
              <w:bottom w:w="46" w:type="dxa"/>
              <w:right w:w="91" w:type="dxa"/>
            </w:tcMar>
            <w:vAlign w:val="center"/>
            <w:hideMark/>
          </w:tcPr>
          <w:p w14:paraId="02763ECB" w14:textId="77777777" w:rsidR="00D07161" w:rsidRPr="006E4400" w:rsidRDefault="00D07161" w:rsidP="001F0738">
            <w:pPr>
              <w:spacing w:before="0" w:line="240" w:lineRule="auto"/>
              <w:jc w:val="center"/>
              <w:rPr>
                <w:lang w:eastAsia="en-GB"/>
              </w:rPr>
            </w:pPr>
            <w:r w:rsidRPr="006E4400">
              <w:rPr>
                <w:color w:val="000000"/>
                <w:kern w:val="24"/>
                <w:lang w:eastAsia="en-GB"/>
              </w:rPr>
              <w:t>1.</w:t>
            </w:r>
            <w:r>
              <w:rPr>
                <w:color w:val="000000"/>
                <w:kern w:val="24"/>
                <w:lang w:eastAsia="en-GB"/>
              </w:rPr>
              <w:t>21</w:t>
            </w:r>
          </w:p>
        </w:tc>
        <w:tc>
          <w:tcPr>
            <w:tcW w:w="686" w:type="dxa"/>
            <w:shd w:val="clear" w:color="auto" w:fill="auto"/>
            <w:tcMar>
              <w:top w:w="46" w:type="dxa"/>
              <w:left w:w="91" w:type="dxa"/>
              <w:bottom w:w="46" w:type="dxa"/>
              <w:right w:w="91" w:type="dxa"/>
            </w:tcMar>
            <w:vAlign w:val="center"/>
            <w:hideMark/>
          </w:tcPr>
          <w:p w14:paraId="0D539ACF" w14:textId="77777777" w:rsidR="00D07161" w:rsidRPr="006E4400" w:rsidRDefault="00D07161" w:rsidP="001F0738">
            <w:pPr>
              <w:spacing w:before="0" w:line="240" w:lineRule="auto"/>
              <w:jc w:val="center"/>
              <w:rPr>
                <w:lang w:eastAsia="en-GB"/>
              </w:rPr>
            </w:pPr>
            <w:r w:rsidRPr="006E4400">
              <w:rPr>
                <w:color w:val="000000"/>
                <w:kern w:val="24"/>
                <w:lang w:eastAsia="en-GB"/>
              </w:rPr>
              <w:t>ns</w:t>
            </w:r>
          </w:p>
        </w:tc>
        <w:tc>
          <w:tcPr>
            <w:tcW w:w="202" w:type="dxa"/>
            <w:shd w:val="clear" w:color="auto" w:fill="auto"/>
            <w:tcMar>
              <w:top w:w="46" w:type="dxa"/>
              <w:left w:w="91" w:type="dxa"/>
              <w:bottom w:w="46" w:type="dxa"/>
              <w:right w:w="91" w:type="dxa"/>
            </w:tcMar>
            <w:vAlign w:val="center"/>
            <w:hideMark/>
          </w:tcPr>
          <w:p w14:paraId="5B66BF5B" w14:textId="77777777" w:rsidR="00D07161" w:rsidRPr="006E4400" w:rsidRDefault="00D07161" w:rsidP="001F0738">
            <w:pPr>
              <w:spacing w:before="0" w:line="240" w:lineRule="auto"/>
              <w:rPr>
                <w:lang w:eastAsia="en-GB"/>
              </w:rPr>
            </w:pPr>
          </w:p>
        </w:tc>
        <w:tc>
          <w:tcPr>
            <w:tcW w:w="624" w:type="dxa"/>
            <w:shd w:val="clear" w:color="auto" w:fill="auto"/>
            <w:tcMar>
              <w:top w:w="46" w:type="dxa"/>
              <w:left w:w="91" w:type="dxa"/>
              <w:bottom w:w="46" w:type="dxa"/>
              <w:right w:w="91" w:type="dxa"/>
            </w:tcMar>
            <w:vAlign w:val="center"/>
            <w:hideMark/>
          </w:tcPr>
          <w:p w14:paraId="0FC7F3D3" w14:textId="77777777" w:rsidR="00D07161" w:rsidRPr="006E4400" w:rsidRDefault="00D07161" w:rsidP="001F0738">
            <w:pPr>
              <w:spacing w:before="0" w:line="240" w:lineRule="auto"/>
              <w:jc w:val="center"/>
              <w:rPr>
                <w:lang w:eastAsia="en-GB"/>
              </w:rPr>
            </w:pPr>
            <w:r w:rsidRPr="006E4400">
              <w:rPr>
                <w:color w:val="000000"/>
                <w:kern w:val="24"/>
                <w:lang w:eastAsia="en-GB"/>
              </w:rPr>
              <w:t>-.12</w:t>
            </w:r>
          </w:p>
        </w:tc>
        <w:tc>
          <w:tcPr>
            <w:tcW w:w="567" w:type="dxa"/>
            <w:shd w:val="clear" w:color="auto" w:fill="auto"/>
            <w:tcMar>
              <w:top w:w="46" w:type="dxa"/>
              <w:left w:w="91" w:type="dxa"/>
              <w:bottom w:w="46" w:type="dxa"/>
              <w:right w:w="91" w:type="dxa"/>
            </w:tcMar>
            <w:vAlign w:val="center"/>
            <w:hideMark/>
          </w:tcPr>
          <w:p w14:paraId="04E18DD1" w14:textId="77777777" w:rsidR="00D07161" w:rsidRPr="006E4400" w:rsidRDefault="00D07161" w:rsidP="001F0738">
            <w:pPr>
              <w:spacing w:before="0" w:line="240" w:lineRule="auto"/>
              <w:jc w:val="center"/>
              <w:rPr>
                <w:lang w:eastAsia="en-GB"/>
              </w:rPr>
            </w:pPr>
            <w:r w:rsidRPr="006E4400">
              <w:rPr>
                <w:color w:val="000000"/>
                <w:kern w:val="24"/>
                <w:lang w:eastAsia="en-GB"/>
              </w:rPr>
              <w:t>.21</w:t>
            </w:r>
          </w:p>
        </w:tc>
        <w:tc>
          <w:tcPr>
            <w:tcW w:w="708" w:type="dxa"/>
            <w:shd w:val="clear" w:color="auto" w:fill="auto"/>
            <w:tcMar>
              <w:top w:w="46" w:type="dxa"/>
              <w:left w:w="91" w:type="dxa"/>
              <w:bottom w:w="46" w:type="dxa"/>
              <w:right w:w="91" w:type="dxa"/>
            </w:tcMar>
            <w:vAlign w:val="center"/>
            <w:hideMark/>
          </w:tcPr>
          <w:p w14:paraId="5C0A4C30" w14:textId="77777777" w:rsidR="00D07161" w:rsidRPr="006E4400" w:rsidRDefault="00D07161" w:rsidP="001F0738">
            <w:pPr>
              <w:spacing w:before="0" w:line="240" w:lineRule="auto"/>
              <w:jc w:val="center"/>
              <w:rPr>
                <w:lang w:eastAsia="en-GB"/>
              </w:rPr>
            </w:pPr>
            <w:r w:rsidRPr="006E4400">
              <w:rPr>
                <w:color w:val="000000"/>
                <w:kern w:val="24"/>
                <w:lang w:eastAsia="en-GB"/>
              </w:rPr>
              <w:t>-.56</w:t>
            </w:r>
          </w:p>
        </w:tc>
        <w:tc>
          <w:tcPr>
            <w:tcW w:w="734" w:type="dxa"/>
            <w:shd w:val="clear" w:color="auto" w:fill="auto"/>
            <w:tcMar>
              <w:top w:w="46" w:type="dxa"/>
              <w:left w:w="91" w:type="dxa"/>
              <w:bottom w:w="46" w:type="dxa"/>
              <w:right w:w="91" w:type="dxa"/>
            </w:tcMar>
            <w:vAlign w:val="center"/>
            <w:hideMark/>
          </w:tcPr>
          <w:p w14:paraId="1219AF4C" w14:textId="77777777" w:rsidR="00D07161" w:rsidRPr="006E4400" w:rsidRDefault="00D07161" w:rsidP="001F0738">
            <w:pPr>
              <w:spacing w:before="0" w:line="240" w:lineRule="auto"/>
              <w:jc w:val="center"/>
              <w:rPr>
                <w:lang w:eastAsia="en-GB"/>
              </w:rPr>
            </w:pPr>
            <w:r w:rsidRPr="006E4400">
              <w:rPr>
                <w:color w:val="000000"/>
                <w:kern w:val="24"/>
                <w:lang w:eastAsia="en-GB"/>
              </w:rPr>
              <w:t>ns</w:t>
            </w:r>
          </w:p>
        </w:tc>
      </w:tr>
      <w:tr w:rsidR="00D07161" w:rsidRPr="006E4400" w14:paraId="58F88A51" w14:textId="77777777" w:rsidTr="001F0738">
        <w:trPr>
          <w:trHeight w:val="218"/>
        </w:trPr>
        <w:tc>
          <w:tcPr>
            <w:tcW w:w="2410" w:type="dxa"/>
            <w:shd w:val="clear" w:color="auto" w:fill="auto"/>
            <w:tcMar>
              <w:top w:w="46" w:type="dxa"/>
              <w:left w:w="91" w:type="dxa"/>
              <w:bottom w:w="46" w:type="dxa"/>
              <w:right w:w="91" w:type="dxa"/>
            </w:tcMar>
            <w:vAlign w:val="center"/>
            <w:hideMark/>
          </w:tcPr>
          <w:p w14:paraId="44DF90EC" w14:textId="77777777" w:rsidR="00D07161" w:rsidRPr="009864E6" w:rsidRDefault="00D07161" w:rsidP="001F0738">
            <w:pPr>
              <w:spacing w:before="0" w:line="240" w:lineRule="auto"/>
              <w:rPr>
                <w:lang w:eastAsia="en-GB"/>
              </w:rPr>
            </w:pPr>
          </w:p>
        </w:tc>
        <w:tc>
          <w:tcPr>
            <w:tcW w:w="1990" w:type="dxa"/>
            <w:shd w:val="clear" w:color="auto" w:fill="auto"/>
            <w:tcMar>
              <w:top w:w="46" w:type="dxa"/>
              <w:left w:w="91" w:type="dxa"/>
              <w:bottom w:w="46" w:type="dxa"/>
              <w:right w:w="91" w:type="dxa"/>
            </w:tcMar>
            <w:vAlign w:val="center"/>
            <w:hideMark/>
          </w:tcPr>
          <w:p w14:paraId="4FC77DAF" w14:textId="77777777" w:rsidR="00D07161" w:rsidRPr="006E4400" w:rsidRDefault="00D07161" w:rsidP="001F0738">
            <w:pPr>
              <w:spacing w:before="0" w:line="240" w:lineRule="auto"/>
              <w:rPr>
                <w:lang w:eastAsia="en-GB"/>
              </w:rPr>
            </w:pPr>
            <w:r w:rsidRPr="006E4400">
              <w:rPr>
                <w:color w:val="000000"/>
                <w:kern w:val="24"/>
                <w:lang w:eastAsia="en-GB"/>
              </w:rPr>
              <w:t>happy</w:t>
            </w:r>
            <w:r>
              <w:rPr>
                <w:color w:val="000000"/>
                <w:kern w:val="24"/>
                <w:lang w:eastAsia="en-GB"/>
              </w:rPr>
              <w:t xml:space="preserve"> vs non-face</w:t>
            </w:r>
          </w:p>
        </w:tc>
        <w:tc>
          <w:tcPr>
            <w:tcW w:w="653" w:type="dxa"/>
            <w:shd w:val="clear" w:color="auto" w:fill="auto"/>
            <w:tcMar>
              <w:top w:w="46" w:type="dxa"/>
              <w:left w:w="91" w:type="dxa"/>
              <w:bottom w:w="46" w:type="dxa"/>
              <w:right w:w="91" w:type="dxa"/>
            </w:tcMar>
            <w:vAlign w:val="center"/>
            <w:hideMark/>
          </w:tcPr>
          <w:p w14:paraId="332D7525" w14:textId="77777777" w:rsidR="00D07161" w:rsidRPr="006E4400" w:rsidRDefault="00D07161" w:rsidP="001F0738">
            <w:pPr>
              <w:spacing w:before="0" w:line="240" w:lineRule="auto"/>
              <w:jc w:val="center"/>
              <w:rPr>
                <w:lang w:eastAsia="en-GB"/>
              </w:rPr>
            </w:pPr>
            <w:r>
              <w:rPr>
                <w:color w:val="000000"/>
                <w:kern w:val="24"/>
                <w:lang w:eastAsia="en-GB"/>
              </w:rPr>
              <w:t>-.02</w:t>
            </w:r>
          </w:p>
        </w:tc>
        <w:tc>
          <w:tcPr>
            <w:tcW w:w="566" w:type="dxa"/>
            <w:shd w:val="clear" w:color="auto" w:fill="auto"/>
            <w:tcMar>
              <w:top w:w="46" w:type="dxa"/>
              <w:left w:w="91" w:type="dxa"/>
              <w:bottom w:w="46" w:type="dxa"/>
              <w:right w:w="91" w:type="dxa"/>
            </w:tcMar>
            <w:vAlign w:val="center"/>
            <w:hideMark/>
          </w:tcPr>
          <w:p w14:paraId="71F3ECB9" w14:textId="77777777" w:rsidR="00D07161" w:rsidRPr="006E4400" w:rsidRDefault="00D07161" w:rsidP="001F0738">
            <w:pPr>
              <w:spacing w:before="0" w:line="240" w:lineRule="auto"/>
              <w:jc w:val="center"/>
              <w:rPr>
                <w:lang w:eastAsia="en-GB"/>
              </w:rPr>
            </w:pPr>
            <w:r w:rsidRPr="006E4400">
              <w:rPr>
                <w:color w:val="000000"/>
                <w:kern w:val="24"/>
                <w:lang w:eastAsia="en-GB"/>
              </w:rPr>
              <w:t>.03</w:t>
            </w:r>
          </w:p>
        </w:tc>
        <w:tc>
          <w:tcPr>
            <w:tcW w:w="793" w:type="dxa"/>
            <w:gridSpan w:val="2"/>
            <w:shd w:val="clear" w:color="auto" w:fill="auto"/>
            <w:tcMar>
              <w:top w:w="46" w:type="dxa"/>
              <w:left w:w="91" w:type="dxa"/>
              <w:bottom w:w="46" w:type="dxa"/>
              <w:right w:w="91" w:type="dxa"/>
            </w:tcMar>
            <w:vAlign w:val="center"/>
            <w:hideMark/>
          </w:tcPr>
          <w:p w14:paraId="35CD5EB5" w14:textId="77777777" w:rsidR="00D07161" w:rsidRPr="006E4400" w:rsidRDefault="00D07161" w:rsidP="001F0738">
            <w:pPr>
              <w:spacing w:before="0" w:line="240" w:lineRule="auto"/>
              <w:jc w:val="center"/>
              <w:rPr>
                <w:lang w:eastAsia="en-GB"/>
              </w:rPr>
            </w:pPr>
            <w:r>
              <w:rPr>
                <w:color w:val="000000"/>
                <w:kern w:val="24"/>
                <w:lang w:eastAsia="en-GB"/>
              </w:rPr>
              <w:t>-</w:t>
            </w:r>
            <w:r w:rsidRPr="006E4400">
              <w:rPr>
                <w:color w:val="000000"/>
                <w:kern w:val="24"/>
                <w:lang w:eastAsia="en-GB"/>
              </w:rPr>
              <w:t>.9</w:t>
            </w:r>
            <w:r>
              <w:rPr>
                <w:color w:val="000000"/>
                <w:kern w:val="24"/>
                <w:lang w:eastAsia="en-GB"/>
              </w:rPr>
              <w:t>7</w:t>
            </w:r>
          </w:p>
        </w:tc>
        <w:tc>
          <w:tcPr>
            <w:tcW w:w="686" w:type="dxa"/>
            <w:shd w:val="clear" w:color="auto" w:fill="auto"/>
            <w:tcMar>
              <w:top w:w="46" w:type="dxa"/>
              <w:left w:w="91" w:type="dxa"/>
              <w:bottom w:w="46" w:type="dxa"/>
              <w:right w:w="91" w:type="dxa"/>
            </w:tcMar>
            <w:vAlign w:val="center"/>
            <w:hideMark/>
          </w:tcPr>
          <w:p w14:paraId="22B71601" w14:textId="77777777" w:rsidR="00D07161" w:rsidRPr="006E4400" w:rsidRDefault="00D07161" w:rsidP="001F0738">
            <w:pPr>
              <w:spacing w:before="0" w:line="240" w:lineRule="auto"/>
              <w:jc w:val="center"/>
              <w:rPr>
                <w:lang w:eastAsia="en-GB"/>
              </w:rPr>
            </w:pPr>
            <w:r w:rsidRPr="006E4400">
              <w:rPr>
                <w:color w:val="000000"/>
                <w:kern w:val="24"/>
                <w:lang w:eastAsia="en-GB"/>
              </w:rPr>
              <w:t>ns</w:t>
            </w:r>
          </w:p>
        </w:tc>
        <w:tc>
          <w:tcPr>
            <w:tcW w:w="202" w:type="dxa"/>
            <w:shd w:val="clear" w:color="auto" w:fill="auto"/>
            <w:tcMar>
              <w:top w:w="46" w:type="dxa"/>
              <w:left w:w="91" w:type="dxa"/>
              <w:bottom w:w="46" w:type="dxa"/>
              <w:right w:w="91" w:type="dxa"/>
            </w:tcMar>
            <w:vAlign w:val="center"/>
            <w:hideMark/>
          </w:tcPr>
          <w:p w14:paraId="64D3EC71" w14:textId="77777777" w:rsidR="00D07161" w:rsidRPr="006E4400" w:rsidRDefault="00D07161" w:rsidP="001F0738">
            <w:pPr>
              <w:spacing w:before="0" w:line="240" w:lineRule="auto"/>
              <w:rPr>
                <w:lang w:eastAsia="en-GB"/>
              </w:rPr>
            </w:pPr>
          </w:p>
        </w:tc>
        <w:tc>
          <w:tcPr>
            <w:tcW w:w="624" w:type="dxa"/>
            <w:shd w:val="clear" w:color="auto" w:fill="auto"/>
            <w:tcMar>
              <w:top w:w="46" w:type="dxa"/>
              <w:left w:w="91" w:type="dxa"/>
              <w:bottom w:w="46" w:type="dxa"/>
              <w:right w:w="91" w:type="dxa"/>
            </w:tcMar>
            <w:vAlign w:val="center"/>
            <w:hideMark/>
          </w:tcPr>
          <w:p w14:paraId="3122A137" w14:textId="77777777" w:rsidR="00D07161" w:rsidRPr="006E4400" w:rsidRDefault="00D07161" w:rsidP="001F0738">
            <w:pPr>
              <w:spacing w:before="0" w:line="240" w:lineRule="auto"/>
              <w:jc w:val="center"/>
              <w:rPr>
                <w:lang w:eastAsia="en-GB"/>
              </w:rPr>
            </w:pPr>
            <w:r w:rsidRPr="006E4400">
              <w:rPr>
                <w:color w:val="000000"/>
                <w:kern w:val="24"/>
                <w:lang w:eastAsia="en-GB"/>
              </w:rPr>
              <w:t>-.24</w:t>
            </w:r>
          </w:p>
        </w:tc>
        <w:tc>
          <w:tcPr>
            <w:tcW w:w="567" w:type="dxa"/>
            <w:shd w:val="clear" w:color="auto" w:fill="auto"/>
            <w:tcMar>
              <w:top w:w="46" w:type="dxa"/>
              <w:left w:w="91" w:type="dxa"/>
              <w:bottom w:w="46" w:type="dxa"/>
              <w:right w:w="91" w:type="dxa"/>
            </w:tcMar>
            <w:vAlign w:val="center"/>
            <w:hideMark/>
          </w:tcPr>
          <w:p w14:paraId="188F7F9E" w14:textId="77777777" w:rsidR="00D07161" w:rsidRPr="006E4400" w:rsidRDefault="00D07161" w:rsidP="001F0738">
            <w:pPr>
              <w:spacing w:before="0" w:line="240" w:lineRule="auto"/>
              <w:jc w:val="center"/>
              <w:rPr>
                <w:lang w:eastAsia="en-GB"/>
              </w:rPr>
            </w:pPr>
            <w:r w:rsidRPr="006E4400">
              <w:rPr>
                <w:color w:val="000000"/>
                <w:kern w:val="24"/>
                <w:lang w:eastAsia="en-GB"/>
              </w:rPr>
              <w:t>.20</w:t>
            </w:r>
          </w:p>
        </w:tc>
        <w:tc>
          <w:tcPr>
            <w:tcW w:w="708" w:type="dxa"/>
            <w:shd w:val="clear" w:color="auto" w:fill="auto"/>
            <w:tcMar>
              <w:top w:w="46" w:type="dxa"/>
              <w:left w:w="91" w:type="dxa"/>
              <w:bottom w:w="46" w:type="dxa"/>
              <w:right w:w="91" w:type="dxa"/>
            </w:tcMar>
            <w:vAlign w:val="center"/>
            <w:hideMark/>
          </w:tcPr>
          <w:p w14:paraId="541F928F" w14:textId="77777777" w:rsidR="00D07161" w:rsidRPr="006E4400" w:rsidRDefault="00D07161" w:rsidP="001F0738">
            <w:pPr>
              <w:spacing w:before="0" w:line="240" w:lineRule="auto"/>
              <w:jc w:val="center"/>
              <w:rPr>
                <w:lang w:eastAsia="en-GB"/>
              </w:rPr>
            </w:pPr>
            <w:r w:rsidRPr="006E4400">
              <w:rPr>
                <w:color w:val="000000"/>
                <w:kern w:val="24"/>
                <w:lang w:eastAsia="en-GB"/>
              </w:rPr>
              <w:t>-1.20</w:t>
            </w:r>
          </w:p>
        </w:tc>
        <w:tc>
          <w:tcPr>
            <w:tcW w:w="734" w:type="dxa"/>
            <w:shd w:val="clear" w:color="auto" w:fill="auto"/>
            <w:tcMar>
              <w:top w:w="46" w:type="dxa"/>
              <w:left w:w="91" w:type="dxa"/>
              <w:bottom w:w="46" w:type="dxa"/>
              <w:right w:w="91" w:type="dxa"/>
            </w:tcMar>
            <w:vAlign w:val="center"/>
            <w:hideMark/>
          </w:tcPr>
          <w:p w14:paraId="5A4660B3" w14:textId="77777777" w:rsidR="00D07161" w:rsidRPr="006E4400" w:rsidRDefault="00D07161" w:rsidP="001F0738">
            <w:pPr>
              <w:spacing w:before="0" w:line="240" w:lineRule="auto"/>
              <w:jc w:val="center"/>
              <w:rPr>
                <w:lang w:eastAsia="en-GB"/>
              </w:rPr>
            </w:pPr>
            <w:r w:rsidRPr="006E4400">
              <w:rPr>
                <w:color w:val="000000"/>
                <w:kern w:val="24"/>
                <w:lang w:eastAsia="en-GB"/>
              </w:rPr>
              <w:t>ns</w:t>
            </w:r>
          </w:p>
        </w:tc>
      </w:tr>
      <w:tr w:rsidR="00D07161" w:rsidRPr="004C3C94" w14:paraId="03009C15" w14:textId="77777777" w:rsidTr="001F0738">
        <w:trPr>
          <w:trHeight w:val="357"/>
        </w:trPr>
        <w:tc>
          <w:tcPr>
            <w:tcW w:w="2410" w:type="dxa"/>
            <w:shd w:val="clear" w:color="auto" w:fill="auto"/>
            <w:tcMar>
              <w:top w:w="46" w:type="dxa"/>
              <w:left w:w="91" w:type="dxa"/>
              <w:bottom w:w="46" w:type="dxa"/>
              <w:right w:w="91" w:type="dxa"/>
            </w:tcMar>
            <w:vAlign w:val="center"/>
            <w:hideMark/>
          </w:tcPr>
          <w:p w14:paraId="51DF36B7" w14:textId="77777777" w:rsidR="00D07161" w:rsidRPr="009864E6" w:rsidRDefault="00D07161" w:rsidP="001F0738">
            <w:pPr>
              <w:spacing w:before="0" w:line="240" w:lineRule="auto"/>
              <w:rPr>
                <w:lang w:eastAsia="en-GB"/>
              </w:rPr>
            </w:pPr>
          </w:p>
        </w:tc>
        <w:tc>
          <w:tcPr>
            <w:tcW w:w="1990" w:type="dxa"/>
            <w:shd w:val="clear" w:color="auto" w:fill="auto"/>
            <w:tcMar>
              <w:top w:w="46" w:type="dxa"/>
              <w:left w:w="91" w:type="dxa"/>
              <w:bottom w:w="46" w:type="dxa"/>
              <w:right w:w="91" w:type="dxa"/>
            </w:tcMar>
            <w:vAlign w:val="center"/>
            <w:hideMark/>
          </w:tcPr>
          <w:p w14:paraId="7B42FCE5" w14:textId="77777777" w:rsidR="00D07161" w:rsidRPr="004C3C94" w:rsidRDefault="00D07161" w:rsidP="001F0738">
            <w:pPr>
              <w:spacing w:before="0" w:line="240" w:lineRule="auto"/>
              <w:rPr>
                <w:lang w:eastAsia="en-GB"/>
              </w:rPr>
            </w:pPr>
            <w:r w:rsidRPr="004C3C94">
              <w:rPr>
                <w:color w:val="000000"/>
                <w:kern w:val="24"/>
                <w:lang w:eastAsia="en-GB"/>
              </w:rPr>
              <w:t>angry vs non-face</w:t>
            </w:r>
          </w:p>
        </w:tc>
        <w:tc>
          <w:tcPr>
            <w:tcW w:w="653" w:type="dxa"/>
            <w:shd w:val="clear" w:color="auto" w:fill="auto"/>
            <w:tcMar>
              <w:top w:w="46" w:type="dxa"/>
              <w:left w:w="91" w:type="dxa"/>
              <w:bottom w:w="46" w:type="dxa"/>
              <w:right w:w="91" w:type="dxa"/>
            </w:tcMar>
            <w:vAlign w:val="center"/>
            <w:hideMark/>
          </w:tcPr>
          <w:p w14:paraId="53ECC50B" w14:textId="77777777" w:rsidR="00D07161" w:rsidRPr="004C3C94" w:rsidRDefault="00D07161" w:rsidP="001F0738">
            <w:pPr>
              <w:spacing w:before="0" w:line="240" w:lineRule="auto"/>
              <w:jc w:val="center"/>
              <w:rPr>
                <w:lang w:eastAsia="en-GB"/>
              </w:rPr>
            </w:pPr>
            <w:r w:rsidRPr="004C3C94">
              <w:rPr>
                <w:color w:val="000000"/>
                <w:kern w:val="24"/>
                <w:lang w:eastAsia="en-GB"/>
              </w:rPr>
              <w:t>.001</w:t>
            </w:r>
          </w:p>
        </w:tc>
        <w:tc>
          <w:tcPr>
            <w:tcW w:w="566" w:type="dxa"/>
            <w:shd w:val="clear" w:color="auto" w:fill="auto"/>
            <w:tcMar>
              <w:top w:w="46" w:type="dxa"/>
              <w:left w:w="91" w:type="dxa"/>
              <w:bottom w:w="46" w:type="dxa"/>
              <w:right w:w="91" w:type="dxa"/>
            </w:tcMar>
            <w:vAlign w:val="center"/>
            <w:hideMark/>
          </w:tcPr>
          <w:p w14:paraId="3D50078B" w14:textId="77777777" w:rsidR="00D07161" w:rsidRPr="004C3C94" w:rsidRDefault="00D07161" w:rsidP="001F0738">
            <w:pPr>
              <w:spacing w:before="0" w:line="240" w:lineRule="auto"/>
              <w:jc w:val="center"/>
              <w:rPr>
                <w:lang w:eastAsia="en-GB"/>
              </w:rPr>
            </w:pPr>
            <w:r w:rsidRPr="004C3C94">
              <w:rPr>
                <w:color w:val="000000"/>
                <w:kern w:val="24"/>
                <w:lang w:eastAsia="en-GB"/>
              </w:rPr>
              <w:t>.03</w:t>
            </w:r>
          </w:p>
        </w:tc>
        <w:tc>
          <w:tcPr>
            <w:tcW w:w="793" w:type="dxa"/>
            <w:gridSpan w:val="2"/>
            <w:shd w:val="clear" w:color="auto" w:fill="auto"/>
            <w:tcMar>
              <w:top w:w="46" w:type="dxa"/>
              <w:left w:w="91" w:type="dxa"/>
              <w:bottom w:w="46" w:type="dxa"/>
              <w:right w:w="91" w:type="dxa"/>
            </w:tcMar>
            <w:vAlign w:val="center"/>
            <w:hideMark/>
          </w:tcPr>
          <w:p w14:paraId="423E4373" w14:textId="77777777" w:rsidR="00D07161" w:rsidRPr="004C3C94" w:rsidRDefault="00D07161" w:rsidP="001F0738">
            <w:pPr>
              <w:spacing w:before="0" w:line="240" w:lineRule="auto"/>
              <w:jc w:val="center"/>
              <w:rPr>
                <w:lang w:eastAsia="en-GB"/>
              </w:rPr>
            </w:pPr>
            <w:r w:rsidRPr="004C3C94">
              <w:rPr>
                <w:color w:val="000000"/>
                <w:kern w:val="24"/>
                <w:lang w:eastAsia="en-GB"/>
              </w:rPr>
              <w:t>.04</w:t>
            </w:r>
          </w:p>
        </w:tc>
        <w:tc>
          <w:tcPr>
            <w:tcW w:w="686" w:type="dxa"/>
            <w:shd w:val="clear" w:color="auto" w:fill="auto"/>
            <w:tcMar>
              <w:top w:w="46" w:type="dxa"/>
              <w:left w:w="91" w:type="dxa"/>
              <w:bottom w:w="46" w:type="dxa"/>
              <w:right w:w="91" w:type="dxa"/>
            </w:tcMar>
            <w:vAlign w:val="center"/>
            <w:hideMark/>
          </w:tcPr>
          <w:p w14:paraId="69AE7874" w14:textId="77777777" w:rsidR="00D07161" w:rsidRPr="004C3C94" w:rsidRDefault="00D07161" w:rsidP="001F0738">
            <w:pPr>
              <w:spacing w:before="0" w:line="240" w:lineRule="auto"/>
              <w:jc w:val="center"/>
              <w:rPr>
                <w:lang w:eastAsia="en-GB"/>
              </w:rPr>
            </w:pPr>
            <w:r w:rsidRPr="004C3C94">
              <w:rPr>
                <w:color w:val="000000"/>
                <w:kern w:val="24"/>
                <w:lang w:eastAsia="en-GB"/>
              </w:rPr>
              <w:t>ns</w:t>
            </w:r>
          </w:p>
        </w:tc>
        <w:tc>
          <w:tcPr>
            <w:tcW w:w="202" w:type="dxa"/>
            <w:shd w:val="clear" w:color="auto" w:fill="auto"/>
            <w:tcMar>
              <w:top w:w="46" w:type="dxa"/>
              <w:left w:w="91" w:type="dxa"/>
              <w:bottom w:w="46" w:type="dxa"/>
              <w:right w:w="91" w:type="dxa"/>
            </w:tcMar>
            <w:vAlign w:val="center"/>
            <w:hideMark/>
          </w:tcPr>
          <w:p w14:paraId="654FE6A3" w14:textId="77777777" w:rsidR="00D07161" w:rsidRPr="004C3C94" w:rsidRDefault="00D07161" w:rsidP="001F0738">
            <w:pPr>
              <w:spacing w:before="0" w:line="240" w:lineRule="auto"/>
              <w:rPr>
                <w:lang w:eastAsia="en-GB"/>
              </w:rPr>
            </w:pPr>
          </w:p>
        </w:tc>
        <w:tc>
          <w:tcPr>
            <w:tcW w:w="624" w:type="dxa"/>
            <w:shd w:val="clear" w:color="auto" w:fill="auto"/>
            <w:tcMar>
              <w:top w:w="46" w:type="dxa"/>
              <w:left w:w="91" w:type="dxa"/>
              <w:bottom w:w="46" w:type="dxa"/>
              <w:right w:w="91" w:type="dxa"/>
            </w:tcMar>
            <w:vAlign w:val="center"/>
            <w:hideMark/>
          </w:tcPr>
          <w:p w14:paraId="454FD5A7" w14:textId="77777777" w:rsidR="00D07161" w:rsidRPr="004C3C94" w:rsidRDefault="00D07161" w:rsidP="001F0738">
            <w:pPr>
              <w:spacing w:before="0" w:line="240" w:lineRule="auto"/>
              <w:jc w:val="center"/>
              <w:rPr>
                <w:lang w:eastAsia="en-GB"/>
              </w:rPr>
            </w:pPr>
            <w:r w:rsidRPr="004C3C94">
              <w:rPr>
                <w:color w:val="000000"/>
                <w:kern w:val="24"/>
                <w:lang w:eastAsia="en-GB"/>
              </w:rPr>
              <w:t>-.36</w:t>
            </w:r>
          </w:p>
        </w:tc>
        <w:tc>
          <w:tcPr>
            <w:tcW w:w="567" w:type="dxa"/>
            <w:shd w:val="clear" w:color="auto" w:fill="auto"/>
            <w:tcMar>
              <w:top w:w="46" w:type="dxa"/>
              <w:left w:w="91" w:type="dxa"/>
              <w:bottom w:w="46" w:type="dxa"/>
              <w:right w:w="91" w:type="dxa"/>
            </w:tcMar>
            <w:vAlign w:val="center"/>
            <w:hideMark/>
          </w:tcPr>
          <w:p w14:paraId="22C44ABA" w14:textId="77777777" w:rsidR="00D07161" w:rsidRPr="004C3C94" w:rsidRDefault="00D07161" w:rsidP="001F0738">
            <w:pPr>
              <w:spacing w:before="0" w:line="240" w:lineRule="auto"/>
              <w:jc w:val="center"/>
              <w:rPr>
                <w:lang w:eastAsia="en-GB"/>
              </w:rPr>
            </w:pPr>
            <w:r w:rsidRPr="004C3C94">
              <w:rPr>
                <w:color w:val="000000"/>
                <w:kern w:val="24"/>
                <w:lang w:eastAsia="en-GB"/>
              </w:rPr>
              <w:t>.19</w:t>
            </w:r>
          </w:p>
        </w:tc>
        <w:tc>
          <w:tcPr>
            <w:tcW w:w="708" w:type="dxa"/>
            <w:shd w:val="clear" w:color="auto" w:fill="auto"/>
            <w:tcMar>
              <w:top w:w="46" w:type="dxa"/>
              <w:left w:w="91" w:type="dxa"/>
              <w:bottom w:w="46" w:type="dxa"/>
              <w:right w:w="91" w:type="dxa"/>
            </w:tcMar>
            <w:vAlign w:val="center"/>
            <w:hideMark/>
          </w:tcPr>
          <w:p w14:paraId="5F7379FD" w14:textId="77777777" w:rsidR="00D07161" w:rsidRPr="004C3C94" w:rsidRDefault="00D07161" w:rsidP="001F0738">
            <w:pPr>
              <w:spacing w:before="0" w:line="240" w:lineRule="auto"/>
              <w:jc w:val="center"/>
              <w:rPr>
                <w:lang w:eastAsia="en-GB"/>
              </w:rPr>
            </w:pPr>
            <w:r w:rsidRPr="004C3C94">
              <w:rPr>
                <w:color w:val="000000"/>
                <w:kern w:val="24"/>
                <w:lang w:eastAsia="en-GB"/>
              </w:rPr>
              <w:t>-1.87</w:t>
            </w:r>
          </w:p>
        </w:tc>
        <w:tc>
          <w:tcPr>
            <w:tcW w:w="734" w:type="dxa"/>
            <w:shd w:val="clear" w:color="auto" w:fill="auto"/>
            <w:tcMar>
              <w:top w:w="46" w:type="dxa"/>
              <w:left w:w="91" w:type="dxa"/>
              <w:bottom w:w="46" w:type="dxa"/>
              <w:right w:w="91" w:type="dxa"/>
            </w:tcMar>
            <w:vAlign w:val="center"/>
            <w:hideMark/>
          </w:tcPr>
          <w:p w14:paraId="6C1BD67E" w14:textId="77777777" w:rsidR="00D07161" w:rsidRPr="004C3C94" w:rsidRDefault="00D07161" w:rsidP="001F0738">
            <w:pPr>
              <w:spacing w:before="0" w:line="240" w:lineRule="auto"/>
              <w:jc w:val="center"/>
              <w:rPr>
                <w:lang w:eastAsia="en-GB"/>
              </w:rPr>
            </w:pPr>
            <w:r w:rsidRPr="004C3C94">
              <w:rPr>
                <w:b/>
                <w:bCs/>
                <w:color w:val="000000"/>
                <w:kern w:val="24"/>
                <w:lang w:eastAsia="en-GB"/>
              </w:rPr>
              <w:t>.</w:t>
            </w:r>
          </w:p>
        </w:tc>
      </w:tr>
      <w:tr w:rsidR="00D07161" w:rsidRPr="006E4400" w14:paraId="40F94A3B" w14:textId="77777777" w:rsidTr="001F0738">
        <w:trPr>
          <w:trHeight w:val="17"/>
        </w:trPr>
        <w:tc>
          <w:tcPr>
            <w:tcW w:w="2410" w:type="dxa"/>
            <w:shd w:val="clear" w:color="auto" w:fill="auto"/>
            <w:tcMar>
              <w:top w:w="46" w:type="dxa"/>
              <w:left w:w="91" w:type="dxa"/>
              <w:bottom w:w="46" w:type="dxa"/>
              <w:right w:w="91" w:type="dxa"/>
            </w:tcMar>
            <w:vAlign w:val="center"/>
            <w:hideMark/>
          </w:tcPr>
          <w:p w14:paraId="4970924B" w14:textId="77777777" w:rsidR="00D07161" w:rsidRPr="009864E6" w:rsidRDefault="00D07161" w:rsidP="001F0738">
            <w:pPr>
              <w:spacing w:before="0" w:line="240" w:lineRule="auto"/>
              <w:rPr>
                <w:lang w:eastAsia="en-GB"/>
              </w:rPr>
            </w:pPr>
          </w:p>
        </w:tc>
        <w:tc>
          <w:tcPr>
            <w:tcW w:w="1990" w:type="dxa"/>
            <w:shd w:val="clear" w:color="auto" w:fill="auto"/>
            <w:tcMar>
              <w:top w:w="46" w:type="dxa"/>
              <w:left w:w="91" w:type="dxa"/>
              <w:bottom w:w="46" w:type="dxa"/>
              <w:right w:w="91" w:type="dxa"/>
            </w:tcMar>
            <w:vAlign w:val="center"/>
            <w:hideMark/>
          </w:tcPr>
          <w:p w14:paraId="7EA917B8" w14:textId="77777777" w:rsidR="00D07161" w:rsidRPr="006E4400" w:rsidRDefault="00D07161" w:rsidP="001F0738">
            <w:pPr>
              <w:spacing w:before="0" w:line="240" w:lineRule="auto"/>
              <w:rPr>
                <w:lang w:eastAsia="en-GB"/>
              </w:rPr>
            </w:pPr>
          </w:p>
        </w:tc>
        <w:tc>
          <w:tcPr>
            <w:tcW w:w="653" w:type="dxa"/>
            <w:shd w:val="clear" w:color="auto" w:fill="auto"/>
            <w:tcMar>
              <w:top w:w="46" w:type="dxa"/>
              <w:left w:w="91" w:type="dxa"/>
              <w:bottom w:w="46" w:type="dxa"/>
              <w:right w:w="91" w:type="dxa"/>
            </w:tcMar>
            <w:vAlign w:val="center"/>
            <w:hideMark/>
          </w:tcPr>
          <w:p w14:paraId="37FFE1D5" w14:textId="77777777" w:rsidR="00D07161" w:rsidRPr="006E4400" w:rsidRDefault="00D07161" w:rsidP="001F0738">
            <w:pPr>
              <w:spacing w:before="0" w:line="240" w:lineRule="auto"/>
              <w:rPr>
                <w:lang w:eastAsia="en-GB"/>
              </w:rPr>
            </w:pPr>
          </w:p>
        </w:tc>
        <w:tc>
          <w:tcPr>
            <w:tcW w:w="566" w:type="dxa"/>
            <w:shd w:val="clear" w:color="auto" w:fill="auto"/>
            <w:tcMar>
              <w:top w:w="46" w:type="dxa"/>
              <w:left w:w="91" w:type="dxa"/>
              <w:bottom w:w="46" w:type="dxa"/>
              <w:right w:w="91" w:type="dxa"/>
            </w:tcMar>
            <w:vAlign w:val="center"/>
            <w:hideMark/>
          </w:tcPr>
          <w:p w14:paraId="6E87891C" w14:textId="77777777" w:rsidR="00D07161" w:rsidRPr="006E4400" w:rsidRDefault="00D07161" w:rsidP="001F0738">
            <w:pPr>
              <w:spacing w:before="0" w:line="240" w:lineRule="auto"/>
              <w:rPr>
                <w:lang w:eastAsia="en-GB"/>
              </w:rPr>
            </w:pPr>
          </w:p>
        </w:tc>
        <w:tc>
          <w:tcPr>
            <w:tcW w:w="793" w:type="dxa"/>
            <w:gridSpan w:val="2"/>
            <w:shd w:val="clear" w:color="auto" w:fill="auto"/>
            <w:tcMar>
              <w:top w:w="46" w:type="dxa"/>
              <w:left w:w="91" w:type="dxa"/>
              <w:bottom w:w="46" w:type="dxa"/>
              <w:right w:w="91" w:type="dxa"/>
            </w:tcMar>
            <w:vAlign w:val="center"/>
            <w:hideMark/>
          </w:tcPr>
          <w:p w14:paraId="60A3E41E" w14:textId="77777777" w:rsidR="00D07161" w:rsidRPr="006E4400" w:rsidRDefault="00D07161" w:rsidP="001F0738">
            <w:pPr>
              <w:spacing w:before="0" w:line="240" w:lineRule="auto"/>
              <w:rPr>
                <w:lang w:eastAsia="en-GB"/>
              </w:rPr>
            </w:pPr>
          </w:p>
        </w:tc>
        <w:tc>
          <w:tcPr>
            <w:tcW w:w="686" w:type="dxa"/>
            <w:shd w:val="clear" w:color="auto" w:fill="auto"/>
            <w:tcMar>
              <w:top w:w="46" w:type="dxa"/>
              <w:left w:w="91" w:type="dxa"/>
              <w:bottom w:w="46" w:type="dxa"/>
              <w:right w:w="91" w:type="dxa"/>
            </w:tcMar>
            <w:vAlign w:val="center"/>
            <w:hideMark/>
          </w:tcPr>
          <w:p w14:paraId="0A7330F0" w14:textId="77777777" w:rsidR="00D07161" w:rsidRPr="006E4400" w:rsidRDefault="00D07161" w:rsidP="001F0738">
            <w:pPr>
              <w:spacing w:before="0" w:line="240" w:lineRule="auto"/>
              <w:rPr>
                <w:lang w:eastAsia="en-GB"/>
              </w:rPr>
            </w:pPr>
          </w:p>
        </w:tc>
        <w:tc>
          <w:tcPr>
            <w:tcW w:w="202" w:type="dxa"/>
            <w:shd w:val="clear" w:color="auto" w:fill="auto"/>
            <w:tcMar>
              <w:top w:w="46" w:type="dxa"/>
              <w:left w:w="91" w:type="dxa"/>
              <w:bottom w:w="46" w:type="dxa"/>
              <w:right w:w="91" w:type="dxa"/>
            </w:tcMar>
            <w:vAlign w:val="center"/>
            <w:hideMark/>
          </w:tcPr>
          <w:p w14:paraId="00291918" w14:textId="77777777" w:rsidR="00D07161" w:rsidRPr="006E4400" w:rsidRDefault="00D07161" w:rsidP="001F0738">
            <w:pPr>
              <w:spacing w:before="0" w:line="240" w:lineRule="auto"/>
              <w:rPr>
                <w:lang w:eastAsia="en-GB"/>
              </w:rPr>
            </w:pPr>
          </w:p>
        </w:tc>
        <w:tc>
          <w:tcPr>
            <w:tcW w:w="624" w:type="dxa"/>
            <w:shd w:val="clear" w:color="auto" w:fill="auto"/>
            <w:tcMar>
              <w:top w:w="46" w:type="dxa"/>
              <w:left w:w="91" w:type="dxa"/>
              <w:bottom w:w="46" w:type="dxa"/>
              <w:right w:w="91" w:type="dxa"/>
            </w:tcMar>
            <w:vAlign w:val="center"/>
            <w:hideMark/>
          </w:tcPr>
          <w:p w14:paraId="43B46025" w14:textId="77777777" w:rsidR="00D07161" w:rsidRPr="006E4400" w:rsidRDefault="00D07161" w:rsidP="001F0738">
            <w:pPr>
              <w:spacing w:before="0" w:line="240" w:lineRule="auto"/>
              <w:rPr>
                <w:lang w:eastAsia="en-GB"/>
              </w:rPr>
            </w:pPr>
          </w:p>
        </w:tc>
        <w:tc>
          <w:tcPr>
            <w:tcW w:w="567" w:type="dxa"/>
            <w:shd w:val="clear" w:color="auto" w:fill="auto"/>
            <w:tcMar>
              <w:top w:w="46" w:type="dxa"/>
              <w:left w:w="91" w:type="dxa"/>
              <w:bottom w:w="46" w:type="dxa"/>
              <w:right w:w="91" w:type="dxa"/>
            </w:tcMar>
            <w:vAlign w:val="center"/>
            <w:hideMark/>
          </w:tcPr>
          <w:p w14:paraId="79D94EA5" w14:textId="77777777" w:rsidR="00D07161" w:rsidRPr="006E4400" w:rsidRDefault="00D07161" w:rsidP="001F0738">
            <w:pPr>
              <w:spacing w:before="0" w:line="240" w:lineRule="auto"/>
              <w:rPr>
                <w:lang w:eastAsia="en-GB"/>
              </w:rPr>
            </w:pPr>
          </w:p>
        </w:tc>
        <w:tc>
          <w:tcPr>
            <w:tcW w:w="708" w:type="dxa"/>
            <w:shd w:val="clear" w:color="auto" w:fill="auto"/>
            <w:tcMar>
              <w:top w:w="46" w:type="dxa"/>
              <w:left w:w="91" w:type="dxa"/>
              <w:bottom w:w="46" w:type="dxa"/>
              <w:right w:w="91" w:type="dxa"/>
            </w:tcMar>
            <w:vAlign w:val="center"/>
            <w:hideMark/>
          </w:tcPr>
          <w:p w14:paraId="20AB0B0D" w14:textId="77777777" w:rsidR="00D07161" w:rsidRPr="006E4400" w:rsidRDefault="00D07161" w:rsidP="001F0738">
            <w:pPr>
              <w:spacing w:before="0" w:line="240" w:lineRule="auto"/>
              <w:rPr>
                <w:lang w:eastAsia="en-GB"/>
              </w:rPr>
            </w:pPr>
          </w:p>
        </w:tc>
        <w:tc>
          <w:tcPr>
            <w:tcW w:w="734" w:type="dxa"/>
            <w:shd w:val="clear" w:color="auto" w:fill="auto"/>
            <w:tcMar>
              <w:top w:w="46" w:type="dxa"/>
              <w:left w:w="91" w:type="dxa"/>
              <w:bottom w:w="46" w:type="dxa"/>
              <w:right w:w="91" w:type="dxa"/>
            </w:tcMar>
            <w:vAlign w:val="center"/>
            <w:hideMark/>
          </w:tcPr>
          <w:p w14:paraId="5CD3B5FB" w14:textId="77777777" w:rsidR="00D07161" w:rsidRPr="006E4400" w:rsidRDefault="00D07161" w:rsidP="001F0738">
            <w:pPr>
              <w:spacing w:before="0" w:line="240" w:lineRule="auto"/>
              <w:rPr>
                <w:lang w:eastAsia="en-GB"/>
              </w:rPr>
            </w:pPr>
          </w:p>
        </w:tc>
      </w:tr>
      <w:tr w:rsidR="00D07161" w:rsidRPr="009864E6" w14:paraId="4043F5DD" w14:textId="77777777" w:rsidTr="001F0738">
        <w:trPr>
          <w:trHeight w:val="104"/>
        </w:trPr>
        <w:tc>
          <w:tcPr>
            <w:tcW w:w="2410" w:type="dxa"/>
            <w:shd w:val="clear" w:color="auto" w:fill="auto"/>
            <w:tcMar>
              <w:top w:w="46" w:type="dxa"/>
              <w:left w:w="91" w:type="dxa"/>
              <w:bottom w:w="46" w:type="dxa"/>
              <w:right w:w="91" w:type="dxa"/>
            </w:tcMar>
            <w:vAlign w:val="center"/>
            <w:hideMark/>
          </w:tcPr>
          <w:p w14:paraId="36A1906D" w14:textId="77777777" w:rsidR="00D07161" w:rsidRPr="009864E6" w:rsidRDefault="00D07161" w:rsidP="001F0738">
            <w:pPr>
              <w:spacing w:before="0" w:line="240" w:lineRule="auto"/>
              <w:rPr>
                <w:lang w:eastAsia="en-GB"/>
              </w:rPr>
            </w:pPr>
            <w:r w:rsidRPr="009864E6">
              <w:rPr>
                <w:color w:val="000000"/>
                <w:kern w:val="24"/>
                <w:lang w:eastAsia="en-GB"/>
              </w:rPr>
              <w:t>Anxiety</w:t>
            </w:r>
          </w:p>
        </w:tc>
        <w:tc>
          <w:tcPr>
            <w:tcW w:w="1990" w:type="dxa"/>
            <w:shd w:val="clear" w:color="auto" w:fill="auto"/>
            <w:tcMar>
              <w:top w:w="46" w:type="dxa"/>
              <w:left w:w="91" w:type="dxa"/>
              <w:bottom w:w="46" w:type="dxa"/>
              <w:right w:w="91" w:type="dxa"/>
            </w:tcMar>
            <w:vAlign w:val="center"/>
            <w:hideMark/>
          </w:tcPr>
          <w:p w14:paraId="6F2E7B03" w14:textId="77777777" w:rsidR="00D07161" w:rsidRPr="009864E6" w:rsidRDefault="00D07161" w:rsidP="001F0738">
            <w:pPr>
              <w:spacing w:before="0" w:line="240" w:lineRule="auto"/>
              <w:rPr>
                <w:lang w:eastAsia="en-GB"/>
              </w:rPr>
            </w:pPr>
          </w:p>
        </w:tc>
        <w:tc>
          <w:tcPr>
            <w:tcW w:w="653" w:type="dxa"/>
            <w:shd w:val="clear" w:color="auto" w:fill="auto"/>
            <w:tcMar>
              <w:top w:w="46" w:type="dxa"/>
              <w:left w:w="91" w:type="dxa"/>
              <w:bottom w:w="46" w:type="dxa"/>
              <w:right w:w="91" w:type="dxa"/>
            </w:tcMar>
            <w:vAlign w:val="center"/>
            <w:hideMark/>
          </w:tcPr>
          <w:p w14:paraId="653224FD" w14:textId="77777777" w:rsidR="00D07161" w:rsidRPr="009864E6" w:rsidRDefault="00D07161" w:rsidP="001F0738">
            <w:pPr>
              <w:spacing w:before="0" w:line="240" w:lineRule="auto"/>
              <w:jc w:val="center"/>
              <w:rPr>
                <w:lang w:eastAsia="en-GB"/>
              </w:rPr>
            </w:pPr>
            <w:r w:rsidRPr="009864E6">
              <w:rPr>
                <w:color w:val="000000"/>
                <w:kern w:val="24"/>
                <w:lang w:eastAsia="en-GB"/>
              </w:rPr>
              <w:t>.01</w:t>
            </w:r>
          </w:p>
        </w:tc>
        <w:tc>
          <w:tcPr>
            <w:tcW w:w="566" w:type="dxa"/>
            <w:shd w:val="clear" w:color="auto" w:fill="auto"/>
            <w:tcMar>
              <w:top w:w="46" w:type="dxa"/>
              <w:left w:w="91" w:type="dxa"/>
              <w:bottom w:w="46" w:type="dxa"/>
              <w:right w:w="91" w:type="dxa"/>
            </w:tcMar>
            <w:vAlign w:val="center"/>
            <w:hideMark/>
          </w:tcPr>
          <w:p w14:paraId="4FC1E456" w14:textId="77777777" w:rsidR="00D07161" w:rsidRPr="009864E6" w:rsidRDefault="00D07161" w:rsidP="001F0738">
            <w:pPr>
              <w:spacing w:before="0" w:line="240" w:lineRule="auto"/>
              <w:jc w:val="center"/>
              <w:rPr>
                <w:lang w:eastAsia="en-GB"/>
              </w:rPr>
            </w:pPr>
            <w:r w:rsidRPr="009864E6">
              <w:rPr>
                <w:color w:val="000000"/>
                <w:kern w:val="24"/>
                <w:lang w:eastAsia="en-GB"/>
              </w:rPr>
              <w:t>.02</w:t>
            </w:r>
          </w:p>
        </w:tc>
        <w:tc>
          <w:tcPr>
            <w:tcW w:w="793" w:type="dxa"/>
            <w:gridSpan w:val="2"/>
            <w:shd w:val="clear" w:color="auto" w:fill="auto"/>
            <w:tcMar>
              <w:top w:w="46" w:type="dxa"/>
              <w:left w:w="91" w:type="dxa"/>
              <w:bottom w:w="46" w:type="dxa"/>
              <w:right w:w="91" w:type="dxa"/>
            </w:tcMar>
            <w:vAlign w:val="center"/>
            <w:hideMark/>
          </w:tcPr>
          <w:p w14:paraId="5C619CB2" w14:textId="77777777" w:rsidR="00D07161" w:rsidRPr="009864E6" w:rsidRDefault="00D07161" w:rsidP="001F0738">
            <w:pPr>
              <w:spacing w:before="0" w:line="240" w:lineRule="auto"/>
              <w:jc w:val="center"/>
              <w:rPr>
                <w:lang w:eastAsia="en-GB"/>
              </w:rPr>
            </w:pPr>
            <w:r w:rsidRPr="009864E6">
              <w:rPr>
                <w:color w:val="000000"/>
                <w:kern w:val="24"/>
                <w:lang w:eastAsia="en-GB"/>
              </w:rPr>
              <w:t>.57</w:t>
            </w:r>
            <w:r>
              <w:rPr>
                <w:color w:val="000000"/>
                <w:kern w:val="24"/>
                <w:lang w:eastAsia="en-GB"/>
              </w:rPr>
              <w:t>8</w:t>
            </w:r>
          </w:p>
        </w:tc>
        <w:tc>
          <w:tcPr>
            <w:tcW w:w="686" w:type="dxa"/>
            <w:shd w:val="clear" w:color="auto" w:fill="auto"/>
            <w:tcMar>
              <w:top w:w="46" w:type="dxa"/>
              <w:left w:w="91" w:type="dxa"/>
              <w:bottom w:w="46" w:type="dxa"/>
              <w:right w:w="91" w:type="dxa"/>
            </w:tcMar>
            <w:vAlign w:val="center"/>
            <w:hideMark/>
          </w:tcPr>
          <w:p w14:paraId="27C53042" w14:textId="77777777" w:rsidR="00D07161" w:rsidRPr="009864E6" w:rsidRDefault="00D07161" w:rsidP="001F0738">
            <w:pPr>
              <w:spacing w:before="0" w:line="240" w:lineRule="auto"/>
              <w:jc w:val="center"/>
              <w:rPr>
                <w:lang w:eastAsia="en-GB"/>
              </w:rPr>
            </w:pPr>
            <w:r w:rsidRPr="009864E6">
              <w:rPr>
                <w:color w:val="000000"/>
                <w:kern w:val="24"/>
                <w:lang w:eastAsia="en-GB"/>
              </w:rPr>
              <w:t>ns</w:t>
            </w:r>
          </w:p>
        </w:tc>
        <w:tc>
          <w:tcPr>
            <w:tcW w:w="202" w:type="dxa"/>
            <w:shd w:val="clear" w:color="auto" w:fill="auto"/>
            <w:tcMar>
              <w:top w:w="46" w:type="dxa"/>
              <w:left w:w="91" w:type="dxa"/>
              <w:bottom w:w="46" w:type="dxa"/>
              <w:right w:w="91" w:type="dxa"/>
            </w:tcMar>
            <w:vAlign w:val="center"/>
            <w:hideMark/>
          </w:tcPr>
          <w:p w14:paraId="52D9146A" w14:textId="77777777" w:rsidR="00D07161" w:rsidRPr="009864E6" w:rsidRDefault="00D07161" w:rsidP="001F0738">
            <w:pPr>
              <w:spacing w:before="0" w:line="240" w:lineRule="auto"/>
              <w:rPr>
                <w:lang w:eastAsia="en-GB"/>
              </w:rPr>
            </w:pPr>
          </w:p>
        </w:tc>
        <w:tc>
          <w:tcPr>
            <w:tcW w:w="624" w:type="dxa"/>
            <w:shd w:val="clear" w:color="auto" w:fill="auto"/>
            <w:tcMar>
              <w:top w:w="46" w:type="dxa"/>
              <w:left w:w="91" w:type="dxa"/>
              <w:bottom w:w="46" w:type="dxa"/>
              <w:right w:w="91" w:type="dxa"/>
            </w:tcMar>
            <w:vAlign w:val="center"/>
            <w:hideMark/>
          </w:tcPr>
          <w:p w14:paraId="6CF10870" w14:textId="77777777" w:rsidR="00D07161" w:rsidRPr="009864E6" w:rsidRDefault="00D07161" w:rsidP="001F0738">
            <w:pPr>
              <w:spacing w:before="0" w:line="240" w:lineRule="auto"/>
              <w:jc w:val="center"/>
              <w:rPr>
                <w:lang w:eastAsia="en-GB"/>
              </w:rPr>
            </w:pPr>
            <w:r w:rsidRPr="009864E6">
              <w:rPr>
                <w:color w:val="000000"/>
                <w:kern w:val="24"/>
                <w:lang w:eastAsia="en-GB"/>
              </w:rPr>
              <w:t>-.06</w:t>
            </w:r>
          </w:p>
        </w:tc>
        <w:tc>
          <w:tcPr>
            <w:tcW w:w="567" w:type="dxa"/>
            <w:shd w:val="clear" w:color="auto" w:fill="auto"/>
            <w:tcMar>
              <w:top w:w="46" w:type="dxa"/>
              <w:left w:w="91" w:type="dxa"/>
              <w:bottom w:w="46" w:type="dxa"/>
              <w:right w:w="91" w:type="dxa"/>
            </w:tcMar>
            <w:vAlign w:val="center"/>
            <w:hideMark/>
          </w:tcPr>
          <w:p w14:paraId="75DD9A09" w14:textId="77777777" w:rsidR="00D07161" w:rsidRPr="009864E6" w:rsidRDefault="00D07161" w:rsidP="001F0738">
            <w:pPr>
              <w:spacing w:before="0" w:line="240" w:lineRule="auto"/>
              <w:jc w:val="center"/>
              <w:rPr>
                <w:lang w:eastAsia="en-GB"/>
              </w:rPr>
            </w:pPr>
            <w:r w:rsidRPr="009864E6">
              <w:rPr>
                <w:color w:val="000000"/>
                <w:kern w:val="24"/>
                <w:lang w:eastAsia="en-GB"/>
              </w:rPr>
              <w:t>.09</w:t>
            </w:r>
          </w:p>
        </w:tc>
        <w:tc>
          <w:tcPr>
            <w:tcW w:w="708" w:type="dxa"/>
            <w:shd w:val="clear" w:color="auto" w:fill="auto"/>
            <w:tcMar>
              <w:top w:w="46" w:type="dxa"/>
              <w:left w:w="91" w:type="dxa"/>
              <w:bottom w:w="46" w:type="dxa"/>
              <w:right w:w="91" w:type="dxa"/>
            </w:tcMar>
            <w:vAlign w:val="center"/>
            <w:hideMark/>
          </w:tcPr>
          <w:p w14:paraId="516B3418" w14:textId="77777777" w:rsidR="00D07161" w:rsidRPr="009864E6" w:rsidRDefault="00D07161" w:rsidP="001F0738">
            <w:pPr>
              <w:spacing w:before="0" w:line="240" w:lineRule="auto"/>
              <w:jc w:val="center"/>
              <w:rPr>
                <w:lang w:eastAsia="en-GB"/>
              </w:rPr>
            </w:pPr>
            <w:r w:rsidRPr="009864E6">
              <w:rPr>
                <w:color w:val="000000"/>
                <w:kern w:val="24"/>
                <w:lang w:eastAsia="en-GB"/>
              </w:rPr>
              <w:t>-.</w:t>
            </w:r>
            <w:r>
              <w:rPr>
                <w:color w:val="000000"/>
                <w:kern w:val="24"/>
                <w:lang w:eastAsia="en-GB"/>
              </w:rPr>
              <w:t>69</w:t>
            </w:r>
          </w:p>
        </w:tc>
        <w:tc>
          <w:tcPr>
            <w:tcW w:w="734" w:type="dxa"/>
            <w:shd w:val="clear" w:color="auto" w:fill="auto"/>
            <w:tcMar>
              <w:top w:w="46" w:type="dxa"/>
              <w:left w:w="91" w:type="dxa"/>
              <w:bottom w:w="46" w:type="dxa"/>
              <w:right w:w="91" w:type="dxa"/>
            </w:tcMar>
            <w:vAlign w:val="center"/>
            <w:hideMark/>
          </w:tcPr>
          <w:p w14:paraId="18BA5B0E" w14:textId="77777777" w:rsidR="00D07161" w:rsidRPr="009864E6" w:rsidRDefault="00D07161" w:rsidP="001F0738">
            <w:pPr>
              <w:spacing w:before="0" w:line="240" w:lineRule="auto"/>
              <w:jc w:val="center"/>
              <w:rPr>
                <w:lang w:eastAsia="en-GB"/>
              </w:rPr>
            </w:pPr>
            <w:r w:rsidRPr="009864E6">
              <w:rPr>
                <w:color w:val="000000"/>
                <w:kern w:val="24"/>
                <w:lang w:eastAsia="en-GB"/>
              </w:rPr>
              <w:t>ns</w:t>
            </w:r>
          </w:p>
        </w:tc>
      </w:tr>
      <w:tr w:rsidR="00D07161" w:rsidRPr="009864E6" w14:paraId="43CA60BC" w14:textId="77777777" w:rsidTr="001F0738">
        <w:trPr>
          <w:trHeight w:val="166"/>
        </w:trPr>
        <w:tc>
          <w:tcPr>
            <w:tcW w:w="2410" w:type="dxa"/>
            <w:shd w:val="clear" w:color="auto" w:fill="auto"/>
            <w:tcMar>
              <w:top w:w="46" w:type="dxa"/>
              <w:left w:w="91" w:type="dxa"/>
              <w:bottom w:w="46" w:type="dxa"/>
              <w:right w:w="91" w:type="dxa"/>
            </w:tcMar>
            <w:vAlign w:val="center"/>
          </w:tcPr>
          <w:p w14:paraId="0A3BE798" w14:textId="77777777" w:rsidR="00D07161" w:rsidRPr="009864E6" w:rsidRDefault="00D07161" w:rsidP="001F0738">
            <w:pPr>
              <w:spacing w:before="0" w:line="240" w:lineRule="auto"/>
              <w:rPr>
                <w:color w:val="000000"/>
                <w:kern w:val="24"/>
                <w:lang w:eastAsia="en-GB"/>
              </w:rPr>
            </w:pPr>
            <w:r w:rsidRPr="009864E6">
              <w:rPr>
                <w:color w:val="000000"/>
                <w:kern w:val="24"/>
                <w:lang w:eastAsia="en-GB"/>
              </w:rPr>
              <w:t>ADHD</w:t>
            </w:r>
          </w:p>
        </w:tc>
        <w:tc>
          <w:tcPr>
            <w:tcW w:w="1990" w:type="dxa"/>
            <w:shd w:val="clear" w:color="auto" w:fill="auto"/>
            <w:tcMar>
              <w:top w:w="46" w:type="dxa"/>
              <w:left w:w="91" w:type="dxa"/>
              <w:bottom w:w="46" w:type="dxa"/>
              <w:right w:w="91" w:type="dxa"/>
            </w:tcMar>
            <w:vAlign w:val="center"/>
          </w:tcPr>
          <w:p w14:paraId="3730708F" w14:textId="77777777" w:rsidR="00D07161" w:rsidRPr="009864E6" w:rsidRDefault="00D07161" w:rsidP="001F0738">
            <w:pPr>
              <w:spacing w:before="0" w:line="240" w:lineRule="auto"/>
              <w:rPr>
                <w:lang w:eastAsia="en-GB"/>
              </w:rPr>
            </w:pPr>
          </w:p>
        </w:tc>
        <w:tc>
          <w:tcPr>
            <w:tcW w:w="653" w:type="dxa"/>
            <w:shd w:val="clear" w:color="auto" w:fill="auto"/>
            <w:tcMar>
              <w:top w:w="46" w:type="dxa"/>
              <w:left w:w="91" w:type="dxa"/>
              <w:bottom w:w="46" w:type="dxa"/>
              <w:right w:w="91" w:type="dxa"/>
            </w:tcMar>
            <w:vAlign w:val="center"/>
          </w:tcPr>
          <w:p w14:paraId="585AFC95" w14:textId="77777777" w:rsidR="00D07161" w:rsidRPr="009864E6" w:rsidRDefault="00D07161" w:rsidP="001F0738">
            <w:pPr>
              <w:spacing w:before="0" w:line="240" w:lineRule="auto"/>
              <w:jc w:val="center"/>
              <w:rPr>
                <w:color w:val="000000"/>
                <w:kern w:val="24"/>
                <w:lang w:eastAsia="en-GB"/>
              </w:rPr>
            </w:pPr>
            <w:r w:rsidRPr="009864E6">
              <w:rPr>
                <w:color w:val="000000"/>
                <w:kern w:val="24"/>
                <w:lang w:eastAsia="en-GB"/>
              </w:rPr>
              <w:t>.001</w:t>
            </w:r>
          </w:p>
        </w:tc>
        <w:tc>
          <w:tcPr>
            <w:tcW w:w="566" w:type="dxa"/>
            <w:shd w:val="clear" w:color="auto" w:fill="auto"/>
            <w:tcMar>
              <w:top w:w="46" w:type="dxa"/>
              <w:left w:w="91" w:type="dxa"/>
              <w:bottom w:w="46" w:type="dxa"/>
              <w:right w:w="91" w:type="dxa"/>
            </w:tcMar>
            <w:vAlign w:val="center"/>
          </w:tcPr>
          <w:p w14:paraId="3598C9C7" w14:textId="77777777" w:rsidR="00D07161" w:rsidRPr="009864E6" w:rsidRDefault="00D07161" w:rsidP="001F0738">
            <w:pPr>
              <w:spacing w:before="0" w:line="240" w:lineRule="auto"/>
              <w:jc w:val="center"/>
              <w:rPr>
                <w:color w:val="000000"/>
                <w:kern w:val="24"/>
                <w:lang w:eastAsia="en-GB"/>
              </w:rPr>
            </w:pPr>
            <w:r w:rsidRPr="009864E6">
              <w:rPr>
                <w:color w:val="000000"/>
                <w:kern w:val="24"/>
                <w:lang w:eastAsia="en-GB"/>
              </w:rPr>
              <w:t>.02</w:t>
            </w:r>
          </w:p>
        </w:tc>
        <w:tc>
          <w:tcPr>
            <w:tcW w:w="793" w:type="dxa"/>
            <w:gridSpan w:val="2"/>
            <w:shd w:val="clear" w:color="auto" w:fill="auto"/>
            <w:tcMar>
              <w:top w:w="46" w:type="dxa"/>
              <w:left w:w="91" w:type="dxa"/>
              <w:bottom w:w="46" w:type="dxa"/>
              <w:right w:w="91" w:type="dxa"/>
            </w:tcMar>
            <w:vAlign w:val="center"/>
          </w:tcPr>
          <w:p w14:paraId="4181B57A" w14:textId="77777777" w:rsidR="00D07161" w:rsidRPr="009864E6" w:rsidRDefault="00D07161" w:rsidP="001F0738">
            <w:pPr>
              <w:spacing w:before="0" w:line="240" w:lineRule="auto"/>
              <w:jc w:val="center"/>
              <w:rPr>
                <w:color w:val="000000"/>
                <w:kern w:val="24"/>
                <w:lang w:eastAsia="en-GB"/>
              </w:rPr>
            </w:pPr>
            <w:r w:rsidRPr="009864E6">
              <w:rPr>
                <w:color w:val="000000"/>
                <w:kern w:val="24"/>
                <w:lang w:eastAsia="en-GB"/>
              </w:rPr>
              <w:t>.04</w:t>
            </w:r>
          </w:p>
        </w:tc>
        <w:tc>
          <w:tcPr>
            <w:tcW w:w="686" w:type="dxa"/>
            <w:shd w:val="clear" w:color="auto" w:fill="auto"/>
            <w:tcMar>
              <w:top w:w="46" w:type="dxa"/>
              <w:left w:w="91" w:type="dxa"/>
              <w:bottom w:w="46" w:type="dxa"/>
              <w:right w:w="91" w:type="dxa"/>
            </w:tcMar>
            <w:vAlign w:val="center"/>
          </w:tcPr>
          <w:p w14:paraId="281BEF86" w14:textId="77777777" w:rsidR="00D07161" w:rsidRPr="009864E6" w:rsidRDefault="00D07161" w:rsidP="001F0738">
            <w:pPr>
              <w:spacing w:before="0" w:line="240" w:lineRule="auto"/>
              <w:jc w:val="center"/>
              <w:rPr>
                <w:color w:val="000000"/>
                <w:kern w:val="24"/>
                <w:lang w:eastAsia="en-GB"/>
              </w:rPr>
            </w:pPr>
            <w:r w:rsidRPr="009864E6">
              <w:rPr>
                <w:color w:val="000000"/>
                <w:kern w:val="24"/>
                <w:lang w:eastAsia="en-GB"/>
              </w:rPr>
              <w:t>ns</w:t>
            </w:r>
          </w:p>
        </w:tc>
        <w:tc>
          <w:tcPr>
            <w:tcW w:w="202" w:type="dxa"/>
            <w:shd w:val="clear" w:color="auto" w:fill="auto"/>
            <w:tcMar>
              <w:top w:w="46" w:type="dxa"/>
              <w:left w:w="91" w:type="dxa"/>
              <w:bottom w:w="46" w:type="dxa"/>
              <w:right w:w="91" w:type="dxa"/>
            </w:tcMar>
            <w:vAlign w:val="center"/>
          </w:tcPr>
          <w:p w14:paraId="52C0B83A" w14:textId="77777777" w:rsidR="00D07161" w:rsidRPr="009864E6" w:rsidRDefault="00D07161" w:rsidP="001F0738">
            <w:pPr>
              <w:spacing w:before="0" w:line="240" w:lineRule="auto"/>
              <w:rPr>
                <w:lang w:eastAsia="en-GB"/>
              </w:rPr>
            </w:pPr>
          </w:p>
        </w:tc>
        <w:tc>
          <w:tcPr>
            <w:tcW w:w="624" w:type="dxa"/>
            <w:shd w:val="clear" w:color="auto" w:fill="auto"/>
            <w:tcMar>
              <w:top w:w="46" w:type="dxa"/>
              <w:left w:w="91" w:type="dxa"/>
              <w:bottom w:w="46" w:type="dxa"/>
              <w:right w:w="91" w:type="dxa"/>
            </w:tcMar>
            <w:vAlign w:val="center"/>
          </w:tcPr>
          <w:p w14:paraId="46686D06" w14:textId="77777777" w:rsidR="00D07161" w:rsidRPr="009864E6" w:rsidRDefault="00D07161" w:rsidP="001F0738">
            <w:pPr>
              <w:spacing w:before="0" w:line="240" w:lineRule="auto"/>
              <w:jc w:val="center"/>
              <w:rPr>
                <w:color w:val="000000"/>
                <w:kern w:val="24"/>
                <w:lang w:eastAsia="en-GB"/>
              </w:rPr>
            </w:pPr>
            <w:r w:rsidRPr="009864E6">
              <w:rPr>
                <w:color w:val="000000"/>
                <w:kern w:val="24"/>
                <w:lang w:eastAsia="en-GB"/>
              </w:rPr>
              <w:t>.01</w:t>
            </w:r>
          </w:p>
        </w:tc>
        <w:tc>
          <w:tcPr>
            <w:tcW w:w="567" w:type="dxa"/>
            <w:shd w:val="clear" w:color="auto" w:fill="auto"/>
            <w:tcMar>
              <w:top w:w="46" w:type="dxa"/>
              <w:left w:w="91" w:type="dxa"/>
              <w:bottom w:w="46" w:type="dxa"/>
              <w:right w:w="91" w:type="dxa"/>
            </w:tcMar>
            <w:vAlign w:val="center"/>
          </w:tcPr>
          <w:p w14:paraId="2F2B64DC" w14:textId="77777777" w:rsidR="00D07161" w:rsidRPr="009864E6" w:rsidRDefault="00D07161" w:rsidP="001F0738">
            <w:pPr>
              <w:spacing w:before="0" w:line="240" w:lineRule="auto"/>
              <w:jc w:val="center"/>
              <w:rPr>
                <w:color w:val="000000"/>
                <w:kern w:val="24"/>
                <w:lang w:eastAsia="en-GB"/>
              </w:rPr>
            </w:pPr>
            <w:r w:rsidRPr="009864E6">
              <w:rPr>
                <w:color w:val="000000"/>
                <w:kern w:val="24"/>
                <w:lang w:eastAsia="en-GB"/>
              </w:rPr>
              <w:t>.09</w:t>
            </w:r>
          </w:p>
        </w:tc>
        <w:tc>
          <w:tcPr>
            <w:tcW w:w="708" w:type="dxa"/>
            <w:shd w:val="clear" w:color="auto" w:fill="auto"/>
            <w:tcMar>
              <w:top w:w="46" w:type="dxa"/>
              <w:left w:w="91" w:type="dxa"/>
              <w:bottom w:w="46" w:type="dxa"/>
              <w:right w:w="91" w:type="dxa"/>
            </w:tcMar>
            <w:vAlign w:val="center"/>
          </w:tcPr>
          <w:p w14:paraId="2EC9120E" w14:textId="77777777" w:rsidR="00D07161" w:rsidRDefault="00D07161" w:rsidP="001F0738">
            <w:pPr>
              <w:spacing w:before="0" w:line="240" w:lineRule="auto"/>
              <w:jc w:val="center"/>
              <w:rPr>
                <w:color w:val="000000"/>
                <w:kern w:val="24"/>
                <w:lang w:eastAsia="en-GB"/>
              </w:rPr>
            </w:pPr>
            <w:r>
              <w:rPr>
                <w:color w:val="000000"/>
                <w:kern w:val="24"/>
                <w:lang w:eastAsia="en-GB"/>
              </w:rPr>
              <w:t>.15</w:t>
            </w:r>
          </w:p>
        </w:tc>
        <w:tc>
          <w:tcPr>
            <w:tcW w:w="734" w:type="dxa"/>
            <w:shd w:val="clear" w:color="auto" w:fill="auto"/>
            <w:tcMar>
              <w:top w:w="46" w:type="dxa"/>
              <w:left w:w="91" w:type="dxa"/>
              <w:bottom w:w="46" w:type="dxa"/>
              <w:right w:w="91" w:type="dxa"/>
            </w:tcMar>
            <w:vAlign w:val="center"/>
          </w:tcPr>
          <w:p w14:paraId="72C67D86" w14:textId="77777777" w:rsidR="00D07161" w:rsidRPr="009864E6" w:rsidRDefault="00D07161" w:rsidP="001F0738">
            <w:pPr>
              <w:spacing w:before="0" w:line="240" w:lineRule="auto"/>
              <w:jc w:val="center"/>
              <w:rPr>
                <w:color w:val="000000"/>
                <w:kern w:val="24"/>
                <w:lang w:eastAsia="en-GB"/>
              </w:rPr>
            </w:pPr>
            <w:r w:rsidRPr="009864E6">
              <w:rPr>
                <w:color w:val="000000"/>
                <w:kern w:val="24"/>
                <w:lang w:eastAsia="en-GB"/>
              </w:rPr>
              <w:t>ns</w:t>
            </w:r>
          </w:p>
        </w:tc>
      </w:tr>
      <w:tr w:rsidR="00D07161" w:rsidRPr="009864E6" w14:paraId="05C018FD" w14:textId="77777777" w:rsidTr="001F0738">
        <w:trPr>
          <w:trHeight w:val="166"/>
        </w:trPr>
        <w:tc>
          <w:tcPr>
            <w:tcW w:w="2410" w:type="dxa"/>
            <w:shd w:val="clear" w:color="auto" w:fill="auto"/>
            <w:tcMar>
              <w:top w:w="46" w:type="dxa"/>
              <w:left w:w="91" w:type="dxa"/>
              <w:bottom w:w="46" w:type="dxa"/>
              <w:right w:w="91" w:type="dxa"/>
            </w:tcMar>
            <w:vAlign w:val="center"/>
          </w:tcPr>
          <w:p w14:paraId="45EDEB3B" w14:textId="77777777" w:rsidR="00D07161" w:rsidRPr="009864E6" w:rsidRDefault="00D07161" w:rsidP="001F0738">
            <w:pPr>
              <w:spacing w:before="0" w:line="240" w:lineRule="auto"/>
              <w:rPr>
                <w:color w:val="000000"/>
                <w:kern w:val="24"/>
                <w:lang w:eastAsia="en-GB"/>
              </w:rPr>
            </w:pPr>
            <w:r>
              <w:rPr>
                <w:lang w:eastAsia="en-GB"/>
              </w:rPr>
              <w:t>Anxiety * Group</w:t>
            </w:r>
          </w:p>
        </w:tc>
        <w:tc>
          <w:tcPr>
            <w:tcW w:w="1990" w:type="dxa"/>
            <w:shd w:val="clear" w:color="auto" w:fill="auto"/>
            <w:tcMar>
              <w:top w:w="46" w:type="dxa"/>
              <w:left w:w="91" w:type="dxa"/>
              <w:bottom w:w="46" w:type="dxa"/>
              <w:right w:w="91" w:type="dxa"/>
            </w:tcMar>
            <w:vAlign w:val="center"/>
          </w:tcPr>
          <w:p w14:paraId="53661597" w14:textId="77777777" w:rsidR="00D07161" w:rsidRPr="009864E6" w:rsidRDefault="00D07161" w:rsidP="001F0738">
            <w:pPr>
              <w:spacing w:before="0" w:line="240" w:lineRule="auto"/>
              <w:rPr>
                <w:lang w:eastAsia="en-GB"/>
              </w:rPr>
            </w:pPr>
          </w:p>
        </w:tc>
        <w:tc>
          <w:tcPr>
            <w:tcW w:w="653" w:type="dxa"/>
            <w:shd w:val="clear" w:color="auto" w:fill="auto"/>
            <w:tcMar>
              <w:top w:w="46" w:type="dxa"/>
              <w:left w:w="91" w:type="dxa"/>
              <w:bottom w:w="46" w:type="dxa"/>
              <w:right w:w="91" w:type="dxa"/>
            </w:tcMar>
            <w:vAlign w:val="center"/>
          </w:tcPr>
          <w:p w14:paraId="0E5735EC" w14:textId="77777777" w:rsidR="00D07161" w:rsidRPr="009864E6" w:rsidRDefault="00D07161" w:rsidP="001F0738">
            <w:pPr>
              <w:spacing w:before="0" w:line="240" w:lineRule="auto"/>
              <w:jc w:val="center"/>
              <w:rPr>
                <w:color w:val="000000"/>
                <w:kern w:val="24"/>
                <w:lang w:eastAsia="en-GB"/>
              </w:rPr>
            </w:pPr>
            <w:r>
              <w:rPr>
                <w:lang w:eastAsia="en-GB"/>
              </w:rPr>
              <w:t>.05</w:t>
            </w:r>
          </w:p>
        </w:tc>
        <w:tc>
          <w:tcPr>
            <w:tcW w:w="566" w:type="dxa"/>
            <w:shd w:val="clear" w:color="auto" w:fill="auto"/>
            <w:tcMar>
              <w:top w:w="46" w:type="dxa"/>
              <w:left w:w="91" w:type="dxa"/>
              <w:bottom w:w="46" w:type="dxa"/>
              <w:right w:w="91" w:type="dxa"/>
            </w:tcMar>
            <w:vAlign w:val="center"/>
          </w:tcPr>
          <w:p w14:paraId="42BC6012" w14:textId="77777777" w:rsidR="00D07161" w:rsidRPr="009864E6" w:rsidRDefault="00D07161" w:rsidP="001F0738">
            <w:pPr>
              <w:spacing w:before="0" w:line="240" w:lineRule="auto"/>
              <w:jc w:val="center"/>
              <w:rPr>
                <w:color w:val="000000"/>
                <w:kern w:val="24"/>
                <w:lang w:eastAsia="en-GB"/>
              </w:rPr>
            </w:pPr>
            <w:r>
              <w:rPr>
                <w:lang w:eastAsia="en-GB"/>
              </w:rPr>
              <w:t>.04</w:t>
            </w:r>
          </w:p>
        </w:tc>
        <w:tc>
          <w:tcPr>
            <w:tcW w:w="793" w:type="dxa"/>
            <w:gridSpan w:val="2"/>
            <w:shd w:val="clear" w:color="auto" w:fill="auto"/>
            <w:tcMar>
              <w:top w:w="46" w:type="dxa"/>
              <w:left w:w="91" w:type="dxa"/>
              <w:bottom w:w="46" w:type="dxa"/>
              <w:right w:w="91" w:type="dxa"/>
            </w:tcMar>
            <w:vAlign w:val="center"/>
          </w:tcPr>
          <w:p w14:paraId="4FBE7B5D" w14:textId="77777777" w:rsidR="00D07161" w:rsidRPr="009864E6" w:rsidRDefault="00D07161" w:rsidP="001F0738">
            <w:pPr>
              <w:spacing w:before="0" w:line="240" w:lineRule="auto"/>
              <w:jc w:val="center"/>
              <w:rPr>
                <w:color w:val="000000"/>
                <w:kern w:val="24"/>
                <w:lang w:eastAsia="en-GB"/>
              </w:rPr>
            </w:pPr>
            <w:r>
              <w:rPr>
                <w:lang w:eastAsia="en-GB"/>
              </w:rPr>
              <w:t>1.33</w:t>
            </w:r>
          </w:p>
        </w:tc>
        <w:tc>
          <w:tcPr>
            <w:tcW w:w="686" w:type="dxa"/>
            <w:shd w:val="clear" w:color="auto" w:fill="auto"/>
            <w:tcMar>
              <w:top w:w="46" w:type="dxa"/>
              <w:left w:w="91" w:type="dxa"/>
              <w:bottom w:w="46" w:type="dxa"/>
              <w:right w:w="91" w:type="dxa"/>
            </w:tcMar>
            <w:vAlign w:val="center"/>
          </w:tcPr>
          <w:p w14:paraId="598F7D0B" w14:textId="77777777" w:rsidR="00D07161" w:rsidRPr="009864E6" w:rsidRDefault="00D07161" w:rsidP="001F0738">
            <w:pPr>
              <w:spacing w:before="0" w:line="240" w:lineRule="auto"/>
              <w:jc w:val="center"/>
              <w:rPr>
                <w:color w:val="000000"/>
                <w:kern w:val="24"/>
                <w:lang w:eastAsia="en-GB"/>
              </w:rPr>
            </w:pPr>
            <w:r>
              <w:rPr>
                <w:lang w:eastAsia="en-GB"/>
              </w:rPr>
              <w:t>ns</w:t>
            </w:r>
          </w:p>
        </w:tc>
        <w:tc>
          <w:tcPr>
            <w:tcW w:w="202" w:type="dxa"/>
            <w:shd w:val="clear" w:color="auto" w:fill="auto"/>
            <w:tcMar>
              <w:top w:w="46" w:type="dxa"/>
              <w:left w:w="91" w:type="dxa"/>
              <w:bottom w:w="46" w:type="dxa"/>
              <w:right w:w="91" w:type="dxa"/>
            </w:tcMar>
            <w:vAlign w:val="center"/>
          </w:tcPr>
          <w:p w14:paraId="70BCFC2A" w14:textId="77777777" w:rsidR="00D07161" w:rsidRPr="009864E6" w:rsidRDefault="00D07161" w:rsidP="001F0738">
            <w:pPr>
              <w:spacing w:before="0" w:line="240" w:lineRule="auto"/>
              <w:rPr>
                <w:lang w:eastAsia="en-GB"/>
              </w:rPr>
            </w:pPr>
          </w:p>
        </w:tc>
        <w:tc>
          <w:tcPr>
            <w:tcW w:w="624" w:type="dxa"/>
            <w:shd w:val="clear" w:color="auto" w:fill="auto"/>
            <w:tcMar>
              <w:top w:w="46" w:type="dxa"/>
              <w:left w:w="91" w:type="dxa"/>
              <w:bottom w:w="46" w:type="dxa"/>
              <w:right w:w="91" w:type="dxa"/>
            </w:tcMar>
            <w:vAlign w:val="center"/>
          </w:tcPr>
          <w:p w14:paraId="1D22CA0D" w14:textId="77777777" w:rsidR="00D07161" w:rsidRPr="009864E6" w:rsidRDefault="00D07161" w:rsidP="001F0738">
            <w:pPr>
              <w:spacing w:before="0" w:line="240" w:lineRule="auto"/>
              <w:jc w:val="center"/>
              <w:rPr>
                <w:color w:val="000000"/>
                <w:kern w:val="24"/>
                <w:lang w:eastAsia="en-GB"/>
              </w:rPr>
            </w:pPr>
            <w:r>
              <w:rPr>
                <w:color w:val="000000"/>
                <w:kern w:val="24"/>
                <w:lang w:eastAsia="en-GB"/>
              </w:rPr>
              <w:t>-.06</w:t>
            </w:r>
          </w:p>
        </w:tc>
        <w:tc>
          <w:tcPr>
            <w:tcW w:w="567" w:type="dxa"/>
            <w:shd w:val="clear" w:color="auto" w:fill="auto"/>
            <w:tcMar>
              <w:top w:w="46" w:type="dxa"/>
              <w:left w:w="91" w:type="dxa"/>
              <w:bottom w:w="46" w:type="dxa"/>
              <w:right w:w="91" w:type="dxa"/>
            </w:tcMar>
            <w:vAlign w:val="center"/>
          </w:tcPr>
          <w:p w14:paraId="5AAE12B0" w14:textId="77777777" w:rsidR="00D07161" w:rsidRPr="009864E6" w:rsidRDefault="00D07161" w:rsidP="001F0738">
            <w:pPr>
              <w:spacing w:before="0" w:line="240" w:lineRule="auto"/>
              <w:jc w:val="center"/>
              <w:rPr>
                <w:color w:val="000000"/>
                <w:kern w:val="24"/>
                <w:lang w:eastAsia="en-GB"/>
              </w:rPr>
            </w:pPr>
            <w:r>
              <w:rPr>
                <w:color w:val="000000"/>
                <w:kern w:val="24"/>
                <w:lang w:eastAsia="en-GB"/>
              </w:rPr>
              <w:t>.18</w:t>
            </w:r>
          </w:p>
        </w:tc>
        <w:tc>
          <w:tcPr>
            <w:tcW w:w="708" w:type="dxa"/>
            <w:shd w:val="clear" w:color="auto" w:fill="auto"/>
            <w:tcMar>
              <w:top w:w="46" w:type="dxa"/>
              <w:left w:w="91" w:type="dxa"/>
              <w:bottom w:w="46" w:type="dxa"/>
              <w:right w:w="91" w:type="dxa"/>
            </w:tcMar>
            <w:vAlign w:val="center"/>
          </w:tcPr>
          <w:p w14:paraId="630FCC17" w14:textId="77777777" w:rsidR="00D07161" w:rsidRDefault="00D07161" w:rsidP="001F0738">
            <w:pPr>
              <w:spacing w:before="0" w:line="240" w:lineRule="auto"/>
              <w:jc w:val="center"/>
              <w:rPr>
                <w:color w:val="000000"/>
                <w:kern w:val="24"/>
                <w:lang w:eastAsia="en-GB"/>
              </w:rPr>
            </w:pPr>
            <w:r>
              <w:rPr>
                <w:color w:val="000000"/>
                <w:kern w:val="24"/>
                <w:lang w:eastAsia="en-GB"/>
              </w:rPr>
              <w:t>.34</w:t>
            </w:r>
          </w:p>
        </w:tc>
        <w:tc>
          <w:tcPr>
            <w:tcW w:w="734" w:type="dxa"/>
            <w:shd w:val="clear" w:color="auto" w:fill="auto"/>
            <w:tcMar>
              <w:top w:w="46" w:type="dxa"/>
              <w:left w:w="91" w:type="dxa"/>
              <w:bottom w:w="46" w:type="dxa"/>
              <w:right w:w="91" w:type="dxa"/>
            </w:tcMar>
            <w:vAlign w:val="center"/>
          </w:tcPr>
          <w:p w14:paraId="70158C9B" w14:textId="77777777" w:rsidR="00D07161" w:rsidRPr="009864E6" w:rsidRDefault="00D07161" w:rsidP="001F0738">
            <w:pPr>
              <w:spacing w:before="0" w:line="240" w:lineRule="auto"/>
              <w:jc w:val="center"/>
              <w:rPr>
                <w:color w:val="000000"/>
                <w:kern w:val="24"/>
                <w:lang w:eastAsia="en-GB"/>
              </w:rPr>
            </w:pPr>
            <w:r>
              <w:rPr>
                <w:color w:val="000000"/>
                <w:kern w:val="24"/>
                <w:lang w:eastAsia="en-GB"/>
              </w:rPr>
              <w:t>ns</w:t>
            </w:r>
          </w:p>
        </w:tc>
      </w:tr>
      <w:tr w:rsidR="00D07161" w:rsidRPr="009864E6" w14:paraId="4CF5BC8F" w14:textId="77777777" w:rsidTr="001F0738">
        <w:trPr>
          <w:trHeight w:val="166"/>
        </w:trPr>
        <w:tc>
          <w:tcPr>
            <w:tcW w:w="2410" w:type="dxa"/>
            <w:shd w:val="clear" w:color="auto" w:fill="auto"/>
            <w:tcMar>
              <w:top w:w="46" w:type="dxa"/>
              <w:left w:w="91" w:type="dxa"/>
              <w:bottom w:w="46" w:type="dxa"/>
              <w:right w:w="91" w:type="dxa"/>
            </w:tcMar>
            <w:vAlign w:val="center"/>
          </w:tcPr>
          <w:p w14:paraId="358B4CFF" w14:textId="77777777" w:rsidR="00D07161" w:rsidRPr="009864E6" w:rsidRDefault="00D07161" w:rsidP="001F0738">
            <w:pPr>
              <w:spacing w:before="0" w:line="240" w:lineRule="auto"/>
              <w:rPr>
                <w:color w:val="000000"/>
                <w:kern w:val="24"/>
                <w:lang w:eastAsia="en-GB"/>
              </w:rPr>
            </w:pPr>
            <w:r>
              <w:rPr>
                <w:color w:val="000000"/>
                <w:kern w:val="24"/>
                <w:lang w:eastAsia="en-GB"/>
              </w:rPr>
              <w:t xml:space="preserve">ADHD * Group </w:t>
            </w:r>
          </w:p>
        </w:tc>
        <w:tc>
          <w:tcPr>
            <w:tcW w:w="1990" w:type="dxa"/>
            <w:shd w:val="clear" w:color="auto" w:fill="auto"/>
            <w:tcMar>
              <w:top w:w="46" w:type="dxa"/>
              <w:left w:w="91" w:type="dxa"/>
              <w:bottom w:w="46" w:type="dxa"/>
              <w:right w:w="91" w:type="dxa"/>
            </w:tcMar>
            <w:vAlign w:val="center"/>
          </w:tcPr>
          <w:p w14:paraId="3C15971F" w14:textId="77777777" w:rsidR="00D07161" w:rsidRPr="009864E6" w:rsidRDefault="00D07161" w:rsidP="001F0738">
            <w:pPr>
              <w:spacing w:before="0" w:line="240" w:lineRule="auto"/>
              <w:rPr>
                <w:lang w:eastAsia="en-GB"/>
              </w:rPr>
            </w:pPr>
          </w:p>
        </w:tc>
        <w:tc>
          <w:tcPr>
            <w:tcW w:w="653" w:type="dxa"/>
            <w:shd w:val="clear" w:color="auto" w:fill="auto"/>
            <w:tcMar>
              <w:top w:w="46" w:type="dxa"/>
              <w:left w:w="91" w:type="dxa"/>
              <w:bottom w:w="46" w:type="dxa"/>
              <w:right w:w="91" w:type="dxa"/>
            </w:tcMar>
            <w:vAlign w:val="center"/>
          </w:tcPr>
          <w:p w14:paraId="23535ADA" w14:textId="77777777" w:rsidR="00D07161" w:rsidRPr="009864E6" w:rsidRDefault="00D07161" w:rsidP="001F0738">
            <w:pPr>
              <w:spacing w:before="0" w:line="240" w:lineRule="auto"/>
              <w:jc w:val="center"/>
              <w:rPr>
                <w:color w:val="000000"/>
                <w:kern w:val="24"/>
                <w:lang w:eastAsia="en-GB"/>
              </w:rPr>
            </w:pPr>
            <w:r>
              <w:rPr>
                <w:color w:val="000000"/>
                <w:kern w:val="24"/>
                <w:lang w:eastAsia="en-GB"/>
              </w:rPr>
              <w:t>.07</w:t>
            </w:r>
          </w:p>
        </w:tc>
        <w:tc>
          <w:tcPr>
            <w:tcW w:w="566" w:type="dxa"/>
            <w:shd w:val="clear" w:color="auto" w:fill="auto"/>
            <w:tcMar>
              <w:top w:w="46" w:type="dxa"/>
              <w:left w:w="91" w:type="dxa"/>
              <w:bottom w:w="46" w:type="dxa"/>
              <w:right w:w="91" w:type="dxa"/>
            </w:tcMar>
            <w:vAlign w:val="center"/>
          </w:tcPr>
          <w:p w14:paraId="4FD127D3" w14:textId="77777777" w:rsidR="00D07161" w:rsidRPr="009864E6" w:rsidRDefault="00D07161" w:rsidP="001F0738">
            <w:pPr>
              <w:spacing w:before="0" w:line="240" w:lineRule="auto"/>
              <w:jc w:val="center"/>
              <w:rPr>
                <w:color w:val="000000"/>
                <w:kern w:val="24"/>
                <w:lang w:eastAsia="en-GB"/>
              </w:rPr>
            </w:pPr>
            <w:r>
              <w:rPr>
                <w:color w:val="000000"/>
                <w:kern w:val="24"/>
                <w:lang w:eastAsia="en-GB"/>
              </w:rPr>
              <w:t>.04</w:t>
            </w:r>
          </w:p>
        </w:tc>
        <w:tc>
          <w:tcPr>
            <w:tcW w:w="793" w:type="dxa"/>
            <w:gridSpan w:val="2"/>
            <w:shd w:val="clear" w:color="auto" w:fill="auto"/>
            <w:tcMar>
              <w:top w:w="46" w:type="dxa"/>
              <w:left w:w="91" w:type="dxa"/>
              <w:bottom w:w="46" w:type="dxa"/>
              <w:right w:w="91" w:type="dxa"/>
            </w:tcMar>
            <w:vAlign w:val="center"/>
          </w:tcPr>
          <w:p w14:paraId="25F1A032" w14:textId="77777777" w:rsidR="00D07161" w:rsidRPr="009864E6" w:rsidRDefault="00D07161" w:rsidP="001F0738">
            <w:pPr>
              <w:spacing w:before="0" w:line="240" w:lineRule="auto"/>
              <w:jc w:val="center"/>
              <w:rPr>
                <w:color w:val="000000"/>
                <w:kern w:val="24"/>
                <w:lang w:eastAsia="en-GB"/>
              </w:rPr>
            </w:pPr>
            <w:r>
              <w:rPr>
                <w:color w:val="000000"/>
                <w:kern w:val="24"/>
                <w:lang w:eastAsia="en-GB"/>
              </w:rPr>
              <w:t>1.77</w:t>
            </w:r>
          </w:p>
        </w:tc>
        <w:tc>
          <w:tcPr>
            <w:tcW w:w="686" w:type="dxa"/>
            <w:shd w:val="clear" w:color="auto" w:fill="auto"/>
            <w:tcMar>
              <w:top w:w="46" w:type="dxa"/>
              <w:left w:w="91" w:type="dxa"/>
              <w:bottom w:w="46" w:type="dxa"/>
              <w:right w:w="91" w:type="dxa"/>
            </w:tcMar>
            <w:vAlign w:val="center"/>
          </w:tcPr>
          <w:p w14:paraId="419B7023" w14:textId="77777777" w:rsidR="00D07161" w:rsidRPr="009864E6" w:rsidRDefault="00D07161" w:rsidP="001F0738">
            <w:pPr>
              <w:spacing w:before="0" w:line="240" w:lineRule="auto"/>
              <w:jc w:val="center"/>
              <w:rPr>
                <w:color w:val="000000"/>
                <w:kern w:val="24"/>
                <w:lang w:eastAsia="en-GB"/>
              </w:rPr>
            </w:pPr>
            <w:r w:rsidRPr="004C3C94">
              <w:rPr>
                <w:b/>
                <w:bCs/>
                <w:color w:val="000000"/>
                <w:kern w:val="24"/>
                <w:lang w:eastAsia="en-GB"/>
              </w:rPr>
              <w:t>.</w:t>
            </w:r>
          </w:p>
        </w:tc>
        <w:tc>
          <w:tcPr>
            <w:tcW w:w="202" w:type="dxa"/>
            <w:shd w:val="clear" w:color="auto" w:fill="auto"/>
            <w:tcMar>
              <w:top w:w="46" w:type="dxa"/>
              <w:left w:w="91" w:type="dxa"/>
              <w:bottom w:w="46" w:type="dxa"/>
              <w:right w:w="91" w:type="dxa"/>
            </w:tcMar>
            <w:vAlign w:val="center"/>
          </w:tcPr>
          <w:p w14:paraId="0329BD9E" w14:textId="77777777" w:rsidR="00D07161" w:rsidRPr="009864E6" w:rsidRDefault="00D07161" w:rsidP="001F0738">
            <w:pPr>
              <w:spacing w:before="0" w:line="240" w:lineRule="auto"/>
              <w:rPr>
                <w:lang w:eastAsia="en-GB"/>
              </w:rPr>
            </w:pPr>
          </w:p>
        </w:tc>
        <w:tc>
          <w:tcPr>
            <w:tcW w:w="624" w:type="dxa"/>
            <w:shd w:val="clear" w:color="auto" w:fill="auto"/>
            <w:tcMar>
              <w:top w:w="46" w:type="dxa"/>
              <w:left w:w="91" w:type="dxa"/>
              <w:bottom w:w="46" w:type="dxa"/>
              <w:right w:w="91" w:type="dxa"/>
            </w:tcMar>
            <w:vAlign w:val="center"/>
          </w:tcPr>
          <w:p w14:paraId="735C1423" w14:textId="77777777" w:rsidR="00D07161" w:rsidRPr="009864E6" w:rsidRDefault="00D07161" w:rsidP="001F0738">
            <w:pPr>
              <w:spacing w:before="0" w:line="240" w:lineRule="auto"/>
              <w:jc w:val="center"/>
              <w:rPr>
                <w:color w:val="000000"/>
                <w:kern w:val="24"/>
                <w:lang w:eastAsia="en-GB"/>
              </w:rPr>
            </w:pPr>
            <w:r>
              <w:rPr>
                <w:color w:val="000000"/>
                <w:kern w:val="24"/>
                <w:lang w:eastAsia="en-GB"/>
              </w:rPr>
              <w:t>-.10</w:t>
            </w:r>
          </w:p>
        </w:tc>
        <w:tc>
          <w:tcPr>
            <w:tcW w:w="567" w:type="dxa"/>
            <w:shd w:val="clear" w:color="auto" w:fill="auto"/>
            <w:tcMar>
              <w:top w:w="46" w:type="dxa"/>
              <w:left w:w="91" w:type="dxa"/>
              <w:bottom w:w="46" w:type="dxa"/>
              <w:right w:w="91" w:type="dxa"/>
            </w:tcMar>
            <w:vAlign w:val="center"/>
          </w:tcPr>
          <w:p w14:paraId="2E7D7655" w14:textId="77777777" w:rsidR="00D07161" w:rsidRPr="009864E6" w:rsidRDefault="00D07161" w:rsidP="001F0738">
            <w:pPr>
              <w:spacing w:before="0" w:line="240" w:lineRule="auto"/>
              <w:jc w:val="center"/>
              <w:rPr>
                <w:color w:val="000000"/>
                <w:kern w:val="24"/>
                <w:lang w:eastAsia="en-GB"/>
              </w:rPr>
            </w:pPr>
            <w:r>
              <w:rPr>
                <w:color w:val="000000"/>
                <w:kern w:val="24"/>
                <w:lang w:eastAsia="en-GB"/>
              </w:rPr>
              <w:t>.18</w:t>
            </w:r>
          </w:p>
        </w:tc>
        <w:tc>
          <w:tcPr>
            <w:tcW w:w="708" w:type="dxa"/>
            <w:shd w:val="clear" w:color="auto" w:fill="auto"/>
            <w:tcMar>
              <w:top w:w="46" w:type="dxa"/>
              <w:left w:w="91" w:type="dxa"/>
              <w:bottom w:w="46" w:type="dxa"/>
              <w:right w:w="91" w:type="dxa"/>
            </w:tcMar>
            <w:vAlign w:val="center"/>
          </w:tcPr>
          <w:p w14:paraId="1E316FC6" w14:textId="77777777" w:rsidR="00D07161" w:rsidRDefault="00D07161" w:rsidP="001F0738">
            <w:pPr>
              <w:spacing w:before="0" w:line="240" w:lineRule="auto"/>
              <w:jc w:val="center"/>
              <w:rPr>
                <w:color w:val="000000"/>
                <w:kern w:val="24"/>
                <w:lang w:eastAsia="en-GB"/>
              </w:rPr>
            </w:pPr>
            <w:r>
              <w:rPr>
                <w:color w:val="000000"/>
                <w:kern w:val="24"/>
                <w:lang w:eastAsia="en-GB"/>
              </w:rPr>
              <w:t>.57</w:t>
            </w:r>
          </w:p>
        </w:tc>
        <w:tc>
          <w:tcPr>
            <w:tcW w:w="734" w:type="dxa"/>
            <w:shd w:val="clear" w:color="auto" w:fill="auto"/>
            <w:tcMar>
              <w:top w:w="46" w:type="dxa"/>
              <w:left w:w="91" w:type="dxa"/>
              <w:bottom w:w="46" w:type="dxa"/>
              <w:right w:w="91" w:type="dxa"/>
            </w:tcMar>
            <w:vAlign w:val="center"/>
          </w:tcPr>
          <w:p w14:paraId="6999D10D" w14:textId="77777777" w:rsidR="00D07161" w:rsidRPr="009864E6" w:rsidRDefault="00D07161" w:rsidP="001F0738">
            <w:pPr>
              <w:spacing w:before="0" w:line="240" w:lineRule="auto"/>
              <w:jc w:val="center"/>
              <w:rPr>
                <w:color w:val="000000"/>
                <w:kern w:val="24"/>
                <w:lang w:eastAsia="en-GB"/>
              </w:rPr>
            </w:pPr>
            <w:r>
              <w:rPr>
                <w:color w:val="000000"/>
                <w:kern w:val="24"/>
                <w:lang w:eastAsia="en-GB"/>
              </w:rPr>
              <w:t>ns</w:t>
            </w:r>
          </w:p>
        </w:tc>
      </w:tr>
      <w:tr w:rsidR="00D07161" w:rsidRPr="009864E6" w14:paraId="758BC0FB" w14:textId="77777777" w:rsidTr="001F0738">
        <w:trPr>
          <w:trHeight w:val="166"/>
        </w:trPr>
        <w:tc>
          <w:tcPr>
            <w:tcW w:w="2410" w:type="dxa"/>
            <w:shd w:val="clear" w:color="auto" w:fill="auto"/>
            <w:tcMar>
              <w:top w:w="46" w:type="dxa"/>
              <w:left w:w="91" w:type="dxa"/>
              <w:bottom w:w="46" w:type="dxa"/>
              <w:right w:w="91" w:type="dxa"/>
            </w:tcMar>
            <w:vAlign w:val="center"/>
          </w:tcPr>
          <w:p w14:paraId="0A4F95D1" w14:textId="77777777" w:rsidR="00D07161" w:rsidRDefault="00D07161" w:rsidP="001F0738">
            <w:pPr>
              <w:spacing w:before="0" w:line="240" w:lineRule="auto"/>
              <w:rPr>
                <w:color w:val="000000"/>
                <w:kern w:val="24"/>
                <w:lang w:eastAsia="en-GB"/>
              </w:rPr>
            </w:pPr>
            <w:r>
              <w:rPr>
                <w:color w:val="000000"/>
                <w:kern w:val="24"/>
                <w:lang w:eastAsia="en-GB"/>
              </w:rPr>
              <w:t>Anxiety * ADHD * Group</w:t>
            </w:r>
          </w:p>
        </w:tc>
        <w:tc>
          <w:tcPr>
            <w:tcW w:w="1990" w:type="dxa"/>
            <w:shd w:val="clear" w:color="auto" w:fill="auto"/>
            <w:tcMar>
              <w:top w:w="46" w:type="dxa"/>
              <w:left w:w="91" w:type="dxa"/>
              <w:bottom w:w="46" w:type="dxa"/>
              <w:right w:w="91" w:type="dxa"/>
            </w:tcMar>
            <w:vAlign w:val="center"/>
          </w:tcPr>
          <w:p w14:paraId="2A331A91" w14:textId="77777777" w:rsidR="00D07161" w:rsidRPr="009864E6" w:rsidRDefault="00D07161" w:rsidP="001F0738">
            <w:pPr>
              <w:spacing w:before="0" w:line="240" w:lineRule="auto"/>
              <w:rPr>
                <w:lang w:eastAsia="en-GB"/>
              </w:rPr>
            </w:pPr>
          </w:p>
        </w:tc>
        <w:tc>
          <w:tcPr>
            <w:tcW w:w="653" w:type="dxa"/>
            <w:shd w:val="clear" w:color="auto" w:fill="auto"/>
            <w:tcMar>
              <w:top w:w="46" w:type="dxa"/>
              <w:left w:w="91" w:type="dxa"/>
              <w:bottom w:w="46" w:type="dxa"/>
              <w:right w:w="91" w:type="dxa"/>
            </w:tcMar>
            <w:vAlign w:val="center"/>
          </w:tcPr>
          <w:p w14:paraId="058EE387" w14:textId="77777777" w:rsidR="00D07161" w:rsidRDefault="00D07161" w:rsidP="001F0738">
            <w:pPr>
              <w:spacing w:before="0" w:line="240" w:lineRule="auto"/>
              <w:jc w:val="center"/>
              <w:rPr>
                <w:color w:val="000000"/>
                <w:kern w:val="24"/>
                <w:lang w:eastAsia="en-GB"/>
              </w:rPr>
            </w:pPr>
            <w:r>
              <w:rPr>
                <w:color w:val="000000"/>
                <w:kern w:val="24"/>
                <w:lang w:eastAsia="en-GB"/>
              </w:rPr>
              <w:t>-.05</w:t>
            </w:r>
          </w:p>
        </w:tc>
        <w:tc>
          <w:tcPr>
            <w:tcW w:w="566" w:type="dxa"/>
            <w:shd w:val="clear" w:color="auto" w:fill="auto"/>
            <w:tcMar>
              <w:top w:w="46" w:type="dxa"/>
              <w:left w:w="91" w:type="dxa"/>
              <w:bottom w:w="46" w:type="dxa"/>
              <w:right w:w="91" w:type="dxa"/>
            </w:tcMar>
            <w:vAlign w:val="center"/>
          </w:tcPr>
          <w:p w14:paraId="55BB6405" w14:textId="77777777" w:rsidR="00D07161" w:rsidRDefault="00D07161" w:rsidP="001F0738">
            <w:pPr>
              <w:spacing w:before="0" w:line="240" w:lineRule="auto"/>
              <w:jc w:val="center"/>
              <w:rPr>
                <w:color w:val="000000"/>
                <w:kern w:val="24"/>
                <w:lang w:eastAsia="en-GB"/>
              </w:rPr>
            </w:pPr>
            <w:r>
              <w:rPr>
                <w:color w:val="000000"/>
                <w:kern w:val="24"/>
                <w:lang w:eastAsia="en-GB"/>
              </w:rPr>
              <w:t>.04</w:t>
            </w:r>
          </w:p>
        </w:tc>
        <w:tc>
          <w:tcPr>
            <w:tcW w:w="793" w:type="dxa"/>
            <w:gridSpan w:val="2"/>
            <w:shd w:val="clear" w:color="auto" w:fill="auto"/>
            <w:tcMar>
              <w:top w:w="46" w:type="dxa"/>
              <w:left w:w="91" w:type="dxa"/>
              <w:bottom w:w="46" w:type="dxa"/>
              <w:right w:w="91" w:type="dxa"/>
            </w:tcMar>
            <w:vAlign w:val="center"/>
          </w:tcPr>
          <w:p w14:paraId="10F8F394" w14:textId="77777777" w:rsidR="00D07161" w:rsidRDefault="00D07161" w:rsidP="001F0738">
            <w:pPr>
              <w:spacing w:before="0" w:line="240" w:lineRule="auto"/>
              <w:jc w:val="center"/>
              <w:rPr>
                <w:color w:val="000000"/>
                <w:kern w:val="24"/>
                <w:lang w:eastAsia="en-GB"/>
              </w:rPr>
            </w:pPr>
            <w:r>
              <w:rPr>
                <w:color w:val="000000"/>
                <w:kern w:val="24"/>
                <w:lang w:eastAsia="en-GB"/>
              </w:rPr>
              <w:t>1.24</w:t>
            </w:r>
          </w:p>
        </w:tc>
        <w:tc>
          <w:tcPr>
            <w:tcW w:w="686" w:type="dxa"/>
            <w:shd w:val="clear" w:color="auto" w:fill="auto"/>
            <w:tcMar>
              <w:top w:w="46" w:type="dxa"/>
              <w:left w:w="91" w:type="dxa"/>
              <w:bottom w:w="46" w:type="dxa"/>
              <w:right w:w="91" w:type="dxa"/>
            </w:tcMar>
            <w:vAlign w:val="center"/>
          </w:tcPr>
          <w:p w14:paraId="39A52D7D" w14:textId="77777777" w:rsidR="00D07161" w:rsidRPr="00C12388" w:rsidRDefault="00D07161" w:rsidP="001F0738">
            <w:pPr>
              <w:spacing w:before="0" w:line="240" w:lineRule="auto"/>
              <w:jc w:val="center"/>
              <w:rPr>
                <w:bCs/>
                <w:color w:val="000000"/>
                <w:kern w:val="24"/>
                <w:lang w:eastAsia="en-GB"/>
              </w:rPr>
            </w:pPr>
            <w:r w:rsidRPr="00C12388">
              <w:rPr>
                <w:bCs/>
                <w:color w:val="000000"/>
                <w:kern w:val="24"/>
                <w:lang w:eastAsia="en-GB"/>
              </w:rPr>
              <w:t>ns</w:t>
            </w:r>
          </w:p>
        </w:tc>
        <w:tc>
          <w:tcPr>
            <w:tcW w:w="202" w:type="dxa"/>
            <w:shd w:val="clear" w:color="auto" w:fill="auto"/>
            <w:tcMar>
              <w:top w:w="46" w:type="dxa"/>
              <w:left w:w="91" w:type="dxa"/>
              <w:bottom w:w="46" w:type="dxa"/>
              <w:right w:w="91" w:type="dxa"/>
            </w:tcMar>
            <w:vAlign w:val="center"/>
          </w:tcPr>
          <w:p w14:paraId="10CEDB25" w14:textId="77777777" w:rsidR="00D07161" w:rsidRPr="009864E6" w:rsidRDefault="00D07161" w:rsidP="001F0738">
            <w:pPr>
              <w:spacing w:before="0" w:line="240" w:lineRule="auto"/>
              <w:rPr>
                <w:lang w:eastAsia="en-GB"/>
              </w:rPr>
            </w:pPr>
          </w:p>
        </w:tc>
        <w:tc>
          <w:tcPr>
            <w:tcW w:w="624" w:type="dxa"/>
            <w:shd w:val="clear" w:color="auto" w:fill="auto"/>
            <w:tcMar>
              <w:top w:w="46" w:type="dxa"/>
              <w:left w:w="91" w:type="dxa"/>
              <w:bottom w:w="46" w:type="dxa"/>
              <w:right w:w="91" w:type="dxa"/>
            </w:tcMar>
            <w:vAlign w:val="center"/>
          </w:tcPr>
          <w:p w14:paraId="6AB9DFE6" w14:textId="77777777" w:rsidR="00D07161" w:rsidRPr="009864E6" w:rsidRDefault="00D07161" w:rsidP="001F0738">
            <w:pPr>
              <w:spacing w:before="0" w:line="240" w:lineRule="auto"/>
              <w:jc w:val="center"/>
              <w:rPr>
                <w:color w:val="000000"/>
                <w:kern w:val="24"/>
                <w:lang w:eastAsia="en-GB"/>
              </w:rPr>
            </w:pPr>
            <w:r>
              <w:rPr>
                <w:color w:val="000000"/>
                <w:kern w:val="24"/>
                <w:lang w:eastAsia="en-GB"/>
              </w:rPr>
              <w:t>.16</w:t>
            </w:r>
          </w:p>
        </w:tc>
        <w:tc>
          <w:tcPr>
            <w:tcW w:w="567" w:type="dxa"/>
            <w:shd w:val="clear" w:color="auto" w:fill="auto"/>
            <w:tcMar>
              <w:top w:w="46" w:type="dxa"/>
              <w:left w:w="91" w:type="dxa"/>
              <w:bottom w:w="46" w:type="dxa"/>
              <w:right w:w="91" w:type="dxa"/>
            </w:tcMar>
            <w:vAlign w:val="center"/>
          </w:tcPr>
          <w:p w14:paraId="77CF6300" w14:textId="77777777" w:rsidR="00D07161" w:rsidRPr="009864E6" w:rsidRDefault="00D07161" w:rsidP="001F0738">
            <w:pPr>
              <w:spacing w:before="0" w:line="240" w:lineRule="auto"/>
              <w:jc w:val="center"/>
              <w:rPr>
                <w:color w:val="000000"/>
                <w:kern w:val="24"/>
                <w:lang w:eastAsia="en-GB"/>
              </w:rPr>
            </w:pPr>
            <w:r>
              <w:rPr>
                <w:color w:val="000000"/>
                <w:kern w:val="24"/>
                <w:lang w:eastAsia="en-GB"/>
              </w:rPr>
              <w:t>.19</w:t>
            </w:r>
          </w:p>
        </w:tc>
        <w:tc>
          <w:tcPr>
            <w:tcW w:w="708" w:type="dxa"/>
            <w:shd w:val="clear" w:color="auto" w:fill="auto"/>
            <w:tcMar>
              <w:top w:w="46" w:type="dxa"/>
              <w:left w:w="91" w:type="dxa"/>
              <w:bottom w:w="46" w:type="dxa"/>
              <w:right w:w="91" w:type="dxa"/>
            </w:tcMar>
            <w:vAlign w:val="center"/>
          </w:tcPr>
          <w:p w14:paraId="6A15FF24" w14:textId="77777777" w:rsidR="00D07161" w:rsidRDefault="00D07161" w:rsidP="001F0738">
            <w:pPr>
              <w:spacing w:before="0" w:line="240" w:lineRule="auto"/>
              <w:jc w:val="center"/>
              <w:rPr>
                <w:color w:val="000000"/>
                <w:kern w:val="24"/>
                <w:lang w:eastAsia="en-GB"/>
              </w:rPr>
            </w:pPr>
            <w:r>
              <w:rPr>
                <w:color w:val="000000"/>
                <w:kern w:val="24"/>
                <w:lang w:eastAsia="en-GB"/>
              </w:rPr>
              <w:t>.87</w:t>
            </w:r>
          </w:p>
        </w:tc>
        <w:tc>
          <w:tcPr>
            <w:tcW w:w="734" w:type="dxa"/>
            <w:shd w:val="clear" w:color="auto" w:fill="auto"/>
            <w:tcMar>
              <w:top w:w="46" w:type="dxa"/>
              <w:left w:w="91" w:type="dxa"/>
              <w:bottom w:w="46" w:type="dxa"/>
              <w:right w:w="91" w:type="dxa"/>
            </w:tcMar>
            <w:vAlign w:val="center"/>
          </w:tcPr>
          <w:p w14:paraId="68EA09ED" w14:textId="77777777" w:rsidR="00D07161" w:rsidRPr="009864E6" w:rsidRDefault="00D07161" w:rsidP="001F0738">
            <w:pPr>
              <w:spacing w:before="0" w:line="240" w:lineRule="auto"/>
              <w:jc w:val="center"/>
              <w:rPr>
                <w:color w:val="000000"/>
                <w:kern w:val="24"/>
                <w:lang w:eastAsia="en-GB"/>
              </w:rPr>
            </w:pPr>
            <w:r>
              <w:rPr>
                <w:color w:val="000000"/>
                <w:kern w:val="24"/>
                <w:lang w:eastAsia="en-GB"/>
              </w:rPr>
              <w:t>ns</w:t>
            </w:r>
          </w:p>
        </w:tc>
      </w:tr>
      <w:tr w:rsidR="00D07161" w:rsidRPr="009864E6" w14:paraId="5C61189B" w14:textId="77777777" w:rsidTr="001F0738">
        <w:trPr>
          <w:trHeight w:val="227"/>
        </w:trPr>
        <w:tc>
          <w:tcPr>
            <w:tcW w:w="2410" w:type="dxa"/>
            <w:shd w:val="clear" w:color="auto" w:fill="auto"/>
            <w:tcMar>
              <w:top w:w="46" w:type="dxa"/>
              <w:left w:w="91" w:type="dxa"/>
              <w:bottom w:w="46" w:type="dxa"/>
              <w:right w:w="91" w:type="dxa"/>
            </w:tcMar>
            <w:vAlign w:val="center"/>
            <w:hideMark/>
          </w:tcPr>
          <w:p w14:paraId="0D774F01" w14:textId="77777777" w:rsidR="00D07161" w:rsidRPr="009864E6" w:rsidRDefault="00D07161" w:rsidP="001F0738">
            <w:pPr>
              <w:spacing w:before="0" w:line="240" w:lineRule="auto"/>
              <w:rPr>
                <w:lang w:eastAsia="en-GB"/>
              </w:rPr>
            </w:pPr>
            <w:r w:rsidRPr="009864E6">
              <w:rPr>
                <w:color w:val="000000"/>
                <w:kern w:val="24"/>
                <w:lang w:eastAsia="en-GB"/>
              </w:rPr>
              <w:t>Anxiety * Cue Condition</w:t>
            </w:r>
          </w:p>
        </w:tc>
        <w:tc>
          <w:tcPr>
            <w:tcW w:w="1990" w:type="dxa"/>
            <w:shd w:val="clear" w:color="auto" w:fill="auto"/>
            <w:tcMar>
              <w:top w:w="46" w:type="dxa"/>
              <w:left w:w="91" w:type="dxa"/>
              <w:bottom w:w="46" w:type="dxa"/>
              <w:right w:w="91" w:type="dxa"/>
            </w:tcMar>
            <w:vAlign w:val="center"/>
            <w:hideMark/>
          </w:tcPr>
          <w:p w14:paraId="351E898B" w14:textId="77777777" w:rsidR="00D07161" w:rsidRPr="009864E6" w:rsidRDefault="00D07161" w:rsidP="001F0738">
            <w:pPr>
              <w:spacing w:before="0" w:line="240" w:lineRule="auto"/>
              <w:rPr>
                <w:lang w:eastAsia="en-GB"/>
              </w:rPr>
            </w:pPr>
          </w:p>
        </w:tc>
        <w:tc>
          <w:tcPr>
            <w:tcW w:w="653" w:type="dxa"/>
            <w:shd w:val="clear" w:color="auto" w:fill="auto"/>
            <w:tcMar>
              <w:top w:w="46" w:type="dxa"/>
              <w:left w:w="91" w:type="dxa"/>
              <w:bottom w:w="46" w:type="dxa"/>
              <w:right w:w="91" w:type="dxa"/>
            </w:tcMar>
            <w:vAlign w:val="center"/>
            <w:hideMark/>
          </w:tcPr>
          <w:p w14:paraId="6F8F6B77" w14:textId="77777777" w:rsidR="00D07161" w:rsidRPr="009864E6" w:rsidRDefault="00D07161" w:rsidP="001F0738">
            <w:pPr>
              <w:spacing w:before="0" w:line="240" w:lineRule="auto"/>
              <w:rPr>
                <w:lang w:eastAsia="en-GB"/>
              </w:rPr>
            </w:pPr>
          </w:p>
        </w:tc>
        <w:tc>
          <w:tcPr>
            <w:tcW w:w="566" w:type="dxa"/>
            <w:shd w:val="clear" w:color="auto" w:fill="auto"/>
            <w:tcMar>
              <w:top w:w="46" w:type="dxa"/>
              <w:left w:w="91" w:type="dxa"/>
              <w:bottom w:w="46" w:type="dxa"/>
              <w:right w:w="91" w:type="dxa"/>
            </w:tcMar>
            <w:vAlign w:val="center"/>
            <w:hideMark/>
          </w:tcPr>
          <w:p w14:paraId="6C1AA97E" w14:textId="77777777" w:rsidR="00D07161" w:rsidRPr="009864E6" w:rsidRDefault="00D07161" w:rsidP="001F0738">
            <w:pPr>
              <w:spacing w:before="0" w:line="240" w:lineRule="auto"/>
              <w:rPr>
                <w:lang w:eastAsia="en-GB"/>
              </w:rPr>
            </w:pPr>
          </w:p>
        </w:tc>
        <w:tc>
          <w:tcPr>
            <w:tcW w:w="793" w:type="dxa"/>
            <w:gridSpan w:val="2"/>
            <w:shd w:val="clear" w:color="auto" w:fill="auto"/>
            <w:tcMar>
              <w:top w:w="46" w:type="dxa"/>
              <w:left w:w="91" w:type="dxa"/>
              <w:bottom w:w="46" w:type="dxa"/>
              <w:right w:w="91" w:type="dxa"/>
            </w:tcMar>
            <w:vAlign w:val="center"/>
            <w:hideMark/>
          </w:tcPr>
          <w:p w14:paraId="55E52AF4" w14:textId="77777777" w:rsidR="00D07161" w:rsidRPr="009864E6" w:rsidRDefault="00D07161" w:rsidP="001F0738">
            <w:pPr>
              <w:spacing w:before="0" w:line="240" w:lineRule="auto"/>
              <w:rPr>
                <w:lang w:eastAsia="en-GB"/>
              </w:rPr>
            </w:pPr>
          </w:p>
        </w:tc>
        <w:tc>
          <w:tcPr>
            <w:tcW w:w="686" w:type="dxa"/>
            <w:shd w:val="clear" w:color="auto" w:fill="auto"/>
            <w:tcMar>
              <w:top w:w="46" w:type="dxa"/>
              <w:left w:w="91" w:type="dxa"/>
              <w:bottom w:w="46" w:type="dxa"/>
              <w:right w:w="91" w:type="dxa"/>
            </w:tcMar>
            <w:vAlign w:val="center"/>
            <w:hideMark/>
          </w:tcPr>
          <w:p w14:paraId="53ADA6EF" w14:textId="77777777" w:rsidR="00D07161" w:rsidRPr="009864E6" w:rsidRDefault="00D07161" w:rsidP="001F0738">
            <w:pPr>
              <w:spacing w:before="0" w:line="240" w:lineRule="auto"/>
              <w:rPr>
                <w:lang w:eastAsia="en-GB"/>
              </w:rPr>
            </w:pPr>
          </w:p>
        </w:tc>
        <w:tc>
          <w:tcPr>
            <w:tcW w:w="202" w:type="dxa"/>
            <w:shd w:val="clear" w:color="auto" w:fill="auto"/>
            <w:tcMar>
              <w:top w:w="46" w:type="dxa"/>
              <w:left w:w="91" w:type="dxa"/>
              <w:bottom w:w="46" w:type="dxa"/>
              <w:right w:w="91" w:type="dxa"/>
            </w:tcMar>
            <w:vAlign w:val="center"/>
            <w:hideMark/>
          </w:tcPr>
          <w:p w14:paraId="47EA05ED" w14:textId="77777777" w:rsidR="00D07161" w:rsidRPr="009864E6" w:rsidRDefault="00D07161" w:rsidP="001F0738">
            <w:pPr>
              <w:spacing w:before="0" w:line="240" w:lineRule="auto"/>
              <w:rPr>
                <w:lang w:eastAsia="en-GB"/>
              </w:rPr>
            </w:pPr>
          </w:p>
        </w:tc>
        <w:tc>
          <w:tcPr>
            <w:tcW w:w="624" w:type="dxa"/>
            <w:shd w:val="clear" w:color="auto" w:fill="auto"/>
            <w:tcMar>
              <w:top w:w="46" w:type="dxa"/>
              <w:left w:w="91" w:type="dxa"/>
              <w:bottom w:w="46" w:type="dxa"/>
              <w:right w:w="91" w:type="dxa"/>
            </w:tcMar>
            <w:vAlign w:val="center"/>
            <w:hideMark/>
          </w:tcPr>
          <w:p w14:paraId="77F22C89" w14:textId="77777777" w:rsidR="00D07161" w:rsidRPr="009864E6" w:rsidRDefault="00D07161" w:rsidP="001F0738">
            <w:pPr>
              <w:spacing w:before="0" w:line="240" w:lineRule="auto"/>
              <w:rPr>
                <w:lang w:eastAsia="en-GB"/>
              </w:rPr>
            </w:pPr>
          </w:p>
        </w:tc>
        <w:tc>
          <w:tcPr>
            <w:tcW w:w="567" w:type="dxa"/>
            <w:shd w:val="clear" w:color="auto" w:fill="auto"/>
            <w:tcMar>
              <w:top w:w="46" w:type="dxa"/>
              <w:left w:w="91" w:type="dxa"/>
              <w:bottom w:w="46" w:type="dxa"/>
              <w:right w:w="91" w:type="dxa"/>
            </w:tcMar>
            <w:vAlign w:val="center"/>
            <w:hideMark/>
          </w:tcPr>
          <w:p w14:paraId="20A38300" w14:textId="77777777" w:rsidR="00D07161" w:rsidRPr="009864E6" w:rsidRDefault="00D07161" w:rsidP="001F0738">
            <w:pPr>
              <w:spacing w:before="0" w:line="240" w:lineRule="auto"/>
              <w:rPr>
                <w:lang w:eastAsia="en-GB"/>
              </w:rPr>
            </w:pPr>
          </w:p>
        </w:tc>
        <w:tc>
          <w:tcPr>
            <w:tcW w:w="708" w:type="dxa"/>
            <w:shd w:val="clear" w:color="auto" w:fill="auto"/>
            <w:tcMar>
              <w:top w:w="46" w:type="dxa"/>
              <w:left w:w="91" w:type="dxa"/>
              <w:bottom w:w="46" w:type="dxa"/>
              <w:right w:w="91" w:type="dxa"/>
            </w:tcMar>
            <w:vAlign w:val="center"/>
            <w:hideMark/>
          </w:tcPr>
          <w:p w14:paraId="3BE55AF6" w14:textId="77777777" w:rsidR="00D07161" w:rsidRPr="009864E6" w:rsidRDefault="00D07161" w:rsidP="001F0738">
            <w:pPr>
              <w:spacing w:before="0" w:line="240" w:lineRule="auto"/>
              <w:rPr>
                <w:lang w:eastAsia="en-GB"/>
              </w:rPr>
            </w:pPr>
          </w:p>
        </w:tc>
        <w:tc>
          <w:tcPr>
            <w:tcW w:w="734" w:type="dxa"/>
            <w:shd w:val="clear" w:color="auto" w:fill="auto"/>
            <w:tcMar>
              <w:top w:w="46" w:type="dxa"/>
              <w:left w:w="91" w:type="dxa"/>
              <w:bottom w:w="46" w:type="dxa"/>
              <w:right w:w="91" w:type="dxa"/>
            </w:tcMar>
            <w:vAlign w:val="center"/>
            <w:hideMark/>
          </w:tcPr>
          <w:p w14:paraId="68DF5F8A" w14:textId="77777777" w:rsidR="00D07161" w:rsidRPr="009864E6" w:rsidRDefault="00D07161" w:rsidP="001F0738">
            <w:pPr>
              <w:spacing w:before="0" w:line="240" w:lineRule="auto"/>
              <w:rPr>
                <w:lang w:eastAsia="en-GB"/>
              </w:rPr>
            </w:pPr>
          </w:p>
        </w:tc>
      </w:tr>
      <w:tr w:rsidR="00D07161" w:rsidRPr="009864E6" w14:paraId="6F005980" w14:textId="77777777" w:rsidTr="001F0738">
        <w:trPr>
          <w:trHeight w:val="148"/>
        </w:trPr>
        <w:tc>
          <w:tcPr>
            <w:tcW w:w="2410" w:type="dxa"/>
            <w:shd w:val="clear" w:color="auto" w:fill="auto"/>
            <w:tcMar>
              <w:top w:w="46" w:type="dxa"/>
              <w:left w:w="91" w:type="dxa"/>
              <w:bottom w:w="46" w:type="dxa"/>
              <w:right w:w="91" w:type="dxa"/>
            </w:tcMar>
            <w:vAlign w:val="center"/>
            <w:hideMark/>
          </w:tcPr>
          <w:p w14:paraId="13F9EC98" w14:textId="77777777" w:rsidR="00D07161" w:rsidRPr="009864E6" w:rsidRDefault="00D07161" w:rsidP="001F0738">
            <w:pPr>
              <w:spacing w:before="0" w:line="240" w:lineRule="auto"/>
              <w:rPr>
                <w:lang w:eastAsia="en-GB"/>
              </w:rPr>
            </w:pPr>
          </w:p>
        </w:tc>
        <w:tc>
          <w:tcPr>
            <w:tcW w:w="1990" w:type="dxa"/>
            <w:shd w:val="clear" w:color="auto" w:fill="auto"/>
            <w:tcMar>
              <w:top w:w="46" w:type="dxa"/>
              <w:left w:w="91" w:type="dxa"/>
              <w:bottom w:w="46" w:type="dxa"/>
              <w:right w:w="91" w:type="dxa"/>
            </w:tcMar>
            <w:vAlign w:val="center"/>
            <w:hideMark/>
          </w:tcPr>
          <w:p w14:paraId="75F6477A" w14:textId="77777777" w:rsidR="00D07161" w:rsidRPr="009864E6" w:rsidRDefault="00D07161" w:rsidP="001F0738">
            <w:pPr>
              <w:spacing w:before="0" w:line="240" w:lineRule="auto"/>
              <w:rPr>
                <w:lang w:eastAsia="en-GB"/>
              </w:rPr>
            </w:pPr>
            <w:r>
              <w:rPr>
                <w:color w:val="000000"/>
                <w:kern w:val="24"/>
                <w:lang w:eastAsia="en-GB"/>
              </w:rPr>
              <w:t xml:space="preserve">Angry vs </w:t>
            </w:r>
            <w:r w:rsidRPr="009864E6">
              <w:rPr>
                <w:color w:val="000000"/>
                <w:kern w:val="24"/>
                <w:lang w:eastAsia="en-GB"/>
              </w:rPr>
              <w:t>Happy</w:t>
            </w:r>
          </w:p>
        </w:tc>
        <w:tc>
          <w:tcPr>
            <w:tcW w:w="653" w:type="dxa"/>
            <w:shd w:val="clear" w:color="auto" w:fill="auto"/>
            <w:tcMar>
              <w:top w:w="46" w:type="dxa"/>
              <w:left w:w="91" w:type="dxa"/>
              <w:bottom w:w="46" w:type="dxa"/>
              <w:right w:w="91" w:type="dxa"/>
            </w:tcMar>
            <w:vAlign w:val="center"/>
            <w:hideMark/>
          </w:tcPr>
          <w:p w14:paraId="0420FF5F" w14:textId="77777777" w:rsidR="00D07161" w:rsidRPr="009864E6" w:rsidRDefault="00D07161" w:rsidP="001F0738">
            <w:pPr>
              <w:spacing w:before="0" w:line="240" w:lineRule="auto"/>
              <w:jc w:val="center"/>
              <w:rPr>
                <w:lang w:eastAsia="en-GB"/>
              </w:rPr>
            </w:pPr>
            <w:r>
              <w:rPr>
                <w:color w:val="000000"/>
                <w:kern w:val="24"/>
                <w:lang w:eastAsia="en-GB"/>
              </w:rPr>
              <w:t>-</w:t>
            </w:r>
            <w:r w:rsidRPr="009864E6">
              <w:rPr>
                <w:color w:val="000000"/>
                <w:kern w:val="24"/>
                <w:lang w:eastAsia="en-GB"/>
              </w:rPr>
              <w:t>.03</w:t>
            </w:r>
          </w:p>
        </w:tc>
        <w:tc>
          <w:tcPr>
            <w:tcW w:w="566" w:type="dxa"/>
            <w:shd w:val="clear" w:color="auto" w:fill="auto"/>
            <w:tcMar>
              <w:top w:w="46" w:type="dxa"/>
              <w:left w:w="91" w:type="dxa"/>
              <w:bottom w:w="46" w:type="dxa"/>
              <w:right w:w="91" w:type="dxa"/>
            </w:tcMar>
            <w:vAlign w:val="center"/>
            <w:hideMark/>
          </w:tcPr>
          <w:p w14:paraId="00F1904B" w14:textId="77777777" w:rsidR="00D07161" w:rsidRPr="009864E6" w:rsidRDefault="00D07161" w:rsidP="001F0738">
            <w:pPr>
              <w:spacing w:before="0" w:line="240" w:lineRule="auto"/>
              <w:jc w:val="center"/>
              <w:rPr>
                <w:lang w:eastAsia="en-GB"/>
              </w:rPr>
            </w:pPr>
            <w:r w:rsidRPr="009864E6">
              <w:rPr>
                <w:color w:val="000000"/>
                <w:kern w:val="24"/>
                <w:lang w:eastAsia="en-GB"/>
              </w:rPr>
              <w:t>.01</w:t>
            </w:r>
          </w:p>
        </w:tc>
        <w:tc>
          <w:tcPr>
            <w:tcW w:w="793" w:type="dxa"/>
            <w:gridSpan w:val="2"/>
            <w:shd w:val="clear" w:color="auto" w:fill="auto"/>
            <w:tcMar>
              <w:top w:w="46" w:type="dxa"/>
              <w:left w:w="91" w:type="dxa"/>
              <w:bottom w:w="46" w:type="dxa"/>
              <w:right w:w="91" w:type="dxa"/>
            </w:tcMar>
            <w:vAlign w:val="center"/>
            <w:hideMark/>
          </w:tcPr>
          <w:p w14:paraId="4E394A3D" w14:textId="77777777" w:rsidR="00D07161" w:rsidRPr="009864E6" w:rsidRDefault="00D07161" w:rsidP="001F0738">
            <w:pPr>
              <w:spacing w:before="0" w:line="240" w:lineRule="auto"/>
              <w:jc w:val="center"/>
              <w:rPr>
                <w:lang w:eastAsia="en-GB"/>
              </w:rPr>
            </w:pPr>
            <w:r>
              <w:rPr>
                <w:color w:val="000000"/>
                <w:kern w:val="24"/>
                <w:lang w:eastAsia="en-GB"/>
              </w:rPr>
              <w:t>-2.41</w:t>
            </w:r>
          </w:p>
        </w:tc>
        <w:tc>
          <w:tcPr>
            <w:tcW w:w="686" w:type="dxa"/>
            <w:shd w:val="clear" w:color="auto" w:fill="auto"/>
            <w:tcMar>
              <w:top w:w="46" w:type="dxa"/>
              <w:left w:w="91" w:type="dxa"/>
              <w:bottom w:w="46" w:type="dxa"/>
              <w:right w:w="91" w:type="dxa"/>
            </w:tcMar>
            <w:vAlign w:val="center"/>
            <w:hideMark/>
          </w:tcPr>
          <w:p w14:paraId="06E1DA76" w14:textId="77777777" w:rsidR="00D07161" w:rsidRPr="009864E6" w:rsidRDefault="00D07161" w:rsidP="001F0738">
            <w:pPr>
              <w:spacing w:before="0" w:line="240" w:lineRule="auto"/>
              <w:jc w:val="center"/>
              <w:rPr>
                <w:lang w:eastAsia="en-GB"/>
              </w:rPr>
            </w:pPr>
            <w:r w:rsidRPr="009864E6">
              <w:rPr>
                <w:color w:val="000000"/>
                <w:kern w:val="24"/>
                <w:lang w:eastAsia="en-GB"/>
              </w:rPr>
              <w:t>*</w:t>
            </w:r>
          </w:p>
        </w:tc>
        <w:tc>
          <w:tcPr>
            <w:tcW w:w="202" w:type="dxa"/>
            <w:shd w:val="clear" w:color="auto" w:fill="auto"/>
            <w:tcMar>
              <w:top w:w="46" w:type="dxa"/>
              <w:left w:w="91" w:type="dxa"/>
              <w:bottom w:w="46" w:type="dxa"/>
              <w:right w:w="91" w:type="dxa"/>
            </w:tcMar>
            <w:vAlign w:val="center"/>
            <w:hideMark/>
          </w:tcPr>
          <w:p w14:paraId="218686B5" w14:textId="77777777" w:rsidR="00D07161" w:rsidRPr="009864E6" w:rsidRDefault="00D07161" w:rsidP="001F0738">
            <w:pPr>
              <w:spacing w:before="0" w:line="240" w:lineRule="auto"/>
              <w:rPr>
                <w:lang w:eastAsia="en-GB"/>
              </w:rPr>
            </w:pPr>
          </w:p>
        </w:tc>
        <w:tc>
          <w:tcPr>
            <w:tcW w:w="624" w:type="dxa"/>
            <w:shd w:val="clear" w:color="auto" w:fill="auto"/>
            <w:tcMar>
              <w:top w:w="46" w:type="dxa"/>
              <w:left w:w="91" w:type="dxa"/>
              <w:bottom w:w="46" w:type="dxa"/>
              <w:right w:w="91" w:type="dxa"/>
            </w:tcMar>
            <w:vAlign w:val="center"/>
            <w:hideMark/>
          </w:tcPr>
          <w:p w14:paraId="40EA9D2E" w14:textId="77777777" w:rsidR="00D07161" w:rsidRPr="009864E6" w:rsidRDefault="00D07161" w:rsidP="001F0738">
            <w:pPr>
              <w:spacing w:before="0" w:line="240" w:lineRule="auto"/>
              <w:jc w:val="center"/>
              <w:rPr>
                <w:lang w:eastAsia="en-GB"/>
              </w:rPr>
            </w:pPr>
            <w:r>
              <w:rPr>
                <w:color w:val="000000"/>
                <w:kern w:val="24"/>
                <w:lang w:eastAsia="en-GB"/>
              </w:rPr>
              <w:t>-.08</w:t>
            </w:r>
          </w:p>
        </w:tc>
        <w:tc>
          <w:tcPr>
            <w:tcW w:w="567" w:type="dxa"/>
            <w:shd w:val="clear" w:color="auto" w:fill="auto"/>
            <w:tcMar>
              <w:top w:w="46" w:type="dxa"/>
              <w:left w:w="91" w:type="dxa"/>
              <w:bottom w:w="46" w:type="dxa"/>
              <w:right w:w="91" w:type="dxa"/>
            </w:tcMar>
            <w:vAlign w:val="center"/>
            <w:hideMark/>
          </w:tcPr>
          <w:p w14:paraId="039CB5DF" w14:textId="77777777" w:rsidR="00D07161" w:rsidRPr="009864E6" w:rsidRDefault="00D07161" w:rsidP="001F0738">
            <w:pPr>
              <w:spacing w:before="0" w:line="240" w:lineRule="auto"/>
              <w:jc w:val="center"/>
              <w:rPr>
                <w:lang w:eastAsia="en-GB"/>
              </w:rPr>
            </w:pPr>
            <w:r>
              <w:rPr>
                <w:color w:val="000000"/>
                <w:kern w:val="24"/>
                <w:lang w:eastAsia="en-GB"/>
              </w:rPr>
              <w:t>.10</w:t>
            </w:r>
          </w:p>
        </w:tc>
        <w:tc>
          <w:tcPr>
            <w:tcW w:w="708" w:type="dxa"/>
            <w:shd w:val="clear" w:color="auto" w:fill="auto"/>
            <w:tcMar>
              <w:top w:w="46" w:type="dxa"/>
              <w:left w:w="91" w:type="dxa"/>
              <w:bottom w:w="46" w:type="dxa"/>
              <w:right w:w="91" w:type="dxa"/>
            </w:tcMar>
            <w:vAlign w:val="center"/>
            <w:hideMark/>
          </w:tcPr>
          <w:p w14:paraId="2DF9DC6B" w14:textId="77777777" w:rsidR="00D07161" w:rsidRPr="009864E6" w:rsidRDefault="00D07161" w:rsidP="001F0738">
            <w:pPr>
              <w:spacing w:before="0" w:line="240" w:lineRule="auto"/>
              <w:jc w:val="center"/>
              <w:rPr>
                <w:lang w:eastAsia="en-GB"/>
              </w:rPr>
            </w:pPr>
            <w:r>
              <w:rPr>
                <w:color w:val="000000"/>
                <w:kern w:val="24"/>
                <w:lang w:eastAsia="en-GB"/>
              </w:rPr>
              <w:t>-.73</w:t>
            </w:r>
          </w:p>
        </w:tc>
        <w:tc>
          <w:tcPr>
            <w:tcW w:w="734" w:type="dxa"/>
            <w:shd w:val="clear" w:color="auto" w:fill="auto"/>
            <w:tcMar>
              <w:top w:w="46" w:type="dxa"/>
              <w:left w:w="91" w:type="dxa"/>
              <w:bottom w:w="46" w:type="dxa"/>
              <w:right w:w="91" w:type="dxa"/>
            </w:tcMar>
            <w:vAlign w:val="center"/>
            <w:hideMark/>
          </w:tcPr>
          <w:p w14:paraId="6589B562" w14:textId="77777777" w:rsidR="00D07161" w:rsidRPr="009864E6" w:rsidRDefault="00D07161" w:rsidP="001F0738">
            <w:pPr>
              <w:spacing w:before="0" w:line="240" w:lineRule="auto"/>
              <w:jc w:val="center"/>
              <w:rPr>
                <w:lang w:eastAsia="en-GB"/>
              </w:rPr>
            </w:pPr>
            <w:r w:rsidRPr="009864E6">
              <w:rPr>
                <w:color w:val="000000"/>
                <w:kern w:val="24"/>
                <w:lang w:eastAsia="en-GB"/>
              </w:rPr>
              <w:t>ns</w:t>
            </w:r>
          </w:p>
        </w:tc>
      </w:tr>
      <w:tr w:rsidR="00D07161" w:rsidRPr="00173628" w14:paraId="5594AD96" w14:textId="77777777" w:rsidTr="001F0738">
        <w:trPr>
          <w:trHeight w:val="209"/>
        </w:trPr>
        <w:tc>
          <w:tcPr>
            <w:tcW w:w="2410" w:type="dxa"/>
            <w:shd w:val="clear" w:color="auto" w:fill="auto"/>
            <w:tcMar>
              <w:top w:w="46" w:type="dxa"/>
              <w:left w:w="91" w:type="dxa"/>
              <w:bottom w:w="46" w:type="dxa"/>
              <w:right w:w="91" w:type="dxa"/>
            </w:tcMar>
            <w:vAlign w:val="center"/>
            <w:hideMark/>
          </w:tcPr>
          <w:p w14:paraId="7B7668BA" w14:textId="77777777" w:rsidR="00D07161" w:rsidRPr="009864E6" w:rsidRDefault="00D07161" w:rsidP="001F0738">
            <w:pPr>
              <w:spacing w:before="0" w:line="240" w:lineRule="auto"/>
              <w:rPr>
                <w:lang w:eastAsia="en-GB"/>
              </w:rPr>
            </w:pPr>
          </w:p>
        </w:tc>
        <w:tc>
          <w:tcPr>
            <w:tcW w:w="1990" w:type="dxa"/>
            <w:shd w:val="clear" w:color="auto" w:fill="auto"/>
            <w:tcMar>
              <w:top w:w="46" w:type="dxa"/>
              <w:left w:w="91" w:type="dxa"/>
              <w:bottom w:w="46" w:type="dxa"/>
              <w:right w:w="91" w:type="dxa"/>
            </w:tcMar>
            <w:vAlign w:val="center"/>
            <w:hideMark/>
          </w:tcPr>
          <w:p w14:paraId="089C90B3" w14:textId="77777777" w:rsidR="00D07161" w:rsidRPr="00173628" w:rsidRDefault="00D07161" w:rsidP="001F0738">
            <w:pPr>
              <w:spacing w:before="0" w:line="240" w:lineRule="auto"/>
              <w:rPr>
                <w:lang w:eastAsia="en-GB"/>
              </w:rPr>
            </w:pPr>
            <w:r w:rsidRPr="00173628">
              <w:rPr>
                <w:color w:val="000000"/>
                <w:kern w:val="24"/>
                <w:lang w:eastAsia="en-GB"/>
              </w:rPr>
              <w:t>Happy vs non-face</w:t>
            </w:r>
          </w:p>
        </w:tc>
        <w:tc>
          <w:tcPr>
            <w:tcW w:w="653" w:type="dxa"/>
            <w:shd w:val="clear" w:color="auto" w:fill="auto"/>
            <w:tcMar>
              <w:top w:w="46" w:type="dxa"/>
              <w:left w:w="91" w:type="dxa"/>
              <w:bottom w:w="46" w:type="dxa"/>
              <w:right w:w="91" w:type="dxa"/>
            </w:tcMar>
            <w:vAlign w:val="center"/>
            <w:hideMark/>
          </w:tcPr>
          <w:p w14:paraId="7967D081" w14:textId="77777777" w:rsidR="00D07161" w:rsidRPr="00173628" w:rsidRDefault="00D07161" w:rsidP="001F0738">
            <w:pPr>
              <w:spacing w:before="0" w:line="240" w:lineRule="auto"/>
              <w:jc w:val="center"/>
              <w:rPr>
                <w:lang w:eastAsia="en-GB"/>
              </w:rPr>
            </w:pPr>
            <w:r w:rsidRPr="00173628">
              <w:rPr>
                <w:color w:val="000000"/>
                <w:kern w:val="24"/>
                <w:lang w:eastAsia="en-GB"/>
              </w:rPr>
              <w:t>.003</w:t>
            </w:r>
          </w:p>
        </w:tc>
        <w:tc>
          <w:tcPr>
            <w:tcW w:w="566" w:type="dxa"/>
            <w:shd w:val="clear" w:color="auto" w:fill="auto"/>
            <w:tcMar>
              <w:top w:w="46" w:type="dxa"/>
              <w:left w:w="91" w:type="dxa"/>
              <w:bottom w:w="46" w:type="dxa"/>
              <w:right w:w="91" w:type="dxa"/>
            </w:tcMar>
            <w:vAlign w:val="center"/>
            <w:hideMark/>
          </w:tcPr>
          <w:p w14:paraId="1EB6EEE2" w14:textId="77777777" w:rsidR="00D07161" w:rsidRPr="00173628" w:rsidRDefault="00D07161" w:rsidP="001F0738">
            <w:pPr>
              <w:spacing w:before="0" w:line="240" w:lineRule="auto"/>
              <w:jc w:val="center"/>
              <w:rPr>
                <w:lang w:eastAsia="en-GB"/>
              </w:rPr>
            </w:pPr>
            <w:r w:rsidRPr="00173628">
              <w:rPr>
                <w:color w:val="000000"/>
                <w:kern w:val="24"/>
                <w:lang w:eastAsia="en-GB"/>
              </w:rPr>
              <w:t>.01</w:t>
            </w:r>
          </w:p>
        </w:tc>
        <w:tc>
          <w:tcPr>
            <w:tcW w:w="787" w:type="dxa"/>
            <w:shd w:val="clear" w:color="auto" w:fill="auto"/>
            <w:tcMar>
              <w:top w:w="46" w:type="dxa"/>
              <w:left w:w="91" w:type="dxa"/>
              <w:bottom w:w="46" w:type="dxa"/>
              <w:right w:w="91" w:type="dxa"/>
            </w:tcMar>
            <w:vAlign w:val="center"/>
            <w:hideMark/>
          </w:tcPr>
          <w:p w14:paraId="6AF71E0E" w14:textId="77777777" w:rsidR="00D07161" w:rsidRPr="00173628" w:rsidRDefault="00D07161" w:rsidP="001F0738">
            <w:pPr>
              <w:spacing w:before="0" w:line="240" w:lineRule="auto"/>
              <w:jc w:val="center"/>
              <w:rPr>
                <w:lang w:eastAsia="en-GB"/>
              </w:rPr>
            </w:pPr>
            <w:r w:rsidRPr="00173628">
              <w:rPr>
                <w:color w:val="000000"/>
                <w:kern w:val="24"/>
                <w:lang w:eastAsia="en-GB"/>
              </w:rPr>
              <w:t>.22</w:t>
            </w:r>
          </w:p>
        </w:tc>
        <w:tc>
          <w:tcPr>
            <w:tcW w:w="692" w:type="dxa"/>
            <w:gridSpan w:val="2"/>
            <w:shd w:val="clear" w:color="auto" w:fill="auto"/>
            <w:tcMar>
              <w:top w:w="46" w:type="dxa"/>
              <w:left w:w="91" w:type="dxa"/>
              <w:bottom w:w="46" w:type="dxa"/>
              <w:right w:w="91" w:type="dxa"/>
            </w:tcMar>
            <w:vAlign w:val="center"/>
            <w:hideMark/>
          </w:tcPr>
          <w:p w14:paraId="2548E3A4" w14:textId="77777777" w:rsidR="00D07161" w:rsidRPr="00173628" w:rsidRDefault="00D07161" w:rsidP="001F0738">
            <w:pPr>
              <w:spacing w:before="0" w:line="240" w:lineRule="auto"/>
              <w:jc w:val="center"/>
              <w:rPr>
                <w:lang w:eastAsia="en-GB"/>
              </w:rPr>
            </w:pPr>
            <w:r w:rsidRPr="00173628">
              <w:rPr>
                <w:color w:val="000000"/>
                <w:kern w:val="24"/>
                <w:lang w:eastAsia="en-GB"/>
              </w:rPr>
              <w:t>ns</w:t>
            </w:r>
          </w:p>
        </w:tc>
        <w:tc>
          <w:tcPr>
            <w:tcW w:w="202" w:type="dxa"/>
            <w:shd w:val="clear" w:color="auto" w:fill="auto"/>
            <w:tcMar>
              <w:top w:w="46" w:type="dxa"/>
              <w:left w:w="91" w:type="dxa"/>
              <w:bottom w:w="46" w:type="dxa"/>
              <w:right w:w="91" w:type="dxa"/>
            </w:tcMar>
            <w:vAlign w:val="center"/>
            <w:hideMark/>
          </w:tcPr>
          <w:p w14:paraId="7851DB6C" w14:textId="77777777" w:rsidR="00D07161" w:rsidRPr="00173628" w:rsidRDefault="00D07161" w:rsidP="001F0738">
            <w:pPr>
              <w:spacing w:before="0" w:line="240" w:lineRule="auto"/>
              <w:rPr>
                <w:lang w:eastAsia="en-GB"/>
              </w:rPr>
            </w:pPr>
          </w:p>
        </w:tc>
        <w:tc>
          <w:tcPr>
            <w:tcW w:w="624" w:type="dxa"/>
            <w:shd w:val="clear" w:color="auto" w:fill="auto"/>
            <w:tcMar>
              <w:top w:w="46" w:type="dxa"/>
              <w:left w:w="91" w:type="dxa"/>
              <w:bottom w:w="46" w:type="dxa"/>
              <w:right w:w="91" w:type="dxa"/>
            </w:tcMar>
            <w:vAlign w:val="center"/>
            <w:hideMark/>
          </w:tcPr>
          <w:p w14:paraId="775BBE0F" w14:textId="77777777" w:rsidR="00D07161" w:rsidRPr="00173628" w:rsidRDefault="00D07161" w:rsidP="001F0738">
            <w:pPr>
              <w:spacing w:before="0" w:line="240" w:lineRule="auto"/>
              <w:jc w:val="center"/>
              <w:rPr>
                <w:lang w:eastAsia="en-GB"/>
              </w:rPr>
            </w:pPr>
            <w:r w:rsidRPr="00173628">
              <w:rPr>
                <w:color w:val="000000"/>
                <w:kern w:val="24"/>
                <w:lang w:eastAsia="en-GB"/>
              </w:rPr>
              <w:t>.08</w:t>
            </w:r>
          </w:p>
        </w:tc>
        <w:tc>
          <w:tcPr>
            <w:tcW w:w="567" w:type="dxa"/>
            <w:shd w:val="clear" w:color="auto" w:fill="auto"/>
            <w:tcMar>
              <w:top w:w="46" w:type="dxa"/>
              <w:left w:w="91" w:type="dxa"/>
              <w:bottom w:w="46" w:type="dxa"/>
              <w:right w:w="91" w:type="dxa"/>
            </w:tcMar>
            <w:vAlign w:val="center"/>
            <w:hideMark/>
          </w:tcPr>
          <w:p w14:paraId="15974129" w14:textId="77777777" w:rsidR="00D07161" w:rsidRPr="00173628" w:rsidRDefault="00D07161" w:rsidP="001F0738">
            <w:pPr>
              <w:spacing w:before="0" w:line="240" w:lineRule="auto"/>
              <w:jc w:val="center"/>
              <w:rPr>
                <w:lang w:eastAsia="en-GB"/>
              </w:rPr>
            </w:pPr>
            <w:r w:rsidRPr="00173628">
              <w:rPr>
                <w:color w:val="000000"/>
                <w:kern w:val="24"/>
                <w:lang w:eastAsia="en-GB"/>
              </w:rPr>
              <w:t>.10</w:t>
            </w:r>
          </w:p>
        </w:tc>
        <w:tc>
          <w:tcPr>
            <w:tcW w:w="708" w:type="dxa"/>
            <w:shd w:val="clear" w:color="auto" w:fill="auto"/>
            <w:tcMar>
              <w:top w:w="46" w:type="dxa"/>
              <w:left w:w="91" w:type="dxa"/>
              <w:bottom w:w="46" w:type="dxa"/>
              <w:right w:w="91" w:type="dxa"/>
            </w:tcMar>
            <w:vAlign w:val="center"/>
            <w:hideMark/>
          </w:tcPr>
          <w:p w14:paraId="66AB712C" w14:textId="77777777" w:rsidR="00D07161" w:rsidRPr="00173628" w:rsidRDefault="00D07161" w:rsidP="001F0738">
            <w:pPr>
              <w:spacing w:before="0" w:line="240" w:lineRule="auto"/>
              <w:jc w:val="center"/>
              <w:rPr>
                <w:lang w:eastAsia="en-GB"/>
              </w:rPr>
            </w:pPr>
            <w:r w:rsidRPr="00173628">
              <w:rPr>
                <w:color w:val="000000"/>
                <w:kern w:val="24"/>
                <w:lang w:eastAsia="en-GB"/>
              </w:rPr>
              <w:t>.81</w:t>
            </w:r>
          </w:p>
        </w:tc>
        <w:tc>
          <w:tcPr>
            <w:tcW w:w="734" w:type="dxa"/>
            <w:shd w:val="clear" w:color="auto" w:fill="auto"/>
            <w:tcMar>
              <w:top w:w="46" w:type="dxa"/>
              <w:left w:w="91" w:type="dxa"/>
              <w:bottom w:w="46" w:type="dxa"/>
              <w:right w:w="91" w:type="dxa"/>
            </w:tcMar>
            <w:vAlign w:val="center"/>
            <w:hideMark/>
          </w:tcPr>
          <w:p w14:paraId="5A21966D" w14:textId="77777777" w:rsidR="00D07161" w:rsidRPr="00173628" w:rsidRDefault="00D07161" w:rsidP="001F0738">
            <w:pPr>
              <w:spacing w:before="0" w:line="240" w:lineRule="auto"/>
              <w:jc w:val="center"/>
              <w:rPr>
                <w:lang w:eastAsia="en-GB"/>
              </w:rPr>
            </w:pPr>
            <w:r w:rsidRPr="00173628">
              <w:rPr>
                <w:color w:val="000000"/>
                <w:kern w:val="24"/>
                <w:lang w:eastAsia="en-GB"/>
              </w:rPr>
              <w:t>ns</w:t>
            </w:r>
          </w:p>
        </w:tc>
      </w:tr>
      <w:tr w:rsidR="00D07161" w:rsidRPr="00173628" w14:paraId="1EB86558" w14:textId="77777777" w:rsidTr="001F0738">
        <w:trPr>
          <w:trHeight w:val="231"/>
        </w:trPr>
        <w:tc>
          <w:tcPr>
            <w:tcW w:w="2410" w:type="dxa"/>
            <w:shd w:val="clear" w:color="auto" w:fill="auto"/>
            <w:tcMar>
              <w:top w:w="46" w:type="dxa"/>
              <w:left w:w="91" w:type="dxa"/>
              <w:bottom w:w="46" w:type="dxa"/>
              <w:right w:w="91" w:type="dxa"/>
            </w:tcMar>
            <w:vAlign w:val="center"/>
            <w:hideMark/>
          </w:tcPr>
          <w:p w14:paraId="43D4331A" w14:textId="77777777" w:rsidR="00D07161" w:rsidRPr="009864E6" w:rsidRDefault="00D07161" w:rsidP="001F0738">
            <w:pPr>
              <w:spacing w:before="0" w:line="240" w:lineRule="auto"/>
              <w:rPr>
                <w:lang w:eastAsia="en-GB"/>
              </w:rPr>
            </w:pPr>
          </w:p>
        </w:tc>
        <w:tc>
          <w:tcPr>
            <w:tcW w:w="1990" w:type="dxa"/>
            <w:shd w:val="clear" w:color="auto" w:fill="auto"/>
            <w:tcMar>
              <w:top w:w="46" w:type="dxa"/>
              <w:left w:w="91" w:type="dxa"/>
              <w:bottom w:w="46" w:type="dxa"/>
              <w:right w:w="91" w:type="dxa"/>
            </w:tcMar>
            <w:vAlign w:val="center"/>
            <w:hideMark/>
          </w:tcPr>
          <w:p w14:paraId="3EB93D98" w14:textId="77777777" w:rsidR="00D07161" w:rsidRPr="00173628" w:rsidRDefault="00D07161" w:rsidP="001F0738">
            <w:pPr>
              <w:spacing w:before="0" w:line="240" w:lineRule="auto"/>
              <w:rPr>
                <w:lang w:eastAsia="en-GB"/>
              </w:rPr>
            </w:pPr>
            <w:r w:rsidRPr="00173628">
              <w:rPr>
                <w:color w:val="000000"/>
                <w:kern w:val="24"/>
                <w:lang w:eastAsia="en-GB"/>
              </w:rPr>
              <w:t>Angry vs non-face</w:t>
            </w:r>
          </w:p>
        </w:tc>
        <w:tc>
          <w:tcPr>
            <w:tcW w:w="653" w:type="dxa"/>
            <w:shd w:val="clear" w:color="auto" w:fill="auto"/>
            <w:tcMar>
              <w:top w:w="46" w:type="dxa"/>
              <w:left w:w="91" w:type="dxa"/>
              <w:bottom w:w="46" w:type="dxa"/>
              <w:right w:w="91" w:type="dxa"/>
            </w:tcMar>
            <w:vAlign w:val="center"/>
            <w:hideMark/>
          </w:tcPr>
          <w:p w14:paraId="637CBF31" w14:textId="77777777" w:rsidR="00D07161" w:rsidRPr="00173628" w:rsidRDefault="00D07161" w:rsidP="001F0738">
            <w:pPr>
              <w:spacing w:before="0" w:line="240" w:lineRule="auto"/>
              <w:jc w:val="center"/>
              <w:rPr>
                <w:lang w:eastAsia="en-GB"/>
              </w:rPr>
            </w:pPr>
            <w:r w:rsidRPr="00173628">
              <w:rPr>
                <w:color w:val="000000"/>
                <w:kern w:val="24"/>
                <w:lang w:eastAsia="en-GB"/>
              </w:rPr>
              <w:t>-.02</w:t>
            </w:r>
          </w:p>
        </w:tc>
        <w:tc>
          <w:tcPr>
            <w:tcW w:w="566" w:type="dxa"/>
            <w:shd w:val="clear" w:color="auto" w:fill="auto"/>
            <w:tcMar>
              <w:top w:w="46" w:type="dxa"/>
              <w:left w:w="91" w:type="dxa"/>
              <w:bottom w:w="46" w:type="dxa"/>
              <w:right w:w="91" w:type="dxa"/>
            </w:tcMar>
            <w:vAlign w:val="center"/>
            <w:hideMark/>
          </w:tcPr>
          <w:p w14:paraId="43BFA5E0" w14:textId="77777777" w:rsidR="00D07161" w:rsidRPr="00173628" w:rsidRDefault="00D07161" w:rsidP="001F0738">
            <w:pPr>
              <w:spacing w:before="0" w:line="240" w:lineRule="auto"/>
              <w:jc w:val="center"/>
              <w:rPr>
                <w:lang w:eastAsia="en-GB"/>
              </w:rPr>
            </w:pPr>
            <w:r w:rsidRPr="00173628">
              <w:rPr>
                <w:color w:val="000000"/>
                <w:kern w:val="24"/>
                <w:lang w:eastAsia="en-GB"/>
              </w:rPr>
              <w:t>.01</w:t>
            </w:r>
          </w:p>
        </w:tc>
        <w:tc>
          <w:tcPr>
            <w:tcW w:w="793" w:type="dxa"/>
            <w:gridSpan w:val="2"/>
            <w:shd w:val="clear" w:color="auto" w:fill="auto"/>
            <w:tcMar>
              <w:top w:w="46" w:type="dxa"/>
              <w:left w:w="91" w:type="dxa"/>
              <w:bottom w:w="46" w:type="dxa"/>
              <w:right w:w="91" w:type="dxa"/>
            </w:tcMar>
            <w:vAlign w:val="center"/>
            <w:hideMark/>
          </w:tcPr>
          <w:p w14:paraId="2A4B4B82" w14:textId="77777777" w:rsidR="00D07161" w:rsidRPr="00173628" w:rsidRDefault="00D07161" w:rsidP="001F0738">
            <w:pPr>
              <w:spacing w:before="0" w:line="240" w:lineRule="auto"/>
              <w:jc w:val="center"/>
              <w:rPr>
                <w:lang w:eastAsia="en-GB"/>
              </w:rPr>
            </w:pPr>
            <w:r w:rsidRPr="00173628">
              <w:rPr>
                <w:color w:val="000000"/>
                <w:kern w:val="24"/>
                <w:lang w:eastAsia="en-GB"/>
              </w:rPr>
              <w:t>-1.75</w:t>
            </w:r>
          </w:p>
        </w:tc>
        <w:tc>
          <w:tcPr>
            <w:tcW w:w="686" w:type="dxa"/>
            <w:shd w:val="clear" w:color="auto" w:fill="auto"/>
            <w:tcMar>
              <w:top w:w="46" w:type="dxa"/>
              <w:left w:w="91" w:type="dxa"/>
              <w:bottom w:w="46" w:type="dxa"/>
              <w:right w:w="91" w:type="dxa"/>
            </w:tcMar>
            <w:vAlign w:val="center"/>
            <w:hideMark/>
          </w:tcPr>
          <w:p w14:paraId="259C787E" w14:textId="77777777" w:rsidR="00D07161" w:rsidRPr="00173628" w:rsidRDefault="00D07161" w:rsidP="001F0738">
            <w:pPr>
              <w:spacing w:before="0" w:line="240" w:lineRule="auto"/>
              <w:jc w:val="center"/>
              <w:rPr>
                <w:lang w:eastAsia="en-GB"/>
              </w:rPr>
            </w:pPr>
            <w:r w:rsidRPr="00173628">
              <w:rPr>
                <w:b/>
                <w:bCs/>
                <w:color w:val="000000"/>
                <w:kern w:val="24"/>
                <w:lang w:eastAsia="en-GB"/>
              </w:rPr>
              <w:t>.</w:t>
            </w:r>
          </w:p>
        </w:tc>
        <w:tc>
          <w:tcPr>
            <w:tcW w:w="202" w:type="dxa"/>
            <w:shd w:val="clear" w:color="auto" w:fill="auto"/>
            <w:tcMar>
              <w:top w:w="46" w:type="dxa"/>
              <w:left w:w="91" w:type="dxa"/>
              <w:bottom w:w="46" w:type="dxa"/>
              <w:right w:w="91" w:type="dxa"/>
            </w:tcMar>
            <w:vAlign w:val="center"/>
            <w:hideMark/>
          </w:tcPr>
          <w:p w14:paraId="7EC75170" w14:textId="77777777" w:rsidR="00D07161" w:rsidRPr="00173628" w:rsidRDefault="00D07161" w:rsidP="001F0738">
            <w:pPr>
              <w:spacing w:before="0" w:line="240" w:lineRule="auto"/>
              <w:rPr>
                <w:lang w:eastAsia="en-GB"/>
              </w:rPr>
            </w:pPr>
          </w:p>
        </w:tc>
        <w:tc>
          <w:tcPr>
            <w:tcW w:w="624" w:type="dxa"/>
            <w:shd w:val="clear" w:color="auto" w:fill="auto"/>
            <w:tcMar>
              <w:top w:w="46" w:type="dxa"/>
              <w:left w:w="91" w:type="dxa"/>
              <w:bottom w:w="46" w:type="dxa"/>
              <w:right w:w="91" w:type="dxa"/>
            </w:tcMar>
            <w:vAlign w:val="center"/>
            <w:hideMark/>
          </w:tcPr>
          <w:p w14:paraId="3F8C2375" w14:textId="77777777" w:rsidR="00D07161" w:rsidRPr="00173628" w:rsidRDefault="00D07161" w:rsidP="001F0738">
            <w:pPr>
              <w:spacing w:before="0" w:line="240" w:lineRule="auto"/>
              <w:jc w:val="center"/>
              <w:rPr>
                <w:lang w:eastAsia="en-GB"/>
              </w:rPr>
            </w:pPr>
            <w:r w:rsidRPr="00173628">
              <w:rPr>
                <w:color w:val="000000"/>
                <w:kern w:val="24"/>
                <w:lang w:eastAsia="en-GB"/>
              </w:rPr>
              <w:t>.01</w:t>
            </w:r>
          </w:p>
        </w:tc>
        <w:tc>
          <w:tcPr>
            <w:tcW w:w="567" w:type="dxa"/>
            <w:shd w:val="clear" w:color="auto" w:fill="auto"/>
            <w:tcMar>
              <w:top w:w="46" w:type="dxa"/>
              <w:left w:w="91" w:type="dxa"/>
              <w:bottom w:w="46" w:type="dxa"/>
              <w:right w:w="91" w:type="dxa"/>
            </w:tcMar>
            <w:vAlign w:val="center"/>
            <w:hideMark/>
          </w:tcPr>
          <w:p w14:paraId="7E391D63" w14:textId="77777777" w:rsidR="00D07161" w:rsidRPr="00173628" w:rsidRDefault="00D07161" w:rsidP="001F0738">
            <w:pPr>
              <w:spacing w:before="0" w:line="240" w:lineRule="auto"/>
              <w:jc w:val="center"/>
              <w:rPr>
                <w:lang w:eastAsia="en-GB"/>
              </w:rPr>
            </w:pPr>
            <w:r w:rsidRPr="00173628">
              <w:rPr>
                <w:color w:val="000000"/>
                <w:kern w:val="24"/>
                <w:lang w:eastAsia="en-GB"/>
              </w:rPr>
              <w:t>.10</w:t>
            </w:r>
          </w:p>
        </w:tc>
        <w:tc>
          <w:tcPr>
            <w:tcW w:w="708" w:type="dxa"/>
            <w:shd w:val="clear" w:color="auto" w:fill="auto"/>
            <w:tcMar>
              <w:top w:w="46" w:type="dxa"/>
              <w:left w:w="91" w:type="dxa"/>
              <w:bottom w:w="46" w:type="dxa"/>
              <w:right w:w="91" w:type="dxa"/>
            </w:tcMar>
            <w:vAlign w:val="center"/>
            <w:hideMark/>
          </w:tcPr>
          <w:p w14:paraId="70294FA8" w14:textId="77777777" w:rsidR="00D07161" w:rsidRPr="00173628" w:rsidRDefault="00D07161" w:rsidP="001F0738">
            <w:pPr>
              <w:spacing w:before="0" w:line="240" w:lineRule="auto"/>
              <w:jc w:val="center"/>
              <w:rPr>
                <w:lang w:eastAsia="en-GB"/>
              </w:rPr>
            </w:pPr>
            <w:r w:rsidRPr="00173628">
              <w:rPr>
                <w:color w:val="000000"/>
                <w:kern w:val="24"/>
                <w:lang w:eastAsia="en-GB"/>
              </w:rPr>
              <w:t>.07</w:t>
            </w:r>
          </w:p>
        </w:tc>
        <w:tc>
          <w:tcPr>
            <w:tcW w:w="734" w:type="dxa"/>
            <w:shd w:val="clear" w:color="auto" w:fill="auto"/>
            <w:tcMar>
              <w:top w:w="46" w:type="dxa"/>
              <w:left w:w="91" w:type="dxa"/>
              <w:bottom w:w="46" w:type="dxa"/>
              <w:right w:w="91" w:type="dxa"/>
            </w:tcMar>
            <w:vAlign w:val="center"/>
            <w:hideMark/>
          </w:tcPr>
          <w:p w14:paraId="7BE1C10F" w14:textId="77777777" w:rsidR="00D07161" w:rsidRPr="00173628" w:rsidRDefault="00D07161" w:rsidP="001F0738">
            <w:pPr>
              <w:spacing w:before="0" w:line="240" w:lineRule="auto"/>
              <w:jc w:val="center"/>
              <w:rPr>
                <w:lang w:eastAsia="en-GB"/>
              </w:rPr>
            </w:pPr>
            <w:r w:rsidRPr="00173628">
              <w:rPr>
                <w:color w:val="000000"/>
                <w:kern w:val="24"/>
                <w:lang w:eastAsia="en-GB"/>
              </w:rPr>
              <w:t>ns</w:t>
            </w:r>
          </w:p>
        </w:tc>
      </w:tr>
      <w:tr w:rsidR="00D07161" w:rsidRPr="009864E6" w14:paraId="27A72718" w14:textId="77777777" w:rsidTr="001F0738">
        <w:trPr>
          <w:trHeight w:val="127"/>
        </w:trPr>
        <w:tc>
          <w:tcPr>
            <w:tcW w:w="2410" w:type="dxa"/>
            <w:shd w:val="clear" w:color="auto" w:fill="auto"/>
            <w:tcMar>
              <w:top w:w="46" w:type="dxa"/>
              <w:left w:w="91" w:type="dxa"/>
              <w:bottom w:w="46" w:type="dxa"/>
              <w:right w:w="91" w:type="dxa"/>
            </w:tcMar>
            <w:vAlign w:val="center"/>
            <w:hideMark/>
          </w:tcPr>
          <w:p w14:paraId="2314B56A" w14:textId="77777777" w:rsidR="00D07161" w:rsidRPr="009864E6" w:rsidRDefault="00D07161" w:rsidP="001F0738">
            <w:pPr>
              <w:spacing w:before="0" w:line="240" w:lineRule="auto"/>
              <w:rPr>
                <w:lang w:eastAsia="en-GB"/>
              </w:rPr>
            </w:pPr>
            <w:r w:rsidRPr="009864E6">
              <w:rPr>
                <w:color w:val="000000"/>
                <w:kern w:val="24"/>
                <w:lang w:eastAsia="en-GB"/>
              </w:rPr>
              <w:t>ADHD * Cue Condition</w:t>
            </w:r>
          </w:p>
        </w:tc>
        <w:tc>
          <w:tcPr>
            <w:tcW w:w="1990" w:type="dxa"/>
            <w:shd w:val="clear" w:color="auto" w:fill="auto"/>
            <w:tcMar>
              <w:top w:w="46" w:type="dxa"/>
              <w:left w:w="91" w:type="dxa"/>
              <w:bottom w:w="46" w:type="dxa"/>
              <w:right w:w="91" w:type="dxa"/>
            </w:tcMar>
            <w:vAlign w:val="center"/>
            <w:hideMark/>
          </w:tcPr>
          <w:p w14:paraId="6C80722E" w14:textId="77777777" w:rsidR="00D07161" w:rsidRPr="009864E6" w:rsidRDefault="00D07161" w:rsidP="001F0738">
            <w:pPr>
              <w:spacing w:before="0" w:line="240" w:lineRule="auto"/>
              <w:rPr>
                <w:lang w:eastAsia="en-GB"/>
              </w:rPr>
            </w:pPr>
          </w:p>
        </w:tc>
        <w:tc>
          <w:tcPr>
            <w:tcW w:w="653" w:type="dxa"/>
            <w:shd w:val="clear" w:color="auto" w:fill="auto"/>
            <w:tcMar>
              <w:top w:w="46" w:type="dxa"/>
              <w:left w:w="91" w:type="dxa"/>
              <w:bottom w:w="46" w:type="dxa"/>
              <w:right w:w="91" w:type="dxa"/>
            </w:tcMar>
            <w:vAlign w:val="center"/>
            <w:hideMark/>
          </w:tcPr>
          <w:p w14:paraId="16A94447" w14:textId="77777777" w:rsidR="00D07161" w:rsidRPr="009864E6" w:rsidRDefault="00D07161" w:rsidP="001F0738">
            <w:pPr>
              <w:spacing w:before="0" w:line="240" w:lineRule="auto"/>
              <w:rPr>
                <w:lang w:eastAsia="en-GB"/>
              </w:rPr>
            </w:pPr>
          </w:p>
        </w:tc>
        <w:tc>
          <w:tcPr>
            <w:tcW w:w="566" w:type="dxa"/>
            <w:shd w:val="clear" w:color="auto" w:fill="auto"/>
            <w:tcMar>
              <w:top w:w="46" w:type="dxa"/>
              <w:left w:w="91" w:type="dxa"/>
              <w:bottom w:w="46" w:type="dxa"/>
              <w:right w:w="91" w:type="dxa"/>
            </w:tcMar>
            <w:vAlign w:val="center"/>
            <w:hideMark/>
          </w:tcPr>
          <w:p w14:paraId="76AD0B1E" w14:textId="77777777" w:rsidR="00D07161" w:rsidRPr="009864E6" w:rsidRDefault="00D07161" w:rsidP="001F0738">
            <w:pPr>
              <w:spacing w:before="0" w:line="240" w:lineRule="auto"/>
              <w:rPr>
                <w:lang w:eastAsia="en-GB"/>
              </w:rPr>
            </w:pPr>
          </w:p>
        </w:tc>
        <w:tc>
          <w:tcPr>
            <w:tcW w:w="793" w:type="dxa"/>
            <w:gridSpan w:val="2"/>
            <w:shd w:val="clear" w:color="auto" w:fill="auto"/>
            <w:tcMar>
              <w:top w:w="46" w:type="dxa"/>
              <w:left w:w="91" w:type="dxa"/>
              <w:bottom w:w="46" w:type="dxa"/>
              <w:right w:w="91" w:type="dxa"/>
            </w:tcMar>
            <w:vAlign w:val="center"/>
            <w:hideMark/>
          </w:tcPr>
          <w:p w14:paraId="679067FF" w14:textId="77777777" w:rsidR="00D07161" w:rsidRPr="009864E6" w:rsidRDefault="00D07161" w:rsidP="001F0738">
            <w:pPr>
              <w:spacing w:before="0" w:line="240" w:lineRule="auto"/>
              <w:rPr>
                <w:lang w:eastAsia="en-GB"/>
              </w:rPr>
            </w:pPr>
          </w:p>
        </w:tc>
        <w:tc>
          <w:tcPr>
            <w:tcW w:w="686" w:type="dxa"/>
            <w:shd w:val="clear" w:color="auto" w:fill="auto"/>
            <w:tcMar>
              <w:top w:w="46" w:type="dxa"/>
              <w:left w:w="91" w:type="dxa"/>
              <w:bottom w:w="46" w:type="dxa"/>
              <w:right w:w="91" w:type="dxa"/>
            </w:tcMar>
            <w:vAlign w:val="center"/>
            <w:hideMark/>
          </w:tcPr>
          <w:p w14:paraId="29F28345" w14:textId="77777777" w:rsidR="00D07161" w:rsidRPr="009864E6" w:rsidRDefault="00D07161" w:rsidP="001F0738">
            <w:pPr>
              <w:spacing w:before="0" w:line="240" w:lineRule="auto"/>
              <w:rPr>
                <w:lang w:eastAsia="en-GB"/>
              </w:rPr>
            </w:pPr>
          </w:p>
        </w:tc>
        <w:tc>
          <w:tcPr>
            <w:tcW w:w="202" w:type="dxa"/>
            <w:shd w:val="clear" w:color="auto" w:fill="auto"/>
            <w:tcMar>
              <w:top w:w="46" w:type="dxa"/>
              <w:left w:w="91" w:type="dxa"/>
              <w:bottom w:w="46" w:type="dxa"/>
              <w:right w:w="91" w:type="dxa"/>
            </w:tcMar>
            <w:vAlign w:val="center"/>
            <w:hideMark/>
          </w:tcPr>
          <w:p w14:paraId="57A2BB8B" w14:textId="77777777" w:rsidR="00D07161" w:rsidRPr="009864E6" w:rsidRDefault="00D07161" w:rsidP="001F0738">
            <w:pPr>
              <w:spacing w:before="0" w:line="240" w:lineRule="auto"/>
              <w:rPr>
                <w:lang w:eastAsia="en-GB"/>
              </w:rPr>
            </w:pPr>
          </w:p>
        </w:tc>
        <w:tc>
          <w:tcPr>
            <w:tcW w:w="624" w:type="dxa"/>
            <w:shd w:val="clear" w:color="auto" w:fill="auto"/>
            <w:tcMar>
              <w:top w:w="46" w:type="dxa"/>
              <w:left w:w="91" w:type="dxa"/>
              <w:bottom w:w="46" w:type="dxa"/>
              <w:right w:w="91" w:type="dxa"/>
            </w:tcMar>
            <w:vAlign w:val="center"/>
            <w:hideMark/>
          </w:tcPr>
          <w:p w14:paraId="1901964B" w14:textId="77777777" w:rsidR="00D07161" w:rsidRPr="009864E6" w:rsidRDefault="00D07161" w:rsidP="001F0738">
            <w:pPr>
              <w:spacing w:before="0" w:line="240" w:lineRule="auto"/>
              <w:rPr>
                <w:lang w:eastAsia="en-GB"/>
              </w:rPr>
            </w:pPr>
          </w:p>
        </w:tc>
        <w:tc>
          <w:tcPr>
            <w:tcW w:w="567" w:type="dxa"/>
            <w:shd w:val="clear" w:color="auto" w:fill="auto"/>
            <w:tcMar>
              <w:top w:w="46" w:type="dxa"/>
              <w:left w:w="91" w:type="dxa"/>
              <w:bottom w:w="46" w:type="dxa"/>
              <w:right w:w="91" w:type="dxa"/>
            </w:tcMar>
            <w:vAlign w:val="center"/>
            <w:hideMark/>
          </w:tcPr>
          <w:p w14:paraId="6CEF8A11" w14:textId="77777777" w:rsidR="00D07161" w:rsidRPr="009864E6" w:rsidRDefault="00D07161" w:rsidP="001F0738">
            <w:pPr>
              <w:spacing w:before="0" w:line="240" w:lineRule="auto"/>
              <w:rPr>
                <w:lang w:eastAsia="en-GB"/>
              </w:rPr>
            </w:pPr>
          </w:p>
        </w:tc>
        <w:tc>
          <w:tcPr>
            <w:tcW w:w="708" w:type="dxa"/>
            <w:shd w:val="clear" w:color="auto" w:fill="auto"/>
            <w:tcMar>
              <w:top w:w="46" w:type="dxa"/>
              <w:left w:w="91" w:type="dxa"/>
              <w:bottom w:w="46" w:type="dxa"/>
              <w:right w:w="91" w:type="dxa"/>
            </w:tcMar>
            <w:vAlign w:val="center"/>
            <w:hideMark/>
          </w:tcPr>
          <w:p w14:paraId="3C90B1AD" w14:textId="77777777" w:rsidR="00D07161" w:rsidRPr="009864E6" w:rsidRDefault="00D07161" w:rsidP="001F0738">
            <w:pPr>
              <w:spacing w:before="0" w:line="240" w:lineRule="auto"/>
              <w:rPr>
                <w:lang w:eastAsia="en-GB"/>
              </w:rPr>
            </w:pPr>
          </w:p>
        </w:tc>
        <w:tc>
          <w:tcPr>
            <w:tcW w:w="734" w:type="dxa"/>
            <w:shd w:val="clear" w:color="auto" w:fill="auto"/>
            <w:tcMar>
              <w:top w:w="46" w:type="dxa"/>
              <w:left w:w="91" w:type="dxa"/>
              <w:bottom w:w="46" w:type="dxa"/>
              <w:right w:w="91" w:type="dxa"/>
            </w:tcMar>
            <w:vAlign w:val="center"/>
            <w:hideMark/>
          </w:tcPr>
          <w:p w14:paraId="15FD0B4C" w14:textId="77777777" w:rsidR="00D07161" w:rsidRPr="009864E6" w:rsidRDefault="00D07161" w:rsidP="001F0738">
            <w:pPr>
              <w:spacing w:before="0" w:line="240" w:lineRule="auto"/>
              <w:rPr>
                <w:lang w:eastAsia="en-GB"/>
              </w:rPr>
            </w:pPr>
          </w:p>
        </w:tc>
      </w:tr>
      <w:tr w:rsidR="00D07161" w:rsidRPr="009864E6" w14:paraId="4CD69337" w14:textId="77777777" w:rsidTr="001F0738">
        <w:trPr>
          <w:trHeight w:val="243"/>
        </w:trPr>
        <w:tc>
          <w:tcPr>
            <w:tcW w:w="2410" w:type="dxa"/>
            <w:shd w:val="clear" w:color="auto" w:fill="auto"/>
            <w:tcMar>
              <w:top w:w="46" w:type="dxa"/>
              <w:left w:w="91" w:type="dxa"/>
              <w:bottom w:w="46" w:type="dxa"/>
              <w:right w:w="91" w:type="dxa"/>
            </w:tcMar>
            <w:vAlign w:val="center"/>
            <w:hideMark/>
          </w:tcPr>
          <w:p w14:paraId="52939E4E" w14:textId="77777777" w:rsidR="00D07161" w:rsidRPr="009864E6" w:rsidRDefault="00D07161" w:rsidP="001F0738">
            <w:pPr>
              <w:spacing w:before="0" w:line="240" w:lineRule="auto"/>
              <w:rPr>
                <w:lang w:eastAsia="en-GB"/>
              </w:rPr>
            </w:pPr>
          </w:p>
        </w:tc>
        <w:tc>
          <w:tcPr>
            <w:tcW w:w="1990" w:type="dxa"/>
            <w:shd w:val="clear" w:color="auto" w:fill="auto"/>
            <w:tcMar>
              <w:top w:w="46" w:type="dxa"/>
              <w:left w:w="91" w:type="dxa"/>
              <w:bottom w:w="46" w:type="dxa"/>
              <w:right w:w="91" w:type="dxa"/>
            </w:tcMar>
            <w:vAlign w:val="center"/>
            <w:hideMark/>
          </w:tcPr>
          <w:p w14:paraId="042D0755" w14:textId="77777777" w:rsidR="00D07161" w:rsidRPr="009864E6" w:rsidRDefault="00D07161" w:rsidP="001F0738">
            <w:pPr>
              <w:spacing w:before="0" w:line="240" w:lineRule="auto"/>
              <w:rPr>
                <w:lang w:eastAsia="en-GB"/>
              </w:rPr>
            </w:pPr>
            <w:r>
              <w:rPr>
                <w:color w:val="000000"/>
                <w:kern w:val="24"/>
                <w:lang w:eastAsia="en-GB"/>
              </w:rPr>
              <w:t xml:space="preserve">Angry vs </w:t>
            </w:r>
            <w:r w:rsidRPr="009864E6">
              <w:rPr>
                <w:color w:val="000000"/>
                <w:kern w:val="24"/>
                <w:lang w:eastAsia="en-GB"/>
              </w:rPr>
              <w:t>Happy</w:t>
            </w:r>
          </w:p>
        </w:tc>
        <w:tc>
          <w:tcPr>
            <w:tcW w:w="653" w:type="dxa"/>
            <w:shd w:val="clear" w:color="auto" w:fill="auto"/>
            <w:tcMar>
              <w:top w:w="46" w:type="dxa"/>
              <w:left w:w="91" w:type="dxa"/>
              <w:bottom w:w="46" w:type="dxa"/>
              <w:right w:w="91" w:type="dxa"/>
            </w:tcMar>
            <w:vAlign w:val="center"/>
            <w:hideMark/>
          </w:tcPr>
          <w:p w14:paraId="4E7EF80F" w14:textId="77777777" w:rsidR="00D07161" w:rsidRPr="009864E6" w:rsidRDefault="00D07161" w:rsidP="001F0738">
            <w:pPr>
              <w:spacing w:before="0" w:line="240" w:lineRule="auto"/>
              <w:jc w:val="center"/>
              <w:rPr>
                <w:lang w:eastAsia="en-GB"/>
              </w:rPr>
            </w:pPr>
            <w:r w:rsidRPr="009864E6">
              <w:rPr>
                <w:color w:val="000000"/>
                <w:kern w:val="24"/>
                <w:lang w:eastAsia="en-GB"/>
              </w:rPr>
              <w:t>.02</w:t>
            </w:r>
          </w:p>
        </w:tc>
        <w:tc>
          <w:tcPr>
            <w:tcW w:w="566" w:type="dxa"/>
            <w:shd w:val="clear" w:color="auto" w:fill="auto"/>
            <w:tcMar>
              <w:top w:w="46" w:type="dxa"/>
              <w:left w:w="91" w:type="dxa"/>
              <w:bottom w:w="46" w:type="dxa"/>
              <w:right w:w="91" w:type="dxa"/>
            </w:tcMar>
            <w:vAlign w:val="center"/>
            <w:hideMark/>
          </w:tcPr>
          <w:p w14:paraId="77FF296B" w14:textId="77777777" w:rsidR="00D07161" w:rsidRPr="009864E6" w:rsidRDefault="00D07161" w:rsidP="001F0738">
            <w:pPr>
              <w:spacing w:before="0" w:line="240" w:lineRule="auto"/>
              <w:jc w:val="center"/>
              <w:rPr>
                <w:lang w:eastAsia="en-GB"/>
              </w:rPr>
            </w:pPr>
            <w:r w:rsidRPr="009864E6">
              <w:rPr>
                <w:color w:val="000000"/>
                <w:kern w:val="24"/>
                <w:lang w:eastAsia="en-GB"/>
              </w:rPr>
              <w:t>.01</w:t>
            </w:r>
          </w:p>
        </w:tc>
        <w:tc>
          <w:tcPr>
            <w:tcW w:w="793" w:type="dxa"/>
            <w:gridSpan w:val="2"/>
            <w:shd w:val="clear" w:color="auto" w:fill="auto"/>
            <w:tcMar>
              <w:top w:w="46" w:type="dxa"/>
              <w:left w:w="91" w:type="dxa"/>
              <w:bottom w:w="46" w:type="dxa"/>
              <w:right w:w="91" w:type="dxa"/>
            </w:tcMar>
            <w:vAlign w:val="center"/>
            <w:hideMark/>
          </w:tcPr>
          <w:p w14:paraId="12E4E323" w14:textId="77777777" w:rsidR="00D07161" w:rsidRPr="009864E6" w:rsidRDefault="00D07161" w:rsidP="001F0738">
            <w:pPr>
              <w:spacing w:before="0" w:line="240" w:lineRule="auto"/>
              <w:jc w:val="center"/>
              <w:rPr>
                <w:lang w:eastAsia="en-GB"/>
              </w:rPr>
            </w:pPr>
            <w:r w:rsidRPr="009864E6">
              <w:rPr>
                <w:color w:val="000000"/>
                <w:kern w:val="24"/>
                <w:lang w:eastAsia="en-GB"/>
              </w:rPr>
              <w:t>1.8</w:t>
            </w:r>
            <w:r>
              <w:rPr>
                <w:color w:val="000000"/>
                <w:kern w:val="24"/>
                <w:lang w:eastAsia="en-GB"/>
              </w:rPr>
              <w:t>3</w:t>
            </w:r>
          </w:p>
        </w:tc>
        <w:tc>
          <w:tcPr>
            <w:tcW w:w="686" w:type="dxa"/>
            <w:shd w:val="clear" w:color="auto" w:fill="auto"/>
            <w:tcMar>
              <w:top w:w="46" w:type="dxa"/>
              <w:left w:w="91" w:type="dxa"/>
              <w:bottom w:w="46" w:type="dxa"/>
              <w:right w:w="91" w:type="dxa"/>
            </w:tcMar>
            <w:vAlign w:val="center"/>
            <w:hideMark/>
          </w:tcPr>
          <w:p w14:paraId="71EA7387" w14:textId="77777777" w:rsidR="00D07161" w:rsidRPr="009864E6" w:rsidRDefault="00D07161" w:rsidP="001F0738">
            <w:pPr>
              <w:spacing w:before="0" w:line="240" w:lineRule="auto"/>
              <w:jc w:val="center"/>
              <w:rPr>
                <w:lang w:eastAsia="en-GB"/>
              </w:rPr>
            </w:pPr>
            <w:r w:rsidRPr="009864E6">
              <w:rPr>
                <w:b/>
                <w:bCs/>
                <w:color w:val="000000"/>
                <w:kern w:val="24"/>
                <w:lang w:eastAsia="en-GB"/>
              </w:rPr>
              <w:t>.</w:t>
            </w:r>
          </w:p>
        </w:tc>
        <w:tc>
          <w:tcPr>
            <w:tcW w:w="202" w:type="dxa"/>
            <w:shd w:val="clear" w:color="auto" w:fill="auto"/>
            <w:tcMar>
              <w:top w:w="46" w:type="dxa"/>
              <w:left w:w="91" w:type="dxa"/>
              <w:bottom w:w="46" w:type="dxa"/>
              <w:right w:w="91" w:type="dxa"/>
            </w:tcMar>
            <w:vAlign w:val="center"/>
            <w:hideMark/>
          </w:tcPr>
          <w:p w14:paraId="4A5EFCA0" w14:textId="77777777" w:rsidR="00D07161" w:rsidRPr="009864E6" w:rsidRDefault="00D07161" w:rsidP="001F0738">
            <w:pPr>
              <w:spacing w:before="0" w:line="240" w:lineRule="auto"/>
              <w:rPr>
                <w:lang w:eastAsia="en-GB"/>
              </w:rPr>
            </w:pPr>
          </w:p>
        </w:tc>
        <w:tc>
          <w:tcPr>
            <w:tcW w:w="624" w:type="dxa"/>
            <w:shd w:val="clear" w:color="auto" w:fill="auto"/>
            <w:tcMar>
              <w:top w:w="46" w:type="dxa"/>
              <w:left w:w="91" w:type="dxa"/>
              <w:bottom w:w="46" w:type="dxa"/>
              <w:right w:w="91" w:type="dxa"/>
            </w:tcMar>
            <w:vAlign w:val="center"/>
            <w:hideMark/>
          </w:tcPr>
          <w:p w14:paraId="390E6642" w14:textId="77777777" w:rsidR="00D07161" w:rsidRPr="009864E6" w:rsidRDefault="00D07161" w:rsidP="001F0738">
            <w:pPr>
              <w:spacing w:before="0" w:line="240" w:lineRule="auto"/>
              <w:jc w:val="center"/>
              <w:rPr>
                <w:lang w:eastAsia="en-GB"/>
              </w:rPr>
            </w:pPr>
            <w:r>
              <w:rPr>
                <w:color w:val="000000"/>
                <w:kern w:val="24"/>
                <w:lang w:eastAsia="en-GB"/>
              </w:rPr>
              <w:t>.26</w:t>
            </w:r>
          </w:p>
        </w:tc>
        <w:tc>
          <w:tcPr>
            <w:tcW w:w="567" w:type="dxa"/>
            <w:shd w:val="clear" w:color="auto" w:fill="auto"/>
            <w:tcMar>
              <w:top w:w="46" w:type="dxa"/>
              <w:left w:w="91" w:type="dxa"/>
              <w:bottom w:w="46" w:type="dxa"/>
              <w:right w:w="91" w:type="dxa"/>
            </w:tcMar>
            <w:vAlign w:val="center"/>
            <w:hideMark/>
          </w:tcPr>
          <w:p w14:paraId="7875CD89" w14:textId="77777777" w:rsidR="00D07161" w:rsidRPr="009864E6" w:rsidRDefault="00D07161" w:rsidP="001F0738">
            <w:pPr>
              <w:spacing w:before="0" w:line="240" w:lineRule="auto"/>
              <w:jc w:val="center"/>
              <w:rPr>
                <w:lang w:eastAsia="en-GB"/>
              </w:rPr>
            </w:pPr>
            <w:r w:rsidRPr="009864E6">
              <w:rPr>
                <w:color w:val="000000"/>
                <w:kern w:val="24"/>
                <w:lang w:eastAsia="en-GB"/>
              </w:rPr>
              <w:t>.11</w:t>
            </w:r>
          </w:p>
        </w:tc>
        <w:tc>
          <w:tcPr>
            <w:tcW w:w="708" w:type="dxa"/>
            <w:shd w:val="clear" w:color="auto" w:fill="auto"/>
            <w:tcMar>
              <w:top w:w="46" w:type="dxa"/>
              <w:left w:w="91" w:type="dxa"/>
              <w:bottom w:w="46" w:type="dxa"/>
              <w:right w:w="91" w:type="dxa"/>
            </w:tcMar>
            <w:vAlign w:val="center"/>
            <w:hideMark/>
          </w:tcPr>
          <w:p w14:paraId="5A5AFF9F" w14:textId="77777777" w:rsidR="00D07161" w:rsidRPr="009864E6" w:rsidRDefault="00D07161" w:rsidP="001F0738">
            <w:pPr>
              <w:spacing w:before="0" w:line="240" w:lineRule="auto"/>
              <w:jc w:val="center"/>
              <w:rPr>
                <w:lang w:eastAsia="en-GB"/>
              </w:rPr>
            </w:pPr>
            <w:r>
              <w:rPr>
                <w:color w:val="000000"/>
                <w:kern w:val="24"/>
                <w:lang w:eastAsia="en-GB"/>
              </w:rPr>
              <w:t>2.48</w:t>
            </w:r>
          </w:p>
        </w:tc>
        <w:tc>
          <w:tcPr>
            <w:tcW w:w="734" w:type="dxa"/>
            <w:shd w:val="clear" w:color="auto" w:fill="auto"/>
            <w:tcMar>
              <w:top w:w="46" w:type="dxa"/>
              <w:left w:w="91" w:type="dxa"/>
              <w:bottom w:w="46" w:type="dxa"/>
              <w:right w:w="91" w:type="dxa"/>
            </w:tcMar>
            <w:vAlign w:val="center"/>
            <w:hideMark/>
          </w:tcPr>
          <w:p w14:paraId="700D6487" w14:textId="77777777" w:rsidR="00D07161" w:rsidRPr="009864E6" w:rsidRDefault="00D07161" w:rsidP="001F0738">
            <w:pPr>
              <w:spacing w:before="0" w:line="240" w:lineRule="auto"/>
              <w:jc w:val="center"/>
              <w:rPr>
                <w:lang w:eastAsia="en-GB"/>
              </w:rPr>
            </w:pPr>
            <w:r w:rsidRPr="009864E6">
              <w:rPr>
                <w:color w:val="000000"/>
                <w:kern w:val="24"/>
                <w:lang w:eastAsia="en-GB"/>
              </w:rPr>
              <w:t>*</w:t>
            </w:r>
          </w:p>
        </w:tc>
      </w:tr>
      <w:tr w:rsidR="00D07161" w:rsidRPr="00173628" w14:paraId="009144E5" w14:textId="77777777" w:rsidTr="001F0738">
        <w:trPr>
          <w:trHeight w:val="305"/>
        </w:trPr>
        <w:tc>
          <w:tcPr>
            <w:tcW w:w="2410" w:type="dxa"/>
            <w:shd w:val="clear" w:color="auto" w:fill="auto"/>
            <w:tcMar>
              <w:top w:w="46" w:type="dxa"/>
              <w:left w:w="91" w:type="dxa"/>
              <w:bottom w:w="46" w:type="dxa"/>
              <w:right w:w="91" w:type="dxa"/>
            </w:tcMar>
            <w:vAlign w:val="center"/>
            <w:hideMark/>
          </w:tcPr>
          <w:p w14:paraId="5EDA8EB4" w14:textId="77777777" w:rsidR="00D07161" w:rsidRPr="009864E6" w:rsidRDefault="00D07161" w:rsidP="001F0738">
            <w:pPr>
              <w:spacing w:before="0" w:line="240" w:lineRule="auto"/>
              <w:rPr>
                <w:lang w:eastAsia="en-GB"/>
              </w:rPr>
            </w:pPr>
          </w:p>
        </w:tc>
        <w:tc>
          <w:tcPr>
            <w:tcW w:w="1990" w:type="dxa"/>
            <w:shd w:val="clear" w:color="auto" w:fill="auto"/>
            <w:tcMar>
              <w:top w:w="46" w:type="dxa"/>
              <w:left w:w="91" w:type="dxa"/>
              <w:bottom w:w="46" w:type="dxa"/>
              <w:right w:w="91" w:type="dxa"/>
            </w:tcMar>
            <w:vAlign w:val="center"/>
            <w:hideMark/>
          </w:tcPr>
          <w:p w14:paraId="01A1748C" w14:textId="77777777" w:rsidR="00D07161" w:rsidRPr="00173628" w:rsidRDefault="00D07161" w:rsidP="001F0738">
            <w:pPr>
              <w:spacing w:before="0" w:line="240" w:lineRule="auto"/>
              <w:rPr>
                <w:lang w:eastAsia="en-GB"/>
              </w:rPr>
            </w:pPr>
            <w:r w:rsidRPr="00173628">
              <w:rPr>
                <w:color w:val="000000"/>
                <w:kern w:val="24"/>
                <w:lang w:eastAsia="en-GB"/>
              </w:rPr>
              <w:t>Happy vs non-face</w:t>
            </w:r>
          </w:p>
        </w:tc>
        <w:tc>
          <w:tcPr>
            <w:tcW w:w="653" w:type="dxa"/>
            <w:shd w:val="clear" w:color="auto" w:fill="auto"/>
            <w:tcMar>
              <w:top w:w="46" w:type="dxa"/>
              <w:left w:w="91" w:type="dxa"/>
              <w:bottom w:w="46" w:type="dxa"/>
              <w:right w:w="91" w:type="dxa"/>
            </w:tcMar>
            <w:vAlign w:val="center"/>
            <w:hideMark/>
          </w:tcPr>
          <w:p w14:paraId="2A00DA94" w14:textId="77777777" w:rsidR="00D07161" w:rsidRPr="00173628" w:rsidRDefault="00D07161" w:rsidP="001F0738">
            <w:pPr>
              <w:spacing w:before="0" w:line="240" w:lineRule="auto"/>
              <w:jc w:val="center"/>
              <w:rPr>
                <w:lang w:eastAsia="en-GB"/>
              </w:rPr>
            </w:pPr>
            <w:r w:rsidRPr="00173628">
              <w:rPr>
                <w:color w:val="000000"/>
                <w:kern w:val="24"/>
                <w:lang w:eastAsia="en-GB"/>
              </w:rPr>
              <w:t>-.02</w:t>
            </w:r>
          </w:p>
        </w:tc>
        <w:tc>
          <w:tcPr>
            <w:tcW w:w="566" w:type="dxa"/>
            <w:shd w:val="clear" w:color="auto" w:fill="auto"/>
            <w:tcMar>
              <w:top w:w="46" w:type="dxa"/>
              <w:left w:w="91" w:type="dxa"/>
              <w:bottom w:w="46" w:type="dxa"/>
              <w:right w:w="91" w:type="dxa"/>
            </w:tcMar>
            <w:vAlign w:val="center"/>
            <w:hideMark/>
          </w:tcPr>
          <w:p w14:paraId="7DCE30B0" w14:textId="77777777" w:rsidR="00D07161" w:rsidRPr="00173628" w:rsidRDefault="00D07161" w:rsidP="001F0738">
            <w:pPr>
              <w:spacing w:before="0" w:line="240" w:lineRule="auto"/>
              <w:jc w:val="center"/>
              <w:rPr>
                <w:lang w:eastAsia="en-GB"/>
              </w:rPr>
            </w:pPr>
            <w:r w:rsidRPr="00173628">
              <w:rPr>
                <w:color w:val="000000"/>
                <w:kern w:val="24"/>
                <w:lang w:eastAsia="en-GB"/>
              </w:rPr>
              <w:t>.01</w:t>
            </w:r>
          </w:p>
        </w:tc>
        <w:tc>
          <w:tcPr>
            <w:tcW w:w="793" w:type="dxa"/>
            <w:gridSpan w:val="2"/>
            <w:shd w:val="clear" w:color="auto" w:fill="auto"/>
            <w:tcMar>
              <w:top w:w="46" w:type="dxa"/>
              <w:left w:w="91" w:type="dxa"/>
              <w:bottom w:w="46" w:type="dxa"/>
              <w:right w:w="91" w:type="dxa"/>
            </w:tcMar>
            <w:vAlign w:val="center"/>
            <w:hideMark/>
          </w:tcPr>
          <w:p w14:paraId="6A2EBBDF" w14:textId="77777777" w:rsidR="00D07161" w:rsidRPr="00173628" w:rsidRDefault="00D07161" w:rsidP="001F0738">
            <w:pPr>
              <w:spacing w:before="0" w:line="240" w:lineRule="auto"/>
              <w:jc w:val="center"/>
              <w:rPr>
                <w:lang w:eastAsia="en-GB"/>
              </w:rPr>
            </w:pPr>
            <w:r w:rsidRPr="00173628">
              <w:rPr>
                <w:color w:val="000000"/>
                <w:kern w:val="24"/>
                <w:lang w:eastAsia="en-GB"/>
              </w:rPr>
              <w:t>-1.25</w:t>
            </w:r>
          </w:p>
        </w:tc>
        <w:tc>
          <w:tcPr>
            <w:tcW w:w="686" w:type="dxa"/>
            <w:shd w:val="clear" w:color="auto" w:fill="auto"/>
            <w:tcMar>
              <w:top w:w="46" w:type="dxa"/>
              <w:left w:w="91" w:type="dxa"/>
              <w:bottom w:w="46" w:type="dxa"/>
              <w:right w:w="91" w:type="dxa"/>
            </w:tcMar>
            <w:vAlign w:val="center"/>
            <w:hideMark/>
          </w:tcPr>
          <w:p w14:paraId="1DEA39D9" w14:textId="77777777" w:rsidR="00D07161" w:rsidRPr="00173628" w:rsidRDefault="00D07161" w:rsidP="001F0738">
            <w:pPr>
              <w:spacing w:before="0" w:line="240" w:lineRule="auto"/>
              <w:jc w:val="center"/>
              <w:rPr>
                <w:lang w:eastAsia="en-GB"/>
              </w:rPr>
            </w:pPr>
            <w:r w:rsidRPr="00173628">
              <w:rPr>
                <w:color w:val="000000"/>
                <w:kern w:val="24"/>
                <w:lang w:eastAsia="en-GB"/>
              </w:rPr>
              <w:t>ns</w:t>
            </w:r>
          </w:p>
        </w:tc>
        <w:tc>
          <w:tcPr>
            <w:tcW w:w="202" w:type="dxa"/>
            <w:shd w:val="clear" w:color="auto" w:fill="auto"/>
            <w:tcMar>
              <w:top w:w="46" w:type="dxa"/>
              <w:left w:w="91" w:type="dxa"/>
              <w:bottom w:w="46" w:type="dxa"/>
              <w:right w:w="91" w:type="dxa"/>
            </w:tcMar>
            <w:vAlign w:val="center"/>
            <w:hideMark/>
          </w:tcPr>
          <w:p w14:paraId="3DB9F986" w14:textId="77777777" w:rsidR="00D07161" w:rsidRPr="00173628" w:rsidRDefault="00D07161" w:rsidP="001F0738">
            <w:pPr>
              <w:spacing w:before="0" w:line="240" w:lineRule="auto"/>
              <w:rPr>
                <w:lang w:eastAsia="en-GB"/>
              </w:rPr>
            </w:pPr>
          </w:p>
        </w:tc>
        <w:tc>
          <w:tcPr>
            <w:tcW w:w="624" w:type="dxa"/>
            <w:shd w:val="clear" w:color="auto" w:fill="auto"/>
            <w:tcMar>
              <w:top w:w="46" w:type="dxa"/>
              <w:left w:w="91" w:type="dxa"/>
              <w:bottom w:w="46" w:type="dxa"/>
              <w:right w:w="91" w:type="dxa"/>
            </w:tcMar>
            <w:vAlign w:val="center"/>
            <w:hideMark/>
          </w:tcPr>
          <w:p w14:paraId="22A64C4B" w14:textId="77777777" w:rsidR="00D07161" w:rsidRPr="00173628" w:rsidRDefault="00D07161" w:rsidP="001F0738">
            <w:pPr>
              <w:spacing w:before="0" w:line="240" w:lineRule="auto"/>
              <w:jc w:val="center"/>
              <w:rPr>
                <w:lang w:eastAsia="en-GB"/>
              </w:rPr>
            </w:pPr>
            <w:r w:rsidRPr="00173628">
              <w:rPr>
                <w:color w:val="000000"/>
                <w:kern w:val="24"/>
                <w:lang w:eastAsia="en-GB"/>
              </w:rPr>
              <w:t>-.10</w:t>
            </w:r>
          </w:p>
        </w:tc>
        <w:tc>
          <w:tcPr>
            <w:tcW w:w="567" w:type="dxa"/>
            <w:shd w:val="clear" w:color="auto" w:fill="auto"/>
            <w:tcMar>
              <w:top w:w="46" w:type="dxa"/>
              <w:left w:w="91" w:type="dxa"/>
              <w:bottom w:w="46" w:type="dxa"/>
              <w:right w:w="91" w:type="dxa"/>
            </w:tcMar>
            <w:vAlign w:val="center"/>
            <w:hideMark/>
          </w:tcPr>
          <w:p w14:paraId="60C99F14" w14:textId="77777777" w:rsidR="00D07161" w:rsidRPr="00173628" w:rsidRDefault="00D07161" w:rsidP="001F0738">
            <w:pPr>
              <w:spacing w:before="0" w:line="240" w:lineRule="auto"/>
              <w:jc w:val="center"/>
              <w:rPr>
                <w:lang w:eastAsia="en-GB"/>
              </w:rPr>
            </w:pPr>
            <w:r w:rsidRPr="00173628">
              <w:rPr>
                <w:color w:val="000000"/>
                <w:kern w:val="24"/>
                <w:lang w:eastAsia="en-GB"/>
              </w:rPr>
              <w:t>.10</w:t>
            </w:r>
          </w:p>
        </w:tc>
        <w:tc>
          <w:tcPr>
            <w:tcW w:w="708" w:type="dxa"/>
            <w:shd w:val="clear" w:color="auto" w:fill="auto"/>
            <w:tcMar>
              <w:top w:w="46" w:type="dxa"/>
              <w:left w:w="91" w:type="dxa"/>
              <w:bottom w:w="46" w:type="dxa"/>
              <w:right w:w="91" w:type="dxa"/>
            </w:tcMar>
            <w:vAlign w:val="center"/>
            <w:hideMark/>
          </w:tcPr>
          <w:p w14:paraId="31E8A732" w14:textId="77777777" w:rsidR="00D07161" w:rsidRPr="00173628" w:rsidRDefault="00D07161" w:rsidP="001F0738">
            <w:pPr>
              <w:spacing w:before="0" w:line="240" w:lineRule="auto"/>
              <w:jc w:val="center"/>
              <w:rPr>
                <w:lang w:eastAsia="en-GB"/>
              </w:rPr>
            </w:pPr>
            <w:r w:rsidRPr="00173628">
              <w:rPr>
                <w:color w:val="000000"/>
                <w:kern w:val="24"/>
                <w:lang w:eastAsia="en-GB"/>
              </w:rPr>
              <w:t>-.98</w:t>
            </w:r>
          </w:p>
        </w:tc>
        <w:tc>
          <w:tcPr>
            <w:tcW w:w="734" w:type="dxa"/>
            <w:shd w:val="clear" w:color="auto" w:fill="auto"/>
            <w:tcMar>
              <w:top w:w="46" w:type="dxa"/>
              <w:left w:w="91" w:type="dxa"/>
              <w:bottom w:w="46" w:type="dxa"/>
              <w:right w:w="91" w:type="dxa"/>
            </w:tcMar>
            <w:vAlign w:val="center"/>
            <w:hideMark/>
          </w:tcPr>
          <w:p w14:paraId="4562F657" w14:textId="77777777" w:rsidR="00D07161" w:rsidRPr="00173628" w:rsidRDefault="00D07161" w:rsidP="001F0738">
            <w:pPr>
              <w:spacing w:before="0" w:line="240" w:lineRule="auto"/>
              <w:jc w:val="center"/>
              <w:rPr>
                <w:lang w:eastAsia="en-GB"/>
              </w:rPr>
            </w:pPr>
            <w:r w:rsidRPr="00173628">
              <w:rPr>
                <w:color w:val="000000"/>
                <w:kern w:val="24"/>
                <w:lang w:eastAsia="en-GB"/>
              </w:rPr>
              <w:t>ns</w:t>
            </w:r>
          </w:p>
        </w:tc>
      </w:tr>
      <w:tr w:rsidR="00D07161" w:rsidRPr="00173628" w14:paraId="79ED29F6" w14:textId="77777777" w:rsidTr="001F0738">
        <w:trPr>
          <w:trHeight w:val="269"/>
        </w:trPr>
        <w:tc>
          <w:tcPr>
            <w:tcW w:w="2410" w:type="dxa"/>
            <w:shd w:val="clear" w:color="auto" w:fill="auto"/>
            <w:tcMar>
              <w:top w:w="46" w:type="dxa"/>
              <w:left w:w="91" w:type="dxa"/>
              <w:bottom w:w="46" w:type="dxa"/>
              <w:right w:w="91" w:type="dxa"/>
            </w:tcMar>
            <w:vAlign w:val="center"/>
            <w:hideMark/>
          </w:tcPr>
          <w:p w14:paraId="600CBE23" w14:textId="77777777" w:rsidR="00D07161" w:rsidRPr="009864E6" w:rsidRDefault="00D07161" w:rsidP="001F0738">
            <w:pPr>
              <w:spacing w:before="0" w:line="240" w:lineRule="auto"/>
              <w:rPr>
                <w:lang w:eastAsia="en-GB"/>
              </w:rPr>
            </w:pPr>
          </w:p>
        </w:tc>
        <w:tc>
          <w:tcPr>
            <w:tcW w:w="1990" w:type="dxa"/>
            <w:shd w:val="clear" w:color="auto" w:fill="auto"/>
            <w:tcMar>
              <w:top w:w="46" w:type="dxa"/>
              <w:left w:w="91" w:type="dxa"/>
              <w:bottom w:w="46" w:type="dxa"/>
              <w:right w:w="91" w:type="dxa"/>
            </w:tcMar>
            <w:vAlign w:val="center"/>
            <w:hideMark/>
          </w:tcPr>
          <w:p w14:paraId="63E7205A" w14:textId="77777777" w:rsidR="00D07161" w:rsidRPr="00173628" w:rsidRDefault="00D07161" w:rsidP="001F0738">
            <w:pPr>
              <w:spacing w:before="0" w:line="240" w:lineRule="auto"/>
              <w:rPr>
                <w:lang w:eastAsia="en-GB"/>
              </w:rPr>
            </w:pPr>
            <w:r w:rsidRPr="00173628">
              <w:rPr>
                <w:color w:val="000000"/>
                <w:kern w:val="24"/>
                <w:lang w:eastAsia="en-GB"/>
              </w:rPr>
              <w:t>Angry vs non-face</w:t>
            </w:r>
          </w:p>
        </w:tc>
        <w:tc>
          <w:tcPr>
            <w:tcW w:w="653" w:type="dxa"/>
            <w:shd w:val="clear" w:color="auto" w:fill="auto"/>
            <w:tcMar>
              <w:top w:w="46" w:type="dxa"/>
              <w:left w:w="91" w:type="dxa"/>
              <w:bottom w:w="46" w:type="dxa"/>
              <w:right w:w="91" w:type="dxa"/>
            </w:tcMar>
            <w:vAlign w:val="center"/>
            <w:hideMark/>
          </w:tcPr>
          <w:p w14:paraId="34D1079E" w14:textId="77777777" w:rsidR="00D07161" w:rsidRPr="00173628" w:rsidRDefault="00D07161" w:rsidP="001F0738">
            <w:pPr>
              <w:spacing w:before="0" w:line="240" w:lineRule="auto"/>
              <w:jc w:val="center"/>
              <w:rPr>
                <w:lang w:eastAsia="en-GB"/>
              </w:rPr>
            </w:pPr>
            <w:r w:rsidRPr="00173628">
              <w:rPr>
                <w:color w:val="000000"/>
                <w:kern w:val="24"/>
                <w:lang w:eastAsia="en-GB"/>
              </w:rPr>
              <w:t>.004</w:t>
            </w:r>
          </w:p>
        </w:tc>
        <w:tc>
          <w:tcPr>
            <w:tcW w:w="566" w:type="dxa"/>
            <w:shd w:val="clear" w:color="auto" w:fill="auto"/>
            <w:tcMar>
              <w:top w:w="46" w:type="dxa"/>
              <w:left w:w="91" w:type="dxa"/>
              <w:bottom w:w="46" w:type="dxa"/>
              <w:right w:w="91" w:type="dxa"/>
            </w:tcMar>
            <w:vAlign w:val="center"/>
            <w:hideMark/>
          </w:tcPr>
          <w:p w14:paraId="521E19F4" w14:textId="77777777" w:rsidR="00D07161" w:rsidRPr="00173628" w:rsidRDefault="00D07161" w:rsidP="001F0738">
            <w:pPr>
              <w:spacing w:before="0" w:line="240" w:lineRule="auto"/>
              <w:jc w:val="center"/>
              <w:rPr>
                <w:lang w:eastAsia="en-GB"/>
              </w:rPr>
            </w:pPr>
            <w:r w:rsidRPr="00173628">
              <w:rPr>
                <w:color w:val="000000"/>
                <w:kern w:val="24"/>
                <w:lang w:eastAsia="en-GB"/>
              </w:rPr>
              <w:t>.01</w:t>
            </w:r>
          </w:p>
        </w:tc>
        <w:tc>
          <w:tcPr>
            <w:tcW w:w="793" w:type="dxa"/>
            <w:gridSpan w:val="2"/>
            <w:shd w:val="clear" w:color="auto" w:fill="auto"/>
            <w:tcMar>
              <w:top w:w="46" w:type="dxa"/>
              <w:left w:w="91" w:type="dxa"/>
              <w:bottom w:w="46" w:type="dxa"/>
              <w:right w:w="91" w:type="dxa"/>
            </w:tcMar>
            <w:vAlign w:val="center"/>
            <w:hideMark/>
          </w:tcPr>
          <w:p w14:paraId="67D69282" w14:textId="77777777" w:rsidR="00D07161" w:rsidRPr="00173628" w:rsidRDefault="00D07161" w:rsidP="001F0738">
            <w:pPr>
              <w:spacing w:before="0" w:line="240" w:lineRule="auto"/>
              <w:jc w:val="center"/>
              <w:rPr>
                <w:lang w:eastAsia="en-GB"/>
              </w:rPr>
            </w:pPr>
            <w:r w:rsidRPr="00173628">
              <w:rPr>
                <w:color w:val="000000"/>
                <w:kern w:val="24"/>
                <w:lang w:eastAsia="en-GB"/>
              </w:rPr>
              <w:t>.28</w:t>
            </w:r>
          </w:p>
        </w:tc>
        <w:tc>
          <w:tcPr>
            <w:tcW w:w="686" w:type="dxa"/>
            <w:shd w:val="clear" w:color="auto" w:fill="auto"/>
            <w:tcMar>
              <w:top w:w="46" w:type="dxa"/>
              <w:left w:w="91" w:type="dxa"/>
              <w:bottom w:w="46" w:type="dxa"/>
              <w:right w:w="91" w:type="dxa"/>
            </w:tcMar>
            <w:vAlign w:val="center"/>
            <w:hideMark/>
          </w:tcPr>
          <w:p w14:paraId="2DBF8282" w14:textId="77777777" w:rsidR="00D07161" w:rsidRPr="00173628" w:rsidRDefault="00D07161" w:rsidP="001F0738">
            <w:pPr>
              <w:spacing w:before="0" w:line="240" w:lineRule="auto"/>
              <w:jc w:val="center"/>
              <w:rPr>
                <w:lang w:eastAsia="en-GB"/>
              </w:rPr>
            </w:pPr>
            <w:r w:rsidRPr="00173628">
              <w:rPr>
                <w:color w:val="000000"/>
                <w:kern w:val="24"/>
                <w:lang w:eastAsia="en-GB"/>
              </w:rPr>
              <w:t>ns</w:t>
            </w:r>
          </w:p>
        </w:tc>
        <w:tc>
          <w:tcPr>
            <w:tcW w:w="202" w:type="dxa"/>
            <w:shd w:val="clear" w:color="auto" w:fill="auto"/>
            <w:tcMar>
              <w:top w:w="46" w:type="dxa"/>
              <w:left w:w="91" w:type="dxa"/>
              <w:bottom w:w="46" w:type="dxa"/>
              <w:right w:w="91" w:type="dxa"/>
            </w:tcMar>
            <w:vAlign w:val="center"/>
            <w:hideMark/>
          </w:tcPr>
          <w:p w14:paraId="26FE83AE" w14:textId="77777777" w:rsidR="00D07161" w:rsidRPr="00173628" w:rsidRDefault="00D07161" w:rsidP="001F0738">
            <w:pPr>
              <w:spacing w:before="0" w:line="240" w:lineRule="auto"/>
              <w:rPr>
                <w:lang w:eastAsia="en-GB"/>
              </w:rPr>
            </w:pPr>
          </w:p>
        </w:tc>
        <w:tc>
          <w:tcPr>
            <w:tcW w:w="624" w:type="dxa"/>
            <w:shd w:val="clear" w:color="auto" w:fill="auto"/>
            <w:tcMar>
              <w:top w:w="46" w:type="dxa"/>
              <w:left w:w="91" w:type="dxa"/>
              <w:bottom w:w="46" w:type="dxa"/>
              <w:right w:w="91" w:type="dxa"/>
            </w:tcMar>
            <w:vAlign w:val="center"/>
            <w:hideMark/>
          </w:tcPr>
          <w:p w14:paraId="0D0E6482" w14:textId="77777777" w:rsidR="00D07161" w:rsidRPr="00173628" w:rsidRDefault="00D07161" w:rsidP="001F0738">
            <w:pPr>
              <w:spacing w:before="0" w:line="240" w:lineRule="auto"/>
              <w:jc w:val="center"/>
              <w:rPr>
                <w:lang w:eastAsia="en-GB"/>
              </w:rPr>
            </w:pPr>
            <w:r w:rsidRPr="00173628">
              <w:rPr>
                <w:color w:val="000000"/>
                <w:kern w:val="24"/>
                <w:lang w:eastAsia="en-GB"/>
              </w:rPr>
              <w:t>.16</w:t>
            </w:r>
          </w:p>
        </w:tc>
        <w:tc>
          <w:tcPr>
            <w:tcW w:w="567" w:type="dxa"/>
            <w:shd w:val="clear" w:color="auto" w:fill="auto"/>
            <w:tcMar>
              <w:top w:w="46" w:type="dxa"/>
              <w:left w:w="91" w:type="dxa"/>
              <w:bottom w:w="46" w:type="dxa"/>
              <w:right w:w="91" w:type="dxa"/>
            </w:tcMar>
            <w:vAlign w:val="center"/>
            <w:hideMark/>
          </w:tcPr>
          <w:p w14:paraId="7C328ED6" w14:textId="77777777" w:rsidR="00D07161" w:rsidRPr="00173628" w:rsidRDefault="00D07161" w:rsidP="001F0738">
            <w:pPr>
              <w:spacing w:before="0" w:line="240" w:lineRule="auto"/>
              <w:jc w:val="center"/>
              <w:rPr>
                <w:lang w:eastAsia="en-GB"/>
              </w:rPr>
            </w:pPr>
            <w:r w:rsidRPr="00173628">
              <w:rPr>
                <w:color w:val="000000"/>
                <w:kern w:val="24"/>
                <w:lang w:eastAsia="en-GB"/>
              </w:rPr>
              <w:t>.10</w:t>
            </w:r>
          </w:p>
        </w:tc>
        <w:tc>
          <w:tcPr>
            <w:tcW w:w="708" w:type="dxa"/>
            <w:shd w:val="clear" w:color="auto" w:fill="auto"/>
            <w:tcMar>
              <w:top w:w="46" w:type="dxa"/>
              <w:left w:w="91" w:type="dxa"/>
              <w:bottom w:w="46" w:type="dxa"/>
              <w:right w:w="91" w:type="dxa"/>
            </w:tcMar>
            <w:vAlign w:val="center"/>
            <w:hideMark/>
          </w:tcPr>
          <w:p w14:paraId="3A9EB01D" w14:textId="77777777" w:rsidR="00D07161" w:rsidRPr="00173628" w:rsidRDefault="00D07161" w:rsidP="001F0738">
            <w:pPr>
              <w:spacing w:before="0" w:line="240" w:lineRule="auto"/>
              <w:jc w:val="center"/>
              <w:rPr>
                <w:lang w:eastAsia="en-GB"/>
              </w:rPr>
            </w:pPr>
            <w:r w:rsidRPr="00173628">
              <w:rPr>
                <w:color w:val="000000"/>
                <w:kern w:val="24"/>
                <w:lang w:eastAsia="en-GB"/>
              </w:rPr>
              <w:t>1.65</w:t>
            </w:r>
          </w:p>
        </w:tc>
        <w:tc>
          <w:tcPr>
            <w:tcW w:w="734" w:type="dxa"/>
            <w:shd w:val="clear" w:color="auto" w:fill="auto"/>
            <w:tcMar>
              <w:top w:w="46" w:type="dxa"/>
              <w:left w:w="91" w:type="dxa"/>
              <w:bottom w:w="46" w:type="dxa"/>
              <w:right w:w="91" w:type="dxa"/>
            </w:tcMar>
            <w:vAlign w:val="center"/>
            <w:hideMark/>
          </w:tcPr>
          <w:p w14:paraId="74D7127D" w14:textId="77777777" w:rsidR="00D07161" w:rsidRPr="00D93946" w:rsidRDefault="00D07161" w:rsidP="001F0738">
            <w:pPr>
              <w:spacing w:before="0" w:line="240" w:lineRule="auto"/>
              <w:jc w:val="center"/>
              <w:rPr>
                <w:lang w:eastAsia="en-GB"/>
              </w:rPr>
            </w:pPr>
            <w:r w:rsidRPr="00D93946">
              <w:rPr>
                <w:bCs/>
                <w:color w:val="000000"/>
                <w:kern w:val="24"/>
                <w:lang w:eastAsia="en-GB"/>
              </w:rPr>
              <w:t>ns</w:t>
            </w:r>
          </w:p>
        </w:tc>
      </w:tr>
      <w:tr w:rsidR="00D07161" w:rsidRPr="00173628" w14:paraId="4576AD5D" w14:textId="77777777" w:rsidTr="001F0738">
        <w:trPr>
          <w:trHeight w:val="267"/>
        </w:trPr>
        <w:tc>
          <w:tcPr>
            <w:tcW w:w="2410" w:type="dxa"/>
            <w:shd w:val="clear" w:color="auto" w:fill="auto"/>
            <w:tcMar>
              <w:top w:w="46" w:type="dxa"/>
              <w:left w:w="91" w:type="dxa"/>
              <w:bottom w:w="46" w:type="dxa"/>
              <w:right w:w="91" w:type="dxa"/>
            </w:tcMar>
            <w:vAlign w:val="center"/>
            <w:hideMark/>
          </w:tcPr>
          <w:p w14:paraId="1A6FB995" w14:textId="77777777" w:rsidR="00D07161" w:rsidRPr="009864E6" w:rsidRDefault="00D07161" w:rsidP="001F0738">
            <w:pPr>
              <w:spacing w:before="0" w:line="240" w:lineRule="auto"/>
              <w:rPr>
                <w:lang w:eastAsia="en-GB"/>
              </w:rPr>
            </w:pPr>
            <w:r w:rsidRPr="009864E6">
              <w:rPr>
                <w:color w:val="000000"/>
                <w:kern w:val="24"/>
                <w:lang w:eastAsia="en-GB"/>
              </w:rPr>
              <w:t>Anxiety</w:t>
            </w:r>
            <w:r>
              <w:rPr>
                <w:color w:val="000000"/>
                <w:kern w:val="24"/>
                <w:lang w:eastAsia="en-GB"/>
              </w:rPr>
              <w:t xml:space="preserve"> </w:t>
            </w:r>
            <w:r w:rsidRPr="009864E6">
              <w:rPr>
                <w:color w:val="000000"/>
                <w:kern w:val="24"/>
                <w:lang w:eastAsia="en-GB"/>
              </w:rPr>
              <w:t>*</w:t>
            </w:r>
            <w:r>
              <w:rPr>
                <w:color w:val="000000"/>
                <w:kern w:val="24"/>
                <w:lang w:eastAsia="en-GB"/>
              </w:rPr>
              <w:t xml:space="preserve"> </w:t>
            </w:r>
            <w:r w:rsidRPr="009864E6">
              <w:rPr>
                <w:color w:val="000000"/>
                <w:kern w:val="24"/>
                <w:lang w:eastAsia="en-GB"/>
              </w:rPr>
              <w:t>ADHD</w:t>
            </w:r>
            <w:r>
              <w:rPr>
                <w:color w:val="000000"/>
                <w:kern w:val="24"/>
                <w:lang w:eastAsia="en-GB"/>
              </w:rPr>
              <w:t xml:space="preserve"> </w:t>
            </w:r>
            <w:r w:rsidRPr="009864E6">
              <w:rPr>
                <w:color w:val="000000"/>
                <w:kern w:val="24"/>
                <w:lang w:eastAsia="en-GB"/>
              </w:rPr>
              <w:t>*</w:t>
            </w:r>
            <w:r>
              <w:rPr>
                <w:color w:val="000000"/>
                <w:kern w:val="24"/>
                <w:lang w:eastAsia="en-GB"/>
              </w:rPr>
              <w:t xml:space="preserve"> </w:t>
            </w:r>
            <w:r w:rsidRPr="009864E6">
              <w:rPr>
                <w:color w:val="000000"/>
                <w:kern w:val="24"/>
                <w:lang w:eastAsia="en-GB"/>
              </w:rPr>
              <w:t>Cue Condition</w:t>
            </w:r>
            <w:r>
              <w:rPr>
                <w:color w:val="000000"/>
                <w:kern w:val="24"/>
                <w:lang w:eastAsia="en-GB"/>
              </w:rPr>
              <w:t xml:space="preserve"> </w:t>
            </w:r>
          </w:p>
        </w:tc>
        <w:tc>
          <w:tcPr>
            <w:tcW w:w="1990" w:type="dxa"/>
            <w:shd w:val="clear" w:color="auto" w:fill="auto"/>
            <w:tcMar>
              <w:top w:w="46" w:type="dxa"/>
              <w:left w:w="91" w:type="dxa"/>
              <w:bottom w:w="46" w:type="dxa"/>
              <w:right w:w="91" w:type="dxa"/>
            </w:tcMar>
            <w:vAlign w:val="center"/>
            <w:hideMark/>
          </w:tcPr>
          <w:p w14:paraId="4B2F3C4E" w14:textId="77777777" w:rsidR="00D07161" w:rsidRPr="00173628" w:rsidRDefault="00D07161" w:rsidP="001F0738">
            <w:pPr>
              <w:spacing w:before="0" w:line="240" w:lineRule="auto"/>
              <w:rPr>
                <w:lang w:eastAsia="en-GB"/>
              </w:rPr>
            </w:pPr>
          </w:p>
        </w:tc>
        <w:tc>
          <w:tcPr>
            <w:tcW w:w="653" w:type="dxa"/>
            <w:shd w:val="clear" w:color="auto" w:fill="auto"/>
            <w:tcMar>
              <w:top w:w="46" w:type="dxa"/>
              <w:left w:w="91" w:type="dxa"/>
              <w:bottom w:w="46" w:type="dxa"/>
              <w:right w:w="91" w:type="dxa"/>
            </w:tcMar>
            <w:vAlign w:val="center"/>
            <w:hideMark/>
          </w:tcPr>
          <w:p w14:paraId="6E29587F" w14:textId="77777777" w:rsidR="00D07161" w:rsidRPr="00173628" w:rsidRDefault="00D07161" w:rsidP="001F0738">
            <w:pPr>
              <w:spacing w:before="0" w:line="240" w:lineRule="auto"/>
              <w:rPr>
                <w:lang w:eastAsia="en-GB"/>
              </w:rPr>
            </w:pPr>
          </w:p>
        </w:tc>
        <w:tc>
          <w:tcPr>
            <w:tcW w:w="566" w:type="dxa"/>
            <w:shd w:val="clear" w:color="auto" w:fill="auto"/>
            <w:tcMar>
              <w:top w:w="46" w:type="dxa"/>
              <w:left w:w="91" w:type="dxa"/>
              <w:bottom w:w="46" w:type="dxa"/>
              <w:right w:w="91" w:type="dxa"/>
            </w:tcMar>
            <w:vAlign w:val="center"/>
            <w:hideMark/>
          </w:tcPr>
          <w:p w14:paraId="4334EA03" w14:textId="77777777" w:rsidR="00D07161" w:rsidRPr="00173628" w:rsidRDefault="00D07161" w:rsidP="001F0738">
            <w:pPr>
              <w:spacing w:before="0" w:line="240" w:lineRule="auto"/>
              <w:rPr>
                <w:lang w:eastAsia="en-GB"/>
              </w:rPr>
            </w:pPr>
          </w:p>
        </w:tc>
        <w:tc>
          <w:tcPr>
            <w:tcW w:w="793" w:type="dxa"/>
            <w:gridSpan w:val="2"/>
            <w:shd w:val="clear" w:color="auto" w:fill="auto"/>
            <w:tcMar>
              <w:top w:w="46" w:type="dxa"/>
              <w:left w:w="91" w:type="dxa"/>
              <w:bottom w:w="46" w:type="dxa"/>
              <w:right w:w="91" w:type="dxa"/>
            </w:tcMar>
            <w:vAlign w:val="center"/>
            <w:hideMark/>
          </w:tcPr>
          <w:p w14:paraId="600241E4" w14:textId="77777777" w:rsidR="00D07161" w:rsidRPr="00173628" w:rsidRDefault="00D07161" w:rsidP="001F0738">
            <w:pPr>
              <w:spacing w:before="0" w:line="240" w:lineRule="auto"/>
              <w:rPr>
                <w:lang w:eastAsia="en-GB"/>
              </w:rPr>
            </w:pPr>
          </w:p>
        </w:tc>
        <w:tc>
          <w:tcPr>
            <w:tcW w:w="686" w:type="dxa"/>
            <w:shd w:val="clear" w:color="auto" w:fill="auto"/>
            <w:tcMar>
              <w:top w:w="46" w:type="dxa"/>
              <w:left w:w="91" w:type="dxa"/>
              <w:bottom w:w="46" w:type="dxa"/>
              <w:right w:w="91" w:type="dxa"/>
            </w:tcMar>
            <w:vAlign w:val="center"/>
            <w:hideMark/>
          </w:tcPr>
          <w:p w14:paraId="51A6A8A2" w14:textId="77777777" w:rsidR="00D07161" w:rsidRPr="00173628" w:rsidRDefault="00D07161" w:rsidP="001F0738">
            <w:pPr>
              <w:spacing w:before="0" w:line="240" w:lineRule="auto"/>
              <w:rPr>
                <w:lang w:eastAsia="en-GB"/>
              </w:rPr>
            </w:pPr>
          </w:p>
        </w:tc>
        <w:tc>
          <w:tcPr>
            <w:tcW w:w="202" w:type="dxa"/>
            <w:shd w:val="clear" w:color="auto" w:fill="auto"/>
            <w:tcMar>
              <w:top w:w="46" w:type="dxa"/>
              <w:left w:w="91" w:type="dxa"/>
              <w:bottom w:w="46" w:type="dxa"/>
              <w:right w:w="91" w:type="dxa"/>
            </w:tcMar>
            <w:vAlign w:val="center"/>
            <w:hideMark/>
          </w:tcPr>
          <w:p w14:paraId="01A042C5" w14:textId="77777777" w:rsidR="00D07161" w:rsidRPr="00173628" w:rsidRDefault="00D07161" w:rsidP="001F0738">
            <w:pPr>
              <w:spacing w:before="0" w:line="240" w:lineRule="auto"/>
              <w:rPr>
                <w:lang w:eastAsia="en-GB"/>
              </w:rPr>
            </w:pPr>
          </w:p>
        </w:tc>
        <w:tc>
          <w:tcPr>
            <w:tcW w:w="624" w:type="dxa"/>
            <w:shd w:val="clear" w:color="auto" w:fill="auto"/>
            <w:tcMar>
              <w:top w:w="46" w:type="dxa"/>
              <w:left w:w="91" w:type="dxa"/>
              <w:bottom w:w="46" w:type="dxa"/>
              <w:right w:w="91" w:type="dxa"/>
            </w:tcMar>
            <w:vAlign w:val="center"/>
            <w:hideMark/>
          </w:tcPr>
          <w:p w14:paraId="7C2E32F7" w14:textId="77777777" w:rsidR="00D07161" w:rsidRPr="00173628" w:rsidRDefault="00D07161" w:rsidP="001F0738">
            <w:pPr>
              <w:spacing w:before="0" w:line="240" w:lineRule="auto"/>
              <w:rPr>
                <w:lang w:eastAsia="en-GB"/>
              </w:rPr>
            </w:pPr>
          </w:p>
        </w:tc>
        <w:tc>
          <w:tcPr>
            <w:tcW w:w="567" w:type="dxa"/>
            <w:shd w:val="clear" w:color="auto" w:fill="auto"/>
            <w:tcMar>
              <w:top w:w="46" w:type="dxa"/>
              <w:left w:w="91" w:type="dxa"/>
              <w:bottom w:w="46" w:type="dxa"/>
              <w:right w:w="91" w:type="dxa"/>
            </w:tcMar>
            <w:vAlign w:val="center"/>
            <w:hideMark/>
          </w:tcPr>
          <w:p w14:paraId="13661ECD" w14:textId="77777777" w:rsidR="00D07161" w:rsidRPr="00173628" w:rsidRDefault="00D07161" w:rsidP="001F0738">
            <w:pPr>
              <w:spacing w:before="0" w:line="240" w:lineRule="auto"/>
              <w:rPr>
                <w:lang w:eastAsia="en-GB"/>
              </w:rPr>
            </w:pPr>
          </w:p>
        </w:tc>
        <w:tc>
          <w:tcPr>
            <w:tcW w:w="708" w:type="dxa"/>
            <w:shd w:val="clear" w:color="auto" w:fill="auto"/>
            <w:tcMar>
              <w:top w:w="46" w:type="dxa"/>
              <w:left w:w="91" w:type="dxa"/>
              <w:bottom w:w="46" w:type="dxa"/>
              <w:right w:w="91" w:type="dxa"/>
            </w:tcMar>
            <w:vAlign w:val="center"/>
            <w:hideMark/>
          </w:tcPr>
          <w:p w14:paraId="4FB8613C" w14:textId="77777777" w:rsidR="00D07161" w:rsidRPr="00173628" w:rsidRDefault="00D07161" w:rsidP="001F0738">
            <w:pPr>
              <w:spacing w:before="0" w:line="240" w:lineRule="auto"/>
              <w:rPr>
                <w:lang w:eastAsia="en-GB"/>
              </w:rPr>
            </w:pPr>
          </w:p>
        </w:tc>
        <w:tc>
          <w:tcPr>
            <w:tcW w:w="734" w:type="dxa"/>
            <w:shd w:val="clear" w:color="auto" w:fill="auto"/>
            <w:tcMar>
              <w:top w:w="46" w:type="dxa"/>
              <w:left w:w="91" w:type="dxa"/>
              <w:bottom w:w="46" w:type="dxa"/>
              <w:right w:w="91" w:type="dxa"/>
            </w:tcMar>
            <w:vAlign w:val="center"/>
            <w:hideMark/>
          </w:tcPr>
          <w:p w14:paraId="6F770E90" w14:textId="77777777" w:rsidR="00D07161" w:rsidRPr="00173628" w:rsidRDefault="00D07161" w:rsidP="001F0738">
            <w:pPr>
              <w:spacing w:before="0" w:line="240" w:lineRule="auto"/>
              <w:rPr>
                <w:lang w:eastAsia="en-GB"/>
              </w:rPr>
            </w:pPr>
          </w:p>
        </w:tc>
      </w:tr>
      <w:tr w:rsidR="00D07161" w:rsidRPr="009864E6" w14:paraId="48A7DC6F" w14:textId="77777777" w:rsidTr="001F0738">
        <w:trPr>
          <w:trHeight w:val="51"/>
        </w:trPr>
        <w:tc>
          <w:tcPr>
            <w:tcW w:w="2410" w:type="dxa"/>
            <w:shd w:val="clear" w:color="auto" w:fill="auto"/>
            <w:tcMar>
              <w:top w:w="46" w:type="dxa"/>
              <w:left w:w="91" w:type="dxa"/>
              <w:bottom w:w="46" w:type="dxa"/>
              <w:right w:w="91" w:type="dxa"/>
            </w:tcMar>
            <w:vAlign w:val="center"/>
            <w:hideMark/>
          </w:tcPr>
          <w:p w14:paraId="74E596C8" w14:textId="77777777" w:rsidR="00D07161" w:rsidRPr="009864E6" w:rsidRDefault="00D07161" w:rsidP="001F0738">
            <w:pPr>
              <w:spacing w:before="0" w:line="240" w:lineRule="auto"/>
              <w:rPr>
                <w:lang w:eastAsia="en-GB"/>
              </w:rPr>
            </w:pPr>
          </w:p>
        </w:tc>
        <w:tc>
          <w:tcPr>
            <w:tcW w:w="1990" w:type="dxa"/>
            <w:shd w:val="clear" w:color="auto" w:fill="auto"/>
            <w:tcMar>
              <w:top w:w="46" w:type="dxa"/>
              <w:left w:w="91" w:type="dxa"/>
              <w:bottom w:w="46" w:type="dxa"/>
              <w:right w:w="91" w:type="dxa"/>
            </w:tcMar>
            <w:vAlign w:val="center"/>
            <w:hideMark/>
          </w:tcPr>
          <w:p w14:paraId="26D67A3B" w14:textId="77777777" w:rsidR="00D07161" w:rsidRPr="009864E6" w:rsidRDefault="00D07161" w:rsidP="001F0738">
            <w:pPr>
              <w:spacing w:before="0" w:line="240" w:lineRule="auto"/>
              <w:rPr>
                <w:lang w:eastAsia="en-GB"/>
              </w:rPr>
            </w:pPr>
            <w:r w:rsidRPr="009864E6">
              <w:rPr>
                <w:color w:val="000000"/>
                <w:kern w:val="24"/>
                <w:lang w:eastAsia="en-GB"/>
              </w:rPr>
              <w:t>Angry-Happy</w:t>
            </w:r>
          </w:p>
        </w:tc>
        <w:tc>
          <w:tcPr>
            <w:tcW w:w="653" w:type="dxa"/>
            <w:shd w:val="clear" w:color="auto" w:fill="auto"/>
            <w:tcMar>
              <w:top w:w="46" w:type="dxa"/>
              <w:left w:w="91" w:type="dxa"/>
              <w:bottom w:w="46" w:type="dxa"/>
              <w:right w:w="91" w:type="dxa"/>
            </w:tcMar>
            <w:vAlign w:val="center"/>
            <w:hideMark/>
          </w:tcPr>
          <w:p w14:paraId="0D1C01C7" w14:textId="77777777" w:rsidR="00D07161" w:rsidRPr="009864E6" w:rsidRDefault="00D07161" w:rsidP="001F0738">
            <w:pPr>
              <w:spacing w:before="0" w:line="240" w:lineRule="auto"/>
              <w:jc w:val="center"/>
              <w:rPr>
                <w:lang w:eastAsia="en-GB"/>
              </w:rPr>
            </w:pPr>
            <w:r>
              <w:rPr>
                <w:color w:val="000000"/>
                <w:kern w:val="24"/>
                <w:lang w:eastAsia="en-GB"/>
              </w:rPr>
              <w:t>-</w:t>
            </w:r>
            <w:r w:rsidRPr="009864E6">
              <w:rPr>
                <w:color w:val="000000"/>
                <w:kern w:val="24"/>
                <w:lang w:eastAsia="en-GB"/>
              </w:rPr>
              <w:t>.02</w:t>
            </w:r>
          </w:p>
        </w:tc>
        <w:tc>
          <w:tcPr>
            <w:tcW w:w="566" w:type="dxa"/>
            <w:shd w:val="clear" w:color="auto" w:fill="auto"/>
            <w:tcMar>
              <w:top w:w="46" w:type="dxa"/>
              <w:left w:w="91" w:type="dxa"/>
              <w:bottom w:w="46" w:type="dxa"/>
              <w:right w:w="91" w:type="dxa"/>
            </w:tcMar>
            <w:vAlign w:val="center"/>
            <w:hideMark/>
          </w:tcPr>
          <w:p w14:paraId="067CE8B1" w14:textId="77777777" w:rsidR="00D07161" w:rsidRPr="009864E6" w:rsidRDefault="00D07161" w:rsidP="001F0738">
            <w:pPr>
              <w:spacing w:before="0" w:line="240" w:lineRule="auto"/>
              <w:jc w:val="center"/>
              <w:rPr>
                <w:lang w:eastAsia="en-GB"/>
              </w:rPr>
            </w:pPr>
            <w:r w:rsidRPr="009864E6">
              <w:rPr>
                <w:color w:val="000000"/>
                <w:kern w:val="24"/>
                <w:lang w:eastAsia="en-GB"/>
              </w:rPr>
              <w:t>.01</w:t>
            </w:r>
          </w:p>
        </w:tc>
        <w:tc>
          <w:tcPr>
            <w:tcW w:w="793" w:type="dxa"/>
            <w:gridSpan w:val="2"/>
            <w:shd w:val="clear" w:color="auto" w:fill="auto"/>
            <w:tcMar>
              <w:top w:w="46" w:type="dxa"/>
              <w:left w:w="91" w:type="dxa"/>
              <w:bottom w:w="46" w:type="dxa"/>
              <w:right w:w="91" w:type="dxa"/>
            </w:tcMar>
            <w:vAlign w:val="center"/>
            <w:hideMark/>
          </w:tcPr>
          <w:p w14:paraId="00F78707" w14:textId="77777777" w:rsidR="00D07161" w:rsidRPr="009864E6" w:rsidRDefault="00D07161" w:rsidP="001F0738">
            <w:pPr>
              <w:spacing w:before="0" w:line="240" w:lineRule="auto"/>
              <w:jc w:val="center"/>
              <w:rPr>
                <w:lang w:eastAsia="en-GB"/>
              </w:rPr>
            </w:pPr>
            <w:r>
              <w:rPr>
                <w:color w:val="000000"/>
                <w:kern w:val="24"/>
                <w:lang w:eastAsia="en-GB"/>
              </w:rPr>
              <w:t>-2.09</w:t>
            </w:r>
          </w:p>
        </w:tc>
        <w:tc>
          <w:tcPr>
            <w:tcW w:w="686" w:type="dxa"/>
            <w:shd w:val="clear" w:color="auto" w:fill="auto"/>
            <w:tcMar>
              <w:top w:w="46" w:type="dxa"/>
              <w:left w:w="91" w:type="dxa"/>
              <w:bottom w:w="46" w:type="dxa"/>
              <w:right w:w="91" w:type="dxa"/>
            </w:tcMar>
            <w:vAlign w:val="center"/>
            <w:hideMark/>
          </w:tcPr>
          <w:p w14:paraId="3303B7EA" w14:textId="77777777" w:rsidR="00D07161" w:rsidRPr="009864E6" w:rsidRDefault="00D07161" w:rsidP="001F0738">
            <w:pPr>
              <w:spacing w:before="0" w:line="240" w:lineRule="auto"/>
              <w:jc w:val="center"/>
              <w:rPr>
                <w:lang w:eastAsia="en-GB"/>
              </w:rPr>
            </w:pPr>
            <w:r w:rsidRPr="009864E6">
              <w:rPr>
                <w:color w:val="000000"/>
                <w:kern w:val="24"/>
                <w:lang w:eastAsia="en-GB"/>
              </w:rPr>
              <w:t>*</w:t>
            </w:r>
          </w:p>
        </w:tc>
        <w:tc>
          <w:tcPr>
            <w:tcW w:w="202" w:type="dxa"/>
            <w:shd w:val="clear" w:color="auto" w:fill="auto"/>
            <w:tcMar>
              <w:top w:w="46" w:type="dxa"/>
              <w:left w:w="91" w:type="dxa"/>
              <w:bottom w:w="46" w:type="dxa"/>
              <w:right w:w="91" w:type="dxa"/>
            </w:tcMar>
            <w:vAlign w:val="center"/>
            <w:hideMark/>
          </w:tcPr>
          <w:p w14:paraId="30B35178" w14:textId="77777777" w:rsidR="00D07161" w:rsidRPr="009864E6" w:rsidRDefault="00D07161" w:rsidP="001F0738">
            <w:pPr>
              <w:spacing w:before="0" w:line="240" w:lineRule="auto"/>
              <w:rPr>
                <w:lang w:eastAsia="en-GB"/>
              </w:rPr>
            </w:pPr>
          </w:p>
        </w:tc>
        <w:tc>
          <w:tcPr>
            <w:tcW w:w="624" w:type="dxa"/>
            <w:shd w:val="clear" w:color="auto" w:fill="auto"/>
            <w:tcMar>
              <w:top w:w="46" w:type="dxa"/>
              <w:left w:w="91" w:type="dxa"/>
              <w:bottom w:w="46" w:type="dxa"/>
              <w:right w:w="91" w:type="dxa"/>
            </w:tcMar>
            <w:vAlign w:val="center"/>
            <w:hideMark/>
          </w:tcPr>
          <w:p w14:paraId="6A49362E" w14:textId="77777777" w:rsidR="00D07161" w:rsidRPr="009864E6" w:rsidRDefault="00D07161" w:rsidP="001F0738">
            <w:pPr>
              <w:spacing w:before="0" w:line="240" w:lineRule="auto"/>
              <w:jc w:val="center"/>
              <w:rPr>
                <w:lang w:eastAsia="en-GB"/>
              </w:rPr>
            </w:pPr>
            <w:r>
              <w:rPr>
                <w:color w:val="000000"/>
                <w:kern w:val="24"/>
                <w:lang w:eastAsia="en-GB"/>
              </w:rPr>
              <w:t>-.15</w:t>
            </w:r>
          </w:p>
        </w:tc>
        <w:tc>
          <w:tcPr>
            <w:tcW w:w="567" w:type="dxa"/>
            <w:shd w:val="clear" w:color="auto" w:fill="auto"/>
            <w:tcMar>
              <w:top w:w="46" w:type="dxa"/>
              <w:left w:w="91" w:type="dxa"/>
              <w:bottom w:w="46" w:type="dxa"/>
              <w:right w:w="91" w:type="dxa"/>
            </w:tcMar>
            <w:vAlign w:val="center"/>
            <w:hideMark/>
          </w:tcPr>
          <w:p w14:paraId="15B07325" w14:textId="77777777" w:rsidR="00D07161" w:rsidRPr="009864E6" w:rsidRDefault="00D07161" w:rsidP="001F0738">
            <w:pPr>
              <w:spacing w:before="0" w:line="240" w:lineRule="auto"/>
              <w:jc w:val="center"/>
              <w:rPr>
                <w:lang w:eastAsia="en-GB"/>
              </w:rPr>
            </w:pPr>
            <w:r w:rsidRPr="009864E6">
              <w:rPr>
                <w:color w:val="000000"/>
                <w:kern w:val="24"/>
                <w:lang w:eastAsia="en-GB"/>
              </w:rPr>
              <w:t>.11</w:t>
            </w:r>
          </w:p>
        </w:tc>
        <w:tc>
          <w:tcPr>
            <w:tcW w:w="708" w:type="dxa"/>
            <w:shd w:val="clear" w:color="auto" w:fill="auto"/>
            <w:tcMar>
              <w:top w:w="46" w:type="dxa"/>
              <w:left w:w="91" w:type="dxa"/>
              <w:bottom w:w="46" w:type="dxa"/>
              <w:right w:w="91" w:type="dxa"/>
            </w:tcMar>
            <w:vAlign w:val="center"/>
            <w:hideMark/>
          </w:tcPr>
          <w:p w14:paraId="2D3E07F1" w14:textId="77777777" w:rsidR="00D07161" w:rsidRPr="009864E6" w:rsidRDefault="00D07161" w:rsidP="001F0738">
            <w:pPr>
              <w:spacing w:before="0" w:line="240" w:lineRule="auto"/>
              <w:jc w:val="center"/>
              <w:rPr>
                <w:lang w:eastAsia="en-GB"/>
              </w:rPr>
            </w:pPr>
            <w:r>
              <w:rPr>
                <w:color w:val="000000"/>
                <w:kern w:val="24"/>
                <w:lang w:eastAsia="en-GB"/>
              </w:rPr>
              <w:t>-1.3</w:t>
            </w:r>
            <w:r w:rsidRPr="009864E6">
              <w:rPr>
                <w:color w:val="000000"/>
                <w:kern w:val="24"/>
                <w:lang w:eastAsia="en-GB"/>
              </w:rPr>
              <w:t>5</w:t>
            </w:r>
          </w:p>
        </w:tc>
        <w:tc>
          <w:tcPr>
            <w:tcW w:w="734" w:type="dxa"/>
            <w:shd w:val="clear" w:color="auto" w:fill="auto"/>
            <w:tcMar>
              <w:top w:w="46" w:type="dxa"/>
              <w:left w:w="91" w:type="dxa"/>
              <w:bottom w:w="46" w:type="dxa"/>
              <w:right w:w="91" w:type="dxa"/>
            </w:tcMar>
            <w:vAlign w:val="center"/>
            <w:hideMark/>
          </w:tcPr>
          <w:p w14:paraId="3FC3768D" w14:textId="77777777" w:rsidR="00D07161" w:rsidRPr="009864E6" w:rsidRDefault="00D07161" w:rsidP="001F0738">
            <w:pPr>
              <w:spacing w:before="0" w:line="240" w:lineRule="auto"/>
              <w:jc w:val="center"/>
              <w:rPr>
                <w:lang w:eastAsia="en-GB"/>
              </w:rPr>
            </w:pPr>
            <w:r w:rsidRPr="009864E6">
              <w:rPr>
                <w:color w:val="000000"/>
                <w:kern w:val="24"/>
                <w:lang w:eastAsia="en-GB"/>
              </w:rPr>
              <w:t>ns</w:t>
            </w:r>
          </w:p>
        </w:tc>
      </w:tr>
      <w:tr w:rsidR="00D07161" w:rsidRPr="009864E6" w14:paraId="2EC3EAE0" w14:textId="77777777" w:rsidTr="001F0738">
        <w:trPr>
          <w:trHeight w:val="144"/>
        </w:trPr>
        <w:tc>
          <w:tcPr>
            <w:tcW w:w="2410" w:type="dxa"/>
            <w:shd w:val="clear" w:color="auto" w:fill="auto"/>
            <w:tcMar>
              <w:top w:w="46" w:type="dxa"/>
              <w:left w:w="91" w:type="dxa"/>
              <w:bottom w:w="46" w:type="dxa"/>
              <w:right w:w="91" w:type="dxa"/>
            </w:tcMar>
            <w:vAlign w:val="center"/>
            <w:hideMark/>
          </w:tcPr>
          <w:p w14:paraId="6AC066AA" w14:textId="77777777" w:rsidR="00D07161" w:rsidRPr="009864E6" w:rsidRDefault="00D07161" w:rsidP="001F0738">
            <w:pPr>
              <w:spacing w:before="0" w:line="240" w:lineRule="auto"/>
              <w:rPr>
                <w:lang w:eastAsia="en-GB"/>
              </w:rPr>
            </w:pPr>
          </w:p>
        </w:tc>
        <w:tc>
          <w:tcPr>
            <w:tcW w:w="1990" w:type="dxa"/>
            <w:shd w:val="clear" w:color="auto" w:fill="auto"/>
            <w:tcMar>
              <w:top w:w="46" w:type="dxa"/>
              <w:left w:w="91" w:type="dxa"/>
              <w:bottom w:w="46" w:type="dxa"/>
              <w:right w:w="91" w:type="dxa"/>
            </w:tcMar>
            <w:vAlign w:val="center"/>
            <w:hideMark/>
          </w:tcPr>
          <w:p w14:paraId="722F6783" w14:textId="77777777" w:rsidR="00D07161" w:rsidRPr="009864E6" w:rsidRDefault="00D07161" w:rsidP="001F0738">
            <w:pPr>
              <w:spacing w:before="0" w:line="240" w:lineRule="auto"/>
              <w:rPr>
                <w:lang w:eastAsia="en-GB"/>
              </w:rPr>
            </w:pPr>
            <w:r w:rsidRPr="009864E6">
              <w:rPr>
                <w:color w:val="000000"/>
                <w:kern w:val="24"/>
                <w:lang w:eastAsia="en-GB"/>
              </w:rPr>
              <w:t>Happy</w:t>
            </w:r>
            <w:r>
              <w:rPr>
                <w:color w:val="000000"/>
                <w:kern w:val="24"/>
                <w:lang w:eastAsia="en-GB"/>
              </w:rPr>
              <w:t xml:space="preserve"> vs non-face</w:t>
            </w:r>
          </w:p>
        </w:tc>
        <w:tc>
          <w:tcPr>
            <w:tcW w:w="653" w:type="dxa"/>
            <w:shd w:val="clear" w:color="auto" w:fill="auto"/>
            <w:tcMar>
              <w:top w:w="46" w:type="dxa"/>
              <w:left w:w="91" w:type="dxa"/>
              <w:bottom w:w="46" w:type="dxa"/>
              <w:right w:w="91" w:type="dxa"/>
            </w:tcMar>
            <w:vAlign w:val="center"/>
            <w:hideMark/>
          </w:tcPr>
          <w:p w14:paraId="1FA3120A" w14:textId="77777777" w:rsidR="00D07161" w:rsidRPr="009864E6" w:rsidRDefault="00D07161" w:rsidP="001F0738">
            <w:pPr>
              <w:spacing w:before="0" w:line="240" w:lineRule="auto"/>
              <w:jc w:val="center"/>
              <w:rPr>
                <w:lang w:eastAsia="en-GB"/>
              </w:rPr>
            </w:pPr>
            <w:r w:rsidRPr="009864E6">
              <w:rPr>
                <w:color w:val="000000"/>
                <w:kern w:val="24"/>
                <w:lang w:eastAsia="en-GB"/>
              </w:rPr>
              <w:t>.01</w:t>
            </w:r>
          </w:p>
        </w:tc>
        <w:tc>
          <w:tcPr>
            <w:tcW w:w="566" w:type="dxa"/>
            <w:shd w:val="clear" w:color="auto" w:fill="auto"/>
            <w:tcMar>
              <w:top w:w="46" w:type="dxa"/>
              <w:left w:w="91" w:type="dxa"/>
              <w:bottom w:w="46" w:type="dxa"/>
              <w:right w:w="91" w:type="dxa"/>
            </w:tcMar>
            <w:vAlign w:val="center"/>
            <w:hideMark/>
          </w:tcPr>
          <w:p w14:paraId="4DF7D071" w14:textId="77777777" w:rsidR="00D07161" w:rsidRPr="009864E6" w:rsidRDefault="00D07161" w:rsidP="001F0738">
            <w:pPr>
              <w:spacing w:before="0" w:line="240" w:lineRule="auto"/>
              <w:jc w:val="center"/>
              <w:rPr>
                <w:lang w:eastAsia="en-GB"/>
              </w:rPr>
            </w:pPr>
            <w:r w:rsidRPr="009864E6">
              <w:rPr>
                <w:color w:val="000000"/>
                <w:kern w:val="24"/>
                <w:lang w:eastAsia="en-GB"/>
              </w:rPr>
              <w:t>.01</w:t>
            </w:r>
          </w:p>
        </w:tc>
        <w:tc>
          <w:tcPr>
            <w:tcW w:w="793" w:type="dxa"/>
            <w:gridSpan w:val="2"/>
            <w:shd w:val="clear" w:color="auto" w:fill="auto"/>
            <w:tcMar>
              <w:top w:w="46" w:type="dxa"/>
              <w:left w:w="91" w:type="dxa"/>
              <w:bottom w:w="46" w:type="dxa"/>
              <w:right w:w="91" w:type="dxa"/>
            </w:tcMar>
            <w:vAlign w:val="center"/>
            <w:hideMark/>
          </w:tcPr>
          <w:p w14:paraId="37044B7A" w14:textId="77777777" w:rsidR="00D07161" w:rsidRPr="009864E6" w:rsidRDefault="00D07161" w:rsidP="001F0738">
            <w:pPr>
              <w:spacing w:before="0" w:line="240" w:lineRule="auto"/>
              <w:jc w:val="center"/>
              <w:rPr>
                <w:lang w:eastAsia="en-GB"/>
              </w:rPr>
            </w:pPr>
            <w:r w:rsidRPr="009864E6">
              <w:rPr>
                <w:color w:val="000000"/>
                <w:kern w:val="24"/>
                <w:lang w:eastAsia="en-GB"/>
              </w:rPr>
              <w:t>.92</w:t>
            </w:r>
          </w:p>
        </w:tc>
        <w:tc>
          <w:tcPr>
            <w:tcW w:w="686" w:type="dxa"/>
            <w:shd w:val="clear" w:color="auto" w:fill="auto"/>
            <w:tcMar>
              <w:top w:w="46" w:type="dxa"/>
              <w:left w:w="91" w:type="dxa"/>
              <w:bottom w:w="46" w:type="dxa"/>
              <w:right w:w="91" w:type="dxa"/>
            </w:tcMar>
            <w:vAlign w:val="center"/>
            <w:hideMark/>
          </w:tcPr>
          <w:p w14:paraId="3AD06BA6" w14:textId="77777777" w:rsidR="00D07161" w:rsidRPr="009864E6" w:rsidRDefault="00D07161" w:rsidP="001F0738">
            <w:pPr>
              <w:spacing w:before="0" w:line="240" w:lineRule="auto"/>
              <w:jc w:val="center"/>
              <w:rPr>
                <w:lang w:eastAsia="en-GB"/>
              </w:rPr>
            </w:pPr>
            <w:r w:rsidRPr="009864E6">
              <w:rPr>
                <w:color w:val="000000"/>
                <w:kern w:val="24"/>
                <w:lang w:eastAsia="en-GB"/>
              </w:rPr>
              <w:t>ns</w:t>
            </w:r>
          </w:p>
        </w:tc>
        <w:tc>
          <w:tcPr>
            <w:tcW w:w="202" w:type="dxa"/>
            <w:shd w:val="clear" w:color="auto" w:fill="auto"/>
            <w:tcMar>
              <w:top w:w="46" w:type="dxa"/>
              <w:left w:w="91" w:type="dxa"/>
              <w:bottom w:w="46" w:type="dxa"/>
              <w:right w:w="91" w:type="dxa"/>
            </w:tcMar>
            <w:vAlign w:val="center"/>
            <w:hideMark/>
          </w:tcPr>
          <w:p w14:paraId="68BEA175" w14:textId="77777777" w:rsidR="00D07161" w:rsidRPr="009864E6" w:rsidRDefault="00D07161" w:rsidP="001F0738">
            <w:pPr>
              <w:spacing w:before="0" w:line="240" w:lineRule="auto"/>
              <w:rPr>
                <w:lang w:eastAsia="en-GB"/>
              </w:rPr>
            </w:pPr>
          </w:p>
        </w:tc>
        <w:tc>
          <w:tcPr>
            <w:tcW w:w="624" w:type="dxa"/>
            <w:shd w:val="clear" w:color="auto" w:fill="auto"/>
            <w:tcMar>
              <w:top w:w="46" w:type="dxa"/>
              <w:left w:w="91" w:type="dxa"/>
              <w:bottom w:w="46" w:type="dxa"/>
              <w:right w:w="91" w:type="dxa"/>
            </w:tcMar>
            <w:vAlign w:val="center"/>
            <w:hideMark/>
          </w:tcPr>
          <w:p w14:paraId="744503C1" w14:textId="77777777" w:rsidR="00D07161" w:rsidRPr="009864E6" w:rsidRDefault="00D07161" w:rsidP="001F0738">
            <w:pPr>
              <w:spacing w:before="0" w:line="240" w:lineRule="auto"/>
              <w:jc w:val="center"/>
              <w:rPr>
                <w:lang w:eastAsia="en-GB"/>
              </w:rPr>
            </w:pPr>
            <w:r>
              <w:rPr>
                <w:color w:val="000000"/>
                <w:kern w:val="24"/>
                <w:lang w:eastAsia="en-GB"/>
              </w:rPr>
              <w:t>-</w:t>
            </w:r>
            <w:r w:rsidRPr="009864E6">
              <w:rPr>
                <w:color w:val="000000"/>
                <w:kern w:val="24"/>
                <w:lang w:eastAsia="en-GB"/>
              </w:rPr>
              <w:t>.01</w:t>
            </w:r>
          </w:p>
        </w:tc>
        <w:tc>
          <w:tcPr>
            <w:tcW w:w="567" w:type="dxa"/>
            <w:shd w:val="clear" w:color="auto" w:fill="auto"/>
            <w:tcMar>
              <w:top w:w="46" w:type="dxa"/>
              <w:left w:w="91" w:type="dxa"/>
              <w:bottom w:w="46" w:type="dxa"/>
              <w:right w:w="91" w:type="dxa"/>
            </w:tcMar>
            <w:vAlign w:val="center"/>
            <w:hideMark/>
          </w:tcPr>
          <w:p w14:paraId="16AE05CB" w14:textId="77777777" w:rsidR="00D07161" w:rsidRPr="009864E6" w:rsidRDefault="00D07161" w:rsidP="001F0738">
            <w:pPr>
              <w:spacing w:before="0" w:line="240" w:lineRule="auto"/>
              <w:jc w:val="center"/>
              <w:rPr>
                <w:lang w:eastAsia="en-GB"/>
              </w:rPr>
            </w:pPr>
            <w:r w:rsidRPr="009864E6">
              <w:rPr>
                <w:color w:val="000000"/>
                <w:kern w:val="24"/>
                <w:lang w:eastAsia="en-GB"/>
              </w:rPr>
              <w:t>.11</w:t>
            </w:r>
          </w:p>
        </w:tc>
        <w:tc>
          <w:tcPr>
            <w:tcW w:w="708" w:type="dxa"/>
            <w:shd w:val="clear" w:color="auto" w:fill="auto"/>
            <w:tcMar>
              <w:top w:w="46" w:type="dxa"/>
              <w:left w:w="91" w:type="dxa"/>
              <w:bottom w:w="46" w:type="dxa"/>
              <w:right w:w="91" w:type="dxa"/>
            </w:tcMar>
            <w:vAlign w:val="center"/>
            <w:hideMark/>
          </w:tcPr>
          <w:p w14:paraId="2D20E7D5" w14:textId="77777777" w:rsidR="00D07161" w:rsidRPr="009864E6" w:rsidRDefault="00D07161" w:rsidP="001F0738">
            <w:pPr>
              <w:spacing w:before="0" w:line="240" w:lineRule="auto"/>
              <w:jc w:val="center"/>
              <w:rPr>
                <w:lang w:eastAsia="en-GB"/>
              </w:rPr>
            </w:pPr>
            <w:r>
              <w:rPr>
                <w:color w:val="000000"/>
                <w:kern w:val="24"/>
                <w:lang w:eastAsia="en-GB"/>
              </w:rPr>
              <w:t>-</w:t>
            </w:r>
            <w:r w:rsidRPr="009864E6">
              <w:rPr>
                <w:color w:val="000000"/>
                <w:kern w:val="24"/>
                <w:lang w:eastAsia="en-GB"/>
              </w:rPr>
              <w:t>.0</w:t>
            </w:r>
            <w:r>
              <w:rPr>
                <w:color w:val="000000"/>
                <w:kern w:val="24"/>
                <w:lang w:eastAsia="en-GB"/>
              </w:rPr>
              <w:t>8</w:t>
            </w:r>
          </w:p>
        </w:tc>
        <w:tc>
          <w:tcPr>
            <w:tcW w:w="734" w:type="dxa"/>
            <w:shd w:val="clear" w:color="auto" w:fill="auto"/>
            <w:tcMar>
              <w:top w:w="46" w:type="dxa"/>
              <w:left w:w="91" w:type="dxa"/>
              <w:bottom w:w="46" w:type="dxa"/>
              <w:right w:w="91" w:type="dxa"/>
            </w:tcMar>
            <w:vAlign w:val="center"/>
            <w:hideMark/>
          </w:tcPr>
          <w:p w14:paraId="626A9ADD" w14:textId="77777777" w:rsidR="00D07161" w:rsidRPr="009864E6" w:rsidRDefault="00D07161" w:rsidP="001F0738">
            <w:pPr>
              <w:spacing w:before="0" w:line="240" w:lineRule="auto"/>
              <w:jc w:val="center"/>
              <w:rPr>
                <w:lang w:eastAsia="en-GB"/>
              </w:rPr>
            </w:pPr>
            <w:r w:rsidRPr="009864E6">
              <w:rPr>
                <w:color w:val="000000"/>
                <w:kern w:val="24"/>
                <w:lang w:eastAsia="en-GB"/>
              </w:rPr>
              <w:t>ns</w:t>
            </w:r>
          </w:p>
        </w:tc>
      </w:tr>
      <w:tr w:rsidR="00D07161" w:rsidRPr="00173628" w14:paraId="7D8C060A" w14:textId="77777777" w:rsidTr="001F0738">
        <w:trPr>
          <w:trHeight w:val="249"/>
        </w:trPr>
        <w:tc>
          <w:tcPr>
            <w:tcW w:w="2410" w:type="dxa"/>
            <w:tcBorders>
              <w:bottom w:val="single" w:sz="12" w:space="0" w:color="auto"/>
            </w:tcBorders>
            <w:shd w:val="clear" w:color="auto" w:fill="auto"/>
            <w:tcMar>
              <w:top w:w="46" w:type="dxa"/>
              <w:left w:w="91" w:type="dxa"/>
              <w:bottom w:w="46" w:type="dxa"/>
              <w:right w:w="91" w:type="dxa"/>
            </w:tcMar>
            <w:vAlign w:val="center"/>
            <w:hideMark/>
          </w:tcPr>
          <w:p w14:paraId="2D165E01" w14:textId="77777777" w:rsidR="00D07161" w:rsidRPr="009864E6" w:rsidRDefault="00D07161" w:rsidP="001F0738">
            <w:pPr>
              <w:spacing w:before="0" w:line="240" w:lineRule="auto"/>
              <w:rPr>
                <w:lang w:eastAsia="en-GB"/>
              </w:rPr>
            </w:pPr>
          </w:p>
        </w:tc>
        <w:tc>
          <w:tcPr>
            <w:tcW w:w="1990" w:type="dxa"/>
            <w:tcBorders>
              <w:bottom w:val="single" w:sz="12" w:space="0" w:color="auto"/>
            </w:tcBorders>
            <w:shd w:val="clear" w:color="auto" w:fill="auto"/>
            <w:tcMar>
              <w:top w:w="46" w:type="dxa"/>
              <w:left w:w="91" w:type="dxa"/>
              <w:bottom w:w="46" w:type="dxa"/>
              <w:right w:w="91" w:type="dxa"/>
            </w:tcMar>
            <w:vAlign w:val="center"/>
            <w:hideMark/>
          </w:tcPr>
          <w:p w14:paraId="4E2122E8" w14:textId="77777777" w:rsidR="00D07161" w:rsidRPr="00173628" w:rsidRDefault="00D07161" w:rsidP="001F0738">
            <w:pPr>
              <w:spacing w:before="0" w:line="240" w:lineRule="auto"/>
              <w:rPr>
                <w:lang w:eastAsia="en-GB"/>
              </w:rPr>
            </w:pPr>
            <w:r w:rsidRPr="00173628">
              <w:rPr>
                <w:color w:val="000000"/>
                <w:kern w:val="24"/>
                <w:lang w:eastAsia="en-GB"/>
              </w:rPr>
              <w:t>Angry vs non-face</w:t>
            </w:r>
          </w:p>
        </w:tc>
        <w:tc>
          <w:tcPr>
            <w:tcW w:w="653" w:type="dxa"/>
            <w:tcBorders>
              <w:bottom w:val="single" w:sz="12" w:space="0" w:color="auto"/>
            </w:tcBorders>
            <w:shd w:val="clear" w:color="auto" w:fill="auto"/>
            <w:tcMar>
              <w:top w:w="46" w:type="dxa"/>
              <w:left w:w="91" w:type="dxa"/>
              <w:bottom w:w="46" w:type="dxa"/>
              <w:right w:w="91" w:type="dxa"/>
            </w:tcMar>
            <w:vAlign w:val="center"/>
            <w:hideMark/>
          </w:tcPr>
          <w:p w14:paraId="6844F040" w14:textId="77777777" w:rsidR="00D07161" w:rsidRPr="00173628" w:rsidRDefault="00D07161" w:rsidP="001F0738">
            <w:pPr>
              <w:spacing w:before="0" w:line="240" w:lineRule="auto"/>
              <w:jc w:val="center"/>
              <w:rPr>
                <w:lang w:eastAsia="en-GB"/>
              </w:rPr>
            </w:pPr>
            <w:r w:rsidRPr="00173628">
              <w:rPr>
                <w:color w:val="000000"/>
                <w:kern w:val="24"/>
                <w:lang w:eastAsia="en-GB"/>
              </w:rPr>
              <w:t>-.01</w:t>
            </w:r>
          </w:p>
        </w:tc>
        <w:tc>
          <w:tcPr>
            <w:tcW w:w="566" w:type="dxa"/>
            <w:tcBorders>
              <w:bottom w:val="single" w:sz="12" w:space="0" w:color="auto"/>
            </w:tcBorders>
            <w:shd w:val="clear" w:color="auto" w:fill="auto"/>
            <w:tcMar>
              <w:top w:w="46" w:type="dxa"/>
              <w:left w:w="91" w:type="dxa"/>
              <w:bottom w:w="46" w:type="dxa"/>
              <w:right w:w="91" w:type="dxa"/>
            </w:tcMar>
            <w:vAlign w:val="center"/>
            <w:hideMark/>
          </w:tcPr>
          <w:p w14:paraId="37C1BC83" w14:textId="77777777" w:rsidR="00D07161" w:rsidRPr="00173628" w:rsidRDefault="00D07161" w:rsidP="001F0738">
            <w:pPr>
              <w:spacing w:before="0" w:line="240" w:lineRule="auto"/>
              <w:jc w:val="center"/>
              <w:rPr>
                <w:lang w:eastAsia="en-GB"/>
              </w:rPr>
            </w:pPr>
            <w:r w:rsidRPr="00173628">
              <w:rPr>
                <w:color w:val="000000"/>
                <w:kern w:val="24"/>
                <w:lang w:eastAsia="en-GB"/>
              </w:rPr>
              <w:t>.01</w:t>
            </w:r>
          </w:p>
        </w:tc>
        <w:tc>
          <w:tcPr>
            <w:tcW w:w="793" w:type="dxa"/>
            <w:gridSpan w:val="2"/>
            <w:tcBorders>
              <w:bottom w:val="single" w:sz="12" w:space="0" w:color="auto"/>
            </w:tcBorders>
            <w:shd w:val="clear" w:color="auto" w:fill="auto"/>
            <w:tcMar>
              <w:top w:w="46" w:type="dxa"/>
              <w:left w:w="91" w:type="dxa"/>
              <w:bottom w:w="46" w:type="dxa"/>
              <w:right w:w="91" w:type="dxa"/>
            </w:tcMar>
            <w:vAlign w:val="center"/>
            <w:hideMark/>
          </w:tcPr>
          <w:p w14:paraId="1E69D1B2" w14:textId="77777777" w:rsidR="00D07161" w:rsidRPr="00173628" w:rsidRDefault="00D07161" w:rsidP="001F0738">
            <w:pPr>
              <w:spacing w:before="0" w:line="240" w:lineRule="auto"/>
              <w:jc w:val="center"/>
              <w:rPr>
                <w:lang w:eastAsia="en-GB"/>
              </w:rPr>
            </w:pPr>
            <w:r w:rsidRPr="00173628">
              <w:rPr>
                <w:color w:val="000000"/>
                <w:kern w:val="24"/>
                <w:lang w:eastAsia="en-GB"/>
              </w:rPr>
              <w:t>-.80</w:t>
            </w:r>
          </w:p>
        </w:tc>
        <w:tc>
          <w:tcPr>
            <w:tcW w:w="686" w:type="dxa"/>
            <w:tcBorders>
              <w:bottom w:val="single" w:sz="12" w:space="0" w:color="auto"/>
            </w:tcBorders>
            <w:shd w:val="clear" w:color="auto" w:fill="auto"/>
            <w:tcMar>
              <w:top w:w="46" w:type="dxa"/>
              <w:left w:w="91" w:type="dxa"/>
              <w:bottom w:w="46" w:type="dxa"/>
              <w:right w:w="91" w:type="dxa"/>
            </w:tcMar>
            <w:vAlign w:val="center"/>
            <w:hideMark/>
          </w:tcPr>
          <w:p w14:paraId="5C9E66EA" w14:textId="77777777" w:rsidR="00D07161" w:rsidRPr="00173628" w:rsidRDefault="00D07161" w:rsidP="001F0738">
            <w:pPr>
              <w:spacing w:before="0" w:line="240" w:lineRule="auto"/>
              <w:jc w:val="center"/>
              <w:rPr>
                <w:lang w:eastAsia="en-GB"/>
              </w:rPr>
            </w:pPr>
            <w:r w:rsidRPr="00173628">
              <w:rPr>
                <w:color w:val="000000"/>
                <w:kern w:val="24"/>
                <w:lang w:eastAsia="en-GB"/>
              </w:rPr>
              <w:t>ns</w:t>
            </w:r>
          </w:p>
        </w:tc>
        <w:tc>
          <w:tcPr>
            <w:tcW w:w="202" w:type="dxa"/>
            <w:tcBorders>
              <w:bottom w:val="single" w:sz="12" w:space="0" w:color="auto"/>
            </w:tcBorders>
            <w:shd w:val="clear" w:color="auto" w:fill="auto"/>
            <w:tcMar>
              <w:top w:w="46" w:type="dxa"/>
              <w:left w:w="91" w:type="dxa"/>
              <w:bottom w:w="46" w:type="dxa"/>
              <w:right w:w="91" w:type="dxa"/>
            </w:tcMar>
            <w:vAlign w:val="center"/>
            <w:hideMark/>
          </w:tcPr>
          <w:p w14:paraId="43DF0343" w14:textId="77777777" w:rsidR="00D07161" w:rsidRPr="00173628" w:rsidRDefault="00D07161" w:rsidP="001F0738">
            <w:pPr>
              <w:spacing w:before="0" w:line="240" w:lineRule="auto"/>
              <w:rPr>
                <w:lang w:eastAsia="en-GB"/>
              </w:rPr>
            </w:pPr>
          </w:p>
        </w:tc>
        <w:tc>
          <w:tcPr>
            <w:tcW w:w="624" w:type="dxa"/>
            <w:tcBorders>
              <w:bottom w:val="single" w:sz="12" w:space="0" w:color="auto"/>
            </w:tcBorders>
            <w:shd w:val="clear" w:color="auto" w:fill="auto"/>
            <w:tcMar>
              <w:top w:w="46" w:type="dxa"/>
              <w:left w:w="91" w:type="dxa"/>
              <w:bottom w:w="46" w:type="dxa"/>
              <w:right w:w="91" w:type="dxa"/>
            </w:tcMar>
            <w:vAlign w:val="center"/>
            <w:hideMark/>
          </w:tcPr>
          <w:p w14:paraId="5D8CFC87" w14:textId="77777777" w:rsidR="00D07161" w:rsidRPr="00173628" w:rsidRDefault="00D07161" w:rsidP="001F0738">
            <w:pPr>
              <w:spacing w:before="0" w:line="240" w:lineRule="auto"/>
              <w:jc w:val="center"/>
              <w:rPr>
                <w:lang w:eastAsia="en-GB"/>
              </w:rPr>
            </w:pPr>
            <w:r w:rsidRPr="00173628">
              <w:rPr>
                <w:color w:val="000000"/>
                <w:kern w:val="24"/>
                <w:lang w:eastAsia="en-GB"/>
              </w:rPr>
              <w:t>-.16</w:t>
            </w:r>
          </w:p>
        </w:tc>
        <w:tc>
          <w:tcPr>
            <w:tcW w:w="567" w:type="dxa"/>
            <w:tcBorders>
              <w:bottom w:val="single" w:sz="12" w:space="0" w:color="auto"/>
            </w:tcBorders>
            <w:shd w:val="clear" w:color="auto" w:fill="auto"/>
            <w:tcMar>
              <w:top w:w="46" w:type="dxa"/>
              <w:left w:w="91" w:type="dxa"/>
              <w:bottom w:w="46" w:type="dxa"/>
              <w:right w:w="91" w:type="dxa"/>
            </w:tcMar>
            <w:vAlign w:val="center"/>
            <w:hideMark/>
          </w:tcPr>
          <w:p w14:paraId="04C0A30F" w14:textId="77777777" w:rsidR="00D07161" w:rsidRPr="00173628" w:rsidRDefault="00D07161" w:rsidP="001F0738">
            <w:pPr>
              <w:spacing w:before="0" w:line="240" w:lineRule="auto"/>
              <w:jc w:val="center"/>
              <w:rPr>
                <w:lang w:eastAsia="en-GB"/>
              </w:rPr>
            </w:pPr>
            <w:r w:rsidRPr="00173628">
              <w:rPr>
                <w:color w:val="000000"/>
                <w:kern w:val="24"/>
                <w:lang w:eastAsia="en-GB"/>
              </w:rPr>
              <w:t>.10</w:t>
            </w:r>
          </w:p>
        </w:tc>
        <w:tc>
          <w:tcPr>
            <w:tcW w:w="708" w:type="dxa"/>
            <w:tcBorders>
              <w:bottom w:val="single" w:sz="12" w:space="0" w:color="auto"/>
            </w:tcBorders>
            <w:shd w:val="clear" w:color="auto" w:fill="auto"/>
            <w:tcMar>
              <w:top w:w="46" w:type="dxa"/>
              <w:left w:w="91" w:type="dxa"/>
              <w:bottom w:w="46" w:type="dxa"/>
              <w:right w:w="91" w:type="dxa"/>
            </w:tcMar>
            <w:vAlign w:val="center"/>
            <w:hideMark/>
          </w:tcPr>
          <w:p w14:paraId="6D3C2C05" w14:textId="77777777" w:rsidR="00D07161" w:rsidRPr="00173628" w:rsidRDefault="00D07161" w:rsidP="001F0738">
            <w:pPr>
              <w:spacing w:before="0" w:line="240" w:lineRule="auto"/>
              <w:jc w:val="center"/>
              <w:rPr>
                <w:lang w:eastAsia="en-GB"/>
              </w:rPr>
            </w:pPr>
            <w:r w:rsidRPr="00173628">
              <w:rPr>
                <w:color w:val="000000"/>
                <w:kern w:val="24"/>
                <w:lang w:eastAsia="en-GB"/>
              </w:rPr>
              <w:t>-1.57</w:t>
            </w:r>
          </w:p>
        </w:tc>
        <w:tc>
          <w:tcPr>
            <w:tcW w:w="734" w:type="dxa"/>
            <w:tcBorders>
              <w:bottom w:val="single" w:sz="12" w:space="0" w:color="auto"/>
            </w:tcBorders>
            <w:shd w:val="clear" w:color="auto" w:fill="auto"/>
            <w:tcMar>
              <w:top w:w="46" w:type="dxa"/>
              <w:left w:w="91" w:type="dxa"/>
              <w:bottom w:w="46" w:type="dxa"/>
              <w:right w:w="91" w:type="dxa"/>
            </w:tcMar>
            <w:vAlign w:val="center"/>
            <w:hideMark/>
          </w:tcPr>
          <w:p w14:paraId="3871B726" w14:textId="77777777" w:rsidR="00D07161" w:rsidRPr="00173628" w:rsidRDefault="00D07161" w:rsidP="001F0738">
            <w:pPr>
              <w:spacing w:before="0" w:line="240" w:lineRule="auto"/>
              <w:jc w:val="center"/>
              <w:rPr>
                <w:lang w:eastAsia="en-GB"/>
              </w:rPr>
            </w:pPr>
            <w:r w:rsidRPr="00173628">
              <w:rPr>
                <w:color w:val="000000"/>
                <w:kern w:val="24"/>
                <w:lang w:eastAsia="en-GB"/>
              </w:rPr>
              <w:t>ns</w:t>
            </w:r>
          </w:p>
        </w:tc>
      </w:tr>
    </w:tbl>
    <w:p w14:paraId="7FD0BAA5" w14:textId="77777777" w:rsidR="00D07161" w:rsidRDefault="00D07161" w:rsidP="00D07161">
      <w:pPr>
        <w:tabs>
          <w:tab w:val="left" w:pos="1215"/>
        </w:tabs>
        <w:spacing w:line="480" w:lineRule="auto"/>
      </w:pPr>
      <w:r w:rsidRPr="003C2A06">
        <w:rPr>
          <w:noProof/>
          <w:lang w:eastAsia="en-GB"/>
        </w:rPr>
        <mc:AlternateContent>
          <mc:Choice Requires="wps">
            <w:drawing>
              <wp:anchor distT="0" distB="0" distL="114300" distR="114300" simplePos="0" relativeHeight="251659264" behindDoc="0" locked="0" layoutInCell="1" allowOverlap="1" wp14:anchorId="07B23ACF" wp14:editId="5B86BC10">
                <wp:simplePos x="0" y="0"/>
                <wp:positionH relativeFrom="column">
                  <wp:posOffset>-51206</wp:posOffset>
                </wp:positionH>
                <wp:positionV relativeFrom="paragraph">
                  <wp:posOffset>16180</wp:posOffset>
                </wp:positionV>
                <wp:extent cx="6473952" cy="447228"/>
                <wp:effectExtent l="0" t="0" r="3175" b="0"/>
                <wp:wrapNone/>
                <wp:docPr id="2" name="Text Box 14"/>
                <wp:cNvGraphicFramePr/>
                <a:graphic xmlns:a="http://schemas.openxmlformats.org/drawingml/2006/main">
                  <a:graphicData uri="http://schemas.microsoft.com/office/word/2010/wordprocessingShape">
                    <wps:wsp>
                      <wps:cNvSpPr txBox="1"/>
                      <wps:spPr>
                        <a:xfrm>
                          <a:off x="0" y="0"/>
                          <a:ext cx="6473952" cy="447228"/>
                        </a:xfrm>
                        <a:prstGeom prst="rect">
                          <a:avLst/>
                        </a:prstGeom>
                        <a:solidFill>
                          <a:sysClr val="window" lastClr="FFFFFF"/>
                        </a:solidFill>
                        <a:ln w="6350">
                          <a:noFill/>
                        </a:ln>
                        <a:effectLst/>
                      </wps:spPr>
                      <wps:txbx>
                        <w:txbxContent>
                          <w:p w14:paraId="5A929AAE" w14:textId="77777777" w:rsidR="00D07161" w:rsidRDefault="00D07161" w:rsidP="00D07161">
                            <w:pPr>
                              <w:pStyle w:val="NormalWeb"/>
                              <w:spacing w:before="0"/>
                            </w:pPr>
                            <w:r>
                              <w:rPr>
                                <w:rFonts w:eastAsia="SimSun" w:cstheme="minorBidi"/>
                                <w:i/>
                                <w:iCs/>
                                <w:color w:val="000000" w:themeColor="dark1"/>
                                <w:kern w:val="24"/>
                                <w:sz w:val="18"/>
                                <w:szCs w:val="18"/>
                              </w:rPr>
                              <w:t>Note:</w:t>
                            </w:r>
                            <w:r>
                              <w:rPr>
                                <w:rFonts w:eastAsia="SimSun" w:cstheme="minorBidi"/>
                                <w:color w:val="000000" w:themeColor="dark1"/>
                                <w:kern w:val="24"/>
                                <w:sz w:val="18"/>
                                <w:szCs w:val="18"/>
                              </w:rPr>
                              <w:t xml:space="preserve"> Commission Errors (CE), Omission Errors (OE), </w:t>
                            </w:r>
                            <w:r>
                              <w:rPr>
                                <w:rFonts w:eastAsia="SimSun" w:cstheme="minorBidi"/>
                                <w:i/>
                                <w:iCs/>
                                <w:color w:val="000000" w:themeColor="dark1"/>
                                <w:kern w:val="24"/>
                                <w:sz w:val="18"/>
                                <w:szCs w:val="18"/>
                              </w:rPr>
                              <w:t>beta-</w:t>
                            </w:r>
                            <w:r>
                              <w:rPr>
                                <w:rFonts w:eastAsia="SimSun" w:cstheme="minorBidi"/>
                                <w:color w:val="000000" w:themeColor="dark1"/>
                                <w:kern w:val="24"/>
                                <w:sz w:val="18"/>
                                <w:szCs w:val="18"/>
                              </w:rPr>
                              <w:t>coefficients (</w:t>
                            </w:r>
                            <w:r>
                              <w:rPr>
                                <w:i/>
                                <w:iCs/>
                                <w:color w:val="000000" w:themeColor="dark1"/>
                                <w:kern w:val="24"/>
                                <w:sz w:val="18"/>
                                <w:szCs w:val="18"/>
                              </w:rPr>
                              <w:t xml:space="preserve">β), </w:t>
                            </w:r>
                            <w:r>
                              <w:rPr>
                                <w:rFonts w:eastAsia="SimSun" w:cstheme="minorBidi"/>
                                <w:color w:val="000000" w:themeColor="dark1"/>
                                <w:kern w:val="24"/>
                                <w:sz w:val="18"/>
                                <w:szCs w:val="18"/>
                              </w:rPr>
                              <w:t xml:space="preserve">Standard Errors of Estimates (SE),  </w:t>
                            </w:r>
                            <w:r>
                              <w:rPr>
                                <w:rFonts w:eastAsia="SimSun" w:cstheme="minorBidi"/>
                                <w:i/>
                                <w:iCs/>
                                <w:color w:val="000000" w:themeColor="dark1"/>
                                <w:kern w:val="24"/>
                                <w:sz w:val="18"/>
                                <w:szCs w:val="18"/>
                              </w:rPr>
                              <w:t>p</w:t>
                            </w:r>
                            <w:r>
                              <w:rPr>
                                <w:rFonts w:eastAsia="SimSun" w:cstheme="minorBidi"/>
                                <w:color w:val="000000" w:themeColor="dark1"/>
                                <w:kern w:val="24"/>
                                <w:sz w:val="18"/>
                                <w:szCs w:val="18"/>
                              </w:rPr>
                              <w:t xml:space="preserve">&lt;.001 (***), </w:t>
                            </w:r>
                            <w:r>
                              <w:rPr>
                                <w:rFonts w:eastAsia="SimSun" w:cstheme="minorBidi"/>
                                <w:i/>
                                <w:iCs/>
                                <w:color w:val="000000" w:themeColor="dark1"/>
                                <w:kern w:val="24"/>
                                <w:sz w:val="18"/>
                                <w:szCs w:val="18"/>
                              </w:rPr>
                              <w:t>p</w:t>
                            </w:r>
                            <w:r>
                              <w:rPr>
                                <w:rFonts w:eastAsia="SimSun" w:cstheme="minorBidi"/>
                                <w:color w:val="000000" w:themeColor="dark1"/>
                                <w:kern w:val="24"/>
                                <w:sz w:val="18"/>
                                <w:szCs w:val="18"/>
                              </w:rPr>
                              <w:t xml:space="preserve">&lt;.01 (**), </w:t>
                            </w:r>
                            <w:r>
                              <w:rPr>
                                <w:rFonts w:eastAsia="SimSun" w:cstheme="minorBidi"/>
                                <w:i/>
                                <w:iCs/>
                                <w:color w:val="000000" w:themeColor="dark1"/>
                                <w:kern w:val="24"/>
                                <w:sz w:val="18"/>
                                <w:szCs w:val="18"/>
                              </w:rPr>
                              <w:t>p</w:t>
                            </w:r>
                            <w:r>
                              <w:rPr>
                                <w:rFonts w:eastAsia="SimSun" w:cstheme="minorBidi"/>
                                <w:color w:val="000000" w:themeColor="dark1"/>
                                <w:kern w:val="24"/>
                                <w:sz w:val="18"/>
                                <w:szCs w:val="18"/>
                              </w:rPr>
                              <w:t xml:space="preserve">&lt;.05 (*), </w:t>
                            </w:r>
                            <w:r>
                              <w:rPr>
                                <w:rFonts w:eastAsia="SimSun" w:cstheme="minorBidi"/>
                                <w:i/>
                                <w:iCs/>
                                <w:color w:val="000000" w:themeColor="dark1"/>
                                <w:kern w:val="24"/>
                                <w:sz w:val="18"/>
                                <w:szCs w:val="18"/>
                              </w:rPr>
                              <w:t xml:space="preserve"> p</w:t>
                            </w:r>
                            <w:r>
                              <w:rPr>
                                <w:rFonts w:eastAsia="SimSun" w:cstheme="minorBidi"/>
                                <w:color w:val="000000" w:themeColor="dark1"/>
                                <w:kern w:val="24"/>
                                <w:sz w:val="18"/>
                                <w:szCs w:val="18"/>
                              </w:rPr>
                              <w:t>&lt;.1 (</w:t>
                            </w:r>
                            <w:r>
                              <w:rPr>
                                <w:rFonts w:eastAsia="SimSun" w:cstheme="minorBidi"/>
                                <w:b/>
                                <w:bCs/>
                                <w:color w:val="000000" w:themeColor="dark1"/>
                                <w:kern w:val="24"/>
                                <w:sz w:val="18"/>
                                <w:szCs w:val="18"/>
                              </w:rPr>
                              <w:t>.</w:t>
                            </w:r>
                            <w:r>
                              <w:rPr>
                                <w:rFonts w:eastAsia="SimSun" w:cstheme="minorBidi"/>
                                <w:color w:val="000000" w:themeColor="dark1"/>
                                <w:kern w:val="24"/>
                                <w:sz w:val="18"/>
                                <w:szCs w:val="18"/>
                              </w:rPr>
                              <w:t>),  non-significant (ns)</w:t>
                            </w:r>
                          </w:p>
                        </w:txbxContent>
                      </wps:txbx>
                      <wps:bodyPr rot="0" spcFirstLastPara="0" vert="horz" wrap="square" lIns="57859" tIns="28930" rIns="57859" bIns="2893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B23ACF" id="_x0000_t202" coordsize="21600,21600" o:spt="202" path="m,l,21600r21600,l21600,xe">
                <v:stroke joinstyle="miter"/>
                <v:path gradientshapeok="t" o:connecttype="rect"/>
              </v:shapetype>
              <v:shape id="Text Box 14" o:spid="_x0000_s1027" type="#_x0000_t202" style="position:absolute;margin-left:-4.05pt;margin-top:1.25pt;width:509.75pt;height:3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" fillcolor="window" stroked="f" strokeweight=".5pt">
                <v:textbox inset="1.60719mm,.80361mm,1.60719mm,.80361mm">
                  <w:txbxContent>
                    <w:p w14:paraId="5A929AAE" w14:textId="77777777" w:rsidR="00D07161" w:rsidRDefault="00D07161" w:rsidP="00D07161">
                      <w:pPr>
                        <w:pStyle w:val="NormalWeb"/>
                        <w:spacing w:before="0"/>
                      </w:pPr>
                      <w:r>
                        <w:rPr>
                          <w:rFonts w:eastAsia="SimSun" w:cstheme="minorBidi"/>
                          <w:i/>
                          <w:iCs/>
                          <w:color w:val="000000" w:themeColor="dark1"/>
                          <w:kern w:val="24"/>
                          <w:sz w:val="18"/>
                          <w:szCs w:val="18"/>
                        </w:rPr>
                        <w:t>Note:</w:t>
                      </w:r>
                      <w:r>
                        <w:rPr>
                          <w:rFonts w:eastAsia="SimSun" w:cstheme="minorBidi"/>
                          <w:color w:val="000000" w:themeColor="dark1"/>
                          <w:kern w:val="24"/>
                          <w:sz w:val="18"/>
                          <w:szCs w:val="18"/>
                        </w:rPr>
                        <w:t xml:space="preserve"> Commission Errors (CE), Omission Errors (OE), </w:t>
                      </w:r>
                      <w:r>
                        <w:rPr>
                          <w:rFonts w:eastAsia="SimSun" w:cstheme="minorBidi"/>
                          <w:i/>
                          <w:iCs/>
                          <w:color w:val="000000" w:themeColor="dark1"/>
                          <w:kern w:val="24"/>
                          <w:sz w:val="18"/>
                          <w:szCs w:val="18"/>
                        </w:rPr>
                        <w:t>beta-</w:t>
                      </w:r>
                      <w:r>
                        <w:rPr>
                          <w:rFonts w:eastAsia="SimSun" w:cstheme="minorBidi"/>
                          <w:color w:val="000000" w:themeColor="dark1"/>
                          <w:kern w:val="24"/>
                          <w:sz w:val="18"/>
                          <w:szCs w:val="18"/>
                        </w:rPr>
                        <w:t>coefficients (</w:t>
                      </w:r>
                      <w:r>
                        <w:rPr>
                          <w:i/>
                          <w:iCs/>
                          <w:color w:val="000000" w:themeColor="dark1"/>
                          <w:kern w:val="24"/>
                          <w:sz w:val="18"/>
                          <w:szCs w:val="18"/>
                        </w:rPr>
                        <w:t xml:space="preserve">β), </w:t>
                      </w:r>
                      <w:r>
                        <w:rPr>
                          <w:rFonts w:eastAsia="SimSun" w:cstheme="minorBidi"/>
                          <w:color w:val="000000" w:themeColor="dark1"/>
                          <w:kern w:val="24"/>
                          <w:sz w:val="18"/>
                          <w:szCs w:val="18"/>
                        </w:rPr>
                        <w:t xml:space="preserve">Standard Errors of Estimates (SE),  </w:t>
                      </w:r>
                      <w:r>
                        <w:rPr>
                          <w:rFonts w:eastAsia="SimSun" w:cstheme="minorBidi"/>
                          <w:i/>
                          <w:iCs/>
                          <w:color w:val="000000" w:themeColor="dark1"/>
                          <w:kern w:val="24"/>
                          <w:sz w:val="18"/>
                          <w:szCs w:val="18"/>
                        </w:rPr>
                        <w:t>p</w:t>
                      </w:r>
                      <w:r>
                        <w:rPr>
                          <w:rFonts w:eastAsia="SimSun" w:cstheme="minorBidi"/>
                          <w:color w:val="000000" w:themeColor="dark1"/>
                          <w:kern w:val="24"/>
                          <w:sz w:val="18"/>
                          <w:szCs w:val="18"/>
                        </w:rPr>
                        <w:t xml:space="preserve">&lt;.001 (***), </w:t>
                      </w:r>
                      <w:r>
                        <w:rPr>
                          <w:rFonts w:eastAsia="SimSun" w:cstheme="minorBidi"/>
                          <w:i/>
                          <w:iCs/>
                          <w:color w:val="000000" w:themeColor="dark1"/>
                          <w:kern w:val="24"/>
                          <w:sz w:val="18"/>
                          <w:szCs w:val="18"/>
                        </w:rPr>
                        <w:t>p</w:t>
                      </w:r>
                      <w:r>
                        <w:rPr>
                          <w:rFonts w:eastAsia="SimSun" w:cstheme="minorBidi"/>
                          <w:color w:val="000000" w:themeColor="dark1"/>
                          <w:kern w:val="24"/>
                          <w:sz w:val="18"/>
                          <w:szCs w:val="18"/>
                        </w:rPr>
                        <w:t xml:space="preserve">&lt;.01 (**), </w:t>
                      </w:r>
                      <w:r>
                        <w:rPr>
                          <w:rFonts w:eastAsia="SimSun" w:cstheme="minorBidi"/>
                          <w:i/>
                          <w:iCs/>
                          <w:color w:val="000000" w:themeColor="dark1"/>
                          <w:kern w:val="24"/>
                          <w:sz w:val="18"/>
                          <w:szCs w:val="18"/>
                        </w:rPr>
                        <w:t>p</w:t>
                      </w:r>
                      <w:r>
                        <w:rPr>
                          <w:rFonts w:eastAsia="SimSun" w:cstheme="minorBidi"/>
                          <w:color w:val="000000" w:themeColor="dark1"/>
                          <w:kern w:val="24"/>
                          <w:sz w:val="18"/>
                          <w:szCs w:val="18"/>
                        </w:rPr>
                        <w:t xml:space="preserve">&lt;.05 (*), </w:t>
                      </w:r>
                      <w:r>
                        <w:rPr>
                          <w:rFonts w:eastAsia="SimSun" w:cstheme="minorBidi"/>
                          <w:i/>
                          <w:iCs/>
                          <w:color w:val="000000" w:themeColor="dark1"/>
                          <w:kern w:val="24"/>
                          <w:sz w:val="18"/>
                          <w:szCs w:val="18"/>
                        </w:rPr>
                        <w:t xml:space="preserve"> p</w:t>
                      </w:r>
                      <w:r>
                        <w:rPr>
                          <w:rFonts w:eastAsia="SimSun" w:cstheme="minorBidi"/>
                          <w:color w:val="000000" w:themeColor="dark1"/>
                          <w:kern w:val="24"/>
                          <w:sz w:val="18"/>
                          <w:szCs w:val="18"/>
                        </w:rPr>
                        <w:t>&lt;.1 (</w:t>
                      </w:r>
                      <w:r>
                        <w:rPr>
                          <w:rFonts w:eastAsia="SimSun" w:cstheme="minorBidi"/>
                          <w:b/>
                          <w:bCs/>
                          <w:color w:val="000000" w:themeColor="dark1"/>
                          <w:kern w:val="24"/>
                          <w:sz w:val="18"/>
                          <w:szCs w:val="18"/>
                        </w:rPr>
                        <w:t>.</w:t>
                      </w:r>
                      <w:r>
                        <w:rPr>
                          <w:rFonts w:eastAsia="SimSun" w:cstheme="minorBidi"/>
                          <w:color w:val="000000" w:themeColor="dark1"/>
                          <w:kern w:val="24"/>
                          <w:sz w:val="18"/>
                          <w:szCs w:val="18"/>
                        </w:rPr>
                        <w:t>),  non-significant (ns)</w:t>
                      </w:r>
                    </w:p>
                  </w:txbxContent>
                </v:textbox>
              </v:shape>
            </w:pict>
          </mc:Fallback>
        </mc:AlternateContent>
      </w:r>
    </w:p>
    <w:p w14:paraId="05954674" w14:textId="77777777" w:rsidR="00D07161" w:rsidRDefault="00D07161" w:rsidP="00D07161"/>
    <w:p w14:paraId="4AB7147D" w14:textId="6C8753FB" w:rsidR="00D07161" w:rsidRDefault="00D07161">
      <w:pPr>
        <w:spacing w:before="0" w:after="160" w:line="259" w:lineRule="auto"/>
        <w:rPr>
          <w:noProof/>
          <w:sz w:val="24"/>
        </w:rPr>
      </w:pPr>
      <w:r>
        <w:rPr>
          <w:noProof/>
          <w:sz w:val="24"/>
        </w:rPr>
        <w:br w:type="page"/>
      </w:r>
    </w:p>
    <w:p w14:paraId="31702025" w14:textId="77777777" w:rsidR="00D07161" w:rsidRPr="00D07161" w:rsidRDefault="00D07161" w:rsidP="00D07161">
      <w:pPr>
        <w:tabs>
          <w:tab w:val="left" w:pos="1418"/>
        </w:tabs>
        <w:spacing w:before="120" w:after="120" w:line="480" w:lineRule="auto"/>
        <w:contextualSpacing/>
        <w:rPr>
          <w:b/>
          <w:bCs/>
          <w:i/>
          <w:sz w:val="24"/>
          <w:szCs w:val="24"/>
          <w:lang w:eastAsia="en-US"/>
        </w:rPr>
      </w:pPr>
      <w:r w:rsidRPr="00D07161">
        <w:rPr>
          <w:i/>
          <w:noProof/>
          <w:sz w:val="20"/>
          <w:szCs w:val="26"/>
          <w:lang w:eastAsia="en-US"/>
        </w:rPr>
        <w:lastRenderedPageBreak/>
        <w:drawing>
          <wp:inline distT="0" distB="0" distL="0" distR="0" wp14:anchorId="1F0F1B91" wp14:editId="21A15F05">
            <wp:extent cx="5731510" cy="28397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839720"/>
                    </a:xfrm>
                    <a:prstGeom prst="rect">
                      <a:avLst/>
                    </a:prstGeom>
                    <a:noFill/>
                    <a:ln>
                      <a:noFill/>
                    </a:ln>
                  </pic:spPr>
                </pic:pic>
              </a:graphicData>
            </a:graphic>
          </wp:inline>
        </w:drawing>
      </w:r>
    </w:p>
    <w:p w14:paraId="358DFD90" w14:textId="77777777" w:rsidR="00D07161" w:rsidRPr="00D07161" w:rsidRDefault="00D07161" w:rsidP="00D07161">
      <w:pPr>
        <w:tabs>
          <w:tab w:val="left" w:pos="1418"/>
        </w:tabs>
        <w:spacing w:before="120" w:after="120" w:line="480" w:lineRule="auto"/>
        <w:contextualSpacing/>
        <w:rPr>
          <w:sz w:val="24"/>
          <w:szCs w:val="24"/>
          <w:lang w:eastAsia="en-US"/>
        </w:rPr>
      </w:pPr>
      <w:r w:rsidRPr="00D07161">
        <w:rPr>
          <w:i/>
          <w:sz w:val="24"/>
          <w:szCs w:val="24"/>
          <w:lang w:eastAsia="en-US"/>
        </w:rPr>
        <w:t xml:space="preserve">Figure </w:t>
      </w:r>
      <w:r w:rsidRPr="00D07161">
        <w:rPr>
          <w:i/>
          <w:noProof/>
          <w:sz w:val="24"/>
          <w:szCs w:val="24"/>
          <w:lang w:eastAsia="en-US"/>
        </w:rPr>
        <w:fldChar w:fldCharType="begin"/>
      </w:r>
      <w:r w:rsidRPr="00D07161">
        <w:rPr>
          <w:i/>
          <w:noProof/>
          <w:sz w:val="24"/>
          <w:szCs w:val="24"/>
          <w:lang w:eastAsia="en-US"/>
        </w:rPr>
        <w:instrText xml:space="preserve"> SEQ Figure \* ARABIC </w:instrText>
      </w:r>
      <w:r w:rsidRPr="00D07161">
        <w:rPr>
          <w:i/>
          <w:noProof/>
          <w:sz w:val="24"/>
          <w:szCs w:val="24"/>
          <w:lang w:eastAsia="en-US"/>
        </w:rPr>
        <w:fldChar w:fldCharType="separate"/>
      </w:r>
      <w:r w:rsidRPr="00D07161">
        <w:rPr>
          <w:i/>
          <w:noProof/>
          <w:sz w:val="24"/>
          <w:szCs w:val="24"/>
          <w:lang w:eastAsia="en-US"/>
        </w:rPr>
        <w:t>1</w:t>
      </w:r>
      <w:r w:rsidRPr="00D07161">
        <w:rPr>
          <w:i/>
          <w:noProof/>
          <w:sz w:val="24"/>
          <w:szCs w:val="24"/>
          <w:lang w:eastAsia="en-US"/>
        </w:rPr>
        <w:fldChar w:fldCharType="end"/>
      </w:r>
      <w:r w:rsidRPr="00D07161">
        <w:rPr>
          <w:i/>
          <w:sz w:val="24"/>
          <w:szCs w:val="24"/>
          <w:lang w:eastAsia="en-US"/>
        </w:rPr>
        <w:t xml:space="preserve">: </w:t>
      </w:r>
      <w:r w:rsidRPr="00D07161">
        <w:rPr>
          <w:sz w:val="24"/>
          <w:szCs w:val="24"/>
          <w:lang w:eastAsia="en-US"/>
        </w:rPr>
        <w:t>Trial sequence of the Go/No-Go task for face/emotional and non-face/non-emotional stimuli.</w:t>
      </w:r>
    </w:p>
    <w:p w14:paraId="23455A27" w14:textId="77777777" w:rsidR="00D07161" w:rsidRPr="00D07161" w:rsidRDefault="00D07161" w:rsidP="00D07161">
      <w:pPr>
        <w:spacing w:before="0" w:after="160" w:line="259" w:lineRule="auto"/>
        <w:rPr>
          <w:rFonts w:asciiTheme="minorHAnsi" w:eastAsiaTheme="minorHAnsi" w:hAnsiTheme="minorHAnsi" w:cstheme="minorBidi"/>
          <w:lang w:eastAsia="en-US"/>
        </w:rPr>
      </w:pPr>
      <w:r w:rsidRPr="00D07161">
        <w:rPr>
          <w:rFonts w:asciiTheme="minorHAnsi" w:eastAsiaTheme="minorHAnsi" w:hAnsiTheme="minorHAnsi" w:cstheme="minorBidi"/>
          <w:noProof/>
          <w:lang w:eastAsia="en-US"/>
        </w:rPr>
        <w:drawing>
          <wp:inline distT="0" distB="0" distL="0" distR="0" wp14:anchorId="46C71862" wp14:editId="5EFF5213">
            <wp:extent cx="5731510" cy="329946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299460"/>
                    </a:xfrm>
                    <a:prstGeom prst="rect">
                      <a:avLst/>
                    </a:prstGeom>
                    <a:noFill/>
                    <a:ln>
                      <a:noFill/>
                    </a:ln>
                  </pic:spPr>
                </pic:pic>
              </a:graphicData>
            </a:graphic>
          </wp:inline>
        </w:drawing>
      </w:r>
    </w:p>
    <w:p w14:paraId="36A03FAB" w14:textId="77777777" w:rsidR="00D07161" w:rsidRPr="00D07161" w:rsidRDefault="00D07161" w:rsidP="00D07161">
      <w:pPr>
        <w:tabs>
          <w:tab w:val="left" w:pos="1418"/>
        </w:tabs>
        <w:spacing w:before="120" w:after="120"/>
        <w:contextualSpacing/>
        <w:rPr>
          <w:b/>
          <w:i/>
          <w:sz w:val="24"/>
          <w:szCs w:val="24"/>
          <w:lang w:eastAsia="en-US"/>
        </w:rPr>
      </w:pPr>
      <w:r w:rsidRPr="00D07161">
        <w:rPr>
          <w:i/>
          <w:sz w:val="24"/>
          <w:szCs w:val="24"/>
          <w:lang w:eastAsia="en-US"/>
        </w:rPr>
        <w:t xml:space="preserve">Figure </w:t>
      </w:r>
      <w:r w:rsidRPr="00D07161">
        <w:rPr>
          <w:i/>
          <w:sz w:val="24"/>
          <w:szCs w:val="24"/>
          <w:lang w:eastAsia="en-US"/>
        </w:rPr>
        <w:fldChar w:fldCharType="begin"/>
      </w:r>
      <w:r w:rsidRPr="00D07161">
        <w:rPr>
          <w:i/>
          <w:sz w:val="24"/>
          <w:szCs w:val="24"/>
          <w:lang w:eastAsia="en-US"/>
        </w:rPr>
        <w:instrText xml:space="preserve"> SEQ Figure \* ARABIC </w:instrText>
      </w:r>
      <w:r w:rsidRPr="00D07161">
        <w:rPr>
          <w:i/>
          <w:sz w:val="24"/>
          <w:szCs w:val="24"/>
          <w:lang w:eastAsia="en-US"/>
        </w:rPr>
        <w:fldChar w:fldCharType="separate"/>
      </w:r>
      <w:r w:rsidRPr="00D07161">
        <w:rPr>
          <w:i/>
          <w:noProof/>
          <w:sz w:val="24"/>
          <w:szCs w:val="24"/>
          <w:lang w:eastAsia="en-US"/>
        </w:rPr>
        <w:t>2</w:t>
      </w:r>
      <w:r w:rsidRPr="00D07161">
        <w:rPr>
          <w:i/>
          <w:noProof/>
          <w:sz w:val="24"/>
          <w:szCs w:val="24"/>
          <w:lang w:eastAsia="en-US"/>
        </w:rPr>
        <w:fldChar w:fldCharType="end"/>
      </w:r>
      <w:r w:rsidRPr="00D07161">
        <w:rPr>
          <w:i/>
          <w:sz w:val="24"/>
          <w:szCs w:val="24"/>
          <w:lang w:eastAsia="en-US"/>
        </w:rPr>
        <w:t xml:space="preserve">: </w:t>
      </w:r>
      <w:r w:rsidRPr="00D07161">
        <w:rPr>
          <w:sz w:val="24"/>
          <w:szCs w:val="24"/>
          <w:lang w:eastAsia="en-US"/>
        </w:rPr>
        <w:t>Probabilities for commission errors as a function of ADHD symptoms and cue condition (angry faces, happy faces and non-face stimuli) on No-Go trials. Shaded bands represent 95% confidence intervals.</w:t>
      </w:r>
    </w:p>
    <w:p w14:paraId="3CB7511F" w14:textId="77777777" w:rsidR="00D07161" w:rsidRPr="00D07161" w:rsidRDefault="00D07161" w:rsidP="00D07161">
      <w:pPr>
        <w:tabs>
          <w:tab w:val="left" w:pos="1418"/>
        </w:tabs>
        <w:spacing w:before="120" w:after="120"/>
        <w:contextualSpacing/>
        <w:rPr>
          <w:i/>
          <w:sz w:val="24"/>
          <w:szCs w:val="24"/>
          <w:lang w:eastAsia="en-US"/>
        </w:rPr>
      </w:pPr>
    </w:p>
    <w:p w14:paraId="5FAFEF79" w14:textId="77777777" w:rsidR="00D07161" w:rsidRPr="00D07161" w:rsidRDefault="00D07161" w:rsidP="00D07161">
      <w:pPr>
        <w:tabs>
          <w:tab w:val="left" w:pos="1418"/>
        </w:tabs>
        <w:spacing w:before="120" w:after="120"/>
        <w:contextualSpacing/>
        <w:rPr>
          <w:i/>
          <w:sz w:val="24"/>
          <w:szCs w:val="24"/>
          <w:lang w:eastAsia="en-US"/>
        </w:rPr>
      </w:pPr>
    </w:p>
    <w:p w14:paraId="7B82CD4B" w14:textId="77777777" w:rsidR="00D07161" w:rsidRPr="00D07161" w:rsidRDefault="00D07161" w:rsidP="00D07161">
      <w:pPr>
        <w:tabs>
          <w:tab w:val="left" w:pos="1418"/>
        </w:tabs>
        <w:spacing w:before="120" w:after="120"/>
        <w:contextualSpacing/>
        <w:rPr>
          <w:sz w:val="24"/>
          <w:szCs w:val="24"/>
          <w:lang w:eastAsia="en-US"/>
        </w:rPr>
      </w:pPr>
      <w:r w:rsidRPr="00D07161">
        <w:rPr>
          <w:i/>
          <w:noProof/>
          <w:sz w:val="20"/>
          <w:szCs w:val="26"/>
          <w:lang w:eastAsia="en-US"/>
        </w:rPr>
        <w:lastRenderedPageBreak/>
        <w:drawing>
          <wp:inline distT="0" distB="0" distL="0" distR="0" wp14:anchorId="03FC8104" wp14:editId="08EE2F54">
            <wp:extent cx="5715000" cy="3333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333750"/>
                    </a:xfrm>
                    <a:prstGeom prst="rect">
                      <a:avLst/>
                    </a:prstGeom>
                    <a:noFill/>
                    <a:ln>
                      <a:noFill/>
                    </a:ln>
                  </pic:spPr>
                </pic:pic>
              </a:graphicData>
            </a:graphic>
          </wp:inline>
        </w:drawing>
      </w:r>
      <w:r w:rsidRPr="00D07161">
        <w:rPr>
          <w:i/>
          <w:sz w:val="24"/>
          <w:szCs w:val="24"/>
          <w:lang w:eastAsia="en-US"/>
        </w:rPr>
        <w:t xml:space="preserve">Figure </w:t>
      </w:r>
      <w:r w:rsidRPr="00D07161">
        <w:rPr>
          <w:i/>
          <w:sz w:val="24"/>
          <w:szCs w:val="24"/>
          <w:lang w:eastAsia="en-US"/>
        </w:rPr>
        <w:fldChar w:fldCharType="begin"/>
      </w:r>
      <w:r w:rsidRPr="00D07161">
        <w:rPr>
          <w:i/>
          <w:sz w:val="24"/>
          <w:szCs w:val="24"/>
          <w:lang w:eastAsia="en-US"/>
        </w:rPr>
        <w:instrText xml:space="preserve"> SEQ Figure \* ARABIC </w:instrText>
      </w:r>
      <w:r w:rsidRPr="00D07161">
        <w:rPr>
          <w:i/>
          <w:sz w:val="24"/>
          <w:szCs w:val="24"/>
          <w:lang w:eastAsia="en-US"/>
        </w:rPr>
        <w:fldChar w:fldCharType="separate"/>
      </w:r>
      <w:r w:rsidRPr="00D07161">
        <w:rPr>
          <w:i/>
          <w:noProof/>
          <w:sz w:val="24"/>
          <w:szCs w:val="24"/>
          <w:lang w:eastAsia="en-US"/>
        </w:rPr>
        <w:t>3</w:t>
      </w:r>
      <w:r w:rsidRPr="00D07161">
        <w:rPr>
          <w:i/>
          <w:noProof/>
          <w:sz w:val="24"/>
          <w:szCs w:val="24"/>
          <w:lang w:eastAsia="en-US"/>
        </w:rPr>
        <w:fldChar w:fldCharType="end"/>
      </w:r>
      <w:r w:rsidRPr="00D07161">
        <w:rPr>
          <w:i/>
          <w:sz w:val="24"/>
          <w:szCs w:val="24"/>
          <w:lang w:eastAsia="en-US"/>
        </w:rPr>
        <w:t xml:space="preserve">: </w:t>
      </w:r>
      <w:r w:rsidRPr="00D07161">
        <w:rPr>
          <w:sz w:val="24"/>
          <w:szCs w:val="24"/>
          <w:lang w:eastAsia="en-US"/>
        </w:rPr>
        <w:t>Saccade latency as a function of ADHD symptoms and cue condition (angry faces, happy faces and non-face stimuli) on Go trials. Shaded bands represent 95% confidence intervals.</w:t>
      </w:r>
    </w:p>
    <w:p w14:paraId="640ABC5E" w14:textId="77777777" w:rsidR="00D07161" w:rsidRPr="00D07161" w:rsidRDefault="00D07161" w:rsidP="00D07161">
      <w:pPr>
        <w:spacing w:before="0" w:after="160" w:line="259" w:lineRule="auto"/>
        <w:rPr>
          <w:rFonts w:asciiTheme="minorHAnsi" w:eastAsiaTheme="minorHAnsi" w:hAnsiTheme="minorHAnsi" w:cstheme="minorBidi"/>
          <w:lang w:eastAsia="en-US"/>
        </w:rPr>
      </w:pPr>
    </w:p>
    <w:p w14:paraId="0AE94163" w14:textId="77777777" w:rsidR="00D07161" w:rsidRPr="00D07161" w:rsidRDefault="00D07161" w:rsidP="00D07161">
      <w:pPr>
        <w:tabs>
          <w:tab w:val="left" w:pos="1418"/>
        </w:tabs>
        <w:spacing w:before="120" w:after="120"/>
        <w:contextualSpacing/>
        <w:rPr>
          <w:i/>
          <w:sz w:val="24"/>
          <w:szCs w:val="24"/>
          <w:lang w:eastAsia="en-US"/>
        </w:rPr>
      </w:pPr>
      <w:r w:rsidRPr="00D07161">
        <w:rPr>
          <w:i/>
          <w:noProof/>
          <w:sz w:val="20"/>
          <w:szCs w:val="26"/>
          <w:lang w:eastAsia="en-US"/>
        </w:rPr>
        <w:drawing>
          <wp:inline distT="0" distB="0" distL="0" distR="0" wp14:anchorId="349A57D3" wp14:editId="2027F6DF">
            <wp:extent cx="5632450" cy="33337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2450" cy="3333750"/>
                    </a:xfrm>
                    <a:prstGeom prst="rect">
                      <a:avLst/>
                    </a:prstGeom>
                    <a:noFill/>
                    <a:ln>
                      <a:noFill/>
                    </a:ln>
                  </pic:spPr>
                </pic:pic>
              </a:graphicData>
            </a:graphic>
          </wp:inline>
        </w:drawing>
      </w:r>
      <w:r w:rsidRPr="00D07161">
        <w:rPr>
          <w:i/>
          <w:sz w:val="24"/>
          <w:szCs w:val="24"/>
          <w:lang w:eastAsia="en-US"/>
        </w:rPr>
        <w:t xml:space="preserve">Figure </w:t>
      </w:r>
      <w:r w:rsidRPr="00D07161">
        <w:rPr>
          <w:i/>
          <w:sz w:val="24"/>
          <w:szCs w:val="24"/>
          <w:lang w:eastAsia="en-US"/>
        </w:rPr>
        <w:fldChar w:fldCharType="begin"/>
      </w:r>
      <w:r w:rsidRPr="00D07161">
        <w:rPr>
          <w:i/>
          <w:sz w:val="24"/>
          <w:szCs w:val="24"/>
          <w:lang w:eastAsia="en-US"/>
        </w:rPr>
        <w:instrText xml:space="preserve"> SEQ Figure \* ARABIC </w:instrText>
      </w:r>
      <w:r w:rsidRPr="00D07161">
        <w:rPr>
          <w:i/>
          <w:sz w:val="24"/>
          <w:szCs w:val="24"/>
          <w:lang w:eastAsia="en-US"/>
        </w:rPr>
        <w:fldChar w:fldCharType="separate"/>
      </w:r>
      <w:r w:rsidRPr="00D07161">
        <w:rPr>
          <w:i/>
          <w:noProof/>
          <w:sz w:val="24"/>
          <w:szCs w:val="24"/>
          <w:lang w:eastAsia="en-US"/>
        </w:rPr>
        <w:t>4</w:t>
      </w:r>
      <w:r w:rsidRPr="00D07161">
        <w:rPr>
          <w:i/>
          <w:noProof/>
          <w:sz w:val="24"/>
          <w:szCs w:val="24"/>
          <w:lang w:eastAsia="en-US"/>
        </w:rPr>
        <w:fldChar w:fldCharType="end"/>
      </w:r>
      <w:r w:rsidRPr="00D07161">
        <w:rPr>
          <w:i/>
          <w:sz w:val="24"/>
          <w:szCs w:val="24"/>
          <w:lang w:eastAsia="en-US"/>
        </w:rPr>
        <w:t xml:space="preserve">: </w:t>
      </w:r>
      <w:r w:rsidRPr="00D07161">
        <w:rPr>
          <w:sz w:val="24"/>
          <w:szCs w:val="24"/>
          <w:lang w:eastAsia="en-US"/>
        </w:rPr>
        <w:t>Saccade latency as a function of anxiety and cue condition (angry faces, happy faces and non-face stimuli) on Go trials. Shaded bands represent 95% confidence intervals.</w:t>
      </w:r>
    </w:p>
    <w:p w14:paraId="317E2146" w14:textId="77777777" w:rsidR="00D07161" w:rsidRPr="00D07161" w:rsidRDefault="00D07161" w:rsidP="00D07161">
      <w:pPr>
        <w:spacing w:before="0" w:after="160" w:line="259" w:lineRule="auto"/>
        <w:rPr>
          <w:rFonts w:asciiTheme="minorHAnsi" w:eastAsiaTheme="minorHAnsi" w:hAnsiTheme="minorHAnsi" w:cstheme="minorBidi"/>
          <w:sz w:val="24"/>
          <w:szCs w:val="24"/>
          <w:lang w:eastAsia="en-US"/>
        </w:rPr>
      </w:pPr>
    </w:p>
    <w:p w14:paraId="4ECF37A5" w14:textId="77777777" w:rsidR="00D07161" w:rsidRPr="00D07161" w:rsidRDefault="00D07161" w:rsidP="00D07161">
      <w:pPr>
        <w:tabs>
          <w:tab w:val="left" w:pos="1418"/>
        </w:tabs>
        <w:spacing w:before="120" w:after="120"/>
        <w:contextualSpacing/>
        <w:rPr>
          <w:i/>
          <w:sz w:val="24"/>
          <w:szCs w:val="24"/>
          <w:lang w:eastAsia="en-US"/>
        </w:rPr>
      </w:pPr>
      <w:r w:rsidRPr="00D07161">
        <w:rPr>
          <w:i/>
          <w:noProof/>
          <w:sz w:val="20"/>
          <w:szCs w:val="26"/>
          <w:lang w:eastAsia="en-US"/>
        </w:rPr>
        <w:lastRenderedPageBreak/>
        <w:drawing>
          <wp:inline distT="0" distB="0" distL="0" distR="0" wp14:anchorId="38368BD9" wp14:editId="1F9FDE93">
            <wp:extent cx="5731510" cy="345313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453130"/>
                    </a:xfrm>
                    <a:prstGeom prst="rect">
                      <a:avLst/>
                    </a:prstGeom>
                    <a:noFill/>
                    <a:ln>
                      <a:noFill/>
                    </a:ln>
                  </pic:spPr>
                </pic:pic>
              </a:graphicData>
            </a:graphic>
          </wp:inline>
        </w:drawing>
      </w:r>
      <w:r w:rsidRPr="00D07161">
        <w:rPr>
          <w:i/>
          <w:sz w:val="24"/>
          <w:szCs w:val="24"/>
          <w:lang w:eastAsia="en-US"/>
        </w:rPr>
        <w:t xml:space="preserve">Figure </w:t>
      </w:r>
      <w:r w:rsidRPr="00D07161">
        <w:rPr>
          <w:i/>
          <w:sz w:val="24"/>
          <w:szCs w:val="24"/>
          <w:lang w:eastAsia="en-US"/>
        </w:rPr>
        <w:fldChar w:fldCharType="begin"/>
      </w:r>
      <w:r w:rsidRPr="00D07161">
        <w:rPr>
          <w:i/>
          <w:sz w:val="24"/>
          <w:szCs w:val="24"/>
          <w:lang w:eastAsia="en-US"/>
        </w:rPr>
        <w:instrText xml:space="preserve"> SEQ Figure \* ARABIC </w:instrText>
      </w:r>
      <w:r w:rsidRPr="00D07161">
        <w:rPr>
          <w:i/>
          <w:sz w:val="24"/>
          <w:szCs w:val="24"/>
          <w:lang w:eastAsia="en-US"/>
        </w:rPr>
        <w:fldChar w:fldCharType="separate"/>
      </w:r>
      <w:r w:rsidRPr="00D07161">
        <w:rPr>
          <w:i/>
          <w:noProof/>
          <w:sz w:val="24"/>
          <w:szCs w:val="24"/>
          <w:lang w:eastAsia="en-US"/>
        </w:rPr>
        <w:t>5</w:t>
      </w:r>
      <w:r w:rsidRPr="00D07161">
        <w:rPr>
          <w:i/>
          <w:noProof/>
          <w:sz w:val="24"/>
          <w:szCs w:val="24"/>
          <w:lang w:eastAsia="en-US"/>
        </w:rPr>
        <w:fldChar w:fldCharType="end"/>
      </w:r>
      <w:r w:rsidRPr="00D07161">
        <w:rPr>
          <w:i/>
          <w:sz w:val="24"/>
          <w:szCs w:val="24"/>
          <w:lang w:eastAsia="en-US"/>
        </w:rPr>
        <w:t xml:space="preserve">: </w:t>
      </w:r>
      <w:r w:rsidRPr="00D07161">
        <w:rPr>
          <w:sz w:val="24"/>
          <w:szCs w:val="24"/>
          <w:lang w:eastAsia="en-US"/>
        </w:rPr>
        <w:t>Saccade latency as a function of ADHD, anxiety and cue condition (angry faces, happy faces and non-face stimuli) on Go trials. For better visualisation anxiety symptoms were divided into low and high groups based on -1 and +1 standard deviation. Shaded bands represent 95% confidence intervals.</w:t>
      </w:r>
    </w:p>
    <w:p w14:paraId="7E969E23" w14:textId="77777777" w:rsidR="00D07161" w:rsidRPr="00D07161" w:rsidRDefault="00D07161" w:rsidP="00D07161">
      <w:pPr>
        <w:tabs>
          <w:tab w:val="left" w:pos="1418"/>
        </w:tabs>
        <w:spacing w:before="120" w:after="120"/>
        <w:contextualSpacing/>
        <w:rPr>
          <w:b/>
          <w:i/>
          <w:kern w:val="32"/>
          <w:sz w:val="24"/>
          <w:szCs w:val="24"/>
          <w:lang w:eastAsia="en-GB"/>
        </w:rPr>
      </w:pPr>
      <w:r w:rsidRPr="00D07161" w:rsidDel="00A479B3">
        <w:rPr>
          <w:sz w:val="24"/>
          <w:szCs w:val="24"/>
          <w:lang w:eastAsia="en-US"/>
        </w:rPr>
        <w:t xml:space="preserve"> </w:t>
      </w:r>
    </w:p>
    <w:p w14:paraId="733DA5D0" w14:textId="77777777" w:rsidR="00D07161" w:rsidRPr="00D07161" w:rsidRDefault="00D07161" w:rsidP="00D07161">
      <w:pPr>
        <w:spacing w:before="0" w:after="160" w:line="259" w:lineRule="auto"/>
        <w:rPr>
          <w:rFonts w:asciiTheme="minorHAnsi" w:eastAsiaTheme="minorHAnsi" w:hAnsiTheme="minorHAnsi" w:cstheme="minorBidi"/>
          <w:sz w:val="24"/>
          <w:szCs w:val="24"/>
          <w:lang w:eastAsia="en-US"/>
        </w:rPr>
      </w:pPr>
    </w:p>
    <w:p w14:paraId="1EADAC69" w14:textId="77777777" w:rsidR="00D07161" w:rsidRPr="00292D52" w:rsidRDefault="00D07161" w:rsidP="00292D52">
      <w:pPr>
        <w:widowControl w:val="0"/>
        <w:autoSpaceDE w:val="0"/>
        <w:autoSpaceDN w:val="0"/>
        <w:adjustRightInd w:val="0"/>
        <w:spacing w:line="480" w:lineRule="auto"/>
        <w:ind w:left="480" w:hanging="480"/>
        <w:rPr>
          <w:noProof/>
          <w:sz w:val="24"/>
        </w:rPr>
      </w:pPr>
    </w:p>
    <w:p w14:paraId="2FE36EB5" w14:textId="75ECFDA9" w:rsidR="006E7C03" w:rsidRPr="00F21A43" w:rsidRDefault="002A0354" w:rsidP="00F21A43">
      <w:pPr>
        <w:spacing w:line="480" w:lineRule="auto"/>
        <w:rPr>
          <w:b/>
        </w:rPr>
      </w:pPr>
      <w:r w:rsidRPr="00C070BF">
        <w:rPr>
          <w:b/>
          <w:sz w:val="24"/>
          <w:szCs w:val="24"/>
        </w:rPr>
        <w:fldChar w:fldCharType="end"/>
      </w:r>
    </w:p>
    <w:sectPr w:rsidR="006E7C03" w:rsidRPr="00F21A43" w:rsidSect="008E3C7C">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F4E34" w14:textId="77777777" w:rsidR="005B4D3E" w:rsidRDefault="005B4D3E" w:rsidP="00AF2C61">
      <w:pPr>
        <w:spacing w:before="0" w:line="240" w:lineRule="auto"/>
      </w:pPr>
      <w:r>
        <w:separator/>
      </w:r>
    </w:p>
  </w:endnote>
  <w:endnote w:type="continuationSeparator" w:id="0">
    <w:p w14:paraId="15ACABAD" w14:textId="77777777" w:rsidR="005B4D3E" w:rsidRDefault="005B4D3E" w:rsidP="00AF2C6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abon-Roman">
    <w:altName w:val="Yu Gothic UI"/>
    <w:panose1 w:val="00000000000000000000"/>
    <w:charset w:val="80"/>
    <w:family w:val="auto"/>
    <w:notTrueType/>
    <w:pitch w:val="default"/>
    <w:sig w:usb0="00000001" w:usb1="08070000" w:usb2="00000010" w:usb3="00000000" w:csb0="00020000" w:csb1="00000000"/>
  </w:font>
  <w:font w:name="Minion-Regular">
    <w:altName w:val="Malgun Gothic Semilight"/>
    <w:panose1 w:val="00000000000000000000"/>
    <w:charset w:val="88"/>
    <w:family w:val="auto"/>
    <w:notTrueType/>
    <w:pitch w:val="default"/>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5755299"/>
      <w:docPartObj>
        <w:docPartGallery w:val="Page Numbers (Bottom of Page)"/>
        <w:docPartUnique/>
      </w:docPartObj>
    </w:sdtPr>
    <w:sdtEndPr>
      <w:rPr>
        <w:noProof/>
      </w:rPr>
    </w:sdtEndPr>
    <w:sdtContent>
      <w:p w14:paraId="6F0E831C" w14:textId="1D72F4AA" w:rsidR="00465685" w:rsidRDefault="00465685">
        <w:pPr>
          <w:pStyle w:val="Footer"/>
          <w:jc w:val="center"/>
        </w:pPr>
        <w:r>
          <w:fldChar w:fldCharType="begin"/>
        </w:r>
        <w:r>
          <w:instrText xml:space="preserve"> PAGE   \* MERGEFORMAT </w:instrText>
        </w:r>
        <w:r>
          <w:fldChar w:fldCharType="separate"/>
        </w:r>
        <w:r w:rsidR="00EB2C24">
          <w:rPr>
            <w:noProof/>
          </w:rPr>
          <w:t>21</w:t>
        </w:r>
        <w:r>
          <w:rPr>
            <w:noProof/>
          </w:rPr>
          <w:fldChar w:fldCharType="end"/>
        </w:r>
      </w:p>
    </w:sdtContent>
  </w:sdt>
  <w:p w14:paraId="1AC8C3E8" w14:textId="77777777" w:rsidR="00465685" w:rsidRDefault="00465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7779683"/>
      <w:docPartObj>
        <w:docPartGallery w:val="Page Numbers (Bottom of Page)"/>
        <w:docPartUnique/>
      </w:docPartObj>
    </w:sdtPr>
    <w:sdtEndPr>
      <w:rPr>
        <w:noProof/>
      </w:rPr>
    </w:sdtEndPr>
    <w:sdtContent>
      <w:p w14:paraId="725A2346" w14:textId="72A9F650" w:rsidR="004D2FAA" w:rsidRDefault="004D2FAA">
        <w:pPr>
          <w:pStyle w:val="Footer"/>
          <w:jc w:val="center"/>
        </w:pPr>
        <w:r>
          <w:fldChar w:fldCharType="begin"/>
        </w:r>
        <w:r>
          <w:instrText xml:space="preserve"> PAGE   \* MERGEFORMAT </w:instrText>
        </w:r>
        <w:r>
          <w:fldChar w:fldCharType="separate"/>
        </w:r>
        <w:r w:rsidR="00EB2C24">
          <w:rPr>
            <w:noProof/>
          </w:rPr>
          <w:t>1</w:t>
        </w:r>
        <w:r>
          <w:rPr>
            <w:noProof/>
          </w:rPr>
          <w:fldChar w:fldCharType="end"/>
        </w:r>
      </w:p>
    </w:sdtContent>
  </w:sdt>
  <w:p w14:paraId="25C8DBF1" w14:textId="77777777" w:rsidR="004D2FAA" w:rsidRDefault="004D2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B50FE" w14:textId="77777777" w:rsidR="005B4D3E" w:rsidRDefault="005B4D3E" w:rsidP="00AF2C61">
      <w:pPr>
        <w:spacing w:before="0" w:line="240" w:lineRule="auto"/>
      </w:pPr>
      <w:r>
        <w:separator/>
      </w:r>
    </w:p>
  </w:footnote>
  <w:footnote w:type="continuationSeparator" w:id="0">
    <w:p w14:paraId="51D49FE6" w14:textId="77777777" w:rsidR="005B4D3E" w:rsidRDefault="005B4D3E" w:rsidP="00AF2C61">
      <w:pPr>
        <w:spacing w:before="0" w:line="240" w:lineRule="auto"/>
      </w:pPr>
      <w:r>
        <w:continuationSeparator/>
      </w:r>
    </w:p>
  </w:footnote>
  <w:footnote w:id="1">
    <w:p w14:paraId="171EEB77" w14:textId="77777777" w:rsidR="00465685" w:rsidRPr="00255A73" w:rsidRDefault="00465685" w:rsidP="00D84936">
      <w:pPr>
        <w:spacing w:line="240" w:lineRule="auto"/>
        <w:ind w:firstLine="720"/>
        <w:rPr>
          <w:sz w:val="20"/>
          <w:szCs w:val="20"/>
        </w:rPr>
      </w:pPr>
      <w:r w:rsidRPr="00255A73">
        <w:rPr>
          <w:rStyle w:val="FootnoteReference"/>
          <w:sz w:val="20"/>
          <w:szCs w:val="20"/>
        </w:rPr>
        <w:footnoteRef/>
      </w:r>
      <w:r w:rsidRPr="00255A73">
        <w:rPr>
          <w:sz w:val="20"/>
          <w:szCs w:val="20"/>
        </w:rPr>
        <w:t xml:space="preserve"> Studies in development and psychopathology support a conceptualisation of both ADHD and anxiety as continuous dimensions rather than discrete categories. For instance, taxonomic studies find no evidence of taxa for ADHD or anxiety in terms of a discontinuity in underlying neuro-cognitive risk with increasing severity of symptoms (Haslam, Holland, &amp; </w:t>
      </w:r>
      <w:proofErr w:type="spellStart"/>
      <w:r w:rsidRPr="00255A73">
        <w:rPr>
          <w:sz w:val="20"/>
          <w:szCs w:val="20"/>
        </w:rPr>
        <w:t>Kuppens</w:t>
      </w:r>
      <w:proofErr w:type="spellEnd"/>
      <w:r w:rsidRPr="00255A73">
        <w:rPr>
          <w:sz w:val="20"/>
          <w:szCs w:val="20"/>
        </w:rPr>
        <w:t>, 2012; McLennan, 2016). This view is supported by the finding of executive deficits in individuals who reported elevated, but sub-clinical, levels of trait anxiety (</w:t>
      </w:r>
      <w:proofErr w:type="spellStart"/>
      <w:r w:rsidRPr="00255A73">
        <w:rPr>
          <w:sz w:val="20"/>
          <w:szCs w:val="20"/>
        </w:rPr>
        <w:t>Derakshan</w:t>
      </w:r>
      <w:proofErr w:type="spellEnd"/>
      <w:r w:rsidRPr="00255A73">
        <w:rPr>
          <w:sz w:val="20"/>
          <w:szCs w:val="20"/>
        </w:rPr>
        <w:t>, Smyth, &amp; Eysenck, 2009) or inattention/hyperactivity symptoms (</w:t>
      </w:r>
      <w:proofErr w:type="spellStart"/>
      <w:r w:rsidRPr="00255A73">
        <w:rPr>
          <w:sz w:val="20"/>
          <w:szCs w:val="20"/>
        </w:rPr>
        <w:t>Salum</w:t>
      </w:r>
      <w:proofErr w:type="spellEnd"/>
      <w:r w:rsidRPr="00255A73">
        <w:rPr>
          <w:sz w:val="20"/>
          <w:szCs w:val="20"/>
        </w:rPr>
        <w:t xml:space="preserve"> et al., 2014; Shaw et al., 2011). </w:t>
      </w:r>
    </w:p>
    <w:p w14:paraId="190B3E4F" w14:textId="4F8F25F8" w:rsidR="00465685" w:rsidRDefault="00465685">
      <w:pPr>
        <w:pStyle w:val="FootnoteText"/>
      </w:pPr>
    </w:p>
  </w:footnote>
  <w:footnote w:id="2">
    <w:p w14:paraId="03CE6D29" w14:textId="77777777" w:rsidR="00465685" w:rsidRPr="008E3C7C" w:rsidRDefault="00465685" w:rsidP="006A29D2">
      <w:pPr>
        <w:autoSpaceDE w:val="0"/>
        <w:autoSpaceDN w:val="0"/>
        <w:adjustRightInd w:val="0"/>
        <w:spacing w:line="240" w:lineRule="auto"/>
        <w:rPr>
          <w:sz w:val="18"/>
          <w:szCs w:val="18"/>
        </w:rPr>
      </w:pPr>
      <w:r w:rsidRPr="008E3C7C">
        <w:rPr>
          <w:rStyle w:val="FootnoteReference"/>
          <w:sz w:val="18"/>
          <w:szCs w:val="18"/>
        </w:rPr>
        <w:footnoteRef/>
      </w:r>
      <w:r w:rsidRPr="008E3C7C">
        <w:rPr>
          <w:sz w:val="18"/>
          <w:szCs w:val="18"/>
        </w:rPr>
        <w:t xml:space="preserve"> Results of the DSM-5 Symptom Counts contribute to consideration of whether a particular DSM-5 diagnosis might be appropriate. A </w:t>
      </w:r>
      <w:r w:rsidRPr="008E3C7C">
        <w:rPr>
          <w:i/>
          <w:iCs/>
          <w:sz w:val="18"/>
          <w:szCs w:val="18"/>
        </w:rPr>
        <w:t>T</w:t>
      </w:r>
      <w:r w:rsidRPr="008E3C7C">
        <w:rPr>
          <w:sz w:val="18"/>
          <w:szCs w:val="18"/>
        </w:rPr>
        <w:t xml:space="preserve">-score for each DSM-5 diagnosis facilitates comparison of individual's symptoms with his or her peers. When both scores are average or below (i.e., DSM-5 Symptom Count probably not met, DSM-5 </w:t>
      </w:r>
      <w:r w:rsidRPr="008E3C7C">
        <w:rPr>
          <w:i/>
          <w:iCs/>
          <w:sz w:val="18"/>
          <w:szCs w:val="18"/>
        </w:rPr>
        <w:t>T</w:t>
      </w:r>
      <w:r w:rsidRPr="008E3C7C">
        <w:rPr>
          <w:sz w:val="18"/>
          <w:szCs w:val="18"/>
        </w:rPr>
        <w:t>-score &lt; 65): it is unlikely that the diagnosis is currently present (</w:t>
      </w:r>
      <w:proofErr w:type="spellStart"/>
      <w:r w:rsidRPr="008E3C7C">
        <w:rPr>
          <w:sz w:val="18"/>
          <w:szCs w:val="18"/>
          <w:lang w:val="en-US"/>
        </w:rPr>
        <w:t>Conners</w:t>
      </w:r>
      <w:proofErr w:type="spellEnd"/>
      <w:r w:rsidRPr="008E3C7C">
        <w:rPr>
          <w:sz w:val="18"/>
          <w:szCs w:val="18"/>
          <w:lang w:val="en-US"/>
        </w:rPr>
        <w:t>, 2008)</w:t>
      </w:r>
      <w:r w:rsidRPr="008E3C7C">
        <w:rPr>
          <w:sz w:val="18"/>
          <w:szCs w:val="18"/>
        </w:rPr>
        <w:t>.</w:t>
      </w:r>
    </w:p>
  </w:footnote>
  <w:footnote w:id="3">
    <w:p w14:paraId="213E8335" w14:textId="77777777" w:rsidR="00465685" w:rsidRPr="00D34E79" w:rsidRDefault="00465685" w:rsidP="006A29D2">
      <w:pPr>
        <w:spacing w:before="120" w:after="120" w:line="276" w:lineRule="auto"/>
        <w:ind w:firstLine="567"/>
        <w:rPr>
          <w:sz w:val="18"/>
          <w:szCs w:val="18"/>
        </w:rPr>
      </w:pPr>
      <w:r w:rsidRPr="00D34E79">
        <w:rPr>
          <w:rStyle w:val="FootnoteReference"/>
        </w:rPr>
        <w:footnoteRef/>
      </w:r>
      <w:r w:rsidRPr="00D34E79">
        <w:rPr>
          <w:sz w:val="18"/>
          <w:szCs w:val="18"/>
        </w:rPr>
        <w:t xml:space="preserve"> The total score of inattention and hyperactivity symptoms did not differ between adults’ self-reports (</w:t>
      </w:r>
      <w:r w:rsidRPr="00D34E79">
        <w:rPr>
          <w:i/>
          <w:sz w:val="18"/>
          <w:szCs w:val="18"/>
        </w:rPr>
        <w:t>M</w:t>
      </w:r>
      <w:r w:rsidRPr="00D34E79">
        <w:rPr>
          <w:sz w:val="18"/>
          <w:szCs w:val="18"/>
        </w:rPr>
        <w:t xml:space="preserve">=1.26, </w:t>
      </w:r>
      <w:r w:rsidRPr="00D34E79">
        <w:rPr>
          <w:i/>
          <w:sz w:val="18"/>
          <w:szCs w:val="18"/>
        </w:rPr>
        <w:t>SD</w:t>
      </w:r>
      <w:r w:rsidRPr="00D34E79">
        <w:rPr>
          <w:sz w:val="18"/>
          <w:szCs w:val="18"/>
        </w:rPr>
        <w:t>= 1.43) and ‘other’ informants (</w:t>
      </w:r>
      <w:r w:rsidRPr="00D34E79">
        <w:rPr>
          <w:i/>
          <w:sz w:val="18"/>
          <w:szCs w:val="18"/>
        </w:rPr>
        <w:t>M</w:t>
      </w:r>
      <w:r w:rsidRPr="00D34E79">
        <w:rPr>
          <w:sz w:val="18"/>
          <w:szCs w:val="18"/>
        </w:rPr>
        <w:t xml:space="preserve">= .69, </w:t>
      </w:r>
      <w:r w:rsidRPr="00D34E79">
        <w:rPr>
          <w:i/>
          <w:sz w:val="18"/>
          <w:szCs w:val="18"/>
        </w:rPr>
        <w:t>SD</w:t>
      </w:r>
      <w:r w:rsidRPr="00D34E79">
        <w:rPr>
          <w:sz w:val="18"/>
          <w:szCs w:val="18"/>
        </w:rPr>
        <w:t xml:space="preserve">= 1.27), </w:t>
      </w:r>
      <w:r w:rsidRPr="00D34E79">
        <w:rPr>
          <w:i/>
          <w:iCs/>
          <w:sz w:val="18"/>
          <w:szCs w:val="18"/>
        </w:rPr>
        <w:t>t</w:t>
      </w:r>
      <w:r w:rsidRPr="00D34E79">
        <w:rPr>
          <w:sz w:val="18"/>
          <w:szCs w:val="18"/>
        </w:rPr>
        <w:t xml:space="preserve"> (48) = 1.45, </w:t>
      </w:r>
      <w:r w:rsidRPr="00D34E79">
        <w:rPr>
          <w:i/>
          <w:iCs/>
          <w:sz w:val="18"/>
          <w:szCs w:val="18"/>
        </w:rPr>
        <w:t>p</w:t>
      </w:r>
      <w:r w:rsidRPr="00D34E79">
        <w:rPr>
          <w:sz w:val="18"/>
          <w:szCs w:val="18"/>
        </w:rPr>
        <w:t>=.16.</w:t>
      </w:r>
    </w:p>
    <w:p w14:paraId="763C3C67" w14:textId="77777777" w:rsidR="00465685" w:rsidRDefault="00465685" w:rsidP="006A29D2">
      <w:pPr>
        <w:pStyle w:val="FootnoteText"/>
      </w:pPr>
    </w:p>
  </w:footnote>
  <w:footnote w:id="4">
    <w:p w14:paraId="7FE62570" w14:textId="77777777" w:rsidR="00465685" w:rsidRDefault="00465685" w:rsidP="006A29D2">
      <w:pPr>
        <w:pStyle w:val="FootnoteText"/>
      </w:pPr>
      <w:r>
        <w:rPr>
          <w:rStyle w:val="FootnoteReference"/>
        </w:rPr>
        <w:footnoteRef/>
      </w:r>
      <w:r>
        <w:t xml:space="preserve"> Data visualisation indicated noise in the first trial following automatic recalibration and thus it was removed from the dataset for all the participants.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0FDC4" w14:textId="77777777" w:rsidR="00465685" w:rsidRPr="008E3C7C" w:rsidRDefault="00465685" w:rsidP="008E3C7C">
    <w:pPr>
      <w:pStyle w:val="Header"/>
    </w:pPr>
    <w:r>
      <w:rPr>
        <w:rFonts w:asciiTheme="majorBidi" w:hAnsiTheme="majorBidi" w:cstheme="majorBidi"/>
        <w:szCs w:val="24"/>
      </w:rPr>
      <w:t>ATTENTIONAL CONTROL AND EMOTION IN ADHD AND ANXIETY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816F9" w14:textId="77777777" w:rsidR="00465685" w:rsidRDefault="00465685" w:rsidP="008E3C7C">
    <w:pPr>
      <w:pStyle w:val="Header"/>
    </w:pPr>
    <w:r w:rsidRPr="00BC7E0F">
      <w:rPr>
        <w:rFonts w:asciiTheme="majorBidi" w:hAnsiTheme="majorBidi" w:cstheme="majorBidi"/>
        <w:szCs w:val="24"/>
      </w:rPr>
      <w:t>Running head:</w:t>
    </w:r>
    <w:r>
      <w:rPr>
        <w:rFonts w:asciiTheme="majorBidi" w:hAnsiTheme="majorBidi" w:cstheme="majorBidi"/>
        <w:szCs w:val="24"/>
      </w:rPr>
      <w:t xml:space="preserve"> ATTENTIONAL CONTROL AND EMOTION IN ADHD AND ANXIETY</w:t>
    </w:r>
  </w:p>
  <w:p w14:paraId="1F561F75" w14:textId="77777777" w:rsidR="00465685" w:rsidRDefault="00465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83C70"/>
    <w:multiLevelType w:val="multilevel"/>
    <w:tmpl w:val="CCD812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DC15F07"/>
    <w:multiLevelType w:val="hybridMultilevel"/>
    <w:tmpl w:val="A2AC4242"/>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 w15:restartNumberingAfterBreak="0">
    <w:nsid w:val="411F0023"/>
    <w:multiLevelType w:val="multilevel"/>
    <w:tmpl w:val="43EAD23E"/>
    <w:lvl w:ilvl="0">
      <w:start w:val="5"/>
      <w:numFmt w:val="none"/>
      <w:pStyle w:val="Heading1"/>
      <w:lvlText w:val="Chapter 4"/>
      <w:lvlJc w:val="left"/>
      <w:pPr>
        <w:tabs>
          <w:tab w:val="num" w:pos="1985"/>
        </w:tabs>
        <w:ind w:left="567" w:hanging="567"/>
      </w:pPr>
      <w:rPr>
        <w:rFonts w:hint="default"/>
      </w:rPr>
    </w:lvl>
    <w:lvl w:ilvl="1">
      <w:start w:val="1"/>
      <w:numFmt w:val="decimal"/>
      <w:lvlText w:val="%1.%2"/>
      <w:lvlJc w:val="left"/>
      <w:pPr>
        <w:tabs>
          <w:tab w:val="num" w:pos="851"/>
        </w:tabs>
        <w:ind w:left="851" w:hanging="851"/>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474"/>
        </w:tabs>
        <w:ind w:left="1474" w:hanging="1474"/>
      </w:pPr>
      <w:rPr>
        <w:rFonts w:hint="default"/>
      </w:rPr>
    </w:lvl>
    <w:lvl w:ilvl="7">
      <w:start w:val="1"/>
      <w:numFmt w:val="decimal"/>
      <w:lvlText w:val="%1.%2.%3.%4.%5.%6.%7.%8"/>
      <w:lvlJc w:val="left"/>
      <w:pPr>
        <w:tabs>
          <w:tab w:val="num" w:pos="1588"/>
        </w:tabs>
        <w:ind w:left="1588" w:hanging="1588"/>
      </w:pPr>
      <w:rPr>
        <w:rFonts w:hint="default"/>
      </w:rPr>
    </w:lvl>
    <w:lvl w:ilvl="8">
      <w:start w:val="1"/>
      <w:numFmt w:val="decimal"/>
      <w:lvlText w:val="%1.%2.%3.%4.%5.%6.%7.%8.%9"/>
      <w:lvlJc w:val="left"/>
      <w:pPr>
        <w:tabs>
          <w:tab w:val="num" w:pos="1701"/>
        </w:tabs>
        <w:ind w:left="1701" w:hanging="1701"/>
      </w:pPr>
      <w:rPr>
        <w:rFonts w:hint="default"/>
      </w:rPr>
    </w:lvl>
  </w:abstractNum>
  <w:abstractNum w:abstractNumId="3" w15:restartNumberingAfterBreak="0">
    <w:nsid w:val="4E846E89"/>
    <w:multiLevelType w:val="multilevel"/>
    <w:tmpl w:val="741E1024"/>
    <w:lvl w:ilvl="0">
      <w:start w:val="1"/>
      <w:numFmt w:val="decimal"/>
      <w:lvlText w:val="%1."/>
      <w:lvlJc w:val="left"/>
      <w:pPr>
        <w:tabs>
          <w:tab w:val="num" w:pos="720"/>
        </w:tabs>
        <w:ind w:left="720" w:hanging="720"/>
      </w:pPr>
      <w:rPr>
        <w:rFonts w:hint="default"/>
      </w:rPr>
    </w:lvl>
    <w:lvl w:ilvl="1">
      <w:start w:val="1"/>
      <w:numFmt w:val="none"/>
      <w:lvlText w:val="3.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abstractNumId w:val="2"/>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Q0szAwMjU0MzY2MLJQ0lEKTi0uzszPAykwMagFAHaiKtEtAAAA"/>
  </w:docVars>
  <w:rsids>
    <w:rsidRoot w:val="00D71D18"/>
    <w:rsid w:val="00001FD9"/>
    <w:rsid w:val="000025AA"/>
    <w:rsid w:val="000026E7"/>
    <w:rsid w:val="00002BE6"/>
    <w:rsid w:val="000030F7"/>
    <w:rsid w:val="000052E7"/>
    <w:rsid w:val="00010DFE"/>
    <w:rsid w:val="000112CB"/>
    <w:rsid w:val="000144FE"/>
    <w:rsid w:val="00015165"/>
    <w:rsid w:val="00015380"/>
    <w:rsid w:val="0002453E"/>
    <w:rsid w:val="000252BE"/>
    <w:rsid w:val="00026077"/>
    <w:rsid w:val="00030E96"/>
    <w:rsid w:val="00034003"/>
    <w:rsid w:val="0004028C"/>
    <w:rsid w:val="000417C4"/>
    <w:rsid w:val="00041E5B"/>
    <w:rsid w:val="00046CFC"/>
    <w:rsid w:val="0005262C"/>
    <w:rsid w:val="000564CE"/>
    <w:rsid w:val="000649BB"/>
    <w:rsid w:val="0007078E"/>
    <w:rsid w:val="00075164"/>
    <w:rsid w:val="000761B6"/>
    <w:rsid w:val="00076A4B"/>
    <w:rsid w:val="00081CBD"/>
    <w:rsid w:val="00095D9D"/>
    <w:rsid w:val="0009686C"/>
    <w:rsid w:val="00097EA0"/>
    <w:rsid w:val="000A38E7"/>
    <w:rsid w:val="000A6359"/>
    <w:rsid w:val="000A7C95"/>
    <w:rsid w:val="000B3CA0"/>
    <w:rsid w:val="000B78CE"/>
    <w:rsid w:val="000D2B1D"/>
    <w:rsid w:val="000E08C4"/>
    <w:rsid w:val="000E0F6C"/>
    <w:rsid w:val="000E1F2F"/>
    <w:rsid w:val="000E4C40"/>
    <w:rsid w:val="000E7D20"/>
    <w:rsid w:val="000F2598"/>
    <w:rsid w:val="000F49FA"/>
    <w:rsid w:val="000F4A52"/>
    <w:rsid w:val="00104206"/>
    <w:rsid w:val="00104363"/>
    <w:rsid w:val="001063B5"/>
    <w:rsid w:val="00106946"/>
    <w:rsid w:val="00107C16"/>
    <w:rsid w:val="00111E1B"/>
    <w:rsid w:val="001222C2"/>
    <w:rsid w:val="00122614"/>
    <w:rsid w:val="001228F0"/>
    <w:rsid w:val="00126216"/>
    <w:rsid w:val="001300E5"/>
    <w:rsid w:val="00131E3E"/>
    <w:rsid w:val="00136967"/>
    <w:rsid w:val="00137865"/>
    <w:rsid w:val="00150E0F"/>
    <w:rsid w:val="00156C50"/>
    <w:rsid w:val="00161FE8"/>
    <w:rsid w:val="00170AEA"/>
    <w:rsid w:val="00173628"/>
    <w:rsid w:val="00182979"/>
    <w:rsid w:val="00186336"/>
    <w:rsid w:val="00190240"/>
    <w:rsid w:val="00192CA8"/>
    <w:rsid w:val="001942AB"/>
    <w:rsid w:val="001943C7"/>
    <w:rsid w:val="00194A4F"/>
    <w:rsid w:val="001961E6"/>
    <w:rsid w:val="001A001D"/>
    <w:rsid w:val="001A0AC5"/>
    <w:rsid w:val="001A3671"/>
    <w:rsid w:val="001A6EE6"/>
    <w:rsid w:val="001C294E"/>
    <w:rsid w:val="001C2D2E"/>
    <w:rsid w:val="001C7988"/>
    <w:rsid w:val="001D0CA9"/>
    <w:rsid w:val="001D7B9F"/>
    <w:rsid w:val="001E0A4B"/>
    <w:rsid w:val="001E3186"/>
    <w:rsid w:val="001E3486"/>
    <w:rsid w:val="001E6A26"/>
    <w:rsid w:val="001E6FAD"/>
    <w:rsid w:val="00201075"/>
    <w:rsid w:val="00206E01"/>
    <w:rsid w:val="00212E35"/>
    <w:rsid w:val="002165FB"/>
    <w:rsid w:val="00227856"/>
    <w:rsid w:val="00231A57"/>
    <w:rsid w:val="002325BB"/>
    <w:rsid w:val="00232EB2"/>
    <w:rsid w:val="00235BED"/>
    <w:rsid w:val="0023676E"/>
    <w:rsid w:val="00243016"/>
    <w:rsid w:val="002466A3"/>
    <w:rsid w:val="00247B1D"/>
    <w:rsid w:val="00250763"/>
    <w:rsid w:val="002521AB"/>
    <w:rsid w:val="00255A73"/>
    <w:rsid w:val="00255E29"/>
    <w:rsid w:val="0026058D"/>
    <w:rsid w:val="0027247F"/>
    <w:rsid w:val="002724EA"/>
    <w:rsid w:val="002839F2"/>
    <w:rsid w:val="002900C4"/>
    <w:rsid w:val="00291B89"/>
    <w:rsid w:val="0029295B"/>
    <w:rsid w:val="00292D52"/>
    <w:rsid w:val="00293717"/>
    <w:rsid w:val="00293EF5"/>
    <w:rsid w:val="00294EF8"/>
    <w:rsid w:val="002A0354"/>
    <w:rsid w:val="002A0577"/>
    <w:rsid w:val="002A2307"/>
    <w:rsid w:val="002A39A3"/>
    <w:rsid w:val="002A4812"/>
    <w:rsid w:val="002B1184"/>
    <w:rsid w:val="002B5599"/>
    <w:rsid w:val="002B78D0"/>
    <w:rsid w:val="002C018F"/>
    <w:rsid w:val="002D4955"/>
    <w:rsid w:val="002E20E5"/>
    <w:rsid w:val="002F2455"/>
    <w:rsid w:val="002F639C"/>
    <w:rsid w:val="002F7AB0"/>
    <w:rsid w:val="00301566"/>
    <w:rsid w:val="00301CCA"/>
    <w:rsid w:val="003107A7"/>
    <w:rsid w:val="00320EDC"/>
    <w:rsid w:val="003242EF"/>
    <w:rsid w:val="00325F4B"/>
    <w:rsid w:val="00336A44"/>
    <w:rsid w:val="00341DDE"/>
    <w:rsid w:val="00345156"/>
    <w:rsid w:val="0035129F"/>
    <w:rsid w:val="00352546"/>
    <w:rsid w:val="00355C15"/>
    <w:rsid w:val="00360B91"/>
    <w:rsid w:val="00362B09"/>
    <w:rsid w:val="00365512"/>
    <w:rsid w:val="003674DA"/>
    <w:rsid w:val="00381081"/>
    <w:rsid w:val="00385B8B"/>
    <w:rsid w:val="0038780C"/>
    <w:rsid w:val="00391669"/>
    <w:rsid w:val="00393A4D"/>
    <w:rsid w:val="00396553"/>
    <w:rsid w:val="003A1778"/>
    <w:rsid w:val="003A2B63"/>
    <w:rsid w:val="003A378D"/>
    <w:rsid w:val="003A457C"/>
    <w:rsid w:val="003A5CCE"/>
    <w:rsid w:val="003B4D04"/>
    <w:rsid w:val="003B7BBB"/>
    <w:rsid w:val="003B7F04"/>
    <w:rsid w:val="003C2A06"/>
    <w:rsid w:val="003E7C96"/>
    <w:rsid w:val="003F1E5E"/>
    <w:rsid w:val="003F259E"/>
    <w:rsid w:val="003F60A1"/>
    <w:rsid w:val="003F6F09"/>
    <w:rsid w:val="004000CB"/>
    <w:rsid w:val="00401664"/>
    <w:rsid w:val="00404484"/>
    <w:rsid w:val="00404EC6"/>
    <w:rsid w:val="004064FB"/>
    <w:rsid w:val="004112EA"/>
    <w:rsid w:val="0041657E"/>
    <w:rsid w:val="00416F91"/>
    <w:rsid w:val="004245F9"/>
    <w:rsid w:val="00424D0E"/>
    <w:rsid w:val="0042797E"/>
    <w:rsid w:val="00431084"/>
    <w:rsid w:val="00437935"/>
    <w:rsid w:val="00441ED4"/>
    <w:rsid w:val="00455008"/>
    <w:rsid w:val="00455664"/>
    <w:rsid w:val="00465685"/>
    <w:rsid w:val="0047154B"/>
    <w:rsid w:val="004717AC"/>
    <w:rsid w:val="00471B3F"/>
    <w:rsid w:val="004745FD"/>
    <w:rsid w:val="00490189"/>
    <w:rsid w:val="0049583F"/>
    <w:rsid w:val="00495DE3"/>
    <w:rsid w:val="004972BB"/>
    <w:rsid w:val="004A1DAC"/>
    <w:rsid w:val="004A26BC"/>
    <w:rsid w:val="004A299B"/>
    <w:rsid w:val="004A35D7"/>
    <w:rsid w:val="004B25A6"/>
    <w:rsid w:val="004B36BF"/>
    <w:rsid w:val="004B4001"/>
    <w:rsid w:val="004B497D"/>
    <w:rsid w:val="004B6CB3"/>
    <w:rsid w:val="004C06C8"/>
    <w:rsid w:val="004C2891"/>
    <w:rsid w:val="004C2938"/>
    <w:rsid w:val="004C3C94"/>
    <w:rsid w:val="004C3D98"/>
    <w:rsid w:val="004D2FAA"/>
    <w:rsid w:val="004E21D3"/>
    <w:rsid w:val="004E2475"/>
    <w:rsid w:val="004E2541"/>
    <w:rsid w:val="004E53AB"/>
    <w:rsid w:val="004E5CBD"/>
    <w:rsid w:val="004E71D6"/>
    <w:rsid w:val="004F0C18"/>
    <w:rsid w:val="004F0EB9"/>
    <w:rsid w:val="004F1301"/>
    <w:rsid w:val="004F7613"/>
    <w:rsid w:val="005005BD"/>
    <w:rsid w:val="00503706"/>
    <w:rsid w:val="00503BFD"/>
    <w:rsid w:val="005130B1"/>
    <w:rsid w:val="005141DB"/>
    <w:rsid w:val="00515B16"/>
    <w:rsid w:val="00520749"/>
    <w:rsid w:val="00524CC2"/>
    <w:rsid w:val="0053117A"/>
    <w:rsid w:val="0053125E"/>
    <w:rsid w:val="00531FCE"/>
    <w:rsid w:val="00541994"/>
    <w:rsid w:val="00543CAD"/>
    <w:rsid w:val="0054796E"/>
    <w:rsid w:val="0055486E"/>
    <w:rsid w:val="005576A6"/>
    <w:rsid w:val="00557A5F"/>
    <w:rsid w:val="005619B2"/>
    <w:rsid w:val="005651AC"/>
    <w:rsid w:val="00567666"/>
    <w:rsid w:val="00574679"/>
    <w:rsid w:val="00575155"/>
    <w:rsid w:val="0058011C"/>
    <w:rsid w:val="0058568F"/>
    <w:rsid w:val="005866AF"/>
    <w:rsid w:val="0058689C"/>
    <w:rsid w:val="00587AF6"/>
    <w:rsid w:val="00594B7A"/>
    <w:rsid w:val="005A2B0C"/>
    <w:rsid w:val="005A3CAD"/>
    <w:rsid w:val="005A3F5D"/>
    <w:rsid w:val="005B0CDF"/>
    <w:rsid w:val="005B0E92"/>
    <w:rsid w:val="005B4D3E"/>
    <w:rsid w:val="005B7587"/>
    <w:rsid w:val="005C2E09"/>
    <w:rsid w:val="005C6779"/>
    <w:rsid w:val="005D19EC"/>
    <w:rsid w:val="005D2862"/>
    <w:rsid w:val="005D2F01"/>
    <w:rsid w:val="005D4FFF"/>
    <w:rsid w:val="005D6893"/>
    <w:rsid w:val="005D7F21"/>
    <w:rsid w:val="005E062B"/>
    <w:rsid w:val="005E287F"/>
    <w:rsid w:val="005E5E13"/>
    <w:rsid w:val="005E722D"/>
    <w:rsid w:val="005F3AC8"/>
    <w:rsid w:val="005F6BFB"/>
    <w:rsid w:val="005F7928"/>
    <w:rsid w:val="005F7BC5"/>
    <w:rsid w:val="00620A64"/>
    <w:rsid w:val="0062392E"/>
    <w:rsid w:val="0062757B"/>
    <w:rsid w:val="00630784"/>
    <w:rsid w:val="006371B3"/>
    <w:rsid w:val="00644E11"/>
    <w:rsid w:val="0065449A"/>
    <w:rsid w:val="00672F0D"/>
    <w:rsid w:val="00673203"/>
    <w:rsid w:val="006762E7"/>
    <w:rsid w:val="006764E4"/>
    <w:rsid w:val="00677077"/>
    <w:rsid w:val="00682F62"/>
    <w:rsid w:val="0068745A"/>
    <w:rsid w:val="00687993"/>
    <w:rsid w:val="00691B0A"/>
    <w:rsid w:val="006A24CD"/>
    <w:rsid w:val="006A29D2"/>
    <w:rsid w:val="006A7353"/>
    <w:rsid w:val="006D1C63"/>
    <w:rsid w:val="006D2F22"/>
    <w:rsid w:val="006D32B0"/>
    <w:rsid w:val="006D403E"/>
    <w:rsid w:val="006E4400"/>
    <w:rsid w:val="006E5D57"/>
    <w:rsid w:val="006E6E08"/>
    <w:rsid w:val="006E6F75"/>
    <w:rsid w:val="006E7C03"/>
    <w:rsid w:val="006F08C6"/>
    <w:rsid w:val="006F6CBD"/>
    <w:rsid w:val="0070491E"/>
    <w:rsid w:val="007050D5"/>
    <w:rsid w:val="00713C6E"/>
    <w:rsid w:val="00715DFE"/>
    <w:rsid w:val="00724E6D"/>
    <w:rsid w:val="0072786A"/>
    <w:rsid w:val="007305D5"/>
    <w:rsid w:val="00740A6C"/>
    <w:rsid w:val="00743621"/>
    <w:rsid w:val="00751A59"/>
    <w:rsid w:val="00752C35"/>
    <w:rsid w:val="00756C7A"/>
    <w:rsid w:val="00767AC6"/>
    <w:rsid w:val="00767FB2"/>
    <w:rsid w:val="007712CE"/>
    <w:rsid w:val="007745C1"/>
    <w:rsid w:val="00783A11"/>
    <w:rsid w:val="007846F9"/>
    <w:rsid w:val="00790CC1"/>
    <w:rsid w:val="0079711A"/>
    <w:rsid w:val="007A1BF8"/>
    <w:rsid w:val="007A23E5"/>
    <w:rsid w:val="007A3F3C"/>
    <w:rsid w:val="007A7A15"/>
    <w:rsid w:val="007B0DCC"/>
    <w:rsid w:val="007C3960"/>
    <w:rsid w:val="007C4E67"/>
    <w:rsid w:val="007C58C1"/>
    <w:rsid w:val="007D1B08"/>
    <w:rsid w:val="007D21CF"/>
    <w:rsid w:val="007E2233"/>
    <w:rsid w:val="007E60C6"/>
    <w:rsid w:val="007E77FA"/>
    <w:rsid w:val="007F1616"/>
    <w:rsid w:val="007F4074"/>
    <w:rsid w:val="007F4841"/>
    <w:rsid w:val="007F5105"/>
    <w:rsid w:val="007F74F8"/>
    <w:rsid w:val="00800DEC"/>
    <w:rsid w:val="0081000C"/>
    <w:rsid w:val="00810BB1"/>
    <w:rsid w:val="0081394A"/>
    <w:rsid w:val="008202B0"/>
    <w:rsid w:val="00825785"/>
    <w:rsid w:val="00825FCE"/>
    <w:rsid w:val="00830CDA"/>
    <w:rsid w:val="00844F2D"/>
    <w:rsid w:val="0085508A"/>
    <w:rsid w:val="00867BDD"/>
    <w:rsid w:val="008822B8"/>
    <w:rsid w:val="00887E44"/>
    <w:rsid w:val="008900D9"/>
    <w:rsid w:val="008A3A36"/>
    <w:rsid w:val="008A552D"/>
    <w:rsid w:val="008B6E2E"/>
    <w:rsid w:val="008C3777"/>
    <w:rsid w:val="008C3E17"/>
    <w:rsid w:val="008C4190"/>
    <w:rsid w:val="008D09D9"/>
    <w:rsid w:val="008D3670"/>
    <w:rsid w:val="008D37C2"/>
    <w:rsid w:val="008E267E"/>
    <w:rsid w:val="008E3C7C"/>
    <w:rsid w:val="008F4FE2"/>
    <w:rsid w:val="009007FA"/>
    <w:rsid w:val="0091242C"/>
    <w:rsid w:val="00914754"/>
    <w:rsid w:val="00915D6B"/>
    <w:rsid w:val="00916192"/>
    <w:rsid w:val="00916A7D"/>
    <w:rsid w:val="009347DB"/>
    <w:rsid w:val="00937C3D"/>
    <w:rsid w:val="0094124F"/>
    <w:rsid w:val="00956F88"/>
    <w:rsid w:val="009612FC"/>
    <w:rsid w:val="00961597"/>
    <w:rsid w:val="009656B6"/>
    <w:rsid w:val="00967809"/>
    <w:rsid w:val="00967CB7"/>
    <w:rsid w:val="00973D1F"/>
    <w:rsid w:val="0097672B"/>
    <w:rsid w:val="00976990"/>
    <w:rsid w:val="00980C58"/>
    <w:rsid w:val="009869B7"/>
    <w:rsid w:val="00992216"/>
    <w:rsid w:val="00997E5B"/>
    <w:rsid w:val="009A3AA2"/>
    <w:rsid w:val="009A72A7"/>
    <w:rsid w:val="009B462F"/>
    <w:rsid w:val="009C0CE2"/>
    <w:rsid w:val="009C1678"/>
    <w:rsid w:val="009D684C"/>
    <w:rsid w:val="009E0372"/>
    <w:rsid w:val="009F2885"/>
    <w:rsid w:val="009F3091"/>
    <w:rsid w:val="009F53FB"/>
    <w:rsid w:val="00A02CFE"/>
    <w:rsid w:val="00A10C2A"/>
    <w:rsid w:val="00A11E35"/>
    <w:rsid w:val="00A17817"/>
    <w:rsid w:val="00A23E49"/>
    <w:rsid w:val="00A265FC"/>
    <w:rsid w:val="00A27482"/>
    <w:rsid w:val="00A3118F"/>
    <w:rsid w:val="00A34041"/>
    <w:rsid w:val="00A3446E"/>
    <w:rsid w:val="00A34DFC"/>
    <w:rsid w:val="00A40AC1"/>
    <w:rsid w:val="00A46E04"/>
    <w:rsid w:val="00A479B3"/>
    <w:rsid w:val="00A505B4"/>
    <w:rsid w:val="00A524D6"/>
    <w:rsid w:val="00A61663"/>
    <w:rsid w:val="00A661C7"/>
    <w:rsid w:val="00A7361F"/>
    <w:rsid w:val="00A75594"/>
    <w:rsid w:val="00A812A0"/>
    <w:rsid w:val="00A83298"/>
    <w:rsid w:val="00A913AC"/>
    <w:rsid w:val="00A97112"/>
    <w:rsid w:val="00A9766B"/>
    <w:rsid w:val="00AA0984"/>
    <w:rsid w:val="00AA6ABE"/>
    <w:rsid w:val="00AC7679"/>
    <w:rsid w:val="00AD046D"/>
    <w:rsid w:val="00AD04BB"/>
    <w:rsid w:val="00AD3153"/>
    <w:rsid w:val="00AD5F72"/>
    <w:rsid w:val="00AF1C50"/>
    <w:rsid w:val="00AF2C61"/>
    <w:rsid w:val="00B01293"/>
    <w:rsid w:val="00B02F78"/>
    <w:rsid w:val="00B04AFF"/>
    <w:rsid w:val="00B140D9"/>
    <w:rsid w:val="00B2159E"/>
    <w:rsid w:val="00B263BD"/>
    <w:rsid w:val="00B301E7"/>
    <w:rsid w:val="00B31341"/>
    <w:rsid w:val="00B3307E"/>
    <w:rsid w:val="00B351C0"/>
    <w:rsid w:val="00B40E78"/>
    <w:rsid w:val="00B50BD1"/>
    <w:rsid w:val="00B52A94"/>
    <w:rsid w:val="00B54596"/>
    <w:rsid w:val="00B60AA5"/>
    <w:rsid w:val="00B60EA6"/>
    <w:rsid w:val="00B6350D"/>
    <w:rsid w:val="00B63589"/>
    <w:rsid w:val="00B66186"/>
    <w:rsid w:val="00B66793"/>
    <w:rsid w:val="00B6693B"/>
    <w:rsid w:val="00B70185"/>
    <w:rsid w:val="00B821AB"/>
    <w:rsid w:val="00B82533"/>
    <w:rsid w:val="00B86768"/>
    <w:rsid w:val="00B87EBB"/>
    <w:rsid w:val="00BA05DA"/>
    <w:rsid w:val="00BA1788"/>
    <w:rsid w:val="00BA45B8"/>
    <w:rsid w:val="00BA56CA"/>
    <w:rsid w:val="00BA620E"/>
    <w:rsid w:val="00BB037E"/>
    <w:rsid w:val="00BB3F05"/>
    <w:rsid w:val="00BB74E1"/>
    <w:rsid w:val="00BC2552"/>
    <w:rsid w:val="00BC2E80"/>
    <w:rsid w:val="00BC5D21"/>
    <w:rsid w:val="00BC723C"/>
    <w:rsid w:val="00BD0994"/>
    <w:rsid w:val="00BD4FC5"/>
    <w:rsid w:val="00BE250F"/>
    <w:rsid w:val="00BF52C4"/>
    <w:rsid w:val="00C016CF"/>
    <w:rsid w:val="00C042D0"/>
    <w:rsid w:val="00C070BF"/>
    <w:rsid w:val="00C12388"/>
    <w:rsid w:val="00C1516A"/>
    <w:rsid w:val="00C17E87"/>
    <w:rsid w:val="00C21579"/>
    <w:rsid w:val="00C26A0D"/>
    <w:rsid w:val="00C26A4E"/>
    <w:rsid w:val="00C27563"/>
    <w:rsid w:val="00C309C6"/>
    <w:rsid w:val="00C31E86"/>
    <w:rsid w:val="00C32274"/>
    <w:rsid w:val="00C32FCC"/>
    <w:rsid w:val="00C35DC1"/>
    <w:rsid w:val="00C42942"/>
    <w:rsid w:val="00C47047"/>
    <w:rsid w:val="00C55538"/>
    <w:rsid w:val="00C56362"/>
    <w:rsid w:val="00C601F6"/>
    <w:rsid w:val="00C62577"/>
    <w:rsid w:val="00C675CD"/>
    <w:rsid w:val="00C704E1"/>
    <w:rsid w:val="00C70C4C"/>
    <w:rsid w:val="00C72335"/>
    <w:rsid w:val="00C743F7"/>
    <w:rsid w:val="00C74892"/>
    <w:rsid w:val="00C7655F"/>
    <w:rsid w:val="00C856A9"/>
    <w:rsid w:val="00C86AB9"/>
    <w:rsid w:val="00C9086D"/>
    <w:rsid w:val="00CA19B3"/>
    <w:rsid w:val="00CA2713"/>
    <w:rsid w:val="00CA7A75"/>
    <w:rsid w:val="00CB2026"/>
    <w:rsid w:val="00CB2579"/>
    <w:rsid w:val="00CC0936"/>
    <w:rsid w:val="00CC2C8A"/>
    <w:rsid w:val="00CC50CA"/>
    <w:rsid w:val="00CC665C"/>
    <w:rsid w:val="00CC7C1F"/>
    <w:rsid w:val="00CD1EED"/>
    <w:rsid w:val="00CD34C0"/>
    <w:rsid w:val="00CD5E88"/>
    <w:rsid w:val="00CD6163"/>
    <w:rsid w:val="00CE0075"/>
    <w:rsid w:val="00CE59EA"/>
    <w:rsid w:val="00CF0D4B"/>
    <w:rsid w:val="00D014D3"/>
    <w:rsid w:val="00D03A98"/>
    <w:rsid w:val="00D03D65"/>
    <w:rsid w:val="00D049FF"/>
    <w:rsid w:val="00D0538D"/>
    <w:rsid w:val="00D05478"/>
    <w:rsid w:val="00D07161"/>
    <w:rsid w:val="00D12046"/>
    <w:rsid w:val="00D142BC"/>
    <w:rsid w:val="00D161F1"/>
    <w:rsid w:val="00D20D87"/>
    <w:rsid w:val="00D30E97"/>
    <w:rsid w:val="00D31B26"/>
    <w:rsid w:val="00D34E79"/>
    <w:rsid w:val="00D41FE3"/>
    <w:rsid w:val="00D42E6F"/>
    <w:rsid w:val="00D446C3"/>
    <w:rsid w:val="00D44979"/>
    <w:rsid w:val="00D44B68"/>
    <w:rsid w:val="00D54134"/>
    <w:rsid w:val="00D60E30"/>
    <w:rsid w:val="00D6780D"/>
    <w:rsid w:val="00D71D18"/>
    <w:rsid w:val="00D827D3"/>
    <w:rsid w:val="00D835E0"/>
    <w:rsid w:val="00D84936"/>
    <w:rsid w:val="00D85F0F"/>
    <w:rsid w:val="00D93946"/>
    <w:rsid w:val="00D93E46"/>
    <w:rsid w:val="00DA1A69"/>
    <w:rsid w:val="00DA419E"/>
    <w:rsid w:val="00DA463E"/>
    <w:rsid w:val="00DB04CC"/>
    <w:rsid w:val="00DB14EA"/>
    <w:rsid w:val="00DB3B48"/>
    <w:rsid w:val="00DB413F"/>
    <w:rsid w:val="00DC57F4"/>
    <w:rsid w:val="00DE026C"/>
    <w:rsid w:val="00DE44C9"/>
    <w:rsid w:val="00DE6417"/>
    <w:rsid w:val="00DF51F6"/>
    <w:rsid w:val="00E141A1"/>
    <w:rsid w:val="00E1421A"/>
    <w:rsid w:val="00E15508"/>
    <w:rsid w:val="00E220E3"/>
    <w:rsid w:val="00E2435F"/>
    <w:rsid w:val="00E25B8F"/>
    <w:rsid w:val="00E272AB"/>
    <w:rsid w:val="00E27748"/>
    <w:rsid w:val="00E27E8F"/>
    <w:rsid w:val="00E32B62"/>
    <w:rsid w:val="00E3379C"/>
    <w:rsid w:val="00E33E4B"/>
    <w:rsid w:val="00E351F7"/>
    <w:rsid w:val="00E35C68"/>
    <w:rsid w:val="00E400B1"/>
    <w:rsid w:val="00E415BA"/>
    <w:rsid w:val="00E4505B"/>
    <w:rsid w:val="00E45D38"/>
    <w:rsid w:val="00E519CC"/>
    <w:rsid w:val="00E55E3E"/>
    <w:rsid w:val="00E573CF"/>
    <w:rsid w:val="00E624DB"/>
    <w:rsid w:val="00E64D52"/>
    <w:rsid w:val="00E66B51"/>
    <w:rsid w:val="00E70D6B"/>
    <w:rsid w:val="00E713F3"/>
    <w:rsid w:val="00E73281"/>
    <w:rsid w:val="00E74F68"/>
    <w:rsid w:val="00E766E7"/>
    <w:rsid w:val="00E81747"/>
    <w:rsid w:val="00E83AD9"/>
    <w:rsid w:val="00E85098"/>
    <w:rsid w:val="00E96041"/>
    <w:rsid w:val="00EA377E"/>
    <w:rsid w:val="00EB2C24"/>
    <w:rsid w:val="00EB46F3"/>
    <w:rsid w:val="00EC0581"/>
    <w:rsid w:val="00EC28A6"/>
    <w:rsid w:val="00EC5E11"/>
    <w:rsid w:val="00EC6416"/>
    <w:rsid w:val="00ED5834"/>
    <w:rsid w:val="00EE124B"/>
    <w:rsid w:val="00EE278D"/>
    <w:rsid w:val="00EE6BE2"/>
    <w:rsid w:val="00EE7E88"/>
    <w:rsid w:val="00EF3B0C"/>
    <w:rsid w:val="00EF51A4"/>
    <w:rsid w:val="00EF75F1"/>
    <w:rsid w:val="00F00695"/>
    <w:rsid w:val="00F01EB5"/>
    <w:rsid w:val="00F04654"/>
    <w:rsid w:val="00F04759"/>
    <w:rsid w:val="00F124D6"/>
    <w:rsid w:val="00F13726"/>
    <w:rsid w:val="00F13C23"/>
    <w:rsid w:val="00F157DC"/>
    <w:rsid w:val="00F1765D"/>
    <w:rsid w:val="00F21A43"/>
    <w:rsid w:val="00F24C7B"/>
    <w:rsid w:val="00F3344C"/>
    <w:rsid w:val="00F33B02"/>
    <w:rsid w:val="00F37097"/>
    <w:rsid w:val="00F446FA"/>
    <w:rsid w:val="00F503D1"/>
    <w:rsid w:val="00F512D7"/>
    <w:rsid w:val="00F51F42"/>
    <w:rsid w:val="00F601DE"/>
    <w:rsid w:val="00F61158"/>
    <w:rsid w:val="00F65725"/>
    <w:rsid w:val="00F671A7"/>
    <w:rsid w:val="00F77D1E"/>
    <w:rsid w:val="00F81FCE"/>
    <w:rsid w:val="00F834D8"/>
    <w:rsid w:val="00F84515"/>
    <w:rsid w:val="00FA2ACE"/>
    <w:rsid w:val="00FA620B"/>
    <w:rsid w:val="00FA6804"/>
    <w:rsid w:val="00FA7667"/>
    <w:rsid w:val="00FB4978"/>
    <w:rsid w:val="00FC1FDB"/>
    <w:rsid w:val="00FC3049"/>
    <w:rsid w:val="00FC4873"/>
    <w:rsid w:val="00FC4A07"/>
    <w:rsid w:val="00FD753B"/>
    <w:rsid w:val="00FE1B4E"/>
    <w:rsid w:val="00FE1E82"/>
    <w:rsid w:val="00FF0AB4"/>
    <w:rsid w:val="00FF1BAE"/>
    <w:rsid w:val="00FF5488"/>
    <w:rsid w:val="00FF5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F754"/>
  <w15:chartTrackingRefBased/>
  <w15:docId w15:val="{5C1FB935-015E-4674-8E45-539D6DE5F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E3C7C"/>
    <w:pPr>
      <w:spacing w:before="200" w:after="0" w:line="360" w:lineRule="auto"/>
    </w:pPr>
    <w:rPr>
      <w:rFonts w:ascii="Times New Roman" w:eastAsia="Times New Roman" w:hAnsi="Times New Roman" w:cs="Times New Roman"/>
      <w:lang w:eastAsia="zh-CN"/>
    </w:rPr>
  </w:style>
  <w:style w:type="paragraph" w:styleId="Heading1">
    <w:name w:val="heading 1"/>
    <w:basedOn w:val="Normal"/>
    <w:next w:val="Normal"/>
    <w:link w:val="Heading1Char"/>
    <w:qFormat/>
    <w:rsid w:val="0039166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autoRedefine/>
    <w:uiPriority w:val="9"/>
    <w:qFormat/>
    <w:rsid w:val="008E3C7C"/>
    <w:pPr>
      <w:numPr>
        <w:numId w:val="0"/>
      </w:numPr>
      <w:spacing w:before="360" w:after="240" w:line="480" w:lineRule="auto"/>
      <w:ind w:left="567" w:hanging="567"/>
      <w:jc w:val="center"/>
      <w:outlineLvl w:val="1"/>
    </w:pPr>
    <w:rPr>
      <w:rFonts w:ascii="Times New Roman" w:eastAsia="Times New Roman" w:hAnsi="Times New Roman" w:cs="Times New Roman"/>
      <w:b/>
      <w:color w:val="auto"/>
      <w:kern w:val="32"/>
      <w:sz w:val="24"/>
      <w:szCs w:val="24"/>
      <w:lang w:eastAsia="en-GB"/>
    </w:rPr>
  </w:style>
  <w:style w:type="paragraph" w:styleId="Heading3">
    <w:name w:val="heading 3"/>
    <w:aliases w:val="Heading 3."/>
    <w:basedOn w:val="Heading1"/>
    <w:next w:val="Normal"/>
    <w:link w:val="Heading3Char"/>
    <w:uiPriority w:val="9"/>
    <w:qFormat/>
    <w:rsid w:val="00AF2C61"/>
    <w:pPr>
      <w:numPr>
        <w:numId w:val="0"/>
      </w:numPr>
      <w:tabs>
        <w:tab w:val="num" w:pos="1021"/>
      </w:tabs>
      <w:spacing w:before="360" w:after="240"/>
      <w:ind w:left="1021" w:hanging="1021"/>
      <w:outlineLvl w:val="2"/>
    </w:pPr>
    <w:rPr>
      <w:rFonts w:ascii="Calibri" w:eastAsia="Times New Roman" w:hAnsi="Calibri" w:cs="Arial"/>
      <w:b/>
      <w:color w:val="auto"/>
      <w:kern w:val="32"/>
      <w:sz w:val="22"/>
      <w:szCs w:val="26"/>
    </w:rPr>
  </w:style>
  <w:style w:type="paragraph" w:styleId="Heading4">
    <w:name w:val="heading 4"/>
    <w:aliases w:val="Heading 4."/>
    <w:basedOn w:val="Heading1"/>
    <w:next w:val="Normal"/>
    <w:link w:val="Heading4Char"/>
    <w:uiPriority w:val="9"/>
    <w:qFormat/>
    <w:rsid w:val="00AF2C61"/>
    <w:pPr>
      <w:keepNext w:val="0"/>
      <w:keepLines w:val="0"/>
      <w:numPr>
        <w:numId w:val="0"/>
      </w:numPr>
      <w:tabs>
        <w:tab w:val="num" w:pos="1134"/>
      </w:tabs>
      <w:spacing w:before="200" w:after="240"/>
      <w:outlineLvl w:val="3"/>
    </w:pPr>
    <w:rPr>
      <w:rFonts w:ascii="Calibri" w:hAnsi="Calibri"/>
      <w:b/>
      <w:iCs/>
      <w:color w:val="auto"/>
      <w:kern w:val="32"/>
      <w:sz w:val="22"/>
      <w:szCs w:val="24"/>
    </w:rPr>
  </w:style>
  <w:style w:type="paragraph" w:styleId="Heading5">
    <w:name w:val="heading 5"/>
    <w:aliases w:val="Heading 5."/>
    <w:basedOn w:val="Heading1"/>
    <w:next w:val="Normal"/>
    <w:link w:val="Heading5Char"/>
    <w:uiPriority w:val="9"/>
    <w:qFormat/>
    <w:rsid w:val="00AF2C61"/>
    <w:pPr>
      <w:numPr>
        <w:numId w:val="0"/>
      </w:numPr>
      <w:tabs>
        <w:tab w:val="num" w:pos="1247"/>
      </w:tabs>
      <w:spacing w:before="200" w:after="240"/>
      <w:ind w:left="1247" w:hanging="1247"/>
      <w:outlineLvl w:val="4"/>
    </w:pPr>
    <w:rPr>
      <w:rFonts w:ascii="Calibri" w:hAnsi="Calibri"/>
      <w:b/>
      <w:bCs/>
      <w:color w:val="auto"/>
      <w:kern w:val="32"/>
      <w:sz w:val="22"/>
      <w:szCs w:val="24"/>
    </w:rPr>
  </w:style>
  <w:style w:type="paragraph" w:styleId="Heading6">
    <w:name w:val="heading 6"/>
    <w:aliases w:val="Heading 6."/>
    <w:basedOn w:val="Heading1"/>
    <w:next w:val="Normal"/>
    <w:link w:val="Heading6Char"/>
    <w:qFormat/>
    <w:rsid w:val="00AF2C61"/>
    <w:pPr>
      <w:numPr>
        <w:numId w:val="0"/>
      </w:numPr>
      <w:tabs>
        <w:tab w:val="num" w:pos="1361"/>
      </w:tabs>
      <w:spacing w:before="200" w:after="240"/>
      <w:ind w:left="1361" w:hanging="1361"/>
      <w:outlineLvl w:val="5"/>
    </w:pPr>
    <w:rPr>
      <w:rFonts w:ascii="Calibri" w:hAnsi="Calibri"/>
      <w:bCs/>
      <w:iCs/>
      <w:color w:val="auto"/>
      <w:kern w:val="32"/>
      <w:sz w:val="22"/>
      <w:szCs w:val="24"/>
    </w:rPr>
  </w:style>
  <w:style w:type="paragraph" w:styleId="Heading7">
    <w:name w:val="heading 7"/>
    <w:basedOn w:val="Heading1"/>
    <w:next w:val="Normal"/>
    <w:link w:val="Heading7Char"/>
    <w:qFormat/>
    <w:rsid w:val="00AF2C61"/>
    <w:pPr>
      <w:numPr>
        <w:numId w:val="0"/>
      </w:numPr>
      <w:tabs>
        <w:tab w:val="num" w:pos="1474"/>
      </w:tabs>
      <w:spacing w:before="200" w:after="240"/>
      <w:ind w:left="1474" w:hanging="1474"/>
      <w:outlineLvl w:val="6"/>
    </w:pPr>
    <w:rPr>
      <w:rFonts w:ascii="Calibri" w:hAnsi="Calibri"/>
      <w:bCs/>
      <w:iCs/>
      <w:color w:val="auto"/>
      <w:kern w:val="32"/>
      <w:sz w:val="22"/>
      <w:szCs w:val="24"/>
    </w:rPr>
  </w:style>
  <w:style w:type="paragraph" w:styleId="Heading8">
    <w:name w:val="heading 8"/>
    <w:basedOn w:val="Heading1"/>
    <w:next w:val="Normal"/>
    <w:link w:val="Heading8Char"/>
    <w:uiPriority w:val="9"/>
    <w:qFormat/>
    <w:rsid w:val="00AF2C61"/>
    <w:pPr>
      <w:numPr>
        <w:numId w:val="0"/>
      </w:numPr>
      <w:tabs>
        <w:tab w:val="num" w:pos="1588"/>
      </w:tabs>
      <w:spacing w:before="200" w:after="240"/>
      <w:ind w:left="1588" w:hanging="1588"/>
      <w:outlineLvl w:val="7"/>
    </w:pPr>
    <w:rPr>
      <w:rFonts w:ascii="Calibri" w:hAnsi="Calibri"/>
      <w:bCs/>
      <w:color w:val="auto"/>
      <w:kern w:val="32"/>
      <w:sz w:val="22"/>
    </w:rPr>
  </w:style>
  <w:style w:type="paragraph" w:styleId="Heading9">
    <w:name w:val="heading 9"/>
    <w:basedOn w:val="Heading1"/>
    <w:next w:val="Normal"/>
    <w:link w:val="Heading9Char"/>
    <w:uiPriority w:val="9"/>
    <w:qFormat/>
    <w:rsid w:val="00AF2C61"/>
    <w:pPr>
      <w:numPr>
        <w:numId w:val="0"/>
      </w:numPr>
      <w:tabs>
        <w:tab w:val="num" w:pos="1701"/>
      </w:tabs>
      <w:spacing w:before="200" w:after="240"/>
      <w:ind w:left="1701" w:hanging="1701"/>
      <w:outlineLvl w:val="8"/>
    </w:pPr>
    <w:rPr>
      <w:rFonts w:ascii="Calibri" w:hAnsi="Calibri"/>
      <w:bCs/>
      <w:iCs/>
      <w:color w:val="000000" w:themeColor="text1"/>
      <w:kern w:val="3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3C7C"/>
    <w:rPr>
      <w:rFonts w:ascii="Times New Roman" w:eastAsia="Times New Roman" w:hAnsi="Times New Roman" w:cs="Times New Roman"/>
      <w:b/>
      <w:kern w:val="32"/>
      <w:sz w:val="24"/>
      <w:szCs w:val="24"/>
      <w:lang w:eastAsia="en-GB"/>
    </w:rPr>
  </w:style>
  <w:style w:type="character" w:customStyle="1" w:styleId="Heading1Char">
    <w:name w:val="Heading 1 Char"/>
    <w:basedOn w:val="DefaultParagraphFont"/>
    <w:link w:val="Heading1"/>
    <w:rsid w:val="00391669"/>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eading 3. Char"/>
    <w:basedOn w:val="DefaultParagraphFont"/>
    <w:link w:val="Heading3"/>
    <w:uiPriority w:val="9"/>
    <w:rsid w:val="00AF2C61"/>
    <w:rPr>
      <w:rFonts w:ascii="Calibri" w:eastAsia="Times New Roman" w:hAnsi="Calibri" w:cs="Arial"/>
      <w:b/>
      <w:kern w:val="32"/>
      <w:szCs w:val="26"/>
    </w:rPr>
  </w:style>
  <w:style w:type="character" w:customStyle="1" w:styleId="Heading4Char">
    <w:name w:val="Heading 4 Char"/>
    <w:aliases w:val="Heading 4. Char"/>
    <w:basedOn w:val="DefaultParagraphFont"/>
    <w:link w:val="Heading4"/>
    <w:uiPriority w:val="9"/>
    <w:rsid w:val="00AF2C61"/>
    <w:rPr>
      <w:rFonts w:ascii="Calibri" w:eastAsiaTheme="majorEastAsia" w:hAnsi="Calibri" w:cstheme="majorBidi"/>
      <w:b/>
      <w:iCs/>
      <w:kern w:val="32"/>
      <w:szCs w:val="24"/>
    </w:rPr>
  </w:style>
  <w:style w:type="character" w:customStyle="1" w:styleId="Heading5Char">
    <w:name w:val="Heading 5 Char"/>
    <w:aliases w:val="Heading 5. Char"/>
    <w:basedOn w:val="DefaultParagraphFont"/>
    <w:link w:val="Heading5"/>
    <w:uiPriority w:val="9"/>
    <w:rsid w:val="00AF2C61"/>
    <w:rPr>
      <w:rFonts w:ascii="Calibri" w:eastAsiaTheme="majorEastAsia" w:hAnsi="Calibri" w:cstheme="majorBidi"/>
      <w:b/>
      <w:bCs/>
      <w:kern w:val="32"/>
      <w:szCs w:val="24"/>
    </w:rPr>
  </w:style>
  <w:style w:type="character" w:customStyle="1" w:styleId="Heading6Char">
    <w:name w:val="Heading 6 Char"/>
    <w:aliases w:val="Heading 6. Char"/>
    <w:basedOn w:val="DefaultParagraphFont"/>
    <w:link w:val="Heading6"/>
    <w:rsid w:val="00AF2C61"/>
    <w:rPr>
      <w:rFonts w:ascii="Calibri" w:eastAsiaTheme="majorEastAsia" w:hAnsi="Calibri" w:cstheme="majorBidi"/>
      <w:bCs/>
      <w:iCs/>
      <w:kern w:val="32"/>
      <w:szCs w:val="24"/>
    </w:rPr>
  </w:style>
  <w:style w:type="character" w:customStyle="1" w:styleId="Heading7Char">
    <w:name w:val="Heading 7 Char"/>
    <w:basedOn w:val="DefaultParagraphFont"/>
    <w:link w:val="Heading7"/>
    <w:rsid w:val="00AF2C61"/>
    <w:rPr>
      <w:rFonts w:ascii="Calibri" w:eastAsiaTheme="majorEastAsia" w:hAnsi="Calibri" w:cstheme="majorBidi"/>
      <w:bCs/>
      <w:iCs/>
      <w:kern w:val="32"/>
      <w:szCs w:val="24"/>
    </w:rPr>
  </w:style>
  <w:style w:type="character" w:customStyle="1" w:styleId="Heading8Char">
    <w:name w:val="Heading 8 Char"/>
    <w:basedOn w:val="DefaultParagraphFont"/>
    <w:link w:val="Heading8"/>
    <w:uiPriority w:val="9"/>
    <w:rsid w:val="00AF2C61"/>
    <w:rPr>
      <w:rFonts w:ascii="Calibri" w:eastAsiaTheme="majorEastAsia" w:hAnsi="Calibri" w:cstheme="majorBidi"/>
      <w:bCs/>
      <w:kern w:val="32"/>
      <w:szCs w:val="32"/>
    </w:rPr>
  </w:style>
  <w:style w:type="character" w:customStyle="1" w:styleId="Heading9Char">
    <w:name w:val="Heading 9 Char"/>
    <w:basedOn w:val="DefaultParagraphFont"/>
    <w:link w:val="Heading9"/>
    <w:uiPriority w:val="9"/>
    <w:rsid w:val="00AF2C61"/>
    <w:rPr>
      <w:rFonts w:ascii="Calibri" w:eastAsiaTheme="majorEastAsia" w:hAnsi="Calibri" w:cstheme="majorBidi"/>
      <w:bCs/>
      <w:iCs/>
      <w:color w:val="000000" w:themeColor="text1"/>
      <w:kern w:val="32"/>
      <w:szCs w:val="32"/>
    </w:rPr>
  </w:style>
  <w:style w:type="paragraph" w:styleId="Caption">
    <w:name w:val="caption"/>
    <w:basedOn w:val="Normal"/>
    <w:next w:val="Normal"/>
    <w:uiPriority w:val="35"/>
    <w:qFormat/>
    <w:rsid w:val="00AF2C61"/>
    <w:pPr>
      <w:tabs>
        <w:tab w:val="left" w:pos="1418"/>
      </w:tabs>
      <w:spacing w:before="120" w:after="120"/>
      <w:contextualSpacing/>
    </w:pPr>
    <w:rPr>
      <w:i/>
      <w:sz w:val="20"/>
      <w:szCs w:val="26"/>
      <w:lang w:eastAsia="en-US"/>
    </w:rPr>
  </w:style>
  <w:style w:type="paragraph" w:styleId="FootnoteText">
    <w:name w:val="footnote text"/>
    <w:basedOn w:val="Normal"/>
    <w:link w:val="FootnoteTextChar"/>
    <w:uiPriority w:val="99"/>
    <w:unhideWhenUsed/>
    <w:rsid w:val="00AF2C61"/>
    <w:pPr>
      <w:spacing w:before="0" w:line="240" w:lineRule="auto"/>
    </w:pPr>
    <w:rPr>
      <w:sz w:val="20"/>
      <w:szCs w:val="20"/>
    </w:rPr>
  </w:style>
  <w:style w:type="character" w:customStyle="1" w:styleId="FootnoteTextChar">
    <w:name w:val="Footnote Text Char"/>
    <w:basedOn w:val="DefaultParagraphFont"/>
    <w:link w:val="FootnoteText"/>
    <w:uiPriority w:val="99"/>
    <w:rsid w:val="00AF2C61"/>
    <w:rPr>
      <w:rFonts w:ascii="Calibri" w:eastAsia="Times New Roman" w:hAnsi="Calibri" w:cs="Times New Roman"/>
      <w:sz w:val="20"/>
      <w:szCs w:val="20"/>
      <w:lang w:eastAsia="zh-CN"/>
    </w:rPr>
  </w:style>
  <w:style w:type="character" w:styleId="FootnoteReference">
    <w:name w:val="footnote reference"/>
    <w:basedOn w:val="DefaultParagraphFont"/>
    <w:uiPriority w:val="99"/>
    <w:semiHidden/>
    <w:unhideWhenUsed/>
    <w:rsid w:val="00AF2C61"/>
    <w:rPr>
      <w:vertAlign w:val="superscript"/>
    </w:rPr>
  </w:style>
  <w:style w:type="character" w:styleId="CommentReference">
    <w:name w:val="annotation reference"/>
    <w:basedOn w:val="DefaultParagraphFont"/>
    <w:uiPriority w:val="99"/>
    <w:semiHidden/>
    <w:unhideWhenUsed/>
    <w:rsid w:val="0065449A"/>
    <w:rPr>
      <w:sz w:val="16"/>
      <w:szCs w:val="16"/>
    </w:rPr>
  </w:style>
  <w:style w:type="paragraph" w:styleId="CommentText">
    <w:name w:val="annotation text"/>
    <w:basedOn w:val="Normal"/>
    <w:link w:val="CommentTextChar"/>
    <w:uiPriority w:val="99"/>
    <w:unhideWhenUsed/>
    <w:rsid w:val="0065449A"/>
    <w:pPr>
      <w:spacing w:before="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65449A"/>
    <w:rPr>
      <w:rFonts w:ascii="Times New Roman" w:eastAsiaTheme="minorEastAsia" w:hAnsi="Times New Roman" w:cs="Times New Roman"/>
      <w:sz w:val="20"/>
      <w:szCs w:val="20"/>
      <w:lang w:eastAsia="zh-CN"/>
    </w:rPr>
  </w:style>
  <w:style w:type="paragraph" w:styleId="BalloonText">
    <w:name w:val="Balloon Text"/>
    <w:basedOn w:val="Normal"/>
    <w:link w:val="BalloonTextChar"/>
    <w:uiPriority w:val="99"/>
    <w:semiHidden/>
    <w:unhideWhenUsed/>
    <w:rsid w:val="0065449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49A"/>
    <w:rPr>
      <w:rFonts w:ascii="Segoe UI" w:eastAsia="Times New Roman" w:hAnsi="Segoe UI" w:cs="Segoe UI"/>
      <w:sz w:val="18"/>
      <w:szCs w:val="18"/>
      <w:lang w:eastAsia="zh-CN"/>
    </w:rPr>
  </w:style>
  <w:style w:type="paragraph" w:styleId="Header">
    <w:name w:val="header"/>
    <w:basedOn w:val="Normal"/>
    <w:link w:val="HeaderChar"/>
    <w:uiPriority w:val="99"/>
    <w:unhideWhenUsed/>
    <w:rsid w:val="0065449A"/>
    <w:pPr>
      <w:tabs>
        <w:tab w:val="center" w:pos="4513"/>
        <w:tab w:val="right" w:pos="9026"/>
      </w:tabs>
      <w:spacing w:before="0" w:line="240" w:lineRule="auto"/>
    </w:pPr>
  </w:style>
  <w:style w:type="character" w:customStyle="1" w:styleId="HeaderChar">
    <w:name w:val="Header Char"/>
    <w:basedOn w:val="DefaultParagraphFont"/>
    <w:link w:val="Header"/>
    <w:uiPriority w:val="99"/>
    <w:rsid w:val="0065449A"/>
    <w:rPr>
      <w:rFonts w:ascii="Calibri" w:eastAsia="Times New Roman" w:hAnsi="Calibri" w:cs="Times New Roman"/>
      <w:lang w:eastAsia="zh-CN"/>
    </w:rPr>
  </w:style>
  <w:style w:type="paragraph" w:styleId="Footer">
    <w:name w:val="footer"/>
    <w:basedOn w:val="Normal"/>
    <w:link w:val="FooterChar"/>
    <w:uiPriority w:val="99"/>
    <w:unhideWhenUsed/>
    <w:rsid w:val="0065449A"/>
    <w:pPr>
      <w:tabs>
        <w:tab w:val="center" w:pos="4513"/>
        <w:tab w:val="right" w:pos="9026"/>
      </w:tabs>
      <w:spacing w:before="0" w:line="240" w:lineRule="auto"/>
    </w:pPr>
  </w:style>
  <w:style w:type="character" w:customStyle="1" w:styleId="FooterChar">
    <w:name w:val="Footer Char"/>
    <w:basedOn w:val="DefaultParagraphFont"/>
    <w:link w:val="Footer"/>
    <w:uiPriority w:val="99"/>
    <w:rsid w:val="0065449A"/>
    <w:rPr>
      <w:rFonts w:ascii="Calibri" w:eastAsia="Times New Roman" w:hAnsi="Calibri" w:cs="Times New Roman"/>
      <w:lang w:eastAsia="zh-CN"/>
    </w:rPr>
  </w:style>
  <w:style w:type="paragraph" w:styleId="NormalWeb">
    <w:name w:val="Normal (Web)"/>
    <w:basedOn w:val="Normal"/>
    <w:uiPriority w:val="99"/>
    <w:unhideWhenUsed/>
    <w:rsid w:val="006A29D2"/>
    <w:rPr>
      <w:sz w:val="24"/>
      <w:szCs w:val="24"/>
    </w:rPr>
  </w:style>
  <w:style w:type="paragraph" w:styleId="CommentSubject">
    <w:name w:val="annotation subject"/>
    <w:basedOn w:val="CommentText"/>
    <w:next w:val="CommentText"/>
    <w:link w:val="CommentSubjectChar"/>
    <w:uiPriority w:val="99"/>
    <w:semiHidden/>
    <w:unhideWhenUsed/>
    <w:rsid w:val="005619B2"/>
    <w:pPr>
      <w:spacing w:before="200"/>
    </w:pPr>
    <w:rPr>
      <w:rFonts w:eastAsia="Times New Roman"/>
      <w:b/>
      <w:bCs/>
    </w:rPr>
  </w:style>
  <w:style w:type="character" w:customStyle="1" w:styleId="CommentSubjectChar">
    <w:name w:val="Comment Subject Char"/>
    <w:basedOn w:val="CommentTextChar"/>
    <w:link w:val="CommentSubject"/>
    <w:uiPriority w:val="99"/>
    <w:semiHidden/>
    <w:rsid w:val="005619B2"/>
    <w:rPr>
      <w:rFonts w:ascii="Times New Roman" w:eastAsia="Times New Roman" w:hAnsi="Times New Roman" w:cs="Times New Roman"/>
      <w:b/>
      <w:bCs/>
      <w:sz w:val="20"/>
      <w:szCs w:val="20"/>
      <w:lang w:eastAsia="zh-CN"/>
    </w:rPr>
  </w:style>
  <w:style w:type="paragraph" w:styleId="Revision">
    <w:name w:val="Revision"/>
    <w:hidden/>
    <w:uiPriority w:val="99"/>
    <w:semiHidden/>
    <w:rsid w:val="007F74F8"/>
    <w:pPr>
      <w:spacing w:after="0" w:line="240" w:lineRule="auto"/>
    </w:pPr>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652325">
      <w:bodyDiv w:val="1"/>
      <w:marLeft w:val="0"/>
      <w:marRight w:val="0"/>
      <w:marTop w:val="0"/>
      <w:marBottom w:val="0"/>
      <w:divBdr>
        <w:top w:val="none" w:sz="0" w:space="0" w:color="auto"/>
        <w:left w:val="none" w:sz="0" w:space="0" w:color="auto"/>
        <w:bottom w:val="none" w:sz="0" w:space="0" w:color="auto"/>
        <w:right w:val="none" w:sz="0" w:space="0" w:color="auto"/>
      </w:divBdr>
      <w:divsChild>
        <w:div w:id="758866045">
          <w:marLeft w:val="0"/>
          <w:marRight w:val="0"/>
          <w:marTop w:val="0"/>
          <w:marBottom w:val="0"/>
          <w:divBdr>
            <w:top w:val="none" w:sz="0" w:space="0" w:color="auto"/>
            <w:left w:val="none" w:sz="0" w:space="0" w:color="auto"/>
            <w:bottom w:val="none" w:sz="0" w:space="0" w:color="auto"/>
            <w:right w:val="none" w:sz="0" w:space="0" w:color="auto"/>
          </w:divBdr>
          <w:divsChild>
            <w:div w:id="16648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19508">
      <w:bodyDiv w:val="1"/>
      <w:marLeft w:val="0"/>
      <w:marRight w:val="0"/>
      <w:marTop w:val="0"/>
      <w:marBottom w:val="0"/>
      <w:divBdr>
        <w:top w:val="none" w:sz="0" w:space="0" w:color="auto"/>
        <w:left w:val="none" w:sz="0" w:space="0" w:color="auto"/>
        <w:bottom w:val="none" w:sz="0" w:space="0" w:color="auto"/>
        <w:right w:val="none" w:sz="0" w:space="0" w:color="auto"/>
      </w:divBdr>
    </w:div>
    <w:div w:id="2072269153">
      <w:bodyDiv w:val="1"/>
      <w:marLeft w:val="0"/>
      <w:marRight w:val="0"/>
      <w:marTop w:val="0"/>
      <w:marBottom w:val="0"/>
      <w:divBdr>
        <w:top w:val="none" w:sz="0" w:space="0" w:color="auto"/>
        <w:left w:val="none" w:sz="0" w:space="0" w:color="auto"/>
        <w:bottom w:val="none" w:sz="0" w:space="0" w:color="auto"/>
        <w:right w:val="none" w:sz="0" w:space="0" w:color="auto"/>
      </w:divBdr>
      <w:divsChild>
        <w:div w:id="361828389">
          <w:marLeft w:val="0"/>
          <w:marRight w:val="0"/>
          <w:marTop w:val="0"/>
          <w:marBottom w:val="0"/>
          <w:divBdr>
            <w:top w:val="none" w:sz="0" w:space="0" w:color="auto"/>
            <w:left w:val="none" w:sz="0" w:space="0" w:color="auto"/>
            <w:bottom w:val="none" w:sz="0" w:space="0" w:color="auto"/>
            <w:right w:val="none" w:sz="0" w:space="0" w:color="auto"/>
          </w:divBdr>
          <w:divsChild>
            <w:div w:id="12148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2E6A0-23BE-41AD-A45F-F47356E9F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27142</Words>
  <Characters>159056</Characters>
  <Application>Microsoft Office Word</Application>
  <DocSecurity>0</DocSecurity>
  <Lines>2447</Lines>
  <Paragraphs>592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185606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Manoli A</dc:creator>
  <cp:keywords/>
  <dc:description/>
  <cp:lastModifiedBy>Hadwin J.A.</cp:lastModifiedBy>
  <cp:revision>3</cp:revision>
  <dcterms:created xsi:type="dcterms:W3CDTF">2020-07-13T17:53:00Z</dcterms:created>
  <dcterms:modified xsi:type="dcterms:W3CDTF">2020-07-13T17:56:00Z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Unique User Id_1">
    <vt:lpwstr>abecb38e-d162-3e50-a2c0-8b2d37c75d37</vt:lpwstr>
  </property>
  <property fmtid="{D5CDD505-2E9C-101B-9397-08002B2CF9AE}" pid="23" name="Mendeley Document_1">
    <vt:lpwstr>True</vt:lpwstr>
  </property>
  <property fmtid="{D5CDD505-2E9C-101B-9397-08002B2CF9AE}" pid="24" name="Mendeley Citation Style_1">
    <vt:lpwstr>http://www.zotero.org/styles/apa</vt:lpwstr>
  </property>
</Properties>
</file>