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D2472" w14:textId="0D3ED1DD" w:rsidR="005E42F2" w:rsidRPr="00E97ED3" w:rsidRDefault="00FA5B28" w:rsidP="00DA25EA">
      <w:pPr>
        <w:pStyle w:val="Heading2"/>
        <w:jc w:val="center"/>
        <w:rPr>
          <w:rFonts w:ascii="Times New Roman" w:hAnsi="Times New Roman"/>
          <w:color w:val="auto"/>
          <w:sz w:val="22"/>
          <w:szCs w:val="22"/>
        </w:rPr>
      </w:pPr>
      <w:r w:rsidRPr="00E97ED3">
        <w:rPr>
          <w:rFonts w:ascii="Times New Roman" w:hAnsi="Times New Roman"/>
          <w:color w:val="auto"/>
          <w:sz w:val="22"/>
          <w:szCs w:val="22"/>
        </w:rPr>
        <w:t xml:space="preserve">CSF </w:t>
      </w:r>
      <w:r w:rsidR="00A27B79" w:rsidRPr="00E97ED3">
        <w:rPr>
          <w:rFonts w:ascii="Times New Roman" w:hAnsi="Times New Roman"/>
          <w:color w:val="auto"/>
          <w:sz w:val="22"/>
          <w:szCs w:val="22"/>
        </w:rPr>
        <w:t>α-</w:t>
      </w:r>
      <w:r w:rsidRPr="00E97ED3">
        <w:rPr>
          <w:rFonts w:ascii="Times New Roman" w:hAnsi="Times New Roman"/>
          <w:color w:val="auto"/>
          <w:sz w:val="22"/>
          <w:szCs w:val="22"/>
        </w:rPr>
        <w:t>synuclein correlates with CSF neurogranin in late-life depression</w:t>
      </w:r>
    </w:p>
    <w:p w14:paraId="61D93CE3" w14:textId="3E820796" w:rsidR="007446AB" w:rsidRPr="00E97ED3" w:rsidRDefault="007446AB" w:rsidP="007446AB"/>
    <w:p w14:paraId="67EECA81" w14:textId="6D91F7F4" w:rsidR="007446AB" w:rsidRPr="00E97ED3" w:rsidRDefault="007446AB" w:rsidP="007446AB">
      <w:pPr>
        <w:pStyle w:val="Header"/>
        <w:jc w:val="center"/>
        <w:rPr>
          <w:rFonts w:ascii="Times New Roman" w:hAnsi="Times New Roman"/>
        </w:rPr>
      </w:pPr>
      <w:r w:rsidRPr="00E97ED3">
        <w:t xml:space="preserve">RUNNING HEAD: </w:t>
      </w:r>
      <w:r w:rsidRPr="00E97ED3">
        <w:rPr>
          <w:rFonts w:ascii="Times New Roman" w:hAnsi="Times New Roman"/>
        </w:rPr>
        <w:t xml:space="preserve">CSF </w:t>
      </w:r>
      <w:r w:rsidR="00A27B79" w:rsidRPr="00E97ED3">
        <w:rPr>
          <w:rFonts w:ascii="Times New Roman" w:hAnsi="Times New Roman"/>
        </w:rPr>
        <w:t>α-</w:t>
      </w:r>
      <w:r w:rsidRPr="00E97ED3">
        <w:rPr>
          <w:rFonts w:ascii="Times New Roman" w:hAnsi="Times New Roman"/>
        </w:rPr>
        <w:t>synuclein and late-life depression</w:t>
      </w:r>
    </w:p>
    <w:p w14:paraId="1CCC33BC" w14:textId="77777777" w:rsidR="005E42F2" w:rsidRPr="00E97ED3" w:rsidRDefault="005E42F2" w:rsidP="00E50158">
      <w:pPr>
        <w:tabs>
          <w:tab w:val="center" w:pos="4680"/>
          <w:tab w:val="right" w:pos="9340"/>
        </w:tabs>
        <w:spacing w:line="480" w:lineRule="auto"/>
        <w:rPr>
          <w:rFonts w:ascii="Times New Roman" w:hAnsi="Times New Roman"/>
          <w:shd w:val="clear" w:color="auto" w:fill="FFFF00"/>
        </w:rPr>
      </w:pPr>
    </w:p>
    <w:p w14:paraId="5E58AC39" w14:textId="77777777" w:rsidR="001530F6" w:rsidRPr="00E97ED3" w:rsidRDefault="001530F6" w:rsidP="001530F6">
      <w:pPr>
        <w:tabs>
          <w:tab w:val="center" w:pos="4680"/>
          <w:tab w:val="right" w:pos="9340"/>
        </w:tabs>
        <w:spacing w:line="480" w:lineRule="auto"/>
        <w:rPr>
          <w:rFonts w:ascii="Times New Roman" w:hAnsi="Times New Roman"/>
        </w:rPr>
      </w:pPr>
      <w:r w:rsidRPr="00E97ED3">
        <w:rPr>
          <w:rFonts w:ascii="Times New Roman" w:hAnsi="Times New Roman"/>
        </w:rPr>
        <w:t>Davide Bruno</w:t>
      </w:r>
      <w:r w:rsidRPr="00E97ED3">
        <w:rPr>
          <w:rFonts w:ascii="Times New Roman" w:hAnsi="Times New Roman"/>
          <w:vertAlign w:val="superscript"/>
        </w:rPr>
        <w:t>1</w:t>
      </w:r>
      <w:r w:rsidRPr="00E97ED3">
        <w:rPr>
          <w:rFonts w:ascii="Times New Roman" w:hAnsi="Times New Roman"/>
        </w:rPr>
        <w:t>, PhD; Chelsea Reichert Plaska</w:t>
      </w:r>
      <w:r w:rsidRPr="00E97ED3">
        <w:rPr>
          <w:rFonts w:ascii="Times New Roman" w:hAnsi="Times New Roman"/>
          <w:vertAlign w:val="superscript"/>
        </w:rPr>
        <w:t>2,3</w:t>
      </w:r>
      <w:r w:rsidRPr="00E97ED3">
        <w:rPr>
          <w:rFonts w:ascii="Times New Roman" w:hAnsi="Times New Roman"/>
        </w:rPr>
        <w:t>, MSc; Daniel P.A. Clark</w:t>
      </w:r>
      <w:r w:rsidRPr="00E97ED3">
        <w:rPr>
          <w:rFonts w:ascii="Times New Roman" w:hAnsi="Times New Roman"/>
          <w:vertAlign w:val="superscript"/>
        </w:rPr>
        <w:t>4</w:t>
      </w:r>
      <w:r w:rsidRPr="00E97ED3">
        <w:rPr>
          <w:rFonts w:ascii="Times New Roman" w:hAnsi="Times New Roman"/>
        </w:rPr>
        <w:t>, PhD; Henrik Zetterberg</w:t>
      </w:r>
      <w:r w:rsidRPr="00E97ED3">
        <w:rPr>
          <w:rFonts w:ascii="Times New Roman" w:hAnsi="Times New Roman"/>
          <w:vertAlign w:val="superscript"/>
        </w:rPr>
        <w:t>5,6,7,8</w:t>
      </w:r>
      <w:r w:rsidRPr="00E97ED3">
        <w:rPr>
          <w:rFonts w:ascii="Times New Roman" w:hAnsi="Times New Roman"/>
        </w:rPr>
        <w:t>, MD, PhD; Kaj Blennow</w:t>
      </w:r>
      <w:r w:rsidRPr="00E97ED3">
        <w:rPr>
          <w:rFonts w:ascii="Times New Roman" w:hAnsi="Times New Roman"/>
          <w:vertAlign w:val="superscript"/>
        </w:rPr>
        <w:t>5,6</w:t>
      </w:r>
      <w:r w:rsidRPr="00E97ED3">
        <w:rPr>
          <w:rFonts w:ascii="Times New Roman" w:hAnsi="Times New Roman"/>
        </w:rPr>
        <w:t>, MD, PhD; Marcel M. Verbeek, PhD</w:t>
      </w:r>
      <w:r w:rsidRPr="00E97ED3">
        <w:rPr>
          <w:rFonts w:ascii="Times New Roman" w:hAnsi="Times New Roman"/>
          <w:vertAlign w:val="superscript"/>
        </w:rPr>
        <w:t>9</w:t>
      </w:r>
      <w:r w:rsidRPr="00E97ED3">
        <w:rPr>
          <w:rFonts w:ascii="Times New Roman" w:hAnsi="Times New Roman"/>
        </w:rPr>
        <w:t>; and Nunzio Pomara, MD</w:t>
      </w:r>
      <w:r w:rsidRPr="00E97ED3">
        <w:rPr>
          <w:rFonts w:ascii="Times New Roman" w:hAnsi="Times New Roman"/>
          <w:vertAlign w:val="superscript"/>
        </w:rPr>
        <w:t>2,10</w:t>
      </w:r>
    </w:p>
    <w:p w14:paraId="76E476E8" w14:textId="77777777" w:rsidR="005E42F2" w:rsidRPr="00E97ED3" w:rsidRDefault="005E42F2" w:rsidP="00E50158">
      <w:pPr>
        <w:tabs>
          <w:tab w:val="center" w:pos="4680"/>
          <w:tab w:val="right" w:pos="9340"/>
        </w:tabs>
        <w:spacing w:line="480" w:lineRule="auto"/>
        <w:rPr>
          <w:rFonts w:ascii="Times New Roman" w:hAnsi="Times New Roman"/>
        </w:rPr>
      </w:pPr>
    </w:p>
    <w:p w14:paraId="35B29AD8" w14:textId="3FEF45A6" w:rsidR="005E42F2" w:rsidRPr="00E97ED3" w:rsidRDefault="005E42F2" w:rsidP="00E50158">
      <w:pPr>
        <w:spacing w:line="480" w:lineRule="auto"/>
        <w:rPr>
          <w:rFonts w:ascii="Times New Roman" w:hAnsi="Times New Roman"/>
        </w:rPr>
      </w:pPr>
      <w:r w:rsidRPr="00E97ED3">
        <w:rPr>
          <w:rFonts w:ascii="Times New Roman" w:hAnsi="Times New Roman"/>
          <w:vertAlign w:val="superscript"/>
        </w:rPr>
        <w:t>1</w:t>
      </w:r>
      <w:r w:rsidRPr="00E97ED3">
        <w:rPr>
          <w:rFonts w:ascii="Times New Roman" w:hAnsi="Times New Roman"/>
        </w:rPr>
        <w:t xml:space="preserve"> School of Psychology, Liverpool John Moores University, Liverpool, UK</w:t>
      </w:r>
    </w:p>
    <w:p w14:paraId="594FB830" w14:textId="73AEA3D7" w:rsidR="00D8203A" w:rsidRPr="00E97ED3" w:rsidRDefault="00D8203A" w:rsidP="00E50158">
      <w:pPr>
        <w:spacing w:line="480" w:lineRule="auto"/>
        <w:rPr>
          <w:rFonts w:ascii="Times New Roman" w:hAnsi="Times New Roman"/>
        </w:rPr>
      </w:pPr>
      <w:r w:rsidRPr="00E97ED3">
        <w:rPr>
          <w:rFonts w:ascii="Times New Roman" w:hAnsi="Times New Roman"/>
          <w:vertAlign w:val="superscript"/>
        </w:rPr>
        <w:t xml:space="preserve">2 </w:t>
      </w:r>
      <w:r w:rsidRPr="00E97ED3">
        <w:rPr>
          <w:rFonts w:ascii="Times New Roman" w:hAnsi="Times New Roman"/>
        </w:rPr>
        <w:t>Nathan Kline Institute for Psychiatric Research, Orangeburg, NY, USA; Department of Psychiatry, School of Medicine, New York University, New York City, NY, USA</w:t>
      </w:r>
    </w:p>
    <w:p w14:paraId="321C9BF3" w14:textId="77777777" w:rsidR="001530F6" w:rsidRPr="00E97ED3" w:rsidRDefault="001530F6" w:rsidP="001530F6">
      <w:pPr>
        <w:spacing w:line="480" w:lineRule="auto"/>
        <w:rPr>
          <w:rFonts w:ascii="Times New Roman" w:hAnsi="Times New Roman"/>
          <w:shd w:val="clear" w:color="auto" w:fill="FFFF00"/>
        </w:rPr>
      </w:pPr>
      <w:r w:rsidRPr="00E97ED3">
        <w:rPr>
          <w:rFonts w:ascii="Times New Roman" w:hAnsi="Times New Roman"/>
          <w:vertAlign w:val="superscript"/>
        </w:rPr>
        <w:t xml:space="preserve">3 </w:t>
      </w:r>
      <w:r w:rsidRPr="00E97ED3">
        <w:rPr>
          <w:rFonts w:ascii="Times New Roman" w:hAnsi="Times New Roman"/>
        </w:rPr>
        <w:t>Department of Psychology, The Graduate Center, City University of New York, New York City, NY, USA</w:t>
      </w:r>
    </w:p>
    <w:p w14:paraId="1FEB0DFD" w14:textId="1E2E5CE6" w:rsidR="005E42F2" w:rsidRPr="00E97ED3" w:rsidRDefault="00D8203A" w:rsidP="00E50158">
      <w:pPr>
        <w:spacing w:line="480" w:lineRule="auto"/>
        <w:rPr>
          <w:rFonts w:ascii="Times New Roman" w:hAnsi="Times New Roman"/>
        </w:rPr>
      </w:pPr>
      <w:r w:rsidRPr="00E97ED3">
        <w:rPr>
          <w:rFonts w:ascii="Times New Roman" w:hAnsi="Times New Roman"/>
          <w:vertAlign w:val="superscript"/>
        </w:rPr>
        <w:t>4</w:t>
      </w:r>
      <w:r w:rsidR="005E42F2" w:rsidRPr="00E97ED3">
        <w:rPr>
          <w:rFonts w:ascii="Times New Roman" w:hAnsi="Times New Roman"/>
        </w:rPr>
        <w:t xml:space="preserve"> Department of Psychology, Liverpool Hope University, Liverpool, UK </w:t>
      </w:r>
    </w:p>
    <w:p w14:paraId="0216D0F3" w14:textId="2DD4393B" w:rsidR="001D7421" w:rsidRPr="00E97ED3" w:rsidRDefault="00D8203A" w:rsidP="001D7421">
      <w:pPr>
        <w:spacing w:line="480" w:lineRule="auto"/>
        <w:rPr>
          <w:rFonts w:ascii="Times New Roman" w:hAnsi="Times New Roman"/>
        </w:rPr>
      </w:pPr>
      <w:r w:rsidRPr="00E97ED3">
        <w:rPr>
          <w:rFonts w:ascii="Times New Roman" w:hAnsi="Times New Roman"/>
          <w:vertAlign w:val="superscript"/>
        </w:rPr>
        <w:t>5</w:t>
      </w:r>
      <w:r w:rsidR="001D7421" w:rsidRPr="00E97ED3">
        <w:rPr>
          <w:rFonts w:ascii="Times New Roman" w:hAnsi="Times New Roman"/>
        </w:rPr>
        <w:t xml:space="preserve"> Clinical Neurochemistry Laboratory, Sahlgrenska University Hospital, Mölndal, Sweden</w:t>
      </w:r>
    </w:p>
    <w:p w14:paraId="405AADC1" w14:textId="5B2DDA84" w:rsidR="001D7421" w:rsidRPr="00E97ED3" w:rsidRDefault="00D8203A" w:rsidP="001D7421">
      <w:pPr>
        <w:spacing w:line="480" w:lineRule="auto"/>
        <w:rPr>
          <w:rFonts w:ascii="Times New Roman" w:hAnsi="Times New Roman"/>
        </w:rPr>
      </w:pPr>
      <w:r w:rsidRPr="00E97ED3">
        <w:rPr>
          <w:rFonts w:ascii="Times New Roman" w:hAnsi="Times New Roman"/>
          <w:vertAlign w:val="superscript"/>
        </w:rPr>
        <w:t>6</w:t>
      </w:r>
      <w:r w:rsidR="001D7421" w:rsidRPr="00E97ED3">
        <w:rPr>
          <w:rFonts w:ascii="Times New Roman" w:hAnsi="Times New Roman"/>
          <w:vertAlign w:val="superscript"/>
        </w:rPr>
        <w:t xml:space="preserve"> </w:t>
      </w:r>
      <w:r w:rsidR="001D7421" w:rsidRPr="00E97ED3">
        <w:rPr>
          <w:rFonts w:ascii="Times New Roman" w:hAnsi="Times New Roman"/>
        </w:rPr>
        <w:t>Institute of Neuroscience and Physiology, Department of Psychiatry and Neurochemistry, The Sahlgrenska Academy, University of Gothenburg, Mölndal, Sweden</w:t>
      </w:r>
    </w:p>
    <w:p w14:paraId="71C896C9" w14:textId="78EF31B0" w:rsidR="001D7421" w:rsidRPr="00E97ED3" w:rsidRDefault="00D8203A" w:rsidP="001D7421">
      <w:pPr>
        <w:spacing w:line="480" w:lineRule="auto"/>
        <w:rPr>
          <w:rFonts w:ascii="Times New Roman" w:hAnsi="Times New Roman"/>
        </w:rPr>
      </w:pPr>
      <w:r w:rsidRPr="00E97ED3">
        <w:rPr>
          <w:rFonts w:ascii="Times New Roman" w:hAnsi="Times New Roman"/>
          <w:vertAlign w:val="superscript"/>
        </w:rPr>
        <w:t>7</w:t>
      </w:r>
      <w:r w:rsidR="001D7421" w:rsidRPr="00E97ED3">
        <w:rPr>
          <w:rFonts w:ascii="Times New Roman" w:hAnsi="Times New Roman"/>
          <w:vertAlign w:val="superscript"/>
        </w:rPr>
        <w:t xml:space="preserve"> </w:t>
      </w:r>
      <w:r w:rsidR="001D7421" w:rsidRPr="00E97ED3">
        <w:rPr>
          <w:rFonts w:ascii="Times New Roman" w:hAnsi="Times New Roman"/>
        </w:rPr>
        <w:t xml:space="preserve">Department of </w:t>
      </w:r>
      <w:r w:rsidR="005853B0" w:rsidRPr="00E97ED3">
        <w:rPr>
          <w:rFonts w:ascii="Times New Roman" w:hAnsi="Times New Roman"/>
        </w:rPr>
        <w:t>Neurodegenerative Disease</w:t>
      </w:r>
      <w:r w:rsidR="001D7421" w:rsidRPr="00E97ED3">
        <w:rPr>
          <w:rFonts w:ascii="Times New Roman" w:hAnsi="Times New Roman"/>
        </w:rPr>
        <w:t>, UCL Institute of Neurology, Queen Square, London, UK</w:t>
      </w:r>
    </w:p>
    <w:p w14:paraId="2658032C" w14:textId="4F3B45F0" w:rsidR="00243AC4" w:rsidRPr="00E97ED3" w:rsidRDefault="00D8203A" w:rsidP="00243AC4">
      <w:pPr>
        <w:spacing w:line="480" w:lineRule="auto"/>
        <w:rPr>
          <w:rFonts w:ascii="Times New Roman" w:hAnsi="Times New Roman"/>
        </w:rPr>
      </w:pPr>
      <w:r w:rsidRPr="00E97ED3">
        <w:rPr>
          <w:rFonts w:ascii="Times New Roman" w:hAnsi="Times New Roman"/>
          <w:vertAlign w:val="superscript"/>
        </w:rPr>
        <w:t>8</w:t>
      </w:r>
      <w:r w:rsidR="001D7421" w:rsidRPr="00E97ED3">
        <w:rPr>
          <w:rFonts w:ascii="Times New Roman" w:hAnsi="Times New Roman"/>
          <w:vertAlign w:val="superscript"/>
        </w:rPr>
        <w:t xml:space="preserve"> </w:t>
      </w:r>
      <w:r w:rsidR="001D7421" w:rsidRPr="00E97ED3">
        <w:rPr>
          <w:rFonts w:ascii="Times New Roman" w:hAnsi="Times New Roman"/>
        </w:rPr>
        <w:t>UK Dementia Research Institute, London, UK</w:t>
      </w:r>
    </w:p>
    <w:p w14:paraId="0C09F1F8" w14:textId="2E35AD9D" w:rsidR="00207421" w:rsidRPr="00E97ED3" w:rsidRDefault="00D8203A" w:rsidP="00243AC4">
      <w:pPr>
        <w:spacing w:line="480" w:lineRule="auto"/>
        <w:rPr>
          <w:rFonts w:ascii="Times New Roman" w:hAnsi="Times New Roman"/>
        </w:rPr>
      </w:pPr>
      <w:r w:rsidRPr="00E97ED3">
        <w:rPr>
          <w:rFonts w:ascii="Times New Roman" w:hAnsi="Times New Roman"/>
          <w:vertAlign w:val="superscript"/>
        </w:rPr>
        <w:t>9</w:t>
      </w:r>
      <w:r w:rsidR="00243AC4" w:rsidRPr="00E97ED3">
        <w:rPr>
          <w:rFonts w:ascii="Times New Roman" w:hAnsi="Times New Roman"/>
          <w:vertAlign w:val="superscript"/>
        </w:rPr>
        <w:t xml:space="preserve"> </w:t>
      </w:r>
      <w:r w:rsidR="00243AC4" w:rsidRPr="00E97ED3">
        <w:rPr>
          <w:rFonts w:ascii="Times New Roman" w:hAnsi="Times New Roman"/>
          <w:lang w:val="en-US"/>
        </w:rPr>
        <w:t xml:space="preserve">Radboud </w:t>
      </w:r>
      <w:r w:rsidR="00207421" w:rsidRPr="00E97ED3">
        <w:rPr>
          <w:rFonts w:ascii="Times New Roman" w:hAnsi="Times New Roman"/>
          <w:lang w:val="en-US"/>
        </w:rPr>
        <w:t>University Medical Center, Donders Institute for Brain, Cognition and Behaviour, Departments of Neurology and Laboratory Medicine, Alzheimer Centre, Nijmegen, The Netherlands</w:t>
      </w:r>
    </w:p>
    <w:p w14:paraId="4BADBD3B" w14:textId="29B8A3AC" w:rsidR="005E42F2" w:rsidRPr="00E97ED3" w:rsidRDefault="00D8203A" w:rsidP="005D344B">
      <w:pPr>
        <w:spacing w:line="480" w:lineRule="auto"/>
        <w:rPr>
          <w:rFonts w:ascii="Times New Roman" w:hAnsi="Times New Roman"/>
        </w:rPr>
      </w:pPr>
      <w:r w:rsidRPr="00E97ED3">
        <w:rPr>
          <w:rFonts w:ascii="Times New Roman" w:hAnsi="Times New Roman"/>
          <w:vertAlign w:val="superscript"/>
        </w:rPr>
        <w:t>10</w:t>
      </w:r>
      <w:r w:rsidR="00243AC4" w:rsidRPr="00E97ED3">
        <w:rPr>
          <w:rFonts w:ascii="Times New Roman" w:hAnsi="Times New Roman"/>
          <w:vertAlign w:val="superscript"/>
        </w:rPr>
        <w:t xml:space="preserve"> </w:t>
      </w:r>
      <w:r w:rsidR="005E42F2" w:rsidRPr="00E97ED3">
        <w:rPr>
          <w:rFonts w:ascii="Times New Roman" w:hAnsi="Times New Roman"/>
        </w:rPr>
        <w:t xml:space="preserve">Department of Psychiatry, School of Medicine, New York University, New York City, NY, USA </w:t>
      </w:r>
    </w:p>
    <w:p w14:paraId="635735EA" w14:textId="77777777" w:rsidR="005E42F2" w:rsidRPr="00E97ED3" w:rsidRDefault="005E42F2" w:rsidP="00E50158">
      <w:pPr>
        <w:spacing w:line="480" w:lineRule="auto"/>
        <w:rPr>
          <w:rFonts w:ascii="Times New Roman" w:hAnsi="Times New Roman"/>
        </w:rPr>
      </w:pPr>
    </w:p>
    <w:p w14:paraId="09B65E49" w14:textId="77777777" w:rsidR="005E42F2" w:rsidRPr="00E97ED3" w:rsidRDefault="005E42F2" w:rsidP="00CA1EAE">
      <w:pPr>
        <w:spacing w:line="480" w:lineRule="auto"/>
        <w:rPr>
          <w:rFonts w:ascii="Times New Roman" w:hAnsi="Times New Roman"/>
          <w:bCs/>
        </w:rPr>
      </w:pPr>
      <w:r w:rsidRPr="00E97ED3">
        <w:rPr>
          <w:rFonts w:ascii="Times New Roman" w:hAnsi="Times New Roman"/>
          <w:bCs/>
        </w:rPr>
        <w:lastRenderedPageBreak/>
        <w:t>Corresponding Author:</w:t>
      </w:r>
    </w:p>
    <w:p w14:paraId="344BCE91" w14:textId="77777777" w:rsidR="005E42F2" w:rsidRPr="00E97ED3" w:rsidRDefault="005E42F2" w:rsidP="00DC3BD7">
      <w:pPr>
        <w:spacing w:line="360" w:lineRule="auto"/>
        <w:rPr>
          <w:rFonts w:ascii="Times New Roman" w:hAnsi="Times New Roman"/>
        </w:rPr>
      </w:pPr>
      <w:r w:rsidRPr="00E97ED3">
        <w:rPr>
          <w:rFonts w:ascii="Times New Roman" w:hAnsi="Times New Roman"/>
        </w:rPr>
        <w:t>Davide Bruno, PhD</w:t>
      </w:r>
    </w:p>
    <w:p w14:paraId="5B40656B" w14:textId="0E0012ED" w:rsidR="005E42F2" w:rsidRPr="00E97ED3" w:rsidRDefault="005E42F2" w:rsidP="00DC3BD7">
      <w:pPr>
        <w:spacing w:line="360" w:lineRule="auto"/>
        <w:rPr>
          <w:rFonts w:ascii="Times New Roman" w:hAnsi="Times New Roman"/>
        </w:rPr>
      </w:pPr>
      <w:r w:rsidRPr="00E97ED3">
        <w:rPr>
          <w:rFonts w:ascii="Times New Roman" w:hAnsi="Times New Roman"/>
        </w:rPr>
        <w:t>School of Psychology, Liverpool John Moores University</w:t>
      </w:r>
    </w:p>
    <w:p w14:paraId="507FA46B" w14:textId="77777777" w:rsidR="005E42F2" w:rsidRPr="00E97ED3" w:rsidRDefault="005E42F2" w:rsidP="00DC3BD7">
      <w:pPr>
        <w:spacing w:line="360" w:lineRule="auto"/>
        <w:rPr>
          <w:rFonts w:ascii="Times New Roman" w:hAnsi="Times New Roman"/>
        </w:rPr>
      </w:pPr>
      <w:smartTag w:uri="urn:schemas-microsoft-com:office:smarttags" w:element="place">
        <w:smartTag w:uri="urn:schemas-microsoft-com:office:smarttags" w:element="City">
          <w:r w:rsidRPr="00E97ED3">
            <w:rPr>
              <w:rFonts w:ascii="Times New Roman" w:hAnsi="Times New Roman"/>
            </w:rPr>
            <w:t>Liverpool</w:t>
          </w:r>
        </w:smartTag>
        <w:r w:rsidRPr="00E97ED3">
          <w:rPr>
            <w:rFonts w:ascii="Times New Roman" w:hAnsi="Times New Roman"/>
          </w:rPr>
          <w:t xml:space="preserve">, </w:t>
        </w:r>
        <w:smartTag w:uri="urn:schemas-microsoft-com:office:smarttags" w:element="country-region">
          <w:r w:rsidRPr="00E97ED3">
            <w:rPr>
              <w:rFonts w:ascii="Times New Roman" w:hAnsi="Times New Roman"/>
            </w:rPr>
            <w:t>UK</w:t>
          </w:r>
        </w:smartTag>
      </w:smartTag>
    </w:p>
    <w:p w14:paraId="4BD381F3" w14:textId="77777777" w:rsidR="005E42F2" w:rsidRPr="00E97ED3" w:rsidRDefault="005E42F2" w:rsidP="00DC3BD7">
      <w:pPr>
        <w:spacing w:line="360" w:lineRule="auto"/>
        <w:rPr>
          <w:rFonts w:ascii="Times New Roman" w:hAnsi="Times New Roman"/>
        </w:rPr>
      </w:pPr>
      <w:r w:rsidRPr="00E97ED3">
        <w:rPr>
          <w:rFonts w:ascii="Times New Roman" w:hAnsi="Times New Roman"/>
        </w:rPr>
        <w:t>Phone: +44 (0)151 904 6320</w:t>
      </w:r>
    </w:p>
    <w:p w14:paraId="0C2D2265" w14:textId="77777777" w:rsidR="005E42F2" w:rsidRPr="00E97ED3" w:rsidRDefault="005E42F2" w:rsidP="00DC3BD7">
      <w:pPr>
        <w:spacing w:line="360" w:lineRule="auto"/>
        <w:rPr>
          <w:rFonts w:ascii="Times New Roman" w:hAnsi="Times New Roman"/>
        </w:rPr>
      </w:pPr>
      <w:r w:rsidRPr="00E97ED3">
        <w:rPr>
          <w:rFonts w:ascii="Times New Roman" w:hAnsi="Times New Roman"/>
        </w:rPr>
        <w:t xml:space="preserve">Email: </w:t>
      </w:r>
      <w:r w:rsidRPr="00E97ED3">
        <w:rPr>
          <w:rStyle w:val="Hyperlink0"/>
          <w:rFonts w:ascii="Times New Roman" w:hAnsi="Times New Roman"/>
          <w:color w:val="auto"/>
        </w:rPr>
        <w:t>d.bruno@ljmu.ac.uk</w:t>
      </w:r>
    </w:p>
    <w:p w14:paraId="0ABF4578" w14:textId="294D9600" w:rsidR="00E81057" w:rsidRPr="00E97ED3" w:rsidRDefault="00E81057" w:rsidP="00E81057">
      <w:pPr>
        <w:autoSpaceDE w:val="0"/>
        <w:autoSpaceDN w:val="0"/>
        <w:adjustRightInd w:val="0"/>
        <w:spacing w:after="0" w:line="480" w:lineRule="auto"/>
        <w:rPr>
          <w:rFonts w:ascii="Times New Roman" w:hAnsi="Times New Roman"/>
          <w:b/>
        </w:rPr>
      </w:pPr>
    </w:p>
    <w:p w14:paraId="20804243" w14:textId="10C8D4D9" w:rsidR="00E81057" w:rsidRPr="00E97ED3" w:rsidRDefault="00E81057" w:rsidP="00E81057">
      <w:pPr>
        <w:autoSpaceDE w:val="0"/>
        <w:autoSpaceDN w:val="0"/>
        <w:adjustRightInd w:val="0"/>
        <w:spacing w:after="0" w:line="480" w:lineRule="auto"/>
        <w:rPr>
          <w:rFonts w:ascii="Times New Roman" w:hAnsi="Times New Roman"/>
          <w:b/>
        </w:rPr>
      </w:pPr>
    </w:p>
    <w:p w14:paraId="039A50EB" w14:textId="09E21085" w:rsidR="00E81057" w:rsidRPr="00E97ED3" w:rsidRDefault="00E81057" w:rsidP="00E81057">
      <w:pPr>
        <w:autoSpaceDE w:val="0"/>
        <w:autoSpaceDN w:val="0"/>
        <w:adjustRightInd w:val="0"/>
        <w:spacing w:after="0" w:line="480" w:lineRule="auto"/>
        <w:rPr>
          <w:rFonts w:ascii="Times New Roman" w:hAnsi="Times New Roman"/>
        </w:rPr>
      </w:pPr>
      <w:r w:rsidRPr="00E97ED3">
        <w:rPr>
          <w:rFonts w:ascii="Times New Roman" w:hAnsi="Times New Roman"/>
        </w:rPr>
        <w:t xml:space="preserve">Keywords: α-synuclein, late-life major depressive disorder, neurogranin, memory </w:t>
      </w:r>
    </w:p>
    <w:p w14:paraId="40A07504" w14:textId="00EF6177" w:rsidR="008C7058" w:rsidRPr="00E97ED3" w:rsidRDefault="00791D60" w:rsidP="00E81057">
      <w:pPr>
        <w:autoSpaceDE w:val="0"/>
        <w:autoSpaceDN w:val="0"/>
        <w:adjustRightInd w:val="0"/>
        <w:spacing w:after="0" w:line="480" w:lineRule="auto"/>
        <w:rPr>
          <w:rFonts w:ascii="Times New Roman" w:hAnsi="Times New Roman"/>
        </w:rPr>
      </w:pPr>
      <w:r w:rsidRPr="00E97ED3">
        <w:rPr>
          <w:rFonts w:ascii="Times New Roman" w:hAnsi="Times New Roman"/>
        </w:rPr>
        <w:t>Word count: 2091</w:t>
      </w:r>
      <w:r w:rsidR="008C7058" w:rsidRPr="00E97ED3">
        <w:rPr>
          <w:rFonts w:ascii="Times New Roman" w:hAnsi="Times New Roman"/>
        </w:rPr>
        <w:t xml:space="preserve"> </w:t>
      </w:r>
    </w:p>
    <w:p w14:paraId="54C5BB92" w14:textId="77777777" w:rsidR="005E42F2" w:rsidRPr="00E97ED3" w:rsidRDefault="005E42F2">
      <w:pPr>
        <w:rPr>
          <w:rFonts w:ascii="Times New Roman" w:hAnsi="Times New Roman"/>
        </w:rPr>
      </w:pPr>
      <w:bookmarkStart w:id="0" w:name="OLE_LINK6"/>
      <w:bookmarkEnd w:id="0"/>
      <w:r w:rsidRPr="00E97ED3">
        <w:rPr>
          <w:rFonts w:ascii="Times New Roman" w:hAnsi="Times New Roman"/>
        </w:rPr>
        <w:br w:type="page"/>
      </w:r>
    </w:p>
    <w:p w14:paraId="40B9A4A2" w14:textId="77777777" w:rsidR="005E42F2" w:rsidRPr="00E97ED3" w:rsidRDefault="005E42F2" w:rsidP="00041B6F">
      <w:pPr>
        <w:spacing w:after="0" w:line="480" w:lineRule="auto"/>
        <w:jc w:val="center"/>
        <w:rPr>
          <w:rFonts w:ascii="Times New Roman" w:hAnsi="Times New Roman"/>
        </w:rPr>
      </w:pPr>
      <w:r w:rsidRPr="00E97ED3">
        <w:rPr>
          <w:rFonts w:ascii="Times New Roman" w:hAnsi="Times New Roman"/>
        </w:rPr>
        <w:lastRenderedPageBreak/>
        <w:t>Abstract</w:t>
      </w:r>
    </w:p>
    <w:p w14:paraId="10B3B75D" w14:textId="3DFC3F13" w:rsidR="00195B6C" w:rsidRPr="00E97ED3" w:rsidRDefault="00195B6C" w:rsidP="00195B6C">
      <w:pPr>
        <w:spacing w:after="0" w:line="480" w:lineRule="auto"/>
        <w:rPr>
          <w:rFonts w:ascii="Times New Roman" w:hAnsi="Times New Roman"/>
        </w:rPr>
      </w:pPr>
      <w:r w:rsidRPr="00E97ED3">
        <w:rPr>
          <w:rFonts w:ascii="Times New Roman" w:hAnsi="Times New Roman"/>
        </w:rPr>
        <w:t xml:space="preserve">Major depressive disorder (MDD) in late life is linked to increased risk of subsequent dementia, but it is still unclear exactly what </w:t>
      </w:r>
      <w:r w:rsidR="00E715F0" w:rsidRPr="00E97ED3">
        <w:rPr>
          <w:rFonts w:ascii="Times New Roman" w:hAnsi="Times New Roman"/>
        </w:rPr>
        <w:t xml:space="preserve">pathophysiological </w:t>
      </w:r>
      <w:r w:rsidRPr="00E97ED3">
        <w:rPr>
          <w:rFonts w:ascii="Times New Roman" w:hAnsi="Times New Roman"/>
        </w:rPr>
        <w:t xml:space="preserve">mechanisms underpin this link. A </w:t>
      </w:r>
      <w:r w:rsidR="00E715F0" w:rsidRPr="00E97ED3">
        <w:rPr>
          <w:rFonts w:ascii="Times New Roman" w:hAnsi="Times New Roman"/>
        </w:rPr>
        <w:t>potential mechanism related to</w:t>
      </w:r>
      <w:r w:rsidRPr="00E97ED3">
        <w:rPr>
          <w:rFonts w:ascii="Times New Roman" w:hAnsi="Times New Roman"/>
        </w:rPr>
        <w:t xml:space="preserve"> elevated risk of dementia in MDD is increased levels of α-synuclein (α-Syn), a protein found in presynaptic neuronal terminals. In this study, we examined cerebrospinal fluid (CSF) levels of α-Syn in conjunction with biomarkers of neurodegeneration (amyloid-β 42, total and phospho tau) and synaptic dysfunction (neurogranin), and measures of memory ability, in 27 cognitively intact older individuals with MDD and 19 controls. Our results show that CSF α-Syn levels did not significantly differ across depressed and control participants, but α-Syn was directly associated with neurogranin levels, and indirectly linked to poorer memory ability. All in all, we found that α-Syn may be implicated in the association between late life MDD and synaptic dysfunction, although further research is needed to confirm these results. </w:t>
      </w:r>
    </w:p>
    <w:p w14:paraId="5B82F709" w14:textId="1B57C1D5" w:rsidR="001530F6" w:rsidRPr="00E97ED3" w:rsidRDefault="001530F6" w:rsidP="001530F6">
      <w:pPr>
        <w:spacing w:after="0" w:line="480" w:lineRule="auto"/>
        <w:rPr>
          <w:rFonts w:ascii="Times New Roman" w:hAnsi="Times New Roman"/>
        </w:rPr>
      </w:pPr>
      <w:r w:rsidRPr="00E97ED3">
        <w:rPr>
          <w:rFonts w:ascii="Times New Roman" w:hAnsi="Times New Roman"/>
        </w:rPr>
        <w:t xml:space="preserve">  </w:t>
      </w:r>
    </w:p>
    <w:p w14:paraId="6DF72ADA" w14:textId="77777777" w:rsidR="005E42F2" w:rsidRPr="00E97ED3" w:rsidRDefault="005E42F2" w:rsidP="00FD6D15">
      <w:pPr>
        <w:autoSpaceDE w:val="0"/>
        <w:autoSpaceDN w:val="0"/>
        <w:adjustRightInd w:val="0"/>
        <w:spacing w:after="0" w:line="480" w:lineRule="auto"/>
        <w:ind w:firstLine="567"/>
        <w:rPr>
          <w:rFonts w:ascii="Times New Roman" w:hAnsi="Times New Roman"/>
        </w:rPr>
      </w:pPr>
    </w:p>
    <w:p w14:paraId="3E33E468" w14:textId="77777777" w:rsidR="005E42F2" w:rsidRPr="00E97ED3" w:rsidRDefault="005E42F2" w:rsidP="00A727CF">
      <w:pPr>
        <w:jc w:val="center"/>
        <w:rPr>
          <w:rFonts w:ascii="Times New Roman" w:hAnsi="Times New Roman"/>
        </w:rPr>
      </w:pPr>
    </w:p>
    <w:p w14:paraId="6EF97CF3" w14:textId="77777777" w:rsidR="005E42F2" w:rsidRPr="00E97ED3" w:rsidRDefault="005E42F2" w:rsidP="00A727CF">
      <w:pPr>
        <w:rPr>
          <w:rFonts w:ascii="Times New Roman" w:hAnsi="Times New Roman"/>
        </w:rPr>
      </w:pPr>
    </w:p>
    <w:p w14:paraId="743B6026" w14:textId="77777777" w:rsidR="005E42F2" w:rsidRPr="00E97ED3" w:rsidRDefault="005E42F2" w:rsidP="00A727CF">
      <w:pPr>
        <w:rPr>
          <w:rFonts w:ascii="Times New Roman" w:hAnsi="Times New Roman"/>
        </w:rPr>
      </w:pPr>
    </w:p>
    <w:p w14:paraId="24E484F9" w14:textId="77777777" w:rsidR="005E42F2" w:rsidRPr="00E97ED3" w:rsidRDefault="005E42F2">
      <w:pPr>
        <w:rPr>
          <w:rFonts w:ascii="Times New Roman" w:hAnsi="Times New Roman"/>
          <w:b/>
        </w:rPr>
      </w:pPr>
      <w:r w:rsidRPr="00E97ED3">
        <w:rPr>
          <w:rFonts w:ascii="Times New Roman" w:hAnsi="Times New Roman"/>
          <w:b/>
        </w:rPr>
        <w:br w:type="page"/>
      </w:r>
    </w:p>
    <w:p w14:paraId="4EDED19B" w14:textId="77777777" w:rsidR="00AB55B7" w:rsidRPr="00E97ED3" w:rsidRDefault="00AB55B7" w:rsidP="00AB55B7">
      <w:pPr>
        <w:autoSpaceDE w:val="0"/>
        <w:autoSpaceDN w:val="0"/>
        <w:adjustRightInd w:val="0"/>
        <w:spacing w:after="0" w:line="480" w:lineRule="auto"/>
        <w:jc w:val="center"/>
        <w:rPr>
          <w:rFonts w:ascii="Times New Roman" w:hAnsi="Times New Roman"/>
        </w:rPr>
      </w:pPr>
      <w:r w:rsidRPr="00E97ED3">
        <w:rPr>
          <w:rFonts w:ascii="Times New Roman" w:hAnsi="Times New Roman"/>
        </w:rPr>
        <w:lastRenderedPageBreak/>
        <w:t>Introduction</w:t>
      </w:r>
    </w:p>
    <w:p w14:paraId="12228CB3" w14:textId="77777777" w:rsidR="00E715F0" w:rsidRPr="00E97ED3" w:rsidRDefault="00AB55B7" w:rsidP="00E715F0">
      <w:pPr>
        <w:spacing w:after="0" w:line="480" w:lineRule="auto"/>
        <w:ind w:firstLine="567"/>
        <w:rPr>
          <w:rFonts w:ascii="Times New Roman" w:hAnsi="Times New Roman"/>
        </w:rPr>
      </w:pPr>
      <w:r w:rsidRPr="00E97ED3">
        <w:rPr>
          <w:rFonts w:ascii="Times New Roman" w:hAnsi="Times New Roman"/>
        </w:rPr>
        <w:t xml:space="preserve">Links between depressive symptoms </w:t>
      </w:r>
      <w:r w:rsidR="00E715F0" w:rsidRPr="00E97ED3">
        <w:rPr>
          <w:rFonts w:ascii="Times New Roman" w:hAnsi="Times New Roman"/>
        </w:rPr>
        <w:t xml:space="preserve">in late life </w:t>
      </w:r>
      <w:r w:rsidRPr="00E97ED3">
        <w:rPr>
          <w:rFonts w:ascii="Times New Roman" w:hAnsi="Times New Roman"/>
        </w:rPr>
        <w:t xml:space="preserve">and dementing illnesses, including Alzheimer’s disease (AD), have been reported in several studies (1-4). Individuals with depression have been reported to carry more than double the risk of converting to </w:t>
      </w:r>
      <w:r w:rsidR="00E715F0" w:rsidRPr="00E97ED3">
        <w:rPr>
          <w:rFonts w:ascii="Times New Roman" w:hAnsi="Times New Roman"/>
        </w:rPr>
        <w:t xml:space="preserve">AD, diagnosed on clinical grounds, than controls (5), while individuals with mild cognitive impairment and dementia are more than twice as likely as controls to be depressed (6). However, understanding the exact nature of this relationship has proven a challenging task. Not all individuals with late-life depressive symptoms will develop dementia and for those who do, it is not always clear whether the depressive symptoms are a consequence of dementia, or contributing to its emergence. </w:t>
      </w:r>
    </w:p>
    <w:p w14:paraId="5E56ECFE" w14:textId="77777777" w:rsidR="00E715F0" w:rsidRPr="00E97ED3" w:rsidRDefault="00E715F0" w:rsidP="00E715F0">
      <w:pPr>
        <w:spacing w:after="0" w:line="480" w:lineRule="auto"/>
        <w:ind w:firstLine="567"/>
        <w:rPr>
          <w:rFonts w:ascii="Times New Roman" w:hAnsi="Times New Roman"/>
        </w:rPr>
      </w:pPr>
      <w:r w:rsidRPr="00E97ED3">
        <w:rPr>
          <w:rFonts w:ascii="Times New Roman" w:hAnsi="Times New Roman"/>
        </w:rPr>
        <w:t>In the past, we have proposed that a possible mediator of the link between late-life MDD and AD is the role played in the central nervous system by amyloid beta (Aβ). Pomara and Doraiswamy (7; see also 8) were first to suggest that chronic depression may lead to elevation of circulating Aβ levels independently of AD, specifically via increased platelet activation. In turn, due to the bidirectional receptor-mediated active transport of Aβ across the blood-brain barrier, increased circulating Aβ levels may result in higher brain concentration of the peptide. Consistent with this claim, we reported (4) that cerebrospinal fluid (CSF) levels of Aβ42, which are thought to inversely reflect brain amyloid deposits, were lower in older (at least 60 years of age), cognitively healthy individuals with MDD compared with controls. However, a later follow up study from our group (8) showed that, although reduced CSF Aβ42 levels remained sensitive to depressive symptoms, they tended to fluctuate longitudinally over a three-year span, and were not associated to cognitive health in subjects with late-life MDD.</w:t>
      </w:r>
    </w:p>
    <w:p w14:paraId="49E8ABA4" w14:textId="4E6F2705" w:rsidR="00AB55B7" w:rsidRPr="00E97ED3" w:rsidRDefault="00AB55B7" w:rsidP="00AB55B7">
      <w:pPr>
        <w:spacing w:after="0" w:line="480" w:lineRule="auto"/>
        <w:ind w:firstLine="567"/>
        <w:rPr>
          <w:rFonts w:ascii="Times New Roman" w:hAnsi="Times New Roman"/>
        </w:rPr>
      </w:pPr>
      <w:r w:rsidRPr="00E97ED3">
        <w:rPr>
          <w:rFonts w:ascii="Times New Roman" w:hAnsi="Times New Roman"/>
        </w:rPr>
        <w:t xml:space="preserve">An alternative, </w:t>
      </w:r>
      <w:r w:rsidR="00E715F0" w:rsidRPr="00E97ED3">
        <w:rPr>
          <w:rFonts w:ascii="Times New Roman" w:hAnsi="Times New Roman"/>
        </w:rPr>
        <w:t>or complementary</w:t>
      </w:r>
      <w:r w:rsidRPr="00E97ED3">
        <w:rPr>
          <w:rFonts w:ascii="Times New Roman" w:hAnsi="Times New Roman"/>
        </w:rPr>
        <w:t xml:space="preserve">, potential mechanism for increased risk of dementia in individuals with late life MDD is related to increased levels of α-synuclein (α-Syn). α-Syn is a pre-synaptic protein that is highly expressed in cortical and sub-cortical areas (9). The protein may aggregate into Lewy bodies, a pathological protein misfolding process that potentially may start in the gut and spread to the CNS (10). α-Syn aggregation in the brain is a core feature of Parkinson’s disease and dementia with Lewy bodies (DLB) (11), but it may be implicated also in the pathophysiology of depression, leading to alterations in dopaminergic and serotoninergic neurotransmission (12). A recent </w:t>
      </w:r>
      <w:r w:rsidRPr="00E97ED3">
        <w:rPr>
          <w:rFonts w:ascii="Times New Roman" w:hAnsi="Times New Roman"/>
        </w:rPr>
        <w:lastRenderedPageBreak/>
        <w:t xml:space="preserve">report looking at serum levels of α-Syn (13) showed that individuals with MDD had higher levels than controls, regardless of age. In turn, α-Syn has been found to associate with synaptic dysfunction, as determined by CSF neurogranin (Ng) concentration, in Parkinson’s disease (11), suggesting that α-Syn may also reflect or promote </w:t>
      </w:r>
      <w:r w:rsidR="00E715F0" w:rsidRPr="00E97ED3">
        <w:rPr>
          <w:rFonts w:ascii="Times New Roman" w:hAnsi="Times New Roman"/>
        </w:rPr>
        <w:t>synaptic dysfunction leading to cognitive</w:t>
      </w:r>
      <w:r w:rsidRPr="00E97ED3">
        <w:rPr>
          <w:rFonts w:ascii="Times New Roman" w:hAnsi="Times New Roman"/>
        </w:rPr>
        <w:t xml:space="preserve"> impairment. Finally, depression has been reported to be a risk factor for Parkinson’s disease (14). </w:t>
      </w:r>
    </w:p>
    <w:p w14:paraId="4943E20F" w14:textId="0617F97F" w:rsidR="00E715F0" w:rsidRPr="00E97ED3" w:rsidRDefault="00E715F0" w:rsidP="00E715F0">
      <w:pPr>
        <w:autoSpaceDE w:val="0"/>
        <w:autoSpaceDN w:val="0"/>
        <w:adjustRightInd w:val="0"/>
        <w:spacing w:after="0" w:line="480" w:lineRule="auto"/>
        <w:ind w:firstLine="567"/>
        <w:rPr>
          <w:rFonts w:ascii="Times New Roman" w:hAnsi="Times New Roman"/>
        </w:rPr>
      </w:pPr>
      <w:r w:rsidRPr="00E97ED3">
        <w:rPr>
          <w:rFonts w:ascii="Times New Roman" w:hAnsi="Times New Roman"/>
        </w:rPr>
        <w:t xml:space="preserve">Considering the evidence above, it may be possible that while Aβ may influence the severity of depression in late life (4, 8), and perhaps earlier, other mechanisms, namely mechanisms related to aggregation of α-Syn, are at play in affecting synaptic dysfunction and thereby cognitive decline. To test this hypothesis, we analysed CSF biomarkers in cognitively intact individuals with late life MDD and controls, and measured memory performance. We carried out cross-sectional analyses and correlations within each clinical group. The CSF biomarkers included in the analyses were α-Syn, the A/T/N biomarkers (15), Aβ42, total tau (T-tau) and phosphorylated tau (P-tau), and Ng. Memory performance was measured by </w:t>
      </w:r>
      <w:r w:rsidRPr="00E97ED3">
        <w:rPr>
          <w:rFonts w:ascii="Times New Roman" w:hAnsi="Times New Roman"/>
          <w:lang w:eastAsia="en-GB"/>
        </w:rPr>
        <w:t xml:space="preserve">Buschke Selective Reminding Test (BSRT) </w:t>
      </w:r>
      <w:r w:rsidRPr="00E97ED3">
        <w:rPr>
          <w:rFonts w:ascii="Times New Roman" w:hAnsi="Times New Roman"/>
        </w:rPr>
        <w:t xml:space="preserve">total recall and the recency ratio (16, 17). Our hypothesis was that higher levels of CFS α-Syn would be associated with increased CSF Ng (indexing more synaptic dysfunction) and poorer memory ability. </w:t>
      </w:r>
    </w:p>
    <w:p w14:paraId="3999C3C9" w14:textId="77777777" w:rsidR="005E42F2" w:rsidRPr="00E97ED3" w:rsidRDefault="005E42F2" w:rsidP="00DE03C6">
      <w:pPr>
        <w:autoSpaceDE w:val="0"/>
        <w:autoSpaceDN w:val="0"/>
        <w:adjustRightInd w:val="0"/>
        <w:spacing w:after="0" w:line="480" w:lineRule="auto"/>
        <w:jc w:val="center"/>
        <w:rPr>
          <w:rFonts w:ascii="Times New Roman" w:hAnsi="Times New Roman"/>
        </w:rPr>
      </w:pPr>
      <w:r w:rsidRPr="00E97ED3">
        <w:rPr>
          <w:rFonts w:ascii="Times New Roman" w:hAnsi="Times New Roman"/>
        </w:rPr>
        <w:t>Methods</w:t>
      </w:r>
    </w:p>
    <w:p w14:paraId="0B803B68" w14:textId="77777777" w:rsidR="002C4197" w:rsidRPr="00E97ED3" w:rsidRDefault="002C4197" w:rsidP="002C4197">
      <w:pPr>
        <w:autoSpaceDE w:val="0"/>
        <w:autoSpaceDN w:val="0"/>
        <w:adjustRightInd w:val="0"/>
        <w:spacing w:after="0" w:line="480" w:lineRule="auto"/>
        <w:rPr>
          <w:rFonts w:ascii="Times New Roman" w:hAnsi="Times New Roman"/>
          <w:lang w:eastAsia="en-GB"/>
        </w:rPr>
      </w:pPr>
      <w:r w:rsidRPr="00E97ED3">
        <w:rPr>
          <w:rFonts w:ascii="Times New Roman" w:hAnsi="Times New Roman"/>
          <w:i/>
        </w:rPr>
        <w:t>Participants</w:t>
      </w:r>
      <w:r w:rsidRPr="00E97ED3">
        <w:rPr>
          <w:rFonts w:ascii="Times New Roman" w:hAnsi="Times New Roman"/>
        </w:rPr>
        <w:t xml:space="preserve">. A total of </w:t>
      </w:r>
      <w:r w:rsidRPr="00E97ED3">
        <w:rPr>
          <w:rFonts w:ascii="Times New Roman" w:hAnsi="Times New Roman"/>
          <w:lang w:eastAsia="en-GB"/>
        </w:rPr>
        <w:t xml:space="preserve">133 participants were recruited initially, of whom 47 individuals allowed lumbar puncture for collection of CSF, presented no MRI evidence of confluent deep or periventricular white matter hyperintensities, and had a Mini-Mental State Examination (MMSE; 18) score of 28 or above were included in this study. Twenty-eight participants had a diagnosis of MDD, confirmed by a board-certified psychiatrist based on </w:t>
      </w:r>
      <w:r w:rsidRPr="00E97ED3">
        <w:rPr>
          <w:rFonts w:ascii="Times New Roman" w:hAnsi="Times New Roman"/>
        </w:rPr>
        <w:t xml:space="preserve">clinical evaluation and the Structured Clinical Interview for DSM-IV Axis I Disorders (SCID), and </w:t>
      </w:r>
      <w:r w:rsidRPr="00E97ED3">
        <w:rPr>
          <w:rFonts w:ascii="Times New Roman" w:hAnsi="Times New Roman"/>
          <w:lang w:eastAsia="en-GB"/>
        </w:rPr>
        <w:t xml:space="preserve">19 were healthy controls. No had history or symptoms of cognitive impairment. Demographic characteristics are summarised in Table 1 (see also 4). </w:t>
      </w:r>
      <w:r w:rsidRPr="00E97ED3">
        <w:rPr>
          <w:rFonts w:ascii="Times New Roman" w:hAnsi="Times New Roman"/>
        </w:rPr>
        <w:t>P</w:t>
      </w:r>
      <w:r w:rsidRPr="00E97ED3">
        <w:rPr>
          <w:rFonts w:ascii="Times New Roman" w:hAnsi="Times New Roman"/>
          <w:lang w:eastAsia="en-GB"/>
        </w:rPr>
        <w:t>articipants received up to $450.00 in compensation for their time.</w:t>
      </w:r>
    </w:p>
    <w:p w14:paraId="5C388771" w14:textId="4935466A" w:rsidR="005E42F2" w:rsidRPr="00E97ED3" w:rsidRDefault="005E42F2" w:rsidP="00D464D4">
      <w:pPr>
        <w:autoSpaceDE w:val="0"/>
        <w:autoSpaceDN w:val="0"/>
        <w:adjustRightInd w:val="0"/>
        <w:spacing w:after="0" w:line="480" w:lineRule="auto"/>
        <w:rPr>
          <w:rFonts w:ascii="Times New Roman" w:eastAsia="Arial Unicode MS" w:hAnsi="Times New Roman"/>
          <w:shd w:val="clear" w:color="auto" w:fill="FFFFFF"/>
        </w:rPr>
      </w:pPr>
      <w:r w:rsidRPr="00E97ED3">
        <w:rPr>
          <w:rFonts w:ascii="Times New Roman" w:eastAsia="Arial Unicode MS" w:hAnsi="Times New Roman"/>
          <w:i/>
          <w:shd w:val="clear" w:color="auto" w:fill="FFFFFF"/>
        </w:rPr>
        <w:t>Biomarkers</w:t>
      </w:r>
      <w:r w:rsidRPr="00E97ED3">
        <w:rPr>
          <w:rFonts w:ascii="Times New Roman" w:eastAsia="Arial Unicode MS" w:hAnsi="Times New Roman"/>
          <w:shd w:val="clear" w:color="auto" w:fill="FFFFFF"/>
        </w:rPr>
        <w:t xml:space="preserve">. </w:t>
      </w:r>
      <w:r w:rsidRPr="00E97ED3">
        <w:rPr>
          <w:rFonts w:ascii="Times New Roman" w:hAnsi="Times New Roman"/>
        </w:rPr>
        <w:t>Aβ</w:t>
      </w:r>
      <w:r w:rsidR="00112BEE" w:rsidRPr="00E97ED3">
        <w:rPr>
          <w:rFonts w:ascii="Times New Roman" w:hAnsi="Times New Roman"/>
        </w:rPr>
        <w:t xml:space="preserve"> </w:t>
      </w:r>
      <w:r w:rsidRPr="00E97ED3">
        <w:rPr>
          <w:rFonts w:ascii="Times New Roman" w:hAnsi="Times New Roman"/>
        </w:rPr>
        <w:t xml:space="preserve">levels were measured with electrochemiluminescence technology using the MS6000 Human Ab Ultra-Sensitive Kit (Meso Scale Discovery, Gaithersburg, Md.). </w:t>
      </w:r>
      <w:r w:rsidR="004A63FD" w:rsidRPr="00E97ED3">
        <w:rPr>
          <w:rFonts w:ascii="Times New Roman" w:hAnsi="Times New Roman"/>
        </w:rPr>
        <w:t>T</w:t>
      </w:r>
      <w:r w:rsidR="00071BF2" w:rsidRPr="00E97ED3">
        <w:rPr>
          <w:rFonts w:ascii="Times New Roman" w:hAnsi="Times New Roman"/>
        </w:rPr>
        <w:t>-</w:t>
      </w:r>
      <w:r w:rsidR="004A63FD" w:rsidRPr="00E97ED3">
        <w:rPr>
          <w:rFonts w:ascii="Times New Roman" w:hAnsi="Times New Roman"/>
        </w:rPr>
        <w:t xml:space="preserve">tau levels were determined using a </w:t>
      </w:r>
      <w:r w:rsidR="004A63FD" w:rsidRPr="00E97ED3">
        <w:rPr>
          <w:rFonts w:ascii="Times New Roman" w:hAnsi="Times New Roman"/>
          <w:color w:val="231F20"/>
          <w:lang w:eastAsia="sv-SE"/>
        </w:rPr>
        <w:t>sandwich enzyme-linked immunosorbent assay (ELISA) (I</w:t>
      </w:r>
      <w:r w:rsidR="00716609" w:rsidRPr="00E97ED3">
        <w:rPr>
          <w:rFonts w:ascii="Times New Roman" w:hAnsi="Times New Roman"/>
          <w:color w:val="231F20"/>
          <w:lang w:eastAsia="sv-SE"/>
        </w:rPr>
        <w:t>NNOTEST</w:t>
      </w:r>
      <w:r w:rsidR="004A63FD" w:rsidRPr="00E97ED3">
        <w:rPr>
          <w:rFonts w:ascii="Times New Roman" w:hAnsi="Times New Roman"/>
          <w:color w:val="231F20"/>
          <w:lang w:eastAsia="sv-SE"/>
        </w:rPr>
        <w:t xml:space="preserve"> hTAU-Ag, Innogenetics, Ghent, Belgium), whereas </w:t>
      </w:r>
      <w:r w:rsidR="00071BF2" w:rsidRPr="00E97ED3">
        <w:rPr>
          <w:rFonts w:ascii="Times New Roman" w:hAnsi="Times New Roman"/>
          <w:color w:val="231F20"/>
          <w:lang w:eastAsia="sv-SE"/>
        </w:rPr>
        <w:t>P-</w:t>
      </w:r>
      <w:r w:rsidR="004A63FD" w:rsidRPr="00E97ED3">
        <w:rPr>
          <w:rFonts w:ascii="Times New Roman" w:hAnsi="Times New Roman"/>
          <w:color w:val="231F20"/>
          <w:lang w:eastAsia="sv-SE"/>
        </w:rPr>
        <w:t xml:space="preserve">tau was measured with a sandwich ELISA method </w:t>
      </w:r>
      <w:r w:rsidR="004A63FD" w:rsidRPr="00E97ED3">
        <w:rPr>
          <w:rFonts w:ascii="Times New Roman" w:hAnsi="Times New Roman"/>
          <w:color w:val="231F20"/>
          <w:lang w:eastAsia="sv-SE"/>
        </w:rPr>
        <w:lastRenderedPageBreak/>
        <w:t>(</w:t>
      </w:r>
      <w:r w:rsidR="00716609" w:rsidRPr="00E97ED3">
        <w:rPr>
          <w:rFonts w:ascii="Times New Roman" w:hAnsi="Times New Roman"/>
          <w:color w:val="231F20"/>
          <w:lang w:eastAsia="sv-SE"/>
        </w:rPr>
        <w:t>INNOTEST</w:t>
      </w:r>
      <w:r w:rsidR="004A63FD" w:rsidRPr="00E97ED3">
        <w:rPr>
          <w:rFonts w:ascii="Times New Roman" w:hAnsi="Times New Roman"/>
          <w:color w:val="231F20"/>
          <w:lang w:eastAsia="sv-SE"/>
        </w:rPr>
        <w:t xml:space="preserve"> Phospho-Tau [181P], Innogenetics). </w:t>
      </w:r>
      <w:r w:rsidRPr="00E97ED3">
        <w:rPr>
          <w:rFonts w:ascii="Times New Roman" w:hAnsi="Times New Roman"/>
        </w:rPr>
        <w:t>CSF Ng concentration was measured using an in-house sandwich ELISA</w:t>
      </w:r>
      <w:r w:rsidR="00F56A67" w:rsidRPr="00E97ED3">
        <w:rPr>
          <w:rFonts w:ascii="Times New Roman" w:hAnsi="Times New Roman"/>
        </w:rPr>
        <w:t xml:space="preserve"> </w:t>
      </w:r>
      <w:r w:rsidR="00F0143B" w:rsidRPr="00E97ED3">
        <w:rPr>
          <w:rFonts w:ascii="Times New Roman" w:hAnsi="Times New Roman"/>
        </w:rPr>
        <w:t>[</w:t>
      </w:r>
      <w:r w:rsidR="00D97861" w:rsidRPr="00E97ED3">
        <w:rPr>
          <w:rFonts w:ascii="Times New Roman" w:hAnsi="Times New Roman"/>
        </w:rPr>
        <w:t>20</w:t>
      </w:r>
      <w:r w:rsidR="00F0143B" w:rsidRPr="00E97ED3">
        <w:rPr>
          <w:rFonts w:ascii="Times New Roman" w:hAnsi="Times New Roman"/>
        </w:rPr>
        <w:t>]</w:t>
      </w:r>
      <w:r w:rsidRPr="00E97ED3">
        <w:rPr>
          <w:rFonts w:ascii="Times New Roman" w:hAnsi="Times New Roman"/>
        </w:rPr>
        <w:t>.</w:t>
      </w:r>
      <w:r w:rsidR="00FC762A" w:rsidRPr="00E97ED3">
        <w:rPr>
          <w:rFonts w:ascii="Times New Roman" w:hAnsi="Times New Roman"/>
        </w:rPr>
        <w:t xml:space="preserve"> </w:t>
      </w:r>
      <w:r w:rsidR="003E09D7" w:rsidRPr="00E97ED3">
        <w:rPr>
          <w:rFonts w:ascii="Times New Roman" w:hAnsi="Times New Roman"/>
        </w:rPr>
        <w:t>All values lower than the detection threshold of 40</w:t>
      </w:r>
      <w:r w:rsidR="00C97BF1" w:rsidRPr="00E97ED3">
        <w:rPr>
          <w:rFonts w:ascii="Times New Roman" w:hAnsi="Times New Roman"/>
        </w:rPr>
        <w:t xml:space="preserve"> pg/mL</w:t>
      </w:r>
      <w:r w:rsidR="003E09D7" w:rsidRPr="00E97ED3">
        <w:rPr>
          <w:rFonts w:ascii="Times New Roman" w:hAnsi="Times New Roman"/>
        </w:rPr>
        <w:t xml:space="preserve"> were scored as 39</w:t>
      </w:r>
      <w:r w:rsidR="00C97BF1" w:rsidRPr="00E97ED3">
        <w:rPr>
          <w:rFonts w:ascii="Times New Roman" w:hAnsi="Times New Roman"/>
        </w:rPr>
        <w:t xml:space="preserve"> pg/mL</w:t>
      </w:r>
      <w:r w:rsidR="003E09D7" w:rsidRPr="00E97ED3">
        <w:rPr>
          <w:rFonts w:ascii="Times New Roman" w:hAnsi="Times New Roman"/>
        </w:rPr>
        <w:t xml:space="preserve">. </w:t>
      </w:r>
      <w:r w:rsidR="00FC762A" w:rsidRPr="00E97ED3">
        <w:rPr>
          <w:rFonts w:ascii="Times New Roman" w:hAnsi="Times New Roman"/>
        </w:rPr>
        <w:t>CSF α-Syn levels were determined with a ELISA method (Tecan Sunrise, Salzburg, Austria), following the procedure described by van Geel et al.</w:t>
      </w:r>
      <w:r w:rsidR="006B3FA8" w:rsidRPr="00E97ED3">
        <w:rPr>
          <w:rFonts w:ascii="Times New Roman" w:hAnsi="Times New Roman"/>
        </w:rPr>
        <w:t xml:space="preserve"> </w:t>
      </w:r>
      <w:r w:rsidR="00F0143B" w:rsidRPr="00E97ED3">
        <w:rPr>
          <w:rFonts w:ascii="Times New Roman" w:hAnsi="Times New Roman"/>
        </w:rPr>
        <w:t>[</w:t>
      </w:r>
      <w:r w:rsidR="00FC762A" w:rsidRPr="00E97ED3">
        <w:rPr>
          <w:rFonts w:ascii="Times New Roman" w:hAnsi="Times New Roman"/>
        </w:rPr>
        <w:t>2</w:t>
      </w:r>
      <w:r w:rsidR="00D97861" w:rsidRPr="00E97ED3">
        <w:rPr>
          <w:rFonts w:ascii="Times New Roman" w:hAnsi="Times New Roman"/>
        </w:rPr>
        <w:t>1</w:t>
      </w:r>
      <w:r w:rsidR="00F0143B" w:rsidRPr="00E97ED3">
        <w:rPr>
          <w:rFonts w:ascii="Times New Roman" w:hAnsi="Times New Roman"/>
        </w:rPr>
        <w:t>]</w:t>
      </w:r>
      <w:r w:rsidR="00FC762A" w:rsidRPr="00E97ED3">
        <w:rPr>
          <w:rFonts w:ascii="Times New Roman" w:hAnsi="Times New Roman"/>
        </w:rPr>
        <w:t xml:space="preserve">. </w:t>
      </w:r>
    </w:p>
    <w:p w14:paraId="7FB0D1B7" w14:textId="05056C72" w:rsidR="005E42F2" w:rsidRPr="00E97ED3" w:rsidRDefault="005E42F2" w:rsidP="00E81571">
      <w:pPr>
        <w:autoSpaceDE w:val="0"/>
        <w:autoSpaceDN w:val="0"/>
        <w:adjustRightInd w:val="0"/>
        <w:spacing w:after="0" w:line="480" w:lineRule="auto"/>
        <w:rPr>
          <w:rFonts w:ascii="Times New Roman" w:hAnsi="Times New Roman"/>
        </w:rPr>
      </w:pPr>
      <w:r w:rsidRPr="00E97ED3">
        <w:rPr>
          <w:rFonts w:ascii="Times New Roman" w:hAnsi="Times New Roman"/>
          <w:i/>
        </w:rPr>
        <w:t>Procedure</w:t>
      </w:r>
      <w:r w:rsidRPr="00E97ED3">
        <w:rPr>
          <w:rFonts w:ascii="Times New Roman" w:hAnsi="Times New Roman"/>
        </w:rPr>
        <w:t xml:space="preserve">. The study procedure has been detailed previously </w:t>
      </w:r>
      <w:r w:rsidR="00F0143B" w:rsidRPr="00E97ED3">
        <w:rPr>
          <w:rFonts w:ascii="Times New Roman" w:hAnsi="Times New Roman"/>
        </w:rPr>
        <w:t>[</w:t>
      </w:r>
      <w:r w:rsidR="00402783" w:rsidRPr="00E97ED3">
        <w:rPr>
          <w:rFonts w:ascii="Times New Roman" w:hAnsi="Times New Roman"/>
          <w:lang w:eastAsia="en-GB"/>
        </w:rPr>
        <w:t>4</w:t>
      </w:r>
      <w:r w:rsidR="00F0143B" w:rsidRPr="00E97ED3">
        <w:rPr>
          <w:rFonts w:ascii="Times New Roman" w:hAnsi="Times New Roman"/>
          <w:lang w:eastAsia="en-GB"/>
        </w:rPr>
        <w:t>]</w:t>
      </w:r>
      <w:r w:rsidRPr="00E97ED3">
        <w:rPr>
          <w:rFonts w:ascii="Times New Roman" w:hAnsi="Times New Roman"/>
          <w:lang w:eastAsia="en-GB"/>
        </w:rPr>
        <w:t xml:space="preserve">. Briefly, the study consisted of </w:t>
      </w:r>
      <w:r w:rsidR="000A11F8" w:rsidRPr="00E97ED3">
        <w:rPr>
          <w:rFonts w:ascii="Times New Roman" w:hAnsi="Times New Roman"/>
          <w:lang w:eastAsia="en-GB"/>
        </w:rPr>
        <w:t>four</w:t>
      </w:r>
      <w:r w:rsidRPr="00E97ED3">
        <w:rPr>
          <w:rFonts w:ascii="Times New Roman" w:hAnsi="Times New Roman"/>
          <w:lang w:eastAsia="en-GB"/>
        </w:rPr>
        <w:t xml:space="preserve"> visits on successive weeks. On visit 1, all </w:t>
      </w:r>
      <w:r w:rsidRPr="00E97ED3">
        <w:rPr>
          <w:rFonts w:ascii="Times New Roman" w:hAnsi="Times New Roman"/>
        </w:rPr>
        <w:t>participants provided consent and were assessed for: medical history, vital signs, and general cognitive ability (MMSE). Severity of depression was measured at this stage with the Hamilton Depression Scale (HAM-D, 21 items). On visit</w:t>
      </w:r>
      <w:r w:rsidR="000A11F8" w:rsidRPr="00E97ED3">
        <w:rPr>
          <w:rFonts w:ascii="Times New Roman" w:hAnsi="Times New Roman"/>
        </w:rPr>
        <w:t xml:space="preserve"> 2</w:t>
      </w:r>
      <w:r w:rsidRPr="00E97ED3">
        <w:rPr>
          <w:rFonts w:ascii="Times New Roman" w:hAnsi="Times New Roman"/>
        </w:rPr>
        <w:t xml:space="preserve">, </w:t>
      </w:r>
      <w:r w:rsidRPr="00E97ED3">
        <w:rPr>
          <w:rFonts w:ascii="Times New Roman" w:hAnsi="Times New Roman"/>
          <w:lang w:eastAsia="en-GB"/>
        </w:rPr>
        <w:t xml:space="preserve">participants received an MRI scan of the head, and </w:t>
      </w:r>
      <w:r w:rsidRPr="00E97ED3">
        <w:rPr>
          <w:rFonts w:ascii="Times New Roman" w:hAnsi="Times New Roman"/>
          <w:lang w:val="en-US"/>
        </w:rPr>
        <w:t>a physical examination, including routine laboratory tests.</w:t>
      </w:r>
      <w:r w:rsidRPr="00E97ED3">
        <w:rPr>
          <w:rFonts w:ascii="Times New Roman" w:hAnsi="Times New Roman"/>
          <w:lang w:eastAsia="en-GB"/>
        </w:rPr>
        <w:t xml:space="preserve"> On </w:t>
      </w:r>
      <w:r w:rsidR="000A11F8" w:rsidRPr="00E97ED3">
        <w:rPr>
          <w:rFonts w:ascii="Times New Roman" w:hAnsi="Times New Roman"/>
          <w:lang w:eastAsia="en-GB"/>
        </w:rPr>
        <w:t>visit 3</w:t>
      </w:r>
      <w:r w:rsidRPr="00E97ED3">
        <w:rPr>
          <w:rFonts w:ascii="Times New Roman" w:hAnsi="Times New Roman"/>
          <w:lang w:eastAsia="en-GB"/>
        </w:rPr>
        <w:t>, participants underwent a comprehensive neuropsychological assessment that included memory evaluation with the BSRT</w:t>
      </w:r>
      <w:r w:rsidR="00F0143B" w:rsidRPr="00E97ED3">
        <w:rPr>
          <w:rFonts w:ascii="Times New Roman" w:hAnsi="Times New Roman"/>
          <w:lang w:eastAsia="en-GB"/>
        </w:rPr>
        <w:t xml:space="preserve"> [</w:t>
      </w:r>
      <w:r w:rsidR="00400EEB" w:rsidRPr="00E97ED3">
        <w:rPr>
          <w:rFonts w:ascii="Times New Roman" w:hAnsi="Times New Roman"/>
          <w:lang w:eastAsia="en-GB"/>
        </w:rPr>
        <w:t>22</w:t>
      </w:r>
      <w:r w:rsidR="00D97861" w:rsidRPr="00E97ED3">
        <w:rPr>
          <w:rFonts w:ascii="Times New Roman" w:hAnsi="Times New Roman"/>
          <w:lang w:eastAsia="en-GB"/>
        </w:rPr>
        <w:t>, 23</w:t>
      </w:r>
      <w:r w:rsidR="00F0143B" w:rsidRPr="00E97ED3">
        <w:rPr>
          <w:rFonts w:ascii="Times New Roman" w:hAnsi="Times New Roman"/>
          <w:lang w:eastAsia="en-GB"/>
        </w:rPr>
        <w:t>]</w:t>
      </w:r>
      <w:r w:rsidRPr="00E97ED3">
        <w:rPr>
          <w:rFonts w:ascii="Times New Roman" w:hAnsi="Times New Roman"/>
          <w:lang w:eastAsia="en-GB"/>
        </w:rPr>
        <w:t xml:space="preserve">. The BSRT (standard administration) involves the oral presentation of 16 unrelated nouns, which participants are asked to recall over several trials. In the first trial, participants are asked to free recall as many words as possible immediately after presentation of the study list; after this, participants are reminded of the items that were not retrieved and asked to recall all items again, over six subsequent trials; in a </w:t>
      </w:r>
      <w:r w:rsidR="00AB0F39" w:rsidRPr="00E97ED3">
        <w:rPr>
          <w:rFonts w:ascii="Times New Roman" w:hAnsi="Times New Roman"/>
          <w:lang w:eastAsia="en-GB"/>
        </w:rPr>
        <w:t xml:space="preserve">final </w:t>
      </w:r>
      <w:r w:rsidRPr="00E97ED3">
        <w:rPr>
          <w:rFonts w:ascii="Times New Roman" w:hAnsi="Times New Roman"/>
          <w:lang w:eastAsia="en-GB"/>
        </w:rPr>
        <w:t xml:space="preserve">delayed trial, participants are </w:t>
      </w:r>
      <w:r w:rsidR="00AB0F39" w:rsidRPr="00E97ED3">
        <w:rPr>
          <w:rFonts w:ascii="Times New Roman" w:hAnsi="Times New Roman"/>
          <w:lang w:eastAsia="en-GB"/>
        </w:rPr>
        <w:t xml:space="preserve">then </w:t>
      </w:r>
      <w:r w:rsidRPr="00E97ED3">
        <w:rPr>
          <w:rFonts w:ascii="Times New Roman" w:hAnsi="Times New Roman"/>
          <w:lang w:eastAsia="en-GB"/>
        </w:rPr>
        <w:t xml:space="preserve">asked to free recall the original study list, following a period of approximately 20 minutes from initial learning. Finally, a lumbar puncture </w:t>
      </w:r>
      <w:r w:rsidRPr="00E97ED3">
        <w:rPr>
          <w:rFonts w:ascii="Times New Roman" w:hAnsi="Times New Roman"/>
          <w:lang w:val="en-US"/>
        </w:rPr>
        <w:t xml:space="preserve">was performed on a fourth visit, between 9am and 10am, after overnight fasting. </w:t>
      </w:r>
      <w:r w:rsidRPr="00E97ED3">
        <w:rPr>
          <w:rFonts w:ascii="Times New Roman" w:hAnsi="Times New Roman"/>
          <w:lang w:eastAsia="en-GB"/>
        </w:rPr>
        <w:t>This study was ethically approval by the institutional review boards of</w:t>
      </w:r>
      <w:r w:rsidRPr="00E97ED3">
        <w:rPr>
          <w:rFonts w:ascii="Times New Roman" w:hAnsi="Times New Roman"/>
        </w:rPr>
        <w:t xml:space="preserve"> </w:t>
      </w:r>
      <w:r w:rsidRPr="00E97ED3">
        <w:rPr>
          <w:rFonts w:ascii="Times New Roman" w:hAnsi="Times New Roman"/>
          <w:lang w:eastAsia="en-GB"/>
        </w:rPr>
        <w:t>the Nathan Kline Institute for Psychiatric Research, and the New York University School of Medicine</w:t>
      </w:r>
      <w:r w:rsidRPr="00E97ED3">
        <w:rPr>
          <w:rFonts w:ascii="Times New Roman" w:hAnsi="Times New Roman"/>
        </w:rPr>
        <w:t xml:space="preserve">. </w:t>
      </w:r>
    </w:p>
    <w:p w14:paraId="313C4023" w14:textId="30C0E75C" w:rsidR="005E42F2" w:rsidRPr="00E97ED3" w:rsidRDefault="005E42F2" w:rsidP="00E81571">
      <w:pPr>
        <w:autoSpaceDE w:val="0"/>
        <w:autoSpaceDN w:val="0"/>
        <w:adjustRightInd w:val="0"/>
        <w:spacing w:after="0" w:line="480" w:lineRule="auto"/>
        <w:rPr>
          <w:rFonts w:ascii="Times New Roman" w:hAnsi="Times New Roman"/>
        </w:rPr>
      </w:pPr>
      <w:r w:rsidRPr="00E97ED3">
        <w:rPr>
          <w:rFonts w:ascii="Times New Roman" w:hAnsi="Times New Roman"/>
          <w:i/>
        </w:rPr>
        <w:t xml:space="preserve">Design and Analysis. </w:t>
      </w:r>
      <w:r w:rsidR="00C83831" w:rsidRPr="00E97ED3">
        <w:rPr>
          <w:rFonts w:ascii="Times New Roman" w:hAnsi="Times New Roman"/>
        </w:rPr>
        <w:t xml:space="preserve">First we examined whether there were differences across late life MDD and control groups in Ng and α-Syn levels (note that differences in Aβ42 were already reported in </w:t>
      </w:r>
      <w:r w:rsidR="00183565" w:rsidRPr="00E97ED3">
        <w:rPr>
          <w:rFonts w:ascii="Times New Roman" w:hAnsi="Times New Roman"/>
        </w:rPr>
        <w:t>4</w:t>
      </w:r>
      <w:r w:rsidR="00C83831" w:rsidRPr="00E97ED3">
        <w:rPr>
          <w:rFonts w:ascii="Times New Roman" w:hAnsi="Times New Roman"/>
        </w:rPr>
        <w:t>)</w:t>
      </w:r>
      <w:r w:rsidR="00E36FEF" w:rsidRPr="00E97ED3">
        <w:rPr>
          <w:rFonts w:ascii="Times New Roman" w:hAnsi="Times New Roman"/>
        </w:rPr>
        <w:t>, and memory scores</w:t>
      </w:r>
      <w:r w:rsidR="00C83831" w:rsidRPr="00E97ED3">
        <w:rPr>
          <w:rFonts w:ascii="Times New Roman" w:hAnsi="Times New Roman"/>
        </w:rPr>
        <w:t xml:space="preserve">. Due to the non-normal nature of these data, we performed non-parametric analyses. Second, we carried out a </w:t>
      </w:r>
      <w:r w:rsidRPr="00E97ED3">
        <w:rPr>
          <w:rFonts w:ascii="Times New Roman" w:hAnsi="Times New Roman"/>
        </w:rPr>
        <w:t xml:space="preserve">series of </w:t>
      </w:r>
      <w:r w:rsidR="00C83831" w:rsidRPr="00E97ED3">
        <w:rPr>
          <w:rFonts w:ascii="Times New Roman" w:hAnsi="Times New Roman"/>
        </w:rPr>
        <w:t xml:space="preserve">Spearman </w:t>
      </w:r>
      <w:r w:rsidRPr="00E97ED3">
        <w:rPr>
          <w:rFonts w:ascii="Times New Roman" w:hAnsi="Times New Roman"/>
        </w:rPr>
        <w:t xml:space="preserve">correlations separately in individuals with late-life MDD and controls. The variables included in the analyses were: CSF </w:t>
      </w:r>
      <w:r w:rsidR="00F73120" w:rsidRPr="00E97ED3">
        <w:rPr>
          <w:rFonts w:ascii="Times New Roman" w:hAnsi="Times New Roman"/>
        </w:rPr>
        <w:t xml:space="preserve">α-Syn, </w:t>
      </w:r>
      <w:r w:rsidRPr="00E97ED3">
        <w:rPr>
          <w:rFonts w:ascii="Times New Roman" w:hAnsi="Times New Roman"/>
        </w:rPr>
        <w:t>Ng, Aβ42</w:t>
      </w:r>
      <w:r w:rsidR="00C83831" w:rsidRPr="00E97ED3">
        <w:rPr>
          <w:rFonts w:ascii="Times New Roman" w:hAnsi="Times New Roman"/>
        </w:rPr>
        <w:t xml:space="preserve">, </w:t>
      </w:r>
      <w:r w:rsidR="00071BF2" w:rsidRPr="00E97ED3">
        <w:rPr>
          <w:rFonts w:ascii="Times New Roman" w:hAnsi="Times New Roman"/>
        </w:rPr>
        <w:t>T-</w:t>
      </w:r>
      <w:r w:rsidR="00F73120" w:rsidRPr="00E97ED3">
        <w:rPr>
          <w:rFonts w:ascii="Times New Roman" w:hAnsi="Times New Roman"/>
        </w:rPr>
        <w:t xml:space="preserve"> and </w:t>
      </w:r>
      <w:r w:rsidR="00071BF2" w:rsidRPr="00E97ED3">
        <w:rPr>
          <w:rFonts w:ascii="Times New Roman" w:hAnsi="Times New Roman"/>
        </w:rPr>
        <w:t>P-</w:t>
      </w:r>
      <w:r w:rsidR="00F73120" w:rsidRPr="00E97ED3">
        <w:rPr>
          <w:rFonts w:ascii="Times New Roman" w:hAnsi="Times New Roman"/>
        </w:rPr>
        <w:t xml:space="preserve">tau, </w:t>
      </w:r>
      <w:r w:rsidR="00183565" w:rsidRPr="00E97ED3">
        <w:rPr>
          <w:rFonts w:ascii="Times New Roman" w:hAnsi="Times New Roman"/>
        </w:rPr>
        <w:t xml:space="preserve">BSRT </w:t>
      </w:r>
      <w:r w:rsidRPr="00E97ED3">
        <w:rPr>
          <w:rFonts w:ascii="Times New Roman" w:hAnsi="Times New Roman"/>
        </w:rPr>
        <w:t>total recall and</w:t>
      </w:r>
      <w:r w:rsidR="00A9354F" w:rsidRPr="00E97ED3">
        <w:rPr>
          <w:rFonts w:ascii="Times New Roman" w:hAnsi="Times New Roman"/>
        </w:rPr>
        <w:t xml:space="preserve"> the</w:t>
      </w:r>
      <w:r w:rsidRPr="00E97ED3">
        <w:rPr>
          <w:rFonts w:ascii="Times New Roman" w:hAnsi="Times New Roman"/>
        </w:rPr>
        <w:t xml:space="preserve"> </w:t>
      </w:r>
      <w:r w:rsidR="00A9354F" w:rsidRPr="00E97ED3">
        <w:rPr>
          <w:rFonts w:ascii="Times New Roman" w:hAnsi="Times New Roman"/>
        </w:rPr>
        <w:t>recency ratio</w:t>
      </w:r>
      <w:r w:rsidRPr="00E97ED3">
        <w:rPr>
          <w:rFonts w:ascii="Times New Roman" w:hAnsi="Times New Roman"/>
        </w:rPr>
        <w:t>.</w:t>
      </w:r>
      <w:r w:rsidR="00C83831" w:rsidRPr="00E97ED3">
        <w:rPr>
          <w:rFonts w:ascii="Times New Roman" w:hAnsi="Times New Roman"/>
        </w:rPr>
        <w:t xml:space="preserve"> </w:t>
      </w:r>
      <w:r w:rsidRPr="00E97ED3">
        <w:rPr>
          <w:rFonts w:ascii="Times New Roman" w:hAnsi="Times New Roman"/>
        </w:rPr>
        <w:t xml:space="preserve">Total recall was calculated by adding the number of all recalled items over the seven learning trials of the BSRT; and </w:t>
      </w:r>
      <w:r w:rsidR="00A9354F" w:rsidRPr="00E97ED3">
        <w:rPr>
          <w:rFonts w:ascii="Times New Roman" w:hAnsi="Times New Roman"/>
        </w:rPr>
        <w:t>the recency ratio</w:t>
      </w:r>
      <w:r w:rsidRPr="00E97ED3">
        <w:rPr>
          <w:rFonts w:ascii="Times New Roman" w:hAnsi="Times New Roman"/>
        </w:rPr>
        <w:t xml:space="preserve"> is provided by the ratio between recall of the last four presented items in the first learning trial and in the delayed trial</w:t>
      </w:r>
      <w:r w:rsidR="00EE7471" w:rsidRPr="00E97ED3">
        <w:rPr>
          <w:rFonts w:ascii="Times New Roman" w:hAnsi="Times New Roman"/>
        </w:rPr>
        <w:t xml:space="preserve">, using </w:t>
      </w:r>
      <w:r w:rsidR="00EE7471" w:rsidRPr="00E97ED3">
        <w:rPr>
          <w:rFonts w:ascii="Times New Roman" w:hAnsi="Times New Roman"/>
        </w:rPr>
        <w:lastRenderedPageBreak/>
        <w:t xml:space="preserve">the adjustment provided here </w:t>
      </w:r>
      <w:r w:rsidR="00F0143B" w:rsidRPr="00E97ED3">
        <w:rPr>
          <w:rFonts w:ascii="Times New Roman" w:hAnsi="Times New Roman"/>
        </w:rPr>
        <w:t>[</w:t>
      </w:r>
      <w:r w:rsidR="00400EEB" w:rsidRPr="00E97ED3">
        <w:rPr>
          <w:rFonts w:ascii="Times New Roman" w:hAnsi="Times New Roman"/>
        </w:rPr>
        <w:t>1</w:t>
      </w:r>
      <w:r w:rsidR="00D97861" w:rsidRPr="00E97ED3">
        <w:rPr>
          <w:rFonts w:ascii="Times New Roman" w:hAnsi="Times New Roman"/>
        </w:rPr>
        <w:t>7</w:t>
      </w:r>
      <w:r w:rsidR="00F0143B" w:rsidRPr="00E97ED3">
        <w:rPr>
          <w:rFonts w:ascii="Times New Roman" w:hAnsi="Times New Roman"/>
        </w:rPr>
        <w:t>]</w:t>
      </w:r>
      <w:r w:rsidRPr="00E97ED3">
        <w:rPr>
          <w:rFonts w:ascii="Times New Roman" w:hAnsi="Times New Roman"/>
        </w:rPr>
        <w:t xml:space="preserve">. </w:t>
      </w:r>
      <w:r w:rsidR="00EE7471" w:rsidRPr="00E97ED3">
        <w:rPr>
          <w:rFonts w:ascii="Times New Roman" w:hAnsi="Times New Roman"/>
        </w:rPr>
        <w:t xml:space="preserve">Of note, </w:t>
      </w:r>
      <w:r w:rsidRPr="00E97ED3">
        <w:rPr>
          <w:rFonts w:ascii="Times New Roman" w:hAnsi="Times New Roman"/>
        </w:rPr>
        <w:t xml:space="preserve">whereas lower total and delayed recall are indicative of more memory loss, the opposite is true of </w:t>
      </w:r>
      <w:r w:rsidR="00A9354F" w:rsidRPr="00E97ED3">
        <w:rPr>
          <w:rFonts w:ascii="Times New Roman" w:hAnsi="Times New Roman"/>
        </w:rPr>
        <w:t>the recency ratio</w:t>
      </w:r>
      <w:r w:rsidRPr="00E97ED3">
        <w:rPr>
          <w:rFonts w:ascii="Times New Roman" w:hAnsi="Times New Roman"/>
        </w:rPr>
        <w:t>.</w:t>
      </w:r>
      <w:r w:rsidR="00E36FEF" w:rsidRPr="00E97ED3">
        <w:rPr>
          <w:rFonts w:ascii="Times New Roman" w:hAnsi="Times New Roman"/>
        </w:rPr>
        <w:t xml:space="preserve"> </w:t>
      </w:r>
      <w:r w:rsidRPr="00E97ED3">
        <w:rPr>
          <w:rFonts w:ascii="Times New Roman" w:hAnsi="Times New Roman"/>
        </w:rPr>
        <w:t xml:space="preserve">To </w:t>
      </w:r>
      <w:r w:rsidR="007F2A0F" w:rsidRPr="00E97ED3">
        <w:rPr>
          <w:rFonts w:ascii="Times New Roman" w:hAnsi="Times New Roman"/>
        </w:rPr>
        <w:t xml:space="preserve">avoid repeating previous findings, and to </w:t>
      </w:r>
      <w:r w:rsidRPr="00E97ED3">
        <w:rPr>
          <w:rFonts w:ascii="Times New Roman" w:hAnsi="Times New Roman"/>
        </w:rPr>
        <w:t xml:space="preserve">take into account </w:t>
      </w:r>
      <w:r w:rsidR="001A3C53" w:rsidRPr="00E97ED3">
        <w:rPr>
          <w:rFonts w:ascii="Times New Roman" w:hAnsi="Times New Roman"/>
        </w:rPr>
        <w:t xml:space="preserve">and limit </w:t>
      </w:r>
      <w:r w:rsidRPr="00E97ED3">
        <w:rPr>
          <w:rFonts w:ascii="Times New Roman" w:hAnsi="Times New Roman"/>
        </w:rPr>
        <w:t>the high volume of tests</w:t>
      </w:r>
      <w:r w:rsidR="001A3C53" w:rsidRPr="00E97ED3">
        <w:rPr>
          <w:rFonts w:ascii="Times New Roman" w:hAnsi="Times New Roman"/>
        </w:rPr>
        <w:t>, we focused only on correlations involving either Ng, α-Syn or both</w:t>
      </w:r>
      <w:r w:rsidR="007F2A0F" w:rsidRPr="00E97ED3">
        <w:rPr>
          <w:rFonts w:ascii="Times New Roman" w:hAnsi="Times New Roman"/>
        </w:rPr>
        <w:t xml:space="preserve">. We report unadjusted </w:t>
      </w:r>
      <w:r w:rsidR="00DF3738" w:rsidRPr="00E97ED3">
        <w:rPr>
          <w:rFonts w:ascii="Times New Roman" w:hAnsi="Times New Roman"/>
        </w:rPr>
        <w:t xml:space="preserve">p values and, when reaching conventional significance (p ≤ 0.05), we qualify the finding with </w:t>
      </w:r>
      <w:r w:rsidR="007F2A0F" w:rsidRPr="00E97ED3">
        <w:rPr>
          <w:rFonts w:ascii="Times New Roman" w:hAnsi="Times New Roman"/>
        </w:rPr>
        <w:t xml:space="preserve">adjusted (with </w:t>
      </w:r>
      <w:r w:rsidRPr="00E97ED3">
        <w:rPr>
          <w:rFonts w:ascii="Times New Roman" w:hAnsi="Times New Roman"/>
        </w:rPr>
        <w:t>False Discovery Rate</w:t>
      </w:r>
      <w:r w:rsidR="007F2A0F" w:rsidRPr="00E97ED3">
        <w:rPr>
          <w:rFonts w:ascii="Times New Roman" w:hAnsi="Times New Roman"/>
        </w:rPr>
        <w:t xml:space="preserve">; </w:t>
      </w:r>
      <w:r w:rsidR="00400EEB" w:rsidRPr="00E97ED3">
        <w:rPr>
          <w:rFonts w:ascii="Times New Roman" w:hAnsi="Times New Roman"/>
        </w:rPr>
        <w:t>2</w:t>
      </w:r>
      <w:r w:rsidR="00D97861" w:rsidRPr="00E97ED3">
        <w:rPr>
          <w:rFonts w:ascii="Times New Roman" w:hAnsi="Times New Roman"/>
        </w:rPr>
        <w:t>4</w:t>
      </w:r>
      <w:r w:rsidR="007F2A0F" w:rsidRPr="00E97ED3">
        <w:rPr>
          <w:rFonts w:ascii="Times New Roman" w:hAnsi="Times New Roman"/>
        </w:rPr>
        <w:t>)</w:t>
      </w:r>
      <w:r w:rsidRPr="00E97ED3">
        <w:rPr>
          <w:rFonts w:ascii="Times New Roman" w:hAnsi="Times New Roman"/>
        </w:rPr>
        <w:t>, p values</w:t>
      </w:r>
      <w:r w:rsidR="007F2A0F" w:rsidRPr="00E97ED3">
        <w:rPr>
          <w:rFonts w:ascii="Times New Roman" w:hAnsi="Times New Roman"/>
        </w:rPr>
        <w:t>.</w:t>
      </w:r>
      <w:r w:rsidR="002F2618" w:rsidRPr="00E97ED3">
        <w:rPr>
          <w:rFonts w:ascii="Times New Roman" w:hAnsi="Times New Roman"/>
        </w:rPr>
        <w:t xml:space="preserve"> As a separate analysis, we also carried out correlations between CSF α-Syn and HAM-D in depressed and controls, separately. </w:t>
      </w:r>
    </w:p>
    <w:p w14:paraId="6F75490B" w14:textId="1C6D27AE" w:rsidR="005E42F2" w:rsidRPr="00E97ED3" w:rsidRDefault="005E42F2" w:rsidP="00D165FB">
      <w:pPr>
        <w:autoSpaceDE w:val="0"/>
        <w:autoSpaceDN w:val="0"/>
        <w:adjustRightInd w:val="0"/>
        <w:spacing w:after="0" w:line="480" w:lineRule="auto"/>
        <w:jc w:val="center"/>
        <w:rPr>
          <w:rFonts w:ascii="Times New Roman" w:hAnsi="Times New Roman"/>
        </w:rPr>
      </w:pPr>
      <w:r w:rsidRPr="00E97ED3">
        <w:rPr>
          <w:rFonts w:ascii="Times New Roman" w:hAnsi="Times New Roman"/>
        </w:rPr>
        <w:t>Results</w:t>
      </w:r>
    </w:p>
    <w:p w14:paraId="01800C08" w14:textId="3BB1B946" w:rsidR="005E42F2" w:rsidRPr="00E97ED3" w:rsidRDefault="005E42F2" w:rsidP="009E1D5F">
      <w:pPr>
        <w:spacing w:after="0" w:line="480" w:lineRule="auto"/>
        <w:rPr>
          <w:rFonts w:ascii="Times New Roman" w:hAnsi="Times New Roman"/>
        </w:rPr>
      </w:pPr>
      <w:r w:rsidRPr="00E97ED3">
        <w:rPr>
          <w:rFonts w:ascii="Times New Roman" w:hAnsi="Times New Roman"/>
        </w:rPr>
        <w:t xml:space="preserve">Table </w:t>
      </w:r>
      <w:r w:rsidR="00A9200F" w:rsidRPr="00E97ED3">
        <w:rPr>
          <w:rFonts w:ascii="Times New Roman" w:hAnsi="Times New Roman"/>
        </w:rPr>
        <w:t xml:space="preserve">1 </w:t>
      </w:r>
      <w:r w:rsidRPr="00E97ED3">
        <w:rPr>
          <w:rFonts w:ascii="Times New Roman" w:hAnsi="Times New Roman"/>
        </w:rPr>
        <w:t xml:space="preserve">reports cross-sectional comparisons of demographic characteristics. Depression severity was higher in the MDD group, and thus the original diagnosis was consistent with </w:t>
      </w:r>
      <w:r w:rsidR="0003676F" w:rsidRPr="00E97ED3">
        <w:rPr>
          <w:rFonts w:ascii="Times New Roman" w:hAnsi="Times New Roman"/>
        </w:rPr>
        <w:t xml:space="preserve">the </w:t>
      </w:r>
      <w:r w:rsidRPr="00E97ED3">
        <w:rPr>
          <w:rFonts w:ascii="Times New Roman" w:hAnsi="Times New Roman"/>
        </w:rPr>
        <w:t xml:space="preserve">depressive state of the sample. None of the other demographic characteristics differed across groups. </w:t>
      </w:r>
    </w:p>
    <w:p w14:paraId="3CEC4780" w14:textId="62F05EBD" w:rsidR="0003676F" w:rsidRPr="00E97ED3" w:rsidRDefault="0003676F" w:rsidP="009E1D5F">
      <w:pPr>
        <w:spacing w:after="0" w:line="480" w:lineRule="auto"/>
        <w:rPr>
          <w:rFonts w:ascii="Times New Roman" w:hAnsi="Times New Roman"/>
        </w:rPr>
      </w:pPr>
      <w:r w:rsidRPr="00E97ED3">
        <w:rPr>
          <w:rFonts w:ascii="Times New Roman" w:hAnsi="Times New Roman"/>
          <w:i/>
        </w:rPr>
        <w:t>Comparisons across groups</w:t>
      </w:r>
      <w:r w:rsidRPr="00E97ED3">
        <w:rPr>
          <w:rFonts w:ascii="Times New Roman" w:hAnsi="Times New Roman"/>
        </w:rPr>
        <w:t>. Except for Aβ</w:t>
      </w:r>
      <w:r w:rsidR="00FF18BA" w:rsidRPr="00E97ED3">
        <w:rPr>
          <w:rFonts w:ascii="Times New Roman" w:hAnsi="Times New Roman"/>
        </w:rPr>
        <w:t>42 [</w:t>
      </w:r>
      <w:r w:rsidRPr="00E97ED3">
        <w:rPr>
          <w:rFonts w:ascii="Times New Roman" w:hAnsi="Times New Roman"/>
        </w:rPr>
        <w:t xml:space="preserve">see </w:t>
      </w:r>
      <w:r w:rsidR="00532601" w:rsidRPr="00E97ED3">
        <w:rPr>
          <w:rFonts w:ascii="Times New Roman" w:hAnsi="Times New Roman"/>
        </w:rPr>
        <w:t>4</w:t>
      </w:r>
      <w:r w:rsidR="00FF18BA" w:rsidRPr="00E97ED3">
        <w:rPr>
          <w:rFonts w:ascii="Times New Roman" w:hAnsi="Times New Roman"/>
        </w:rPr>
        <w:t>]</w:t>
      </w:r>
      <w:r w:rsidRPr="00E97ED3">
        <w:rPr>
          <w:rFonts w:ascii="Times New Roman" w:hAnsi="Times New Roman"/>
        </w:rPr>
        <w:t xml:space="preserve">, none of the variables of interest differed significantly between depressed individuals and controls (p values ≥ 0.200, Z scores ≤ 1.3). </w:t>
      </w:r>
      <w:r w:rsidR="00CF0BFE" w:rsidRPr="00E97ED3">
        <w:rPr>
          <w:rFonts w:ascii="Times New Roman" w:hAnsi="Times New Roman"/>
        </w:rPr>
        <w:t>Means and standard deviations are reported in Table 2</w:t>
      </w:r>
      <w:r w:rsidR="00E32AA4" w:rsidRPr="00E97ED3">
        <w:rPr>
          <w:rFonts w:ascii="Times New Roman" w:hAnsi="Times New Roman"/>
        </w:rPr>
        <w:t xml:space="preserve">, except for biomarker data reported elsewhere </w:t>
      </w:r>
      <w:r w:rsidR="00FF18BA" w:rsidRPr="00E97ED3">
        <w:rPr>
          <w:rFonts w:ascii="Times New Roman" w:hAnsi="Times New Roman"/>
        </w:rPr>
        <w:t>[</w:t>
      </w:r>
      <w:r w:rsidR="00E32AA4" w:rsidRPr="00E97ED3">
        <w:rPr>
          <w:rFonts w:ascii="Times New Roman" w:hAnsi="Times New Roman"/>
        </w:rPr>
        <w:t xml:space="preserve">see </w:t>
      </w:r>
      <w:r w:rsidR="00532601" w:rsidRPr="00E97ED3">
        <w:rPr>
          <w:rFonts w:ascii="Times New Roman" w:hAnsi="Times New Roman"/>
        </w:rPr>
        <w:t>4</w:t>
      </w:r>
      <w:r w:rsidR="00FF18BA" w:rsidRPr="00E97ED3">
        <w:rPr>
          <w:rFonts w:ascii="Times New Roman" w:hAnsi="Times New Roman"/>
        </w:rPr>
        <w:t>]</w:t>
      </w:r>
      <w:r w:rsidR="00CF0BFE" w:rsidRPr="00E97ED3">
        <w:rPr>
          <w:rFonts w:ascii="Times New Roman" w:hAnsi="Times New Roman"/>
        </w:rPr>
        <w:t>.</w:t>
      </w:r>
    </w:p>
    <w:p w14:paraId="2FCEEE72" w14:textId="6D457416" w:rsidR="0053638C" w:rsidRPr="00E97ED3" w:rsidRDefault="005E42F2" w:rsidP="007944CB">
      <w:pPr>
        <w:autoSpaceDE w:val="0"/>
        <w:autoSpaceDN w:val="0"/>
        <w:adjustRightInd w:val="0"/>
        <w:spacing w:after="0" w:line="480" w:lineRule="auto"/>
        <w:rPr>
          <w:rFonts w:ascii="Times New Roman" w:hAnsi="Times New Roman"/>
        </w:rPr>
      </w:pPr>
      <w:r w:rsidRPr="00E97ED3">
        <w:rPr>
          <w:rFonts w:ascii="Times New Roman" w:hAnsi="Times New Roman"/>
          <w:i/>
        </w:rPr>
        <w:t>Correlations late-life MDD</w:t>
      </w:r>
      <w:r w:rsidRPr="00E97ED3">
        <w:rPr>
          <w:rFonts w:ascii="Times New Roman" w:hAnsi="Times New Roman"/>
        </w:rPr>
        <w:t xml:space="preserve">. </w:t>
      </w:r>
      <w:r w:rsidR="0053638C" w:rsidRPr="00E97ED3">
        <w:rPr>
          <w:rFonts w:ascii="Times New Roman" w:hAnsi="Times New Roman"/>
        </w:rPr>
        <w:t xml:space="preserve">α-Syn correlated </w:t>
      </w:r>
      <w:r w:rsidR="002B5BC3" w:rsidRPr="00E97ED3">
        <w:rPr>
          <w:rFonts w:ascii="Times New Roman" w:hAnsi="Times New Roman"/>
        </w:rPr>
        <w:t xml:space="preserve">positively </w:t>
      </w:r>
      <w:r w:rsidR="0053638C" w:rsidRPr="00E97ED3">
        <w:rPr>
          <w:rFonts w:ascii="Times New Roman" w:hAnsi="Times New Roman"/>
        </w:rPr>
        <w:t>with Ng (rho = 0.</w:t>
      </w:r>
      <w:r w:rsidR="00DF3738" w:rsidRPr="00E97ED3">
        <w:rPr>
          <w:rFonts w:ascii="Times New Roman" w:hAnsi="Times New Roman"/>
        </w:rPr>
        <w:t>444</w:t>
      </w:r>
      <w:r w:rsidR="0053638C" w:rsidRPr="00E97ED3">
        <w:rPr>
          <w:rFonts w:ascii="Times New Roman" w:hAnsi="Times New Roman"/>
        </w:rPr>
        <w:t xml:space="preserve">, p </w:t>
      </w:r>
      <w:r w:rsidR="00DF3738" w:rsidRPr="00E97ED3">
        <w:rPr>
          <w:rFonts w:ascii="Times New Roman" w:hAnsi="Times New Roman"/>
        </w:rPr>
        <w:t xml:space="preserve">= </w:t>
      </w:r>
      <w:r w:rsidR="0053638C" w:rsidRPr="00E97ED3">
        <w:rPr>
          <w:rFonts w:ascii="Times New Roman" w:hAnsi="Times New Roman"/>
        </w:rPr>
        <w:t>0.</w:t>
      </w:r>
      <w:r w:rsidR="00DF3738" w:rsidRPr="00E97ED3">
        <w:rPr>
          <w:rFonts w:ascii="Times New Roman" w:hAnsi="Times New Roman"/>
        </w:rPr>
        <w:t>018; see Figure)</w:t>
      </w:r>
      <w:r w:rsidR="0053638C" w:rsidRPr="00E97ED3">
        <w:rPr>
          <w:rFonts w:ascii="Times New Roman" w:hAnsi="Times New Roman"/>
        </w:rPr>
        <w:t xml:space="preserve">, </w:t>
      </w:r>
      <w:r w:rsidR="00DF3738" w:rsidRPr="00E97ED3">
        <w:rPr>
          <w:rFonts w:ascii="Times New Roman" w:hAnsi="Times New Roman"/>
        </w:rPr>
        <w:t xml:space="preserve">but not when adjusting the </w:t>
      </w:r>
      <w:r w:rsidR="0053638C" w:rsidRPr="00E97ED3">
        <w:rPr>
          <w:rFonts w:ascii="Times New Roman" w:hAnsi="Times New Roman"/>
        </w:rPr>
        <w:t xml:space="preserve">p </w:t>
      </w:r>
      <w:r w:rsidR="00DF3738" w:rsidRPr="00E97ED3">
        <w:rPr>
          <w:rFonts w:ascii="Times New Roman" w:hAnsi="Times New Roman"/>
        </w:rPr>
        <w:t xml:space="preserve">value for multiple tests (0.198). </w:t>
      </w:r>
      <w:r w:rsidR="0053638C" w:rsidRPr="00E97ED3">
        <w:rPr>
          <w:rFonts w:ascii="Times New Roman" w:hAnsi="Times New Roman"/>
        </w:rPr>
        <w:t xml:space="preserve">α-Syn </w:t>
      </w:r>
      <w:r w:rsidR="002B5BC3" w:rsidRPr="00E97ED3">
        <w:rPr>
          <w:rFonts w:ascii="Times New Roman" w:hAnsi="Times New Roman"/>
        </w:rPr>
        <w:t>did</w:t>
      </w:r>
      <w:r w:rsidR="0053638C" w:rsidRPr="00E97ED3">
        <w:rPr>
          <w:rFonts w:ascii="Times New Roman" w:hAnsi="Times New Roman"/>
        </w:rPr>
        <w:t xml:space="preserve"> not correlate with Aβ42 levels (rho = 0.</w:t>
      </w:r>
      <w:r w:rsidR="00DF3738" w:rsidRPr="00E97ED3">
        <w:rPr>
          <w:rFonts w:ascii="Times New Roman" w:hAnsi="Times New Roman"/>
        </w:rPr>
        <w:t>199</w:t>
      </w:r>
      <w:r w:rsidR="0053638C" w:rsidRPr="00E97ED3">
        <w:rPr>
          <w:rFonts w:ascii="Times New Roman" w:hAnsi="Times New Roman"/>
        </w:rPr>
        <w:t>, p = 0.</w:t>
      </w:r>
      <w:r w:rsidR="00DF3738" w:rsidRPr="00E97ED3">
        <w:rPr>
          <w:rFonts w:ascii="Times New Roman" w:hAnsi="Times New Roman"/>
        </w:rPr>
        <w:t>310</w:t>
      </w:r>
      <w:r w:rsidR="0053638C" w:rsidRPr="00E97ED3">
        <w:rPr>
          <w:rFonts w:ascii="Times New Roman" w:hAnsi="Times New Roman"/>
        </w:rPr>
        <w:t xml:space="preserve">), </w:t>
      </w:r>
      <w:r w:rsidR="00071BF2" w:rsidRPr="00E97ED3">
        <w:rPr>
          <w:rFonts w:ascii="Times New Roman" w:hAnsi="Times New Roman"/>
        </w:rPr>
        <w:t>T-</w:t>
      </w:r>
      <w:r w:rsidR="00E102F3" w:rsidRPr="00E97ED3">
        <w:rPr>
          <w:rFonts w:ascii="Times New Roman" w:hAnsi="Times New Roman"/>
        </w:rPr>
        <w:t xml:space="preserve"> and </w:t>
      </w:r>
      <w:r w:rsidR="00071BF2" w:rsidRPr="00E97ED3">
        <w:rPr>
          <w:rFonts w:ascii="Times New Roman" w:hAnsi="Times New Roman"/>
        </w:rPr>
        <w:t>P-</w:t>
      </w:r>
      <w:r w:rsidR="002447D6" w:rsidRPr="00E97ED3">
        <w:rPr>
          <w:rFonts w:ascii="Times New Roman" w:hAnsi="Times New Roman"/>
        </w:rPr>
        <w:t>tau levels (</w:t>
      </w:r>
      <w:r w:rsidR="00DF3738" w:rsidRPr="00E97ED3">
        <w:rPr>
          <w:rFonts w:ascii="Times New Roman" w:hAnsi="Times New Roman"/>
        </w:rPr>
        <w:t>p values ≥ 0.500</w:t>
      </w:r>
      <w:r w:rsidR="002447D6" w:rsidRPr="00E97ED3">
        <w:rPr>
          <w:rFonts w:ascii="Times New Roman" w:hAnsi="Times New Roman"/>
        </w:rPr>
        <w:t xml:space="preserve">), </w:t>
      </w:r>
      <w:r w:rsidR="0053638C" w:rsidRPr="00E97ED3">
        <w:rPr>
          <w:rFonts w:ascii="Times New Roman" w:hAnsi="Times New Roman"/>
        </w:rPr>
        <w:t>or memory (p values ≥ 0.</w:t>
      </w:r>
      <w:r w:rsidR="00E9032C" w:rsidRPr="00E97ED3">
        <w:rPr>
          <w:rFonts w:ascii="Times New Roman" w:hAnsi="Times New Roman"/>
        </w:rPr>
        <w:t>200</w:t>
      </w:r>
      <w:r w:rsidR="0053638C" w:rsidRPr="00E97ED3">
        <w:rPr>
          <w:rFonts w:ascii="Times New Roman" w:hAnsi="Times New Roman"/>
        </w:rPr>
        <w:t xml:space="preserve">). Ng displayed a correlation with </w:t>
      </w:r>
      <w:r w:rsidR="00071BF2" w:rsidRPr="00E97ED3">
        <w:rPr>
          <w:rFonts w:ascii="Times New Roman" w:hAnsi="Times New Roman"/>
        </w:rPr>
        <w:t>P-</w:t>
      </w:r>
      <w:r w:rsidR="00E9032C" w:rsidRPr="00E97ED3">
        <w:rPr>
          <w:rFonts w:ascii="Times New Roman" w:hAnsi="Times New Roman"/>
        </w:rPr>
        <w:t xml:space="preserve">tau (rho = 0.374, p = 0.050), which was not significant according to adjustment (adjusted p = 0.348). Ng was also </w:t>
      </w:r>
      <w:r w:rsidR="003E16C8" w:rsidRPr="00E97ED3">
        <w:rPr>
          <w:rFonts w:ascii="Times New Roman" w:hAnsi="Times New Roman"/>
        </w:rPr>
        <w:t>positively correlated with</w:t>
      </w:r>
      <w:r w:rsidR="00E9032C" w:rsidRPr="00E97ED3">
        <w:rPr>
          <w:rFonts w:ascii="Times New Roman" w:hAnsi="Times New Roman"/>
        </w:rPr>
        <w:t xml:space="preserve"> </w:t>
      </w:r>
      <w:r w:rsidR="00A9354F" w:rsidRPr="00E97ED3">
        <w:rPr>
          <w:rFonts w:ascii="Times New Roman" w:hAnsi="Times New Roman"/>
        </w:rPr>
        <w:t>the recency ratio</w:t>
      </w:r>
      <w:r w:rsidR="0053638C" w:rsidRPr="00E97ED3">
        <w:rPr>
          <w:rFonts w:ascii="Times New Roman" w:hAnsi="Times New Roman"/>
        </w:rPr>
        <w:t xml:space="preserve"> (rho = 0.</w:t>
      </w:r>
      <w:r w:rsidR="003E16C8" w:rsidRPr="00E97ED3">
        <w:rPr>
          <w:rFonts w:ascii="Times New Roman" w:hAnsi="Times New Roman"/>
        </w:rPr>
        <w:t>593</w:t>
      </w:r>
      <w:r w:rsidR="0053638C" w:rsidRPr="00E97ED3">
        <w:rPr>
          <w:rFonts w:ascii="Times New Roman" w:hAnsi="Times New Roman"/>
        </w:rPr>
        <w:t>, p = 0.</w:t>
      </w:r>
      <w:r w:rsidR="003E16C8" w:rsidRPr="00E97ED3">
        <w:rPr>
          <w:rFonts w:ascii="Times New Roman" w:hAnsi="Times New Roman"/>
        </w:rPr>
        <w:t>001), surviving the</w:t>
      </w:r>
      <w:r w:rsidR="0053638C" w:rsidRPr="00E97ED3">
        <w:rPr>
          <w:rFonts w:ascii="Times New Roman" w:hAnsi="Times New Roman"/>
        </w:rPr>
        <w:t xml:space="preserve"> adjust</w:t>
      </w:r>
      <w:r w:rsidR="003E16C8" w:rsidRPr="00E97ED3">
        <w:rPr>
          <w:rFonts w:ascii="Times New Roman" w:hAnsi="Times New Roman"/>
        </w:rPr>
        <w:t>ment (adjusted</w:t>
      </w:r>
      <w:r w:rsidR="000D1FA7" w:rsidRPr="00E97ED3">
        <w:rPr>
          <w:rFonts w:ascii="Times New Roman" w:hAnsi="Times New Roman"/>
        </w:rPr>
        <w:t xml:space="preserve"> </w:t>
      </w:r>
      <w:r w:rsidR="0053638C" w:rsidRPr="00E97ED3">
        <w:rPr>
          <w:rFonts w:ascii="Times New Roman" w:hAnsi="Times New Roman"/>
        </w:rPr>
        <w:t xml:space="preserve">p </w:t>
      </w:r>
      <w:r w:rsidR="000D1FA7" w:rsidRPr="00E97ED3">
        <w:rPr>
          <w:rFonts w:ascii="Times New Roman" w:hAnsi="Times New Roman"/>
        </w:rPr>
        <w:t xml:space="preserve">value </w:t>
      </w:r>
      <w:r w:rsidR="0053638C" w:rsidRPr="00E97ED3">
        <w:rPr>
          <w:rFonts w:ascii="Times New Roman" w:hAnsi="Times New Roman"/>
        </w:rPr>
        <w:t>= 0.</w:t>
      </w:r>
      <w:r w:rsidR="003E16C8" w:rsidRPr="00E97ED3">
        <w:rPr>
          <w:rFonts w:ascii="Times New Roman" w:hAnsi="Times New Roman"/>
        </w:rPr>
        <w:t>022</w:t>
      </w:r>
      <w:r w:rsidR="0053638C" w:rsidRPr="00E97ED3">
        <w:rPr>
          <w:rFonts w:ascii="Times New Roman" w:hAnsi="Times New Roman"/>
        </w:rPr>
        <w:t>)</w:t>
      </w:r>
      <w:r w:rsidR="003E16C8" w:rsidRPr="00E97ED3">
        <w:rPr>
          <w:rFonts w:ascii="Times New Roman" w:hAnsi="Times New Roman"/>
        </w:rPr>
        <w:t xml:space="preserve">. Ng </w:t>
      </w:r>
      <w:r w:rsidR="0053638C" w:rsidRPr="00E97ED3">
        <w:rPr>
          <w:rFonts w:ascii="Times New Roman" w:hAnsi="Times New Roman"/>
        </w:rPr>
        <w:t>was not otherwise correlated with the other variables (p values ≥ 0.</w:t>
      </w:r>
      <w:r w:rsidR="003E16C8" w:rsidRPr="00E97ED3">
        <w:rPr>
          <w:rFonts w:ascii="Times New Roman" w:hAnsi="Times New Roman"/>
        </w:rPr>
        <w:t>069</w:t>
      </w:r>
      <w:r w:rsidR="0053638C" w:rsidRPr="00E97ED3">
        <w:rPr>
          <w:rFonts w:ascii="Times New Roman" w:hAnsi="Times New Roman"/>
        </w:rPr>
        <w:t>).</w:t>
      </w:r>
      <w:r w:rsidR="007C6A77" w:rsidRPr="00E97ED3">
        <w:rPr>
          <w:rFonts w:ascii="Times New Roman" w:hAnsi="Times New Roman"/>
        </w:rPr>
        <w:t xml:space="preserve"> See Figure.</w:t>
      </w:r>
    </w:p>
    <w:p w14:paraId="54302E29" w14:textId="5331FDC4" w:rsidR="00A9200F" w:rsidRPr="00E97ED3" w:rsidRDefault="005E42F2" w:rsidP="00A9200F">
      <w:pPr>
        <w:autoSpaceDE w:val="0"/>
        <w:autoSpaceDN w:val="0"/>
        <w:adjustRightInd w:val="0"/>
        <w:spacing w:after="0" w:line="480" w:lineRule="auto"/>
        <w:rPr>
          <w:rFonts w:ascii="Times New Roman" w:hAnsi="Times New Roman"/>
        </w:rPr>
      </w:pPr>
      <w:r w:rsidRPr="00E97ED3">
        <w:rPr>
          <w:rFonts w:ascii="Times New Roman" w:hAnsi="Times New Roman"/>
          <w:i/>
        </w:rPr>
        <w:t>Correlations controls</w:t>
      </w:r>
      <w:r w:rsidRPr="00E97ED3">
        <w:rPr>
          <w:rFonts w:ascii="Times New Roman" w:hAnsi="Times New Roman"/>
        </w:rPr>
        <w:t xml:space="preserve">. </w:t>
      </w:r>
      <w:r w:rsidR="00AC2D77" w:rsidRPr="00E97ED3">
        <w:rPr>
          <w:rFonts w:ascii="Times New Roman" w:hAnsi="Times New Roman"/>
        </w:rPr>
        <w:t xml:space="preserve">None of the correlations in this set </w:t>
      </w:r>
      <w:r w:rsidR="003E16C8" w:rsidRPr="00E97ED3">
        <w:rPr>
          <w:rFonts w:ascii="Times New Roman" w:hAnsi="Times New Roman"/>
        </w:rPr>
        <w:t xml:space="preserve">approached significance </w:t>
      </w:r>
      <w:r w:rsidR="00AC2D77" w:rsidRPr="00E97ED3">
        <w:rPr>
          <w:rFonts w:ascii="Times New Roman" w:hAnsi="Times New Roman"/>
        </w:rPr>
        <w:t>(p values ≥ 0.</w:t>
      </w:r>
      <w:r w:rsidR="003E16C8" w:rsidRPr="00E97ED3">
        <w:rPr>
          <w:rFonts w:ascii="Times New Roman" w:hAnsi="Times New Roman"/>
        </w:rPr>
        <w:t>145</w:t>
      </w:r>
      <w:r w:rsidR="00F91EB0" w:rsidRPr="00E97ED3">
        <w:rPr>
          <w:rFonts w:ascii="Times New Roman" w:hAnsi="Times New Roman"/>
        </w:rPr>
        <w:t>; see Figure</w:t>
      </w:r>
      <w:r w:rsidR="00AC2D77" w:rsidRPr="00E97ED3">
        <w:rPr>
          <w:rFonts w:ascii="Times New Roman" w:hAnsi="Times New Roman"/>
        </w:rPr>
        <w:t>).</w:t>
      </w:r>
    </w:p>
    <w:p w14:paraId="141AA2FA" w14:textId="66179F90" w:rsidR="00AC0F30" w:rsidRPr="00E97ED3" w:rsidRDefault="00930D6A" w:rsidP="00AC0F30">
      <w:pPr>
        <w:autoSpaceDE w:val="0"/>
        <w:autoSpaceDN w:val="0"/>
        <w:adjustRightInd w:val="0"/>
        <w:spacing w:after="0" w:line="480" w:lineRule="auto"/>
        <w:rPr>
          <w:rFonts w:ascii="Times New Roman" w:hAnsi="Times New Roman"/>
        </w:rPr>
      </w:pPr>
      <w:r w:rsidRPr="00E97ED3">
        <w:rPr>
          <w:rFonts w:ascii="Times New Roman" w:hAnsi="Times New Roman"/>
          <w:i/>
        </w:rPr>
        <w:t>Correlations with severity of depression</w:t>
      </w:r>
      <w:r w:rsidRPr="00E97ED3">
        <w:rPr>
          <w:rFonts w:ascii="Times New Roman" w:hAnsi="Times New Roman"/>
        </w:rPr>
        <w:t xml:space="preserve">. </w:t>
      </w:r>
      <w:r w:rsidR="00AC0F30" w:rsidRPr="00E97ED3">
        <w:rPr>
          <w:rFonts w:ascii="Times New Roman" w:hAnsi="Times New Roman"/>
        </w:rPr>
        <w:t>α-Syn did not correlate with the H</w:t>
      </w:r>
      <w:r w:rsidR="00031FA0" w:rsidRPr="00E97ED3">
        <w:rPr>
          <w:rFonts w:ascii="Times New Roman" w:hAnsi="Times New Roman"/>
        </w:rPr>
        <w:t>AM</w:t>
      </w:r>
      <w:r w:rsidR="00AC0F30" w:rsidRPr="00E97ED3">
        <w:rPr>
          <w:rFonts w:ascii="Times New Roman" w:hAnsi="Times New Roman"/>
        </w:rPr>
        <w:t>-D score in either group (p values ≥ 0.350).</w:t>
      </w:r>
    </w:p>
    <w:p w14:paraId="10BB0CA4" w14:textId="7E8A904B" w:rsidR="005E42F2" w:rsidRPr="00E97ED3" w:rsidRDefault="005E42F2" w:rsidP="00AC0F30">
      <w:pPr>
        <w:autoSpaceDE w:val="0"/>
        <w:autoSpaceDN w:val="0"/>
        <w:adjustRightInd w:val="0"/>
        <w:spacing w:after="0" w:line="480" w:lineRule="auto"/>
        <w:jc w:val="center"/>
        <w:rPr>
          <w:rFonts w:ascii="Times New Roman" w:hAnsi="Times New Roman"/>
        </w:rPr>
      </w:pPr>
      <w:r w:rsidRPr="00E97ED3">
        <w:rPr>
          <w:rFonts w:ascii="Times New Roman" w:hAnsi="Times New Roman"/>
          <w:shd w:val="clear" w:color="auto" w:fill="FFFFFF"/>
        </w:rPr>
        <w:t>Put Table</w:t>
      </w:r>
      <w:r w:rsidR="00A9200F" w:rsidRPr="00E97ED3">
        <w:rPr>
          <w:rFonts w:ascii="Times New Roman" w:hAnsi="Times New Roman"/>
          <w:shd w:val="clear" w:color="auto" w:fill="FFFFFF"/>
        </w:rPr>
        <w:t>s</w:t>
      </w:r>
      <w:r w:rsidRPr="00E97ED3">
        <w:rPr>
          <w:rFonts w:ascii="Times New Roman" w:hAnsi="Times New Roman"/>
          <w:shd w:val="clear" w:color="auto" w:fill="FFFFFF"/>
        </w:rPr>
        <w:t xml:space="preserve"> and Figure about here</w:t>
      </w:r>
    </w:p>
    <w:p w14:paraId="5024827D" w14:textId="77777777" w:rsidR="004D7D7F" w:rsidRPr="00E97ED3" w:rsidRDefault="004D7D7F" w:rsidP="001C14DB">
      <w:pPr>
        <w:spacing w:after="0" w:line="480" w:lineRule="auto"/>
        <w:jc w:val="center"/>
        <w:rPr>
          <w:rFonts w:ascii="Times New Roman" w:hAnsi="Times New Roman"/>
        </w:rPr>
      </w:pPr>
    </w:p>
    <w:p w14:paraId="0E5F5A42" w14:textId="77777777" w:rsidR="004D7D7F" w:rsidRPr="00E97ED3" w:rsidRDefault="004D7D7F" w:rsidP="001C14DB">
      <w:pPr>
        <w:spacing w:after="0" w:line="480" w:lineRule="auto"/>
        <w:jc w:val="center"/>
        <w:rPr>
          <w:rFonts w:ascii="Times New Roman" w:hAnsi="Times New Roman"/>
        </w:rPr>
      </w:pPr>
    </w:p>
    <w:p w14:paraId="72E0AB2E" w14:textId="4523ED9C" w:rsidR="005E42F2" w:rsidRPr="00E97ED3" w:rsidRDefault="005E42F2" w:rsidP="001C14DB">
      <w:pPr>
        <w:spacing w:after="0" w:line="480" w:lineRule="auto"/>
        <w:jc w:val="center"/>
        <w:rPr>
          <w:rFonts w:ascii="Times New Roman" w:hAnsi="Times New Roman"/>
        </w:rPr>
      </w:pPr>
      <w:r w:rsidRPr="00E97ED3">
        <w:rPr>
          <w:rFonts w:ascii="Times New Roman" w:hAnsi="Times New Roman"/>
        </w:rPr>
        <w:lastRenderedPageBreak/>
        <w:t>Discussion</w:t>
      </w:r>
    </w:p>
    <w:p w14:paraId="776C40A2" w14:textId="2383D5B9" w:rsidR="00C93F99" w:rsidRPr="00E97ED3" w:rsidRDefault="00C93F99" w:rsidP="00C93F99">
      <w:pPr>
        <w:autoSpaceDE w:val="0"/>
        <w:autoSpaceDN w:val="0"/>
        <w:adjustRightInd w:val="0"/>
        <w:spacing w:after="0" w:line="480" w:lineRule="auto"/>
        <w:ind w:firstLine="567"/>
        <w:rPr>
          <w:rFonts w:ascii="Times New Roman" w:hAnsi="Times New Roman"/>
        </w:rPr>
      </w:pPr>
      <w:r w:rsidRPr="00E97ED3">
        <w:rPr>
          <w:rFonts w:ascii="Times New Roman" w:hAnsi="Times New Roman"/>
        </w:rPr>
        <w:t xml:space="preserve">To our knowledge, this was the first report examining CSF α-Syn in individuals with late life MDD. We hypothesised that higher levels of CFS α-Syn would be associated with increased CSF Ng, which signals </w:t>
      </w:r>
      <w:r w:rsidR="0052107B" w:rsidRPr="00E97ED3">
        <w:rPr>
          <w:rFonts w:ascii="Times New Roman" w:hAnsi="Times New Roman"/>
        </w:rPr>
        <w:t>greater</w:t>
      </w:r>
      <w:r w:rsidRPr="00E97ED3">
        <w:rPr>
          <w:rFonts w:ascii="Times New Roman" w:hAnsi="Times New Roman"/>
        </w:rPr>
        <w:t xml:space="preserve"> synaptic dysfunction, and poorer memory ability. The results of our study only confirmed our hypothesis in part. First, we did find that elevated levels of CSF α-Syn in depressed individuals were associated with increased CSF Ng, but this finding did not survive statistical checks for multiple testing. </w:t>
      </w:r>
      <w:r w:rsidR="009067C1" w:rsidRPr="00E97ED3">
        <w:rPr>
          <w:rFonts w:ascii="Times New Roman" w:hAnsi="Times New Roman"/>
        </w:rPr>
        <w:t>This suggests that this relationship should be considered exploratory, at this time, and requires further confirmation. Second, we did not observe a direct association between CSF α-Syn and memory ability in the depressed subjects, but we did see an indirect association</w:t>
      </w:r>
      <w:r w:rsidR="0052107B" w:rsidRPr="00E97ED3">
        <w:rPr>
          <w:rFonts w:ascii="Times New Roman" w:hAnsi="Times New Roman"/>
        </w:rPr>
        <w:t xml:space="preserve"> with </w:t>
      </w:r>
      <w:r w:rsidR="009067C1" w:rsidRPr="00E97ED3">
        <w:rPr>
          <w:rFonts w:ascii="Times New Roman" w:hAnsi="Times New Roman"/>
        </w:rPr>
        <w:t xml:space="preserve">memory ability, as indexed by </w:t>
      </w:r>
      <w:r w:rsidR="002C4197" w:rsidRPr="00E97ED3">
        <w:rPr>
          <w:rFonts w:ascii="Times New Roman" w:hAnsi="Times New Roman"/>
        </w:rPr>
        <w:t>the recency ratio</w:t>
      </w:r>
      <w:r w:rsidR="009067C1" w:rsidRPr="00E97ED3">
        <w:rPr>
          <w:rFonts w:ascii="Times New Roman" w:hAnsi="Times New Roman"/>
        </w:rPr>
        <w:t xml:space="preserve">, </w:t>
      </w:r>
      <w:r w:rsidR="0052107B" w:rsidRPr="00E97ED3">
        <w:rPr>
          <w:rFonts w:ascii="Times New Roman" w:hAnsi="Times New Roman"/>
        </w:rPr>
        <w:t xml:space="preserve">such that memory </w:t>
      </w:r>
      <w:r w:rsidR="009067C1" w:rsidRPr="00E97ED3">
        <w:rPr>
          <w:rFonts w:ascii="Times New Roman" w:hAnsi="Times New Roman"/>
        </w:rPr>
        <w:t xml:space="preserve">was poorer when CSF levels of Ng were higher. </w:t>
      </w:r>
    </w:p>
    <w:p w14:paraId="6F7CD8C4" w14:textId="5A85536D" w:rsidR="000F168D" w:rsidRPr="00E97ED3" w:rsidRDefault="009A2F50" w:rsidP="000F168D">
      <w:pPr>
        <w:autoSpaceDE w:val="0"/>
        <w:autoSpaceDN w:val="0"/>
        <w:adjustRightInd w:val="0"/>
        <w:spacing w:after="0" w:line="480" w:lineRule="auto"/>
        <w:ind w:firstLine="567"/>
        <w:rPr>
          <w:rFonts w:ascii="Times New Roman" w:hAnsi="Times New Roman"/>
        </w:rPr>
      </w:pPr>
      <w:r w:rsidRPr="00E97ED3">
        <w:rPr>
          <w:rFonts w:ascii="Times New Roman" w:hAnsi="Times New Roman"/>
        </w:rPr>
        <w:t>We did not observe any association between CSF α-Syn and the ATN biomarkers in either cohort. This finding is not entirely consistent with that in a re</w:t>
      </w:r>
      <w:r w:rsidR="00FF18BA" w:rsidRPr="00E97ED3">
        <w:rPr>
          <w:rFonts w:ascii="Times New Roman" w:hAnsi="Times New Roman"/>
        </w:rPr>
        <w:t>cent report by Vergallo et al. [</w:t>
      </w:r>
      <w:r w:rsidR="00532601" w:rsidRPr="00E97ED3">
        <w:rPr>
          <w:rFonts w:ascii="Times New Roman" w:hAnsi="Times New Roman"/>
        </w:rPr>
        <w:t>2</w:t>
      </w:r>
      <w:r w:rsidR="00D97861" w:rsidRPr="00E97ED3">
        <w:rPr>
          <w:rFonts w:ascii="Times New Roman" w:hAnsi="Times New Roman"/>
        </w:rPr>
        <w:t>5</w:t>
      </w:r>
      <w:r w:rsidR="00FF18BA" w:rsidRPr="00E97ED3">
        <w:rPr>
          <w:rFonts w:ascii="Times New Roman" w:hAnsi="Times New Roman"/>
        </w:rPr>
        <w:t>]</w:t>
      </w:r>
      <w:r w:rsidRPr="00E97ED3">
        <w:rPr>
          <w:rFonts w:ascii="Times New Roman" w:hAnsi="Times New Roman"/>
        </w:rPr>
        <w:t xml:space="preserve">, who found that CSF α-Syn was positively correlated with CSF </w:t>
      </w:r>
      <w:r w:rsidR="00071BF2" w:rsidRPr="00E97ED3">
        <w:rPr>
          <w:rFonts w:ascii="Times New Roman" w:hAnsi="Times New Roman"/>
        </w:rPr>
        <w:t>T</w:t>
      </w:r>
      <w:r w:rsidRPr="00E97ED3">
        <w:rPr>
          <w:rFonts w:ascii="Times New Roman" w:hAnsi="Times New Roman"/>
        </w:rPr>
        <w:t xml:space="preserve">- and </w:t>
      </w:r>
      <w:r w:rsidR="00071BF2" w:rsidRPr="00E97ED3">
        <w:rPr>
          <w:rFonts w:ascii="Times New Roman" w:hAnsi="Times New Roman"/>
        </w:rPr>
        <w:t>P</w:t>
      </w:r>
      <w:r w:rsidRPr="00E97ED3">
        <w:rPr>
          <w:rFonts w:ascii="Times New Roman" w:hAnsi="Times New Roman"/>
        </w:rPr>
        <w:t>-tau levels as well as brain amyloid β levels.</w:t>
      </w:r>
      <w:r w:rsidR="00E4088D" w:rsidRPr="00E97ED3">
        <w:rPr>
          <w:rFonts w:ascii="Times New Roman" w:hAnsi="Times New Roman"/>
        </w:rPr>
        <w:t xml:space="preserve"> A few notable differences across the two studies are the following. First, our subjects were diagnosed with MDD, whereas Vergallo et al.’s participants are free of clinical psychiatric diagnoses</w:t>
      </w:r>
      <w:r w:rsidR="001E4C01" w:rsidRPr="00E97ED3">
        <w:rPr>
          <w:rFonts w:ascii="Times New Roman" w:hAnsi="Times New Roman"/>
        </w:rPr>
        <w:t xml:space="preserve">. </w:t>
      </w:r>
      <w:bookmarkStart w:id="1" w:name="_GoBack"/>
      <w:bookmarkEnd w:id="1"/>
      <w:r w:rsidR="001E4C01" w:rsidRPr="00E97ED3">
        <w:rPr>
          <w:rFonts w:ascii="Times New Roman" w:hAnsi="Times New Roman"/>
        </w:rPr>
        <w:t xml:space="preserve">Taking that into consideration, </w:t>
      </w:r>
      <w:r w:rsidR="00E4088D" w:rsidRPr="00E97ED3">
        <w:rPr>
          <w:rFonts w:ascii="Times New Roman" w:hAnsi="Times New Roman"/>
        </w:rPr>
        <w:t xml:space="preserve">our results are consistent </w:t>
      </w:r>
      <w:r w:rsidR="00FF18BA" w:rsidRPr="00E97ED3">
        <w:rPr>
          <w:rFonts w:ascii="Times New Roman" w:hAnsi="Times New Roman"/>
        </w:rPr>
        <w:t>with Vergallo et al.’s [</w:t>
      </w:r>
      <w:r w:rsidR="001E4C01" w:rsidRPr="00E97ED3">
        <w:rPr>
          <w:rFonts w:ascii="Times New Roman" w:hAnsi="Times New Roman"/>
        </w:rPr>
        <w:t>25</w:t>
      </w:r>
      <w:r w:rsidR="00FF18BA" w:rsidRPr="00E97ED3">
        <w:rPr>
          <w:rFonts w:ascii="Times New Roman" w:hAnsi="Times New Roman"/>
        </w:rPr>
        <w:t>]</w:t>
      </w:r>
      <w:r w:rsidR="001E4C01" w:rsidRPr="00E97ED3">
        <w:rPr>
          <w:rFonts w:ascii="Times New Roman" w:hAnsi="Times New Roman"/>
        </w:rPr>
        <w:t xml:space="preserve"> </w:t>
      </w:r>
      <w:r w:rsidR="00E4088D" w:rsidRPr="00E97ED3">
        <w:rPr>
          <w:rFonts w:ascii="Times New Roman" w:hAnsi="Times New Roman"/>
        </w:rPr>
        <w:t>since we did not find any association between CSF α-Syn and ATN biomarkers in controls either. However, it should be noted that Vergallo et al.’s subjects reported subjective memory complaints, which often are</w:t>
      </w:r>
      <w:r w:rsidR="00FF18BA" w:rsidRPr="00E97ED3">
        <w:rPr>
          <w:rFonts w:ascii="Times New Roman" w:hAnsi="Times New Roman"/>
        </w:rPr>
        <w:t xml:space="preserve"> linked with mood disturbances [</w:t>
      </w:r>
      <w:r w:rsidR="00532601" w:rsidRPr="00E97ED3">
        <w:rPr>
          <w:rFonts w:ascii="Times New Roman" w:hAnsi="Times New Roman"/>
        </w:rPr>
        <w:t>2</w:t>
      </w:r>
      <w:r w:rsidR="00D97861" w:rsidRPr="00E97ED3">
        <w:rPr>
          <w:rFonts w:ascii="Times New Roman" w:hAnsi="Times New Roman"/>
        </w:rPr>
        <w:t>6</w:t>
      </w:r>
      <w:r w:rsidR="00FF18BA" w:rsidRPr="00E97ED3">
        <w:rPr>
          <w:rFonts w:ascii="Times New Roman" w:hAnsi="Times New Roman"/>
        </w:rPr>
        <w:t>]</w:t>
      </w:r>
      <w:r w:rsidR="00E4088D" w:rsidRPr="00E97ED3">
        <w:rPr>
          <w:rFonts w:ascii="Times New Roman" w:hAnsi="Times New Roman"/>
        </w:rPr>
        <w:t>.</w:t>
      </w:r>
      <w:r w:rsidR="006B6390" w:rsidRPr="00E97ED3">
        <w:rPr>
          <w:rFonts w:ascii="Times New Roman" w:hAnsi="Times New Roman"/>
        </w:rPr>
        <w:t xml:space="preserve"> Second, our participants were generally younger, and age may have an impact on the relationship between CSF α-Syn and other biomarkers.</w:t>
      </w:r>
    </w:p>
    <w:p w14:paraId="2CCA97CA" w14:textId="4050FDC3" w:rsidR="009B39F3" w:rsidRPr="00E97ED3" w:rsidRDefault="000F168D" w:rsidP="009B39F3">
      <w:pPr>
        <w:autoSpaceDE w:val="0"/>
        <w:autoSpaceDN w:val="0"/>
        <w:adjustRightInd w:val="0"/>
        <w:spacing w:after="0" w:line="480" w:lineRule="auto"/>
        <w:ind w:firstLine="567"/>
        <w:rPr>
          <w:rFonts w:ascii="Times New Roman" w:hAnsi="Times New Roman"/>
        </w:rPr>
      </w:pPr>
      <w:r w:rsidRPr="00E97ED3">
        <w:rPr>
          <w:rFonts w:ascii="Times New Roman" w:hAnsi="Times New Roman"/>
        </w:rPr>
        <w:t>E</w:t>
      </w:r>
      <w:r w:rsidR="000A0D31" w:rsidRPr="00E97ED3">
        <w:rPr>
          <w:rFonts w:ascii="Times New Roman" w:hAnsi="Times New Roman"/>
        </w:rPr>
        <w:t>levations of CSF Ng, a post</w:t>
      </w:r>
      <w:r w:rsidR="002B5BC3" w:rsidRPr="00E97ED3">
        <w:rPr>
          <w:rFonts w:ascii="Times New Roman" w:hAnsi="Times New Roman"/>
        </w:rPr>
        <w:t>-</w:t>
      </w:r>
      <w:r w:rsidRPr="00E97ED3">
        <w:rPr>
          <w:rFonts w:ascii="Times New Roman" w:hAnsi="Times New Roman"/>
        </w:rPr>
        <w:t xml:space="preserve">synaptic protein, have been reported to reflect </w:t>
      </w:r>
      <w:r w:rsidR="00A47E3E" w:rsidRPr="00E97ED3">
        <w:rPr>
          <w:rFonts w:ascii="Times New Roman" w:hAnsi="Times New Roman"/>
        </w:rPr>
        <w:t>synaptic</w:t>
      </w:r>
      <w:r w:rsidRPr="00E97ED3">
        <w:rPr>
          <w:rFonts w:ascii="Times New Roman" w:hAnsi="Times New Roman"/>
        </w:rPr>
        <w:t xml:space="preserve"> degeneration in </w:t>
      </w:r>
      <w:r w:rsidR="000A0D31" w:rsidRPr="00E97ED3">
        <w:rPr>
          <w:rFonts w:ascii="Times New Roman" w:hAnsi="Times New Roman"/>
        </w:rPr>
        <w:t xml:space="preserve">both </w:t>
      </w:r>
      <w:r w:rsidRPr="00E97ED3">
        <w:rPr>
          <w:rFonts w:ascii="Times New Roman" w:hAnsi="Times New Roman"/>
        </w:rPr>
        <w:t xml:space="preserve">AD and </w:t>
      </w:r>
      <w:r w:rsidR="000A0D31" w:rsidRPr="00E97ED3">
        <w:rPr>
          <w:rFonts w:ascii="Times New Roman" w:hAnsi="Times New Roman"/>
        </w:rPr>
        <w:t>mild cognitive impairment (</w:t>
      </w:r>
      <w:r w:rsidRPr="00E97ED3">
        <w:rPr>
          <w:rFonts w:ascii="Times New Roman" w:hAnsi="Times New Roman"/>
        </w:rPr>
        <w:t>MCI</w:t>
      </w:r>
      <w:r w:rsidR="000A0D31" w:rsidRPr="00E97ED3">
        <w:rPr>
          <w:rFonts w:ascii="Times New Roman" w:hAnsi="Times New Roman"/>
        </w:rPr>
        <w:t>)</w:t>
      </w:r>
      <w:r w:rsidR="008B654A" w:rsidRPr="00E97ED3">
        <w:rPr>
          <w:rFonts w:ascii="Times New Roman" w:hAnsi="Times New Roman"/>
        </w:rPr>
        <w:t>, a preclinical stage of AD,</w:t>
      </w:r>
      <w:r w:rsidRPr="00E97ED3">
        <w:rPr>
          <w:rFonts w:ascii="Times New Roman" w:hAnsi="Times New Roman"/>
        </w:rPr>
        <w:t xml:space="preserve"> and are associated with greater cognitive deficits and longitudinal decline </w:t>
      </w:r>
      <w:r w:rsidR="00FF18BA" w:rsidRPr="00E97ED3">
        <w:rPr>
          <w:rFonts w:ascii="Times New Roman" w:hAnsi="Times New Roman"/>
        </w:rPr>
        <w:t>[</w:t>
      </w:r>
      <w:r w:rsidR="00D97861" w:rsidRPr="00E97ED3">
        <w:rPr>
          <w:rFonts w:ascii="Times New Roman" w:hAnsi="Times New Roman"/>
        </w:rPr>
        <w:t>20</w:t>
      </w:r>
      <w:r w:rsidR="00D30DAA" w:rsidRPr="00E97ED3">
        <w:rPr>
          <w:rFonts w:ascii="Times New Roman" w:hAnsi="Times New Roman"/>
        </w:rPr>
        <w:t>, 2</w:t>
      </w:r>
      <w:r w:rsidR="00D97861" w:rsidRPr="00E97ED3">
        <w:rPr>
          <w:rFonts w:ascii="Times New Roman" w:hAnsi="Times New Roman"/>
        </w:rPr>
        <w:t>7</w:t>
      </w:r>
      <w:r w:rsidR="00FF18BA" w:rsidRPr="00E97ED3">
        <w:rPr>
          <w:rFonts w:ascii="Times New Roman" w:hAnsi="Times New Roman"/>
        </w:rPr>
        <w:t>]</w:t>
      </w:r>
      <w:r w:rsidRPr="00E97ED3">
        <w:rPr>
          <w:rFonts w:ascii="Times New Roman" w:hAnsi="Times New Roman"/>
        </w:rPr>
        <w:t xml:space="preserve">. </w:t>
      </w:r>
      <w:r w:rsidR="00036E30" w:rsidRPr="00E97ED3">
        <w:rPr>
          <w:rFonts w:ascii="Times New Roman" w:hAnsi="Times New Roman"/>
        </w:rPr>
        <w:t>A</w:t>
      </w:r>
      <w:r w:rsidR="009B39F3" w:rsidRPr="00E97ED3">
        <w:rPr>
          <w:rFonts w:ascii="Times New Roman" w:hAnsi="Times New Roman"/>
        </w:rPr>
        <w:t xml:space="preserve"> lack of significant associations between CSF α-Syn and </w:t>
      </w:r>
      <w:r w:rsidR="002367A1" w:rsidRPr="00E97ED3">
        <w:rPr>
          <w:rFonts w:ascii="Times New Roman" w:hAnsi="Times New Roman"/>
        </w:rPr>
        <w:t>neurodegenerative</w:t>
      </w:r>
      <w:r w:rsidR="009B39F3" w:rsidRPr="00E97ED3">
        <w:rPr>
          <w:rFonts w:ascii="Times New Roman" w:hAnsi="Times New Roman"/>
        </w:rPr>
        <w:t xml:space="preserve"> markers in depression</w:t>
      </w:r>
      <w:r w:rsidR="002367A1" w:rsidRPr="00E97ED3">
        <w:rPr>
          <w:rFonts w:ascii="Times New Roman" w:hAnsi="Times New Roman"/>
        </w:rPr>
        <w:t>, in conjunction with a</w:t>
      </w:r>
      <w:r w:rsidR="009B39F3" w:rsidRPr="00E97ED3">
        <w:rPr>
          <w:rFonts w:ascii="Times New Roman" w:hAnsi="Times New Roman"/>
        </w:rPr>
        <w:t xml:space="preserve"> positive correlation </w:t>
      </w:r>
      <w:r w:rsidR="00036E30" w:rsidRPr="00E97ED3">
        <w:rPr>
          <w:rFonts w:ascii="Times New Roman" w:hAnsi="Times New Roman"/>
        </w:rPr>
        <w:t>between CSF α-Syn and</w:t>
      </w:r>
      <w:r w:rsidR="009B39F3" w:rsidRPr="00E97ED3">
        <w:rPr>
          <w:rFonts w:ascii="Times New Roman" w:hAnsi="Times New Roman"/>
        </w:rPr>
        <w:t xml:space="preserve"> CSF Ng concentrations</w:t>
      </w:r>
      <w:r w:rsidR="002367A1" w:rsidRPr="00E97ED3">
        <w:rPr>
          <w:rFonts w:ascii="Times New Roman" w:hAnsi="Times New Roman"/>
        </w:rPr>
        <w:t>,</w:t>
      </w:r>
      <w:r w:rsidR="009B39F3" w:rsidRPr="00E97ED3">
        <w:rPr>
          <w:rFonts w:ascii="Times New Roman" w:hAnsi="Times New Roman"/>
        </w:rPr>
        <w:t xml:space="preserve"> </w:t>
      </w:r>
      <w:r w:rsidR="002367A1" w:rsidRPr="00E97ED3">
        <w:rPr>
          <w:rFonts w:ascii="Times New Roman" w:hAnsi="Times New Roman"/>
        </w:rPr>
        <w:t xml:space="preserve">may suggest </w:t>
      </w:r>
      <w:r w:rsidR="009B39F3" w:rsidRPr="00E97ED3">
        <w:rPr>
          <w:rFonts w:ascii="Times New Roman" w:hAnsi="Times New Roman"/>
        </w:rPr>
        <w:t xml:space="preserve">that changes in presynaptic aggregations of </w:t>
      </w:r>
      <w:r w:rsidR="002367A1" w:rsidRPr="00E97ED3">
        <w:rPr>
          <w:rFonts w:ascii="Times New Roman" w:hAnsi="Times New Roman"/>
        </w:rPr>
        <w:t xml:space="preserve">α-Syn </w:t>
      </w:r>
      <w:r w:rsidR="009B39F3" w:rsidRPr="00E97ED3">
        <w:rPr>
          <w:rFonts w:ascii="Times New Roman" w:hAnsi="Times New Roman"/>
        </w:rPr>
        <w:t xml:space="preserve">impact on neuronal activity and Ng release as reported for </w:t>
      </w:r>
      <w:r w:rsidRPr="00E97ED3">
        <w:rPr>
          <w:rFonts w:ascii="Times New Roman" w:hAnsi="Times New Roman"/>
        </w:rPr>
        <w:t>PD</w:t>
      </w:r>
      <w:r w:rsidR="00FF18BA" w:rsidRPr="00E97ED3">
        <w:rPr>
          <w:rFonts w:ascii="Times New Roman" w:hAnsi="Times New Roman"/>
        </w:rPr>
        <w:t xml:space="preserve"> [</w:t>
      </w:r>
      <w:r w:rsidR="00312948" w:rsidRPr="00E97ED3">
        <w:rPr>
          <w:rFonts w:ascii="Times New Roman" w:hAnsi="Times New Roman"/>
        </w:rPr>
        <w:t>11</w:t>
      </w:r>
      <w:r w:rsidR="00FF18BA" w:rsidRPr="00E97ED3">
        <w:rPr>
          <w:rFonts w:ascii="Times New Roman" w:hAnsi="Times New Roman"/>
        </w:rPr>
        <w:t>]</w:t>
      </w:r>
      <w:r w:rsidR="009B39F3" w:rsidRPr="00E97ED3">
        <w:rPr>
          <w:rFonts w:ascii="Times New Roman" w:hAnsi="Times New Roman"/>
        </w:rPr>
        <w:t>.</w:t>
      </w:r>
    </w:p>
    <w:p w14:paraId="1690D924" w14:textId="3ECEE06E" w:rsidR="00996911" w:rsidRPr="00E97ED3" w:rsidRDefault="004B1C60" w:rsidP="00996911">
      <w:pPr>
        <w:autoSpaceDE w:val="0"/>
        <w:autoSpaceDN w:val="0"/>
        <w:adjustRightInd w:val="0"/>
        <w:spacing w:after="0" w:line="480" w:lineRule="auto"/>
        <w:ind w:firstLine="567"/>
        <w:rPr>
          <w:rFonts w:ascii="Times New Roman" w:hAnsi="Times New Roman"/>
        </w:rPr>
      </w:pPr>
      <w:r w:rsidRPr="00E97ED3">
        <w:rPr>
          <w:rFonts w:ascii="Times New Roman" w:hAnsi="Times New Roman"/>
        </w:rPr>
        <w:lastRenderedPageBreak/>
        <w:t>We did not observe a difference in CSF</w:t>
      </w:r>
      <w:r w:rsidR="00E4088D" w:rsidRPr="00E97ED3">
        <w:rPr>
          <w:rFonts w:ascii="Times New Roman" w:hAnsi="Times New Roman"/>
        </w:rPr>
        <w:t xml:space="preserve"> </w:t>
      </w:r>
      <w:r w:rsidRPr="00E97ED3">
        <w:rPr>
          <w:rFonts w:ascii="Times New Roman" w:hAnsi="Times New Roman"/>
        </w:rPr>
        <w:t>α-Syn levels across individuals with late-life MDD and controls. This finding is in contrast with what previous</w:t>
      </w:r>
      <w:r w:rsidR="00FF18BA" w:rsidRPr="00E97ED3">
        <w:rPr>
          <w:rFonts w:ascii="Times New Roman" w:hAnsi="Times New Roman"/>
        </w:rPr>
        <w:t>ly reported by Ishiguro et al. [</w:t>
      </w:r>
      <w:r w:rsidR="009E3DB6" w:rsidRPr="00E97ED3">
        <w:rPr>
          <w:rFonts w:ascii="Times New Roman" w:hAnsi="Times New Roman"/>
        </w:rPr>
        <w:t>13</w:t>
      </w:r>
      <w:r w:rsidR="00FF18BA" w:rsidRPr="00E97ED3">
        <w:rPr>
          <w:rFonts w:ascii="Times New Roman" w:hAnsi="Times New Roman"/>
        </w:rPr>
        <w:t>]</w:t>
      </w:r>
      <w:r w:rsidRPr="00E97ED3">
        <w:rPr>
          <w:rFonts w:ascii="Times New Roman" w:hAnsi="Times New Roman"/>
        </w:rPr>
        <w:t>, who examined serum α-Syn levels. It is possible, therefore, that, while depression-related differences are detectable in serum, they are harder to identify when examining CSF. However, a more likely explan</w:t>
      </w:r>
      <w:r w:rsidR="001A6C5C" w:rsidRPr="00E97ED3">
        <w:rPr>
          <w:rFonts w:ascii="Times New Roman" w:hAnsi="Times New Roman"/>
        </w:rPr>
        <w:t>a</w:t>
      </w:r>
      <w:r w:rsidRPr="00E97ED3">
        <w:rPr>
          <w:rFonts w:ascii="Times New Roman" w:hAnsi="Times New Roman"/>
        </w:rPr>
        <w:t>ti</w:t>
      </w:r>
      <w:r w:rsidR="001A6C5C" w:rsidRPr="00E97ED3">
        <w:rPr>
          <w:rFonts w:ascii="Times New Roman" w:hAnsi="Times New Roman"/>
        </w:rPr>
        <w:t>o</w:t>
      </w:r>
      <w:r w:rsidRPr="00E97ED3">
        <w:rPr>
          <w:rFonts w:ascii="Times New Roman" w:hAnsi="Times New Roman"/>
        </w:rPr>
        <w:t xml:space="preserve">n, is that our sample was smaller compared to that of Ishiguro et al. (47 total subjects vs. 235) and, hence, we may have failed to detect a difference in α-Syn levels across groups due to lack of power. </w:t>
      </w:r>
      <w:r w:rsidR="00257837" w:rsidRPr="00E97ED3">
        <w:rPr>
          <w:rFonts w:ascii="Times New Roman" w:hAnsi="Times New Roman"/>
        </w:rPr>
        <w:t xml:space="preserve">Moreover, their depressed participants were on average more depressed (mean HAM-D score of 24) than ours (mean HAM-D score of 15). </w:t>
      </w:r>
      <w:r w:rsidR="009B39F3" w:rsidRPr="00E97ED3">
        <w:rPr>
          <w:rFonts w:ascii="Times New Roman" w:hAnsi="Times New Roman"/>
        </w:rPr>
        <w:t xml:space="preserve">More research is needed to confirm </w:t>
      </w:r>
      <w:r w:rsidR="00257837" w:rsidRPr="00E97ED3">
        <w:rPr>
          <w:rFonts w:ascii="Times New Roman" w:hAnsi="Times New Roman"/>
        </w:rPr>
        <w:t>our</w:t>
      </w:r>
      <w:r w:rsidR="009B39F3" w:rsidRPr="00E97ED3">
        <w:rPr>
          <w:rFonts w:ascii="Times New Roman" w:hAnsi="Times New Roman"/>
        </w:rPr>
        <w:t xml:space="preserve"> </w:t>
      </w:r>
      <w:r w:rsidR="00257837" w:rsidRPr="00E97ED3">
        <w:rPr>
          <w:rFonts w:ascii="Times New Roman" w:hAnsi="Times New Roman"/>
        </w:rPr>
        <w:t>findings</w:t>
      </w:r>
      <w:r w:rsidR="009B39F3" w:rsidRPr="00E97ED3">
        <w:rPr>
          <w:rFonts w:ascii="Times New Roman" w:hAnsi="Times New Roman"/>
        </w:rPr>
        <w:t>.</w:t>
      </w:r>
    </w:p>
    <w:p w14:paraId="57DF24BB" w14:textId="62757747" w:rsidR="00FA165D" w:rsidRPr="00E97ED3" w:rsidRDefault="00996911" w:rsidP="00996911">
      <w:pPr>
        <w:autoSpaceDE w:val="0"/>
        <w:autoSpaceDN w:val="0"/>
        <w:adjustRightInd w:val="0"/>
        <w:spacing w:after="0" w:line="480" w:lineRule="auto"/>
        <w:ind w:firstLine="567"/>
        <w:rPr>
          <w:rFonts w:ascii="Times New Roman" w:hAnsi="Times New Roman"/>
        </w:rPr>
      </w:pPr>
      <w:r w:rsidRPr="00E97ED3">
        <w:rPr>
          <w:rFonts w:ascii="Times New Roman" w:hAnsi="Times New Roman"/>
        </w:rPr>
        <w:t xml:space="preserve">A final point </w:t>
      </w:r>
      <w:r w:rsidR="008B654A" w:rsidRPr="00E97ED3">
        <w:rPr>
          <w:rFonts w:ascii="Times New Roman" w:hAnsi="Times New Roman"/>
        </w:rPr>
        <w:t xml:space="preserve">to </w:t>
      </w:r>
      <w:r w:rsidRPr="00E97ED3">
        <w:rPr>
          <w:rFonts w:ascii="Times New Roman" w:hAnsi="Times New Roman"/>
        </w:rPr>
        <w:t xml:space="preserve">note </w:t>
      </w:r>
      <w:r w:rsidR="008B654A" w:rsidRPr="00E97ED3">
        <w:rPr>
          <w:rFonts w:ascii="Times New Roman" w:hAnsi="Times New Roman"/>
        </w:rPr>
        <w:t xml:space="preserve">is </w:t>
      </w:r>
      <w:r w:rsidRPr="00E97ED3">
        <w:rPr>
          <w:rFonts w:ascii="Times New Roman" w:hAnsi="Times New Roman"/>
        </w:rPr>
        <w:t xml:space="preserve">that </w:t>
      </w:r>
      <w:r w:rsidR="00A9354F" w:rsidRPr="00E97ED3">
        <w:rPr>
          <w:rFonts w:ascii="Times New Roman" w:hAnsi="Times New Roman"/>
        </w:rPr>
        <w:t>the recency ratio</w:t>
      </w:r>
      <w:r w:rsidRPr="00E97ED3">
        <w:rPr>
          <w:rFonts w:ascii="Times New Roman" w:hAnsi="Times New Roman"/>
        </w:rPr>
        <w:t xml:space="preserve"> was sensitive to CSF Ng levels in depression, but not BSRT total recall. As we h</w:t>
      </w:r>
      <w:r w:rsidR="00FF18BA" w:rsidRPr="00E97ED3">
        <w:rPr>
          <w:rFonts w:ascii="Times New Roman" w:hAnsi="Times New Roman"/>
        </w:rPr>
        <w:t>ave suggested in recent papers [</w:t>
      </w:r>
      <w:r w:rsidR="00EA67FE" w:rsidRPr="00E97ED3">
        <w:rPr>
          <w:rFonts w:ascii="Times New Roman" w:hAnsi="Times New Roman"/>
        </w:rPr>
        <w:t>17</w:t>
      </w:r>
      <w:r w:rsidR="00FF18BA" w:rsidRPr="00E97ED3">
        <w:rPr>
          <w:rFonts w:ascii="Times New Roman" w:hAnsi="Times New Roman"/>
        </w:rPr>
        <w:t>]</w:t>
      </w:r>
      <w:r w:rsidRPr="00E97ED3">
        <w:rPr>
          <w:rFonts w:ascii="Times New Roman" w:hAnsi="Times New Roman"/>
        </w:rPr>
        <w:t xml:space="preserve">, </w:t>
      </w:r>
      <w:r w:rsidR="00A9354F" w:rsidRPr="00E97ED3">
        <w:rPr>
          <w:rFonts w:ascii="Times New Roman" w:hAnsi="Times New Roman"/>
        </w:rPr>
        <w:t>the recency ratio</w:t>
      </w:r>
      <w:r w:rsidRPr="00E97ED3">
        <w:rPr>
          <w:rFonts w:ascii="Times New Roman" w:hAnsi="Times New Roman"/>
        </w:rPr>
        <w:t>, which can be extracted from most neuropsychological tests of memory, compares favourably to most conventional scores employed to estimate memory ability in older individuals.</w:t>
      </w:r>
    </w:p>
    <w:p w14:paraId="19049A07" w14:textId="6095C426" w:rsidR="00996911" w:rsidRPr="00E97ED3" w:rsidRDefault="00996911" w:rsidP="00605D2B">
      <w:pPr>
        <w:spacing w:after="0" w:line="480" w:lineRule="auto"/>
        <w:rPr>
          <w:rFonts w:ascii="Times New Roman" w:hAnsi="Times New Roman"/>
        </w:rPr>
      </w:pPr>
    </w:p>
    <w:p w14:paraId="6C92DC30" w14:textId="59161D57" w:rsidR="00996911" w:rsidRPr="00E97ED3" w:rsidRDefault="00996911" w:rsidP="00605D2B">
      <w:pPr>
        <w:spacing w:after="0" w:line="480" w:lineRule="auto"/>
        <w:rPr>
          <w:rFonts w:ascii="Times New Roman" w:hAnsi="Times New Roman"/>
        </w:rPr>
      </w:pPr>
    </w:p>
    <w:p w14:paraId="40CC1592" w14:textId="77777777" w:rsidR="008B18D0" w:rsidRPr="00E97ED3" w:rsidRDefault="008B18D0">
      <w:pPr>
        <w:spacing w:after="0" w:line="240" w:lineRule="auto"/>
        <w:rPr>
          <w:rFonts w:ascii="Times New Roman" w:hAnsi="Times New Roman"/>
        </w:rPr>
      </w:pPr>
      <w:r w:rsidRPr="00E97ED3">
        <w:rPr>
          <w:rFonts w:ascii="Times New Roman" w:hAnsi="Times New Roman"/>
        </w:rPr>
        <w:br w:type="page"/>
      </w:r>
    </w:p>
    <w:p w14:paraId="24C1A5AD" w14:textId="1ECD308B" w:rsidR="005E42F2" w:rsidRPr="00E97ED3" w:rsidRDefault="005E42F2" w:rsidP="009704A3">
      <w:pPr>
        <w:autoSpaceDE w:val="0"/>
        <w:autoSpaceDN w:val="0"/>
        <w:adjustRightInd w:val="0"/>
        <w:spacing w:after="0" w:line="480" w:lineRule="auto"/>
        <w:jc w:val="center"/>
        <w:rPr>
          <w:rFonts w:ascii="Times New Roman" w:hAnsi="Times New Roman"/>
        </w:rPr>
      </w:pPr>
      <w:r w:rsidRPr="00E97ED3">
        <w:rPr>
          <w:rFonts w:ascii="Times New Roman" w:hAnsi="Times New Roman"/>
        </w:rPr>
        <w:lastRenderedPageBreak/>
        <w:t>Acknowledgments</w:t>
      </w:r>
    </w:p>
    <w:p w14:paraId="158E4E07" w14:textId="77777777" w:rsidR="002B5BC3" w:rsidRPr="00E97ED3" w:rsidRDefault="002B5BC3" w:rsidP="002B5BC3">
      <w:pPr>
        <w:autoSpaceDE w:val="0"/>
        <w:autoSpaceDN w:val="0"/>
        <w:adjustRightInd w:val="0"/>
        <w:spacing w:after="0" w:line="480" w:lineRule="auto"/>
        <w:ind w:firstLine="720"/>
        <w:rPr>
          <w:rFonts w:ascii="Times New Roman" w:hAnsi="Times New Roman"/>
        </w:rPr>
      </w:pPr>
      <w:r w:rsidRPr="00E97ED3">
        <w:rPr>
          <w:rFonts w:ascii="Times New Roman" w:hAnsi="Times New Roman"/>
        </w:rPr>
        <w:t>This research was supported by an NIMH grant to NP (R01 MH-080405), Swedish Research Council grants to HZ (2018-02532) and KB (2012-2288), the Swedish Brain Foundation, the Swedish Alzheimer Foundation, and Torsten Söderberg Foundation at the Royal Swedish Academy of Sciences. HZ is a Wallenberg Academy Fellow. Parts of this study were presented by the lead author at the Alzheimer’s Association International Conference in London, July 2017.</w:t>
      </w:r>
    </w:p>
    <w:p w14:paraId="03EF750A" w14:textId="77777777" w:rsidR="00220395" w:rsidRPr="00E97ED3" w:rsidRDefault="00220395">
      <w:pPr>
        <w:spacing w:after="0" w:line="240" w:lineRule="auto"/>
        <w:rPr>
          <w:rFonts w:ascii="Times New Roman" w:hAnsi="Times New Roman"/>
        </w:rPr>
      </w:pPr>
      <w:r w:rsidRPr="00E97ED3">
        <w:rPr>
          <w:rFonts w:ascii="Times New Roman" w:hAnsi="Times New Roman"/>
        </w:rPr>
        <w:br w:type="page"/>
      </w:r>
    </w:p>
    <w:p w14:paraId="24EC9373" w14:textId="5B87CDCF" w:rsidR="00220395" w:rsidRPr="00E97ED3" w:rsidRDefault="00220395" w:rsidP="00220395">
      <w:pPr>
        <w:autoSpaceDE w:val="0"/>
        <w:autoSpaceDN w:val="0"/>
        <w:adjustRightInd w:val="0"/>
        <w:spacing w:after="0" w:line="480" w:lineRule="auto"/>
        <w:jc w:val="center"/>
        <w:rPr>
          <w:rFonts w:ascii="Times New Roman" w:hAnsi="Times New Roman"/>
        </w:rPr>
      </w:pPr>
      <w:r w:rsidRPr="00E97ED3">
        <w:rPr>
          <w:rFonts w:ascii="Times New Roman" w:hAnsi="Times New Roman"/>
        </w:rPr>
        <w:lastRenderedPageBreak/>
        <w:t>Conflicts of Interest</w:t>
      </w:r>
    </w:p>
    <w:p w14:paraId="14F94F62" w14:textId="5013C7CD" w:rsidR="002B5BC3" w:rsidRPr="00E97ED3" w:rsidRDefault="002B5BC3" w:rsidP="002B5BC3">
      <w:pPr>
        <w:autoSpaceDE w:val="0"/>
        <w:autoSpaceDN w:val="0"/>
        <w:adjustRightInd w:val="0"/>
        <w:spacing w:after="0" w:line="480" w:lineRule="auto"/>
        <w:ind w:firstLine="720"/>
        <w:rPr>
          <w:rFonts w:ascii="Times New Roman" w:hAnsi="Times New Roman"/>
          <w:color w:val="000000"/>
        </w:rPr>
      </w:pPr>
      <w:r w:rsidRPr="00E97ED3">
        <w:rPr>
          <w:rFonts w:ascii="Times New Roman" w:hAnsi="Times New Roman"/>
          <w:color w:val="000000"/>
        </w:rPr>
        <w:t xml:space="preserve">HZ and KB are co-founders of Brain Biomarker Solutions in Gothenburg AB, a GU Ventures-based platform company at the University of Gothenburg. KB has served as a consultant or at advisory boards for Alzheon, </w:t>
      </w:r>
      <w:r w:rsidR="00A47E3E" w:rsidRPr="00E97ED3">
        <w:rPr>
          <w:rFonts w:ascii="Times New Roman" w:hAnsi="Times New Roman"/>
          <w:color w:val="000000"/>
        </w:rPr>
        <w:t xml:space="preserve">Axon Neuroscience, </w:t>
      </w:r>
      <w:r w:rsidRPr="00E97ED3">
        <w:rPr>
          <w:rFonts w:ascii="Times New Roman" w:hAnsi="Times New Roman"/>
          <w:color w:val="000000"/>
        </w:rPr>
        <w:t xml:space="preserve">BioArctic, Biogen, Eli Lilly, Fujirebio Europe, IBL International, Pfizer, and Roche Diagnostics. HZ has served at scientific advisory boards for Samumed, Wave, CogRx and Roche Diagnostics, and has given lectures in symposia sponsored by Alzecure and Biogen. </w:t>
      </w:r>
    </w:p>
    <w:p w14:paraId="3B670CA3" w14:textId="77777777" w:rsidR="002B5BC3" w:rsidRPr="00E97ED3" w:rsidRDefault="002B5BC3" w:rsidP="002B5BC3">
      <w:pPr>
        <w:autoSpaceDE w:val="0"/>
        <w:autoSpaceDN w:val="0"/>
        <w:adjustRightInd w:val="0"/>
        <w:spacing w:after="0" w:line="480" w:lineRule="auto"/>
        <w:ind w:firstLine="720"/>
        <w:rPr>
          <w:rFonts w:ascii="Times New Roman" w:hAnsi="Times New Roman"/>
          <w:bCs/>
          <w:lang w:val="en-US"/>
        </w:rPr>
      </w:pPr>
      <w:r w:rsidRPr="00E97ED3">
        <w:rPr>
          <w:rFonts w:ascii="Times New Roman" w:hAnsi="Times New Roman"/>
          <w:color w:val="000000"/>
        </w:rPr>
        <w:t>No other conflicts of interests are disclosed.</w:t>
      </w:r>
    </w:p>
    <w:p w14:paraId="2637DB3A" w14:textId="77777777" w:rsidR="005E42F2" w:rsidRPr="00E97ED3" w:rsidRDefault="005E42F2" w:rsidP="0076749C">
      <w:pPr>
        <w:autoSpaceDE w:val="0"/>
        <w:autoSpaceDN w:val="0"/>
        <w:adjustRightInd w:val="0"/>
        <w:spacing w:after="0" w:line="480" w:lineRule="auto"/>
        <w:rPr>
          <w:rFonts w:ascii="Times New Roman" w:hAnsi="Times New Roman"/>
          <w:shd w:val="clear" w:color="auto" w:fill="FFFFFF"/>
        </w:rPr>
      </w:pPr>
    </w:p>
    <w:p w14:paraId="47E1F86B" w14:textId="77777777" w:rsidR="005E42F2" w:rsidRPr="00E97ED3" w:rsidRDefault="005E42F2">
      <w:pPr>
        <w:rPr>
          <w:rFonts w:ascii="Times New Roman" w:hAnsi="Times New Roman"/>
          <w:shd w:val="clear" w:color="auto" w:fill="FFFFFF"/>
        </w:rPr>
      </w:pPr>
      <w:r w:rsidRPr="00E97ED3">
        <w:rPr>
          <w:rFonts w:ascii="Times New Roman" w:hAnsi="Times New Roman"/>
          <w:shd w:val="clear" w:color="auto" w:fill="FFFFFF"/>
        </w:rPr>
        <w:br w:type="page"/>
      </w:r>
    </w:p>
    <w:p w14:paraId="3F0F5BA2" w14:textId="77777777" w:rsidR="00B65D7A" w:rsidRPr="00E97ED3" w:rsidRDefault="00B65D7A" w:rsidP="00B65D7A">
      <w:pPr>
        <w:spacing w:after="0" w:line="480" w:lineRule="auto"/>
        <w:ind w:left="720" w:hanging="720"/>
        <w:jc w:val="center"/>
        <w:rPr>
          <w:rFonts w:ascii="Times New Roman" w:hAnsi="Times New Roman"/>
          <w:shd w:val="clear" w:color="auto" w:fill="FFFFFF"/>
        </w:rPr>
      </w:pPr>
      <w:r w:rsidRPr="00E97ED3">
        <w:rPr>
          <w:rFonts w:ascii="Times New Roman" w:hAnsi="Times New Roman"/>
          <w:shd w:val="clear" w:color="auto" w:fill="FFFFFF"/>
        </w:rPr>
        <w:lastRenderedPageBreak/>
        <w:t>References</w:t>
      </w:r>
    </w:p>
    <w:p w14:paraId="4B3B366F"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eastAsia="zh-TW"/>
        </w:rPr>
        <w:t>Almeida OP, Hankey GJ, Yeap BB, Golledge J, Flicker L. Depression as a modifiable factor to decrease the risk of dementia. Translational psychiatry. 2017 May;7(5):e1117.</w:t>
      </w:r>
    </w:p>
    <w:p w14:paraId="39A41F56"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eastAsia="zh-TW"/>
        </w:rPr>
        <w:t>Green RC, Cupples LA, Kurz A, Auerbach S, Go R, Sadovnick D, Duara R, Kukull WA, Chui H, Edeki T, Griffith PA. Depression as a risk factor for Alzheimer disease: the MIRAGE Study. Archives of neurology. 2003 May 1;60(5):753-9.</w:t>
      </w:r>
    </w:p>
    <w:p w14:paraId="6852E601"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rPr>
        <w:t>Kokmen E, Beard CM, Chandra V, Offord KP, Schoenberg BS, Ballard DJ. Clinical risk factors for Alzheimer's disease A population‐based case‐control study. Neurology. 1991 Sep 1;41(9):1393-.</w:t>
      </w:r>
    </w:p>
    <w:p w14:paraId="4F4EA44E"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rPr>
        <w:t>Pomara N, Bruno D, Sarreal AS, Hernando RT, Nierenberg J, Petkova E, Sidtis JJ, Wisniewski TM, Mehta PD, Pratico D, Zetterberg H. Lower CSF amyloid beta peptides and higher F2-isoprostanes in cognitively intact elderly individuals with major depressive disorder. American Journal of Psychiatry. 2012 May;169(5):523-30.</w:t>
      </w:r>
    </w:p>
    <w:p w14:paraId="17022C6A"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eastAsia="zh-TW"/>
        </w:rPr>
        <w:t>Jorm AF. History of depression as a risk factor for dementia: an updated review. Australian &amp; New Zealand Journal of Psychiatry. 2001 Dec;35(6):776-81.</w:t>
      </w:r>
    </w:p>
    <w:p w14:paraId="496E9D73"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eastAsia="zh-TW"/>
        </w:rPr>
        <w:t>Snowden MB, Atkins DC, Steinman LE, Bell JF, Bryant LL, Copeland C, Fitzpatrick AL. Longitudinal association of dementia and depression. The American Journal of Geriatric Psychiatry. 2015 Sep 30;23(9):897-905.</w:t>
      </w:r>
    </w:p>
    <w:p w14:paraId="339B0E6F"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eastAsia="zh-TW"/>
        </w:rPr>
        <w:t>Pomara N, Doraiswamy PM. Does increased platelet release of Aβ peptide contribute to brain abnormalities in individuals with depression?. Medical hypotheses. 2003 May 31;60(5):640-3.</w:t>
      </w:r>
    </w:p>
    <w:p w14:paraId="5E858101"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eastAsia="zh-TW"/>
        </w:rPr>
        <w:t>Pomara N, Bruno D. Major Depression May Lead to Elevations in Potentially Neurotoxic Amyloid Beta Species Independently of Alzheimer Disease. The American Journal of Geriatric Psychiatry. 2016 Sep 1;24(9):773-5.</w:t>
      </w:r>
    </w:p>
    <w:p w14:paraId="42B2E48C"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Emamzadeh FN. Alpha-synuclein structure, functions, and interactions. Journal of research in medical sciences: the official journal of Isfahan University of Medical Sciences. 2016;21.</w:t>
      </w:r>
    </w:p>
    <w:p w14:paraId="63F698E3"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Dinan TG, Cryan JF. Gut feelings on Parkinson’s and depression. InCerebrum: the Dana forum on brain science 2017 Mar (Vol. 2017). Dana Foundation.</w:t>
      </w:r>
    </w:p>
    <w:p w14:paraId="065427FE"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lastRenderedPageBreak/>
        <w:t>Selnes P, Stav AL, Johansen KK, Bjørnerud A, Coello C, Auning E, Kalheim L, Almdahl IS, Hessen E, Zetterberg H, Blennow K. Impaired synaptic function is linked to cognition in Parkinson's disease. Annals of clinical and translational neurology. 2017 Oct;4(10):700-13.</w:t>
      </w:r>
    </w:p>
    <w:p w14:paraId="658EE17C"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Frieling H, Gozner A, Römer KD, Wilhelm J, Hillemacher T, Kornhuber J, De Zwaan M, Jacoby GE, Bleich S. Alpha-synuclein mRNA levels correspond to beck depression inventory scores in females with eating disorders. Neuropsychobiology. 2008;58(1):48-52.</w:t>
      </w:r>
    </w:p>
    <w:p w14:paraId="356D4450" w14:textId="36703A11"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Ishiguro M, Baba H, Maeshima H, Shimano T, Inoue M, Ichikawa T, Yasuda S, Shukuzawa H, Suzuki T, Arai H. Increased serum levels of α-synuclein in patients with major depressive disorder. The American Journal of Geriatric Psychiatry. 2019 Mar 1;27(3):280-6.</w:t>
      </w:r>
    </w:p>
    <w:p w14:paraId="0A70795E" w14:textId="5D37760A" w:rsidR="008D5493" w:rsidRPr="00E97ED3" w:rsidRDefault="008D5493"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color w:val="222222"/>
          <w:shd w:val="clear" w:color="auto" w:fill="FFFFFF"/>
        </w:rPr>
        <w:t>Piccinni A, Marazziti D, Veltri A, Ceravolo R, Ramacciotti C, Carlini M, Del Debbio A, Schiavi E, Bonuccelli U, Dell'Osso L. Depressive symptoms in Parkinson's disease. Comprehensive psychiatry. 2012 Aug 1;53(6):727-31.</w:t>
      </w:r>
    </w:p>
    <w:p w14:paraId="3BE28AFA"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Wang S, Mao S, Xiang D, Fang C. Association between depression and the subsequent risk of Parkinson's disease: A meta-analysis. Progress in Neuro-Psychopharmacology and Biological Psychiatry. 2018 Aug 30;86:186-92.</w:t>
      </w:r>
    </w:p>
    <w:p w14:paraId="7CFA7175"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Jack Jr CR, Bennett DA, Blennow K, Carrillo MC, Dunn B, Haeberlein SB, Holtzman DM, Jagust W, Jessen F, Karlawish J, Liu E. NIA-AA Research Framework: Toward a biological definition of Alzheimer's disease. Alzheimer's &amp; Dementia. 2018 Apr 1;14(4):535-62.</w:t>
      </w:r>
    </w:p>
    <w:p w14:paraId="2EDF9123"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Bruno D, Koscik RL, Woodard JL, Pomara N, Johnson SC. The recency ratio as predictor of early MCI. International psychogeriatrics. 2018 Dec;30(12):1883-8.</w:t>
      </w:r>
    </w:p>
    <w:p w14:paraId="51CFBA77"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Bruno D, Reichert C, Pomara N. The recency ratio as an index of cognitive performance and decline in elderly individuals. Journal of clinical and experimental neuropsychology. 2016 Oct 20;38(9):967-73.</w:t>
      </w:r>
    </w:p>
    <w:p w14:paraId="29313D66"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val="fr-FR" w:eastAsia="zh-TW"/>
        </w:rPr>
        <w:t xml:space="preserve">Folstein MF, Folstein SE, McHugh PR. </w:t>
      </w:r>
      <w:r w:rsidRPr="00E97ED3">
        <w:rPr>
          <w:rFonts w:ascii="Times New Roman" w:eastAsia="Times New Roman" w:hAnsi="Times New Roman"/>
          <w:lang w:eastAsia="zh-TW"/>
        </w:rPr>
        <w:t>“Mini-mental state”: a practical method for grading the cognitive state of patients for the clinician. Journal of psychiatric research. 1975 Nov 30;12(3):189-98.</w:t>
      </w:r>
    </w:p>
    <w:p w14:paraId="610D478C"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lastRenderedPageBreak/>
        <w:t xml:space="preserve">Portelius E, Zetterberg H, Skillbäck T, Törnqvist U, Andreasson U, Trojanowski JQ, Weiner MW, Shaw LM, Mattsson N, Blennow K. Cerebrospinal fluid neurogranin: relation to cognition and neurodegeneration in Alzheimer’s disease. Brain. 2015 Sep 15;138(11):3373-85. </w:t>
      </w:r>
    </w:p>
    <w:p w14:paraId="557EA95D"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van Geel WJ, Abdo WF, Melis R, Williams S, Bloem BR, Verbeek MM. A more efficient enzyme-linked immunosorbent assay for measurement of α-synuclein in cerebrospinal fluid. Journal of neuroscience methods. 2008 Feb 15;168(1):182-5.</w:t>
      </w:r>
    </w:p>
    <w:p w14:paraId="77343703"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eastAsia="zh-TW"/>
        </w:rPr>
        <w:t>Bruno D, Grothe MJ, Nierenberg J, Zetterberg H, Blennow K, Teipel SJ, Pomara N. A study on the specificity of the association between hippocampal volume and delayed primacy performance in cognitively intact elderly individuals. Neuropsychologia. 2015 Mar 31;69:1-8.</w:t>
      </w:r>
    </w:p>
    <w:p w14:paraId="292F7350"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eastAsia="Times New Roman" w:hAnsi="Times New Roman"/>
          <w:lang w:eastAsia="zh-TW"/>
        </w:rPr>
        <w:t>Buschke H, Fuld PA. Evaluating storage, retention, and retrieval in disordered memory and learning. Neurology. 1974 Nov 1;24(11):1019-.</w:t>
      </w:r>
    </w:p>
    <w:p w14:paraId="1C679C68"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Benjamini Y, Hochberg Y. Controlling the false discovery rate: a practical and powerful approach to multiple testing. Journal of the Royal statistical society: series B (Methodological). 1995 Jan;57(1):289-300.</w:t>
      </w:r>
    </w:p>
    <w:p w14:paraId="4DE7FB2D"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Vergallo A, Bun RS, Toschi N, Baldacci F, Zetterberg H, Blennow K, Cavedo E, Lamari F, Habert MO, Dubois B, Floris R. Association of cerebrospinal fluid α-synuclein with total and phospho-tau181 protein concentrations and brain amyloid load in cognitively normal subjective memory complainers stratified by Alzheimer's disease biomarkers. Alzheimer's &amp; Dementia. 2018 Dec 1;14(12):1623-31.</w:t>
      </w:r>
    </w:p>
    <w:p w14:paraId="579BCC6E" w14:textId="77777777"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Yates JA, Clare L, Woods RT, MRC CFAS. Subjective memory complaints, mood and MCI: a follow-up study. Aging &amp; mental health. 2017 Mar 4;21(3):313-21.</w:t>
      </w:r>
    </w:p>
    <w:p w14:paraId="0EFE850F" w14:textId="30130E55" w:rsidR="00B65D7A" w:rsidRPr="00E97ED3" w:rsidRDefault="00B65D7A" w:rsidP="00B65D7A">
      <w:pPr>
        <w:pStyle w:val="ListParagraph"/>
        <w:numPr>
          <w:ilvl w:val="0"/>
          <w:numId w:val="3"/>
        </w:numPr>
        <w:spacing w:after="0" w:line="480" w:lineRule="auto"/>
        <w:ind w:left="567" w:hanging="567"/>
        <w:rPr>
          <w:rFonts w:ascii="Times New Roman" w:eastAsia="Times New Roman" w:hAnsi="Times New Roman"/>
          <w:lang w:eastAsia="zh-TW"/>
        </w:rPr>
      </w:pPr>
      <w:r w:rsidRPr="00E97ED3">
        <w:rPr>
          <w:rFonts w:ascii="Times New Roman" w:hAnsi="Times New Roman"/>
          <w:shd w:val="clear" w:color="auto" w:fill="FFFFFF"/>
        </w:rPr>
        <w:t>Kvartsberg H, Duits FH, Ingelsson M, Andreasen N, Öhrfelt A, Andersson K, Brinkmalm G, Lannfelt L, Minthon L, Hansson O, Andreasson U. Cerebrospinal fluid levels of the synaptic protein neurogranin correlates with cognitive decline in prodromal Alzheimer's disease. Alzheimer's &amp; Dementia. 2015 Oct 1;11(10):1180-90.</w:t>
      </w:r>
    </w:p>
    <w:p w14:paraId="661997F6" w14:textId="749D9831" w:rsidR="00042D3F" w:rsidRPr="00E97ED3" w:rsidRDefault="00042D3F">
      <w:pPr>
        <w:spacing w:after="0" w:line="240" w:lineRule="auto"/>
        <w:rPr>
          <w:rFonts w:ascii="Times New Roman" w:eastAsia="Times New Roman" w:hAnsi="Times New Roman"/>
          <w:lang w:eastAsia="zh-TW"/>
        </w:rPr>
      </w:pPr>
      <w:r w:rsidRPr="00E97ED3">
        <w:rPr>
          <w:rFonts w:ascii="Times New Roman" w:eastAsia="Times New Roman" w:hAnsi="Times New Roman"/>
          <w:lang w:eastAsia="zh-TW"/>
        </w:rPr>
        <w:br w:type="page"/>
      </w:r>
    </w:p>
    <w:tbl>
      <w:tblPr>
        <w:tblW w:w="12114" w:type="dxa"/>
        <w:tblLook w:val="00A0" w:firstRow="1" w:lastRow="0" w:firstColumn="1" w:lastColumn="0" w:noHBand="0" w:noVBand="0"/>
      </w:tblPr>
      <w:tblGrid>
        <w:gridCol w:w="2912"/>
        <w:gridCol w:w="2466"/>
        <w:gridCol w:w="236"/>
        <w:gridCol w:w="1723"/>
        <w:gridCol w:w="979"/>
        <w:gridCol w:w="1096"/>
        <w:gridCol w:w="627"/>
        <w:gridCol w:w="2075"/>
      </w:tblGrid>
      <w:tr w:rsidR="00042D3F" w:rsidRPr="00E97ED3" w14:paraId="0C5DECFB" w14:textId="77777777" w:rsidTr="00183290">
        <w:trPr>
          <w:gridAfter w:val="2"/>
          <w:wAfter w:w="2702" w:type="dxa"/>
          <w:trHeight w:val="431"/>
        </w:trPr>
        <w:tc>
          <w:tcPr>
            <w:tcW w:w="7337" w:type="dxa"/>
            <w:gridSpan w:val="4"/>
            <w:tcBorders>
              <w:top w:val="nil"/>
              <w:left w:val="nil"/>
              <w:bottom w:val="nil"/>
              <w:right w:val="nil"/>
            </w:tcBorders>
            <w:noWrap/>
            <w:vAlign w:val="center"/>
          </w:tcPr>
          <w:p w14:paraId="5DCF95FD" w14:textId="77777777" w:rsidR="00042D3F" w:rsidRPr="00E97ED3" w:rsidRDefault="00042D3F" w:rsidP="00183290">
            <w:pPr>
              <w:spacing w:after="0" w:line="240" w:lineRule="auto"/>
              <w:rPr>
                <w:rFonts w:ascii="Times New Roman" w:hAnsi="Times New Roman"/>
                <w:bCs/>
                <w:i/>
                <w:sz w:val="24"/>
                <w:szCs w:val="24"/>
                <w:lang w:eastAsia="zh-TW"/>
              </w:rPr>
            </w:pPr>
            <w:r w:rsidRPr="00E97ED3">
              <w:rPr>
                <w:rFonts w:ascii="Times New Roman" w:hAnsi="Times New Roman"/>
                <w:bCs/>
                <w:sz w:val="24"/>
                <w:szCs w:val="24"/>
                <w:lang w:eastAsia="zh-TW"/>
              </w:rPr>
              <w:lastRenderedPageBreak/>
              <w:t>Table 1</w:t>
            </w:r>
            <w:r w:rsidRPr="00E97ED3">
              <w:rPr>
                <w:rFonts w:ascii="Times New Roman" w:hAnsi="Times New Roman"/>
                <w:bCs/>
                <w:i/>
                <w:sz w:val="24"/>
                <w:szCs w:val="24"/>
                <w:lang w:eastAsia="zh-TW"/>
              </w:rPr>
              <w:t xml:space="preserve">. Demographic and Memory Characteristics of Study Participants by MDD diagnosis; </w:t>
            </w:r>
            <w:r w:rsidRPr="00E97ED3">
              <w:rPr>
                <w:rFonts w:ascii="Times New Roman" w:hAnsi="Times New Roman"/>
                <w:i/>
                <w:sz w:val="24"/>
                <w:szCs w:val="24"/>
                <w:lang w:eastAsia="zh-TW"/>
              </w:rPr>
              <w:t>The data are the mean ± standard deviation.</w:t>
            </w:r>
          </w:p>
          <w:p w14:paraId="7FB9EDAA" w14:textId="77777777" w:rsidR="00042D3F" w:rsidRPr="00E97ED3" w:rsidRDefault="00042D3F" w:rsidP="00183290">
            <w:pPr>
              <w:spacing w:after="0" w:line="240" w:lineRule="auto"/>
              <w:rPr>
                <w:rFonts w:ascii="Times New Roman" w:hAnsi="Times New Roman"/>
                <w:bCs/>
                <w:i/>
                <w:sz w:val="24"/>
                <w:szCs w:val="24"/>
                <w:lang w:eastAsia="zh-TW"/>
              </w:rPr>
            </w:pPr>
          </w:p>
        </w:tc>
        <w:tc>
          <w:tcPr>
            <w:tcW w:w="2075" w:type="dxa"/>
            <w:gridSpan w:val="2"/>
            <w:tcBorders>
              <w:top w:val="nil"/>
              <w:left w:val="nil"/>
              <w:bottom w:val="nil"/>
              <w:right w:val="nil"/>
            </w:tcBorders>
            <w:noWrap/>
            <w:vAlign w:val="center"/>
          </w:tcPr>
          <w:p w14:paraId="1ADF8780" w14:textId="77777777" w:rsidR="00042D3F" w:rsidRPr="00E97ED3" w:rsidRDefault="00042D3F" w:rsidP="00183290">
            <w:pPr>
              <w:spacing w:after="0" w:line="240" w:lineRule="auto"/>
              <w:rPr>
                <w:rFonts w:ascii="Arial" w:hAnsi="Arial" w:cs="Arial"/>
                <w:b/>
                <w:bCs/>
                <w:i/>
                <w:sz w:val="24"/>
                <w:szCs w:val="24"/>
                <w:lang w:eastAsia="zh-TW"/>
              </w:rPr>
            </w:pPr>
          </w:p>
        </w:tc>
      </w:tr>
      <w:tr w:rsidR="00042D3F" w:rsidRPr="00E97ED3" w14:paraId="5643F086" w14:textId="77777777" w:rsidTr="00183290">
        <w:trPr>
          <w:gridAfter w:val="2"/>
          <w:wAfter w:w="2702" w:type="dxa"/>
          <w:trHeight w:val="431"/>
        </w:trPr>
        <w:tc>
          <w:tcPr>
            <w:tcW w:w="2912" w:type="dxa"/>
            <w:tcBorders>
              <w:top w:val="single" w:sz="4" w:space="0" w:color="auto"/>
              <w:left w:val="nil"/>
              <w:bottom w:val="nil"/>
              <w:right w:val="nil"/>
            </w:tcBorders>
            <w:shd w:val="clear" w:color="000000" w:fill="D9D9D9"/>
            <w:noWrap/>
            <w:vAlign w:val="center"/>
          </w:tcPr>
          <w:p w14:paraId="0A59047F" w14:textId="77777777" w:rsidR="00042D3F" w:rsidRPr="00E97ED3" w:rsidRDefault="00042D3F"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Characteristic</w:t>
            </w:r>
          </w:p>
        </w:tc>
        <w:tc>
          <w:tcPr>
            <w:tcW w:w="2702" w:type="dxa"/>
            <w:gridSpan w:val="2"/>
            <w:tcBorders>
              <w:top w:val="single" w:sz="4" w:space="0" w:color="auto"/>
              <w:left w:val="nil"/>
              <w:bottom w:val="nil"/>
              <w:right w:val="nil"/>
            </w:tcBorders>
            <w:shd w:val="clear" w:color="000000" w:fill="D9D9D9"/>
            <w:noWrap/>
            <w:vAlign w:val="center"/>
          </w:tcPr>
          <w:p w14:paraId="140E2F2A"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Comparison Group</w:t>
            </w:r>
          </w:p>
        </w:tc>
        <w:tc>
          <w:tcPr>
            <w:tcW w:w="1723" w:type="dxa"/>
            <w:tcBorders>
              <w:top w:val="single" w:sz="4" w:space="0" w:color="auto"/>
              <w:left w:val="nil"/>
              <w:bottom w:val="nil"/>
              <w:right w:val="nil"/>
            </w:tcBorders>
            <w:shd w:val="clear" w:color="000000" w:fill="D9D9D9"/>
            <w:noWrap/>
            <w:vAlign w:val="center"/>
          </w:tcPr>
          <w:p w14:paraId="7F342C7B"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MDD Group</w:t>
            </w:r>
          </w:p>
        </w:tc>
        <w:tc>
          <w:tcPr>
            <w:tcW w:w="2075" w:type="dxa"/>
            <w:gridSpan w:val="2"/>
            <w:tcBorders>
              <w:top w:val="single" w:sz="4" w:space="0" w:color="auto"/>
              <w:left w:val="nil"/>
              <w:bottom w:val="nil"/>
              <w:right w:val="nil"/>
            </w:tcBorders>
            <w:shd w:val="clear" w:color="000000" w:fill="D9D9D9"/>
            <w:noWrap/>
            <w:vAlign w:val="center"/>
          </w:tcPr>
          <w:p w14:paraId="0F9B5CCD"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 </w:t>
            </w:r>
          </w:p>
        </w:tc>
      </w:tr>
      <w:tr w:rsidR="00042D3F" w:rsidRPr="00E97ED3" w14:paraId="49F10E48" w14:textId="77777777" w:rsidTr="00183290">
        <w:trPr>
          <w:gridAfter w:val="2"/>
          <w:wAfter w:w="2702" w:type="dxa"/>
          <w:trHeight w:val="431"/>
        </w:trPr>
        <w:tc>
          <w:tcPr>
            <w:tcW w:w="2912" w:type="dxa"/>
            <w:tcBorders>
              <w:top w:val="nil"/>
              <w:left w:val="nil"/>
              <w:bottom w:val="single" w:sz="4" w:space="0" w:color="auto"/>
              <w:right w:val="nil"/>
            </w:tcBorders>
            <w:shd w:val="clear" w:color="000000" w:fill="D9D9D9"/>
            <w:noWrap/>
            <w:vAlign w:val="center"/>
          </w:tcPr>
          <w:p w14:paraId="076F2C89" w14:textId="77777777" w:rsidR="00042D3F" w:rsidRPr="00E97ED3" w:rsidRDefault="00042D3F"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 </w:t>
            </w:r>
          </w:p>
        </w:tc>
        <w:tc>
          <w:tcPr>
            <w:tcW w:w="2702" w:type="dxa"/>
            <w:gridSpan w:val="2"/>
            <w:tcBorders>
              <w:top w:val="nil"/>
              <w:left w:val="nil"/>
              <w:bottom w:val="single" w:sz="4" w:space="0" w:color="auto"/>
              <w:right w:val="nil"/>
            </w:tcBorders>
            <w:shd w:val="clear" w:color="000000" w:fill="D9D9D9"/>
            <w:noWrap/>
            <w:vAlign w:val="center"/>
          </w:tcPr>
          <w:p w14:paraId="4F0C2DCE"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(N=19)</w:t>
            </w:r>
          </w:p>
        </w:tc>
        <w:tc>
          <w:tcPr>
            <w:tcW w:w="1723" w:type="dxa"/>
            <w:tcBorders>
              <w:top w:val="nil"/>
              <w:left w:val="nil"/>
              <w:bottom w:val="single" w:sz="4" w:space="0" w:color="auto"/>
              <w:right w:val="nil"/>
            </w:tcBorders>
            <w:shd w:val="clear" w:color="000000" w:fill="D9D9D9"/>
            <w:noWrap/>
            <w:vAlign w:val="center"/>
          </w:tcPr>
          <w:p w14:paraId="21460DDB"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(N=28)</w:t>
            </w:r>
          </w:p>
        </w:tc>
        <w:tc>
          <w:tcPr>
            <w:tcW w:w="2075" w:type="dxa"/>
            <w:gridSpan w:val="2"/>
            <w:tcBorders>
              <w:top w:val="nil"/>
              <w:left w:val="nil"/>
              <w:bottom w:val="single" w:sz="4" w:space="0" w:color="auto"/>
              <w:right w:val="nil"/>
            </w:tcBorders>
            <w:shd w:val="clear" w:color="000000" w:fill="D9D9D9"/>
            <w:noWrap/>
            <w:vAlign w:val="center"/>
          </w:tcPr>
          <w:p w14:paraId="178E521E"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p values (t tests)</w:t>
            </w:r>
          </w:p>
        </w:tc>
      </w:tr>
      <w:tr w:rsidR="00042D3F" w:rsidRPr="00E97ED3" w14:paraId="4B877064" w14:textId="77777777" w:rsidTr="00183290">
        <w:trPr>
          <w:gridAfter w:val="2"/>
          <w:wAfter w:w="2702" w:type="dxa"/>
          <w:trHeight w:val="431"/>
        </w:trPr>
        <w:tc>
          <w:tcPr>
            <w:tcW w:w="2912" w:type="dxa"/>
            <w:tcBorders>
              <w:top w:val="nil"/>
              <w:left w:val="nil"/>
              <w:bottom w:val="nil"/>
              <w:right w:val="nil"/>
            </w:tcBorders>
            <w:noWrap/>
            <w:vAlign w:val="center"/>
          </w:tcPr>
          <w:p w14:paraId="3FBDC1A3" w14:textId="77777777" w:rsidR="00042D3F" w:rsidRPr="00E97ED3" w:rsidRDefault="00042D3F"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Age (years)</w:t>
            </w:r>
          </w:p>
        </w:tc>
        <w:tc>
          <w:tcPr>
            <w:tcW w:w="2702" w:type="dxa"/>
            <w:gridSpan w:val="2"/>
            <w:tcBorders>
              <w:top w:val="nil"/>
              <w:left w:val="nil"/>
              <w:bottom w:val="nil"/>
              <w:right w:val="nil"/>
            </w:tcBorders>
            <w:noWrap/>
            <w:vAlign w:val="center"/>
          </w:tcPr>
          <w:p w14:paraId="6DBA701D"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68.1 ± 7.3</w:t>
            </w:r>
          </w:p>
        </w:tc>
        <w:tc>
          <w:tcPr>
            <w:tcW w:w="1723" w:type="dxa"/>
            <w:tcBorders>
              <w:top w:val="nil"/>
              <w:left w:val="nil"/>
              <w:bottom w:val="nil"/>
              <w:right w:val="nil"/>
            </w:tcBorders>
            <w:noWrap/>
            <w:vAlign w:val="center"/>
          </w:tcPr>
          <w:p w14:paraId="246C09F0"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66.5 ± 5.4</w:t>
            </w:r>
          </w:p>
        </w:tc>
        <w:tc>
          <w:tcPr>
            <w:tcW w:w="2075" w:type="dxa"/>
            <w:gridSpan w:val="2"/>
            <w:tcBorders>
              <w:top w:val="nil"/>
              <w:left w:val="nil"/>
              <w:bottom w:val="nil"/>
              <w:right w:val="nil"/>
            </w:tcBorders>
            <w:noWrap/>
            <w:vAlign w:val="center"/>
          </w:tcPr>
          <w:p w14:paraId="5FC60A56"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0.41</w:t>
            </w:r>
          </w:p>
        </w:tc>
      </w:tr>
      <w:tr w:rsidR="00042D3F" w:rsidRPr="00E97ED3" w14:paraId="7D11A6B3" w14:textId="77777777" w:rsidTr="00183290">
        <w:trPr>
          <w:gridAfter w:val="2"/>
          <w:wAfter w:w="2702" w:type="dxa"/>
          <w:trHeight w:val="474"/>
        </w:trPr>
        <w:tc>
          <w:tcPr>
            <w:tcW w:w="2912" w:type="dxa"/>
            <w:tcBorders>
              <w:top w:val="nil"/>
              <w:left w:val="nil"/>
              <w:bottom w:val="nil"/>
              <w:right w:val="nil"/>
            </w:tcBorders>
            <w:noWrap/>
            <w:vAlign w:val="center"/>
          </w:tcPr>
          <w:p w14:paraId="25EF7C6E" w14:textId="77777777" w:rsidR="00042D3F" w:rsidRPr="00E97ED3" w:rsidRDefault="00042D3F"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Education (years)</w:t>
            </w:r>
            <w:r w:rsidRPr="00E97ED3">
              <w:rPr>
                <w:rFonts w:ascii="Times New Roman" w:hAnsi="Times New Roman"/>
                <w:sz w:val="24"/>
                <w:szCs w:val="24"/>
                <w:vertAlign w:val="superscript"/>
                <w:lang w:eastAsia="zh-TW"/>
              </w:rPr>
              <w:t>a</w:t>
            </w:r>
          </w:p>
        </w:tc>
        <w:tc>
          <w:tcPr>
            <w:tcW w:w="2702" w:type="dxa"/>
            <w:gridSpan w:val="2"/>
            <w:tcBorders>
              <w:top w:val="nil"/>
              <w:left w:val="nil"/>
              <w:bottom w:val="nil"/>
              <w:right w:val="nil"/>
            </w:tcBorders>
            <w:noWrap/>
            <w:vAlign w:val="center"/>
          </w:tcPr>
          <w:p w14:paraId="6F85421A"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16.7 ± 2.7</w:t>
            </w:r>
          </w:p>
        </w:tc>
        <w:tc>
          <w:tcPr>
            <w:tcW w:w="1723" w:type="dxa"/>
            <w:tcBorders>
              <w:top w:val="nil"/>
              <w:left w:val="nil"/>
              <w:bottom w:val="nil"/>
              <w:right w:val="nil"/>
            </w:tcBorders>
            <w:noWrap/>
            <w:vAlign w:val="center"/>
          </w:tcPr>
          <w:p w14:paraId="6645DDD9"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16.5 ± 2.7</w:t>
            </w:r>
          </w:p>
        </w:tc>
        <w:tc>
          <w:tcPr>
            <w:tcW w:w="2075" w:type="dxa"/>
            <w:gridSpan w:val="2"/>
            <w:tcBorders>
              <w:top w:val="nil"/>
              <w:left w:val="nil"/>
              <w:bottom w:val="nil"/>
              <w:right w:val="nil"/>
            </w:tcBorders>
            <w:noWrap/>
            <w:vAlign w:val="center"/>
          </w:tcPr>
          <w:p w14:paraId="215CB828"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0.79</w:t>
            </w:r>
          </w:p>
        </w:tc>
      </w:tr>
      <w:tr w:rsidR="00042D3F" w:rsidRPr="00E97ED3" w14:paraId="2B989A3A" w14:textId="77777777" w:rsidTr="00183290">
        <w:trPr>
          <w:gridAfter w:val="2"/>
          <w:wAfter w:w="2702" w:type="dxa"/>
          <w:trHeight w:val="431"/>
        </w:trPr>
        <w:tc>
          <w:tcPr>
            <w:tcW w:w="2912" w:type="dxa"/>
            <w:tcBorders>
              <w:top w:val="nil"/>
              <w:left w:val="nil"/>
              <w:bottom w:val="nil"/>
              <w:right w:val="nil"/>
            </w:tcBorders>
            <w:noWrap/>
            <w:vAlign w:val="center"/>
          </w:tcPr>
          <w:p w14:paraId="29352EDE" w14:textId="77777777" w:rsidR="00042D3F" w:rsidRPr="00E97ED3" w:rsidRDefault="00042D3F"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21-item HAM-D</w:t>
            </w:r>
          </w:p>
        </w:tc>
        <w:tc>
          <w:tcPr>
            <w:tcW w:w="2702" w:type="dxa"/>
            <w:gridSpan w:val="2"/>
            <w:tcBorders>
              <w:top w:val="nil"/>
              <w:left w:val="nil"/>
              <w:bottom w:val="nil"/>
              <w:right w:val="nil"/>
            </w:tcBorders>
            <w:noWrap/>
            <w:vAlign w:val="center"/>
          </w:tcPr>
          <w:p w14:paraId="7853CEA4" w14:textId="5E49746D" w:rsidR="00042D3F" w:rsidRPr="00E97ED3" w:rsidRDefault="00042D3F" w:rsidP="002236A2">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w:t>
            </w:r>
            <w:r w:rsidR="002236A2" w:rsidRPr="00E97ED3">
              <w:rPr>
                <w:rFonts w:ascii="Times New Roman" w:hAnsi="Times New Roman"/>
                <w:sz w:val="24"/>
                <w:szCs w:val="24"/>
                <w:lang w:eastAsia="zh-TW"/>
              </w:rPr>
              <w:t>3</w:t>
            </w:r>
            <w:r w:rsidRPr="00E97ED3">
              <w:rPr>
                <w:rFonts w:ascii="Times New Roman" w:hAnsi="Times New Roman"/>
                <w:sz w:val="24"/>
                <w:szCs w:val="24"/>
                <w:lang w:eastAsia="zh-TW"/>
              </w:rPr>
              <w:t xml:space="preserve"> ± 1.</w:t>
            </w:r>
            <w:r w:rsidR="002236A2" w:rsidRPr="00E97ED3">
              <w:rPr>
                <w:rFonts w:ascii="Times New Roman" w:hAnsi="Times New Roman"/>
                <w:sz w:val="24"/>
                <w:szCs w:val="24"/>
                <w:lang w:eastAsia="zh-TW"/>
              </w:rPr>
              <w:t>6</w:t>
            </w:r>
          </w:p>
        </w:tc>
        <w:tc>
          <w:tcPr>
            <w:tcW w:w="1723" w:type="dxa"/>
            <w:tcBorders>
              <w:top w:val="nil"/>
              <w:left w:val="nil"/>
              <w:bottom w:val="nil"/>
              <w:right w:val="nil"/>
            </w:tcBorders>
            <w:noWrap/>
            <w:vAlign w:val="center"/>
          </w:tcPr>
          <w:p w14:paraId="422B5B2B" w14:textId="6D629D2F" w:rsidR="00042D3F" w:rsidRPr="00E97ED3" w:rsidRDefault="00042D3F" w:rsidP="002236A2">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w:t>
            </w:r>
            <w:r w:rsidR="002236A2" w:rsidRPr="00E97ED3">
              <w:rPr>
                <w:rFonts w:ascii="Times New Roman" w:hAnsi="Times New Roman"/>
                <w:sz w:val="24"/>
                <w:szCs w:val="24"/>
                <w:lang w:eastAsia="zh-TW"/>
              </w:rPr>
              <w:t>3</w:t>
            </w:r>
            <w:r w:rsidRPr="00E97ED3">
              <w:rPr>
                <w:rFonts w:ascii="Times New Roman" w:hAnsi="Times New Roman"/>
                <w:sz w:val="24"/>
                <w:szCs w:val="24"/>
                <w:lang w:eastAsia="zh-TW"/>
              </w:rPr>
              <w:t>.</w:t>
            </w:r>
            <w:r w:rsidR="002236A2" w:rsidRPr="00E97ED3">
              <w:rPr>
                <w:rFonts w:ascii="Times New Roman" w:hAnsi="Times New Roman"/>
                <w:sz w:val="24"/>
                <w:szCs w:val="24"/>
                <w:lang w:eastAsia="zh-TW"/>
              </w:rPr>
              <w:t>7</w:t>
            </w:r>
            <w:r w:rsidRPr="00E97ED3">
              <w:rPr>
                <w:rFonts w:ascii="Times New Roman" w:hAnsi="Times New Roman"/>
                <w:sz w:val="24"/>
                <w:szCs w:val="24"/>
                <w:lang w:eastAsia="zh-TW"/>
              </w:rPr>
              <w:t xml:space="preserve"> ± 8.8</w:t>
            </w:r>
          </w:p>
        </w:tc>
        <w:tc>
          <w:tcPr>
            <w:tcW w:w="2075" w:type="dxa"/>
            <w:gridSpan w:val="2"/>
            <w:tcBorders>
              <w:top w:val="nil"/>
              <w:left w:val="nil"/>
              <w:bottom w:val="nil"/>
              <w:right w:val="nil"/>
            </w:tcBorders>
            <w:noWrap/>
            <w:vAlign w:val="center"/>
          </w:tcPr>
          <w:p w14:paraId="1455688D" w14:textId="77777777" w:rsidR="00042D3F" w:rsidRPr="00E97ED3" w:rsidRDefault="00042D3F" w:rsidP="00183290">
            <w:pPr>
              <w:spacing w:after="0" w:line="240" w:lineRule="auto"/>
              <w:jc w:val="center"/>
              <w:rPr>
                <w:rFonts w:ascii="Times New Roman" w:hAnsi="Times New Roman"/>
                <w:b/>
                <w:bCs/>
                <w:sz w:val="24"/>
                <w:szCs w:val="24"/>
                <w:lang w:eastAsia="zh-TW"/>
              </w:rPr>
            </w:pPr>
            <w:r w:rsidRPr="00E97ED3">
              <w:rPr>
                <w:rFonts w:ascii="Times New Roman" w:hAnsi="Times New Roman"/>
                <w:b/>
                <w:bCs/>
                <w:sz w:val="24"/>
                <w:szCs w:val="24"/>
                <w:lang w:eastAsia="zh-TW"/>
              </w:rPr>
              <w:t>&lt;0.001</w:t>
            </w:r>
          </w:p>
        </w:tc>
      </w:tr>
      <w:tr w:rsidR="00042D3F" w:rsidRPr="00E97ED3" w14:paraId="6C36BAAD" w14:textId="77777777" w:rsidTr="00183290">
        <w:trPr>
          <w:gridAfter w:val="2"/>
          <w:wAfter w:w="2702" w:type="dxa"/>
          <w:trHeight w:val="431"/>
        </w:trPr>
        <w:tc>
          <w:tcPr>
            <w:tcW w:w="2912" w:type="dxa"/>
            <w:tcBorders>
              <w:top w:val="nil"/>
              <w:left w:val="nil"/>
              <w:bottom w:val="nil"/>
              <w:right w:val="nil"/>
            </w:tcBorders>
            <w:noWrap/>
            <w:vAlign w:val="center"/>
          </w:tcPr>
          <w:p w14:paraId="186174F8" w14:textId="77777777" w:rsidR="00042D3F" w:rsidRPr="00E97ED3" w:rsidRDefault="00042D3F"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MMSE</w:t>
            </w:r>
          </w:p>
        </w:tc>
        <w:tc>
          <w:tcPr>
            <w:tcW w:w="2702" w:type="dxa"/>
            <w:gridSpan w:val="2"/>
            <w:tcBorders>
              <w:top w:val="nil"/>
              <w:left w:val="nil"/>
              <w:bottom w:val="nil"/>
              <w:right w:val="nil"/>
            </w:tcBorders>
            <w:noWrap/>
            <w:vAlign w:val="center"/>
          </w:tcPr>
          <w:p w14:paraId="6DD11606"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29.5 ± 0.5</w:t>
            </w:r>
          </w:p>
        </w:tc>
        <w:tc>
          <w:tcPr>
            <w:tcW w:w="1723" w:type="dxa"/>
            <w:tcBorders>
              <w:top w:val="nil"/>
              <w:left w:val="nil"/>
              <w:bottom w:val="nil"/>
              <w:right w:val="nil"/>
            </w:tcBorders>
            <w:noWrap/>
            <w:vAlign w:val="center"/>
          </w:tcPr>
          <w:p w14:paraId="0946CC69"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29.8 ± 0.6</w:t>
            </w:r>
          </w:p>
        </w:tc>
        <w:tc>
          <w:tcPr>
            <w:tcW w:w="2075" w:type="dxa"/>
            <w:gridSpan w:val="2"/>
            <w:tcBorders>
              <w:top w:val="nil"/>
              <w:left w:val="nil"/>
              <w:bottom w:val="nil"/>
              <w:right w:val="nil"/>
            </w:tcBorders>
            <w:noWrap/>
            <w:vAlign w:val="center"/>
          </w:tcPr>
          <w:p w14:paraId="7C1C7EBB"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0.13</w:t>
            </w:r>
          </w:p>
        </w:tc>
      </w:tr>
      <w:tr w:rsidR="00042D3F" w:rsidRPr="00E97ED3" w14:paraId="1845BF26" w14:textId="77777777" w:rsidTr="00183290">
        <w:trPr>
          <w:gridAfter w:val="2"/>
          <w:wAfter w:w="2702" w:type="dxa"/>
          <w:trHeight w:val="431"/>
        </w:trPr>
        <w:tc>
          <w:tcPr>
            <w:tcW w:w="2912" w:type="dxa"/>
            <w:tcBorders>
              <w:top w:val="nil"/>
              <w:left w:val="nil"/>
              <w:bottom w:val="single" w:sz="4" w:space="0" w:color="auto"/>
              <w:right w:val="nil"/>
            </w:tcBorders>
            <w:shd w:val="clear" w:color="000000" w:fill="D9D9D9"/>
            <w:noWrap/>
            <w:vAlign w:val="center"/>
          </w:tcPr>
          <w:p w14:paraId="0AA46AAC" w14:textId="77777777" w:rsidR="00042D3F" w:rsidRPr="00E97ED3" w:rsidRDefault="00042D3F" w:rsidP="00183290">
            <w:pPr>
              <w:spacing w:after="0" w:line="240" w:lineRule="auto"/>
              <w:rPr>
                <w:rFonts w:ascii="Times New Roman" w:hAnsi="Times New Roman"/>
              </w:rPr>
            </w:pPr>
            <w:r w:rsidRPr="00E97ED3">
              <w:rPr>
                <w:rFonts w:ascii="Times New Roman" w:hAnsi="Times New Roman"/>
                <w:sz w:val="24"/>
                <w:szCs w:val="24"/>
                <w:lang w:eastAsia="zh-TW"/>
              </w:rPr>
              <w:t> </w:t>
            </w:r>
          </w:p>
        </w:tc>
        <w:tc>
          <w:tcPr>
            <w:tcW w:w="2702" w:type="dxa"/>
            <w:gridSpan w:val="2"/>
            <w:tcBorders>
              <w:top w:val="nil"/>
              <w:left w:val="nil"/>
              <w:bottom w:val="single" w:sz="4" w:space="0" w:color="auto"/>
              <w:right w:val="nil"/>
            </w:tcBorders>
            <w:shd w:val="clear" w:color="000000" w:fill="D9D9D9"/>
            <w:noWrap/>
            <w:vAlign w:val="center"/>
          </w:tcPr>
          <w:p w14:paraId="609D0AA5"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 </w:t>
            </w:r>
          </w:p>
        </w:tc>
        <w:tc>
          <w:tcPr>
            <w:tcW w:w="1723" w:type="dxa"/>
            <w:tcBorders>
              <w:top w:val="nil"/>
              <w:left w:val="nil"/>
              <w:bottom w:val="single" w:sz="4" w:space="0" w:color="auto"/>
              <w:right w:val="nil"/>
            </w:tcBorders>
            <w:shd w:val="clear" w:color="000000" w:fill="D9D9D9"/>
            <w:noWrap/>
            <w:vAlign w:val="center"/>
          </w:tcPr>
          <w:p w14:paraId="03AE44B2"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 </w:t>
            </w:r>
          </w:p>
        </w:tc>
        <w:tc>
          <w:tcPr>
            <w:tcW w:w="2075" w:type="dxa"/>
            <w:gridSpan w:val="2"/>
            <w:tcBorders>
              <w:top w:val="nil"/>
              <w:left w:val="nil"/>
              <w:bottom w:val="single" w:sz="4" w:space="0" w:color="auto"/>
              <w:right w:val="nil"/>
            </w:tcBorders>
            <w:shd w:val="clear" w:color="000000" w:fill="D9D9D9"/>
            <w:noWrap/>
            <w:vAlign w:val="center"/>
          </w:tcPr>
          <w:p w14:paraId="4F8E1197"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p values (χ</w:t>
            </w:r>
            <w:r w:rsidRPr="00E97ED3">
              <w:rPr>
                <w:rFonts w:ascii="Times New Roman" w:hAnsi="Times New Roman"/>
                <w:sz w:val="24"/>
                <w:szCs w:val="24"/>
                <w:vertAlign w:val="superscript"/>
                <w:lang w:eastAsia="zh-TW"/>
              </w:rPr>
              <w:t>2</w:t>
            </w:r>
            <w:r w:rsidRPr="00E97ED3">
              <w:rPr>
                <w:rFonts w:ascii="Times New Roman" w:hAnsi="Times New Roman"/>
                <w:sz w:val="24"/>
                <w:szCs w:val="24"/>
                <w:lang w:eastAsia="zh-TW"/>
              </w:rPr>
              <w:t>)</w:t>
            </w:r>
          </w:p>
        </w:tc>
      </w:tr>
      <w:tr w:rsidR="00042D3F" w:rsidRPr="00E97ED3" w14:paraId="2F02BA83" w14:textId="77777777" w:rsidTr="00183290">
        <w:trPr>
          <w:gridAfter w:val="2"/>
          <w:wAfter w:w="2702" w:type="dxa"/>
          <w:trHeight w:val="431"/>
        </w:trPr>
        <w:tc>
          <w:tcPr>
            <w:tcW w:w="2912" w:type="dxa"/>
            <w:tcBorders>
              <w:top w:val="single" w:sz="4" w:space="0" w:color="auto"/>
              <w:left w:val="nil"/>
              <w:bottom w:val="single" w:sz="4" w:space="0" w:color="auto"/>
              <w:right w:val="nil"/>
            </w:tcBorders>
            <w:noWrap/>
            <w:vAlign w:val="center"/>
          </w:tcPr>
          <w:p w14:paraId="46C2E0DB" w14:textId="77777777" w:rsidR="00042D3F" w:rsidRPr="00E97ED3" w:rsidRDefault="00042D3F" w:rsidP="00183290">
            <w:pPr>
              <w:spacing w:after="0" w:line="240" w:lineRule="auto"/>
              <w:rPr>
                <w:rFonts w:ascii="Times New Roman" w:hAnsi="Times New Roman"/>
              </w:rPr>
            </w:pPr>
            <w:r w:rsidRPr="00E97ED3">
              <w:rPr>
                <w:rFonts w:ascii="Times New Roman" w:hAnsi="Times New Roman"/>
                <w:sz w:val="24"/>
                <w:szCs w:val="24"/>
                <w:lang w:eastAsia="zh-TW"/>
              </w:rPr>
              <w:t>Females (n)</w:t>
            </w:r>
          </w:p>
        </w:tc>
        <w:tc>
          <w:tcPr>
            <w:tcW w:w="2702" w:type="dxa"/>
            <w:gridSpan w:val="2"/>
            <w:tcBorders>
              <w:top w:val="single" w:sz="4" w:space="0" w:color="auto"/>
              <w:left w:val="nil"/>
              <w:bottom w:val="single" w:sz="4" w:space="0" w:color="auto"/>
              <w:right w:val="nil"/>
            </w:tcBorders>
            <w:noWrap/>
            <w:vAlign w:val="center"/>
          </w:tcPr>
          <w:p w14:paraId="3D391969"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12 (63%)</w:t>
            </w:r>
          </w:p>
        </w:tc>
        <w:tc>
          <w:tcPr>
            <w:tcW w:w="1723" w:type="dxa"/>
            <w:tcBorders>
              <w:top w:val="single" w:sz="4" w:space="0" w:color="auto"/>
              <w:left w:val="nil"/>
              <w:bottom w:val="single" w:sz="4" w:space="0" w:color="auto"/>
              <w:right w:val="nil"/>
            </w:tcBorders>
            <w:noWrap/>
            <w:vAlign w:val="center"/>
          </w:tcPr>
          <w:p w14:paraId="5290A18B"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10 (36%)</w:t>
            </w:r>
          </w:p>
        </w:tc>
        <w:tc>
          <w:tcPr>
            <w:tcW w:w="2075" w:type="dxa"/>
            <w:gridSpan w:val="2"/>
            <w:tcBorders>
              <w:top w:val="single" w:sz="4" w:space="0" w:color="auto"/>
              <w:left w:val="nil"/>
              <w:bottom w:val="single" w:sz="4" w:space="0" w:color="auto"/>
              <w:right w:val="nil"/>
            </w:tcBorders>
            <w:noWrap/>
            <w:vAlign w:val="center"/>
          </w:tcPr>
          <w:p w14:paraId="11922784" w14:textId="77777777" w:rsidR="00042D3F" w:rsidRPr="00E97ED3" w:rsidRDefault="00042D3F"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0.12</w:t>
            </w:r>
          </w:p>
        </w:tc>
      </w:tr>
      <w:tr w:rsidR="00042D3F" w:rsidRPr="00E97ED3" w14:paraId="2CDADBC5" w14:textId="77777777" w:rsidTr="00183290">
        <w:trPr>
          <w:gridAfter w:val="2"/>
          <w:wAfter w:w="2702" w:type="dxa"/>
          <w:trHeight w:val="431"/>
        </w:trPr>
        <w:tc>
          <w:tcPr>
            <w:tcW w:w="5378" w:type="dxa"/>
            <w:gridSpan w:val="2"/>
            <w:tcBorders>
              <w:top w:val="single" w:sz="4" w:space="0" w:color="auto"/>
              <w:left w:val="nil"/>
              <w:bottom w:val="nil"/>
              <w:right w:val="nil"/>
            </w:tcBorders>
            <w:noWrap/>
            <w:vAlign w:val="center"/>
          </w:tcPr>
          <w:p w14:paraId="16B9F8FA" w14:textId="77777777" w:rsidR="00042D3F" w:rsidRPr="00E97ED3" w:rsidRDefault="00042D3F" w:rsidP="00183290">
            <w:pPr>
              <w:spacing w:before="240" w:after="0" w:line="240" w:lineRule="auto"/>
              <w:rPr>
                <w:rFonts w:ascii="Times New Roman" w:hAnsi="Times New Roman"/>
                <w:sz w:val="24"/>
                <w:szCs w:val="24"/>
                <w:lang w:eastAsia="zh-TW"/>
              </w:rPr>
            </w:pPr>
            <w:r w:rsidRPr="00E97ED3">
              <w:rPr>
                <w:rFonts w:ascii="Times New Roman" w:hAnsi="Times New Roman"/>
                <w:sz w:val="24"/>
                <w:szCs w:val="24"/>
                <w:lang w:eastAsia="zh-TW"/>
              </w:rPr>
              <w:t>21-item HAM-D: 21-item Hamilton Depression Rating Scale, MMSE: Mini-Mental State Examination.</w:t>
            </w:r>
          </w:p>
        </w:tc>
        <w:tc>
          <w:tcPr>
            <w:tcW w:w="236" w:type="dxa"/>
            <w:tcBorders>
              <w:top w:val="single" w:sz="4" w:space="0" w:color="auto"/>
              <w:left w:val="nil"/>
              <w:bottom w:val="nil"/>
              <w:right w:val="nil"/>
            </w:tcBorders>
            <w:noWrap/>
            <w:vAlign w:val="center"/>
          </w:tcPr>
          <w:p w14:paraId="779149F0"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1723" w:type="dxa"/>
            <w:tcBorders>
              <w:top w:val="single" w:sz="4" w:space="0" w:color="auto"/>
            </w:tcBorders>
            <w:noWrap/>
          </w:tcPr>
          <w:p w14:paraId="1BCE6218"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2075" w:type="dxa"/>
            <w:gridSpan w:val="2"/>
            <w:tcBorders>
              <w:top w:val="single" w:sz="4" w:space="0" w:color="auto"/>
              <w:left w:val="nil"/>
              <w:bottom w:val="nil"/>
              <w:right w:val="nil"/>
            </w:tcBorders>
            <w:noWrap/>
            <w:vAlign w:val="center"/>
          </w:tcPr>
          <w:p w14:paraId="5795E764" w14:textId="77777777" w:rsidR="00042D3F" w:rsidRPr="00E97ED3" w:rsidRDefault="00042D3F" w:rsidP="00183290">
            <w:pPr>
              <w:spacing w:after="0" w:line="240" w:lineRule="auto"/>
              <w:jc w:val="center"/>
              <w:rPr>
                <w:rFonts w:ascii="Times New Roman" w:hAnsi="Times New Roman"/>
                <w:sz w:val="24"/>
                <w:szCs w:val="24"/>
                <w:lang w:eastAsia="zh-TW"/>
              </w:rPr>
            </w:pPr>
          </w:p>
        </w:tc>
      </w:tr>
      <w:tr w:rsidR="00042D3F" w:rsidRPr="00E97ED3" w14:paraId="25C80579" w14:textId="77777777" w:rsidTr="00183290">
        <w:trPr>
          <w:gridAfter w:val="2"/>
          <w:wAfter w:w="2702" w:type="dxa"/>
          <w:trHeight w:val="431"/>
        </w:trPr>
        <w:tc>
          <w:tcPr>
            <w:tcW w:w="5378" w:type="dxa"/>
            <w:gridSpan w:val="2"/>
            <w:tcBorders>
              <w:top w:val="nil"/>
              <w:left w:val="nil"/>
              <w:bottom w:val="nil"/>
              <w:right w:val="nil"/>
            </w:tcBorders>
            <w:noWrap/>
            <w:vAlign w:val="center"/>
          </w:tcPr>
          <w:p w14:paraId="632DD261" w14:textId="77777777" w:rsidR="00042D3F" w:rsidRPr="00E97ED3" w:rsidRDefault="00042D3F"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a = One missing data point.</w:t>
            </w:r>
          </w:p>
        </w:tc>
        <w:tc>
          <w:tcPr>
            <w:tcW w:w="236" w:type="dxa"/>
            <w:tcBorders>
              <w:top w:val="nil"/>
              <w:left w:val="nil"/>
              <w:bottom w:val="nil"/>
              <w:right w:val="nil"/>
            </w:tcBorders>
            <w:noWrap/>
            <w:vAlign w:val="center"/>
          </w:tcPr>
          <w:p w14:paraId="6FECCDD2"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1723" w:type="dxa"/>
            <w:tcBorders>
              <w:top w:val="nil"/>
              <w:left w:val="nil"/>
              <w:bottom w:val="nil"/>
              <w:right w:val="nil"/>
            </w:tcBorders>
            <w:noWrap/>
            <w:vAlign w:val="center"/>
          </w:tcPr>
          <w:p w14:paraId="6AA0D16B"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2075" w:type="dxa"/>
            <w:gridSpan w:val="2"/>
            <w:noWrap/>
          </w:tcPr>
          <w:p w14:paraId="368EF7DF" w14:textId="77777777" w:rsidR="00042D3F" w:rsidRPr="00E97ED3" w:rsidRDefault="00042D3F" w:rsidP="00183290">
            <w:pPr>
              <w:spacing w:after="0" w:line="240" w:lineRule="auto"/>
              <w:jc w:val="center"/>
              <w:rPr>
                <w:rFonts w:ascii="Times New Roman" w:hAnsi="Times New Roman"/>
                <w:sz w:val="24"/>
                <w:szCs w:val="24"/>
                <w:lang w:eastAsia="zh-TW"/>
              </w:rPr>
            </w:pPr>
          </w:p>
        </w:tc>
      </w:tr>
      <w:tr w:rsidR="00042D3F" w:rsidRPr="00E97ED3" w14:paraId="2D8983CF" w14:textId="77777777" w:rsidTr="00183290">
        <w:trPr>
          <w:gridAfter w:val="2"/>
          <w:wAfter w:w="2702" w:type="dxa"/>
          <w:trHeight w:val="431"/>
        </w:trPr>
        <w:tc>
          <w:tcPr>
            <w:tcW w:w="5378" w:type="dxa"/>
            <w:gridSpan w:val="2"/>
            <w:tcBorders>
              <w:top w:val="nil"/>
              <w:left w:val="nil"/>
              <w:bottom w:val="nil"/>
              <w:right w:val="nil"/>
            </w:tcBorders>
            <w:noWrap/>
            <w:vAlign w:val="center"/>
          </w:tcPr>
          <w:p w14:paraId="0586B62C" w14:textId="77777777" w:rsidR="00042D3F" w:rsidRPr="00E97ED3" w:rsidRDefault="00042D3F" w:rsidP="00183290">
            <w:pPr>
              <w:spacing w:after="0" w:line="240" w:lineRule="auto"/>
              <w:rPr>
                <w:rFonts w:ascii="Times New Roman" w:hAnsi="Times New Roman"/>
                <w:sz w:val="24"/>
                <w:szCs w:val="24"/>
                <w:lang w:eastAsia="zh-TW"/>
              </w:rPr>
            </w:pPr>
          </w:p>
        </w:tc>
        <w:tc>
          <w:tcPr>
            <w:tcW w:w="236" w:type="dxa"/>
            <w:tcBorders>
              <w:top w:val="nil"/>
              <w:left w:val="nil"/>
              <w:bottom w:val="nil"/>
              <w:right w:val="nil"/>
            </w:tcBorders>
            <w:noWrap/>
            <w:vAlign w:val="center"/>
          </w:tcPr>
          <w:p w14:paraId="1C0766D7"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1723" w:type="dxa"/>
            <w:tcBorders>
              <w:top w:val="nil"/>
              <w:left w:val="nil"/>
              <w:bottom w:val="nil"/>
              <w:right w:val="nil"/>
            </w:tcBorders>
            <w:noWrap/>
            <w:vAlign w:val="center"/>
          </w:tcPr>
          <w:p w14:paraId="63010A10"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2075" w:type="dxa"/>
            <w:gridSpan w:val="2"/>
            <w:noWrap/>
          </w:tcPr>
          <w:p w14:paraId="39EBFE5A" w14:textId="77777777" w:rsidR="00042D3F" w:rsidRPr="00E97ED3" w:rsidRDefault="00042D3F" w:rsidP="00183290">
            <w:pPr>
              <w:spacing w:after="0" w:line="240" w:lineRule="auto"/>
              <w:jc w:val="center"/>
              <w:rPr>
                <w:rFonts w:ascii="Times New Roman" w:hAnsi="Times New Roman"/>
                <w:sz w:val="24"/>
                <w:szCs w:val="24"/>
                <w:lang w:eastAsia="zh-TW"/>
              </w:rPr>
            </w:pPr>
          </w:p>
        </w:tc>
      </w:tr>
      <w:tr w:rsidR="00042D3F" w:rsidRPr="00E97ED3" w14:paraId="6F07FC86" w14:textId="77777777" w:rsidTr="00183290">
        <w:trPr>
          <w:gridAfter w:val="2"/>
          <w:wAfter w:w="2702" w:type="dxa"/>
          <w:trHeight w:val="431"/>
        </w:trPr>
        <w:tc>
          <w:tcPr>
            <w:tcW w:w="2912" w:type="dxa"/>
            <w:tcBorders>
              <w:top w:val="nil"/>
              <w:left w:val="nil"/>
              <w:bottom w:val="nil"/>
              <w:right w:val="nil"/>
            </w:tcBorders>
            <w:noWrap/>
            <w:vAlign w:val="center"/>
          </w:tcPr>
          <w:p w14:paraId="0F92701F" w14:textId="77777777" w:rsidR="00042D3F" w:rsidRPr="00E97ED3" w:rsidRDefault="00042D3F" w:rsidP="00183290">
            <w:pPr>
              <w:spacing w:after="0" w:line="240" w:lineRule="auto"/>
              <w:rPr>
                <w:rFonts w:ascii="Times New Roman" w:hAnsi="Times New Roman"/>
                <w:sz w:val="24"/>
                <w:szCs w:val="24"/>
                <w:lang w:eastAsia="zh-TW"/>
              </w:rPr>
            </w:pPr>
          </w:p>
        </w:tc>
        <w:tc>
          <w:tcPr>
            <w:tcW w:w="2702" w:type="dxa"/>
            <w:gridSpan w:val="2"/>
            <w:tcBorders>
              <w:top w:val="nil"/>
              <w:left w:val="nil"/>
              <w:bottom w:val="nil"/>
              <w:right w:val="nil"/>
            </w:tcBorders>
            <w:noWrap/>
            <w:vAlign w:val="center"/>
          </w:tcPr>
          <w:p w14:paraId="7FE41985"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1723" w:type="dxa"/>
            <w:tcBorders>
              <w:top w:val="nil"/>
              <w:left w:val="nil"/>
              <w:bottom w:val="nil"/>
              <w:right w:val="nil"/>
            </w:tcBorders>
            <w:noWrap/>
            <w:vAlign w:val="center"/>
          </w:tcPr>
          <w:p w14:paraId="6CB3EF5C"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2075" w:type="dxa"/>
            <w:gridSpan w:val="2"/>
            <w:noWrap/>
          </w:tcPr>
          <w:p w14:paraId="4DF299ED" w14:textId="77777777" w:rsidR="00042D3F" w:rsidRPr="00E97ED3" w:rsidRDefault="00042D3F" w:rsidP="00183290">
            <w:pPr>
              <w:spacing w:after="0" w:line="240" w:lineRule="auto"/>
              <w:jc w:val="center"/>
              <w:rPr>
                <w:rFonts w:ascii="Times New Roman" w:hAnsi="Times New Roman"/>
                <w:sz w:val="24"/>
                <w:szCs w:val="24"/>
                <w:lang w:eastAsia="zh-TW"/>
              </w:rPr>
            </w:pPr>
          </w:p>
        </w:tc>
      </w:tr>
      <w:tr w:rsidR="00042D3F" w:rsidRPr="00E97ED3" w14:paraId="63DB581F" w14:textId="77777777" w:rsidTr="00183290">
        <w:trPr>
          <w:trHeight w:val="431"/>
        </w:trPr>
        <w:tc>
          <w:tcPr>
            <w:tcW w:w="2912" w:type="dxa"/>
            <w:tcBorders>
              <w:top w:val="nil"/>
              <w:left w:val="nil"/>
              <w:bottom w:val="nil"/>
              <w:right w:val="nil"/>
            </w:tcBorders>
            <w:noWrap/>
            <w:vAlign w:val="center"/>
          </w:tcPr>
          <w:p w14:paraId="206FA24F" w14:textId="77777777" w:rsidR="00042D3F" w:rsidRPr="00E97ED3" w:rsidRDefault="00042D3F" w:rsidP="00183290">
            <w:pPr>
              <w:spacing w:after="0" w:line="240" w:lineRule="auto"/>
              <w:rPr>
                <w:rFonts w:ascii="Times New Roman" w:hAnsi="Times New Roman"/>
                <w:sz w:val="24"/>
                <w:szCs w:val="24"/>
                <w:lang w:eastAsia="zh-TW"/>
              </w:rPr>
            </w:pPr>
          </w:p>
        </w:tc>
        <w:tc>
          <w:tcPr>
            <w:tcW w:w="2702" w:type="dxa"/>
            <w:gridSpan w:val="2"/>
            <w:tcBorders>
              <w:top w:val="nil"/>
              <w:left w:val="nil"/>
              <w:bottom w:val="nil"/>
              <w:right w:val="nil"/>
            </w:tcBorders>
          </w:tcPr>
          <w:p w14:paraId="75B26D77" w14:textId="77777777" w:rsidR="00042D3F" w:rsidRPr="00E97ED3" w:rsidRDefault="00042D3F" w:rsidP="00183290">
            <w:pPr>
              <w:spacing w:after="0" w:line="240" w:lineRule="auto"/>
              <w:rPr>
                <w:rFonts w:ascii="Times New Roman" w:hAnsi="Times New Roman"/>
                <w:bCs/>
                <w:sz w:val="24"/>
                <w:szCs w:val="24"/>
                <w:lang w:eastAsia="zh-TW"/>
              </w:rPr>
            </w:pPr>
          </w:p>
        </w:tc>
        <w:tc>
          <w:tcPr>
            <w:tcW w:w="2702" w:type="dxa"/>
            <w:gridSpan w:val="2"/>
            <w:tcBorders>
              <w:top w:val="nil"/>
              <w:left w:val="nil"/>
              <w:bottom w:val="nil"/>
              <w:right w:val="nil"/>
            </w:tcBorders>
            <w:noWrap/>
            <w:vAlign w:val="center"/>
          </w:tcPr>
          <w:p w14:paraId="591E53FB" w14:textId="77777777" w:rsidR="00042D3F" w:rsidRPr="00E97ED3" w:rsidRDefault="00042D3F" w:rsidP="00183290">
            <w:pPr>
              <w:spacing w:after="0" w:line="240" w:lineRule="auto"/>
              <w:rPr>
                <w:rFonts w:ascii="Times New Roman" w:hAnsi="Times New Roman"/>
                <w:sz w:val="24"/>
                <w:szCs w:val="24"/>
                <w:lang w:eastAsia="zh-TW"/>
              </w:rPr>
            </w:pPr>
          </w:p>
        </w:tc>
        <w:tc>
          <w:tcPr>
            <w:tcW w:w="1723" w:type="dxa"/>
            <w:gridSpan w:val="2"/>
            <w:noWrap/>
          </w:tcPr>
          <w:p w14:paraId="7B88B7CB" w14:textId="77777777" w:rsidR="00042D3F" w:rsidRPr="00E97ED3" w:rsidRDefault="00042D3F" w:rsidP="00183290">
            <w:pPr>
              <w:spacing w:after="0" w:line="240" w:lineRule="auto"/>
              <w:jc w:val="center"/>
              <w:rPr>
                <w:rFonts w:ascii="Times New Roman" w:hAnsi="Times New Roman"/>
                <w:sz w:val="24"/>
                <w:szCs w:val="24"/>
                <w:lang w:eastAsia="zh-TW"/>
              </w:rPr>
            </w:pPr>
          </w:p>
        </w:tc>
        <w:tc>
          <w:tcPr>
            <w:tcW w:w="2075" w:type="dxa"/>
            <w:tcBorders>
              <w:top w:val="nil"/>
              <w:left w:val="nil"/>
              <w:bottom w:val="nil"/>
              <w:right w:val="nil"/>
            </w:tcBorders>
            <w:noWrap/>
            <w:vAlign w:val="center"/>
          </w:tcPr>
          <w:p w14:paraId="46FFF15D" w14:textId="77777777" w:rsidR="00042D3F" w:rsidRPr="00E97ED3" w:rsidRDefault="00042D3F" w:rsidP="00183290">
            <w:pPr>
              <w:spacing w:after="0" w:line="240" w:lineRule="auto"/>
              <w:jc w:val="center"/>
              <w:rPr>
                <w:rFonts w:ascii="Times New Roman" w:hAnsi="Times New Roman"/>
                <w:sz w:val="24"/>
                <w:szCs w:val="24"/>
                <w:lang w:eastAsia="zh-TW"/>
              </w:rPr>
            </w:pPr>
          </w:p>
        </w:tc>
      </w:tr>
    </w:tbl>
    <w:p w14:paraId="70D08735" w14:textId="77777777" w:rsidR="00042D3F" w:rsidRPr="00E97ED3" w:rsidRDefault="00042D3F" w:rsidP="00042D3F">
      <w:pPr>
        <w:rPr>
          <w:noProof/>
          <w:lang w:eastAsia="zh-TW"/>
        </w:rPr>
      </w:pPr>
    </w:p>
    <w:p w14:paraId="0ADFF651" w14:textId="77777777" w:rsidR="00042D3F" w:rsidRPr="00E97ED3" w:rsidRDefault="00042D3F" w:rsidP="00042D3F">
      <w:pPr>
        <w:rPr>
          <w:noProof/>
          <w:lang w:eastAsia="zh-TW"/>
        </w:rPr>
      </w:pPr>
    </w:p>
    <w:p w14:paraId="4CF930DB" w14:textId="77777777" w:rsidR="00042D3F" w:rsidRPr="00E97ED3" w:rsidRDefault="00042D3F" w:rsidP="00042D3F">
      <w:pPr>
        <w:rPr>
          <w:noProof/>
          <w:lang w:eastAsia="zh-TW"/>
        </w:rPr>
      </w:pPr>
    </w:p>
    <w:p w14:paraId="0ED41A94" w14:textId="77777777" w:rsidR="00042D3F" w:rsidRPr="00E97ED3" w:rsidRDefault="00042D3F" w:rsidP="00042D3F">
      <w:pPr>
        <w:rPr>
          <w:noProof/>
          <w:lang w:eastAsia="zh-TW"/>
        </w:rPr>
      </w:pPr>
    </w:p>
    <w:p w14:paraId="7A0C4B25" w14:textId="77777777" w:rsidR="00042D3F" w:rsidRPr="00E97ED3" w:rsidRDefault="00042D3F" w:rsidP="00042D3F">
      <w:pPr>
        <w:rPr>
          <w:noProof/>
          <w:lang w:eastAsia="zh-TW"/>
        </w:rPr>
      </w:pPr>
    </w:p>
    <w:p w14:paraId="44ABD12A" w14:textId="77777777" w:rsidR="00042D3F" w:rsidRPr="00E97ED3" w:rsidRDefault="00042D3F" w:rsidP="00042D3F">
      <w:pPr>
        <w:rPr>
          <w:noProof/>
          <w:lang w:eastAsia="zh-TW"/>
        </w:rPr>
      </w:pPr>
    </w:p>
    <w:p w14:paraId="0E840284" w14:textId="77777777" w:rsidR="00042D3F" w:rsidRPr="00E97ED3" w:rsidRDefault="00042D3F" w:rsidP="00042D3F">
      <w:pPr>
        <w:rPr>
          <w:noProof/>
          <w:lang w:eastAsia="zh-TW"/>
        </w:rPr>
      </w:pPr>
    </w:p>
    <w:p w14:paraId="5CE48008" w14:textId="4A3F09A0" w:rsidR="00042D3F" w:rsidRPr="00E97ED3" w:rsidRDefault="00042D3F">
      <w:pPr>
        <w:spacing w:after="0" w:line="240" w:lineRule="auto"/>
        <w:rPr>
          <w:rFonts w:ascii="Times New Roman" w:eastAsia="Times New Roman" w:hAnsi="Times New Roman"/>
          <w:lang w:eastAsia="zh-TW"/>
        </w:rPr>
      </w:pPr>
      <w:r w:rsidRPr="00E97ED3">
        <w:rPr>
          <w:rFonts w:ascii="Times New Roman" w:eastAsia="Times New Roman" w:hAnsi="Times New Roman"/>
          <w:lang w:eastAsia="zh-TW"/>
        </w:rPr>
        <w:br w:type="page"/>
      </w:r>
    </w:p>
    <w:tbl>
      <w:tblPr>
        <w:tblW w:w="12114" w:type="dxa"/>
        <w:tblLook w:val="00A0" w:firstRow="1" w:lastRow="0" w:firstColumn="1" w:lastColumn="0" w:noHBand="0" w:noVBand="0"/>
      </w:tblPr>
      <w:tblGrid>
        <w:gridCol w:w="2912"/>
        <w:gridCol w:w="2466"/>
        <w:gridCol w:w="236"/>
        <w:gridCol w:w="1723"/>
        <w:gridCol w:w="979"/>
        <w:gridCol w:w="1096"/>
        <w:gridCol w:w="627"/>
        <w:gridCol w:w="2075"/>
      </w:tblGrid>
      <w:tr w:rsidR="00B7408C" w:rsidRPr="00E97ED3" w14:paraId="30A041F1" w14:textId="77777777" w:rsidTr="00183290">
        <w:trPr>
          <w:gridAfter w:val="2"/>
          <w:wAfter w:w="2702" w:type="dxa"/>
          <w:trHeight w:val="431"/>
        </w:trPr>
        <w:tc>
          <w:tcPr>
            <w:tcW w:w="7337" w:type="dxa"/>
            <w:gridSpan w:val="4"/>
            <w:tcBorders>
              <w:top w:val="nil"/>
              <w:left w:val="nil"/>
              <w:bottom w:val="nil"/>
              <w:right w:val="nil"/>
            </w:tcBorders>
            <w:noWrap/>
            <w:vAlign w:val="center"/>
          </w:tcPr>
          <w:p w14:paraId="0565235D" w14:textId="77777777" w:rsidR="00B7408C" w:rsidRPr="00E97ED3" w:rsidRDefault="00B7408C" w:rsidP="00183290">
            <w:pPr>
              <w:spacing w:after="0" w:line="240" w:lineRule="auto"/>
              <w:rPr>
                <w:rFonts w:ascii="Times New Roman" w:hAnsi="Times New Roman"/>
                <w:bCs/>
                <w:i/>
                <w:sz w:val="24"/>
                <w:szCs w:val="24"/>
                <w:lang w:eastAsia="zh-TW"/>
              </w:rPr>
            </w:pPr>
            <w:r w:rsidRPr="00E97ED3">
              <w:rPr>
                <w:rFonts w:ascii="Times New Roman" w:hAnsi="Times New Roman"/>
                <w:bCs/>
                <w:sz w:val="24"/>
                <w:szCs w:val="24"/>
                <w:lang w:eastAsia="zh-TW"/>
              </w:rPr>
              <w:lastRenderedPageBreak/>
              <w:t>Table 2</w:t>
            </w:r>
            <w:r w:rsidRPr="00E97ED3">
              <w:rPr>
                <w:rFonts w:ascii="Times New Roman" w:hAnsi="Times New Roman"/>
                <w:bCs/>
                <w:i/>
                <w:sz w:val="24"/>
                <w:szCs w:val="24"/>
                <w:lang w:eastAsia="zh-TW"/>
              </w:rPr>
              <w:t xml:space="preserve">. Comparisons of variables of interest by MDD diagnosis; </w:t>
            </w:r>
            <w:r w:rsidRPr="00E97ED3">
              <w:rPr>
                <w:rFonts w:ascii="Times New Roman" w:hAnsi="Times New Roman"/>
                <w:i/>
                <w:sz w:val="24"/>
                <w:szCs w:val="24"/>
                <w:lang w:eastAsia="zh-TW"/>
              </w:rPr>
              <w:t>The data are the mean ± standard deviation.</w:t>
            </w:r>
          </w:p>
          <w:p w14:paraId="140A4CED" w14:textId="77777777" w:rsidR="00B7408C" w:rsidRPr="00E97ED3" w:rsidRDefault="00B7408C" w:rsidP="00183290">
            <w:pPr>
              <w:spacing w:after="0" w:line="240" w:lineRule="auto"/>
              <w:rPr>
                <w:rFonts w:ascii="Times New Roman" w:hAnsi="Times New Roman"/>
                <w:bCs/>
                <w:i/>
                <w:sz w:val="24"/>
                <w:szCs w:val="24"/>
                <w:lang w:eastAsia="zh-TW"/>
              </w:rPr>
            </w:pPr>
          </w:p>
        </w:tc>
        <w:tc>
          <w:tcPr>
            <w:tcW w:w="2075" w:type="dxa"/>
            <w:gridSpan w:val="2"/>
            <w:tcBorders>
              <w:top w:val="nil"/>
              <w:left w:val="nil"/>
              <w:bottom w:val="nil"/>
              <w:right w:val="nil"/>
            </w:tcBorders>
            <w:noWrap/>
            <w:vAlign w:val="center"/>
          </w:tcPr>
          <w:p w14:paraId="6A35E508" w14:textId="77777777" w:rsidR="00B7408C" w:rsidRPr="00E97ED3" w:rsidRDefault="00B7408C" w:rsidP="00183290">
            <w:pPr>
              <w:spacing w:after="0" w:line="240" w:lineRule="auto"/>
              <w:rPr>
                <w:rFonts w:ascii="Arial" w:hAnsi="Arial" w:cs="Arial"/>
                <w:b/>
                <w:bCs/>
                <w:i/>
                <w:sz w:val="24"/>
                <w:szCs w:val="24"/>
                <w:lang w:eastAsia="zh-TW"/>
              </w:rPr>
            </w:pPr>
          </w:p>
        </w:tc>
      </w:tr>
      <w:tr w:rsidR="00B7408C" w:rsidRPr="00E97ED3" w14:paraId="5C3E0597" w14:textId="77777777" w:rsidTr="00183290">
        <w:trPr>
          <w:gridAfter w:val="2"/>
          <w:wAfter w:w="2702" w:type="dxa"/>
          <w:trHeight w:val="431"/>
        </w:trPr>
        <w:tc>
          <w:tcPr>
            <w:tcW w:w="2912" w:type="dxa"/>
            <w:tcBorders>
              <w:top w:val="single" w:sz="4" w:space="0" w:color="auto"/>
              <w:left w:val="nil"/>
              <w:bottom w:val="nil"/>
              <w:right w:val="nil"/>
            </w:tcBorders>
            <w:shd w:val="clear" w:color="000000" w:fill="D9D9D9"/>
            <w:noWrap/>
            <w:vAlign w:val="center"/>
          </w:tcPr>
          <w:p w14:paraId="0F0E92D2" w14:textId="77777777" w:rsidR="00B7408C" w:rsidRPr="00E97ED3" w:rsidRDefault="00B7408C"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Characteristic</w:t>
            </w:r>
          </w:p>
        </w:tc>
        <w:tc>
          <w:tcPr>
            <w:tcW w:w="2702" w:type="dxa"/>
            <w:gridSpan w:val="2"/>
            <w:tcBorders>
              <w:top w:val="single" w:sz="4" w:space="0" w:color="auto"/>
              <w:left w:val="nil"/>
              <w:bottom w:val="nil"/>
              <w:right w:val="nil"/>
            </w:tcBorders>
            <w:shd w:val="clear" w:color="000000" w:fill="D9D9D9"/>
            <w:noWrap/>
            <w:vAlign w:val="center"/>
          </w:tcPr>
          <w:p w14:paraId="3D2334B7"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Comparison Group</w:t>
            </w:r>
          </w:p>
        </w:tc>
        <w:tc>
          <w:tcPr>
            <w:tcW w:w="1723" w:type="dxa"/>
            <w:tcBorders>
              <w:top w:val="single" w:sz="4" w:space="0" w:color="auto"/>
              <w:left w:val="nil"/>
              <w:bottom w:val="nil"/>
              <w:right w:val="nil"/>
            </w:tcBorders>
            <w:shd w:val="clear" w:color="000000" w:fill="D9D9D9"/>
            <w:noWrap/>
            <w:vAlign w:val="center"/>
          </w:tcPr>
          <w:p w14:paraId="0AAA33B0"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MDD Group</w:t>
            </w:r>
          </w:p>
        </w:tc>
        <w:tc>
          <w:tcPr>
            <w:tcW w:w="2075" w:type="dxa"/>
            <w:gridSpan w:val="2"/>
            <w:tcBorders>
              <w:top w:val="single" w:sz="4" w:space="0" w:color="auto"/>
              <w:left w:val="nil"/>
              <w:bottom w:val="nil"/>
              <w:right w:val="nil"/>
            </w:tcBorders>
            <w:shd w:val="clear" w:color="000000" w:fill="D9D9D9"/>
            <w:noWrap/>
            <w:vAlign w:val="center"/>
          </w:tcPr>
          <w:p w14:paraId="3E8DAD4C"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 </w:t>
            </w:r>
          </w:p>
        </w:tc>
      </w:tr>
      <w:tr w:rsidR="00B7408C" w:rsidRPr="00E97ED3" w14:paraId="2E9C6386" w14:textId="77777777" w:rsidTr="00183290">
        <w:trPr>
          <w:gridAfter w:val="2"/>
          <w:wAfter w:w="2702" w:type="dxa"/>
          <w:trHeight w:val="431"/>
        </w:trPr>
        <w:tc>
          <w:tcPr>
            <w:tcW w:w="2912" w:type="dxa"/>
            <w:tcBorders>
              <w:top w:val="nil"/>
              <w:left w:val="nil"/>
              <w:bottom w:val="single" w:sz="4" w:space="0" w:color="auto"/>
              <w:right w:val="nil"/>
            </w:tcBorders>
            <w:shd w:val="clear" w:color="000000" w:fill="D9D9D9"/>
            <w:noWrap/>
            <w:vAlign w:val="center"/>
          </w:tcPr>
          <w:p w14:paraId="5269488C" w14:textId="77777777" w:rsidR="00B7408C" w:rsidRPr="00E97ED3" w:rsidRDefault="00B7408C"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 </w:t>
            </w:r>
          </w:p>
        </w:tc>
        <w:tc>
          <w:tcPr>
            <w:tcW w:w="2702" w:type="dxa"/>
            <w:gridSpan w:val="2"/>
            <w:tcBorders>
              <w:top w:val="nil"/>
              <w:left w:val="nil"/>
              <w:bottom w:val="single" w:sz="4" w:space="0" w:color="auto"/>
              <w:right w:val="nil"/>
            </w:tcBorders>
            <w:shd w:val="clear" w:color="000000" w:fill="D9D9D9"/>
            <w:noWrap/>
            <w:vAlign w:val="center"/>
          </w:tcPr>
          <w:p w14:paraId="2C1102C5"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(N=19)</w:t>
            </w:r>
          </w:p>
        </w:tc>
        <w:tc>
          <w:tcPr>
            <w:tcW w:w="1723" w:type="dxa"/>
            <w:tcBorders>
              <w:top w:val="nil"/>
              <w:left w:val="nil"/>
              <w:bottom w:val="single" w:sz="4" w:space="0" w:color="auto"/>
              <w:right w:val="nil"/>
            </w:tcBorders>
            <w:shd w:val="clear" w:color="000000" w:fill="D9D9D9"/>
            <w:noWrap/>
            <w:vAlign w:val="center"/>
          </w:tcPr>
          <w:p w14:paraId="23A4063A"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(N=28)</w:t>
            </w:r>
          </w:p>
        </w:tc>
        <w:tc>
          <w:tcPr>
            <w:tcW w:w="2075" w:type="dxa"/>
            <w:gridSpan w:val="2"/>
            <w:tcBorders>
              <w:top w:val="nil"/>
              <w:left w:val="nil"/>
              <w:bottom w:val="single" w:sz="4" w:space="0" w:color="auto"/>
              <w:right w:val="nil"/>
            </w:tcBorders>
            <w:shd w:val="clear" w:color="000000" w:fill="D9D9D9"/>
            <w:noWrap/>
            <w:vAlign w:val="center"/>
          </w:tcPr>
          <w:p w14:paraId="668F9D8F"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p values (Mann Whitney)</w:t>
            </w:r>
          </w:p>
        </w:tc>
      </w:tr>
      <w:tr w:rsidR="00B7408C" w:rsidRPr="00E97ED3" w14:paraId="36906EA0" w14:textId="77777777" w:rsidTr="00183290">
        <w:trPr>
          <w:gridAfter w:val="2"/>
          <w:wAfter w:w="2702" w:type="dxa"/>
          <w:trHeight w:val="431"/>
        </w:trPr>
        <w:tc>
          <w:tcPr>
            <w:tcW w:w="2912" w:type="dxa"/>
            <w:tcBorders>
              <w:top w:val="nil"/>
              <w:left w:val="nil"/>
              <w:bottom w:val="nil"/>
              <w:right w:val="nil"/>
            </w:tcBorders>
            <w:noWrap/>
            <w:vAlign w:val="center"/>
          </w:tcPr>
          <w:p w14:paraId="40A2C6B9" w14:textId="77777777" w:rsidR="00B7408C" w:rsidRPr="00E97ED3" w:rsidRDefault="00B7408C" w:rsidP="00183290">
            <w:pPr>
              <w:spacing w:after="0" w:line="240" w:lineRule="auto"/>
              <w:rPr>
                <w:rFonts w:ascii="Times New Roman" w:hAnsi="Times New Roman"/>
                <w:lang w:eastAsia="zh-TW"/>
              </w:rPr>
            </w:pPr>
            <w:r w:rsidRPr="00E97ED3">
              <w:rPr>
                <w:rFonts w:ascii="Times New Roman" w:hAnsi="Times New Roman"/>
              </w:rPr>
              <w:t>α-Syn (ng/mL)</w:t>
            </w:r>
          </w:p>
        </w:tc>
        <w:tc>
          <w:tcPr>
            <w:tcW w:w="2702" w:type="dxa"/>
            <w:gridSpan w:val="2"/>
            <w:tcBorders>
              <w:top w:val="nil"/>
              <w:left w:val="nil"/>
              <w:bottom w:val="nil"/>
              <w:right w:val="nil"/>
            </w:tcBorders>
            <w:noWrap/>
            <w:vAlign w:val="center"/>
          </w:tcPr>
          <w:p w14:paraId="3FAE8624"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14.1 ± 16.1</w:t>
            </w:r>
          </w:p>
        </w:tc>
        <w:tc>
          <w:tcPr>
            <w:tcW w:w="1723" w:type="dxa"/>
            <w:tcBorders>
              <w:top w:val="nil"/>
              <w:left w:val="nil"/>
              <w:bottom w:val="nil"/>
              <w:right w:val="nil"/>
            </w:tcBorders>
            <w:noWrap/>
            <w:vAlign w:val="center"/>
          </w:tcPr>
          <w:p w14:paraId="255CF23D"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16.9 ± 16.2</w:t>
            </w:r>
          </w:p>
        </w:tc>
        <w:tc>
          <w:tcPr>
            <w:tcW w:w="2075" w:type="dxa"/>
            <w:gridSpan w:val="2"/>
            <w:tcBorders>
              <w:top w:val="nil"/>
              <w:left w:val="nil"/>
              <w:bottom w:val="nil"/>
              <w:right w:val="nil"/>
            </w:tcBorders>
            <w:noWrap/>
            <w:vAlign w:val="center"/>
          </w:tcPr>
          <w:p w14:paraId="79C5DBDC"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0.205</w:t>
            </w:r>
          </w:p>
        </w:tc>
      </w:tr>
      <w:tr w:rsidR="00B7408C" w:rsidRPr="00E97ED3" w14:paraId="0187F72C" w14:textId="77777777" w:rsidTr="00183290">
        <w:trPr>
          <w:gridAfter w:val="2"/>
          <w:wAfter w:w="2702" w:type="dxa"/>
          <w:trHeight w:val="474"/>
        </w:trPr>
        <w:tc>
          <w:tcPr>
            <w:tcW w:w="2912" w:type="dxa"/>
            <w:tcBorders>
              <w:top w:val="nil"/>
              <w:left w:val="nil"/>
              <w:bottom w:val="nil"/>
              <w:right w:val="nil"/>
            </w:tcBorders>
            <w:noWrap/>
            <w:vAlign w:val="center"/>
          </w:tcPr>
          <w:p w14:paraId="5DF0B296" w14:textId="77777777" w:rsidR="00B7408C" w:rsidRPr="00E97ED3" w:rsidRDefault="00B7408C" w:rsidP="00183290">
            <w:pPr>
              <w:spacing w:after="0" w:line="240" w:lineRule="auto"/>
              <w:rPr>
                <w:rFonts w:ascii="Times New Roman" w:hAnsi="Times New Roman"/>
                <w:lang w:eastAsia="zh-TW"/>
              </w:rPr>
            </w:pPr>
            <w:r w:rsidRPr="00E97ED3">
              <w:rPr>
                <w:rFonts w:ascii="Times New Roman" w:hAnsi="Times New Roman"/>
                <w:lang w:eastAsia="zh-TW"/>
              </w:rPr>
              <w:t>Ng (</w:t>
            </w:r>
            <w:r w:rsidRPr="00E97ED3">
              <w:rPr>
                <w:rFonts w:ascii="Times New Roman" w:hAnsi="Times New Roman"/>
              </w:rPr>
              <w:t>pg/mL</w:t>
            </w:r>
            <w:r w:rsidRPr="00E97ED3">
              <w:rPr>
                <w:rFonts w:ascii="Times New Roman" w:hAnsi="Times New Roman"/>
                <w:lang w:eastAsia="zh-TW"/>
              </w:rPr>
              <w:t>)</w:t>
            </w:r>
            <w:r w:rsidRPr="00E97ED3">
              <w:rPr>
                <w:rFonts w:ascii="Times New Roman" w:hAnsi="Times New Roman"/>
                <w:vertAlign w:val="superscript"/>
                <w:lang w:eastAsia="zh-TW"/>
              </w:rPr>
              <w:t>a</w:t>
            </w:r>
          </w:p>
        </w:tc>
        <w:tc>
          <w:tcPr>
            <w:tcW w:w="2702" w:type="dxa"/>
            <w:gridSpan w:val="2"/>
            <w:tcBorders>
              <w:top w:val="nil"/>
              <w:left w:val="nil"/>
              <w:bottom w:val="nil"/>
              <w:right w:val="nil"/>
            </w:tcBorders>
            <w:noWrap/>
            <w:vAlign w:val="center"/>
          </w:tcPr>
          <w:p w14:paraId="760002C0"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100.8 ± 91.4</w:t>
            </w:r>
          </w:p>
        </w:tc>
        <w:tc>
          <w:tcPr>
            <w:tcW w:w="1723" w:type="dxa"/>
            <w:tcBorders>
              <w:top w:val="nil"/>
              <w:left w:val="nil"/>
              <w:bottom w:val="nil"/>
              <w:right w:val="nil"/>
            </w:tcBorders>
            <w:noWrap/>
            <w:vAlign w:val="center"/>
          </w:tcPr>
          <w:p w14:paraId="79766CEB"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100.3 ± 124.3</w:t>
            </w:r>
          </w:p>
        </w:tc>
        <w:tc>
          <w:tcPr>
            <w:tcW w:w="2075" w:type="dxa"/>
            <w:gridSpan w:val="2"/>
            <w:tcBorders>
              <w:top w:val="nil"/>
              <w:left w:val="nil"/>
              <w:bottom w:val="nil"/>
              <w:right w:val="nil"/>
            </w:tcBorders>
            <w:noWrap/>
            <w:vAlign w:val="center"/>
          </w:tcPr>
          <w:p w14:paraId="4F3D663C"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0.351</w:t>
            </w:r>
          </w:p>
        </w:tc>
      </w:tr>
      <w:tr w:rsidR="00B7408C" w:rsidRPr="00E97ED3" w14:paraId="2227B270" w14:textId="77777777" w:rsidTr="00183290">
        <w:trPr>
          <w:gridAfter w:val="2"/>
          <w:wAfter w:w="2702" w:type="dxa"/>
          <w:trHeight w:val="431"/>
        </w:trPr>
        <w:tc>
          <w:tcPr>
            <w:tcW w:w="2912" w:type="dxa"/>
            <w:tcBorders>
              <w:top w:val="nil"/>
              <w:left w:val="nil"/>
              <w:bottom w:val="nil"/>
              <w:right w:val="nil"/>
            </w:tcBorders>
            <w:noWrap/>
            <w:vAlign w:val="center"/>
          </w:tcPr>
          <w:p w14:paraId="582211A0" w14:textId="77777777" w:rsidR="00B7408C" w:rsidRPr="00E97ED3" w:rsidRDefault="00B7408C"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Total recall (number of words)</w:t>
            </w:r>
          </w:p>
        </w:tc>
        <w:tc>
          <w:tcPr>
            <w:tcW w:w="2702" w:type="dxa"/>
            <w:gridSpan w:val="2"/>
            <w:tcBorders>
              <w:top w:val="nil"/>
              <w:left w:val="nil"/>
              <w:bottom w:val="nil"/>
              <w:right w:val="nil"/>
            </w:tcBorders>
            <w:noWrap/>
            <w:vAlign w:val="center"/>
          </w:tcPr>
          <w:p w14:paraId="2E0AFB46"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64.4 ± 12.3</w:t>
            </w:r>
          </w:p>
        </w:tc>
        <w:tc>
          <w:tcPr>
            <w:tcW w:w="1723" w:type="dxa"/>
            <w:tcBorders>
              <w:top w:val="nil"/>
              <w:left w:val="nil"/>
              <w:bottom w:val="nil"/>
              <w:right w:val="nil"/>
            </w:tcBorders>
            <w:noWrap/>
            <w:vAlign w:val="center"/>
          </w:tcPr>
          <w:p w14:paraId="76566AB1"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64.9 ± 13.9</w:t>
            </w:r>
          </w:p>
        </w:tc>
        <w:tc>
          <w:tcPr>
            <w:tcW w:w="2075" w:type="dxa"/>
            <w:gridSpan w:val="2"/>
            <w:tcBorders>
              <w:top w:val="nil"/>
              <w:left w:val="nil"/>
              <w:bottom w:val="nil"/>
              <w:right w:val="nil"/>
            </w:tcBorders>
            <w:noWrap/>
            <w:vAlign w:val="center"/>
          </w:tcPr>
          <w:p w14:paraId="6C480654"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0.410</w:t>
            </w:r>
          </w:p>
        </w:tc>
      </w:tr>
      <w:tr w:rsidR="00B7408C" w:rsidRPr="00E97ED3" w14:paraId="22DD458C" w14:textId="77777777" w:rsidTr="00183290">
        <w:trPr>
          <w:gridAfter w:val="2"/>
          <w:wAfter w:w="2702" w:type="dxa"/>
          <w:trHeight w:val="431"/>
        </w:trPr>
        <w:tc>
          <w:tcPr>
            <w:tcW w:w="2912" w:type="dxa"/>
            <w:tcBorders>
              <w:top w:val="nil"/>
              <w:left w:val="nil"/>
              <w:right w:val="nil"/>
            </w:tcBorders>
            <w:noWrap/>
            <w:vAlign w:val="center"/>
          </w:tcPr>
          <w:p w14:paraId="67F53825" w14:textId="77777777" w:rsidR="00B7408C" w:rsidRPr="00E97ED3" w:rsidRDefault="00B7408C"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Recency ratio</w:t>
            </w:r>
          </w:p>
        </w:tc>
        <w:tc>
          <w:tcPr>
            <w:tcW w:w="2702" w:type="dxa"/>
            <w:gridSpan w:val="2"/>
            <w:tcBorders>
              <w:top w:val="nil"/>
              <w:left w:val="nil"/>
              <w:right w:val="nil"/>
            </w:tcBorders>
            <w:noWrap/>
            <w:vAlign w:val="center"/>
          </w:tcPr>
          <w:p w14:paraId="4577CBE4"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1.9 ± 2.3</w:t>
            </w:r>
          </w:p>
        </w:tc>
        <w:tc>
          <w:tcPr>
            <w:tcW w:w="1723" w:type="dxa"/>
            <w:tcBorders>
              <w:top w:val="nil"/>
              <w:left w:val="nil"/>
              <w:right w:val="nil"/>
            </w:tcBorders>
            <w:noWrap/>
            <w:vAlign w:val="center"/>
          </w:tcPr>
          <w:p w14:paraId="1FD5CB9D"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1.7 ± 1.9</w:t>
            </w:r>
          </w:p>
        </w:tc>
        <w:tc>
          <w:tcPr>
            <w:tcW w:w="2075" w:type="dxa"/>
            <w:gridSpan w:val="2"/>
            <w:tcBorders>
              <w:top w:val="nil"/>
              <w:left w:val="nil"/>
              <w:right w:val="nil"/>
            </w:tcBorders>
            <w:noWrap/>
            <w:vAlign w:val="center"/>
          </w:tcPr>
          <w:p w14:paraId="67F0FB15" w14:textId="77777777" w:rsidR="00B7408C" w:rsidRPr="00E97ED3" w:rsidRDefault="00B7408C" w:rsidP="00183290">
            <w:pPr>
              <w:spacing w:after="0" w:line="240" w:lineRule="auto"/>
              <w:jc w:val="center"/>
              <w:rPr>
                <w:rFonts w:ascii="Times New Roman" w:hAnsi="Times New Roman"/>
                <w:sz w:val="24"/>
                <w:szCs w:val="24"/>
                <w:lang w:eastAsia="zh-TW"/>
              </w:rPr>
            </w:pPr>
            <w:r w:rsidRPr="00E97ED3">
              <w:rPr>
                <w:rFonts w:ascii="Times New Roman" w:hAnsi="Times New Roman"/>
                <w:sz w:val="24"/>
                <w:szCs w:val="24"/>
                <w:lang w:eastAsia="zh-TW"/>
              </w:rPr>
              <w:t>0.673</w:t>
            </w:r>
          </w:p>
        </w:tc>
      </w:tr>
      <w:tr w:rsidR="00B7408C" w:rsidRPr="00E97ED3" w14:paraId="3AD89948" w14:textId="77777777" w:rsidTr="00C14400">
        <w:trPr>
          <w:gridAfter w:val="2"/>
          <w:wAfter w:w="2702" w:type="dxa"/>
          <w:trHeight w:val="100"/>
        </w:trPr>
        <w:tc>
          <w:tcPr>
            <w:tcW w:w="5378" w:type="dxa"/>
            <w:gridSpan w:val="2"/>
            <w:tcBorders>
              <w:top w:val="single" w:sz="4" w:space="0" w:color="auto"/>
              <w:left w:val="nil"/>
              <w:bottom w:val="nil"/>
              <w:right w:val="nil"/>
            </w:tcBorders>
            <w:noWrap/>
            <w:vAlign w:val="center"/>
          </w:tcPr>
          <w:p w14:paraId="1DC1DB70" w14:textId="77777777" w:rsidR="00B7408C" w:rsidRPr="00E97ED3" w:rsidRDefault="00B7408C" w:rsidP="00183290">
            <w:pPr>
              <w:spacing w:after="0" w:line="240" w:lineRule="auto"/>
              <w:rPr>
                <w:rFonts w:ascii="Times New Roman" w:hAnsi="Times New Roman"/>
                <w:sz w:val="24"/>
                <w:szCs w:val="24"/>
                <w:lang w:eastAsia="zh-TW"/>
              </w:rPr>
            </w:pPr>
          </w:p>
        </w:tc>
        <w:tc>
          <w:tcPr>
            <w:tcW w:w="236" w:type="dxa"/>
            <w:tcBorders>
              <w:top w:val="single" w:sz="4" w:space="0" w:color="auto"/>
              <w:left w:val="nil"/>
              <w:bottom w:val="nil"/>
              <w:right w:val="nil"/>
            </w:tcBorders>
            <w:noWrap/>
            <w:vAlign w:val="center"/>
          </w:tcPr>
          <w:p w14:paraId="310C076B" w14:textId="77777777" w:rsidR="00B7408C" w:rsidRPr="00E97ED3" w:rsidRDefault="00B7408C" w:rsidP="00183290">
            <w:pPr>
              <w:spacing w:after="0" w:line="240" w:lineRule="auto"/>
              <w:jc w:val="center"/>
              <w:rPr>
                <w:rFonts w:ascii="Times New Roman" w:hAnsi="Times New Roman"/>
                <w:sz w:val="24"/>
                <w:szCs w:val="24"/>
                <w:lang w:eastAsia="zh-TW"/>
              </w:rPr>
            </w:pPr>
          </w:p>
        </w:tc>
        <w:tc>
          <w:tcPr>
            <w:tcW w:w="1723" w:type="dxa"/>
            <w:tcBorders>
              <w:top w:val="single" w:sz="4" w:space="0" w:color="auto"/>
            </w:tcBorders>
            <w:noWrap/>
          </w:tcPr>
          <w:p w14:paraId="35856266" w14:textId="77777777" w:rsidR="00B7408C" w:rsidRPr="00E97ED3" w:rsidRDefault="00B7408C" w:rsidP="00183290">
            <w:pPr>
              <w:spacing w:after="0" w:line="240" w:lineRule="auto"/>
              <w:jc w:val="center"/>
              <w:rPr>
                <w:rFonts w:ascii="Times New Roman" w:hAnsi="Times New Roman"/>
                <w:sz w:val="24"/>
                <w:szCs w:val="24"/>
                <w:lang w:eastAsia="zh-TW"/>
              </w:rPr>
            </w:pPr>
          </w:p>
        </w:tc>
        <w:tc>
          <w:tcPr>
            <w:tcW w:w="2075" w:type="dxa"/>
            <w:gridSpan w:val="2"/>
            <w:tcBorders>
              <w:top w:val="single" w:sz="4" w:space="0" w:color="auto"/>
              <w:left w:val="nil"/>
              <w:bottom w:val="nil"/>
              <w:right w:val="nil"/>
            </w:tcBorders>
            <w:noWrap/>
            <w:vAlign w:val="center"/>
          </w:tcPr>
          <w:p w14:paraId="591CA451" w14:textId="77777777" w:rsidR="00B7408C" w:rsidRPr="00E97ED3" w:rsidRDefault="00B7408C" w:rsidP="00183290">
            <w:pPr>
              <w:spacing w:after="0" w:line="240" w:lineRule="auto"/>
              <w:jc w:val="center"/>
              <w:rPr>
                <w:rFonts w:ascii="Times New Roman" w:hAnsi="Times New Roman"/>
                <w:sz w:val="24"/>
                <w:szCs w:val="24"/>
                <w:lang w:eastAsia="zh-TW"/>
              </w:rPr>
            </w:pPr>
          </w:p>
        </w:tc>
      </w:tr>
      <w:tr w:rsidR="00B7408C" w:rsidRPr="00E97ED3" w14:paraId="257E5819" w14:textId="77777777" w:rsidTr="00183290">
        <w:trPr>
          <w:gridAfter w:val="2"/>
          <w:wAfter w:w="2702" w:type="dxa"/>
          <w:trHeight w:val="431"/>
        </w:trPr>
        <w:tc>
          <w:tcPr>
            <w:tcW w:w="5378" w:type="dxa"/>
            <w:gridSpan w:val="2"/>
            <w:tcBorders>
              <w:top w:val="nil"/>
              <w:left w:val="nil"/>
              <w:bottom w:val="nil"/>
              <w:right w:val="nil"/>
            </w:tcBorders>
            <w:noWrap/>
            <w:vAlign w:val="center"/>
          </w:tcPr>
          <w:p w14:paraId="227D418A" w14:textId="77777777" w:rsidR="00B7408C" w:rsidRPr="00E97ED3" w:rsidRDefault="00B7408C" w:rsidP="00183290">
            <w:pPr>
              <w:spacing w:after="0" w:line="240" w:lineRule="auto"/>
              <w:rPr>
                <w:rFonts w:ascii="Times New Roman" w:hAnsi="Times New Roman"/>
                <w:sz w:val="24"/>
                <w:szCs w:val="24"/>
                <w:lang w:eastAsia="zh-TW"/>
              </w:rPr>
            </w:pPr>
            <w:r w:rsidRPr="00E97ED3">
              <w:rPr>
                <w:rFonts w:ascii="Times New Roman" w:hAnsi="Times New Roman"/>
                <w:sz w:val="24"/>
                <w:szCs w:val="24"/>
                <w:lang w:eastAsia="zh-TW"/>
              </w:rPr>
              <w:t>a = One missing data point.</w:t>
            </w:r>
          </w:p>
        </w:tc>
        <w:tc>
          <w:tcPr>
            <w:tcW w:w="236" w:type="dxa"/>
            <w:tcBorders>
              <w:top w:val="nil"/>
              <w:left w:val="nil"/>
              <w:bottom w:val="nil"/>
              <w:right w:val="nil"/>
            </w:tcBorders>
            <w:noWrap/>
            <w:vAlign w:val="center"/>
          </w:tcPr>
          <w:p w14:paraId="3A481191" w14:textId="77777777" w:rsidR="00B7408C" w:rsidRPr="00E97ED3" w:rsidRDefault="00B7408C" w:rsidP="00183290">
            <w:pPr>
              <w:spacing w:after="0" w:line="240" w:lineRule="auto"/>
              <w:jc w:val="center"/>
              <w:rPr>
                <w:rFonts w:ascii="Times New Roman" w:hAnsi="Times New Roman"/>
                <w:sz w:val="24"/>
                <w:szCs w:val="24"/>
                <w:lang w:eastAsia="zh-TW"/>
              </w:rPr>
            </w:pPr>
          </w:p>
        </w:tc>
        <w:tc>
          <w:tcPr>
            <w:tcW w:w="1723" w:type="dxa"/>
            <w:tcBorders>
              <w:top w:val="nil"/>
              <w:left w:val="nil"/>
              <w:bottom w:val="nil"/>
              <w:right w:val="nil"/>
            </w:tcBorders>
            <w:noWrap/>
            <w:vAlign w:val="center"/>
          </w:tcPr>
          <w:p w14:paraId="79D6B79F" w14:textId="77777777" w:rsidR="00B7408C" w:rsidRPr="00E97ED3" w:rsidRDefault="00B7408C" w:rsidP="00183290">
            <w:pPr>
              <w:spacing w:after="0" w:line="240" w:lineRule="auto"/>
              <w:jc w:val="center"/>
              <w:rPr>
                <w:rFonts w:ascii="Times New Roman" w:hAnsi="Times New Roman"/>
                <w:sz w:val="24"/>
                <w:szCs w:val="24"/>
                <w:lang w:eastAsia="zh-TW"/>
              </w:rPr>
            </w:pPr>
          </w:p>
        </w:tc>
        <w:tc>
          <w:tcPr>
            <w:tcW w:w="2075" w:type="dxa"/>
            <w:gridSpan w:val="2"/>
            <w:noWrap/>
          </w:tcPr>
          <w:p w14:paraId="3D4F47B2" w14:textId="77777777" w:rsidR="00B7408C" w:rsidRPr="00E97ED3" w:rsidRDefault="00B7408C" w:rsidP="00183290">
            <w:pPr>
              <w:spacing w:after="0" w:line="240" w:lineRule="auto"/>
              <w:jc w:val="center"/>
              <w:rPr>
                <w:rFonts w:ascii="Times New Roman" w:hAnsi="Times New Roman"/>
                <w:sz w:val="24"/>
                <w:szCs w:val="24"/>
                <w:lang w:eastAsia="zh-TW"/>
              </w:rPr>
            </w:pPr>
          </w:p>
        </w:tc>
      </w:tr>
      <w:tr w:rsidR="00B7408C" w:rsidRPr="00E97ED3" w14:paraId="4F438F16" w14:textId="77777777" w:rsidTr="00183290">
        <w:trPr>
          <w:gridAfter w:val="2"/>
          <w:wAfter w:w="2702" w:type="dxa"/>
          <w:trHeight w:val="431"/>
        </w:trPr>
        <w:tc>
          <w:tcPr>
            <w:tcW w:w="2912" w:type="dxa"/>
            <w:tcBorders>
              <w:top w:val="nil"/>
              <w:left w:val="nil"/>
              <w:bottom w:val="nil"/>
              <w:right w:val="nil"/>
            </w:tcBorders>
            <w:noWrap/>
            <w:vAlign w:val="center"/>
          </w:tcPr>
          <w:p w14:paraId="7B068827" w14:textId="77777777" w:rsidR="00B7408C" w:rsidRPr="00E97ED3" w:rsidRDefault="00B7408C" w:rsidP="00183290">
            <w:pPr>
              <w:spacing w:after="0" w:line="240" w:lineRule="auto"/>
              <w:rPr>
                <w:rFonts w:ascii="Times New Roman" w:hAnsi="Times New Roman"/>
                <w:sz w:val="24"/>
                <w:szCs w:val="24"/>
                <w:lang w:eastAsia="zh-TW"/>
              </w:rPr>
            </w:pPr>
          </w:p>
        </w:tc>
        <w:tc>
          <w:tcPr>
            <w:tcW w:w="2702" w:type="dxa"/>
            <w:gridSpan w:val="2"/>
            <w:tcBorders>
              <w:top w:val="nil"/>
              <w:left w:val="nil"/>
              <w:bottom w:val="nil"/>
              <w:right w:val="nil"/>
            </w:tcBorders>
            <w:noWrap/>
            <w:vAlign w:val="center"/>
          </w:tcPr>
          <w:p w14:paraId="44A22E8A" w14:textId="77777777" w:rsidR="00B7408C" w:rsidRPr="00E97ED3" w:rsidRDefault="00B7408C" w:rsidP="00183290">
            <w:pPr>
              <w:spacing w:after="0" w:line="240" w:lineRule="auto"/>
              <w:jc w:val="center"/>
              <w:rPr>
                <w:rFonts w:ascii="Times New Roman" w:hAnsi="Times New Roman"/>
                <w:sz w:val="24"/>
                <w:szCs w:val="24"/>
                <w:lang w:eastAsia="zh-TW"/>
              </w:rPr>
            </w:pPr>
          </w:p>
        </w:tc>
        <w:tc>
          <w:tcPr>
            <w:tcW w:w="1723" w:type="dxa"/>
            <w:tcBorders>
              <w:top w:val="nil"/>
              <w:left w:val="nil"/>
              <w:bottom w:val="nil"/>
              <w:right w:val="nil"/>
            </w:tcBorders>
            <w:noWrap/>
            <w:vAlign w:val="center"/>
          </w:tcPr>
          <w:p w14:paraId="1CE02D0A" w14:textId="77777777" w:rsidR="00B7408C" w:rsidRPr="00E97ED3" w:rsidRDefault="00B7408C" w:rsidP="00183290">
            <w:pPr>
              <w:spacing w:after="0" w:line="240" w:lineRule="auto"/>
              <w:jc w:val="center"/>
              <w:rPr>
                <w:rFonts w:ascii="Times New Roman" w:hAnsi="Times New Roman"/>
                <w:sz w:val="24"/>
                <w:szCs w:val="24"/>
                <w:lang w:eastAsia="zh-TW"/>
              </w:rPr>
            </w:pPr>
          </w:p>
        </w:tc>
        <w:tc>
          <w:tcPr>
            <w:tcW w:w="2075" w:type="dxa"/>
            <w:gridSpan w:val="2"/>
            <w:noWrap/>
          </w:tcPr>
          <w:p w14:paraId="5F2CA85B" w14:textId="77777777" w:rsidR="00B7408C" w:rsidRPr="00E97ED3" w:rsidRDefault="00B7408C" w:rsidP="00183290">
            <w:pPr>
              <w:spacing w:after="0" w:line="240" w:lineRule="auto"/>
              <w:jc w:val="center"/>
              <w:rPr>
                <w:rFonts w:ascii="Times New Roman" w:hAnsi="Times New Roman"/>
                <w:sz w:val="24"/>
                <w:szCs w:val="24"/>
                <w:lang w:eastAsia="zh-TW"/>
              </w:rPr>
            </w:pPr>
          </w:p>
        </w:tc>
      </w:tr>
      <w:tr w:rsidR="00B7408C" w:rsidRPr="00E97ED3" w14:paraId="7F3647E9" w14:textId="77777777" w:rsidTr="00183290">
        <w:trPr>
          <w:trHeight w:val="431"/>
        </w:trPr>
        <w:tc>
          <w:tcPr>
            <w:tcW w:w="2912" w:type="dxa"/>
            <w:tcBorders>
              <w:top w:val="nil"/>
              <w:left w:val="nil"/>
              <w:bottom w:val="nil"/>
              <w:right w:val="nil"/>
            </w:tcBorders>
            <w:noWrap/>
            <w:vAlign w:val="center"/>
          </w:tcPr>
          <w:p w14:paraId="6DD52BA3" w14:textId="77777777" w:rsidR="00B7408C" w:rsidRPr="00E97ED3" w:rsidRDefault="00B7408C" w:rsidP="00183290">
            <w:pPr>
              <w:spacing w:after="0" w:line="240" w:lineRule="auto"/>
              <w:rPr>
                <w:rFonts w:ascii="Times New Roman" w:hAnsi="Times New Roman"/>
                <w:sz w:val="24"/>
                <w:szCs w:val="24"/>
                <w:lang w:eastAsia="zh-TW"/>
              </w:rPr>
            </w:pPr>
          </w:p>
        </w:tc>
        <w:tc>
          <w:tcPr>
            <w:tcW w:w="2702" w:type="dxa"/>
            <w:gridSpan w:val="2"/>
            <w:tcBorders>
              <w:top w:val="nil"/>
              <w:left w:val="nil"/>
              <w:bottom w:val="nil"/>
              <w:right w:val="nil"/>
            </w:tcBorders>
          </w:tcPr>
          <w:p w14:paraId="25F7F498" w14:textId="77777777" w:rsidR="00B7408C" w:rsidRPr="00E97ED3" w:rsidRDefault="00B7408C" w:rsidP="00183290">
            <w:pPr>
              <w:spacing w:after="0" w:line="240" w:lineRule="auto"/>
              <w:rPr>
                <w:rFonts w:ascii="Times New Roman" w:hAnsi="Times New Roman"/>
                <w:bCs/>
                <w:sz w:val="24"/>
                <w:szCs w:val="24"/>
                <w:lang w:eastAsia="zh-TW"/>
              </w:rPr>
            </w:pPr>
          </w:p>
        </w:tc>
        <w:tc>
          <w:tcPr>
            <w:tcW w:w="2702" w:type="dxa"/>
            <w:gridSpan w:val="2"/>
            <w:tcBorders>
              <w:top w:val="nil"/>
              <w:left w:val="nil"/>
              <w:bottom w:val="nil"/>
              <w:right w:val="nil"/>
            </w:tcBorders>
            <w:noWrap/>
            <w:vAlign w:val="center"/>
          </w:tcPr>
          <w:p w14:paraId="346F1FBF" w14:textId="77777777" w:rsidR="00B7408C" w:rsidRPr="00E97ED3" w:rsidRDefault="00B7408C" w:rsidP="00183290">
            <w:pPr>
              <w:spacing w:after="0" w:line="240" w:lineRule="auto"/>
              <w:rPr>
                <w:rFonts w:ascii="Times New Roman" w:hAnsi="Times New Roman"/>
                <w:sz w:val="24"/>
                <w:szCs w:val="24"/>
                <w:lang w:eastAsia="zh-TW"/>
              </w:rPr>
            </w:pPr>
          </w:p>
        </w:tc>
        <w:tc>
          <w:tcPr>
            <w:tcW w:w="1723" w:type="dxa"/>
            <w:gridSpan w:val="2"/>
            <w:noWrap/>
          </w:tcPr>
          <w:p w14:paraId="2621A287" w14:textId="77777777" w:rsidR="00B7408C" w:rsidRPr="00E97ED3" w:rsidRDefault="00B7408C" w:rsidP="00183290">
            <w:pPr>
              <w:spacing w:after="0" w:line="240" w:lineRule="auto"/>
              <w:jc w:val="center"/>
              <w:rPr>
                <w:rFonts w:ascii="Times New Roman" w:hAnsi="Times New Roman"/>
                <w:sz w:val="24"/>
                <w:szCs w:val="24"/>
                <w:lang w:eastAsia="zh-TW"/>
              </w:rPr>
            </w:pPr>
          </w:p>
        </w:tc>
        <w:tc>
          <w:tcPr>
            <w:tcW w:w="2075" w:type="dxa"/>
            <w:tcBorders>
              <w:top w:val="nil"/>
              <w:left w:val="nil"/>
              <w:bottom w:val="nil"/>
              <w:right w:val="nil"/>
            </w:tcBorders>
            <w:noWrap/>
            <w:vAlign w:val="center"/>
          </w:tcPr>
          <w:p w14:paraId="7364DB19" w14:textId="77777777" w:rsidR="00B7408C" w:rsidRPr="00E97ED3" w:rsidRDefault="00B7408C" w:rsidP="00183290">
            <w:pPr>
              <w:spacing w:after="0" w:line="240" w:lineRule="auto"/>
              <w:jc w:val="center"/>
              <w:rPr>
                <w:rFonts w:ascii="Times New Roman" w:hAnsi="Times New Roman"/>
                <w:sz w:val="24"/>
                <w:szCs w:val="24"/>
                <w:lang w:eastAsia="zh-TW"/>
              </w:rPr>
            </w:pPr>
          </w:p>
        </w:tc>
      </w:tr>
    </w:tbl>
    <w:p w14:paraId="6071C355" w14:textId="77777777" w:rsidR="00B7408C" w:rsidRPr="00E97ED3" w:rsidRDefault="00B7408C" w:rsidP="00B7408C">
      <w:pPr>
        <w:rPr>
          <w:noProof/>
          <w:lang w:eastAsia="zh-TW"/>
        </w:rPr>
      </w:pPr>
    </w:p>
    <w:p w14:paraId="075F804E" w14:textId="77777777" w:rsidR="00B7408C" w:rsidRPr="00E97ED3" w:rsidRDefault="00B7408C" w:rsidP="00B7408C">
      <w:pPr>
        <w:rPr>
          <w:noProof/>
          <w:lang w:eastAsia="zh-TW"/>
        </w:rPr>
      </w:pPr>
    </w:p>
    <w:p w14:paraId="75C9DD71" w14:textId="77777777" w:rsidR="00B7408C" w:rsidRPr="00E97ED3" w:rsidRDefault="00B7408C" w:rsidP="00B7408C">
      <w:pPr>
        <w:rPr>
          <w:noProof/>
          <w:lang w:eastAsia="zh-TW"/>
        </w:rPr>
      </w:pPr>
    </w:p>
    <w:p w14:paraId="5C411F3A" w14:textId="77777777" w:rsidR="00B7408C" w:rsidRPr="00E97ED3" w:rsidRDefault="00B7408C" w:rsidP="00B7408C">
      <w:pPr>
        <w:rPr>
          <w:noProof/>
          <w:lang w:eastAsia="zh-TW"/>
        </w:rPr>
      </w:pPr>
    </w:p>
    <w:p w14:paraId="4957D28E" w14:textId="77777777" w:rsidR="00B7408C" w:rsidRPr="00E97ED3" w:rsidRDefault="00B7408C" w:rsidP="00B7408C">
      <w:pPr>
        <w:rPr>
          <w:noProof/>
          <w:lang w:eastAsia="zh-TW"/>
        </w:rPr>
      </w:pPr>
    </w:p>
    <w:p w14:paraId="49356D4C" w14:textId="77777777" w:rsidR="00B7408C" w:rsidRPr="00E97ED3" w:rsidRDefault="00B7408C" w:rsidP="00B7408C">
      <w:pPr>
        <w:rPr>
          <w:noProof/>
          <w:lang w:eastAsia="zh-TW"/>
        </w:rPr>
      </w:pPr>
    </w:p>
    <w:p w14:paraId="21AEE30A" w14:textId="77777777" w:rsidR="00B7408C" w:rsidRPr="00E97ED3" w:rsidRDefault="00B7408C" w:rsidP="00B7408C">
      <w:pPr>
        <w:rPr>
          <w:noProof/>
          <w:lang w:eastAsia="zh-TW"/>
        </w:rPr>
      </w:pPr>
    </w:p>
    <w:p w14:paraId="6F611A29" w14:textId="39128FE1" w:rsidR="00B7408C" w:rsidRPr="00E97ED3" w:rsidRDefault="00B7408C">
      <w:pPr>
        <w:spacing w:after="0" w:line="240" w:lineRule="auto"/>
        <w:rPr>
          <w:rFonts w:ascii="Times New Roman" w:eastAsia="Times New Roman" w:hAnsi="Times New Roman"/>
          <w:lang w:eastAsia="zh-TW"/>
        </w:rPr>
      </w:pPr>
      <w:r w:rsidRPr="00E97ED3">
        <w:rPr>
          <w:rFonts w:ascii="Times New Roman" w:eastAsia="Times New Roman" w:hAnsi="Times New Roman"/>
          <w:lang w:eastAsia="zh-TW"/>
        </w:rPr>
        <w:br w:type="page"/>
      </w:r>
    </w:p>
    <w:p w14:paraId="18268C99" w14:textId="43728B2F" w:rsidR="00042D3F" w:rsidRPr="00E97ED3" w:rsidRDefault="00B7408C" w:rsidP="00042D3F">
      <w:pPr>
        <w:spacing w:after="0" w:line="480" w:lineRule="auto"/>
        <w:rPr>
          <w:rFonts w:ascii="Times New Roman" w:eastAsia="Times New Roman" w:hAnsi="Times New Roman"/>
          <w:lang w:eastAsia="zh-TW"/>
        </w:rPr>
      </w:pPr>
      <w:r w:rsidRPr="00E97ED3">
        <w:rPr>
          <w:rFonts w:ascii="Times New Roman" w:eastAsia="Times New Roman" w:hAnsi="Times New Roman"/>
          <w:i/>
          <w:lang w:eastAsia="zh-TW"/>
        </w:rPr>
        <w:lastRenderedPageBreak/>
        <w:t>Figure.</w:t>
      </w:r>
      <w:r w:rsidRPr="00E97ED3">
        <w:rPr>
          <w:rFonts w:ascii="Times New Roman" w:eastAsia="Times New Roman" w:hAnsi="Times New Roman"/>
          <w:lang w:eastAsia="zh-TW"/>
        </w:rPr>
        <w:t xml:space="preserve"> Relationship between α-synuclein (X-axis</w:t>
      </w:r>
      <w:r w:rsidR="00854CE6" w:rsidRPr="00E97ED3">
        <w:rPr>
          <w:rFonts w:ascii="Times New Roman" w:eastAsia="Times New Roman" w:hAnsi="Times New Roman"/>
          <w:lang w:eastAsia="zh-TW"/>
        </w:rPr>
        <w:t>; ng/mL</w:t>
      </w:r>
      <w:r w:rsidRPr="00E97ED3">
        <w:rPr>
          <w:rFonts w:ascii="Times New Roman" w:eastAsia="Times New Roman" w:hAnsi="Times New Roman"/>
          <w:lang w:eastAsia="zh-TW"/>
        </w:rPr>
        <w:t>) and neurogranin (Y-axis</w:t>
      </w:r>
      <w:r w:rsidR="00B53F6C" w:rsidRPr="00E97ED3">
        <w:rPr>
          <w:rFonts w:ascii="Times New Roman" w:eastAsia="Times New Roman" w:hAnsi="Times New Roman"/>
          <w:lang w:eastAsia="zh-TW"/>
        </w:rPr>
        <w:t xml:space="preserve">; </w:t>
      </w:r>
      <w:r w:rsidR="00854CE6" w:rsidRPr="00E97ED3">
        <w:rPr>
          <w:rFonts w:ascii="Times New Roman" w:eastAsia="Times New Roman" w:hAnsi="Times New Roman"/>
          <w:lang w:eastAsia="zh-TW"/>
        </w:rPr>
        <w:t>p</w:t>
      </w:r>
      <w:r w:rsidR="00B53F6C" w:rsidRPr="00E97ED3">
        <w:rPr>
          <w:rFonts w:ascii="Times New Roman" w:eastAsia="Times New Roman" w:hAnsi="Times New Roman"/>
          <w:lang w:eastAsia="zh-TW"/>
        </w:rPr>
        <w:t>g/</w:t>
      </w:r>
      <w:r w:rsidR="00854CE6" w:rsidRPr="00E97ED3">
        <w:rPr>
          <w:rFonts w:ascii="Times New Roman" w:eastAsia="Times New Roman" w:hAnsi="Times New Roman"/>
          <w:lang w:eastAsia="zh-TW"/>
        </w:rPr>
        <w:t>m</w:t>
      </w:r>
      <w:r w:rsidR="00B53F6C" w:rsidRPr="00E97ED3">
        <w:rPr>
          <w:rFonts w:ascii="Times New Roman" w:eastAsia="Times New Roman" w:hAnsi="Times New Roman"/>
          <w:lang w:eastAsia="zh-TW"/>
        </w:rPr>
        <w:t>L</w:t>
      </w:r>
      <w:r w:rsidRPr="00E97ED3">
        <w:rPr>
          <w:rFonts w:ascii="Times New Roman" w:eastAsia="Times New Roman" w:hAnsi="Times New Roman"/>
          <w:lang w:eastAsia="zh-TW"/>
        </w:rPr>
        <w:t>).</w:t>
      </w:r>
    </w:p>
    <w:p w14:paraId="4EC014C2" w14:textId="6136A218" w:rsidR="00B7408C" w:rsidRPr="00042D3F" w:rsidRDefault="00D32DEF" w:rsidP="00042D3F">
      <w:pPr>
        <w:spacing w:after="0" w:line="480" w:lineRule="auto"/>
        <w:rPr>
          <w:rFonts w:ascii="Times New Roman" w:eastAsia="Times New Roman" w:hAnsi="Times New Roman"/>
          <w:lang w:eastAsia="zh-TW"/>
        </w:rPr>
      </w:pPr>
      <w:r w:rsidRPr="00E97ED3">
        <w:rPr>
          <w:noProof/>
          <w:lang w:eastAsia="en-GB"/>
        </w:rPr>
        <w:drawing>
          <wp:inline distT="0" distB="0" distL="0" distR="0" wp14:anchorId="07F55AF3" wp14:editId="1C4BEB8B">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5709E2" w14:textId="5A77C00B" w:rsidR="005E42F2" w:rsidRPr="00B65D7A" w:rsidRDefault="005E42F2" w:rsidP="00B65D7A">
      <w:pPr>
        <w:spacing w:after="0" w:line="480" w:lineRule="auto"/>
        <w:ind w:left="720" w:hanging="720"/>
        <w:jc w:val="center"/>
        <w:rPr>
          <w:rFonts w:ascii="Times New Roman" w:eastAsia="Times New Roman" w:hAnsi="Times New Roman"/>
          <w:lang w:eastAsia="zh-TW"/>
        </w:rPr>
      </w:pPr>
    </w:p>
    <w:sectPr w:rsidR="005E42F2" w:rsidRPr="00B65D7A" w:rsidSect="009718EF">
      <w:headerReference w:type="default" r:id="rId9"/>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353B9" w16cid:durableId="2124F1A3"/>
  <w16cid:commentId w16cid:paraId="4A29FEEC" w16cid:durableId="2124F264"/>
  <w16cid:commentId w16cid:paraId="15A642A9" w16cid:durableId="2124F2A9"/>
  <w16cid:commentId w16cid:paraId="74804DAE" w16cid:durableId="2124F2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15661" w14:textId="77777777" w:rsidR="00A178E7" w:rsidRDefault="00A178E7" w:rsidP="009B619F">
      <w:pPr>
        <w:spacing w:after="0" w:line="240" w:lineRule="auto"/>
      </w:pPr>
      <w:r>
        <w:separator/>
      </w:r>
    </w:p>
  </w:endnote>
  <w:endnote w:type="continuationSeparator" w:id="0">
    <w:p w14:paraId="17B3D3D8" w14:textId="77777777" w:rsidR="00A178E7" w:rsidRDefault="00A178E7" w:rsidP="009B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394453"/>
      <w:docPartObj>
        <w:docPartGallery w:val="Page Numbers (Bottom of Page)"/>
        <w:docPartUnique/>
      </w:docPartObj>
    </w:sdtPr>
    <w:sdtEndPr>
      <w:rPr>
        <w:noProof/>
      </w:rPr>
    </w:sdtEndPr>
    <w:sdtContent>
      <w:p w14:paraId="73020565" w14:textId="33ECEB3D" w:rsidR="005A6F87" w:rsidRDefault="005A6F87">
        <w:pPr>
          <w:pStyle w:val="Footer"/>
          <w:jc w:val="right"/>
        </w:pPr>
        <w:r>
          <w:fldChar w:fldCharType="begin"/>
        </w:r>
        <w:r>
          <w:instrText xml:space="preserve"> PAGE   \* MERGEFORMAT </w:instrText>
        </w:r>
        <w:r>
          <w:fldChar w:fldCharType="separate"/>
        </w:r>
        <w:r w:rsidR="00E97ED3">
          <w:rPr>
            <w:noProof/>
          </w:rPr>
          <w:t>1</w:t>
        </w:r>
        <w:r>
          <w:rPr>
            <w:noProof/>
          </w:rPr>
          <w:fldChar w:fldCharType="end"/>
        </w:r>
      </w:p>
    </w:sdtContent>
  </w:sdt>
  <w:p w14:paraId="060C374B" w14:textId="77777777" w:rsidR="005A6F87" w:rsidRDefault="005A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7AE8" w14:textId="77777777" w:rsidR="00A178E7" w:rsidRDefault="00A178E7" w:rsidP="009B619F">
      <w:pPr>
        <w:spacing w:after="0" w:line="240" w:lineRule="auto"/>
      </w:pPr>
      <w:r>
        <w:separator/>
      </w:r>
    </w:p>
  </w:footnote>
  <w:footnote w:type="continuationSeparator" w:id="0">
    <w:p w14:paraId="727EAD07" w14:textId="77777777" w:rsidR="00A178E7" w:rsidRDefault="00A178E7" w:rsidP="009B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28C5E" w14:textId="316E4334" w:rsidR="005E42F2" w:rsidRPr="0069294F" w:rsidRDefault="008C3A70">
    <w:pPr>
      <w:pStyle w:val="Header"/>
      <w:rPr>
        <w:rFonts w:ascii="Times New Roman" w:hAnsi="Times New Roman"/>
      </w:rPr>
    </w:pPr>
    <w:r>
      <w:rPr>
        <w:rFonts w:ascii="Times New Roman" w:hAnsi="Times New Roman"/>
      </w:rPr>
      <w:t xml:space="preserve">CSF </w:t>
    </w:r>
    <w:r w:rsidR="00A27B79">
      <w:rPr>
        <w:rFonts w:ascii="Times New Roman" w:hAnsi="Times New Roman"/>
      </w:rPr>
      <w:t>α-</w:t>
    </w:r>
    <w:r>
      <w:rPr>
        <w:rFonts w:ascii="Times New Roman" w:hAnsi="Times New Roman"/>
      </w:rPr>
      <w:t xml:space="preserve">synuclein </w:t>
    </w:r>
    <w:r w:rsidR="005E42F2">
      <w:rPr>
        <w:rFonts w:ascii="Times New Roman" w:hAnsi="Times New Roman"/>
      </w:rPr>
      <w:t>and late-life depression</w:t>
    </w:r>
  </w:p>
  <w:p w14:paraId="5C2FC3F8" w14:textId="77777777" w:rsidR="005E42F2" w:rsidRDefault="005E4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416D5"/>
    <w:multiLevelType w:val="hybridMultilevel"/>
    <w:tmpl w:val="7C6A6EE6"/>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E0728"/>
    <w:multiLevelType w:val="hybridMultilevel"/>
    <w:tmpl w:val="6C22ECAE"/>
    <w:lvl w:ilvl="0" w:tplc="E2F6A9F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B4468"/>
    <w:multiLevelType w:val="hybridMultilevel"/>
    <w:tmpl w:val="7C6A6EE6"/>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066C66"/>
    <w:multiLevelType w:val="hybridMultilevel"/>
    <w:tmpl w:val="56E28E2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8B"/>
    <w:rsid w:val="00007466"/>
    <w:rsid w:val="0000797F"/>
    <w:rsid w:val="00007E68"/>
    <w:rsid w:val="00010C84"/>
    <w:rsid w:val="0001128B"/>
    <w:rsid w:val="00011CEC"/>
    <w:rsid w:val="0001348F"/>
    <w:rsid w:val="00013CDF"/>
    <w:rsid w:val="00015657"/>
    <w:rsid w:val="000158AA"/>
    <w:rsid w:val="0001608C"/>
    <w:rsid w:val="00020F77"/>
    <w:rsid w:val="00021293"/>
    <w:rsid w:val="000217F9"/>
    <w:rsid w:val="00021FB4"/>
    <w:rsid w:val="0002329A"/>
    <w:rsid w:val="00024073"/>
    <w:rsid w:val="00025FBA"/>
    <w:rsid w:val="00030589"/>
    <w:rsid w:val="00031A71"/>
    <w:rsid w:val="00031FA0"/>
    <w:rsid w:val="0003241A"/>
    <w:rsid w:val="00033489"/>
    <w:rsid w:val="00033D39"/>
    <w:rsid w:val="00035FEE"/>
    <w:rsid w:val="000361CF"/>
    <w:rsid w:val="0003676F"/>
    <w:rsid w:val="00036E30"/>
    <w:rsid w:val="00036FE9"/>
    <w:rsid w:val="00037925"/>
    <w:rsid w:val="000409F9"/>
    <w:rsid w:val="00040F61"/>
    <w:rsid w:val="00041A26"/>
    <w:rsid w:val="00041AB7"/>
    <w:rsid w:val="00041B6F"/>
    <w:rsid w:val="00042C76"/>
    <w:rsid w:val="00042D3F"/>
    <w:rsid w:val="000430AD"/>
    <w:rsid w:val="00044340"/>
    <w:rsid w:val="00044619"/>
    <w:rsid w:val="00045EFC"/>
    <w:rsid w:val="00046CA0"/>
    <w:rsid w:val="000478D8"/>
    <w:rsid w:val="00052094"/>
    <w:rsid w:val="00052237"/>
    <w:rsid w:val="000529DF"/>
    <w:rsid w:val="00052EC3"/>
    <w:rsid w:val="000540D1"/>
    <w:rsid w:val="000548D0"/>
    <w:rsid w:val="00054BFF"/>
    <w:rsid w:val="00056F2D"/>
    <w:rsid w:val="00057BBB"/>
    <w:rsid w:val="00057DC0"/>
    <w:rsid w:val="00061175"/>
    <w:rsid w:val="000612C2"/>
    <w:rsid w:val="000633D6"/>
    <w:rsid w:val="00067859"/>
    <w:rsid w:val="00067E8C"/>
    <w:rsid w:val="000701A8"/>
    <w:rsid w:val="000717BF"/>
    <w:rsid w:val="00071BF2"/>
    <w:rsid w:val="00072394"/>
    <w:rsid w:val="000736F6"/>
    <w:rsid w:val="00073C1C"/>
    <w:rsid w:val="00074CCB"/>
    <w:rsid w:val="00077E91"/>
    <w:rsid w:val="0008165D"/>
    <w:rsid w:val="00082B86"/>
    <w:rsid w:val="00083060"/>
    <w:rsid w:val="0008368C"/>
    <w:rsid w:val="00087A6D"/>
    <w:rsid w:val="00090230"/>
    <w:rsid w:val="00090C67"/>
    <w:rsid w:val="00091566"/>
    <w:rsid w:val="0009483E"/>
    <w:rsid w:val="00095BE9"/>
    <w:rsid w:val="0009675A"/>
    <w:rsid w:val="000A04C9"/>
    <w:rsid w:val="000A0D31"/>
    <w:rsid w:val="000A11F8"/>
    <w:rsid w:val="000A393C"/>
    <w:rsid w:val="000A44D1"/>
    <w:rsid w:val="000A50F4"/>
    <w:rsid w:val="000A5419"/>
    <w:rsid w:val="000A5727"/>
    <w:rsid w:val="000A572C"/>
    <w:rsid w:val="000B03E0"/>
    <w:rsid w:val="000B0CED"/>
    <w:rsid w:val="000B3053"/>
    <w:rsid w:val="000B39B0"/>
    <w:rsid w:val="000B4550"/>
    <w:rsid w:val="000C04A6"/>
    <w:rsid w:val="000C1284"/>
    <w:rsid w:val="000C12F6"/>
    <w:rsid w:val="000C13AA"/>
    <w:rsid w:val="000C2788"/>
    <w:rsid w:val="000C2C33"/>
    <w:rsid w:val="000C2EB7"/>
    <w:rsid w:val="000C3073"/>
    <w:rsid w:val="000C37F5"/>
    <w:rsid w:val="000C39AA"/>
    <w:rsid w:val="000C439D"/>
    <w:rsid w:val="000C4C3D"/>
    <w:rsid w:val="000C5F4A"/>
    <w:rsid w:val="000C627B"/>
    <w:rsid w:val="000C7C9B"/>
    <w:rsid w:val="000D03A7"/>
    <w:rsid w:val="000D09DF"/>
    <w:rsid w:val="000D117E"/>
    <w:rsid w:val="000D1571"/>
    <w:rsid w:val="000D1FA7"/>
    <w:rsid w:val="000D2B97"/>
    <w:rsid w:val="000D3D7B"/>
    <w:rsid w:val="000D4E0F"/>
    <w:rsid w:val="000D56A4"/>
    <w:rsid w:val="000D64F2"/>
    <w:rsid w:val="000D65AD"/>
    <w:rsid w:val="000D76F0"/>
    <w:rsid w:val="000E1F72"/>
    <w:rsid w:val="000E31D3"/>
    <w:rsid w:val="000E3F22"/>
    <w:rsid w:val="000E427B"/>
    <w:rsid w:val="000E4BBA"/>
    <w:rsid w:val="000E7687"/>
    <w:rsid w:val="000F054F"/>
    <w:rsid w:val="000F168D"/>
    <w:rsid w:val="000F3047"/>
    <w:rsid w:val="000F4313"/>
    <w:rsid w:val="000F513A"/>
    <w:rsid w:val="000F56B6"/>
    <w:rsid w:val="000F5D41"/>
    <w:rsid w:val="000F7810"/>
    <w:rsid w:val="00101DA0"/>
    <w:rsid w:val="00101E79"/>
    <w:rsid w:val="00101F25"/>
    <w:rsid w:val="00102164"/>
    <w:rsid w:val="00102CFD"/>
    <w:rsid w:val="00103D06"/>
    <w:rsid w:val="00103F1B"/>
    <w:rsid w:val="001075E1"/>
    <w:rsid w:val="00110626"/>
    <w:rsid w:val="00112BEE"/>
    <w:rsid w:val="00115DFC"/>
    <w:rsid w:val="001164B7"/>
    <w:rsid w:val="001232B2"/>
    <w:rsid w:val="00124880"/>
    <w:rsid w:val="00124C22"/>
    <w:rsid w:val="001301D4"/>
    <w:rsid w:val="00130A4E"/>
    <w:rsid w:val="00132D08"/>
    <w:rsid w:val="001361E1"/>
    <w:rsid w:val="001379D2"/>
    <w:rsid w:val="00143510"/>
    <w:rsid w:val="00146056"/>
    <w:rsid w:val="00146C49"/>
    <w:rsid w:val="001530F6"/>
    <w:rsid w:val="001535E9"/>
    <w:rsid w:val="00154B68"/>
    <w:rsid w:val="00157F6D"/>
    <w:rsid w:val="00161CA3"/>
    <w:rsid w:val="00161EF2"/>
    <w:rsid w:val="001627C6"/>
    <w:rsid w:val="00163494"/>
    <w:rsid w:val="00164B9B"/>
    <w:rsid w:val="00164F30"/>
    <w:rsid w:val="00164F4E"/>
    <w:rsid w:val="00165A95"/>
    <w:rsid w:val="001718A5"/>
    <w:rsid w:val="00174F3B"/>
    <w:rsid w:val="001752AF"/>
    <w:rsid w:val="00177EE4"/>
    <w:rsid w:val="00180955"/>
    <w:rsid w:val="00180D6E"/>
    <w:rsid w:val="0018167C"/>
    <w:rsid w:val="00182C9A"/>
    <w:rsid w:val="00183565"/>
    <w:rsid w:val="0018427C"/>
    <w:rsid w:val="001842DB"/>
    <w:rsid w:val="00187991"/>
    <w:rsid w:val="00193F6C"/>
    <w:rsid w:val="001951E6"/>
    <w:rsid w:val="00195B6C"/>
    <w:rsid w:val="00196B2B"/>
    <w:rsid w:val="001A10ED"/>
    <w:rsid w:val="001A26EC"/>
    <w:rsid w:val="001A3548"/>
    <w:rsid w:val="001A3C53"/>
    <w:rsid w:val="001A3C74"/>
    <w:rsid w:val="001A42BF"/>
    <w:rsid w:val="001A5F02"/>
    <w:rsid w:val="001A6C5C"/>
    <w:rsid w:val="001A78AE"/>
    <w:rsid w:val="001B0B09"/>
    <w:rsid w:val="001B263A"/>
    <w:rsid w:val="001B3FD7"/>
    <w:rsid w:val="001B45A2"/>
    <w:rsid w:val="001B491C"/>
    <w:rsid w:val="001B4B46"/>
    <w:rsid w:val="001C0CEE"/>
    <w:rsid w:val="001C14DB"/>
    <w:rsid w:val="001C2F3E"/>
    <w:rsid w:val="001C3803"/>
    <w:rsid w:val="001C7622"/>
    <w:rsid w:val="001D11BD"/>
    <w:rsid w:val="001D1B13"/>
    <w:rsid w:val="001D2193"/>
    <w:rsid w:val="001D395A"/>
    <w:rsid w:val="001D3CA1"/>
    <w:rsid w:val="001D3CE8"/>
    <w:rsid w:val="001D441A"/>
    <w:rsid w:val="001D4585"/>
    <w:rsid w:val="001D6850"/>
    <w:rsid w:val="001D7421"/>
    <w:rsid w:val="001D7A6A"/>
    <w:rsid w:val="001E026F"/>
    <w:rsid w:val="001E1122"/>
    <w:rsid w:val="001E19A5"/>
    <w:rsid w:val="001E2308"/>
    <w:rsid w:val="001E3D2D"/>
    <w:rsid w:val="001E4C01"/>
    <w:rsid w:val="001E5FE4"/>
    <w:rsid w:val="001E64D6"/>
    <w:rsid w:val="001F01A4"/>
    <w:rsid w:val="001F1DA5"/>
    <w:rsid w:val="001F2574"/>
    <w:rsid w:val="001F3B54"/>
    <w:rsid w:val="001F4224"/>
    <w:rsid w:val="001F4786"/>
    <w:rsid w:val="001F4D91"/>
    <w:rsid w:val="001F5EC9"/>
    <w:rsid w:val="001F7DC3"/>
    <w:rsid w:val="00200A2F"/>
    <w:rsid w:val="00201A01"/>
    <w:rsid w:val="00203115"/>
    <w:rsid w:val="00203B69"/>
    <w:rsid w:val="0020429C"/>
    <w:rsid w:val="0020447C"/>
    <w:rsid w:val="0020450B"/>
    <w:rsid w:val="00207421"/>
    <w:rsid w:val="0021020C"/>
    <w:rsid w:val="00210FB2"/>
    <w:rsid w:val="00213A56"/>
    <w:rsid w:val="00213BEC"/>
    <w:rsid w:val="0021515A"/>
    <w:rsid w:val="0021557D"/>
    <w:rsid w:val="00217517"/>
    <w:rsid w:val="00220395"/>
    <w:rsid w:val="002228BE"/>
    <w:rsid w:val="002236A2"/>
    <w:rsid w:val="0022439B"/>
    <w:rsid w:val="002254B4"/>
    <w:rsid w:val="002262C3"/>
    <w:rsid w:val="00227487"/>
    <w:rsid w:val="00227E68"/>
    <w:rsid w:val="00230B43"/>
    <w:rsid w:val="00232C34"/>
    <w:rsid w:val="002336CF"/>
    <w:rsid w:val="002343EB"/>
    <w:rsid w:val="00234A30"/>
    <w:rsid w:val="00234C19"/>
    <w:rsid w:val="0023560C"/>
    <w:rsid w:val="002357F1"/>
    <w:rsid w:val="00235BC5"/>
    <w:rsid w:val="00236692"/>
    <w:rsid w:val="002367A1"/>
    <w:rsid w:val="00236B13"/>
    <w:rsid w:val="00240021"/>
    <w:rsid w:val="00241446"/>
    <w:rsid w:val="00242458"/>
    <w:rsid w:val="00242C1A"/>
    <w:rsid w:val="00243AC4"/>
    <w:rsid w:val="0024475F"/>
    <w:rsid w:val="002447AD"/>
    <w:rsid w:val="002447D6"/>
    <w:rsid w:val="00245640"/>
    <w:rsid w:val="002475AD"/>
    <w:rsid w:val="00247E09"/>
    <w:rsid w:val="002509C6"/>
    <w:rsid w:val="00250B34"/>
    <w:rsid w:val="00253ACF"/>
    <w:rsid w:val="00255CB6"/>
    <w:rsid w:val="00256685"/>
    <w:rsid w:val="002573E9"/>
    <w:rsid w:val="00257837"/>
    <w:rsid w:val="00263559"/>
    <w:rsid w:val="0026378C"/>
    <w:rsid w:val="00263802"/>
    <w:rsid w:val="00265A4E"/>
    <w:rsid w:val="00266243"/>
    <w:rsid w:val="002672FC"/>
    <w:rsid w:val="00267480"/>
    <w:rsid w:val="002708A3"/>
    <w:rsid w:val="00270A4F"/>
    <w:rsid w:val="00272392"/>
    <w:rsid w:val="002723CF"/>
    <w:rsid w:val="002726FB"/>
    <w:rsid w:val="00272C9B"/>
    <w:rsid w:val="00272F88"/>
    <w:rsid w:val="002746AD"/>
    <w:rsid w:val="0027769A"/>
    <w:rsid w:val="002802AA"/>
    <w:rsid w:val="00281264"/>
    <w:rsid w:val="00283BD0"/>
    <w:rsid w:val="002851EB"/>
    <w:rsid w:val="00285972"/>
    <w:rsid w:val="00286182"/>
    <w:rsid w:val="00287202"/>
    <w:rsid w:val="002875AA"/>
    <w:rsid w:val="002901A7"/>
    <w:rsid w:val="00290C32"/>
    <w:rsid w:val="00291369"/>
    <w:rsid w:val="00291648"/>
    <w:rsid w:val="00292164"/>
    <w:rsid w:val="00293B16"/>
    <w:rsid w:val="002968C3"/>
    <w:rsid w:val="00296A18"/>
    <w:rsid w:val="002A15D9"/>
    <w:rsid w:val="002A1B6F"/>
    <w:rsid w:val="002A377D"/>
    <w:rsid w:val="002A5826"/>
    <w:rsid w:val="002A74AE"/>
    <w:rsid w:val="002B2CCF"/>
    <w:rsid w:val="002B38DB"/>
    <w:rsid w:val="002B44AE"/>
    <w:rsid w:val="002B5BC3"/>
    <w:rsid w:val="002C0B68"/>
    <w:rsid w:val="002C159C"/>
    <w:rsid w:val="002C214B"/>
    <w:rsid w:val="002C31D1"/>
    <w:rsid w:val="002C4197"/>
    <w:rsid w:val="002C604A"/>
    <w:rsid w:val="002D06D9"/>
    <w:rsid w:val="002D19C6"/>
    <w:rsid w:val="002D3243"/>
    <w:rsid w:val="002D3FD0"/>
    <w:rsid w:val="002D4CD9"/>
    <w:rsid w:val="002D5B9D"/>
    <w:rsid w:val="002D6482"/>
    <w:rsid w:val="002D6DE7"/>
    <w:rsid w:val="002D7D9B"/>
    <w:rsid w:val="002E0F1C"/>
    <w:rsid w:val="002E13A1"/>
    <w:rsid w:val="002E1FDF"/>
    <w:rsid w:val="002E2B2E"/>
    <w:rsid w:val="002E3582"/>
    <w:rsid w:val="002E3FEC"/>
    <w:rsid w:val="002E411B"/>
    <w:rsid w:val="002E4495"/>
    <w:rsid w:val="002E6545"/>
    <w:rsid w:val="002E6AFB"/>
    <w:rsid w:val="002E757A"/>
    <w:rsid w:val="002F0635"/>
    <w:rsid w:val="002F2618"/>
    <w:rsid w:val="002F27F5"/>
    <w:rsid w:val="002F36F3"/>
    <w:rsid w:val="002F4384"/>
    <w:rsid w:val="002F4902"/>
    <w:rsid w:val="002F498F"/>
    <w:rsid w:val="002F4D50"/>
    <w:rsid w:val="002F65E7"/>
    <w:rsid w:val="002F7191"/>
    <w:rsid w:val="002F76E3"/>
    <w:rsid w:val="002F7D30"/>
    <w:rsid w:val="00301269"/>
    <w:rsid w:val="0030162B"/>
    <w:rsid w:val="0030255A"/>
    <w:rsid w:val="003036C1"/>
    <w:rsid w:val="00303A81"/>
    <w:rsid w:val="00303E23"/>
    <w:rsid w:val="00305F08"/>
    <w:rsid w:val="00310547"/>
    <w:rsid w:val="0031066D"/>
    <w:rsid w:val="00312948"/>
    <w:rsid w:val="00315D97"/>
    <w:rsid w:val="00316DDD"/>
    <w:rsid w:val="003175F5"/>
    <w:rsid w:val="00320276"/>
    <w:rsid w:val="00320D5C"/>
    <w:rsid w:val="00320FDA"/>
    <w:rsid w:val="00321DB4"/>
    <w:rsid w:val="00323B8D"/>
    <w:rsid w:val="00323C75"/>
    <w:rsid w:val="003269EE"/>
    <w:rsid w:val="0032727E"/>
    <w:rsid w:val="00331B7C"/>
    <w:rsid w:val="00331E33"/>
    <w:rsid w:val="003337F5"/>
    <w:rsid w:val="0033631C"/>
    <w:rsid w:val="003368C5"/>
    <w:rsid w:val="00336DD7"/>
    <w:rsid w:val="00337D8F"/>
    <w:rsid w:val="00340D38"/>
    <w:rsid w:val="0034112F"/>
    <w:rsid w:val="00341427"/>
    <w:rsid w:val="00342271"/>
    <w:rsid w:val="00342633"/>
    <w:rsid w:val="00343CE0"/>
    <w:rsid w:val="00344B78"/>
    <w:rsid w:val="00345244"/>
    <w:rsid w:val="003472D8"/>
    <w:rsid w:val="00347D95"/>
    <w:rsid w:val="00347F61"/>
    <w:rsid w:val="0035135F"/>
    <w:rsid w:val="0035506B"/>
    <w:rsid w:val="00355B41"/>
    <w:rsid w:val="00355D0D"/>
    <w:rsid w:val="00356958"/>
    <w:rsid w:val="00356AA5"/>
    <w:rsid w:val="003579C6"/>
    <w:rsid w:val="003633DA"/>
    <w:rsid w:val="00366A40"/>
    <w:rsid w:val="00367308"/>
    <w:rsid w:val="003705EA"/>
    <w:rsid w:val="0037078F"/>
    <w:rsid w:val="00370823"/>
    <w:rsid w:val="00370A61"/>
    <w:rsid w:val="00373FA4"/>
    <w:rsid w:val="00381C69"/>
    <w:rsid w:val="00381D4B"/>
    <w:rsid w:val="00382BCA"/>
    <w:rsid w:val="00383512"/>
    <w:rsid w:val="0038426A"/>
    <w:rsid w:val="003847FE"/>
    <w:rsid w:val="00384AA5"/>
    <w:rsid w:val="00384FBF"/>
    <w:rsid w:val="003853AD"/>
    <w:rsid w:val="0039088B"/>
    <w:rsid w:val="003935E8"/>
    <w:rsid w:val="003945B0"/>
    <w:rsid w:val="00396E13"/>
    <w:rsid w:val="003A0444"/>
    <w:rsid w:val="003A0E43"/>
    <w:rsid w:val="003A23D0"/>
    <w:rsid w:val="003A24D8"/>
    <w:rsid w:val="003A2904"/>
    <w:rsid w:val="003A3EDF"/>
    <w:rsid w:val="003A476A"/>
    <w:rsid w:val="003A5276"/>
    <w:rsid w:val="003A5AF6"/>
    <w:rsid w:val="003A5C48"/>
    <w:rsid w:val="003B07E7"/>
    <w:rsid w:val="003B0EDB"/>
    <w:rsid w:val="003B1F6B"/>
    <w:rsid w:val="003B294B"/>
    <w:rsid w:val="003B3D80"/>
    <w:rsid w:val="003B4147"/>
    <w:rsid w:val="003B45E6"/>
    <w:rsid w:val="003B52ED"/>
    <w:rsid w:val="003B7CD4"/>
    <w:rsid w:val="003C02F2"/>
    <w:rsid w:val="003C189F"/>
    <w:rsid w:val="003C1E8C"/>
    <w:rsid w:val="003C2A7A"/>
    <w:rsid w:val="003C356D"/>
    <w:rsid w:val="003C3753"/>
    <w:rsid w:val="003C4E15"/>
    <w:rsid w:val="003C5381"/>
    <w:rsid w:val="003C6F2F"/>
    <w:rsid w:val="003C7F5F"/>
    <w:rsid w:val="003D0DE6"/>
    <w:rsid w:val="003D2AFF"/>
    <w:rsid w:val="003D2C5B"/>
    <w:rsid w:val="003D4DF0"/>
    <w:rsid w:val="003D5961"/>
    <w:rsid w:val="003D642A"/>
    <w:rsid w:val="003D69A3"/>
    <w:rsid w:val="003D718B"/>
    <w:rsid w:val="003D785D"/>
    <w:rsid w:val="003E021D"/>
    <w:rsid w:val="003E09D7"/>
    <w:rsid w:val="003E16C8"/>
    <w:rsid w:val="003E18D7"/>
    <w:rsid w:val="003E76D5"/>
    <w:rsid w:val="003F1944"/>
    <w:rsid w:val="003F24C0"/>
    <w:rsid w:val="003F2C75"/>
    <w:rsid w:val="003F3C15"/>
    <w:rsid w:val="003F3DDD"/>
    <w:rsid w:val="003F6392"/>
    <w:rsid w:val="00400EEB"/>
    <w:rsid w:val="00402783"/>
    <w:rsid w:val="00404E2B"/>
    <w:rsid w:val="004052CA"/>
    <w:rsid w:val="004053AA"/>
    <w:rsid w:val="00407292"/>
    <w:rsid w:val="004115F2"/>
    <w:rsid w:val="00413699"/>
    <w:rsid w:val="00415441"/>
    <w:rsid w:val="004159F3"/>
    <w:rsid w:val="00415A1F"/>
    <w:rsid w:val="004173D0"/>
    <w:rsid w:val="0042019B"/>
    <w:rsid w:val="00422721"/>
    <w:rsid w:val="0042306B"/>
    <w:rsid w:val="00424153"/>
    <w:rsid w:val="00424D95"/>
    <w:rsid w:val="00425B69"/>
    <w:rsid w:val="00425B8E"/>
    <w:rsid w:val="00427128"/>
    <w:rsid w:val="00430405"/>
    <w:rsid w:val="00430496"/>
    <w:rsid w:val="004339B8"/>
    <w:rsid w:val="00434532"/>
    <w:rsid w:val="00435263"/>
    <w:rsid w:val="00437149"/>
    <w:rsid w:val="00437572"/>
    <w:rsid w:val="00442EF8"/>
    <w:rsid w:val="00443F55"/>
    <w:rsid w:val="00446591"/>
    <w:rsid w:val="0044717B"/>
    <w:rsid w:val="004503CB"/>
    <w:rsid w:val="00453AC7"/>
    <w:rsid w:val="0045671C"/>
    <w:rsid w:val="00457EC5"/>
    <w:rsid w:val="004600AF"/>
    <w:rsid w:val="00462213"/>
    <w:rsid w:val="00462A02"/>
    <w:rsid w:val="00462F79"/>
    <w:rsid w:val="00463512"/>
    <w:rsid w:val="0046420D"/>
    <w:rsid w:val="00464C9A"/>
    <w:rsid w:val="00464F46"/>
    <w:rsid w:val="00466209"/>
    <w:rsid w:val="004672CA"/>
    <w:rsid w:val="00470308"/>
    <w:rsid w:val="00470D00"/>
    <w:rsid w:val="00470EB1"/>
    <w:rsid w:val="00472B7F"/>
    <w:rsid w:val="00472FE3"/>
    <w:rsid w:val="0047418A"/>
    <w:rsid w:val="0047614F"/>
    <w:rsid w:val="0047709A"/>
    <w:rsid w:val="004779A1"/>
    <w:rsid w:val="00480567"/>
    <w:rsid w:val="0048287A"/>
    <w:rsid w:val="00482EB3"/>
    <w:rsid w:val="00484027"/>
    <w:rsid w:val="00484B1C"/>
    <w:rsid w:val="00485023"/>
    <w:rsid w:val="004853A0"/>
    <w:rsid w:val="0048636F"/>
    <w:rsid w:val="0048788E"/>
    <w:rsid w:val="004879EC"/>
    <w:rsid w:val="00490ADC"/>
    <w:rsid w:val="00491FB6"/>
    <w:rsid w:val="004955FC"/>
    <w:rsid w:val="00497AAB"/>
    <w:rsid w:val="004A02C1"/>
    <w:rsid w:val="004A097F"/>
    <w:rsid w:val="004A158E"/>
    <w:rsid w:val="004A3262"/>
    <w:rsid w:val="004A4119"/>
    <w:rsid w:val="004A5703"/>
    <w:rsid w:val="004A63FD"/>
    <w:rsid w:val="004A77D6"/>
    <w:rsid w:val="004A794A"/>
    <w:rsid w:val="004B1C60"/>
    <w:rsid w:val="004B40CC"/>
    <w:rsid w:val="004B41BD"/>
    <w:rsid w:val="004C0B4E"/>
    <w:rsid w:val="004C1229"/>
    <w:rsid w:val="004C3A28"/>
    <w:rsid w:val="004C4C11"/>
    <w:rsid w:val="004C7756"/>
    <w:rsid w:val="004D20C5"/>
    <w:rsid w:val="004D4DAD"/>
    <w:rsid w:val="004D55DC"/>
    <w:rsid w:val="004D5952"/>
    <w:rsid w:val="004D7D54"/>
    <w:rsid w:val="004D7D7F"/>
    <w:rsid w:val="004D7E42"/>
    <w:rsid w:val="004E1C25"/>
    <w:rsid w:val="004E1C5D"/>
    <w:rsid w:val="004E1CDB"/>
    <w:rsid w:val="004E2580"/>
    <w:rsid w:val="004E7B59"/>
    <w:rsid w:val="004F0194"/>
    <w:rsid w:val="004F3627"/>
    <w:rsid w:val="004F524E"/>
    <w:rsid w:val="004F5E2F"/>
    <w:rsid w:val="004F5E5D"/>
    <w:rsid w:val="00500482"/>
    <w:rsid w:val="005008CB"/>
    <w:rsid w:val="00500A98"/>
    <w:rsid w:val="0050622D"/>
    <w:rsid w:val="0051006F"/>
    <w:rsid w:val="00513200"/>
    <w:rsid w:val="005134A1"/>
    <w:rsid w:val="00513E81"/>
    <w:rsid w:val="00514369"/>
    <w:rsid w:val="005157FF"/>
    <w:rsid w:val="00516F3A"/>
    <w:rsid w:val="00517430"/>
    <w:rsid w:val="0051760D"/>
    <w:rsid w:val="00520E11"/>
    <w:rsid w:val="0052107B"/>
    <w:rsid w:val="005245B9"/>
    <w:rsid w:val="0052703A"/>
    <w:rsid w:val="00531428"/>
    <w:rsid w:val="00531AED"/>
    <w:rsid w:val="0053230B"/>
    <w:rsid w:val="00532601"/>
    <w:rsid w:val="00533A99"/>
    <w:rsid w:val="00535BF5"/>
    <w:rsid w:val="0053606F"/>
    <w:rsid w:val="0053638C"/>
    <w:rsid w:val="005379BF"/>
    <w:rsid w:val="005401D5"/>
    <w:rsid w:val="00542176"/>
    <w:rsid w:val="00543B8B"/>
    <w:rsid w:val="00546A81"/>
    <w:rsid w:val="00547187"/>
    <w:rsid w:val="005502E2"/>
    <w:rsid w:val="00550384"/>
    <w:rsid w:val="00550DC6"/>
    <w:rsid w:val="00551696"/>
    <w:rsid w:val="005535EC"/>
    <w:rsid w:val="00553A61"/>
    <w:rsid w:val="00554B9A"/>
    <w:rsid w:val="00557FAC"/>
    <w:rsid w:val="00564D97"/>
    <w:rsid w:val="00564F3C"/>
    <w:rsid w:val="0056675D"/>
    <w:rsid w:val="0057043D"/>
    <w:rsid w:val="0057210A"/>
    <w:rsid w:val="005732F2"/>
    <w:rsid w:val="00573C4D"/>
    <w:rsid w:val="00573F28"/>
    <w:rsid w:val="00574B4C"/>
    <w:rsid w:val="00575CC2"/>
    <w:rsid w:val="005806EA"/>
    <w:rsid w:val="00580720"/>
    <w:rsid w:val="005809ED"/>
    <w:rsid w:val="00584E38"/>
    <w:rsid w:val="005853B0"/>
    <w:rsid w:val="00586156"/>
    <w:rsid w:val="00592BB8"/>
    <w:rsid w:val="0059564C"/>
    <w:rsid w:val="00596734"/>
    <w:rsid w:val="00597503"/>
    <w:rsid w:val="005A0148"/>
    <w:rsid w:val="005A0318"/>
    <w:rsid w:val="005A03EC"/>
    <w:rsid w:val="005A2098"/>
    <w:rsid w:val="005A2AA9"/>
    <w:rsid w:val="005A50CA"/>
    <w:rsid w:val="005A6A8D"/>
    <w:rsid w:val="005A6F87"/>
    <w:rsid w:val="005B02AD"/>
    <w:rsid w:val="005B0623"/>
    <w:rsid w:val="005B1EDE"/>
    <w:rsid w:val="005B3162"/>
    <w:rsid w:val="005B4673"/>
    <w:rsid w:val="005B6E08"/>
    <w:rsid w:val="005C0E26"/>
    <w:rsid w:val="005C43C0"/>
    <w:rsid w:val="005C6BD6"/>
    <w:rsid w:val="005D344B"/>
    <w:rsid w:val="005D4590"/>
    <w:rsid w:val="005D5659"/>
    <w:rsid w:val="005D57F1"/>
    <w:rsid w:val="005D6BBF"/>
    <w:rsid w:val="005E201E"/>
    <w:rsid w:val="005E257F"/>
    <w:rsid w:val="005E2662"/>
    <w:rsid w:val="005E38A7"/>
    <w:rsid w:val="005E3FF2"/>
    <w:rsid w:val="005E4219"/>
    <w:rsid w:val="005E42F2"/>
    <w:rsid w:val="005E4CD2"/>
    <w:rsid w:val="005E4E17"/>
    <w:rsid w:val="005F1114"/>
    <w:rsid w:val="005F17C2"/>
    <w:rsid w:val="005F29CD"/>
    <w:rsid w:val="005F341A"/>
    <w:rsid w:val="005F368E"/>
    <w:rsid w:val="005F38AA"/>
    <w:rsid w:val="005F40A9"/>
    <w:rsid w:val="005F466A"/>
    <w:rsid w:val="005F5466"/>
    <w:rsid w:val="00603308"/>
    <w:rsid w:val="006040C2"/>
    <w:rsid w:val="0060457F"/>
    <w:rsid w:val="006059B7"/>
    <w:rsid w:val="00605D2B"/>
    <w:rsid w:val="00607199"/>
    <w:rsid w:val="00610BDF"/>
    <w:rsid w:val="00611165"/>
    <w:rsid w:val="00614227"/>
    <w:rsid w:val="00614AC4"/>
    <w:rsid w:val="00614FE3"/>
    <w:rsid w:val="00615129"/>
    <w:rsid w:val="00621C1B"/>
    <w:rsid w:val="00622334"/>
    <w:rsid w:val="00624F70"/>
    <w:rsid w:val="00625B44"/>
    <w:rsid w:val="00626A5F"/>
    <w:rsid w:val="006334B3"/>
    <w:rsid w:val="00634437"/>
    <w:rsid w:val="0063516C"/>
    <w:rsid w:val="00636921"/>
    <w:rsid w:val="00641511"/>
    <w:rsid w:val="00642BEC"/>
    <w:rsid w:val="00644851"/>
    <w:rsid w:val="00644AF8"/>
    <w:rsid w:val="00644D00"/>
    <w:rsid w:val="0064649A"/>
    <w:rsid w:val="0065078E"/>
    <w:rsid w:val="00650F53"/>
    <w:rsid w:val="00653264"/>
    <w:rsid w:val="00656F5A"/>
    <w:rsid w:val="00657344"/>
    <w:rsid w:val="00657CC9"/>
    <w:rsid w:val="00660FCB"/>
    <w:rsid w:val="00661203"/>
    <w:rsid w:val="0066401C"/>
    <w:rsid w:val="00664381"/>
    <w:rsid w:val="006648E4"/>
    <w:rsid w:val="00664A8C"/>
    <w:rsid w:val="00665CFB"/>
    <w:rsid w:val="00666554"/>
    <w:rsid w:val="00670CBE"/>
    <w:rsid w:val="00676544"/>
    <w:rsid w:val="0068309B"/>
    <w:rsid w:val="00683586"/>
    <w:rsid w:val="006837F0"/>
    <w:rsid w:val="00685E64"/>
    <w:rsid w:val="006875FF"/>
    <w:rsid w:val="00687986"/>
    <w:rsid w:val="00687F58"/>
    <w:rsid w:val="0069131E"/>
    <w:rsid w:val="00691D0E"/>
    <w:rsid w:val="0069215D"/>
    <w:rsid w:val="00692792"/>
    <w:rsid w:val="0069294F"/>
    <w:rsid w:val="00695045"/>
    <w:rsid w:val="00696284"/>
    <w:rsid w:val="0069635E"/>
    <w:rsid w:val="00696680"/>
    <w:rsid w:val="006976C0"/>
    <w:rsid w:val="006A0598"/>
    <w:rsid w:val="006A07A3"/>
    <w:rsid w:val="006A0AEC"/>
    <w:rsid w:val="006A0DA6"/>
    <w:rsid w:val="006A29DB"/>
    <w:rsid w:val="006A2B08"/>
    <w:rsid w:val="006A35BD"/>
    <w:rsid w:val="006A460C"/>
    <w:rsid w:val="006A55F6"/>
    <w:rsid w:val="006A75A5"/>
    <w:rsid w:val="006B0E7A"/>
    <w:rsid w:val="006B30C9"/>
    <w:rsid w:val="006B3953"/>
    <w:rsid w:val="006B3FA8"/>
    <w:rsid w:val="006B50A5"/>
    <w:rsid w:val="006B5A7A"/>
    <w:rsid w:val="006B6390"/>
    <w:rsid w:val="006B77AA"/>
    <w:rsid w:val="006B7FE9"/>
    <w:rsid w:val="006C07D9"/>
    <w:rsid w:val="006C3DDA"/>
    <w:rsid w:val="006C5B72"/>
    <w:rsid w:val="006C67D4"/>
    <w:rsid w:val="006D08E7"/>
    <w:rsid w:val="006D09C9"/>
    <w:rsid w:val="006D0C3E"/>
    <w:rsid w:val="006D13E7"/>
    <w:rsid w:val="006D1575"/>
    <w:rsid w:val="006D25F7"/>
    <w:rsid w:val="006D28D6"/>
    <w:rsid w:val="006D53BB"/>
    <w:rsid w:val="006D6022"/>
    <w:rsid w:val="006D7E7D"/>
    <w:rsid w:val="006E043D"/>
    <w:rsid w:val="006E08E7"/>
    <w:rsid w:val="006E2835"/>
    <w:rsid w:val="006E2DD4"/>
    <w:rsid w:val="006E3FE4"/>
    <w:rsid w:val="006E44B0"/>
    <w:rsid w:val="006E58C6"/>
    <w:rsid w:val="006E67FF"/>
    <w:rsid w:val="006E6E47"/>
    <w:rsid w:val="006E72A8"/>
    <w:rsid w:val="006E7698"/>
    <w:rsid w:val="006F34B1"/>
    <w:rsid w:val="006F3C25"/>
    <w:rsid w:val="006F500D"/>
    <w:rsid w:val="006F7604"/>
    <w:rsid w:val="0070066E"/>
    <w:rsid w:val="007009CB"/>
    <w:rsid w:val="007026FD"/>
    <w:rsid w:val="00702AD3"/>
    <w:rsid w:val="00704B35"/>
    <w:rsid w:val="00704B86"/>
    <w:rsid w:val="00705658"/>
    <w:rsid w:val="00706524"/>
    <w:rsid w:val="00710C16"/>
    <w:rsid w:val="00710E34"/>
    <w:rsid w:val="00711E28"/>
    <w:rsid w:val="00713030"/>
    <w:rsid w:val="007137F7"/>
    <w:rsid w:val="007156CB"/>
    <w:rsid w:val="00715927"/>
    <w:rsid w:val="00715B35"/>
    <w:rsid w:val="00716609"/>
    <w:rsid w:val="00716EA5"/>
    <w:rsid w:val="007232D3"/>
    <w:rsid w:val="00723DE6"/>
    <w:rsid w:val="00725A98"/>
    <w:rsid w:val="00730409"/>
    <w:rsid w:val="007311E9"/>
    <w:rsid w:val="00732595"/>
    <w:rsid w:val="00732E6C"/>
    <w:rsid w:val="007350E3"/>
    <w:rsid w:val="00735C67"/>
    <w:rsid w:val="00736EE0"/>
    <w:rsid w:val="00737350"/>
    <w:rsid w:val="0074011F"/>
    <w:rsid w:val="00740E81"/>
    <w:rsid w:val="00743EBD"/>
    <w:rsid w:val="007446AB"/>
    <w:rsid w:val="00745F63"/>
    <w:rsid w:val="00751013"/>
    <w:rsid w:val="0075320A"/>
    <w:rsid w:val="007534B4"/>
    <w:rsid w:val="00757CED"/>
    <w:rsid w:val="0076088C"/>
    <w:rsid w:val="0076214B"/>
    <w:rsid w:val="007637CC"/>
    <w:rsid w:val="00766227"/>
    <w:rsid w:val="0076749C"/>
    <w:rsid w:val="00767B94"/>
    <w:rsid w:val="00770772"/>
    <w:rsid w:val="007711E8"/>
    <w:rsid w:val="007717A9"/>
    <w:rsid w:val="007717FF"/>
    <w:rsid w:val="00772FA8"/>
    <w:rsid w:val="00773698"/>
    <w:rsid w:val="00774B8C"/>
    <w:rsid w:val="00774C96"/>
    <w:rsid w:val="00776BE2"/>
    <w:rsid w:val="00783852"/>
    <w:rsid w:val="00784551"/>
    <w:rsid w:val="007909C4"/>
    <w:rsid w:val="00791D60"/>
    <w:rsid w:val="00792BAB"/>
    <w:rsid w:val="0079345C"/>
    <w:rsid w:val="007944CB"/>
    <w:rsid w:val="00794810"/>
    <w:rsid w:val="0079656D"/>
    <w:rsid w:val="007978A4"/>
    <w:rsid w:val="00797DF4"/>
    <w:rsid w:val="007A14AF"/>
    <w:rsid w:val="007A2411"/>
    <w:rsid w:val="007A2970"/>
    <w:rsid w:val="007A3BED"/>
    <w:rsid w:val="007A48C1"/>
    <w:rsid w:val="007A6B96"/>
    <w:rsid w:val="007A6FB2"/>
    <w:rsid w:val="007A7C32"/>
    <w:rsid w:val="007B1AA0"/>
    <w:rsid w:val="007B1DE2"/>
    <w:rsid w:val="007B4ECB"/>
    <w:rsid w:val="007B6DFE"/>
    <w:rsid w:val="007B6EC8"/>
    <w:rsid w:val="007B7765"/>
    <w:rsid w:val="007C03E6"/>
    <w:rsid w:val="007C3FF2"/>
    <w:rsid w:val="007C41F4"/>
    <w:rsid w:val="007C5670"/>
    <w:rsid w:val="007C6A77"/>
    <w:rsid w:val="007C7945"/>
    <w:rsid w:val="007C7CC7"/>
    <w:rsid w:val="007D1151"/>
    <w:rsid w:val="007D26AD"/>
    <w:rsid w:val="007D2DDC"/>
    <w:rsid w:val="007E0783"/>
    <w:rsid w:val="007E0A50"/>
    <w:rsid w:val="007E0F8D"/>
    <w:rsid w:val="007E1C30"/>
    <w:rsid w:val="007E23D8"/>
    <w:rsid w:val="007E3BDA"/>
    <w:rsid w:val="007E3F1A"/>
    <w:rsid w:val="007E7596"/>
    <w:rsid w:val="007F060B"/>
    <w:rsid w:val="007F1013"/>
    <w:rsid w:val="007F1E37"/>
    <w:rsid w:val="007F2A0F"/>
    <w:rsid w:val="00801755"/>
    <w:rsid w:val="00801B3E"/>
    <w:rsid w:val="008062D9"/>
    <w:rsid w:val="0080743A"/>
    <w:rsid w:val="008076E4"/>
    <w:rsid w:val="00813337"/>
    <w:rsid w:val="00813B94"/>
    <w:rsid w:val="0081639B"/>
    <w:rsid w:val="00816F7B"/>
    <w:rsid w:val="00821837"/>
    <w:rsid w:val="00821B11"/>
    <w:rsid w:val="00822A0F"/>
    <w:rsid w:val="0082363B"/>
    <w:rsid w:val="00824503"/>
    <w:rsid w:val="00827BDB"/>
    <w:rsid w:val="00830877"/>
    <w:rsid w:val="008356D3"/>
    <w:rsid w:val="00836E1B"/>
    <w:rsid w:val="00837756"/>
    <w:rsid w:val="008404D7"/>
    <w:rsid w:val="00840B74"/>
    <w:rsid w:val="00841F2F"/>
    <w:rsid w:val="00842E0B"/>
    <w:rsid w:val="008438F3"/>
    <w:rsid w:val="00843F77"/>
    <w:rsid w:val="008442F3"/>
    <w:rsid w:val="00846ADD"/>
    <w:rsid w:val="008479E1"/>
    <w:rsid w:val="008524E1"/>
    <w:rsid w:val="00852CC8"/>
    <w:rsid w:val="00852DF4"/>
    <w:rsid w:val="00854CE6"/>
    <w:rsid w:val="00855EDF"/>
    <w:rsid w:val="00856E2F"/>
    <w:rsid w:val="0085731A"/>
    <w:rsid w:val="00857352"/>
    <w:rsid w:val="00857CC7"/>
    <w:rsid w:val="008610C6"/>
    <w:rsid w:val="00861A76"/>
    <w:rsid w:val="00862A83"/>
    <w:rsid w:val="0086336B"/>
    <w:rsid w:val="0086526B"/>
    <w:rsid w:val="00870928"/>
    <w:rsid w:val="00872CA6"/>
    <w:rsid w:val="00872FAC"/>
    <w:rsid w:val="008732DA"/>
    <w:rsid w:val="00874D39"/>
    <w:rsid w:val="00875957"/>
    <w:rsid w:val="00877A91"/>
    <w:rsid w:val="008802D7"/>
    <w:rsid w:val="00881620"/>
    <w:rsid w:val="00881669"/>
    <w:rsid w:val="00881A3C"/>
    <w:rsid w:val="00884042"/>
    <w:rsid w:val="00885AC8"/>
    <w:rsid w:val="008878BC"/>
    <w:rsid w:val="00887EBF"/>
    <w:rsid w:val="008946F9"/>
    <w:rsid w:val="00895485"/>
    <w:rsid w:val="00895B71"/>
    <w:rsid w:val="00895B86"/>
    <w:rsid w:val="00897B23"/>
    <w:rsid w:val="008A0430"/>
    <w:rsid w:val="008A5762"/>
    <w:rsid w:val="008A58DE"/>
    <w:rsid w:val="008A63D4"/>
    <w:rsid w:val="008A658C"/>
    <w:rsid w:val="008B174A"/>
    <w:rsid w:val="008B18D0"/>
    <w:rsid w:val="008B3844"/>
    <w:rsid w:val="008B4B56"/>
    <w:rsid w:val="008B5195"/>
    <w:rsid w:val="008B654A"/>
    <w:rsid w:val="008B78A6"/>
    <w:rsid w:val="008C08A5"/>
    <w:rsid w:val="008C1979"/>
    <w:rsid w:val="008C3A70"/>
    <w:rsid w:val="008C4A98"/>
    <w:rsid w:val="008C5E75"/>
    <w:rsid w:val="008C627D"/>
    <w:rsid w:val="008C7058"/>
    <w:rsid w:val="008D02F9"/>
    <w:rsid w:val="008D0522"/>
    <w:rsid w:val="008D0D14"/>
    <w:rsid w:val="008D194A"/>
    <w:rsid w:val="008D3EC6"/>
    <w:rsid w:val="008D4DCD"/>
    <w:rsid w:val="008D5493"/>
    <w:rsid w:val="008D5AEC"/>
    <w:rsid w:val="008D61EF"/>
    <w:rsid w:val="008D7691"/>
    <w:rsid w:val="008E1C95"/>
    <w:rsid w:val="008E239A"/>
    <w:rsid w:val="008E53D9"/>
    <w:rsid w:val="008E6910"/>
    <w:rsid w:val="008E69BD"/>
    <w:rsid w:val="008E6CF2"/>
    <w:rsid w:val="008E7271"/>
    <w:rsid w:val="008F1522"/>
    <w:rsid w:val="008F487E"/>
    <w:rsid w:val="008F58EA"/>
    <w:rsid w:val="00906786"/>
    <w:rsid w:val="009067C1"/>
    <w:rsid w:val="0090753B"/>
    <w:rsid w:val="009153F8"/>
    <w:rsid w:val="00922908"/>
    <w:rsid w:val="00922EAD"/>
    <w:rsid w:val="00923619"/>
    <w:rsid w:val="0092383F"/>
    <w:rsid w:val="009246B7"/>
    <w:rsid w:val="00925DB3"/>
    <w:rsid w:val="009275DB"/>
    <w:rsid w:val="0092771E"/>
    <w:rsid w:val="00930107"/>
    <w:rsid w:val="009301CC"/>
    <w:rsid w:val="00930D6A"/>
    <w:rsid w:val="00931BBD"/>
    <w:rsid w:val="00933128"/>
    <w:rsid w:val="0093570D"/>
    <w:rsid w:val="009373C2"/>
    <w:rsid w:val="009378F3"/>
    <w:rsid w:val="00940E18"/>
    <w:rsid w:val="00943AD4"/>
    <w:rsid w:val="00945468"/>
    <w:rsid w:val="00947385"/>
    <w:rsid w:val="009518AA"/>
    <w:rsid w:val="00955581"/>
    <w:rsid w:val="009555E1"/>
    <w:rsid w:val="009564EF"/>
    <w:rsid w:val="00960A92"/>
    <w:rsid w:val="00961170"/>
    <w:rsid w:val="009613E9"/>
    <w:rsid w:val="009642D0"/>
    <w:rsid w:val="0096574B"/>
    <w:rsid w:val="00967539"/>
    <w:rsid w:val="009704A3"/>
    <w:rsid w:val="009718EF"/>
    <w:rsid w:val="00973278"/>
    <w:rsid w:val="009736DA"/>
    <w:rsid w:val="009744A0"/>
    <w:rsid w:val="00974AC2"/>
    <w:rsid w:val="00975262"/>
    <w:rsid w:val="00980BDE"/>
    <w:rsid w:val="009842CF"/>
    <w:rsid w:val="00984F0C"/>
    <w:rsid w:val="00986631"/>
    <w:rsid w:val="00991230"/>
    <w:rsid w:val="0099227A"/>
    <w:rsid w:val="0099266B"/>
    <w:rsid w:val="00994893"/>
    <w:rsid w:val="00995022"/>
    <w:rsid w:val="00996911"/>
    <w:rsid w:val="00997A2C"/>
    <w:rsid w:val="009A0F37"/>
    <w:rsid w:val="009A2F50"/>
    <w:rsid w:val="009A56F1"/>
    <w:rsid w:val="009A5848"/>
    <w:rsid w:val="009A73FE"/>
    <w:rsid w:val="009B3173"/>
    <w:rsid w:val="009B39F3"/>
    <w:rsid w:val="009B3A3B"/>
    <w:rsid w:val="009B4182"/>
    <w:rsid w:val="009B4406"/>
    <w:rsid w:val="009B45BE"/>
    <w:rsid w:val="009B4FEC"/>
    <w:rsid w:val="009B619F"/>
    <w:rsid w:val="009B7518"/>
    <w:rsid w:val="009C0460"/>
    <w:rsid w:val="009C0D86"/>
    <w:rsid w:val="009C1381"/>
    <w:rsid w:val="009C1997"/>
    <w:rsid w:val="009C203E"/>
    <w:rsid w:val="009C29F3"/>
    <w:rsid w:val="009C696E"/>
    <w:rsid w:val="009C705B"/>
    <w:rsid w:val="009D08D0"/>
    <w:rsid w:val="009D2377"/>
    <w:rsid w:val="009D2F44"/>
    <w:rsid w:val="009D64BC"/>
    <w:rsid w:val="009D69D6"/>
    <w:rsid w:val="009D6F68"/>
    <w:rsid w:val="009D7615"/>
    <w:rsid w:val="009D7ABE"/>
    <w:rsid w:val="009D7CBD"/>
    <w:rsid w:val="009E0DB0"/>
    <w:rsid w:val="009E1D5F"/>
    <w:rsid w:val="009E25E0"/>
    <w:rsid w:val="009E3A24"/>
    <w:rsid w:val="009E3DB6"/>
    <w:rsid w:val="009E4309"/>
    <w:rsid w:val="009E7683"/>
    <w:rsid w:val="009E7FB3"/>
    <w:rsid w:val="009F1513"/>
    <w:rsid w:val="009F1982"/>
    <w:rsid w:val="009F3DF6"/>
    <w:rsid w:val="009F588E"/>
    <w:rsid w:val="009F7345"/>
    <w:rsid w:val="00A01985"/>
    <w:rsid w:val="00A01D4C"/>
    <w:rsid w:val="00A02650"/>
    <w:rsid w:val="00A03D70"/>
    <w:rsid w:val="00A04732"/>
    <w:rsid w:val="00A05274"/>
    <w:rsid w:val="00A06472"/>
    <w:rsid w:val="00A06C01"/>
    <w:rsid w:val="00A074E8"/>
    <w:rsid w:val="00A10308"/>
    <w:rsid w:val="00A11CF0"/>
    <w:rsid w:val="00A13188"/>
    <w:rsid w:val="00A13911"/>
    <w:rsid w:val="00A1399B"/>
    <w:rsid w:val="00A13C4A"/>
    <w:rsid w:val="00A1497F"/>
    <w:rsid w:val="00A16AD1"/>
    <w:rsid w:val="00A178E7"/>
    <w:rsid w:val="00A20305"/>
    <w:rsid w:val="00A220EB"/>
    <w:rsid w:val="00A2219D"/>
    <w:rsid w:val="00A22FA3"/>
    <w:rsid w:val="00A24EA1"/>
    <w:rsid w:val="00A26135"/>
    <w:rsid w:val="00A27243"/>
    <w:rsid w:val="00A278C5"/>
    <w:rsid w:val="00A27B79"/>
    <w:rsid w:val="00A33B80"/>
    <w:rsid w:val="00A34196"/>
    <w:rsid w:val="00A3462B"/>
    <w:rsid w:val="00A4038E"/>
    <w:rsid w:val="00A42A6D"/>
    <w:rsid w:val="00A43A51"/>
    <w:rsid w:val="00A44181"/>
    <w:rsid w:val="00A45DAD"/>
    <w:rsid w:val="00A4776D"/>
    <w:rsid w:val="00A47E3E"/>
    <w:rsid w:val="00A5033A"/>
    <w:rsid w:val="00A50571"/>
    <w:rsid w:val="00A51888"/>
    <w:rsid w:val="00A54565"/>
    <w:rsid w:val="00A54CA3"/>
    <w:rsid w:val="00A5757D"/>
    <w:rsid w:val="00A57DF8"/>
    <w:rsid w:val="00A6061B"/>
    <w:rsid w:val="00A607D6"/>
    <w:rsid w:val="00A60E96"/>
    <w:rsid w:val="00A61C8D"/>
    <w:rsid w:val="00A6261E"/>
    <w:rsid w:val="00A65C51"/>
    <w:rsid w:val="00A660EE"/>
    <w:rsid w:val="00A66C28"/>
    <w:rsid w:val="00A71DBE"/>
    <w:rsid w:val="00A721F6"/>
    <w:rsid w:val="00A72495"/>
    <w:rsid w:val="00A727CF"/>
    <w:rsid w:val="00A72C18"/>
    <w:rsid w:val="00A73EA1"/>
    <w:rsid w:val="00A746B1"/>
    <w:rsid w:val="00A80046"/>
    <w:rsid w:val="00A8217A"/>
    <w:rsid w:val="00A8385A"/>
    <w:rsid w:val="00A839F8"/>
    <w:rsid w:val="00A87365"/>
    <w:rsid w:val="00A90077"/>
    <w:rsid w:val="00A90D46"/>
    <w:rsid w:val="00A91D45"/>
    <w:rsid w:val="00A9200F"/>
    <w:rsid w:val="00A9354F"/>
    <w:rsid w:val="00A94579"/>
    <w:rsid w:val="00A9467D"/>
    <w:rsid w:val="00A95551"/>
    <w:rsid w:val="00A95E34"/>
    <w:rsid w:val="00A9640D"/>
    <w:rsid w:val="00AA0195"/>
    <w:rsid w:val="00AA0231"/>
    <w:rsid w:val="00AA0C16"/>
    <w:rsid w:val="00AA1650"/>
    <w:rsid w:val="00AA26CA"/>
    <w:rsid w:val="00AA43FA"/>
    <w:rsid w:val="00AA4AC9"/>
    <w:rsid w:val="00AA4E10"/>
    <w:rsid w:val="00AB0B91"/>
    <w:rsid w:val="00AB0F39"/>
    <w:rsid w:val="00AB20C4"/>
    <w:rsid w:val="00AB21DB"/>
    <w:rsid w:val="00AB4A4A"/>
    <w:rsid w:val="00AB4F72"/>
    <w:rsid w:val="00AB5341"/>
    <w:rsid w:val="00AB55B7"/>
    <w:rsid w:val="00AC0F30"/>
    <w:rsid w:val="00AC14AC"/>
    <w:rsid w:val="00AC2C37"/>
    <w:rsid w:val="00AC2D77"/>
    <w:rsid w:val="00AC3A3B"/>
    <w:rsid w:val="00AC4B8E"/>
    <w:rsid w:val="00AC4EAC"/>
    <w:rsid w:val="00AD347F"/>
    <w:rsid w:val="00AD4E52"/>
    <w:rsid w:val="00AD6229"/>
    <w:rsid w:val="00AD70C3"/>
    <w:rsid w:val="00AE1DBE"/>
    <w:rsid w:val="00AE31DE"/>
    <w:rsid w:val="00AE4936"/>
    <w:rsid w:val="00AE63AD"/>
    <w:rsid w:val="00AF03CE"/>
    <w:rsid w:val="00AF0CA4"/>
    <w:rsid w:val="00AF2971"/>
    <w:rsid w:val="00AF340F"/>
    <w:rsid w:val="00AF38AD"/>
    <w:rsid w:val="00AF6914"/>
    <w:rsid w:val="00AF6D89"/>
    <w:rsid w:val="00B01D3B"/>
    <w:rsid w:val="00B02754"/>
    <w:rsid w:val="00B02BFB"/>
    <w:rsid w:val="00B04334"/>
    <w:rsid w:val="00B054A2"/>
    <w:rsid w:val="00B0562E"/>
    <w:rsid w:val="00B06BA4"/>
    <w:rsid w:val="00B06D82"/>
    <w:rsid w:val="00B0799D"/>
    <w:rsid w:val="00B079FD"/>
    <w:rsid w:val="00B10A54"/>
    <w:rsid w:val="00B1235B"/>
    <w:rsid w:val="00B16FD0"/>
    <w:rsid w:val="00B22531"/>
    <w:rsid w:val="00B234B5"/>
    <w:rsid w:val="00B2396D"/>
    <w:rsid w:val="00B26307"/>
    <w:rsid w:val="00B2719E"/>
    <w:rsid w:val="00B308DF"/>
    <w:rsid w:val="00B328C1"/>
    <w:rsid w:val="00B360C8"/>
    <w:rsid w:val="00B369C5"/>
    <w:rsid w:val="00B4088C"/>
    <w:rsid w:val="00B40BD1"/>
    <w:rsid w:val="00B41284"/>
    <w:rsid w:val="00B41621"/>
    <w:rsid w:val="00B41A9E"/>
    <w:rsid w:val="00B42A0C"/>
    <w:rsid w:val="00B43B54"/>
    <w:rsid w:val="00B44B5C"/>
    <w:rsid w:val="00B44BB0"/>
    <w:rsid w:val="00B4509C"/>
    <w:rsid w:val="00B462F5"/>
    <w:rsid w:val="00B47869"/>
    <w:rsid w:val="00B478BB"/>
    <w:rsid w:val="00B5184A"/>
    <w:rsid w:val="00B53F6C"/>
    <w:rsid w:val="00B560CD"/>
    <w:rsid w:val="00B56126"/>
    <w:rsid w:val="00B56EAD"/>
    <w:rsid w:val="00B57189"/>
    <w:rsid w:val="00B57560"/>
    <w:rsid w:val="00B61430"/>
    <w:rsid w:val="00B62994"/>
    <w:rsid w:val="00B63F67"/>
    <w:rsid w:val="00B65A91"/>
    <w:rsid w:val="00B65C0D"/>
    <w:rsid w:val="00B65D7A"/>
    <w:rsid w:val="00B6721C"/>
    <w:rsid w:val="00B704D6"/>
    <w:rsid w:val="00B7101A"/>
    <w:rsid w:val="00B716A9"/>
    <w:rsid w:val="00B736A9"/>
    <w:rsid w:val="00B7408C"/>
    <w:rsid w:val="00B7678E"/>
    <w:rsid w:val="00B80789"/>
    <w:rsid w:val="00B87ABC"/>
    <w:rsid w:val="00B90185"/>
    <w:rsid w:val="00B92C2B"/>
    <w:rsid w:val="00B9353B"/>
    <w:rsid w:val="00B9370F"/>
    <w:rsid w:val="00B94113"/>
    <w:rsid w:val="00B9508C"/>
    <w:rsid w:val="00B96D55"/>
    <w:rsid w:val="00B97831"/>
    <w:rsid w:val="00BA03D4"/>
    <w:rsid w:val="00BA1578"/>
    <w:rsid w:val="00BA2181"/>
    <w:rsid w:val="00BA3191"/>
    <w:rsid w:val="00BA3AD8"/>
    <w:rsid w:val="00BA50C4"/>
    <w:rsid w:val="00BA656C"/>
    <w:rsid w:val="00BA71B1"/>
    <w:rsid w:val="00BA752C"/>
    <w:rsid w:val="00BA7E1E"/>
    <w:rsid w:val="00BB033D"/>
    <w:rsid w:val="00BB16EA"/>
    <w:rsid w:val="00BB22F6"/>
    <w:rsid w:val="00BB24BA"/>
    <w:rsid w:val="00BB3021"/>
    <w:rsid w:val="00BB39DC"/>
    <w:rsid w:val="00BB556C"/>
    <w:rsid w:val="00BB67E1"/>
    <w:rsid w:val="00BC2256"/>
    <w:rsid w:val="00BC791E"/>
    <w:rsid w:val="00BD0D65"/>
    <w:rsid w:val="00BD3F66"/>
    <w:rsid w:val="00BD4319"/>
    <w:rsid w:val="00BD4C9A"/>
    <w:rsid w:val="00BD594D"/>
    <w:rsid w:val="00BD5A6F"/>
    <w:rsid w:val="00BD6C2E"/>
    <w:rsid w:val="00BD7E53"/>
    <w:rsid w:val="00BE1B53"/>
    <w:rsid w:val="00BE2264"/>
    <w:rsid w:val="00BE2E01"/>
    <w:rsid w:val="00BE3939"/>
    <w:rsid w:val="00BE3A41"/>
    <w:rsid w:val="00BE4A0A"/>
    <w:rsid w:val="00BE4DE7"/>
    <w:rsid w:val="00BE58A0"/>
    <w:rsid w:val="00BE79E9"/>
    <w:rsid w:val="00BF1FB9"/>
    <w:rsid w:val="00BF2256"/>
    <w:rsid w:val="00BF38EF"/>
    <w:rsid w:val="00BF3ECF"/>
    <w:rsid w:val="00BF4A91"/>
    <w:rsid w:val="00BF563A"/>
    <w:rsid w:val="00BF5EDD"/>
    <w:rsid w:val="00BF6433"/>
    <w:rsid w:val="00BF7540"/>
    <w:rsid w:val="00C00A97"/>
    <w:rsid w:val="00C02457"/>
    <w:rsid w:val="00C039A1"/>
    <w:rsid w:val="00C04B98"/>
    <w:rsid w:val="00C053DC"/>
    <w:rsid w:val="00C05CC9"/>
    <w:rsid w:val="00C1046D"/>
    <w:rsid w:val="00C1047F"/>
    <w:rsid w:val="00C110F2"/>
    <w:rsid w:val="00C12015"/>
    <w:rsid w:val="00C1396A"/>
    <w:rsid w:val="00C14220"/>
    <w:rsid w:val="00C14400"/>
    <w:rsid w:val="00C20F49"/>
    <w:rsid w:val="00C21FA6"/>
    <w:rsid w:val="00C22C1D"/>
    <w:rsid w:val="00C24FCB"/>
    <w:rsid w:val="00C309AD"/>
    <w:rsid w:val="00C30A8D"/>
    <w:rsid w:val="00C31419"/>
    <w:rsid w:val="00C32969"/>
    <w:rsid w:val="00C32EE5"/>
    <w:rsid w:val="00C34BE8"/>
    <w:rsid w:val="00C3555C"/>
    <w:rsid w:val="00C3614B"/>
    <w:rsid w:val="00C454FE"/>
    <w:rsid w:val="00C46B17"/>
    <w:rsid w:val="00C47812"/>
    <w:rsid w:val="00C50E44"/>
    <w:rsid w:val="00C50EBD"/>
    <w:rsid w:val="00C52D18"/>
    <w:rsid w:val="00C54237"/>
    <w:rsid w:val="00C55D0A"/>
    <w:rsid w:val="00C5651F"/>
    <w:rsid w:val="00C607E8"/>
    <w:rsid w:val="00C60988"/>
    <w:rsid w:val="00C61E2C"/>
    <w:rsid w:val="00C62453"/>
    <w:rsid w:val="00C62F17"/>
    <w:rsid w:val="00C63164"/>
    <w:rsid w:val="00C6411C"/>
    <w:rsid w:val="00C653D2"/>
    <w:rsid w:val="00C65D7F"/>
    <w:rsid w:val="00C65DC4"/>
    <w:rsid w:val="00C668BB"/>
    <w:rsid w:val="00C70081"/>
    <w:rsid w:val="00C74ADA"/>
    <w:rsid w:val="00C74CD7"/>
    <w:rsid w:val="00C75525"/>
    <w:rsid w:val="00C7753E"/>
    <w:rsid w:val="00C77FBA"/>
    <w:rsid w:val="00C808AE"/>
    <w:rsid w:val="00C80FA6"/>
    <w:rsid w:val="00C83831"/>
    <w:rsid w:val="00C85699"/>
    <w:rsid w:val="00C8598B"/>
    <w:rsid w:val="00C86248"/>
    <w:rsid w:val="00C91230"/>
    <w:rsid w:val="00C912F9"/>
    <w:rsid w:val="00C92558"/>
    <w:rsid w:val="00C93F99"/>
    <w:rsid w:val="00C9419C"/>
    <w:rsid w:val="00C974EB"/>
    <w:rsid w:val="00C97BF1"/>
    <w:rsid w:val="00CA1EAE"/>
    <w:rsid w:val="00CA6ED4"/>
    <w:rsid w:val="00CA7018"/>
    <w:rsid w:val="00CA7516"/>
    <w:rsid w:val="00CB02A3"/>
    <w:rsid w:val="00CB144A"/>
    <w:rsid w:val="00CB3343"/>
    <w:rsid w:val="00CB48B1"/>
    <w:rsid w:val="00CB5B6F"/>
    <w:rsid w:val="00CB618E"/>
    <w:rsid w:val="00CB78D2"/>
    <w:rsid w:val="00CC00FD"/>
    <w:rsid w:val="00CC0202"/>
    <w:rsid w:val="00CC27AB"/>
    <w:rsid w:val="00CC3477"/>
    <w:rsid w:val="00CC3854"/>
    <w:rsid w:val="00CC5749"/>
    <w:rsid w:val="00CC77CA"/>
    <w:rsid w:val="00CC789A"/>
    <w:rsid w:val="00CD0B29"/>
    <w:rsid w:val="00CD0BC7"/>
    <w:rsid w:val="00CD12F8"/>
    <w:rsid w:val="00CD1E23"/>
    <w:rsid w:val="00CD269E"/>
    <w:rsid w:val="00CD2D21"/>
    <w:rsid w:val="00CE0F78"/>
    <w:rsid w:val="00CE1C7E"/>
    <w:rsid w:val="00CE2F41"/>
    <w:rsid w:val="00CE3121"/>
    <w:rsid w:val="00CE41CE"/>
    <w:rsid w:val="00CE4A81"/>
    <w:rsid w:val="00CE5703"/>
    <w:rsid w:val="00CE5B22"/>
    <w:rsid w:val="00CE67DB"/>
    <w:rsid w:val="00CE7129"/>
    <w:rsid w:val="00CF0078"/>
    <w:rsid w:val="00CF0BFE"/>
    <w:rsid w:val="00CF29DA"/>
    <w:rsid w:val="00CF3F54"/>
    <w:rsid w:val="00CF526B"/>
    <w:rsid w:val="00CF6C73"/>
    <w:rsid w:val="00D0509A"/>
    <w:rsid w:val="00D05DE8"/>
    <w:rsid w:val="00D1155B"/>
    <w:rsid w:val="00D141F5"/>
    <w:rsid w:val="00D149E6"/>
    <w:rsid w:val="00D14EA3"/>
    <w:rsid w:val="00D165FB"/>
    <w:rsid w:val="00D16FD1"/>
    <w:rsid w:val="00D20C60"/>
    <w:rsid w:val="00D21191"/>
    <w:rsid w:val="00D24973"/>
    <w:rsid w:val="00D26910"/>
    <w:rsid w:val="00D27044"/>
    <w:rsid w:val="00D30C3A"/>
    <w:rsid w:val="00D30DAA"/>
    <w:rsid w:val="00D317E3"/>
    <w:rsid w:val="00D3203A"/>
    <w:rsid w:val="00D327A7"/>
    <w:rsid w:val="00D32DEF"/>
    <w:rsid w:val="00D353AF"/>
    <w:rsid w:val="00D360DB"/>
    <w:rsid w:val="00D36D30"/>
    <w:rsid w:val="00D41297"/>
    <w:rsid w:val="00D41F15"/>
    <w:rsid w:val="00D43D72"/>
    <w:rsid w:val="00D44CDC"/>
    <w:rsid w:val="00D464D4"/>
    <w:rsid w:val="00D472D7"/>
    <w:rsid w:val="00D473BD"/>
    <w:rsid w:val="00D530FC"/>
    <w:rsid w:val="00D54711"/>
    <w:rsid w:val="00D60923"/>
    <w:rsid w:val="00D63C93"/>
    <w:rsid w:val="00D65C56"/>
    <w:rsid w:val="00D65D4A"/>
    <w:rsid w:val="00D66E33"/>
    <w:rsid w:val="00D67C02"/>
    <w:rsid w:val="00D709E8"/>
    <w:rsid w:val="00D721FE"/>
    <w:rsid w:val="00D740B1"/>
    <w:rsid w:val="00D76D8A"/>
    <w:rsid w:val="00D81823"/>
    <w:rsid w:val="00D8203A"/>
    <w:rsid w:val="00D831F6"/>
    <w:rsid w:val="00D83990"/>
    <w:rsid w:val="00D850A2"/>
    <w:rsid w:val="00D906E9"/>
    <w:rsid w:val="00D916C2"/>
    <w:rsid w:val="00D91F35"/>
    <w:rsid w:val="00D9289F"/>
    <w:rsid w:val="00D92DA2"/>
    <w:rsid w:val="00D935FC"/>
    <w:rsid w:val="00D945DD"/>
    <w:rsid w:val="00D948A1"/>
    <w:rsid w:val="00D96CB1"/>
    <w:rsid w:val="00D97861"/>
    <w:rsid w:val="00D97C89"/>
    <w:rsid w:val="00DA197B"/>
    <w:rsid w:val="00DA22FC"/>
    <w:rsid w:val="00DA25EA"/>
    <w:rsid w:val="00DA28EE"/>
    <w:rsid w:val="00DA43D1"/>
    <w:rsid w:val="00DA571F"/>
    <w:rsid w:val="00DA5A55"/>
    <w:rsid w:val="00DA626A"/>
    <w:rsid w:val="00DA64EC"/>
    <w:rsid w:val="00DA67B6"/>
    <w:rsid w:val="00DA6F8E"/>
    <w:rsid w:val="00DA77D1"/>
    <w:rsid w:val="00DB13B0"/>
    <w:rsid w:val="00DB469B"/>
    <w:rsid w:val="00DB5912"/>
    <w:rsid w:val="00DC162F"/>
    <w:rsid w:val="00DC1652"/>
    <w:rsid w:val="00DC172D"/>
    <w:rsid w:val="00DC18A7"/>
    <w:rsid w:val="00DC1D2D"/>
    <w:rsid w:val="00DC33BE"/>
    <w:rsid w:val="00DC3BD7"/>
    <w:rsid w:val="00DC5BE7"/>
    <w:rsid w:val="00DD2366"/>
    <w:rsid w:val="00DD2A38"/>
    <w:rsid w:val="00DD32E9"/>
    <w:rsid w:val="00DD3494"/>
    <w:rsid w:val="00DD4128"/>
    <w:rsid w:val="00DD64FA"/>
    <w:rsid w:val="00DE03C6"/>
    <w:rsid w:val="00DE0824"/>
    <w:rsid w:val="00DE110A"/>
    <w:rsid w:val="00DE1558"/>
    <w:rsid w:val="00DE5312"/>
    <w:rsid w:val="00DE632C"/>
    <w:rsid w:val="00DF32EF"/>
    <w:rsid w:val="00DF3738"/>
    <w:rsid w:val="00DF72C4"/>
    <w:rsid w:val="00E004BB"/>
    <w:rsid w:val="00E0068A"/>
    <w:rsid w:val="00E03A8D"/>
    <w:rsid w:val="00E0551E"/>
    <w:rsid w:val="00E102F3"/>
    <w:rsid w:val="00E10A6C"/>
    <w:rsid w:val="00E121C5"/>
    <w:rsid w:val="00E129BF"/>
    <w:rsid w:val="00E130FF"/>
    <w:rsid w:val="00E1326E"/>
    <w:rsid w:val="00E13282"/>
    <w:rsid w:val="00E14718"/>
    <w:rsid w:val="00E14EA5"/>
    <w:rsid w:val="00E15634"/>
    <w:rsid w:val="00E15868"/>
    <w:rsid w:val="00E15D58"/>
    <w:rsid w:val="00E1634C"/>
    <w:rsid w:val="00E16442"/>
    <w:rsid w:val="00E166A4"/>
    <w:rsid w:val="00E20E15"/>
    <w:rsid w:val="00E20ECB"/>
    <w:rsid w:val="00E21313"/>
    <w:rsid w:val="00E2215F"/>
    <w:rsid w:val="00E22950"/>
    <w:rsid w:val="00E22D99"/>
    <w:rsid w:val="00E237FE"/>
    <w:rsid w:val="00E23DE2"/>
    <w:rsid w:val="00E240D6"/>
    <w:rsid w:val="00E24EE4"/>
    <w:rsid w:val="00E25040"/>
    <w:rsid w:val="00E268D3"/>
    <w:rsid w:val="00E26B3F"/>
    <w:rsid w:val="00E27125"/>
    <w:rsid w:val="00E30726"/>
    <w:rsid w:val="00E32AA4"/>
    <w:rsid w:val="00E33E2E"/>
    <w:rsid w:val="00E350F7"/>
    <w:rsid w:val="00E36FEF"/>
    <w:rsid w:val="00E400C8"/>
    <w:rsid w:val="00E4088D"/>
    <w:rsid w:val="00E40A9D"/>
    <w:rsid w:val="00E43AFD"/>
    <w:rsid w:val="00E4557A"/>
    <w:rsid w:val="00E46EE6"/>
    <w:rsid w:val="00E472F6"/>
    <w:rsid w:val="00E50158"/>
    <w:rsid w:val="00E50EAA"/>
    <w:rsid w:val="00E5363A"/>
    <w:rsid w:val="00E5388A"/>
    <w:rsid w:val="00E550C7"/>
    <w:rsid w:val="00E55F4A"/>
    <w:rsid w:val="00E64FCE"/>
    <w:rsid w:val="00E7133C"/>
    <w:rsid w:val="00E715F0"/>
    <w:rsid w:val="00E71640"/>
    <w:rsid w:val="00E72E91"/>
    <w:rsid w:val="00E736E5"/>
    <w:rsid w:val="00E7425E"/>
    <w:rsid w:val="00E743A4"/>
    <w:rsid w:val="00E7441F"/>
    <w:rsid w:val="00E74F8E"/>
    <w:rsid w:val="00E75A58"/>
    <w:rsid w:val="00E7607A"/>
    <w:rsid w:val="00E770E0"/>
    <w:rsid w:val="00E80DAE"/>
    <w:rsid w:val="00E81057"/>
    <w:rsid w:val="00E81362"/>
    <w:rsid w:val="00E81571"/>
    <w:rsid w:val="00E82EBF"/>
    <w:rsid w:val="00E83068"/>
    <w:rsid w:val="00E86B93"/>
    <w:rsid w:val="00E9032C"/>
    <w:rsid w:val="00E90BC0"/>
    <w:rsid w:val="00E91305"/>
    <w:rsid w:val="00E9197D"/>
    <w:rsid w:val="00E934E9"/>
    <w:rsid w:val="00E95786"/>
    <w:rsid w:val="00E97ED3"/>
    <w:rsid w:val="00E97F43"/>
    <w:rsid w:val="00EA01A6"/>
    <w:rsid w:val="00EA056B"/>
    <w:rsid w:val="00EA071D"/>
    <w:rsid w:val="00EA1181"/>
    <w:rsid w:val="00EA45A0"/>
    <w:rsid w:val="00EA5235"/>
    <w:rsid w:val="00EA541F"/>
    <w:rsid w:val="00EA5CD4"/>
    <w:rsid w:val="00EA67FE"/>
    <w:rsid w:val="00EA7CC9"/>
    <w:rsid w:val="00EA7E20"/>
    <w:rsid w:val="00EB0A29"/>
    <w:rsid w:val="00EB1F42"/>
    <w:rsid w:val="00EB27AB"/>
    <w:rsid w:val="00EB4E1A"/>
    <w:rsid w:val="00EB4EB4"/>
    <w:rsid w:val="00EB7FE3"/>
    <w:rsid w:val="00EC18E9"/>
    <w:rsid w:val="00EC2080"/>
    <w:rsid w:val="00EC2F02"/>
    <w:rsid w:val="00EC3C03"/>
    <w:rsid w:val="00EC4C0D"/>
    <w:rsid w:val="00EC767E"/>
    <w:rsid w:val="00ED16C2"/>
    <w:rsid w:val="00ED233D"/>
    <w:rsid w:val="00ED3BAC"/>
    <w:rsid w:val="00ED427E"/>
    <w:rsid w:val="00ED42D6"/>
    <w:rsid w:val="00ED4585"/>
    <w:rsid w:val="00ED5E61"/>
    <w:rsid w:val="00ED77CA"/>
    <w:rsid w:val="00ED7FD6"/>
    <w:rsid w:val="00EE04C9"/>
    <w:rsid w:val="00EE2E8F"/>
    <w:rsid w:val="00EE2F06"/>
    <w:rsid w:val="00EE3210"/>
    <w:rsid w:val="00EE48DF"/>
    <w:rsid w:val="00EE4F86"/>
    <w:rsid w:val="00EE734D"/>
    <w:rsid w:val="00EE7471"/>
    <w:rsid w:val="00EF0AF6"/>
    <w:rsid w:val="00EF19EF"/>
    <w:rsid w:val="00EF3836"/>
    <w:rsid w:val="00EF3EAF"/>
    <w:rsid w:val="00EF524A"/>
    <w:rsid w:val="00EF6BFB"/>
    <w:rsid w:val="00F0059A"/>
    <w:rsid w:val="00F0143B"/>
    <w:rsid w:val="00F014D3"/>
    <w:rsid w:val="00F033E3"/>
    <w:rsid w:val="00F03B2B"/>
    <w:rsid w:val="00F056E2"/>
    <w:rsid w:val="00F06BF7"/>
    <w:rsid w:val="00F079D2"/>
    <w:rsid w:val="00F10A75"/>
    <w:rsid w:val="00F116F7"/>
    <w:rsid w:val="00F118E5"/>
    <w:rsid w:val="00F1359B"/>
    <w:rsid w:val="00F136C6"/>
    <w:rsid w:val="00F20BA6"/>
    <w:rsid w:val="00F20E62"/>
    <w:rsid w:val="00F21FBC"/>
    <w:rsid w:val="00F246DD"/>
    <w:rsid w:val="00F24CC6"/>
    <w:rsid w:val="00F32290"/>
    <w:rsid w:val="00F32F24"/>
    <w:rsid w:val="00F35A45"/>
    <w:rsid w:val="00F35BC1"/>
    <w:rsid w:val="00F42AAA"/>
    <w:rsid w:val="00F42E55"/>
    <w:rsid w:val="00F45A6E"/>
    <w:rsid w:val="00F46BA2"/>
    <w:rsid w:val="00F50470"/>
    <w:rsid w:val="00F52019"/>
    <w:rsid w:val="00F56031"/>
    <w:rsid w:val="00F569C2"/>
    <w:rsid w:val="00F56A67"/>
    <w:rsid w:val="00F56E38"/>
    <w:rsid w:val="00F570B9"/>
    <w:rsid w:val="00F5764E"/>
    <w:rsid w:val="00F615F1"/>
    <w:rsid w:val="00F62280"/>
    <w:rsid w:val="00F63DB9"/>
    <w:rsid w:val="00F64339"/>
    <w:rsid w:val="00F674B8"/>
    <w:rsid w:val="00F71303"/>
    <w:rsid w:val="00F72A89"/>
    <w:rsid w:val="00F73120"/>
    <w:rsid w:val="00F7457C"/>
    <w:rsid w:val="00F75182"/>
    <w:rsid w:val="00F76ACE"/>
    <w:rsid w:val="00F83269"/>
    <w:rsid w:val="00F83F24"/>
    <w:rsid w:val="00F84191"/>
    <w:rsid w:val="00F84BE3"/>
    <w:rsid w:val="00F84F9C"/>
    <w:rsid w:val="00F86AB0"/>
    <w:rsid w:val="00F91EB0"/>
    <w:rsid w:val="00F93216"/>
    <w:rsid w:val="00F9388F"/>
    <w:rsid w:val="00F97E49"/>
    <w:rsid w:val="00FA080B"/>
    <w:rsid w:val="00FA165D"/>
    <w:rsid w:val="00FA420D"/>
    <w:rsid w:val="00FA5B28"/>
    <w:rsid w:val="00FA6DBD"/>
    <w:rsid w:val="00FB0D88"/>
    <w:rsid w:val="00FB0FE7"/>
    <w:rsid w:val="00FB1097"/>
    <w:rsid w:val="00FB12F7"/>
    <w:rsid w:val="00FB225A"/>
    <w:rsid w:val="00FB22F1"/>
    <w:rsid w:val="00FB2C02"/>
    <w:rsid w:val="00FB4104"/>
    <w:rsid w:val="00FB57DB"/>
    <w:rsid w:val="00FB63CA"/>
    <w:rsid w:val="00FB664D"/>
    <w:rsid w:val="00FB6782"/>
    <w:rsid w:val="00FC158B"/>
    <w:rsid w:val="00FC200A"/>
    <w:rsid w:val="00FC4EB1"/>
    <w:rsid w:val="00FC762A"/>
    <w:rsid w:val="00FD6107"/>
    <w:rsid w:val="00FD6D15"/>
    <w:rsid w:val="00FE63A9"/>
    <w:rsid w:val="00FE77B3"/>
    <w:rsid w:val="00FF18BA"/>
    <w:rsid w:val="00FF34A4"/>
    <w:rsid w:val="00FF4001"/>
    <w:rsid w:val="00FF6656"/>
    <w:rsid w:val="00FF7EB9"/>
    <w:rsid w:val="00FF7EBA"/>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73729"/>
    <o:shapelayout v:ext="edit">
      <o:idmap v:ext="edit" data="1"/>
    </o:shapelayout>
  </w:shapeDefaults>
  <w:decimalSymbol w:val="."/>
  <w:listSeparator w:val=","/>
  <w14:docId w14:val="0F529EC5"/>
  <w15:docId w15:val="{2EB89527-563A-4630-AB6C-1972DEAD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18B"/>
    <w:pPr>
      <w:spacing w:after="200" w:line="276" w:lineRule="auto"/>
    </w:pPr>
    <w:rPr>
      <w:lang w:val="en-GB" w:eastAsia="en-US"/>
    </w:rPr>
  </w:style>
  <w:style w:type="paragraph" w:styleId="Heading2">
    <w:name w:val="heading 2"/>
    <w:basedOn w:val="Normal"/>
    <w:next w:val="Normal"/>
    <w:link w:val="Heading2Char"/>
    <w:uiPriority w:val="99"/>
    <w:qFormat/>
    <w:rsid w:val="00D9289F"/>
    <w:pPr>
      <w:keepNext/>
      <w:keepLines/>
      <w:spacing w:before="40" w:after="0"/>
      <w:outlineLvl w:val="1"/>
    </w:pPr>
    <w:rPr>
      <w:rFonts w:ascii="Cambria" w:eastAsia="PMingLiU"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9289F"/>
    <w:rPr>
      <w:rFonts w:ascii="Cambria" w:eastAsia="PMingLiU" w:hAnsi="Cambria" w:cs="Times New Roman"/>
      <w:color w:val="365F91"/>
      <w:sz w:val="26"/>
      <w:szCs w:val="26"/>
    </w:rPr>
  </w:style>
  <w:style w:type="character" w:customStyle="1" w:styleId="apple-converted-space">
    <w:name w:val="apple-converted-space"/>
    <w:basedOn w:val="DefaultParagraphFont"/>
    <w:rsid w:val="003D718B"/>
    <w:rPr>
      <w:rFonts w:cs="Times New Roman"/>
    </w:rPr>
  </w:style>
  <w:style w:type="paragraph" w:styleId="FootnoteText">
    <w:name w:val="footnote text"/>
    <w:basedOn w:val="Normal"/>
    <w:link w:val="FootnoteTextChar"/>
    <w:uiPriority w:val="99"/>
    <w:rsid w:val="009B619F"/>
    <w:pPr>
      <w:spacing w:after="0" w:line="240" w:lineRule="auto"/>
    </w:pPr>
    <w:rPr>
      <w:sz w:val="20"/>
      <w:szCs w:val="20"/>
    </w:rPr>
  </w:style>
  <w:style w:type="character" w:customStyle="1" w:styleId="FootnoteTextChar">
    <w:name w:val="Footnote Text Char"/>
    <w:basedOn w:val="DefaultParagraphFont"/>
    <w:link w:val="FootnoteText"/>
    <w:uiPriority w:val="99"/>
    <w:locked/>
    <w:rsid w:val="009B619F"/>
    <w:rPr>
      <w:rFonts w:cs="Times New Roman"/>
      <w:sz w:val="20"/>
      <w:szCs w:val="20"/>
    </w:rPr>
  </w:style>
  <w:style w:type="character" w:styleId="FootnoteReference">
    <w:name w:val="footnote reference"/>
    <w:basedOn w:val="DefaultParagraphFont"/>
    <w:uiPriority w:val="99"/>
    <w:semiHidden/>
    <w:rsid w:val="009B619F"/>
    <w:rPr>
      <w:rFonts w:cs="Times New Roman"/>
      <w:vertAlign w:val="superscript"/>
    </w:rPr>
  </w:style>
  <w:style w:type="paragraph" w:styleId="ListParagraph">
    <w:name w:val="List Paragraph"/>
    <w:basedOn w:val="Normal"/>
    <w:uiPriority w:val="99"/>
    <w:qFormat/>
    <w:rsid w:val="00BA752C"/>
    <w:pPr>
      <w:ind w:left="720"/>
      <w:contextualSpacing/>
    </w:pPr>
  </w:style>
  <w:style w:type="paragraph" w:styleId="BalloonText">
    <w:name w:val="Balloon Text"/>
    <w:basedOn w:val="Normal"/>
    <w:link w:val="BalloonTextChar"/>
    <w:uiPriority w:val="99"/>
    <w:semiHidden/>
    <w:rsid w:val="008A0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0430"/>
    <w:rPr>
      <w:rFonts w:ascii="Tahoma" w:hAnsi="Tahoma" w:cs="Tahoma"/>
      <w:sz w:val="16"/>
      <w:szCs w:val="16"/>
    </w:rPr>
  </w:style>
  <w:style w:type="paragraph" w:styleId="NormalWeb">
    <w:name w:val="Normal (Web)"/>
    <w:basedOn w:val="Normal"/>
    <w:uiPriority w:val="99"/>
    <w:semiHidden/>
    <w:rsid w:val="008A0430"/>
    <w:pPr>
      <w:spacing w:before="100" w:beforeAutospacing="1" w:after="100" w:afterAutospacing="1" w:line="240" w:lineRule="auto"/>
    </w:pPr>
    <w:rPr>
      <w:rFonts w:ascii="Times New Roman" w:eastAsia="PMingLiU" w:hAnsi="Times New Roman"/>
      <w:sz w:val="24"/>
      <w:szCs w:val="24"/>
      <w:lang w:eastAsia="en-GB"/>
    </w:rPr>
  </w:style>
  <w:style w:type="paragraph" w:styleId="Header">
    <w:name w:val="header"/>
    <w:basedOn w:val="Normal"/>
    <w:link w:val="HeaderChar"/>
    <w:uiPriority w:val="99"/>
    <w:rsid w:val="005F29C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F29CD"/>
    <w:rPr>
      <w:rFonts w:cs="Times New Roman"/>
    </w:rPr>
  </w:style>
  <w:style w:type="paragraph" w:styleId="Footer">
    <w:name w:val="footer"/>
    <w:basedOn w:val="Normal"/>
    <w:link w:val="FooterChar"/>
    <w:uiPriority w:val="99"/>
    <w:rsid w:val="005F29C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F29CD"/>
    <w:rPr>
      <w:rFonts w:cs="Times New Roman"/>
    </w:rPr>
  </w:style>
  <w:style w:type="paragraph" w:customStyle="1" w:styleId="FarbigeListe-Akzent11">
    <w:name w:val="Farbige Liste - Akzent 11"/>
    <w:basedOn w:val="Normal"/>
    <w:uiPriority w:val="34"/>
    <w:qFormat/>
    <w:rsid w:val="00FF4001"/>
    <w:pPr>
      <w:widowControl w:val="0"/>
      <w:suppressAutoHyphens/>
      <w:spacing w:after="0" w:line="240" w:lineRule="auto"/>
      <w:ind w:left="720"/>
      <w:contextualSpacing/>
    </w:pPr>
    <w:rPr>
      <w:rFonts w:ascii="Cambria" w:hAnsi="Cambria" w:cs="Cambria"/>
      <w:sz w:val="24"/>
      <w:szCs w:val="24"/>
      <w:lang w:val="en-US" w:eastAsia="ar-SA"/>
    </w:rPr>
  </w:style>
  <w:style w:type="paragraph" w:styleId="CommentText">
    <w:name w:val="annotation text"/>
    <w:basedOn w:val="Normal"/>
    <w:link w:val="CommentTextChar1"/>
    <w:uiPriority w:val="99"/>
    <w:rsid w:val="00FF4001"/>
    <w:pPr>
      <w:widowControl w:val="0"/>
      <w:suppressAutoHyphens/>
      <w:spacing w:after="0" w:line="240" w:lineRule="auto"/>
    </w:pPr>
    <w:rPr>
      <w:rFonts w:ascii="Cambria" w:hAnsi="Cambria"/>
      <w:sz w:val="24"/>
      <w:szCs w:val="24"/>
      <w:lang w:val="en-US" w:eastAsia="ar-SA"/>
    </w:rPr>
  </w:style>
  <w:style w:type="character" w:customStyle="1" w:styleId="CommentTextChar">
    <w:name w:val="Comment Text Char"/>
    <w:basedOn w:val="DefaultParagraphFont"/>
    <w:uiPriority w:val="99"/>
    <w:rsid w:val="00FF4001"/>
    <w:rPr>
      <w:rFonts w:cs="Times New Roman"/>
      <w:sz w:val="20"/>
      <w:szCs w:val="20"/>
    </w:rPr>
  </w:style>
  <w:style w:type="character" w:customStyle="1" w:styleId="CommentTextChar1">
    <w:name w:val="Comment Text Char1"/>
    <w:link w:val="CommentText"/>
    <w:uiPriority w:val="99"/>
    <w:locked/>
    <w:rsid w:val="00FF4001"/>
    <w:rPr>
      <w:rFonts w:ascii="Cambria" w:eastAsia="Times New Roman" w:hAnsi="Cambria"/>
      <w:sz w:val="24"/>
      <w:lang w:val="en-US" w:eastAsia="ar-SA" w:bidi="ar-SA"/>
    </w:rPr>
  </w:style>
  <w:style w:type="character" w:styleId="Emphasis">
    <w:name w:val="Emphasis"/>
    <w:basedOn w:val="DefaultParagraphFont"/>
    <w:uiPriority w:val="20"/>
    <w:qFormat/>
    <w:rsid w:val="00FF4001"/>
    <w:rPr>
      <w:rFonts w:cs="Times New Roman"/>
      <w:i/>
      <w:iCs/>
    </w:rPr>
  </w:style>
  <w:style w:type="character" w:styleId="CommentReference">
    <w:name w:val="annotation reference"/>
    <w:basedOn w:val="DefaultParagraphFont"/>
    <w:uiPriority w:val="99"/>
    <w:semiHidden/>
    <w:rsid w:val="00347F61"/>
    <w:rPr>
      <w:rFonts w:cs="Times New Roman"/>
      <w:sz w:val="16"/>
      <w:szCs w:val="16"/>
    </w:rPr>
  </w:style>
  <w:style w:type="paragraph" w:styleId="CommentSubject">
    <w:name w:val="annotation subject"/>
    <w:basedOn w:val="CommentText"/>
    <w:next w:val="CommentText"/>
    <w:link w:val="CommentSubjectChar"/>
    <w:uiPriority w:val="99"/>
    <w:semiHidden/>
    <w:rsid w:val="00347F61"/>
    <w:pPr>
      <w:widowControl/>
      <w:suppressAutoHyphens w:val="0"/>
      <w:spacing w:after="200"/>
    </w:pPr>
    <w:rPr>
      <w:rFonts w:ascii="Calibri" w:hAnsi="Calibri"/>
      <w:b/>
      <w:bCs/>
      <w:sz w:val="20"/>
      <w:szCs w:val="20"/>
      <w:lang w:val="en-GB" w:eastAsia="en-US"/>
    </w:rPr>
  </w:style>
  <w:style w:type="character" w:customStyle="1" w:styleId="CommentSubjectChar">
    <w:name w:val="Comment Subject Char"/>
    <w:basedOn w:val="CommentTextChar1"/>
    <w:link w:val="CommentSubject"/>
    <w:uiPriority w:val="99"/>
    <w:semiHidden/>
    <w:locked/>
    <w:rsid w:val="00347F61"/>
    <w:rPr>
      <w:rFonts w:ascii="Cambria" w:eastAsia="Times New Roman" w:hAnsi="Cambria" w:cs="Times New Roman"/>
      <w:b/>
      <w:bCs/>
      <w:sz w:val="20"/>
      <w:szCs w:val="20"/>
      <w:lang w:val="en-US" w:eastAsia="ar-SA" w:bidi="ar-SA"/>
    </w:rPr>
  </w:style>
  <w:style w:type="character" w:customStyle="1" w:styleId="Hyperlink0">
    <w:name w:val="Hyperlink.0"/>
    <w:basedOn w:val="DefaultParagraphFont"/>
    <w:uiPriority w:val="99"/>
    <w:rsid w:val="00CA1EAE"/>
    <w:rPr>
      <w:rFonts w:cs="Times New Roman"/>
      <w:color w:val="0000FF"/>
      <w:u w:val="single" w:color="0000FF"/>
      <w:lang w:val="en-US"/>
    </w:rPr>
  </w:style>
  <w:style w:type="character" w:styleId="Hyperlink">
    <w:name w:val="Hyperlink"/>
    <w:basedOn w:val="DefaultParagraphFont"/>
    <w:uiPriority w:val="99"/>
    <w:rsid w:val="00E743A4"/>
    <w:rPr>
      <w:rFonts w:cs="Times New Roman"/>
      <w:color w:val="0000FF"/>
      <w:u w:val="single"/>
    </w:rPr>
  </w:style>
  <w:style w:type="character" w:styleId="FollowedHyperlink">
    <w:name w:val="FollowedHyperlink"/>
    <w:basedOn w:val="DefaultParagraphFont"/>
    <w:uiPriority w:val="99"/>
    <w:semiHidden/>
    <w:rsid w:val="002F36F3"/>
    <w:rPr>
      <w:rFonts w:cs="Times New Roman"/>
      <w:color w:val="800080"/>
      <w:u w:val="single"/>
    </w:rPr>
  </w:style>
  <w:style w:type="character" w:styleId="Strong">
    <w:name w:val="Strong"/>
    <w:basedOn w:val="DefaultParagraphFont"/>
    <w:uiPriority w:val="99"/>
    <w:qFormat/>
    <w:rsid w:val="00C62453"/>
    <w:rPr>
      <w:rFonts w:cs="Times New Roman"/>
      <w:b/>
    </w:rPr>
  </w:style>
  <w:style w:type="paragraph" w:styleId="PlainText">
    <w:name w:val="Plain Text"/>
    <w:basedOn w:val="Normal"/>
    <w:link w:val="PlainTextChar"/>
    <w:uiPriority w:val="99"/>
    <w:semiHidden/>
    <w:rsid w:val="00BB24BA"/>
    <w:pPr>
      <w:spacing w:after="0" w:line="240" w:lineRule="auto"/>
    </w:pPr>
    <w:rPr>
      <w:rFonts w:eastAsia="PMingLiU"/>
      <w:szCs w:val="21"/>
      <w:lang w:eastAsia="zh-TW"/>
    </w:rPr>
  </w:style>
  <w:style w:type="character" w:customStyle="1" w:styleId="PlainTextChar">
    <w:name w:val="Plain Text Char"/>
    <w:basedOn w:val="DefaultParagraphFont"/>
    <w:link w:val="PlainText"/>
    <w:uiPriority w:val="99"/>
    <w:semiHidden/>
    <w:locked/>
    <w:rsid w:val="00BB24BA"/>
    <w:rPr>
      <w:rFonts w:ascii="Calibri" w:eastAsia="PMingLiU" w:hAnsi="Calibri" w:cs="Times New Roman"/>
      <w:sz w:val="21"/>
      <w:szCs w:val="21"/>
      <w:lang w:eastAsia="zh-TW"/>
    </w:rPr>
  </w:style>
  <w:style w:type="character" w:customStyle="1" w:styleId="nlmarticle-title">
    <w:name w:val="nlm_article-title"/>
    <w:basedOn w:val="DefaultParagraphFont"/>
    <w:rsid w:val="00BB24BA"/>
    <w:rPr>
      <w:rFonts w:cs="Times New Roman"/>
    </w:rPr>
  </w:style>
  <w:style w:type="character" w:customStyle="1" w:styleId="nlmyear">
    <w:name w:val="nlm_year"/>
    <w:basedOn w:val="DefaultParagraphFont"/>
    <w:uiPriority w:val="99"/>
    <w:rsid w:val="00BB24BA"/>
    <w:rPr>
      <w:rFonts w:cs="Times New Roman"/>
    </w:rPr>
  </w:style>
  <w:style w:type="character" w:customStyle="1" w:styleId="nlmfpage">
    <w:name w:val="nlm_fpage"/>
    <w:basedOn w:val="DefaultParagraphFont"/>
    <w:rsid w:val="00BB24BA"/>
    <w:rPr>
      <w:rFonts w:cs="Times New Roman"/>
    </w:rPr>
  </w:style>
  <w:style w:type="character" w:customStyle="1" w:styleId="nlmlpage">
    <w:name w:val="nlm_lpage"/>
    <w:basedOn w:val="DefaultParagraphFont"/>
    <w:rsid w:val="00BB24BA"/>
    <w:rPr>
      <w:rFonts w:cs="Times New Roman"/>
    </w:rPr>
  </w:style>
  <w:style w:type="character" w:customStyle="1" w:styleId="cit">
    <w:name w:val="cit"/>
    <w:basedOn w:val="DefaultParagraphFont"/>
    <w:uiPriority w:val="99"/>
    <w:rsid w:val="00C04B98"/>
    <w:rPr>
      <w:rFonts w:cs="Times New Roman"/>
    </w:rPr>
  </w:style>
  <w:style w:type="character" w:customStyle="1" w:styleId="gwt-inlinelabel">
    <w:name w:val="gwt-inlinelabel"/>
    <w:basedOn w:val="DefaultParagraphFont"/>
    <w:uiPriority w:val="99"/>
    <w:rsid w:val="00664A8C"/>
    <w:rPr>
      <w:rFonts w:cs="Times New Roman"/>
    </w:rPr>
  </w:style>
  <w:style w:type="character" w:customStyle="1" w:styleId="notranslate">
    <w:name w:val="notranslate"/>
    <w:basedOn w:val="DefaultParagraphFont"/>
    <w:uiPriority w:val="99"/>
    <w:rsid w:val="00784551"/>
    <w:rPr>
      <w:rFonts w:cs="Times New Roman"/>
    </w:rPr>
  </w:style>
  <w:style w:type="paragraph" w:styleId="HTMLPreformatted">
    <w:name w:val="HTML Preformatted"/>
    <w:basedOn w:val="Normal"/>
    <w:link w:val="HTMLPreformattedChar"/>
    <w:uiPriority w:val="99"/>
    <w:semiHidden/>
    <w:rsid w:val="00B96D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B96D55"/>
    <w:rPr>
      <w:rFonts w:ascii="Consolas" w:hAnsi="Consolas" w:cs="Consolas"/>
      <w:sz w:val="20"/>
      <w:szCs w:val="20"/>
    </w:rPr>
  </w:style>
  <w:style w:type="character" w:customStyle="1" w:styleId="tgc">
    <w:name w:val="_tgc"/>
    <w:basedOn w:val="DefaultParagraphFont"/>
    <w:uiPriority w:val="99"/>
    <w:rsid w:val="00041B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2153">
      <w:bodyDiv w:val="1"/>
      <w:marLeft w:val="0"/>
      <w:marRight w:val="0"/>
      <w:marTop w:val="0"/>
      <w:marBottom w:val="0"/>
      <w:divBdr>
        <w:top w:val="none" w:sz="0" w:space="0" w:color="auto"/>
        <w:left w:val="none" w:sz="0" w:space="0" w:color="auto"/>
        <w:bottom w:val="none" w:sz="0" w:space="0" w:color="auto"/>
        <w:right w:val="none" w:sz="0" w:space="0" w:color="auto"/>
      </w:divBdr>
      <w:divsChild>
        <w:div w:id="1993213279">
          <w:marLeft w:val="0"/>
          <w:marRight w:val="0"/>
          <w:marTop w:val="0"/>
          <w:marBottom w:val="0"/>
          <w:divBdr>
            <w:top w:val="none" w:sz="0" w:space="0" w:color="auto"/>
            <w:left w:val="none" w:sz="0" w:space="0" w:color="auto"/>
            <w:bottom w:val="none" w:sz="0" w:space="0" w:color="auto"/>
            <w:right w:val="none" w:sz="0" w:space="0" w:color="auto"/>
          </w:divBdr>
        </w:div>
      </w:divsChild>
    </w:div>
    <w:div w:id="103573532">
      <w:bodyDiv w:val="1"/>
      <w:marLeft w:val="0"/>
      <w:marRight w:val="0"/>
      <w:marTop w:val="0"/>
      <w:marBottom w:val="0"/>
      <w:divBdr>
        <w:top w:val="none" w:sz="0" w:space="0" w:color="auto"/>
        <w:left w:val="none" w:sz="0" w:space="0" w:color="auto"/>
        <w:bottom w:val="none" w:sz="0" w:space="0" w:color="auto"/>
        <w:right w:val="none" w:sz="0" w:space="0" w:color="auto"/>
      </w:divBdr>
      <w:divsChild>
        <w:div w:id="646978272">
          <w:marLeft w:val="0"/>
          <w:marRight w:val="0"/>
          <w:marTop w:val="0"/>
          <w:marBottom w:val="0"/>
          <w:divBdr>
            <w:top w:val="none" w:sz="0" w:space="0" w:color="auto"/>
            <w:left w:val="none" w:sz="0" w:space="0" w:color="auto"/>
            <w:bottom w:val="none" w:sz="0" w:space="0" w:color="auto"/>
            <w:right w:val="none" w:sz="0" w:space="0" w:color="auto"/>
          </w:divBdr>
        </w:div>
      </w:divsChild>
    </w:div>
    <w:div w:id="174998307">
      <w:marLeft w:val="0"/>
      <w:marRight w:val="0"/>
      <w:marTop w:val="0"/>
      <w:marBottom w:val="0"/>
      <w:divBdr>
        <w:top w:val="none" w:sz="0" w:space="0" w:color="auto"/>
        <w:left w:val="none" w:sz="0" w:space="0" w:color="auto"/>
        <w:bottom w:val="none" w:sz="0" w:space="0" w:color="auto"/>
        <w:right w:val="none" w:sz="0" w:space="0" w:color="auto"/>
      </w:divBdr>
      <w:divsChild>
        <w:div w:id="174998324">
          <w:marLeft w:val="0"/>
          <w:marRight w:val="0"/>
          <w:marTop w:val="0"/>
          <w:marBottom w:val="0"/>
          <w:divBdr>
            <w:top w:val="none" w:sz="0" w:space="0" w:color="auto"/>
            <w:left w:val="none" w:sz="0" w:space="0" w:color="auto"/>
            <w:bottom w:val="none" w:sz="0" w:space="0" w:color="auto"/>
            <w:right w:val="none" w:sz="0" w:space="0" w:color="auto"/>
          </w:divBdr>
        </w:div>
      </w:divsChild>
    </w:div>
    <w:div w:id="174998308">
      <w:marLeft w:val="0"/>
      <w:marRight w:val="0"/>
      <w:marTop w:val="0"/>
      <w:marBottom w:val="0"/>
      <w:divBdr>
        <w:top w:val="none" w:sz="0" w:space="0" w:color="auto"/>
        <w:left w:val="none" w:sz="0" w:space="0" w:color="auto"/>
        <w:bottom w:val="none" w:sz="0" w:space="0" w:color="auto"/>
        <w:right w:val="none" w:sz="0" w:space="0" w:color="auto"/>
      </w:divBdr>
      <w:divsChild>
        <w:div w:id="174998322">
          <w:marLeft w:val="0"/>
          <w:marRight w:val="0"/>
          <w:marTop w:val="0"/>
          <w:marBottom w:val="0"/>
          <w:divBdr>
            <w:top w:val="none" w:sz="0" w:space="0" w:color="auto"/>
            <w:left w:val="none" w:sz="0" w:space="0" w:color="auto"/>
            <w:bottom w:val="none" w:sz="0" w:space="0" w:color="auto"/>
            <w:right w:val="none" w:sz="0" w:space="0" w:color="auto"/>
          </w:divBdr>
        </w:div>
      </w:divsChild>
    </w:div>
    <w:div w:id="174998310">
      <w:marLeft w:val="0"/>
      <w:marRight w:val="0"/>
      <w:marTop w:val="0"/>
      <w:marBottom w:val="0"/>
      <w:divBdr>
        <w:top w:val="none" w:sz="0" w:space="0" w:color="auto"/>
        <w:left w:val="none" w:sz="0" w:space="0" w:color="auto"/>
        <w:bottom w:val="none" w:sz="0" w:space="0" w:color="auto"/>
        <w:right w:val="none" w:sz="0" w:space="0" w:color="auto"/>
      </w:divBdr>
      <w:divsChild>
        <w:div w:id="174998404">
          <w:marLeft w:val="0"/>
          <w:marRight w:val="0"/>
          <w:marTop w:val="0"/>
          <w:marBottom w:val="0"/>
          <w:divBdr>
            <w:top w:val="none" w:sz="0" w:space="0" w:color="auto"/>
            <w:left w:val="none" w:sz="0" w:space="0" w:color="auto"/>
            <w:bottom w:val="none" w:sz="0" w:space="0" w:color="auto"/>
            <w:right w:val="none" w:sz="0" w:space="0" w:color="auto"/>
          </w:divBdr>
        </w:div>
      </w:divsChild>
    </w:div>
    <w:div w:id="174998311">
      <w:marLeft w:val="0"/>
      <w:marRight w:val="0"/>
      <w:marTop w:val="0"/>
      <w:marBottom w:val="0"/>
      <w:divBdr>
        <w:top w:val="none" w:sz="0" w:space="0" w:color="auto"/>
        <w:left w:val="none" w:sz="0" w:space="0" w:color="auto"/>
        <w:bottom w:val="none" w:sz="0" w:space="0" w:color="auto"/>
        <w:right w:val="none" w:sz="0" w:space="0" w:color="auto"/>
      </w:divBdr>
    </w:div>
    <w:div w:id="174998312">
      <w:marLeft w:val="0"/>
      <w:marRight w:val="0"/>
      <w:marTop w:val="0"/>
      <w:marBottom w:val="0"/>
      <w:divBdr>
        <w:top w:val="none" w:sz="0" w:space="0" w:color="auto"/>
        <w:left w:val="none" w:sz="0" w:space="0" w:color="auto"/>
        <w:bottom w:val="none" w:sz="0" w:space="0" w:color="auto"/>
        <w:right w:val="none" w:sz="0" w:space="0" w:color="auto"/>
      </w:divBdr>
      <w:divsChild>
        <w:div w:id="174998377">
          <w:marLeft w:val="0"/>
          <w:marRight w:val="0"/>
          <w:marTop w:val="0"/>
          <w:marBottom w:val="0"/>
          <w:divBdr>
            <w:top w:val="none" w:sz="0" w:space="0" w:color="auto"/>
            <w:left w:val="none" w:sz="0" w:space="0" w:color="auto"/>
            <w:bottom w:val="none" w:sz="0" w:space="0" w:color="auto"/>
            <w:right w:val="none" w:sz="0" w:space="0" w:color="auto"/>
          </w:divBdr>
        </w:div>
      </w:divsChild>
    </w:div>
    <w:div w:id="174998315">
      <w:marLeft w:val="0"/>
      <w:marRight w:val="0"/>
      <w:marTop w:val="0"/>
      <w:marBottom w:val="0"/>
      <w:divBdr>
        <w:top w:val="none" w:sz="0" w:space="0" w:color="auto"/>
        <w:left w:val="none" w:sz="0" w:space="0" w:color="auto"/>
        <w:bottom w:val="none" w:sz="0" w:space="0" w:color="auto"/>
        <w:right w:val="none" w:sz="0" w:space="0" w:color="auto"/>
      </w:divBdr>
      <w:divsChild>
        <w:div w:id="174998339">
          <w:marLeft w:val="0"/>
          <w:marRight w:val="0"/>
          <w:marTop w:val="0"/>
          <w:marBottom w:val="0"/>
          <w:divBdr>
            <w:top w:val="none" w:sz="0" w:space="0" w:color="auto"/>
            <w:left w:val="none" w:sz="0" w:space="0" w:color="auto"/>
            <w:bottom w:val="none" w:sz="0" w:space="0" w:color="auto"/>
            <w:right w:val="none" w:sz="0" w:space="0" w:color="auto"/>
          </w:divBdr>
        </w:div>
      </w:divsChild>
    </w:div>
    <w:div w:id="174998316">
      <w:marLeft w:val="0"/>
      <w:marRight w:val="0"/>
      <w:marTop w:val="0"/>
      <w:marBottom w:val="0"/>
      <w:divBdr>
        <w:top w:val="none" w:sz="0" w:space="0" w:color="auto"/>
        <w:left w:val="none" w:sz="0" w:space="0" w:color="auto"/>
        <w:bottom w:val="none" w:sz="0" w:space="0" w:color="auto"/>
        <w:right w:val="none" w:sz="0" w:space="0" w:color="auto"/>
      </w:divBdr>
    </w:div>
    <w:div w:id="174998317">
      <w:marLeft w:val="0"/>
      <w:marRight w:val="0"/>
      <w:marTop w:val="0"/>
      <w:marBottom w:val="0"/>
      <w:divBdr>
        <w:top w:val="none" w:sz="0" w:space="0" w:color="auto"/>
        <w:left w:val="none" w:sz="0" w:space="0" w:color="auto"/>
        <w:bottom w:val="none" w:sz="0" w:space="0" w:color="auto"/>
        <w:right w:val="none" w:sz="0" w:space="0" w:color="auto"/>
      </w:divBdr>
    </w:div>
    <w:div w:id="174998323">
      <w:marLeft w:val="0"/>
      <w:marRight w:val="0"/>
      <w:marTop w:val="0"/>
      <w:marBottom w:val="0"/>
      <w:divBdr>
        <w:top w:val="none" w:sz="0" w:space="0" w:color="auto"/>
        <w:left w:val="none" w:sz="0" w:space="0" w:color="auto"/>
        <w:bottom w:val="none" w:sz="0" w:space="0" w:color="auto"/>
        <w:right w:val="none" w:sz="0" w:space="0" w:color="auto"/>
      </w:divBdr>
      <w:divsChild>
        <w:div w:id="174998349">
          <w:marLeft w:val="0"/>
          <w:marRight w:val="0"/>
          <w:marTop w:val="0"/>
          <w:marBottom w:val="0"/>
          <w:divBdr>
            <w:top w:val="none" w:sz="0" w:space="0" w:color="auto"/>
            <w:left w:val="none" w:sz="0" w:space="0" w:color="auto"/>
            <w:bottom w:val="none" w:sz="0" w:space="0" w:color="auto"/>
            <w:right w:val="none" w:sz="0" w:space="0" w:color="auto"/>
          </w:divBdr>
        </w:div>
      </w:divsChild>
    </w:div>
    <w:div w:id="174998326">
      <w:marLeft w:val="0"/>
      <w:marRight w:val="0"/>
      <w:marTop w:val="0"/>
      <w:marBottom w:val="0"/>
      <w:divBdr>
        <w:top w:val="none" w:sz="0" w:space="0" w:color="auto"/>
        <w:left w:val="none" w:sz="0" w:space="0" w:color="auto"/>
        <w:bottom w:val="none" w:sz="0" w:space="0" w:color="auto"/>
        <w:right w:val="none" w:sz="0" w:space="0" w:color="auto"/>
      </w:divBdr>
      <w:divsChild>
        <w:div w:id="174998382">
          <w:marLeft w:val="0"/>
          <w:marRight w:val="0"/>
          <w:marTop w:val="0"/>
          <w:marBottom w:val="0"/>
          <w:divBdr>
            <w:top w:val="none" w:sz="0" w:space="0" w:color="auto"/>
            <w:left w:val="none" w:sz="0" w:space="0" w:color="auto"/>
            <w:bottom w:val="none" w:sz="0" w:space="0" w:color="auto"/>
            <w:right w:val="none" w:sz="0" w:space="0" w:color="auto"/>
          </w:divBdr>
        </w:div>
      </w:divsChild>
    </w:div>
    <w:div w:id="174998330">
      <w:marLeft w:val="0"/>
      <w:marRight w:val="0"/>
      <w:marTop w:val="0"/>
      <w:marBottom w:val="0"/>
      <w:divBdr>
        <w:top w:val="none" w:sz="0" w:space="0" w:color="auto"/>
        <w:left w:val="none" w:sz="0" w:space="0" w:color="auto"/>
        <w:bottom w:val="none" w:sz="0" w:space="0" w:color="auto"/>
        <w:right w:val="none" w:sz="0" w:space="0" w:color="auto"/>
      </w:divBdr>
      <w:divsChild>
        <w:div w:id="174998321">
          <w:marLeft w:val="0"/>
          <w:marRight w:val="0"/>
          <w:marTop w:val="0"/>
          <w:marBottom w:val="0"/>
          <w:divBdr>
            <w:top w:val="none" w:sz="0" w:space="0" w:color="auto"/>
            <w:left w:val="none" w:sz="0" w:space="0" w:color="auto"/>
            <w:bottom w:val="none" w:sz="0" w:space="0" w:color="auto"/>
            <w:right w:val="none" w:sz="0" w:space="0" w:color="auto"/>
          </w:divBdr>
        </w:div>
      </w:divsChild>
    </w:div>
    <w:div w:id="174998334">
      <w:marLeft w:val="0"/>
      <w:marRight w:val="0"/>
      <w:marTop w:val="0"/>
      <w:marBottom w:val="0"/>
      <w:divBdr>
        <w:top w:val="none" w:sz="0" w:space="0" w:color="auto"/>
        <w:left w:val="none" w:sz="0" w:space="0" w:color="auto"/>
        <w:bottom w:val="none" w:sz="0" w:space="0" w:color="auto"/>
        <w:right w:val="none" w:sz="0" w:space="0" w:color="auto"/>
      </w:divBdr>
    </w:div>
    <w:div w:id="174998337">
      <w:marLeft w:val="0"/>
      <w:marRight w:val="0"/>
      <w:marTop w:val="0"/>
      <w:marBottom w:val="0"/>
      <w:divBdr>
        <w:top w:val="none" w:sz="0" w:space="0" w:color="auto"/>
        <w:left w:val="none" w:sz="0" w:space="0" w:color="auto"/>
        <w:bottom w:val="none" w:sz="0" w:space="0" w:color="auto"/>
        <w:right w:val="none" w:sz="0" w:space="0" w:color="auto"/>
      </w:divBdr>
      <w:divsChild>
        <w:div w:id="174998363">
          <w:marLeft w:val="0"/>
          <w:marRight w:val="0"/>
          <w:marTop w:val="0"/>
          <w:marBottom w:val="0"/>
          <w:divBdr>
            <w:top w:val="none" w:sz="0" w:space="0" w:color="auto"/>
            <w:left w:val="none" w:sz="0" w:space="0" w:color="auto"/>
            <w:bottom w:val="none" w:sz="0" w:space="0" w:color="auto"/>
            <w:right w:val="none" w:sz="0" w:space="0" w:color="auto"/>
          </w:divBdr>
        </w:div>
      </w:divsChild>
    </w:div>
    <w:div w:id="174998340">
      <w:marLeft w:val="0"/>
      <w:marRight w:val="0"/>
      <w:marTop w:val="0"/>
      <w:marBottom w:val="0"/>
      <w:divBdr>
        <w:top w:val="none" w:sz="0" w:space="0" w:color="auto"/>
        <w:left w:val="none" w:sz="0" w:space="0" w:color="auto"/>
        <w:bottom w:val="none" w:sz="0" w:space="0" w:color="auto"/>
        <w:right w:val="none" w:sz="0" w:space="0" w:color="auto"/>
      </w:divBdr>
      <w:divsChild>
        <w:div w:id="174998319">
          <w:marLeft w:val="0"/>
          <w:marRight w:val="0"/>
          <w:marTop w:val="0"/>
          <w:marBottom w:val="0"/>
          <w:divBdr>
            <w:top w:val="none" w:sz="0" w:space="0" w:color="auto"/>
            <w:left w:val="none" w:sz="0" w:space="0" w:color="auto"/>
            <w:bottom w:val="none" w:sz="0" w:space="0" w:color="auto"/>
            <w:right w:val="none" w:sz="0" w:space="0" w:color="auto"/>
          </w:divBdr>
        </w:div>
      </w:divsChild>
    </w:div>
    <w:div w:id="174998341">
      <w:marLeft w:val="0"/>
      <w:marRight w:val="0"/>
      <w:marTop w:val="0"/>
      <w:marBottom w:val="0"/>
      <w:divBdr>
        <w:top w:val="none" w:sz="0" w:space="0" w:color="auto"/>
        <w:left w:val="none" w:sz="0" w:space="0" w:color="auto"/>
        <w:bottom w:val="none" w:sz="0" w:space="0" w:color="auto"/>
        <w:right w:val="none" w:sz="0" w:space="0" w:color="auto"/>
      </w:divBdr>
      <w:divsChild>
        <w:div w:id="174998373">
          <w:marLeft w:val="0"/>
          <w:marRight w:val="0"/>
          <w:marTop w:val="0"/>
          <w:marBottom w:val="0"/>
          <w:divBdr>
            <w:top w:val="none" w:sz="0" w:space="0" w:color="auto"/>
            <w:left w:val="none" w:sz="0" w:space="0" w:color="auto"/>
            <w:bottom w:val="none" w:sz="0" w:space="0" w:color="auto"/>
            <w:right w:val="none" w:sz="0" w:space="0" w:color="auto"/>
          </w:divBdr>
        </w:div>
      </w:divsChild>
    </w:div>
    <w:div w:id="174998342">
      <w:marLeft w:val="0"/>
      <w:marRight w:val="0"/>
      <w:marTop w:val="0"/>
      <w:marBottom w:val="0"/>
      <w:divBdr>
        <w:top w:val="none" w:sz="0" w:space="0" w:color="auto"/>
        <w:left w:val="none" w:sz="0" w:space="0" w:color="auto"/>
        <w:bottom w:val="none" w:sz="0" w:space="0" w:color="auto"/>
        <w:right w:val="none" w:sz="0" w:space="0" w:color="auto"/>
      </w:divBdr>
      <w:divsChild>
        <w:div w:id="174998314">
          <w:marLeft w:val="0"/>
          <w:marRight w:val="0"/>
          <w:marTop w:val="0"/>
          <w:marBottom w:val="0"/>
          <w:divBdr>
            <w:top w:val="none" w:sz="0" w:space="0" w:color="auto"/>
            <w:left w:val="none" w:sz="0" w:space="0" w:color="auto"/>
            <w:bottom w:val="none" w:sz="0" w:space="0" w:color="auto"/>
            <w:right w:val="none" w:sz="0" w:space="0" w:color="auto"/>
          </w:divBdr>
        </w:div>
      </w:divsChild>
    </w:div>
    <w:div w:id="174998345">
      <w:marLeft w:val="0"/>
      <w:marRight w:val="0"/>
      <w:marTop w:val="0"/>
      <w:marBottom w:val="0"/>
      <w:divBdr>
        <w:top w:val="none" w:sz="0" w:space="0" w:color="auto"/>
        <w:left w:val="none" w:sz="0" w:space="0" w:color="auto"/>
        <w:bottom w:val="none" w:sz="0" w:space="0" w:color="auto"/>
        <w:right w:val="none" w:sz="0" w:space="0" w:color="auto"/>
      </w:divBdr>
      <w:divsChild>
        <w:div w:id="174998364">
          <w:marLeft w:val="0"/>
          <w:marRight w:val="0"/>
          <w:marTop w:val="0"/>
          <w:marBottom w:val="0"/>
          <w:divBdr>
            <w:top w:val="none" w:sz="0" w:space="0" w:color="auto"/>
            <w:left w:val="none" w:sz="0" w:space="0" w:color="auto"/>
            <w:bottom w:val="none" w:sz="0" w:space="0" w:color="auto"/>
            <w:right w:val="none" w:sz="0" w:space="0" w:color="auto"/>
          </w:divBdr>
        </w:div>
      </w:divsChild>
    </w:div>
    <w:div w:id="174998346">
      <w:marLeft w:val="0"/>
      <w:marRight w:val="0"/>
      <w:marTop w:val="0"/>
      <w:marBottom w:val="0"/>
      <w:divBdr>
        <w:top w:val="none" w:sz="0" w:space="0" w:color="auto"/>
        <w:left w:val="none" w:sz="0" w:space="0" w:color="auto"/>
        <w:bottom w:val="none" w:sz="0" w:space="0" w:color="auto"/>
        <w:right w:val="none" w:sz="0" w:space="0" w:color="auto"/>
      </w:divBdr>
      <w:divsChild>
        <w:div w:id="174998357">
          <w:marLeft w:val="0"/>
          <w:marRight w:val="0"/>
          <w:marTop w:val="0"/>
          <w:marBottom w:val="0"/>
          <w:divBdr>
            <w:top w:val="none" w:sz="0" w:space="0" w:color="auto"/>
            <w:left w:val="none" w:sz="0" w:space="0" w:color="auto"/>
            <w:bottom w:val="none" w:sz="0" w:space="0" w:color="auto"/>
            <w:right w:val="none" w:sz="0" w:space="0" w:color="auto"/>
          </w:divBdr>
        </w:div>
      </w:divsChild>
    </w:div>
    <w:div w:id="174998347">
      <w:marLeft w:val="0"/>
      <w:marRight w:val="0"/>
      <w:marTop w:val="0"/>
      <w:marBottom w:val="0"/>
      <w:divBdr>
        <w:top w:val="none" w:sz="0" w:space="0" w:color="auto"/>
        <w:left w:val="none" w:sz="0" w:space="0" w:color="auto"/>
        <w:bottom w:val="none" w:sz="0" w:space="0" w:color="auto"/>
        <w:right w:val="none" w:sz="0" w:space="0" w:color="auto"/>
      </w:divBdr>
    </w:div>
    <w:div w:id="174998348">
      <w:marLeft w:val="0"/>
      <w:marRight w:val="0"/>
      <w:marTop w:val="0"/>
      <w:marBottom w:val="0"/>
      <w:divBdr>
        <w:top w:val="none" w:sz="0" w:space="0" w:color="auto"/>
        <w:left w:val="none" w:sz="0" w:space="0" w:color="auto"/>
        <w:bottom w:val="none" w:sz="0" w:space="0" w:color="auto"/>
        <w:right w:val="none" w:sz="0" w:space="0" w:color="auto"/>
      </w:divBdr>
      <w:divsChild>
        <w:div w:id="174998343">
          <w:marLeft w:val="0"/>
          <w:marRight w:val="0"/>
          <w:marTop w:val="0"/>
          <w:marBottom w:val="0"/>
          <w:divBdr>
            <w:top w:val="none" w:sz="0" w:space="0" w:color="auto"/>
            <w:left w:val="none" w:sz="0" w:space="0" w:color="auto"/>
            <w:bottom w:val="none" w:sz="0" w:space="0" w:color="auto"/>
            <w:right w:val="none" w:sz="0" w:space="0" w:color="auto"/>
          </w:divBdr>
        </w:div>
      </w:divsChild>
    </w:div>
    <w:div w:id="174998350">
      <w:marLeft w:val="0"/>
      <w:marRight w:val="0"/>
      <w:marTop w:val="0"/>
      <w:marBottom w:val="0"/>
      <w:divBdr>
        <w:top w:val="none" w:sz="0" w:space="0" w:color="auto"/>
        <w:left w:val="none" w:sz="0" w:space="0" w:color="auto"/>
        <w:bottom w:val="none" w:sz="0" w:space="0" w:color="auto"/>
        <w:right w:val="none" w:sz="0" w:space="0" w:color="auto"/>
      </w:divBdr>
      <w:divsChild>
        <w:div w:id="174998313">
          <w:marLeft w:val="0"/>
          <w:marRight w:val="0"/>
          <w:marTop w:val="0"/>
          <w:marBottom w:val="0"/>
          <w:divBdr>
            <w:top w:val="none" w:sz="0" w:space="0" w:color="auto"/>
            <w:left w:val="none" w:sz="0" w:space="0" w:color="auto"/>
            <w:bottom w:val="none" w:sz="0" w:space="0" w:color="auto"/>
            <w:right w:val="none" w:sz="0" w:space="0" w:color="auto"/>
          </w:divBdr>
        </w:div>
      </w:divsChild>
    </w:div>
    <w:div w:id="174998351">
      <w:marLeft w:val="0"/>
      <w:marRight w:val="0"/>
      <w:marTop w:val="0"/>
      <w:marBottom w:val="0"/>
      <w:divBdr>
        <w:top w:val="none" w:sz="0" w:space="0" w:color="auto"/>
        <w:left w:val="none" w:sz="0" w:space="0" w:color="auto"/>
        <w:bottom w:val="none" w:sz="0" w:space="0" w:color="auto"/>
        <w:right w:val="none" w:sz="0" w:space="0" w:color="auto"/>
      </w:divBdr>
      <w:divsChild>
        <w:div w:id="174998398">
          <w:marLeft w:val="0"/>
          <w:marRight w:val="0"/>
          <w:marTop w:val="0"/>
          <w:marBottom w:val="0"/>
          <w:divBdr>
            <w:top w:val="none" w:sz="0" w:space="0" w:color="auto"/>
            <w:left w:val="none" w:sz="0" w:space="0" w:color="auto"/>
            <w:bottom w:val="none" w:sz="0" w:space="0" w:color="auto"/>
            <w:right w:val="none" w:sz="0" w:space="0" w:color="auto"/>
          </w:divBdr>
        </w:div>
      </w:divsChild>
    </w:div>
    <w:div w:id="174998352">
      <w:marLeft w:val="0"/>
      <w:marRight w:val="0"/>
      <w:marTop w:val="0"/>
      <w:marBottom w:val="0"/>
      <w:divBdr>
        <w:top w:val="none" w:sz="0" w:space="0" w:color="auto"/>
        <w:left w:val="none" w:sz="0" w:space="0" w:color="auto"/>
        <w:bottom w:val="none" w:sz="0" w:space="0" w:color="auto"/>
        <w:right w:val="none" w:sz="0" w:space="0" w:color="auto"/>
      </w:divBdr>
      <w:divsChild>
        <w:div w:id="174998335">
          <w:marLeft w:val="0"/>
          <w:marRight w:val="0"/>
          <w:marTop w:val="0"/>
          <w:marBottom w:val="0"/>
          <w:divBdr>
            <w:top w:val="none" w:sz="0" w:space="0" w:color="auto"/>
            <w:left w:val="none" w:sz="0" w:space="0" w:color="auto"/>
            <w:bottom w:val="none" w:sz="0" w:space="0" w:color="auto"/>
            <w:right w:val="none" w:sz="0" w:space="0" w:color="auto"/>
          </w:divBdr>
        </w:div>
      </w:divsChild>
    </w:div>
    <w:div w:id="174998353">
      <w:marLeft w:val="0"/>
      <w:marRight w:val="0"/>
      <w:marTop w:val="0"/>
      <w:marBottom w:val="0"/>
      <w:divBdr>
        <w:top w:val="none" w:sz="0" w:space="0" w:color="auto"/>
        <w:left w:val="none" w:sz="0" w:space="0" w:color="auto"/>
        <w:bottom w:val="none" w:sz="0" w:space="0" w:color="auto"/>
        <w:right w:val="none" w:sz="0" w:space="0" w:color="auto"/>
      </w:divBdr>
      <w:divsChild>
        <w:div w:id="174998336">
          <w:marLeft w:val="0"/>
          <w:marRight w:val="0"/>
          <w:marTop w:val="0"/>
          <w:marBottom w:val="0"/>
          <w:divBdr>
            <w:top w:val="none" w:sz="0" w:space="0" w:color="auto"/>
            <w:left w:val="none" w:sz="0" w:space="0" w:color="auto"/>
            <w:bottom w:val="none" w:sz="0" w:space="0" w:color="auto"/>
            <w:right w:val="none" w:sz="0" w:space="0" w:color="auto"/>
          </w:divBdr>
        </w:div>
      </w:divsChild>
    </w:div>
    <w:div w:id="174998354">
      <w:marLeft w:val="0"/>
      <w:marRight w:val="0"/>
      <w:marTop w:val="0"/>
      <w:marBottom w:val="0"/>
      <w:divBdr>
        <w:top w:val="none" w:sz="0" w:space="0" w:color="auto"/>
        <w:left w:val="none" w:sz="0" w:space="0" w:color="auto"/>
        <w:bottom w:val="none" w:sz="0" w:space="0" w:color="auto"/>
        <w:right w:val="none" w:sz="0" w:space="0" w:color="auto"/>
      </w:divBdr>
      <w:divsChild>
        <w:div w:id="174998385">
          <w:marLeft w:val="0"/>
          <w:marRight w:val="0"/>
          <w:marTop w:val="0"/>
          <w:marBottom w:val="0"/>
          <w:divBdr>
            <w:top w:val="none" w:sz="0" w:space="0" w:color="auto"/>
            <w:left w:val="none" w:sz="0" w:space="0" w:color="auto"/>
            <w:bottom w:val="none" w:sz="0" w:space="0" w:color="auto"/>
            <w:right w:val="none" w:sz="0" w:space="0" w:color="auto"/>
          </w:divBdr>
        </w:div>
      </w:divsChild>
    </w:div>
    <w:div w:id="174998355">
      <w:marLeft w:val="0"/>
      <w:marRight w:val="0"/>
      <w:marTop w:val="0"/>
      <w:marBottom w:val="0"/>
      <w:divBdr>
        <w:top w:val="none" w:sz="0" w:space="0" w:color="auto"/>
        <w:left w:val="none" w:sz="0" w:space="0" w:color="auto"/>
        <w:bottom w:val="none" w:sz="0" w:space="0" w:color="auto"/>
        <w:right w:val="none" w:sz="0" w:space="0" w:color="auto"/>
      </w:divBdr>
      <w:divsChild>
        <w:div w:id="174998332">
          <w:marLeft w:val="0"/>
          <w:marRight w:val="0"/>
          <w:marTop w:val="0"/>
          <w:marBottom w:val="0"/>
          <w:divBdr>
            <w:top w:val="none" w:sz="0" w:space="0" w:color="auto"/>
            <w:left w:val="none" w:sz="0" w:space="0" w:color="auto"/>
            <w:bottom w:val="none" w:sz="0" w:space="0" w:color="auto"/>
            <w:right w:val="none" w:sz="0" w:space="0" w:color="auto"/>
          </w:divBdr>
        </w:div>
      </w:divsChild>
    </w:div>
    <w:div w:id="174998356">
      <w:marLeft w:val="0"/>
      <w:marRight w:val="0"/>
      <w:marTop w:val="0"/>
      <w:marBottom w:val="0"/>
      <w:divBdr>
        <w:top w:val="none" w:sz="0" w:space="0" w:color="auto"/>
        <w:left w:val="none" w:sz="0" w:space="0" w:color="auto"/>
        <w:bottom w:val="none" w:sz="0" w:space="0" w:color="auto"/>
        <w:right w:val="none" w:sz="0" w:space="0" w:color="auto"/>
      </w:divBdr>
      <w:divsChild>
        <w:div w:id="174998318">
          <w:marLeft w:val="0"/>
          <w:marRight w:val="0"/>
          <w:marTop w:val="0"/>
          <w:marBottom w:val="0"/>
          <w:divBdr>
            <w:top w:val="none" w:sz="0" w:space="0" w:color="auto"/>
            <w:left w:val="none" w:sz="0" w:space="0" w:color="auto"/>
            <w:bottom w:val="none" w:sz="0" w:space="0" w:color="auto"/>
            <w:right w:val="none" w:sz="0" w:space="0" w:color="auto"/>
          </w:divBdr>
        </w:div>
      </w:divsChild>
    </w:div>
    <w:div w:id="174998358">
      <w:marLeft w:val="0"/>
      <w:marRight w:val="0"/>
      <w:marTop w:val="0"/>
      <w:marBottom w:val="0"/>
      <w:divBdr>
        <w:top w:val="none" w:sz="0" w:space="0" w:color="auto"/>
        <w:left w:val="none" w:sz="0" w:space="0" w:color="auto"/>
        <w:bottom w:val="none" w:sz="0" w:space="0" w:color="auto"/>
        <w:right w:val="none" w:sz="0" w:space="0" w:color="auto"/>
      </w:divBdr>
      <w:divsChild>
        <w:div w:id="174998370">
          <w:marLeft w:val="0"/>
          <w:marRight w:val="0"/>
          <w:marTop w:val="0"/>
          <w:marBottom w:val="0"/>
          <w:divBdr>
            <w:top w:val="none" w:sz="0" w:space="0" w:color="auto"/>
            <w:left w:val="none" w:sz="0" w:space="0" w:color="auto"/>
            <w:bottom w:val="none" w:sz="0" w:space="0" w:color="auto"/>
            <w:right w:val="none" w:sz="0" w:space="0" w:color="auto"/>
          </w:divBdr>
        </w:div>
      </w:divsChild>
    </w:div>
    <w:div w:id="174998360">
      <w:marLeft w:val="0"/>
      <w:marRight w:val="0"/>
      <w:marTop w:val="0"/>
      <w:marBottom w:val="0"/>
      <w:divBdr>
        <w:top w:val="none" w:sz="0" w:space="0" w:color="auto"/>
        <w:left w:val="none" w:sz="0" w:space="0" w:color="auto"/>
        <w:bottom w:val="none" w:sz="0" w:space="0" w:color="auto"/>
        <w:right w:val="none" w:sz="0" w:space="0" w:color="auto"/>
      </w:divBdr>
      <w:divsChild>
        <w:div w:id="174998367">
          <w:marLeft w:val="0"/>
          <w:marRight w:val="0"/>
          <w:marTop w:val="0"/>
          <w:marBottom w:val="0"/>
          <w:divBdr>
            <w:top w:val="none" w:sz="0" w:space="0" w:color="auto"/>
            <w:left w:val="none" w:sz="0" w:space="0" w:color="auto"/>
            <w:bottom w:val="none" w:sz="0" w:space="0" w:color="auto"/>
            <w:right w:val="none" w:sz="0" w:space="0" w:color="auto"/>
          </w:divBdr>
        </w:div>
      </w:divsChild>
    </w:div>
    <w:div w:id="174998362">
      <w:marLeft w:val="0"/>
      <w:marRight w:val="0"/>
      <w:marTop w:val="0"/>
      <w:marBottom w:val="0"/>
      <w:divBdr>
        <w:top w:val="none" w:sz="0" w:space="0" w:color="auto"/>
        <w:left w:val="none" w:sz="0" w:space="0" w:color="auto"/>
        <w:bottom w:val="none" w:sz="0" w:space="0" w:color="auto"/>
        <w:right w:val="none" w:sz="0" w:space="0" w:color="auto"/>
      </w:divBdr>
      <w:divsChild>
        <w:div w:id="174998393">
          <w:marLeft w:val="0"/>
          <w:marRight w:val="0"/>
          <w:marTop w:val="0"/>
          <w:marBottom w:val="0"/>
          <w:divBdr>
            <w:top w:val="none" w:sz="0" w:space="0" w:color="auto"/>
            <w:left w:val="none" w:sz="0" w:space="0" w:color="auto"/>
            <w:bottom w:val="none" w:sz="0" w:space="0" w:color="auto"/>
            <w:right w:val="none" w:sz="0" w:space="0" w:color="auto"/>
          </w:divBdr>
        </w:div>
      </w:divsChild>
    </w:div>
    <w:div w:id="174998365">
      <w:marLeft w:val="0"/>
      <w:marRight w:val="0"/>
      <w:marTop w:val="0"/>
      <w:marBottom w:val="0"/>
      <w:divBdr>
        <w:top w:val="none" w:sz="0" w:space="0" w:color="auto"/>
        <w:left w:val="none" w:sz="0" w:space="0" w:color="auto"/>
        <w:bottom w:val="none" w:sz="0" w:space="0" w:color="auto"/>
        <w:right w:val="none" w:sz="0" w:space="0" w:color="auto"/>
      </w:divBdr>
      <w:divsChild>
        <w:div w:id="174998333">
          <w:marLeft w:val="0"/>
          <w:marRight w:val="0"/>
          <w:marTop w:val="0"/>
          <w:marBottom w:val="0"/>
          <w:divBdr>
            <w:top w:val="none" w:sz="0" w:space="0" w:color="auto"/>
            <w:left w:val="none" w:sz="0" w:space="0" w:color="auto"/>
            <w:bottom w:val="none" w:sz="0" w:space="0" w:color="auto"/>
            <w:right w:val="none" w:sz="0" w:space="0" w:color="auto"/>
          </w:divBdr>
        </w:div>
      </w:divsChild>
    </w:div>
    <w:div w:id="174998366">
      <w:marLeft w:val="0"/>
      <w:marRight w:val="0"/>
      <w:marTop w:val="0"/>
      <w:marBottom w:val="0"/>
      <w:divBdr>
        <w:top w:val="none" w:sz="0" w:space="0" w:color="auto"/>
        <w:left w:val="none" w:sz="0" w:space="0" w:color="auto"/>
        <w:bottom w:val="none" w:sz="0" w:space="0" w:color="auto"/>
        <w:right w:val="none" w:sz="0" w:space="0" w:color="auto"/>
      </w:divBdr>
      <w:divsChild>
        <w:div w:id="174998368">
          <w:marLeft w:val="0"/>
          <w:marRight w:val="0"/>
          <w:marTop w:val="0"/>
          <w:marBottom w:val="0"/>
          <w:divBdr>
            <w:top w:val="none" w:sz="0" w:space="0" w:color="auto"/>
            <w:left w:val="none" w:sz="0" w:space="0" w:color="auto"/>
            <w:bottom w:val="none" w:sz="0" w:space="0" w:color="auto"/>
            <w:right w:val="none" w:sz="0" w:space="0" w:color="auto"/>
          </w:divBdr>
        </w:div>
      </w:divsChild>
    </w:div>
    <w:div w:id="174998371">
      <w:marLeft w:val="0"/>
      <w:marRight w:val="0"/>
      <w:marTop w:val="0"/>
      <w:marBottom w:val="0"/>
      <w:divBdr>
        <w:top w:val="none" w:sz="0" w:space="0" w:color="auto"/>
        <w:left w:val="none" w:sz="0" w:space="0" w:color="auto"/>
        <w:bottom w:val="none" w:sz="0" w:space="0" w:color="auto"/>
        <w:right w:val="none" w:sz="0" w:space="0" w:color="auto"/>
      </w:divBdr>
      <w:divsChild>
        <w:div w:id="174998372">
          <w:marLeft w:val="0"/>
          <w:marRight w:val="0"/>
          <w:marTop w:val="0"/>
          <w:marBottom w:val="0"/>
          <w:divBdr>
            <w:top w:val="none" w:sz="0" w:space="0" w:color="auto"/>
            <w:left w:val="none" w:sz="0" w:space="0" w:color="auto"/>
            <w:bottom w:val="none" w:sz="0" w:space="0" w:color="auto"/>
            <w:right w:val="none" w:sz="0" w:space="0" w:color="auto"/>
          </w:divBdr>
        </w:div>
      </w:divsChild>
    </w:div>
    <w:div w:id="174998378">
      <w:marLeft w:val="0"/>
      <w:marRight w:val="0"/>
      <w:marTop w:val="0"/>
      <w:marBottom w:val="0"/>
      <w:divBdr>
        <w:top w:val="none" w:sz="0" w:space="0" w:color="auto"/>
        <w:left w:val="none" w:sz="0" w:space="0" w:color="auto"/>
        <w:bottom w:val="none" w:sz="0" w:space="0" w:color="auto"/>
        <w:right w:val="none" w:sz="0" w:space="0" w:color="auto"/>
      </w:divBdr>
      <w:divsChild>
        <w:div w:id="174998380">
          <w:marLeft w:val="0"/>
          <w:marRight w:val="0"/>
          <w:marTop w:val="0"/>
          <w:marBottom w:val="0"/>
          <w:divBdr>
            <w:top w:val="none" w:sz="0" w:space="0" w:color="auto"/>
            <w:left w:val="none" w:sz="0" w:space="0" w:color="auto"/>
            <w:bottom w:val="none" w:sz="0" w:space="0" w:color="auto"/>
            <w:right w:val="none" w:sz="0" w:space="0" w:color="auto"/>
          </w:divBdr>
        </w:div>
      </w:divsChild>
    </w:div>
    <w:div w:id="174998379">
      <w:marLeft w:val="0"/>
      <w:marRight w:val="0"/>
      <w:marTop w:val="0"/>
      <w:marBottom w:val="0"/>
      <w:divBdr>
        <w:top w:val="none" w:sz="0" w:space="0" w:color="auto"/>
        <w:left w:val="none" w:sz="0" w:space="0" w:color="auto"/>
        <w:bottom w:val="none" w:sz="0" w:space="0" w:color="auto"/>
        <w:right w:val="none" w:sz="0" w:space="0" w:color="auto"/>
      </w:divBdr>
      <w:divsChild>
        <w:div w:id="174998375">
          <w:marLeft w:val="0"/>
          <w:marRight w:val="0"/>
          <w:marTop w:val="0"/>
          <w:marBottom w:val="0"/>
          <w:divBdr>
            <w:top w:val="none" w:sz="0" w:space="0" w:color="auto"/>
            <w:left w:val="none" w:sz="0" w:space="0" w:color="auto"/>
            <w:bottom w:val="none" w:sz="0" w:space="0" w:color="auto"/>
            <w:right w:val="none" w:sz="0" w:space="0" w:color="auto"/>
          </w:divBdr>
        </w:div>
      </w:divsChild>
    </w:div>
    <w:div w:id="174998381">
      <w:marLeft w:val="0"/>
      <w:marRight w:val="0"/>
      <w:marTop w:val="0"/>
      <w:marBottom w:val="0"/>
      <w:divBdr>
        <w:top w:val="none" w:sz="0" w:space="0" w:color="auto"/>
        <w:left w:val="none" w:sz="0" w:space="0" w:color="auto"/>
        <w:bottom w:val="none" w:sz="0" w:space="0" w:color="auto"/>
        <w:right w:val="none" w:sz="0" w:space="0" w:color="auto"/>
      </w:divBdr>
      <w:divsChild>
        <w:div w:id="174998369">
          <w:marLeft w:val="0"/>
          <w:marRight w:val="0"/>
          <w:marTop w:val="0"/>
          <w:marBottom w:val="0"/>
          <w:divBdr>
            <w:top w:val="none" w:sz="0" w:space="0" w:color="auto"/>
            <w:left w:val="none" w:sz="0" w:space="0" w:color="auto"/>
            <w:bottom w:val="none" w:sz="0" w:space="0" w:color="auto"/>
            <w:right w:val="none" w:sz="0" w:space="0" w:color="auto"/>
          </w:divBdr>
        </w:div>
      </w:divsChild>
    </w:div>
    <w:div w:id="174998383">
      <w:marLeft w:val="0"/>
      <w:marRight w:val="0"/>
      <w:marTop w:val="0"/>
      <w:marBottom w:val="0"/>
      <w:divBdr>
        <w:top w:val="none" w:sz="0" w:space="0" w:color="auto"/>
        <w:left w:val="none" w:sz="0" w:space="0" w:color="auto"/>
        <w:bottom w:val="none" w:sz="0" w:space="0" w:color="auto"/>
        <w:right w:val="none" w:sz="0" w:space="0" w:color="auto"/>
      </w:divBdr>
      <w:divsChild>
        <w:div w:id="174998391">
          <w:marLeft w:val="0"/>
          <w:marRight w:val="0"/>
          <w:marTop w:val="0"/>
          <w:marBottom w:val="0"/>
          <w:divBdr>
            <w:top w:val="none" w:sz="0" w:space="0" w:color="auto"/>
            <w:left w:val="none" w:sz="0" w:space="0" w:color="auto"/>
            <w:bottom w:val="none" w:sz="0" w:space="0" w:color="auto"/>
            <w:right w:val="none" w:sz="0" w:space="0" w:color="auto"/>
          </w:divBdr>
        </w:div>
      </w:divsChild>
    </w:div>
    <w:div w:id="174998384">
      <w:marLeft w:val="0"/>
      <w:marRight w:val="0"/>
      <w:marTop w:val="0"/>
      <w:marBottom w:val="0"/>
      <w:divBdr>
        <w:top w:val="none" w:sz="0" w:space="0" w:color="auto"/>
        <w:left w:val="none" w:sz="0" w:space="0" w:color="auto"/>
        <w:bottom w:val="none" w:sz="0" w:space="0" w:color="auto"/>
        <w:right w:val="none" w:sz="0" w:space="0" w:color="auto"/>
      </w:divBdr>
      <w:divsChild>
        <w:div w:id="174998329">
          <w:marLeft w:val="0"/>
          <w:marRight w:val="0"/>
          <w:marTop w:val="0"/>
          <w:marBottom w:val="0"/>
          <w:divBdr>
            <w:top w:val="none" w:sz="0" w:space="0" w:color="auto"/>
            <w:left w:val="none" w:sz="0" w:space="0" w:color="auto"/>
            <w:bottom w:val="none" w:sz="0" w:space="0" w:color="auto"/>
            <w:right w:val="none" w:sz="0" w:space="0" w:color="auto"/>
          </w:divBdr>
        </w:div>
      </w:divsChild>
    </w:div>
    <w:div w:id="174998386">
      <w:marLeft w:val="0"/>
      <w:marRight w:val="0"/>
      <w:marTop w:val="0"/>
      <w:marBottom w:val="0"/>
      <w:divBdr>
        <w:top w:val="none" w:sz="0" w:space="0" w:color="auto"/>
        <w:left w:val="none" w:sz="0" w:space="0" w:color="auto"/>
        <w:bottom w:val="none" w:sz="0" w:space="0" w:color="auto"/>
        <w:right w:val="none" w:sz="0" w:space="0" w:color="auto"/>
      </w:divBdr>
    </w:div>
    <w:div w:id="174998387">
      <w:marLeft w:val="0"/>
      <w:marRight w:val="0"/>
      <w:marTop w:val="0"/>
      <w:marBottom w:val="0"/>
      <w:divBdr>
        <w:top w:val="none" w:sz="0" w:space="0" w:color="auto"/>
        <w:left w:val="none" w:sz="0" w:space="0" w:color="auto"/>
        <w:bottom w:val="none" w:sz="0" w:space="0" w:color="auto"/>
        <w:right w:val="none" w:sz="0" w:space="0" w:color="auto"/>
      </w:divBdr>
    </w:div>
    <w:div w:id="174998388">
      <w:marLeft w:val="0"/>
      <w:marRight w:val="0"/>
      <w:marTop w:val="0"/>
      <w:marBottom w:val="0"/>
      <w:divBdr>
        <w:top w:val="none" w:sz="0" w:space="0" w:color="auto"/>
        <w:left w:val="none" w:sz="0" w:space="0" w:color="auto"/>
        <w:bottom w:val="none" w:sz="0" w:space="0" w:color="auto"/>
        <w:right w:val="none" w:sz="0" w:space="0" w:color="auto"/>
      </w:divBdr>
    </w:div>
    <w:div w:id="174998389">
      <w:marLeft w:val="0"/>
      <w:marRight w:val="0"/>
      <w:marTop w:val="0"/>
      <w:marBottom w:val="0"/>
      <w:divBdr>
        <w:top w:val="none" w:sz="0" w:space="0" w:color="auto"/>
        <w:left w:val="none" w:sz="0" w:space="0" w:color="auto"/>
        <w:bottom w:val="none" w:sz="0" w:space="0" w:color="auto"/>
        <w:right w:val="none" w:sz="0" w:space="0" w:color="auto"/>
      </w:divBdr>
      <w:divsChild>
        <w:div w:id="174998320">
          <w:marLeft w:val="0"/>
          <w:marRight w:val="0"/>
          <w:marTop w:val="0"/>
          <w:marBottom w:val="0"/>
          <w:divBdr>
            <w:top w:val="none" w:sz="0" w:space="0" w:color="auto"/>
            <w:left w:val="none" w:sz="0" w:space="0" w:color="auto"/>
            <w:bottom w:val="none" w:sz="0" w:space="0" w:color="auto"/>
            <w:right w:val="none" w:sz="0" w:space="0" w:color="auto"/>
          </w:divBdr>
        </w:div>
      </w:divsChild>
    </w:div>
    <w:div w:id="174998390">
      <w:marLeft w:val="0"/>
      <w:marRight w:val="0"/>
      <w:marTop w:val="0"/>
      <w:marBottom w:val="0"/>
      <w:divBdr>
        <w:top w:val="none" w:sz="0" w:space="0" w:color="auto"/>
        <w:left w:val="none" w:sz="0" w:space="0" w:color="auto"/>
        <w:bottom w:val="none" w:sz="0" w:space="0" w:color="auto"/>
        <w:right w:val="none" w:sz="0" w:space="0" w:color="auto"/>
      </w:divBdr>
      <w:divsChild>
        <w:div w:id="174998408">
          <w:marLeft w:val="0"/>
          <w:marRight w:val="0"/>
          <w:marTop w:val="0"/>
          <w:marBottom w:val="0"/>
          <w:divBdr>
            <w:top w:val="none" w:sz="0" w:space="0" w:color="auto"/>
            <w:left w:val="none" w:sz="0" w:space="0" w:color="auto"/>
            <w:bottom w:val="none" w:sz="0" w:space="0" w:color="auto"/>
            <w:right w:val="none" w:sz="0" w:space="0" w:color="auto"/>
          </w:divBdr>
        </w:div>
      </w:divsChild>
    </w:div>
    <w:div w:id="174998392">
      <w:marLeft w:val="0"/>
      <w:marRight w:val="0"/>
      <w:marTop w:val="0"/>
      <w:marBottom w:val="0"/>
      <w:divBdr>
        <w:top w:val="none" w:sz="0" w:space="0" w:color="auto"/>
        <w:left w:val="none" w:sz="0" w:space="0" w:color="auto"/>
        <w:bottom w:val="none" w:sz="0" w:space="0" w:color="auto"/>
        <w:right w:val="none" w:sz="0" w:space="0" w:color="auto"/>
      </w:divBdr>
      <w:divsChild>
        <w:div w:id="174998325">
          <w:marLeft w:val="0"/>
          <w:marRight w:val="0"/>
          <w:marTop w:val="0"/>
          <w:marBottom w:val="0"/>
          <w:divBdr>
            <w:top w:val="none" w:sz="0" w:space="0" w:color="auto"/>
            <w:left w:val="none" w:sz="0" w:space="0" w:color="auto"/>
            <w:bottom w:val="none" w:sz="0" w:space="0" w:color="auto"/>
            <w:right w:val="none" w:sz="0" w:space="0" w:color="auto"/>
          </w:divBdr>
        </w:div>
      </w:divsChild>
    </w:div>
    <w:div w:id="174998394">
      <w:marLeft w:val="0"/>
      <w:marRight w:val="0"/>
      <w:marTop w:val="0"/>
      <w:marBottom w:val="0"/>
      <w:divBdr>
        <w:top w:val="none" w:sz="0" w:space="0" w:color="auto"/>
        <w:left w:val="none" w:sz="0" w:space="0" w:color="auto"/>
        <w:bottom w:val="none" w:sz="0" w:space="0" w:color="auto"/>
        <w:right w:val="none" w:sz="0" w:space="0" w:color="auto"/>
      </w:divBdr>
      <w:divsChild>
        <w:div w:id="174998361">
          <w:marLeft w:val="0"/>
          <w:marRight w:val="0"/>
          <w:marTop w:val="0"/>
          <w:marBottom w:val="0"/>
          <w:divBdr>
            <w:top w:val="none" w:sz="0" w:space="0" w:color="auto"/>
            <w:left w:val="none" w:sz="0" w:space="0" w:color="auto"/>
            <w:bottom w:val="none" w:sz="0" w:space="0" w:color="auto"/>
            <w:right w:val="none" w:sz="0" w:space="0" w:color="auto"/>
          </w:divBdr>
        </w:div>
      </w:divsChild>
    </w:div>
    <w:div w:id="174998395">
      <w:marLeft w:val="0"/>
      <w:marRight w:val="0"/>
      <w:marTop w:val="0"/>
      <w:marBottom w:val="0"/>
      <w:divBdr>
        <w:top w:val="none" w:sz="0" w:space="0" w:color="auto"/>
        <w:left w:val="none" w:sz="0" w:space="0" w:color="auto"/>
        <w:bottom w:val="none" w:sz="0" w:space="0" w:color="auto"/>
        <w:right w:val="none" w:sz="0" w:space="0" w:color="auto"/>
      </w:divBdr>
      <w:divsChild>
        <w:div w:id="174998309">
          <w:marLeft w:val="0"/>
          <w:marRight w:val="0"/>
          <w:marTop w:val="0"/>
          <w:marBottom w:val="0"/>
          <w:divBdr>
            <w:top w:val="none" w:sz="0" w:space="0" w:color="auto"/>
            <w:left w:val="none" w:sz="0" w:space="0" w:color="auto"/>
            <w:bottom w:val="none" w:sz="0" w:space="0" w:color="auto"/>
            <w:right w:val="none" w:sz="0" w:space="0" w:color="auto"/>
          </w:divBdr>
        </w:div>
      </w:divsChild>
    </w:div>
    <w:div w:id="174998396">
      <w:marLeft w:val="0"/>
      <w:marRight w:val="0"/>
      <w:marTop w:val="0"/>
      <w:marBottom w:val="0"/>
      <w:divBdr>
        <w:top w:val="none" w:sz="0" w:space="0" w:color="auto"/>
        <w:left w:val="none" w:sz="0" w:space="0" w:color="auto"/>
        <w:bottom w:val="none" w:sz="0" w:space="0" w:color="auto"/>
        <w:right w:val="none" w:sz="0" w:space="0" w:color="auto"/>
      </w:divBdr>
      <w:divsChild>
        <w:div w:id="174998374">
          <w:marLeft w:val="0"/>
          <w:marRight w:val="0"/>
          <w:marTop w:val="0"/>
          <w:marBottom w:val="0"/>
          <w:divBdr>
            <w:top w:val="none" w:sz="0" w:space="0" w:color="auto"/>
            <w:left w:val="none" w:sz="0" w:space="0" w:color="auto"/>
            <w:bottom w:val="none" w:sz="0" w:space="0" w:color="auto"/>
            <w:right w:val="none" w:sz="0" w:space="0" w:color="auto"/>
          </w:divBdr>
        </w:div>
      </w:divsChild>
    </w:div>
    <w:div w:id="174998397">
      <w:marLeft w:val="0"/>
      <w:marRight w:val="0"/>
      <w:marTop w:val="0"/>
      <w:marBottom w:val="0"/>
      <w:divBdr>
        <w:top w:val="none" w:sz="0" w:space="0" w:color="auto"/>
        <w:left w:val="none" w:sz="0" w:space="0" w:color="auto"/>
        <w:bottom w:val="none" w:sz="0" w:space="0" w:color="auto"/>
        <w:right w:val="none" w:sz="0" w:space="0" w:color="auto"/>
      </w:divBdr>
      <w:divsChild>
        <w:div w:id="174998376">
          <w:marLeft w:val="0"/>
          <w:marRight w:val="0"/>
          <w:marTop w:val="0"/>
          <w:marBottom w:val="0"/>
          <w:divBdr>
            <w:top w:val="none" w:sz="0" w:space="0" w:color="auto"/>
            <w:left w:val="none" w:sz="0" w:space="0" w:color="auto"/>
            <w:bottom w:val="none" w:sz="0" w:space="0" w:color="auto"/>
            <w:right w:val="none" w:sz="0" w:space="0" w:color="auto"/>
          </w:divBdr>
        </w:div>
      </w:divsChild>
    </w:div>
    <w:div w:id="174998399">
      <w:marLeft w:val="0"/>
      <w:marRight w:val="0"/>
      <w:marTop w:val="0"/>
      <w:marBottom w:val="0"/>
      <w:divBdr>
        <w:top w:val="none" w:sz="0" w:space="0" w:color="auto"/>
        <w:left w:val="none" w:sz="0" w:space="0" w:color="auto"/>
        <w:bottom w:val="none" w:sz="0" w:space="0" w:color="auto"/>
        <w:right w:val="none" w:sz="0" w:space="0" w:color="auto"/>
      </w:divBdr>
    </w:div>
    <w:div w:id="174998400">
      <w:marLeft w:val="0"/>
      <w:marRight w:val="0"/>
      <w:marTop w:val="0"/>
      <w:marBottom w:val="0"/>
      <w:divBdr>
        <w:top w:val="none" w:sz="0" w:space="0" w:color="auto"/>
        <w:left w:val="none" w:sz="0" w:space="0" w:color="auto"/>
        <w:bottom w:val="none" w:sz="0" w:space="0" w:color="auto"/>
        <w:right w:val="none" w:sz="0" w:space="0" w:color="auto"/>
      </w:divBdr>
      <w:divsChild>
        <w:div w:id="174998338">
          <w:marLeft w:val="0"/>
          <w:marRight w:val="0"/>
          <w:marTop w:val="0"/>
          <w:marBottom w:val="0"/>
          <w:divBdr>
            <w:top w:val="none" w:sz="0" w:space="0" w:color="auto"/>
            <w:left w:val="none" w:sz="0" w:space="0" w:color="auto"/>
            <w:bottom w:val="none" w:sz="0" w:space="0" w:color="auto"/>
            <w:right w:val="none" w:sz="0" w:space="0" w:color="auto"/>
          </w:divBdr>
        </w:div>
      </w:divsChild>
    </w:div>
    <w:div w:id="174998401">
      <w:marLeft w:val="0"/>
      <w:marRight w:val="0"/>
      <w:marTop w:val="0"/>
      <w:marBottom w:val="0"/>
      <w:divBdr>
        <w:top w:val="none" w:sz="0" w:space="0" w:color="auto"/>
        <w:left w:val="none" w:sz="0" w:space="0" w:color="auto"/>
        <w:bottom w:val="none" w:sz="0" w:space="0" w:color="auto"/>
        <w:right w:val="none" w:sz="0" w:space="0" w:color="auto"/>
      </w:divBdr>
      <w:divsChild>
        <w:div w:id="174998407">
          <w:marLeft w:val="0"/>
          <w:marRight w:val="0"/>
          <w:marTop w:val="0"/>
          <w:marBottom w:val="0"/>
          <w:divBdr>
            <w:top w:val="none" w:sz="0" w:space="0" w:color="auto"/>
            <w:left w:val="none" w:sz="0" w:space="0" w:color="auto"/>
            <w:bottom w:val="none" w:sz="0" w:space="0" w:color="auto"/>
            <w:right w:val="none" w:sz="0" w:space="0" w:color="auto"/>
          </w:divBdr>
        </w:div>
      </w:divsChild>
    </w:div>
    <w:div w:id="174998402">
      <w:marLeft w:val="0"/>
      <w:marRight w:val="0"/>
      <w:marTop w:val="0"/>
      <w:marBottom w:val="0"/>
      <w:divBdr>
        <w:top w:val="none" w:sz="0" w:space="0" w:color="auto"/>
        <w:left w:val="none" w:sz="0" w:space="0" w:color="auto"/>
        <w:bottom w:val="none" w:sz="0" w:space="0" w:color="auto"/>
        <w:right w:val="none" w:sz="0" w:space="0" w:color="auto"/>
      </w:divBdr>
      <w:divsChild>
        <w:div w:id="174998359">
          <w:marLeft w:val="0"/>
          <w:marRight w:val="0"/>
          <w:marTop w:val="0"/>
          <w:marBottom w:val="0"/>
          <w:divBdr>
            <w:top w:val="none" w:sz="0" w:space="0" w:color="auto"/>
            <w:left w:val="none" w:sz="0" w:space="0" w:color="auto"/>
            <w:bottom w:val="none" w:sz="0" w:space="0" w:color="auto"/>
            <w:right w:val="none" w:sz="0" w:space="0" w:color="auto"/>
          </w:divBdr>
        </w:div>
      </w:divsChild>
    </w:div>
    <w:div w:id="174998403">
      <w:marLeft w:val="0"/>
      <w:marRight w:val="0"/>
      <w:marTop w:val="0"/>
      <w:marBottom w:val="0"/>
      <w:divBdr>
        <w:top w:val="none" w:sz="0" w:space="0" w:color="auto"/>
        <w:left w:val="none" w:sz="0" w:space="0" w:color="auto"/>
        <w:bottom w:val="none" w:sz="0" w:space="0" w:color="auto"/>
        <w:right w:val="none" w:sz="0" w:space="0" w:color="auto"/>
      </w:divBdr>
    </w:div>
    <w:div w:id="174998405">
      <w:marLeft w:val="0"/>
      <w:marRight w:val="0"/>
      <w:marTop w:val="0"/>
      <w:marBottom w:val="0"/>
      <w:divBdr>
        <w:top w:val="none" w:sz="0" w:space="0" w:color="auto"/>
        <w:left w:val="none" w:sz="0" w:space="0" w:color="auto"/>
        <w:bottom w:val="none" w:sz="0" w:space="0" w:color="auto"/>
        <w:right w:val="none" w:sz="0" w:space="0" w:color="auto"/>
      </w:divBdr>
      <w:divsChild>
        <w:div w:id="174998328">
          <w:marLeft w:val="0"/>
          <w:marRight w:val="0"/>
          <w:marTop w:val="0"/>
          <w:marBottom w:val="0"/>
          <w:divBdr>
            <w:top w:val="none" w:sz="0" w:space="0" w:color="auto"/>
            <w:left w:val="none" w:sz="0" w:space="0" w:color="auto"/>
            <w:bottom w:val="none" w:sz="0" w:space="0" w:color="auto"/>
            <w:right w:val="none" w:sz="0" w:space="0" w:color="auto"/>
          </w:divBdr>
        </w:div>
      </w:divsChild>
    </w:div>
    <w:div w:id="174998406">
      <w:marLeft w:val="0"/>
      <w:marRight w:val="0"/>
      <w:marTop w:val="0"/>
      <w:marBottom w:val="0"/>
      <w:divBdr>
        <w:top w:val="none" w:sz="0" w:space="0" w:color="auto"/>
        <w:left w:val="none" w:sz="0" w:space="0" w:color="auto"/>
        <w:bottom w:val="none" w:sz="0" w:space="0" w:color="auto"/>
        <w:right w:val="none" w:sz="0" w:space="0" w:color="auto"/>
      </w:divBdr>
      <w:divsChild>
        <w:div w:id="174998344">
          <w:marLeft w:val="0"/>
          <w:marRight w:val="0"/>
          <w:marTop w:val="0"/>
          <w:marBottom w:val="0"/>
          <w:divBdr>
            <w:top w:val="none" w:sz="0" w:space="0" w:color="auto"/>
            <w:left w:val="none" w:sz="0" w:space="0" w:color="auto"/>
            <w:bottom w:val="none" w:sz="0" w:space="0" w:color="auto"/>
            <w:right w:val="none" w:sz="0" w:space="0" w:color="auto"/>
          </w:divBdr>
        </w:div>
      </w:divsChild>
    </w:div>
    <w:div w:id="174998409">
      <w:marLeft w:val="0"/>
      <w:marRight w:val="0"/>
      <w:marTop w:val="0"/>
      <w:marBottom w:val="0"/>
      <w:divBdr>
        <w:top w:val="none" w:sz="0" w:space="0" w:color="auto"/>
        <w:left w:val="none" w:sz="0" w:space="0" w:color="auto"/>
        <w:bottom w:val="none" w:sz="0" w:space="0" w:color="auto"/>
        <w:right w:val="none" w:sz="0" w:space="0" w:color="auto"/>
      </w:divBdr>
      <w:divsChild>
        <w:div w:id="174998306">
          <w:marLeft w:val="0"/>
          <w:marRight w:val="0"/>
          <w:marTop w:val="0"/>
          <w:marBottom w:val="0"/>
          <w:divBdr>
            <w:top w:val="none" w:sz="0" w:space="0" w:color="auto"/>
            <w:left w:val="none" w:sz="0" w:space="0" w:color="auto"/>
            <w:bottom w:val="none" w:sz="0" w:space="0" w:color="auto"/>
            <w:right w:val="none" w:sz="0" w:space="0" w:color="auto"/>
          </w:divBdr>
        </w:div>
      </w:divsChild>
    </w:div>
    <w:div w:id="174998410">
      <w:marLeft w:val="0"/>
      <w:marRight w:val="0"/>
      <w:marTop w:val="0"/>
      <w:marBottom w:val="0"/>
      <w:divBdr>
        <w:top w:val="none" w:sz="0" w:space="0" w:color="auto"/>
        <w:left w:val="none" w:sz="0" w:space="0" w:color="auto"/>
        <w:bottom w:val="none" w:sz="0" w:space="0" w:color="auto"/>
        <w:right w:val="none" w:sz="0" w:space="0" w:color="auto"/>
      </w:divBdr>
      <w:divsChild>
        <w:div w:id="174998331">
          <w:marLeft w:val="0"/>
          <w:marRight w:val="0"/>
          <w:marTop w:val="0"/>
          <w:marBottom w:val="0"/>
          <w:divBdr>
            <w:top w:val="none" w:sz="0" w:space="0" w:color="auto"/>
            <w:left w:val="none" w:sz="0" w:space="0" w:color="auto"/>
            <w:bottom w:val="none" w:sz="0" w:space="0" w:color="auto"/>
            <w:right w:val="none" w:sz="0" w:space="0" w:color="auto"/>
          </w:divBdr>
        </w:div>
      </w:divsChild>
    </w:div>
    <w:div w:id="174998411">
      <w:marLeft w:val="0"/>
      <w:marRight w:val="0"/>
      <w:marTop w:val="0"/>
      <w:marBottom w:val="0"/>
      <w:divBdr>
        <w:top w:val="none" w:sz="0" w:space="0" w:color="auto"/>
        <w:left w:val="none" w:sz="0" w:space="0" w:color="auto"/>
        <w:bottom w:val="none" w:sz="0" w:space="0" w:color="auto"/>
        <w:right w:val="none" w:sz="0" w:space="0" w:color="auto"/>
      </w:divBdr>
      <w:divsChild>
        <w:div w:id="174998327">
          <w:marLeft w:val="0"/>
          <w:marRight w:val="0"/>
          <w:marTop w:val="0"/>
          <w:marBottom w:val="0"/>
          <w:divBdr>
            <w:top w:val="none" w:sz="0" w:space="0" w:color="auto"/>
            <w:left w:val="none" w:sz="0" w:space="0" w:color="auto"/>
            <w:bottom w:val="none" w:sz="0" w:space="0" w:color="auto"/>
            <w:right w:val="none" w:sz="0" w:space="0" w:color="auto"/>
          </w:divBdr>
        </w:div>
      </w:divsChild>
    </w:div>
    <w:div w:id="209346251">
      <w:bodyDiv w:val="1"/>
      <w:marLeft w:val="0"/>
      <w:marRight w:val="0"/>
      <w:marTop w:val="0"/>
      <w:marBottom w:val="0"/>
      <w:divBdr>
        <w:top w:val="none" w:sz="0" w:space="0" w:color="auto"/>
        <w:left w:val="none" w:sz="0" w:space="0" w:color="auto"/>
        <w:bottom w:val="none" w:sz="0" w:space="0" w:color="auto"/>
        <w:right w:val="none" w:sz="0" w:space="0" w:color="auto"/>
      </w:divBdr>
      <w:divsChild>
        <w:div w:id="887496159">
          <w:marLeft w:val="0"/>
          <w:marRight w:val="0"/>
          <w:marTop w:val="0"/>
          <w:marBottom w:val="0"/>
          <w:divBdr>
            <w:top w:val="none" w:sz="0" w:space="0" w:color="auto"/>
            <w:left w:val="none" w:sz="0" w:space="0" w:color="auto"/>
            <w:bottom w:val="none" w:sz="0" w:space="0" w:color="auto"/>
            <w:right w:val="none" w:sz="0" w:space="0" w:color="auto"/>
          </w:divBdr>
        </w:div>
      </w:divsChild>
    </w:div>
    <w:div w:id="337270981">
      <w:bodyDiv w:val="1"/>
      <w:marLeft w:val="0"/>
      <w:marRight w:val="0"/>
      <w:marTop w:val="0"/>
      <w:marBottom w:val="0"/>
      <w:divBdr>
        <w:top w:val="none" w:sz="0" w:space="0" w:color="auto"/>
        <w:left w:val="none" w:sz="0" w:space="0" w:color="auto"/>
        <w:bottom w:val="none" w:sz="0" w:space="0" w:color="auto"/>
        <w:right w:val="none" w:sz="0" w:space="0" w:color="auto"/>
      </w:divBdr>
      <w:divsChild>
        <w:div w:id="335812830">
          <w:marLeft w:val="0"/>
          <w:marRight w:val="0"/>
          <w:marTop w:val="0"/>
          <w:marBottom w:val="0"/>
          <w:divBdr>
            <w:top w:val="none" w:sz="0" w:space="0" w:color="auto"/>
            <w:left w:val="none" w:sz="0" w:space="0" w:color="auto"/>
            <w:bottom w:val="none" w:sz="0" w:space="0" w:color="auto"/>
            <w:right w:val="none" w:sz="0" w:space="0" w:color="auto"/>
          </w:divBdr>
        </w:div>
      </w:divsChild>
    </w:div>
    <w:div w:id="435563260">
      <w:bodyDiv w:val="1"/>
      <w:marLeft w:val="0"/>
      <w:marRight w:val="0"/>
      <w:marTop w:val="0"/>
      <w:marBottom w:val="0"/>
      <w:divBdr>
        <w:top w:val="none" w:sz="0" w:space="0" w:color="auto"/>
        <w:left w:val="none" w:sz="0" w:space="0" w:color="auto"/>
        <w:bottom w:val="none" w:sz="0" w:space="0" w:color="auto"/>
        <w:right w:val="none" w:sz="0" w:space="0" w:color="auto"/>
      </w:divBdr>
      <w:divsChild>
        <w:div w:id="1139759094">
          <w:marLeft w:val="0"/>
          <w:marRight w:val="0"/>
          <w:marTop w:val="0"/>
          <w:marBottom w:val="0"/>
          <w:divBdr>
            <w:top w:val="none" w:sz="0" w:space="0" w:color="auto"/>
            <w:left w:val="none" w:sz="0" w:space="0" w:color="auto"/>
            <w:bottom w:val="none" w:sz="0" w:space="0" w:color="auto"/>
            <w:right w:val="none" w:sz="0" w:space="0" w:color="auto"/>
          </w:divBdr>
        </w:div>
      </w:divsChild>
    </w:div>
    <w:div w:id="495002164">
      <w:bodyDiv w:val="1"/>
      <w:marLeft w:val="0"/>
      <w:marRight w:val="0"/>
      <w:marTop w:val="0"/>
      <w:marBottom w:val="0"/>
      <w:divBdr>
        <w:top w:val="none" w:sz="0" w:space="0" w:color="auto"/>
        <w:left w:val="none" w:sz="0" w:space="0" w:color="auto"/>
        <w:bottom w:val="none" w:sz="0" w:space="0" w:color="auto"/>
        <w:right w:val="none" w:sz="0" w:space="0" w:color="auto"/>
      </w:divBdr>
      <w:divsChild>
        <w:div w:id="421486513">
          <w:marLeft w:val="0"/>
          <w:marRight w:val="0"/>
          <w:marTop w:val="0"/>
          <w:marBottom w:val="0"/>
          <w:divBdr>
            <w:top w:val="none" w:sz="0" w:space="0" w:color="auto"/>
            <w:left w:val="none" w:sz="0" w:space="0" w:color="auto"/>
            <w:bottom w:val="none" w:sz="0" w:space="0" w:color="auto"/>
            <w:right w:val="none" w:sz="0" w:space="0" w:color="auto"/>
          </w:divBdr>
        </w:div>
      </w:divsChild>
    </w:div>
    <w:div w:id="520163319">
      <w:bodyDiv w:val="1"/>
      <w:marLeft w:val="0"/>
      <w:marRight w:val="0"/>
      <w:marTop w:val="0"/>
      <w:marBottom w:val="0"/>
      <w:divBdr>
        <w:top w:val="none" w:sz="0" w:space="0" w:color="auto"/>
        <w:left w:val="none" w:sz="0" w:space="0" w:color="auto"/>
        <w:bottom w:val="none" w:sz="0" w:space="0" w:color="auto"/>
        <w:right w:val="none" w:sz="0" w:space="0" w:color="auto"/>
      </w:divBdr>
      <w:divsChild>
        <w:div w:id="728188050">
          <w:marLeft w:val="0"/>
          <w:marRight w:val="0"/>
          <w:marTop w:val="0"/>
          <w:marBottom w:val="0"/>
          <w:divBdr>
            <w:top w:val="none" w:sz="0" w:space="0" w:color="auto"/>
            <w:left w:val="none" w:sz="0" w:space="0" w:color="auto"/>
            <w:bottom w:val="none" w:sz="0" w:space="0" w:color="auto"/>
            <w:right w:val="none" w:sz="0" w:space="0" w:color="auto"/>
          </w:divBdr>
        </w:div>
      </w:divsChild>
    </w:div>
    <w:div w:id="531068550">
      <w:bodyDiv w:val="1"/>
      <w:marLeft w:val="0"/>
      <w:marRight w:val="0"/>
      <w:marTop w:val="0"/>
      <w:marBottom w:val="0"/>
      <w:divBdr>
        <w:top w:val="none" w:sz="0" w:space="0" w:color="auto"/>
        <w:left w:val="none" w:sz="0" w:space="0" w:color="auto"/>
        <w:bottom w:val="none" w:sz="0" w:space="0" w:color="auto"/>
        <w:right w:val="none" w:sz="0" w:space="0" w:color="auto"/>
      </w:divBdr>
      <w:divsChild>
        <w:div w:id="309867805">
          <w:marLeft w:val="0"/>
          <w:marRight w:val="0"/>
          <w:marTop w:val="0"/>
          <w:marBottom w:val="0"/>
          <w:divBdr>
            <w:top w:val="none" w:sz="0" w:space="0" w:color="auto"/>
            <w:left w:val="none" w:sz="0" w:space="0" w:color="auto"/>
            <w:bottom w:val="none" w:sz="0" w:space="0" w:color="auto"/>
            <w:right w:val="none" w:sz="0" w:space="0" w:color="auto"/>
          </w:divBdr>
        </w:div>
      </w:divsChild>
    </w:div>
    <w:div w:id="627276021">
      <w:bodyDiv w:val="1"/>
      <w:marLeft w:val="0"/>
      <w:marRight w:val="0"/>
      <w:marTop w:val="0"/>
      <w:marBottom w:val="0"/>
      <w:divBdr>
        <w:top w:val="none" w:sz="0" w:space="0" w:color="auto"/>
        <w:left w:val="none" w:sz="0" w:space="0" w:color="auto"/>
        <w:bottom w:val="none" w:sz="0" w:space="0" w:color="auto"/>
        <w:right w:val="none" w:sz="0" w:space="0" w:color="auto"/>
      </w:divBdr>
      <w:divsChild>
        <w:div w:id="1389184126">
          <w:marLeft w:val="0"/>
          <w:marRight w:val="0"/>
          <w:marTop w:val="0"/>
          <w:marBottom w:val="0"/>
          <w:divBdr>
            <w:top w:val="none" w:sz="0" w:space="0" w:color="auto"/>
            <w:left w:val="none" w:sz="0" w:space="0" w:color="auto"/>
            <w:bottom w:val="none" w:sz="0" w:space="0" w:color="auto"/>
            <w:right w:val="none" w:sz="0" w:space="0" w:color="auto"/>
          </w:divBdr>
        </w:div>
      </w:divsChild>
    </w:div>
    <w:div w:id="651444487">
      <w:bodyDiv w:val="1"/>
      <w:marLeft w:val="0"/>
      <w:marRight w:val="0"/>
      <w:marTop w:val="0"/>
      <w:marBottom w:val="0"/>
      <w:divBdr>
        <w:top w:val="none" w:sz="0" w:space="0" w:color="auto"/>
        <w:left w:val="none" w:sz="0" w:space="0" w:color="auto"/>
        <w:bottom w:val="none" w:sz="0" w:space="0" w:color="auto"/>
        <w:right w:val="none" w:sz="0" w:space="0" w:color="auto"/>
      </w:divBdr>
      <w:divsChild>
        <w:div w:id="839345283">
          <w:marLeft w:val="0"/>
          <w:marRight w:val="0"/>
          <w:marTop w:val="0"/>
          <w:marBottom w:val="0"/>
          <w:divBdr>
            <w:top w:val="none" w:sz="0" w:space="0" w:color="auto"/>
            <w:left w:val="none" w:sz="0" w:space="0" w:color="auto"/>
            <w:bottom w:val="none" w:sz="0" w:space="0" w:color="auto"/>
            <w:right w:val="none" w:sz="0" w:space="0" w:color="auto"/>
          </w:divBdr>
        </w:div>
      </w:divsChild>
    </w:div>
    <w:div w:id="709384735">
      <w:bodyDiv w:val="1"/>
      <w:marLeft w:val="0"/>
      <w:marRight w:val="0"/>
      <w:marTop w:val="0"/>
      <w:marBottom w:val="0"/>
      <w:divBdr>
        <w:top w:val="none" w:sz="0" w:space="0" w:color="auto"/>
        <w:left w:val="none" w:sz="0" w:space="0" w:color="auto"/>
        <w:bottom w:val="none" w:sz="0" w:space="0" w:color="auto"/>
        <w:right w:val="none" w:sz="0" w:space="0" w:color="auto"/>
      </w:divBdr>
      <w:divsChild>
        <w:div w:id="468934000">
          <w:marLeft w:val="0"/>
          <w:marRight w:val="0"/>
          <w:marTop w:val="0"/>
          <w:marBottom w:val="0"/>
          <w:divBdr>
            <w:top w:val="none" w:sz="0" w:space="0" w:color="auto"/>
            <w:left w:val="none" w:sz="0" w:space="0" w:color="auto"/>
            <w:bottom w:val="none" w:sz="0" w:space="0" w:color="auto"/>
            <w:right w:val="none" w:sz="0" w:space="0" w:color="auto"/>
          </w:divBdr>
        </w:div>
      </w:divsChild>
    </w:div>
    <w:div w:id="729039605">
      <w:bodyDiv w:val="1"/>
      <w:marLeft w:val="0"/>
      <w:marRight w:val="0"/>
      <w:marTop w:val="0"/>
      <w:marBottom w:val="0"/>
      <w:divBdr>
        <w:top w:val="none" w:sz="0" w:space="0" w:color="auto"/>
        <w:left w:val="none" w:sz="0" w:space="0" w:color="auto"/>
        <w:bottom w:val="none" w:sz="0" w:space="0" w:color="auto"/>
        <w:right w:val="none" w:sz="0" w:space="0" w:color="auto"/>
      </w:divBdr>
    </w:div>
    <w:div w:id="739134426">
      <w:bodyDiv w:val="1"/>
      <w:marLeft w:val="0"/>
      <w:marRight w:val="0"/>
      <w:marTop w:val="0"/>
      <w:marBottom w:val="0"/>
      <w:divBdr>
        <w:top w:val="none" w:sz="0" w:space="0" w:color="auto"/>
        <w:left w:val="none" w:sz="0" w:space="0" w:color="auto"/>
        <w:bottom w:val="none" w:sz="0" w:space="0" w:color="auto"/>
        <w:right w:val="none" w:sz="0" w:space="0" w:color="auto"/>
      </w:divBdr>
      <w:divsChild>
        <w:div w:id="1012294514">
          <w:marLeft w:val="0"/>
          <w:marRight w:val="0"/>
          <w:marTop w:val="0"/>
          <w:marBottom w:val="0"/>
          <w:divBdr>
            <w:top w:val="none" w:sz="0" w:space="0" w:color="auto"/>
            <w:left w:val="none" w:sz="0" w:space="0" w:color="auto"/>
            <w:bottom w:val="none" w:sz="0" w:space="0" w:color="auto"/>
            <w:right w:val="none" w:sz="0" w:space="0" w:color="auto"/>
          </w:divBdr>
        </w:div>
      </w:divsChild>
    </w:div>
    <w:div w:id="742678693">
      <w:bodyDiv w:val="1"/>
      <w:marLeft w:val="0"/>
      <w:marRight w:val="0"/>
      <w:marTop w:val="0"/>
      <w:marBottom w:val="0"/>
      <w:divBdr>
        <w:top w:val="none" w:sz="0" w:space="0" w:color="auto"/>
        <w:left w:val="none" w:sz="0" w:space="0" w:color="auto"/>
        <w:bottom w:val="none" w:sz="0" w:space="0" w:color="auto"/>
        <w:right w:val="none" w:sz="0" w:space="0" w:color="auto"/>
      </w:divBdr>
      <w:divsChild>
        <w:div w:id="368267544">
          <w:marLeft w:val="0"/>
          <w:marRight w:val="0"/>
          <w:marTop w:val="0"/>
          <w:marBottom w:val="0"/>
          <w:divBdr>
            <w:top w:val="none" w:sz="0" w:space="0" w:color="auto"/>
            <w:left w:val="none" w:sz="0" w:space="0" w:color="auto"/>
            <w:bottom w:val="none" w:sz="0" w:space="0" w:color="auto"/>
            <w:right w:val="none" w:sz="0" w:space="0" w:color="auto"/>
          </w:divBdr>
        </w:div>
      </w:divsChild>
    </w:div>
    <w:div w:id="797337048">
      <w:bodyDiv w:val="1"/>
      <w:marLeft w:val="0"/>
      <w:marRight w:val="0"/>
      <w:marTop w:val="0"/>
      <w:marBottom w:val="0"/>
      <w:divBdr>
        <w:top w:val="none" w:sz="0" w:space="0" w:color="auto"/>
        <w:left w:val="none" w:sz="0" w:space="0" w:color="auto"/>
        <w:bottom w:val="none" w:sz="0" w:space="0" w:color="auto"/>
        <w:right w:val="none" w:sz="0" w:space="0" w:color="auto"/>
      </w:divBdr>
      <w:divsChild>
        <w:div w:id="262957435">
          <w:marLeft w:val="0"/>
          <w:marRight w:val="0"/>
          <w:marTop w:val="0"/>
          <w:marBottom w:val="0"/>
          <w:divBdr>
            <w:top w:val="none" w:sz="0" w:space="0" w:color="auto"/>
            <w:left w:val="none" w:sz="0" w:space="0" w:color="auto"/>
            <w:bottom w:val="none" w:sz="0" w:space="0" w:color="auto"/>
            <w:right w:val="none" w:sz="0" w:space="0" w:color="auto"/>
          </w:divBdr>
        </w:div>
      </w:divsChild>
    </w:div>
    <w:div w:id="927078656">
      <w:bodyDiv w:val="1"/>
      <w:marLeft w:val="0"/>
      <w:marRight w:val="0"/>
      <w:marTop w:val="0"/>
      <w:marBottom w:val="0"/>
      <w:divBdr>
        <w:top w:val="none" w:sz="0" w:space="0" w:color="auto"/>
        <w:left w:val="none" w:sz="0" w:space="0" w:color="auto"/>
        <w:bottom w:val="none" w:sz="0" w:space="0" w:color="auto"/>
        <w:right w:val="none" w:sz="0" w:space="0" w:color="auto"/>
      </w:divBdr>
      <w:divsChild>
        <w:div w:id="1881669944">
          <w:marLeft w:val="0"/>
          <w:marRight w:val="0"/>
          <w:marTop w:val="0"/>
          <w:marBottom w:val="0"/>
          <w:divBdr>
            <w:top w:val="none" w:sz="0" w:space="0" w:color="auto"/>
            <w:left w:val="none" w:sz="0" w:space="0" w:color="auto"/>
            <w:bottom w:val="none" w:sz="0" w:space="0" w:color="auto"/>
            <w:right w:val="none" w:sz="0" w:space="0" w:color="auto"/>
          </w:divBdr>
        </w:div>
      </w:divsChild>
    </w:div>
    <w:div w:id="958297756">
      <w:bodyDiv w:val="1"/>
      <w:marLeft w:val="0"/>
      <w:marRight w:val="0"/>
      <w:marTop w:val="0"/>
      <w:marBottom w:val="0"/>
      <w:divBdr>
        <w:top w:val="none" w:sz="0" w:space="0" w:color="auto"/>
        <w:left w:val="none" w:sz="0" w:space="0" w:color="auto"/>
        <w:bottom w:val="none" w:sz="0" w:space="0" w:color="auto"/>
        <w:right w:val="none" w:sz="0" w:space="0" w:color="auto"/>
      </w:divBdr>
      <w:divsChild>
        <w:div w:id="506142944">
          <w:marLeft w:val="0"/>
          <w:marRight w:val="0"/>
          <w:marTop w:val="0"/>
          <w:marBottom w:val="0"/>
          <w:divBdr>
            <w:top w:val="none" w:sz="0" w:space="0" w:color="auto"/>
            <w:left w:val="none" w:sz="0" w:space="0" w:color="auto"/>
            <w:bottom w:val="none" w:sz="0" w:space="0" w:color="auto"/>
            <w:right w:val="none" w:sz="0" w:space="0" w:color="auto"/>
          </w:divBdr>
        </w:div>
      </w:divsChild>
    </w:div>
    <w:div w:id="1026255683">
      <w:bodyDiv w:val="1"/>
      <w:marLeft w:val="0"/>
      <w:marRight w:val="0"/>
      <w:marTop w:val="0"/>
      <w:marBottom w:val="0"/>
      <w:divBdr>
        <w:top w:val="none" w:sz="0" w:space="0" w:color="auto"/>
        <w:left w:val="none" w:sz="0" w:space="0" w:color="auto"/>
        <w:bottom w:val="none" w:sz="0" w:space="0" w:color="auto"/>
        <w:right w:val="none" w:sz="0" w:space="0" w:color="auto"/>
      </w:divBdr>
      <w:divsChild>
        <w:div w:id="1453208281">
          <w:marLeft w:val="0"/>
          <w:marRight w:val="0"/>
          <w:marTop w:val="0"/>
          <w:marBottom w:val="0"/>
          <w:divBdr>
            <w:top w:val="none" w:sz="0" w:space="0" w:color="auto"/>
            <w:left w:val="none" w:sz="0" w:space="0" w:color="auto"/>
            <w:bottom w:val="none" w:sz="0" w:space="0" w:color="auto"/>
            <w:right w:val="none" w:sz="0" w:space="0" w:color="auto"/>
          </w:divBdr>
        </w:div>
      </w:divsChild>
    </w:div>
    <w:div w:id="1069571692">
      <w:bodyDiv w:val="1"/>
      <w:marLeft w:val="0"/>
      <w:marRight w:val="0"/>
      <w:marTop w:val="0"/>
      <w:marBottom w:val="0"/>
      <w:divBdr>
        <w:top w:val="none" w:sz="0" w:space="0" w:color="auto"/>
        <w:left w:val="none" w:sz="0" w:space="0" w:color="auto"/>
        <w:bottom w:val="none" w:sz="0" w:space="0" w:color="auto"/>
        <w:right w:val="none" w:sz="0" w:space="0" w:color="auto"/>
      </w:divBdr>
      <w:divsChild>
        <w:div w:id="615404621">
          <w:marLeft w:val="0"/>
          <w:marRight w:val="0"/>
          <w:marTop w:val="0"/>
          <w:marBottom w:val="0"/>
          <w:divBdr>
            <w:top w:val="none" w:sz="0" w:space="0" w:color="auto"/>
            <w:left w:val="none" w:sz="0" w:space="0" w:color="auto"/>
            <w:bottom w:val="none" w:sz="0" w:space="0" w:color="auto"/>
            <w:right w:val="none" w:sz="0" w:space="0" w:color="auto"/>
          </w:divBdr>
        </w:div>
      </w:divsChild>
    </w:div>
    <w:div w:id="1098522638">
      <w:bodyDiv w:val="1"/>
      <w:marLeft w:val="0"/>
      <w:marRight w:val="0"/>
      <w:marTop w:val="0"/>
      <w:marBottom w:val="0"/>
      <w:divBdr>
        <w:top w:val="none" w:sz="0" w:space="0" w:color="auto"/>
        <w:left w:val="none" w:sz="0" w:space="0" w:color="auto"/>
        <w:bottom w:val="none" w:sz="0" w:space="0" w:color="auto"/>
        <w:right w:val="none" w:sz="0" w:space="0" w:color="auto"/>
      </w:divBdr>
      <w:divsChild>
        <w:div w:id="546912945">
          <w:marLeft w:val="0"/>
          <w:marRight w:val="0"/>
          <w:marTop w:val="0"/>
          <w:marBottom w:val="0"/>
          <w:divBdr>
            <w:top w:val="none" w:sz="0" w:space="0" w:color="auto"/>
            <w:left w:val="none" w:sz="0" w:space="0" w:color="auto"/>
            <w:bottom w:val="none" w:sz="0" w:space="0" w:color="auto"/>
            <w:right w:val="none" w:sz="0" w:space="0" w:color="auto"/>
          </w:divBdr>
        </w:div>
      </w:divsChild>
    </w:div>
    <w:div w:id="1132595966">
      <w:bodyDiv w:val="1"/>
      <w:marLeft w:val="0"/>
      <w:marRight w:val="0"/>
      <w:marTop w:val="0"/>
      <w:marBottom w:val="0"/>
      <w:divBdr>
        <w:top w:val="none" w:sz="0" w:space="0" w:color="auto"/>
        <w:left w:val="none" w:sz="0" w:space="0" w:color="auto"/>
        <w:bottom w:val="none" w:sz="0" w:space="0" w:color="auto"/>
        <w:right w:val="none" w:sz="0" w:space="0" w:color="auto"/>
      </w:divBdr>
      <w:divsChild>
        <w:div w:id="1424305177">
          <w:marLeft w:val="0"/>
          <w:marRight w:val="0"/>
          <w:marTop w:val="0"/>
          <w:marBottom w:val="0"/>
          <w:divBdr>
            <w:top w:val="none" w:sz="0" w:space="0" w:color="auto"/>
            <w:left w:val="none" w:sz="0" w:space="0" w:color="auto"/>
            <w:bottom w:val="none" w:sz="0" w:space="0" w:color="auto"/>
            <w:right w:val="none" w:sz="0" w:space="0" w:color="auto"/>
          </w:divBdr>
        </w:div>
      </w:divsChild>
    </w:div>
    <w:div w:id="1139959668">
      <w:bodyDiv w:val="1"/>
      <w:marLeft w:val="0"/>
      <w:marRight w:val="0"/>
      <w:marTop w:val="0"/>
      <w:marBottom w:val="0"/>
      <w:divBdr>
        <w:top w:val="none" w:sz="0" w:space="0" w:color="auto"/>
        <w:left w:val="none" w:sz="0" w:space="0" w:color="auto"/>
        <w:bottom w:val="none" w:sz="0" w:space="0" w:color="auto"/>
        <w:right w:val="none" w:sz="0" w:space="0" w:color="auto"/>
      </w:divBdr>
      <w:divsChild>
        <w:div w:id="1642880822">
          <w:marLeft w:val="0"/>
          <w:marRight w:val="0"/>
          <w:marTop w:val="0"/>
          <w:marBottom w:val="0"/>
          <w:divBdr>
            <w:top w:val="none" w:sz="0" w:space="0" w:color="auto"/>
            <w:left w:val="none" w:sz="0" w:space="0" w:color="auto"/>
            <w:bottom w:val="none" w:sz="0" w:space="0" w:color="auto"/>
            <w:right w:val="none" w:sz="0" w:space="0" w:color="auto"/>
          </w:divBdr>
        </w:div>
      </w:divsChild>
    </w:div>
    <w:div w:id="1204176717">
      <w:bodyDiv w:val="1"/>
      <w:marLeft w:val="0"/>
      <w:marRight w:val="0"/>
      <w:marTop w:val="0"/>
      <w:marBottom w:val="0"/>
      <w:divBdr>
        <w:top w:val="none" w:sz="0" w:space="0" w:color="auto"/>
        <w:left w:val="none" w:sz="0" w:space="0" w:color="auto"/>
        <w:bottom w:val="none" w:sz="0" w:space="0" w:color="auto"/>
        <w:right w:val="none" w:sz="0" w:space="0" w:color="auto"/>
      </w:divBdr>
      <w:divsChild>
        <w:div w:id="42219686">
          <w:marLeft w:val="0"/>
          <w:marRight w:val="0"/>
          <w:marTop w:val="0"/>
          <w:marBottom w:val="0"/>
          <w:divBdr>
            <w:top w:val="none" w:sz="0" w:space="0" w:color="auto"/>
            <w:left w:val="none" w:sz="0" w:space="0" w:color="auto"/>
            <w:bottom w:val="none" w:sz="0" w:space="0" w:color="auto"/>
            <w:right w:val="none" w:sz="0" w:space="0" w:color="auto"/>
          </w:divBdr>
        </w:div>
      </w:divsChild>
    </w:div>
    <w:div w:id="1208765013">
      <w:bodyDiv w:val="1"/>
      <w:marLeft w:val="0"/>
      <w:marRight w:val="0"/>
      <w:marTop w:val="0"/>
      <w:marBottom w:val="0"/>
      <w:divBdr>
        <w:top w:val="none" w:sz="0" w:space="0" w:color="auto"/>
        <w:left w:val="none" w:sz="0" w:space="0" w:color="auto"/>
        <w:bottom w:val="none" w:sz="0" w:space="0" w:color="auto"/>
        <w:right w:val="none" w:sz="0" w:space="0" w:color="auto"/>
      </w:divBdr>
      <w:divsChild>
        <w:div w:id="1436633392">
          <w:marLeft w:val="0"/>
          <w:marRight w:val="0"/>
          <w:marTop w:val="0"/>
          <w:marBottom w:val="0"/>
          <w:divBdr>
            <w:top w:val="none" w:sz="0" w:space="0" w:color="auto"/>
            <w:left w:val="none" w:sz="0" w:space="0" w:color="auto"/>
            <w:bottom w:val="none" w:sz="0" w:space="0" w:color="auto"/>
            <w:right w:val="none" w:sz="0" w:space="0" w:color="auto"/>
          </w:divBdr>
        </w:div>
      </w:divsChild>
    </w:div>
    <w:div w:id="1220824413">
      <w:bodyDiv w:val="1"/>
      <w:marLeft w:val="0"/>
      <w:marRight w:val="0"/>
      <w:marTop w:val="0"/>
      <w:marBottom w:val="0"/>
      <w:divBdr>
        <w:top w:val="none" w:sz="0" w:space="0" w:color="auto"/>
        <w:left w:val="none" w:sz="0" w:space="0" w:color="auto"/>
        <w:bottom w:val="none" w:sz="0" w:space="0" w:color="auto"/>
        <w:right w:val="none" w:sz="0" w:space="0" w:color="auto"/>
      </w:divBdr>
      <w:divsChild>
        <w:div w:id="1437868280">
          <w:marLeft w:val="0"/>
          <w:marRight w:val="0"/>
          <w:marTop w:val="0"/>
          <w:marBottom w:val="0"/>
          <w:divBdr>
            <w:top w:val="none" w:sz="0" w:space="0" w:color="auto"/>
            <w:left w:val="none" w:sz="0" w:space="0" w:color="auto"/>
            <w:bottom w:val="none" w:sz="0" w:space="0" w:color="auto"/>
            <w:right w:val="none" w:sz="0" w:space="0" w:color="auto"/>
          </w:divBdr>
        </w:div>
      </w:divsChild>
    </w:div>
    <w:div w:id="1233664762">
      <w:bodyDiv w:val="1"/>
      <w:marLeft w:val="0"/>
      <w:marRight w:val="0"/>
      <w:marTop w:val="0"/>
      <w:marBottom w:val="0"/>
      <w:divBdr>
        <w:top w:val="none" w:sz="0" w:space="0" w:color="auto"/>
        <w:left w:val="none" w:sz="0" w:space="0" w:color="auto"/>
        <w:bottom w:val="none" w:sz="0" w:space="0" w:color="auto"/>
        <w:right w:val="none" w:sz="0" w:space="0" w:color="auto"/>
      </w:divBdr>
      <w:divsChild>
        <w:div w:id="600190574">
          <w:marLeft w:val="0"/>
          <w:marRight w:val="0"/>
          <w:marTop w:val="0"/>
          <w:marBottom w:val="0"/>
          <w:divBdr>
            <w:top w:val="none" w:sz="0" w:space="0" w:color="auto"/>
            <w:left w:val="none" w:sz="0" w:space="0" w:color="auto"/>
            <w:bottom w:val="none" w:sz="0" w:space="0" w:color="auto"/>
            <w:right w:val="none" w:sz="0" w:space="0" w:color="auto"/>
          </w:divBdr>
        </w:div>
      </w:divsChild>
    </w:div>
    <w:div w:id="1264146561">
      <w:bodyDiv w:val="1"/>
      <w:marLeft w:val="0"/>
      <w:marRight w:val="0"/>
      <w:marTop w:val="0"/>
      <w:marBottom w:val="0"/>
      <w:divBdr>
        <w:top w:val="none" w:sz="0" w:space="0" w:color="auto"/>
        <w:left w:val="none" w:sz="0" w:space="0" w:color="auto"/>
        <w:bottom w:val="none" w:sz="0" w:space="0" w:color="auto"/>
        <w:right w:val="none" w:sz="0" w:space="0" w:color="auto"/>
      </w:divBdr>
      <w:divsChild>
        <w:div w:id="1267884398">
          <w:marLeft w:val="0"/>
          <w:marRight w:val="0"/>
          <w:marTop w:val="0"/>
          <w:marBottom w:val="0"/>
          <w:divBdr>
            <w:top w:val="none" w:sz="0" w:space="0" w:color="auto"/>
            <w:left w:val="none" w:sz="0" w:space="0" w:color="auto"/>
            <w:bottom w:val="none" w:sz="0" w:space="0" w:color="auto"/>
            <w:right w:val="none" w:sz="0" w:space="0" w:color="auto"/>
          </w:divBdr>
        </w:div>
      </w:divsChild>
    </w:div>
    <w:div w:id="1311248635">
      <w:bodyDiv w:val="1"/>
      <w:marLeft w:val="0"/>
      <w:marRight w:val="0"/>
      <w:marTop w:val="0"/>
      <w:marBottom w:val="0"/>
      <w:divBdr>
        <w:top w:val="none" w:sz="0" w:space="0" w:color="auto"/>
        <w:left w:val="none" w:sz="0" w:space="0" w:color="auto"/>
        <w:bottom w:val="none" w:sz="0" w:space="0" w:color="auto"/>
        <w:right w:val="none" w:sz="0" w:space="0" w:color="auto"/>
      </w:divBdr>
      <w:divsChild>
        <w:div w:id="355734528">
          <w:marLeft w:val="0"/>
          <w:marRight w:val="0"/>
          <w:marTop w:val="0"/>
          <w:marBottom w:val="0"/>
          <w:divBdr>
            <w:top w:val="none" w:sz="0" w:space="0" w:color="auto"/>
            <w:left w:val="none" w:sz="0" w:space="0" w:color="auto"/>
            <w:bottom w:val="none" w:sz="0" w:space="0" w:color="auto"/>
            <w:right w:val="none" w:sz="0" w:space="0" w:color="auto"/>
          </w:divBdr>
        </w:div>
      </w:divsChild>
    </w:div>
    <w:div w:id="1363944233">
      <w:bodyDiv w:val="1"/>
      <w:marLeft w:val="0"/>
      <w:marRight w:val="0"/>
      <w:marTop w:val="0"/>
      <w:marBottom w:val="0"/>
      <w:divBdr>
        <w:top w:val="none" w:sz="0" w:space="0" w:color="auto"/>
        <w:left w:val="none" w:sz="0" w:space="0" w:color="auto"/>
        <w:bottom w:val="none" w:sz="0" w:space="0" w:color="auto"/>
        <w:right w:val="none" w:sz="0" w:space="0" w:color="auto"/>
      </w:divBdr>
      <w:divsChild>
        <w:div w:id="1715302653">
          <w:marLeft w:val="0"/>
          <w:marRight w:val="0"/>
          <w:marTop w:val="0"/>
          <w:marBottom w:val="0"/>
          <w:divBdr>
            <w:top w:val="none" w:sz="0" w:space="0" w:color="auto"/>
            <w:left w:val="none" w:sz="0" w:space="0" w:color="auto"/>
            <w:bottom w:val="none" w:sz="0" w:space="0" w:color="auto"/>
            <w:right w:val="none" w:sz="0" w:space="0" w:color="auto"/>
          </w:divBdr>
        </w:div>
      </w:divsChild>
    </w:div>
    <w:div w:id="1366633241">
      <w:bodyDiv w:val="1"/>
      <w:marLeft w:val="0"/>
      <w:marRight w:val="0"/>
      <w:marTop w:val="0"/>
      <w:marBottom w:val="0"/>
      <w:divBdr>
        <w:top w:val="none" w:sz="0" w:space="0" w:color="auto"/>
        <w:left w:val="none" w:sz="0" w:space="0" w:color="auto"/>
        <w:bottom w:val="none" w:sz="0" w:space="0" w:color="auto"/>
        <w:right w:val="none" w:sz="0" w:space="0" w:color="auto"/>
      </w:divBdr>
      <w:divsChild>
        <w:div w:id="783377777">
          <w:marLeft w:val="0"/>
          <w:marRight w:val="0"/>
          <w:marTop w:val="0"/>
          <w:marBottom w:val="0"/>
          <w:divBdr>
            <w:top w:val="none" w:sz="0" w:space="0" w:color="auto"/>
            <w:left w:val="none" w:sz="0" w:space="0" w:color="auto"/>
            <w:bottom w:val="none" w:sz="0" w:space="0" w:color="auto"/>
            <w:right w:val="none" w:sz="0" w:space="0" w:color="auto"/>
          </w:divBdr>
        </w:div>
      </w:divsChild>
    </w:div>
    <w:div w:id="1496991809">
      <w:bodyDiv w:val="1"/>
      <w:marLeft w:val="0"/>
      <w:marRight w:val="0"/>
      <w:marTop w:val="0"/>
      <w:marBottom w:val="0"/>
      <w:divBdr>
        <w:top w:val="none" w:sz="0" w:space="0" w:color="auto"/>
        <w:left w:val="none" w:sz="0" w:space="0" w:color="auto"/>
        <w:bottom w:val="none" w:sz="0" w:space="0" w:color="auto"/>
        <w:right w:val="none" w:sz="0" w:space="0" w:color="auto"/>
      </w:divBdr>
      <w:divsChild>
        <w:div w:id="1380084229">
          <w:marLeft w:val="0"/>
          <w:marRight w:val="0"/>
          <w:marTop w:val="0"/>
          <w:marBottom w:val="0"/>
          <w:divBdr>
            <w:top w:val="none" w:sz="0" w:space="0" w:color="auto"/>
            <w:left w:val="none" w:sz="0" w:space="0" w:color="auto"/>
            <w:bottom w:val="none" w:sz="0" w:space="0" w:color="auto"/>
            <w:right w:val="none" w:sz="0" w:space="0" w:color="auto"/>
          </w:divBdr>
        </w:div>
      </w:divsChild>
    </w:div>
    <w:div w:id="1516725523">
      <w:bodyDiv w:val="1"/>
      <w:marLeft w:val="0"/>
      <w:marRight w:val="0"/>
      <w:marTop w:val="0"/>
      <w:marBottom w:val="0"/>
      <w:divBdr>
        <w:top w:val="none" w:sz="0" w:space="0" w:color="auto"/>
        <w:left w:val="none" w:sz="0" w:space="0" w:color="auto"/>
        <w:bottom w:val="none" w:sz="0" w:space="0" w:color="auto"/>
        <w:right w:val="none" w:sz="0" w:space="0" w:color="auto"/>
      </w:divBdr>
      <w:divsChild>
        <w:div w:id="803742087">
          <w:marLeft w:val="0"/>
          <w:marRight w:val="0"/>
          <w:marTop w:val="0"/>
          <w:marBottom w:val="0"/>
          <w:divBdr>
            <w:top w:val="none" w:sz="0" w:space="0" w:color="auto"/>
            <w:left w:val="none" w:sz="0" w:space="0" w:color="auto"/>
            <w:bottom w:val="none" w:sz="0" w:space="0" w:color="auto"/>
            <w:right w:val="none" w:sz="0" w:space="0" w:color="auto"/>
          </w:divBdr>
        </w:div>
      </w:divsChild>
    </w:div>
    <w:div w:id="1578516622">
      <w:bodyDiv w:val="1"/>
      <w:marLeft w:val="0"/>
      <w:marRight w:val="0"/>
      <w:marTop w:val="0"/>
      <w:marBottom w:val="0"/>
      <w:divBdr>
        <w:top w:val="none" w:sz="0" w:space="0" w:color="auto"/>
        <w:left w:val="none" w:sz="0" w:space="0" w:color="auto"/>
        <w:bottom w:val="none" w:sz="0" w:space="0" w:color="auto"/>
        <w:right w:val="none" w:sz="0" w:space="0" w:color="auto"/>
      </w:divBdr>
      <w:divsChild>
        <w:div w:id="1421830958">
          <w:marLeft w:val="0"/>
          <w:marRight w:val="0"/>
          <w:marTop w:val="0"/>
          <w:marBottom w:val="0"/>
          <w:divBdr>
            <w:top w:val="none" w:sz="0" w:space="0" w:color="auto"/>
            <w:left w:val="none" w:sz="0" w:space="0" w:color="auto"/>
            <w:bottom w:val="none" w:sz="0" w:space="0" w:color="auto"/>
            <w:right w:val="none" w:sz="0" w:space="0" w:color="auto"/>
          </w:divBdr>
        </w:div>
      </w:divsChild>
    </w:div>
    <w:div w:id="1622489214">
      <w:bodyDiv w:val="1"/>
      <w:marLeft w:val="0"/>
      <w:marRight w:val="0"/>
      <w:marTop w:val="0"/>
      <w:marBottom w:val="0"/>
      <w:divBdr>
        <w:top w:val="none" w:sz="0" w:space="0" w:color="auto"/>
        <w:left w:val="none" w:sz="0" w:space="0" w:color="auto"/>
        <w:bottom w:val="none" w:sz="0" w:space="0" w:color="auto"/>
        <w:right w:val="none" w:sz="0" w:space="0" w:color="auto"/>
      </w:divBdr>
    </w:div>
    <w:div w:id="1764258776">
      <w:bodyDiv w:val="1"/>
      <w:marLeft w:val="0"/>
      <w:marRight w:val="0"/>
      <w:marTop w:val="0"/>
      <w:marBottom w:val="0"/>
      <w:divBdr>
        <w:top w:val="none" w:sz="0" w:space="0" w:color="auto"/>
        <w:left w:val="none" w:sz="0" w:space="0" w:color="auto"/>
        <w:bottom w:val="none" w:sz="0" w:space="0" w:color="auto"/>
        <w:right w:val="none" w:sz="0" w:space="0" w:color="auto"/>
      </w:divBdr>
      <w:divsChild>
        <w:div w:id="865169525">
          <w:marLeft w:val="0"/>
          <w:marRight w:val="0"/>
          <w:marTop w:val="0"/>
          <w:marBottom w:val="0"/>
          <w:divBdr>
            <w:top w:val="none" w:sz="0" w:space="0" w:color="auto"/>
            <w:left w:val="none" w:sz="0" w:space="0" w:color="auto"/>
            <w:bottom w:val="none" w:sz="0" w:space="0" w:color="auto"/>
            <w:right w:val="none" w:sz="0" w:space="0" w:color="auto"/>
          </w:divBdr>
        </w:div>
      </w:divsChild>
    </w:div>
    <w:div w:id="1819150259">
      <w:bodyDiv w:val="1"/>
      <w:marLeft w:val="0"/>
      <w:marRight w:val="0"/>
      <w:marTop w:val="0"/>
      <w:marBottom w:val="0"/>
      <w:divBdr>
        <w:top w:val="none" w:sz="0" w:space="0" w:color="auto"/>
        <w:left w:val="none" w:sz="0" w:space="0" w:color="auto"/>
        <w:bottom w:val="none" w:sz="0" w:space="0" w:color="auto"/>
        <w:right w:val="none" w:sz="0" w:space="0" w:color="auto"/>
      </w:divBdr>
      <w:divsChild>
        <w:div w:id="969752103">
          <w:marLeft w:val="0"/>
          <w:marRight w:val="0"/>
          <w:marTop w:val="0"/>
          <w:marBottom w:val="0"/>
          <w:divBdr>
            <w:top w:val="none" w:sz="0" w:space="0" w:color="auto"/>
            <w:left w:val="none" w:sz="0" w:space="0" w:color="auto"/>
            <w:bottom w:val="none" w:sz="0" w:space="0" w:color="auto"/>
            <w:right w:val="none" w:sz="0" w:space="0" w:color="auto"/>
          </w:divBdr>
        </w:div>
      </w:divsChild>
    </w:div>
    <w:div w:id="1830291252">
      <w:bodyDiv w:val="1"/>
      <w:marLeft w:val="0"/>
      <w:marRight w:val="0"/>
      <w:marTop w:val="0"/>
      <w:marBottom w:val="0"/>
      <w:divBdr>
        <w:top w:val="none" w:sz="0" w:space="0" w:color="auto"/>
        <w:left w:val="none" w:sz="0" w:space="0" w:color="auto"/>
        <w:bottom w:val="none" w:sz="0" w:space="0" w:color="auto"/>
        <w:right w:val="none" w:sz="0" w:space="0" w:color="auto"/>
      </w:divBdr>
      <w:divsChild>
        <w:div w:id="31271361">
          <w:marLeft w:val="0"/>
          <w:marRight w:val="0"/>
          <w:marTop w:val="0"/>
          <w:marBottom w:val="0"/>
          <w:divBdr>
            <w:top w:val="none" w:sz="0" w:space="0" w:color="auto"/>
            <w:left w:val="none" w:sz="0" w:space="0" w:color="auto"/>
            <w:bottom w:val="none" w:sz="0" w:space="0" w:color="auto"/>
            <w:right w:val="none" w:sz="0" w:space="0" w:color="auto"/>
          </w:divBdr>
        </w:div>
      </w:divsChild>
    </w:div>
    <w:div w:id="1839928307">
      <w:bodyDiv w:val="1"/>
      <w:marLeft w:val="0"/>
      <w:marRight w:val="0"/>
      <w:marTop w:val="0"/>
      <w:marBottom w:val="0"/>
      <w:divBdr>
        <w:top w:val="none" w:sz="0" w:space="0" w:color="auto"/>
        <w:left w:val="none" w:sz="0" w:space="0" w:color="auto"/>
        <w:bottom w:val="none" w:sz="0" w:space="0" w:color="auto"/>
        <w:right w:val="none" w:sz="0" w:space="0" w:color="auto"/>
      </w:divBdr>
      <w:divsChild>
        <w:div w:id="981040700">
          <w:marLeft w:val="0"/>
          <w:marRight w:val="0"/>
          <w:marTop w:val="0"/>
          <w:marBottom w:val="0"/>
          <w:divBdr>
            <w:top w:val="none" w:sz="0" w:space="0" w:color="auto"/>
            <w:left w:val="none" w:sz="0" w:space="0" w:color="auto"/>
            <w:bottom w:val="none" w:sz="0" w:space="0" w:color="auto"/>
            <w:right w:val="none" w:sz="0" w:space="0" w:color="auto"/>
          </w:divBdr>
        </w:div>
      </w:divsChild>
    </w:div>
    <w:div w:id="1870796372">
      <w:bodyDiv w:val="1"/>
      <w:marLeft w:val="0"/>
      <w:marRight w:val="0"/>
      <w:marTop w:val="0"/>
      <w:marBottom w:val="0"/>
      <w:divBdr>
        <w:top w:val="none" w:sz="0" w:space="0" w:color="auto"/>
        <w:left w:val="none" w:sz="0" w:space="0" w:color="auto"/>
        <w:bottom w:val="none" w:sz="0" w:space="0" w:color="auto"/>
        <w:right w:val="none" w:sz="0" w:space="0" w:color="auto"/>
      </w:divBdr>
      <w:divsChild>
        <w:div w:id="841432618">
          <w:marLeft w:val="0"/>
          <w:marRight w:val="0"/>
          <w:marTop w:val="0"/>
          <w:marBottom w:val="0"/>
          <w:divBdr>
            <w:top w:val="none" w:sz="0" w:space="0" w:color="auto"/>
            <w:left w:val="none" w:sz="0" w:space="0" w:color="auto"/>
            <w:bottom w:val="none" w:sz="0" w:space="0" w:color="auto"/>
            <w:right w:val="none" w:sz="0" w:space="0" w:color="auto"/>
          </w:divBdr>
        </w:div>
      </w:divsChild>
    </w:div>
    <w:div w:id="1873222370">
      <w:bodyDiv w:val="1"/>
      <w:marLeft w:val="0"/>
      <w:marRight w:val="0"/>
      <w:marTop w:val="0"/>
      <w:marBottom w:val="0"/>
      <w:divBdr>
        <w:top w:val="none" w:sz="0" w:space="0" w:color="auto"/>
        <w:left w:val="none" w:sz="0" w:space="0" w:color="auto"/>
        <w:bottom w:val="none" w:sz="0" w:space="0" w:color="auto"/>
        <w:right w:val="none" w:sz="0" w:space="0" w:color="auto"/>
      </w:divBdr>
      <w:divsChild>
        <w:div w:id="1294864655">
          <w:marLeft w:val="0"/>
          <w:marRight w:val="0"/>
          <w:marTop w:val="0"/>
          <w:marBottom w:val="0"/>
          <w:divBdr>
            <w:top w:val="none" w:sz="0" w:space="0" w:color="auto"/>
            <w:left w:val="none" w:sz="0" w:space="0" w:color="auto"/>
            <w:bottom w:val="none" w:sz="0" w:space="0" w:color="auto"/>
            <w:right w:val="none" w:sz="0" w:space="0" w:color="auto"/>
          </w:divBdr>
        </w:div>
      </w:divsChild>
    </w:div>
    <w:div w:id="1952392424">
      <w:bodyDiv w:val="1"/>
      <w:marLeft w:val="0"/>
      <w:marRight w:val="0"/>
      <w:marTop w:val="0"/>
      <w:marBottom w:val="0"/>
      <w:divBdr>
        <w:top w:val="none" w:sz="0" w:space="0" w:color="auto"/>
        <w:left w:val="none" w:sz="0" w:space="0" w:color="auto"/>
        <w:bottom w:val="none" w:sz="0" w:space="0" w:color="auto"/>
        <w:right w:val="none" w:sz="0" w:space="0" w:color="auto"/>
      </w:divBdr>
      <w:divsChild>
        <w:div w:id="1028144305">
          <w:marLeft w:val="0"/>
          <w:marRight w:val="0"/>
          <w:marTop w:val="0"/>
          <w:marBottom w:val="0"/>
          <w:divBdr>
            <w:top w:val="none" w:sz="0" w:space="0" w:color="auto"/>
            <w:left w:val="none" w:sz="0" w:space="0" w:color="auto"/>
            <w:bottom w:val="none" w:sz="0" w:space="0" w:color="auto"/>
            <w:right w:val="none" w:sz="0" w:space="0" w:color="auto"/>
          </w:divBdr>
        </w:div>
      </w:divsChild>
    </w:div>
    <w:div w:id="1959292982">
      <w:bodyDiv w:val="1"/>
      <w:marLeft w:val="0"/>
      <w:marRight w:val="0"/>
      <w:marTop w:val="0"/>
      <w:marBottom w:val="0"/>
      <w:divBdr>
        <w:top w:val="none" w:sz="0" w:space="0" w:color="auto"/>
        <w:left w:val="none" w:sz="0" w:space="0" w:color="auto"/>
        <w:bottom w:val="none" w:sz="0" w:space="0" w:color="auto"/>
        <w:right w:val="none" w:sz="0" w:space="0" w:color="auto"/>
      </w:divBdr>
      <w:divsChild>
        <w:div w:id="415444251">
          <w:marLeft w:val="0"/>
          <w:marRight w:val="0"/>
          <w:marTop w:val="0"/>
          <w:marBottom w:val="0"/>
          <w:divBdr>
            <w:top w:val="none" w:sz="0" w:space="0" w:color="auto"/>
            <w:left w:val="none" w:sz="0" w:space="0" w:color="auto"/>
            <w:bottom w:val="none" w:sz="0" w:space="0" w:color="auto"/>
            <w:right w:val="none" w:sz="0" w:space="0" w:color="auto"/>
          </w:divBdr>
        </w:div>
      </w:divsChild>
    </w:div>
    <w:div w:id="1965960756">
      <w:bodyDiv w:val="1"/>
      <w:marLeft w:val="0"/>
      <w:marRight w:val="0"/>
      <w:marTop w:val="0"/>
      <w:marBottom w:val="0"/>
      <w:divBdr>
        <w:top w:val="none" w:sz="0" w:space="0" w:color="auto"/>
        <w:left w:val="none" w:sz="0" w:space="0" w:color="auto"/>
        <w:bottom w:val="none" w:sz="0" w:space="0" w:color="auto"/>
        <w:right w:val="none" w:sz="0" w:space="0" w:color="auto"/>
      </w:divBdr>
      <w:divsChild>
        <w:div w:id="781460869">
          <w:marLeft w:val="0"/>
          <w:marRight w:val="0"/>
          <w:marTop w:val="0"/>
          <w:marBottom w:val="0"/>
          <w:divBdr>
            <w:top w:val="none" w:sz="0" w:space="0" w:color="auto"/>
            <w:left w:val="none" w:sz="0" w:space="0" w:color="auto"/>
            <w:bottom w:val="none" w:sz="0" w:space="0" w:color="auto"/>
            <w:right w:val="none" w:sz="0" w:space="0" w:color="auto"/>
          </w:divBdr>
        </w:div>
      </w:divsChild>
    </w:div>
    <w:div w:id="1971351228">
      <w:bodyDiv w:val="1"/>
      <w:marLeft w:val="0"/>
      <w:marRight w:val="0"/>
      <w:marTop w:val="0"/>
      <w:marBottom w:val="0"/>
      <w:divBdr>
        <w:top w:val="none" w:sz="0" w:space="0" w:color="auto"/>
        <w:left w:val="none" w:sz="0" w:space="0" w:color="auto"/>
        <w:bottom w:val="none" w:sz="0" w:space="0" w:color="auto"/>
        <w:right w:val="none" w:sz="0" w:space="0" w:color="auto"/>
      </w:divBdr>
      <w:divsChild>
        <w:div w:id="1683164217">
          <w:marLeft w:val="0"/>
          <w:marRight w:val="0"/>
          <w:marTop w:val="0"/>
          <w:marBottom w:val="0"/>
          <w:divBdr>
            <w:top w:val="none" w:sz="0" w:space="0" w:color="auto"/>
            <w:left w:val="none" w:sz="0" w:space="0" w:color="auto"/>
            <w:bottom w:val="none" w:sz="0" w:space="0" w:color="auto"/>
            <w:right w:val="none" w:sz="0" w:space="0" w:color="auto"/>
          </w:divBdr>
        </w:div>
      </w:divsChild>
    </w:div>
    <w:div w:id="2034109770">
      <w:bodyDiv w:val="1"/>
      <w:marLeft w:val="0"/>
      <w:marRight w:val="0"/>
      <w:marTop w:val="0"/>
      <w:marBottom w:val="0"/>
      <w:divBdr>
        <w:top w:val="none" w:sz="0" w:space="0" w:color="auto"/>
        <w:left w:val="none" w:sz="0" w:space="0" w:color="auto"/>
        <w:bottom w:val="none" w:sz="0" w:space="0" w:color="auto"/>
        <w:right w:val="none" w:sz="0" w:space="0" w:color="auto"/>
      </w:divBdr>
      <w:divsChild>
        <w:div w:id="2093700115">
          <w:marLeft w:val="0"/>
          <w:marRight w:val="0"/>
          <w:marTop w:val="0"/>
          <w:marBottom w:val="0"/>
          <w:divBdr>
            <w:top w:val="none" w:sz="0" w:space="0" w:color="auto"/>
            <w:left w:val="none" w:sz="0" w:space="0" w:color="auto"/>
            <w:bottom w:val="none" w:sz="0" w:space="0" w:color="auto"/>
            <w:right w:val="none" w:sz="0" w:space="0" w:color="auto"/>
          </w:divBdr>
        </w:div>
      </w:divsChild>
    </w:div>
    <w:div w:id="2069525582">
      <w:bodyDiv w:val="1"/>
      <w:marLeft w:val="0"/>
      <w:marRight w:val="0"/>
      <w:marTop w:val="0"/>
      <w:marBottom w:val="0"/>
      <w:divBdr>
        <w:top w:val="none" w:sz="0" w:space="0" w:color="auto"/>
        <w:left w:val="none" w:sz="0" w:space="0" w:color="auto"/>
        <w:bottom w:val="none" w:sz="0" w:space="0" w:color="auto"/>
        <w:right w:val="none" w:sz="0" w:space="0" w:color="auto"/>
      </w:divBdr>
      <w:divsChild>
        <w:div w:id="1507983473">
          <w:marLeft w:val="0"/>
          <w:marRight w:val="0"/>
          <w:marTop w:val="0"/>
          <w:marBottom w:val="0"/>
          <w:divBdr>
            <w:top w:val="none" w:sz="0" w:space="0" w:color="auto"/>
            <w:left w:val="none" w:sz="0" w:space="0" w:color="auto"/>
            <w:bottom w:val="none" w:sz="0" w:space="0" w:color="auto"/>
            <w:right w:val="none" w:sz="0" w:space="0" w:color="auto"/>
          </w:divBdr>
        </w:div>
      </w:divsChild>
    </w:div>
    <w:div w:id="2080707309">
      <w:bodyDiv w:val="1"/>
      <w:marLeft w:val="0"/>
      <w:marRight w:val="0"/>
      <w:marTop w:val="0"/>
      <w:marBottom w:val="0"/>
      <w:divBdr>
        <w:top w:val="none" w:sz="0" w:space="0" w:color="auto"/>
        <w:left w:val="none" w:sz="0" w:space="0" w:color="auto"/>
        <w:bottom w:val="none" w:sz="0" w:space="0" w:color="auto"/>
        <w:right w:val="none" w:sz="0" w:space="0" w:color="auto"/>
      </w:divBdr>
      <w:divsChild>
        <w:div w:id="1894344694">
          <w:marLeft w:val="0"/>
          <w:marRight w:val="0"/>
          <w:marTop w:val="0"/>
          <w:marBottom w:val="0"/>
          <w:divBdr>
            <w:top w:val="none" w:sz="0" w:space="0" w:color="auto"/>
            <w:left w:val="none" w:sz="0" w:space="0" w:color="auto"/>
            <w:bottom w:val="none" w:sz="0" w:space="0" w:color="auto"/>
            <w:right w:val="none" w:sz="0" w:space="0" w:color="auto"/>
          </w:divBdr>
        </w:div>
      </w:divsChild>
    </w:div>
    <w:div w:id="2143380346">
      <w:bodyDiv w:val="1"/>
      <w:marLeft w:val="0"/>
      <w:marRight w:val="0"/>
      <w:marTop w:val="0"/>
      <w:marBottom w:val="0"/>
      <w:divBdr>
        <w:top w:val="none" w:sz="0" w:space="0" w:color="auto"/>
        <w:left w:val="none" w:sz="0" w:space="0" w:color="auto"/>
        <w:bottom w:val="none" w:sz="0" w:space="0" w:color="auto"/>
        <w:right w:val="none" w:sz="0" w:space="0" w:color="auto"/>
      </w:divBdr>
      <w:divsChild>
        <w:div w:id="292908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JMU.AC.UK\PFS\HS05G\Store03\HS214611\Davide\Research\alpha%20syn%20and%20Ng\For%20Figu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Depressed</c:v>
          </c:tx>
          <c:spPr>
            <a:ln w="25400" cap="rnd">
              <a:noFill/>
              <a:round/>
            </a:ln>
            <a:effectLst/>
          </c:spPr>
          <c:marker>
            <c:symbol val="circle"/>
            <c:size val="5"/>
            <c:spPr>
              <a:solidFill>
                <a:schemeClr val="tx1"/>
              </a:solidFill>
              <a:ln w="9525">
                <a:solidFill>
                  <a:schemeClr val="tx1"/>
                </a:solidFill>
              </a:ln>
              <a:effectLst/>
            </c:spPr>
          </c:marker>
          <c:trendline>
            <c:spPr>
              <a:ln w="38100" cap="rnd">
                <a:solidFill>
                  <a:schemeClr val="tx1"/>
                </a:solidFill>
                <a:prstDash val="solid"/>
              </a:ln>
              <a:effectLst/>
            </c:spPr>
            <c:trendlineType val="linear"/>
            <c:dispRSqr val="0"/>
            <c:dispEq val="0"/>
          </c:trendline>
          <c:xVal>
            <c:numRef>
              <c:f>Sheet1!$A$3:$A$66</c:f>
              <c:numCache>
                <c:formatCode>General</c:formatCode>
                <c:ptCount val="64"/>
                <c:pt idx="0">
                  <c:v>17</c:v>
                </c:pt>
                <c:pt idx="8">
                  <c:v>14.8</c:v>
                </c:pt>
                <c:pt idx="12">
                  <c:v>5.2</c:v>
                </c:pt>
                <c:pt idx="14">
                  <c:v>68</c:v>
                </c:pt>
                <c:pt idx="16">
                  <c:v>17.5</c:v>
                </c:pt>
                <c:pt idx="21">
                  <c:v>3.3</c:v>
                </c:pt>
                <c:pt idx="24">
                  <c:v>5</c:v>
                </c:pt>
                <c:pt idx="25">
                  <c:v>17.5</c:v>
                </c:pt>
                <c:pt idx="26">
                  <c:v>18.2</c:v>
                </c:pt>
                <c:pt idx="28">
                  <c:v>10.7</c:v>
                </c:pt>
                <c:pt idx="30">
                  <c:v>5</c:v>
                </c:pt>
                <c:pt idx="34">
                  <c:v>9.9</c:v>
                </c:pt>
                <c:pt idx="38">
                  <c:v>6.2</c:v>
                </c:pt>
                <c:pt idx="39">
                  <c:v>6.75</c:v>
                </c:pt>
                <c:pt idx="44">
                  <c:v>22.5</c:v>
                </c:pt>
                <c:pt idx="48">
                  <c:v>11.35</c:v>
                </c:pt>
                <c:pt idx="49">
                  <c:v>10.1</c:v>
                </c:pt>
                <c:pt idx="51">
                  <c:v>67.8</c:v>
                </c:pt>
                <c:pt idx="52">
                  <c:v>11.8</c:v>
                </c:pt>
                <c:pt idx="53">
                  <c:v>11</c:v>
                </c:pt>
                <c:pt idx="54">
                  <c:v>10.6</c:v>
                </c:pt>
                <c:pt idx="55">
                  <c:v>34.4</c:v>
                </c:pt>
                <c:pt idx="57">
                  <c:v>4</c:v>
                </c:pt>
                <c:pt idx="58">
                  <c:v>11</c:v>
                </c:pt>
                <c:pt idx="59">
                  <c:v>15.55</c:v>
                </c:pt>
                <c:pt idx="61">
                  <c:v>10.9</c:v>
                </c:pt>
                <c:pt idx="62">
                  <c:v>31.35</c:v>
                </c:pt>
                <c:pt idx="63">
                  <c:v>14.5</c:v>
                </c:pt>
              </c:numCache>
            </c:numRef>
          </c:xVal>
          <c:yVal>
            <c:numRef>
              <c:f>Sheet1!$B$3:$B$66</c:f>
              <c:numCache>
                <c:formatCode>General</c:formatCode>
                <c:ptCount val="64"/>
                <c:pt idx="0">
                  <c:v>191</c:v>
                </c:pt>
                <c:pt idx="8">
                  <c:v>39</c:v>
                </c:pt>
                <c:pt idx="12">
                  <c:v>39</c:v>
                </c:pt>
                <c:pt idx="14">
                  <c:v>464</c:v>
                </c:pt>
                <c:pt idx="16">
                  <c:v>40</c:v>
                </c:pt>
                <c:pt idx="21">
                  <c:v>39</c:v>
                </c:pt>
                <c:pt idx="24">
                  <c:v>119</c:v>
                </c:pt>
                <c:pt idx="25">
                  <c:v>39</c:v>
                </c:pt>
                <c:pt idx="26">
                  <c:v>166</c:v>
                </c:pt>
                <c:pt idx="28">
                  <c:v>198</c:v>
                </c:pt>
                <c:pt idx="30">
                  <c:v>39</c:v>
                </c:pt>
                <c:pt idx="34">
                  <c:v>39</c:v>
                </c:pt>
                <c:pt idx="38">
                  <c:v>39</c:v>
                </c:pt>
                <c:pt idx="39">
                  <c:v>39</c:v>
                </c:pt>
                <c:pt idx="44">
                  <c:v>107</c:v>
                </c:pt>
                <c:pt idx="48">
                  <c:v>39</c:v>
                </c:pt>
                <c:pt idx="49">
                  <c:v>39</c:v>
                </c:pt>
                <c:pt idx="51">
                  <c:v>486</c:v>
                </c:pt>
                <c:pt idx="52">
                  <c:v>39</c:v>
                </c:pt>
                <c:pt idx="53">
                  <c:v>39</c:v>
                </c:pt>
                <c:pt idx="54">
                  <c:v>39</c:v>
                </c:pt>
                <c:pt idx="55">
                  <c:v>39</c:v>
                </c:pt>
                <c:pt idx="57">
                  <c:v>39</c:v>
                </c:pt>
                <c:pt idx="58">
                  <c:v>39</c:v>
                </c:pt>
                <c:pt idx="59">
                  <c:v>39</c:v>
                </c:pt>
                <c:pt idx="61">
                  <c:v>39</c:v>
                </c:pt>
                <c:pt idx="62">
                  <c:v>39</c:v>
                </c:pt>
                <c:pt idx="63">
                  <c:v>296</c:v>
                </c:pt>
              </c:numCache>
            </c:numRef>
          </c:yVal>
          <c:smooth val="0"/>
          <c:extLst>
            <c:ext xmlns:c16="http://schemas.microsoft.com/office/drawing/2014/chart" uri="{C3380CC4-5D6E-409C-BE32-E72D297353CC}">
              <c16:uniqueId val="{00000000-4FFA-4CDA-98B0-B158363CE50D}"/>
            </c:ext>
          </c:extLst>
        </c:ser>
        <c:ser>
          <c:idx val="1"/>
          <c:order val="1"/>
          <c:tx>
            <c:v>Controls</c:v>
          </c:tx>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trendline>
            <c:spPr>
              <a:ln w="38100" cap="rnd">
                <a:solidFill>
                  <a:schemeClr val="bg1">
                    <a:lumMod val="50000"/>
                  </a:schemeClr>
                </a:solidFill>
                <a:prstDash val="sysDot"/>
              </a:ln>
              <a:effectLst/>
            </c:spPr>
            <c:trendlineType val="linear"/>
            <c:dispRSqr val="0"/>
            <c:dispEq val="0"/>
          </c:trendline>
          <c:xVal>
            <c:numRef>
              <c:f>Sheet1!$A$67:$A$120</c:f>
              <c:numCache>
                <c:formatCode>General</c:formatCode>
                <c:ptCount val="54"/>
                <c:pt idx="9">
                  <c:v>3.2</c:v>
                </c:pt>
                <c:pt idx="13">
                  <c:v>6</c:v>
                </c:pt>
                <c:pt idx="19">
                  <c:v>69.400000000000006</c:v>
                </c:pt>
                <c:pt idx="27">
                  <c:v>22.95</c:v>
                </c:pt>
                <c:pt idx="30">
                  <c:v>33.9</c:v>
                </c:pt>
                <c:pt idx="38">
                  <c:v>5.55</c:v>
                </c:pt>
                <c:pt idx="40">
                  <c:v>12.95</c:v>
                </c:pt>
                <c:pt idx="42">
                  <c:v>6.4</c:v>
                </c:pt>
                <c:pt idx="43">
                  <c:v>15.8</c:v>
                </c:pt>
                <c:pt idx="44">
                  <c:v>4</c:v>
                </c:pt>
                <c:pt idx="45">
                  <c:v>16.5</c:v>
                </c:pt>
                <c:pt idx="46">
                  <c:v>3.9</c:v>
                </c:pt>
                <c:pt idx="47">
                  <c:v>6.1</c:v>
                </c:pt>
                <c:pt idx="48">
                  <c:v>3</c:v>
                </c:pt>
                <c:pt idx="49">
                  <c:v>2.1</c:v>
                </c:pt>
                <c:pt idx="50">
                  <c:v>11.5</c:v>
                </c:pt>
                <c:pt idx="51">
                  <c:v>8.3000000000000007</c:v>
                </c:pt>
                <c:pt idx="52">
                  <c:v>7.8</c:v>
                </c:pt>
                <c:pt idx="53">
                  <c:v>29</c:v>
                </c:pt>
              </c:numCache>
            </c:numRef>
          </c:xVal>
          <c:yVal>
            <c:numRef>
              <c:f>Sheet1!$B$67:$B$120</c:f>
              <c:numCache>
                <c:formatCode>General</c:formatCode>
                <c:ptCount val="54"/>
                <c:pt idx="9">
                  <c:v>158</c:v>
                </c:pt>
                <c:pt idx="13">
                  <c:v>77</c:v>
                </c:pt>
                <c:pt idx="19">
                  <c:v>39</c:v>
                </c:pt>
                <c:pt idx="27">
                  <c:v>248</c:v>
                </c:pt>
                <c:pt idx="30">
                  <c:v>134</c:v>
                </c:pt>
                <c:pt idx="38">
                  <c:v>39</c:v>
                </c:pt>
                <c:pt idx="40">
                  <c:v>262</c:v>
                </c:pt>
                <c:pt idx="43">
                  <c:v>39</c:v>
                </c:pt>
                <c:pt idx="44">
                  <c:v>39</c:v>
                </c:pt>
                <c:pt idx="45">
                  <c:v>39</c:v>
                </c:pt>
                <c:pt idx="46">
                  <c:v>51</c:v>
                </c:pt>
                <c:pt idx="47">
                  <c:v>39</c:v>
                </c:pt>
                <c:pt idx="48">
                  <c:v>39</c:v>
                </c:pt>
                <c:pt idx="49">
                  <c:v>42</c:v>
                </c:pt>
                <c:pt idx="50">
                  <c:v>306</c:v>
                </c:pt>
                <c:pt idx="51">
                  <c:v>185</c:v>
                </c:pt>
                <c:pt idx="52">
                  <c:v>39</c:v>
                </c:pt>
                <c:pt idx="53">
                  <c:v>39</c:v>
                </c:pt>
              </c:numCache>
            </c:numRef>
          </c:yVal>
          <c:smooth val="0"/>
          <c:extLst>
            <c:ext xmlns:c16="http://schemas.microsoft.com/office/drawing/2014/chart" uri="{C3380CC4-5D6E-409C-BE32-E72D297353CC}">
              <c16:uniqueId val="{00000001-4FFA-4CDA-98B0-B158363CE50D}"/>
            </c:ext>
          </c:extLst>
        </c:ser>
        <c:dLbls>
          <c:showLegendKey val="0"/>
          <c:showVal val="0"/>
          <c:showCatName val="0"/>
          <c:showSerName val="0"/>
          <c:showPercent val="0"/>
          <c:showBubbleSize val="0"/>
        </c:dLbls>
        <c:axId val="517899120"/>
        <c:axId val="517903712"/>
      </c:scatterChart>
      <c:valAx>
        <c:axId val="517899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latin typeface="Times New Roman" panose="02020603050405020304" pitchFamily="18" charset="0"/>
                    <a:cs typeface="Times New Roman" panose="02020603050405020304" pitchFamily="18" charset="0"/>
                  </a:rPr>
                  <a:t>Alpha synuclein</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903712"/>
        <c:crosses val="autoZero"/>
        <c:crossBetween val="midCat"/>
      </c:valAx>
      <c:valAx>
        <c:axId val="517903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latin typeface="Times New Roman" panose="02020603050405020304" pitchFamily="18" charset="0"/>
                    <a:cs typeface="Times New Roman" panose="02020603050405020304" pitchFamily="18" charset="0"/>
                  </a:rPr>
                  <a:t>Neurogranin</a:t>
                </a:r>
              </a:p>
            </c:rich>
          </c:tx>
          <c:layout>
            <c:manualLayout>
              <c:xMode val="edge"/>
              <c:yMode val="edge"/>
              <c:x val="2.2222222222222223E-2"/>
              <c:y val="0.283105861767279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8991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F0ED3-8645-4C1F-ABEE-0BB86F71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3676</Words>
  <Characters>20694</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Wisconsin - Madison</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Davide</dc:creator>
  <cp:keywords/>
  <dc:description/>
  <cp:lastModifiedBy>Bruno, Davide</cp:lastModifiedBy>
  <cp:revision>2</cp:revision>
  <dcterms:created xsi:type="dcterms:W3CDTF">2020-03-09T10:44:00Z</dcterms:created>
  <dcterms:modified xsi:type="dcterms:W3CDTF">2020-03-09T10:44:00Z</dcterms:modified>
</cp:coreProperties>
</file>