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24" w:rsidRPr="00E1632D" w:rsidRDefault="00B85D24" w:rsidP="00E163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1632D">
        <w:rPr>
          <w:rFonts w:ascii="Times New Roman" w:hAnsi="Times New Roman" w:cs="Times New Roman"/>
          <w:sz w:val="24"/>
          <w:szCs w:val="24"/>
        </w:rPr>
        <w:t xml:space="preserve">Table 1: Forms of accountability reflected in sectoral evaluation of English Higher Education: drawing from </w:t>
      </w:r>
      <w:proofErr w:type="spellStart"/>
      <w:r w:rsidRPr="00E1632D">
        <w:rPr>
          <w:rFonts w:ascii="Times New Roman" w:hAnsi="Times New Roman" w:cs="Times New Roman"/>
          <w:sz w:val="24"/>
          <w:szCs w:val="24"/>
        </w:rPr>
        <w:t>Ranson’s</w:t>
      </w:r>
      <w:proofErr w:type="spellEnd"/>
      <w:r w:rsidRPr="00E1632D">
        <w:rPr>
          <w:rFonts w:ascii="Times New Roman" w:hAnsi="Times New Roman" w:cs="Times New Roman"/>
          <w:sz w:val="24"/>
          <w:szCs w:val="24"/>
        </w:rPr>
        <w:t xml:space="preserve"> typology, 2003: 463-464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1370"/>
        <w:gridCol w:w="1418"/>
        <w:gridCol w:w="3634"/>
      </w:tblGrid>
      <w:tr w:rsidR="00B85D24" w:rsidRPr="00E1632D" w:rsidTr="000366D2">
        <w:tc>
          <w:tcPr>
            <w:tcW w:w="22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Forms of accountability </w:t>
            </w:r>
          </w:p>
        </w:tc>
        <w:tc>
          <w:tcPr>
            <w:tcW w:w="1370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b/>
                <w:sz w:val="24"/>
                <w:szCs w:val="24"/>
              </w:rPr>
              <w:t>NSS/TEF</w:t>
            </w:r>
          </w:p>
        </w:tc>
        <w:tc>
          <w:tcPr>
            <w:tcW w:w="1418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</w:p>
        </w:tc>
        <w:tc>
          <w:tcPr>
            <w:tcW w:w="36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b/>
                <w:sz w:val="24"/>
                <w:szCs w:val="24"/>
              </w:rPr>
              <w:t>Commentary:</w:t>
            </w:r>
          </w:p>
        </w:tc>
      </w:tr>
      <w:tr w:rsidR="00B85D24" w:rsidRPr="00E1632D" w:rsidTr="000366D2">
        <w:tc>
          <w:tcPr>
            <w:tcW w:w="8656" w:type="dxa"/>
            <w:gridSpan w:val="4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i/>
                <w:sz w:val="24"/>
                <w:szCs w:val="24"/>
              </w:rPr>
              <w:t>Professional forms of accountability</w:t>
            </w:r>
          </w:p>
        </w:tc>
      </w:tr>
      <w:tr w:rsidR="00B85D24" w:rsidRPr="00E1632D" w:rsidTr="000366D2">
        <w:tc>
          <w:tcPr>
            <w:tcW w:w="22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Professional - based on professional judgement and using specialist knowledge as criterion</w:t>
            </w:r>
          </w:p>
        </w:tc>
        <w:tc>
          <w:tcPr>
            <w:tcW w:w="1370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  <w:tc>
          <w:tcPr>
            <w:tcW w:w="1418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</w:p>
        </w:tc>
        <w:tc>
          <w:tcPr>
            <w:tcW w:w="36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REF: Academic Peer review of research papers forms the most significant proportion of the review.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National Student Survey (NSS)/Teaching Excellence Framework (TEF): Evaluation is data-driven (student satisfact</w:t>
            </w:r>
            <w:bookmarkStart w:id="0" w:name="_GoBack"/>
            <w:bookmarkEnd w:id="0"/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ion data, employability data, and degree completion statistics).  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4" w:rsidRPr="00E1632D" w:rsidTr="000366D2">
        <w:tc>
          <w:tcPr>
            <w:tcW w:w="8656" w:type="dxa"/>
            <w:gridSpan w:val="4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i/>
                <w:sz w:val="24"/>
                <w:szCs w:val="24"/>
              </w:rPr>
              <w:t>Instrumental forms of accountability</w:t>
            </w:r>
          </w:p>
        </w:tc>
      </w:tr>
      <w:tr w:rsidR="00B85D24" w:rsidRPr="00E1632D" w:rsidTr="000366D2">
        <w:tc>
          <w:tcPr>
            <w:tcW w:w="22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Consumer - market competition, consumer responsiveness, consumer choice</w:t>
            </w:r>
          </w:p>
        </w:tc>
        <w:tc>
          <w:tcPr>
            <w:tcW w:w="1370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Medium 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REF: Stakeholder evaluation forms part of impact evaluation. Impact forms 20% component of overall rating and influences </w:t>
            </w:r>
            <w:proofErr w:type="spellStart"/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renumerative</w:t>
            </w:r>
            <w:proofErr w:type="spellEnd"/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 outcomes.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NSS/TEF: based largely on student ratings and student outcomes (in employment and degree outcome/completion).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4" w:rsidRPr="00E1632D" w:rsidTr="000366D2">
        <w:tc>
          <w:tcPr>
            <w:tcW w:w="22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Contract - competitive tendering, service efficiency, technical efficiency</w:t>
            </w:r>
          </w:p>
        </w:tc>
        <w:tc>
          <w:tcPr>
            <w:tcW w:w="1370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Low-Medium 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REF: Ratings inform funding allocations in sectoral funding model.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NSS/TEF: Proposed link between TEF ratings and ability to charge higher fees is delayed until 2020.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4" w:rsidRPr="00E1632D" w:rsidTr="000366D2">
        <w:tc>
          <w:tcPr>
            <w:tcW w:w="22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Performative - public inspection, product quality, national standards and targets)</w:t>
            </w:r>
          </w:p>
        </w:tc>
        <w:tc>
          <w:tcPr>
            <w:tcW w:w="1370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Low-medium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Low-medium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REF: 6-yearly evaluations shaped by broad criteria of originality, rigour and significance as informed by review panels (peer review). 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TEF: 3-yearly evaluation cycle informed by annual student satisfaction and employability data.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4" w:rsidRPr="00E1632D" w:rsidTr="000366D2">
        <w:tc>
          <w:tcPr>
            <w:tcW w:w="22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Corporate - business plan, control infrastructure, profitability</w:t>
            </w:r>
          </w:p>
        </w:tc>
        <w:tc>
          <w:tcPr>
            <w:tcW w:w="1370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Medium 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>REF: Evaluation based on discipline units of evaluation.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2D">
              <w:rPr>
                <w:rFonts w:ascii="Times New Roman" w:hAnsi="Times New Roman" w:cs="Times New Roman"/>
                <w:sz w:val="24"/>
                <w:szCs w:val="24"/>
              </w:rPr>
              <w:t xml:space="preserve">NSS/TEF: Evaluation is more centralised and based on data </w:t>
            </w:r>
            <w:r w:rsidRPr="00E1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collected at the organisational level. </w:t>
            </w:r>
          </w:p>
          <w:p w:rsidR="00B85D24" w:rsidRPr="00E1632D" w:rsidRDefault="00B85D24" w:rsidP="00E1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D24" w:rsidRPr="00E1632D" w:rsidRDefault="00B85D24" w:rsidP="00E163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7F3B" w:rsidRPr="00E1632D" w:rsidRDefault="00C67F3B" w:rsidP="00E1632D">
      <w:pPr>
        <w:rPr>
          <w:rFonts w:ascii="Times New Roman" w:hAnsi="Times New Roman" w:cs="Times New Roman"/>
          <w:sz w:val="24"/>
          <w:szCs w:val="24"/>
        </w:rPr>
      </w:pPr>
    </w:p>
    <w:sectPr w:rsidR="00C67F3B" w:rsidRPr="00E1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24"/>
    <w:rsid w:val="000F723C"/>
    <w:rsid w:val="00B85D24"/>
    <w:rsid w:val="00C67F3B"/>
    <w:rsid w:val="00E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369CD-76A6-433E-A456-C359FE14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D24"/>
    <w:pPr>
      <w:ind w:left="720"/>
      <w:contextualSpacing/>
    </w:pPr>
  </w:style>
  <w:style w:type="table" w:styleId="TableGrid">
    <w:name w:val="Table Grid"/>
    <w:basedOn w:val="TableNormal"/>
    <w:uiPriority w:val="39"/>
    <w:rsid w:val="00B8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3</cp:revision>
  <dcterms:created xsi:type="dcterms:W3CDTF">2019-06-10T15:32:00Z</dcterms:created>
  <dcterms:modified xsi:type="dcterms:W3CDTF">2019-06-21T10:36:00Z</dcterms:modified>
</cp:coreProperties>
</file>