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11CD" w14:textId="56D73433" w:rsidR="000E7058" w:rsidRDefault="000E7058" w:rsidP="00B03A8F">
      <w:pPr>
        <w:spacing w:after="100" w:afterAutospacing="1"/>
        <w:jc w:val="left"/>
        <w:rPr>
          <w:szCs w:val="24"/>
          <w:lang w:val="en-GB"/>
        </w:rPr>
      </w:pPr>
      <w:bookmarkStart w:id="0" w:name="_GoBack"/>
      <w:bookmarkEnd w:id="0"/>
      <w:r>
        <w:rPr>
          <w:szCs w:val="24"/>
          <w:lang w:val="en-GB"/>
        </w:rPr>
        <w:t xml:space="preserve">Table 1: </w:t>
      </w:r>
      <w:r w:rsidR="00B30FAD" w:rsidRPr="00B30FAD">
        <w:rPr>
          <w:szCs w:val="24"/>
          <w:lang w:val="en-GB"/>
        </w:rPr>
        <w:t>Description of notification system of the bespoke questions</w:t>
      </w:r>
    </w:p>
    <w:p w14:paraId="0D8100F9" w14:textId="36C7C0ED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T</w:t>
      </w:r>
      <w:r>
        <w:rPr>
          <w:szCs w:val="24"/>
          <w:lang w:val="en-GB"/>
        </w:rPr>
        <w:t xml:space="preserve">able </w:t>
      </w:r>
      <w:r w:rsidR="000E7058">
        <w:rPr>
          <w:szCs w:val="24"/>
          <w:lang w:val="en-GB"/>
        </w:rPr>
        <w:t>2</w:t>
      </w:r>
      <w:r>
        <w:rPr>
          <w:szCs w:val="24"/>
          <w:lang w:val="en-GB"/>
        </w:rPr>
        <w:t>: Baseline characteristics of participants (n=13)</w:t>
      </w:r>
    </w:p>
    <w:p w14:paraId="290F0403" w14:textId="5175202A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T</w:t>
      </w:r>
      <w:r>
        <w:rPr>
          <w:szCs w:val="24"/>
          <w:lang w:val="en-GB"/>
        </w:rPr>
        <w:t xml:space="preserve">able </w:t>
      </w:r>
      <w:r w:rsidR="000E7058">
        <w:rPr>
          <w:szCs w:val="24"/>
          <w:lang w:val="en-GB"/>
        </w:rPr>
        <w:t>3</w:t>
      </w:r>
      <w:r>
        <w:rPr>
          <w:szCs w:val="24"/>
          <w:lang w:val="en-GB"/>
        </w:rPr>
        <w:t>: Median values for each variable over time</w:t>
      </w:r>
    </w:p>
    <w:p w14:paraId="59A74D99" w14:textId="77777777" w:rsidR="00137EF3" w:rsidRPr="006E30C3" w:rsidRDefault="00137EF3" w:rsidP="00137EF3">
      <w:pPr>
        <w:spacing w:after="100" w:afterAutospacing="1"/>
        <w:jc w:val="left"/>
        <w:rPr>
          <w:rFonts w:cs="Calibri"/>
          <w:szCs w:val="24"/>
        </w:rPr>
      </w:pPr>
      <w:r>
        <w:rPr>
          <w:rFonts w:cs="Calibri"/>
          <w:szCs w:val="24"/>
          <w:lang w:val="en-GB"/>
        </w:rPr>
        <w:t xml:space="preserve">Table 4: Results for Wilcoxon tests </w:t>
      </w:r>
    </w:p>
    <w:p w14:paraId="4019B05F" w14:textId="734B636A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Table </w:t>
      </w:r>
      <w:r w:rsidR="00137EF3">
        <w:rPr>
          <w:szCs w:val="24"/>
          <w:lang w:val="en-GB"/>
        </w:rPr>
        <w:t>5</w:t>
      </w:r>
      <w:r>
        <w:rPr>
          <w:szCs w:val="24"/>
          <w:lang w:val="en-GB"/>
        </w:rPr>
        <w:t xml:space="preserve">: </w:t>
      </w:r>
      <w:r w:rsidR="006D4C26">
        <w:rPr>
          <w:szCs w:val="24"/>
          <w:lang w:val="en-GB"/>
        </w:rPr>
        <w:t xml:space="preserve">Intervention category during </w:t>
      </w:r>
      <w:r w:rsidR="006D4C26">
        <w:rPr>
          <w:rFonts w:hint="eastAsia"/>
          <w:szCs w:val="24"/>
          <w:lang w:val="en-GB"/>
        </w:rPr>
        <w:t>24</w:t>
      </w:r>
      <w:r>
        <w:rPr>
          <w:szCs w:val="24"/>
          <w:lang w:val="en-GB"/>
        </w:rPr>
        <w:t>-</w:t>
      </w:r>
      <w:r w:rsidR="006D4C26">
        <w:rPr>
          <w:rFonts w:hint="eastAsia"/>
          <w:szCs w:val="24"/>
          <w:lang w:val="en-GB"/>
        </w:rPr>
        <w:t>week</w:t>
      </w:r>
      <w:r>
        <w:rPr>
          <w:szCs w:val="24"/>
          <w:lang w:val="en-GB"/>
        </w:rPr>
        <w:t xml:space="preserve"> trial</w:t>
      </w:r>
    </w:p>
    <w:p w14:paraId="348FF8B7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7DD45D6D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57110ACB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77F25776" w14:textId="53C07DBE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1AA4C049" w14:textId="77777777" w:rsidR="00545EF6" w:rsidRDefault="00545EF6" w:rsidP="00B03A8F">
      <w:pPr>
        <w:spacing w:after="100" w:afterAutospacing="1"/>
        <w:jc w:val="left"/>
        <w:rPr>
          <w:szCs w:val="24"/>
          <w:lang w:val="en-GB"/>
        </w:rPr>
      </w:pPr>
    </w:p>
    <w:p w14:paraId="27124F8B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04823CC6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13623107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38FF9CC1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412D6F54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0714D3D8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450FAF47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05C41E46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4FCA10FC" w14:textId="77777777" w:rsidR="0056062C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15FA7E2C" w14:textId="77777777" w:rsidR="0056062C" w:rsidRPr="000D0D9A" w:rsidRDefault="0056062C" w:rsidP="00B03A8F">
      <w:pPr>
        <w:spacing w:after="100" w:afterAutospacing="1"/>
        <w:jc w:val="left"/>
        <w:rPr>
          <w:szCs w:val="24"/>
          <w:lang w:val="en-GB"/>
        </w:rPr>
      </w:pPr>
    </w:p>
    <w:p w14:paraId="5EFD3E2D" w14:textId="77777777" w:rsidR="0056062C" w:rsidRDefault="0056062C" w:rsidP="00025F4B">
      <w:pPr>
        <w:rPr>
          <w:szCs w:val="24"/>
          <w:lang w:val="en-GB"/>
        </w:rPr>
      </w:pPr>
    </w:p>
    <w:p w14:paraId="34471FE9" w14:textId="77777777" w:rsidR="00626C2A" w:rsidRDefault="00626C2A" w:rsidP="00025F4B">
      <w:pPr>
        <w:rPr>
          <w:szCs w:val="24"/>
          <w:lang w:val="en-GB"/>
        </w:rPr>
      </w:pPr>
    </w:p>
    <w:p w14:paraId="27A00623" w14:textId="77777777" w:rsidR="0056062C" w:rsidRDefault="0056062C" w:rsidP="00025F4B">
      <w:pPr>
        <w:rPr>
          <w:szCs w:val="24"/>
          <w:lang w:val="en-GB"/>
        </w:rPr>
      </w:pPr>
    </w:p>
    <w:p w14:paraId="4118340C" w14:textId="77777777" w:rsidR="0056062C" w:rsidRDefault="0056062C" w:rsidP="00025F4B">
      <w:pPr>
        <w:rPr>
          <w:szCs w:val="24"/>
          <w:lang w:val="en-GB"/>
        </w:rPr>
      </w:pPr>
    </w:p>
    <w:p w14:paraId="58918733" w14:textId="77777777" w:rsidR="0056062C" w:rsidRDefault="0056062C" w:rsidP="00025F4B">
      <w:pPr>
        <w:rPr>
          <w:szCs w:val="24"/>
          <w:lang w:val="en-GB"/>
        </w:rPr>
      </w:pPr>
    </w:p>
    <w:p w14:paraId="61FC9D5F" w14:textId="77777777" w:rsidR="0056062C" w:rsidRDefault="0056062C" w:rsidP="00025F4B">
      <w:pPr>
        <w:rPr>
          <w:szCs w:val="24"/>
          <w:lang w:val="en-GB"/>
        </w:rPr>
      </w:pPr>
    </w:p>
    <w:p w14:paraId="332E2A4B" w14:textId="6E9AE570" w:rsidR="0056062C" w:rsidRDefault="0056062C" w:rsidP="00025F4B">
      <w:pPr>
        <w:rPr>
          <w:szCs w:val="24"/>
          <w:lang w:val="en-GB"/>
        </w:rPr>
      </w:pPr>
    </w:p>
    <w:p w14:paraId="4760FE4F" w14:textId="6F090A04" w:rsidR="000E7058" w:rsidRDefault="000E7058" w:rsidP="00025F4B">
      <w:pPr>
        <w:rPr>
          <w:szCs w:val="24"/>
          <w:lang w:val="en-GB"/>
        </w:rPr>
      </w:pPr>
    </w:p>
    <w:tbl>
      <w:tblPr>
        <w:tblStyle w:val="ListTable1Light"/>
        <w:tblW w:w="0" w:type="auto"/>
        <w:tblLook w:val="06A0" w:firstRow="1" w:lastRow="0" w:firstColumn="1" w:lastColumn="0" w:noHBand="1" w:noVBand="1"/>
      </w:tblPr>
      <w:tblGrid>
        <w:gridCol w:w="1792"/>
        <w:gridCol w:w="4862"/>
        <w:gridCol w:w="2372"/>
      </w:tblGrid>
      <w:tr w:rsidR="000E7058" w14:paraId="19682DBE" w14:textId="736F2E0D" w:rsidTr="00E56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bottom w:val="single" w:sz="4" w:space="0" w:color="auto"/>
            </w:tcBorders>
          </w:tcPr>
          <w:p w14:paraId="015AF4A6" w14:textId="2260C025" w:rsidR="000E7058" w:rsidRPr="000E7058" w:rsidRDefault="000E7058" w:rsidP="000E7058">
            <w:pPr>
              <w:jc w:val="left"/>
              <w:rPr>
                <w:b w:val="0"/>
                <w:szCs w:val="24"/>
                <w:lang w:val="en-GB"/>
              </w:rPr>
            </w:pPr>
            <w:r w:rsidRPr="000E7058">
              <w:rPr>
                <w:b w:val="0"/>
                <w:szCs w:val="24"/>
                <w:lang w:val="en-GB"/>
              </w:rPr>
              <w:lastRenderedPageBreak/>
              <w:t xml:space="preserve">Table 1: </w:t>
            </w:r>
            <w:r w:rsidR="0047607B">
              <w:rPr>
                <w:b w:val="0"/>
                <w:szCs w:val="24"/>
                <w:lang w:val="en-GB"/>
              </w:rPr>
              <w:t>Description of notification system of the bespo</w:t>
            </w:r>
            <w:r w:rsidR="00B30FAD">
              <w:rPr>
                <w:b w:val="0"/>
                <w:szCs w:val="24"/>
                <w:lang w:val="en-GB"/>
              </w:rPr>
              <w:t>k</w:t>
            </w:r>
            <w:r w:rsidR="0047607B">
              <w:rPr>
                <w:b w:val="0"/>
                <w:szCs w:val="24"/>
                <w:lang w:val="en-GB"/>
              </w:rPr>
              <w:t>e questions</w:t>
            </w:r>
          </w:p>
        </w:tc>
      </w:tr>
      <w:tr w:rsidR="000E7058" w:rsidRPr="000E7058" w14:paraId="3EEB2716" w14:textId="77777777" w:rsidTr="006E3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BEDE771" w14:textId="7E47F2F5" w:rsidR="000E7058" w:rsidRPr="000E7058" w:rsidRDefault="000E7058" w:rsidP="000E7058">
            <w:pPr>
              <w:jc w:val="center"/>
              <w:rPr>
                <w:szCs w:val="24"/>
                <w:lang w:val="en-GB"/>
              </w:rPr>
            </w:pPr>
            <w:r w:rsidRPr="000E7058">
              <w:rPr>
                <w:szCs w:val="24"/>
                <w:lang w:val="en-GB"/>
              </w:rPr>
              <w:t>Notification types</w:t>
            </w:r>
          </w:p>
        </w:tc>
        <w:tc>
          <w:tcPr>
            <w:tcW w:w="5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D4A4AF" w14:textId="5E645E78" w:rsidR="000E7058" w:rsidRPr="000E7058" w:rsidRDefault="000E7058" w:rsidP="000E7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en-GB"/>
              </w:rPr>
            </w:pPr>
            <w:r w:rsidRPr="000E7058">
              <w:rPr>
                <w:b/>
                <w:szCs w:val="24"/>
                <w:lang w:val="en-GB"/>
              </w:rPr>
              <w:t>Definitions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8BE7DC0" w14:textId="481E7081" w:rsidR="000E7058" w:rsidRPr="000E7058" w:rsidRDefault="000E7058" w:rsidP="000E7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en-GB"/>
              </w:rPr>
            </w:pPr>
            <w:r w:rsidRPr="000E7058">
              <w:rPr>
                <w:b/>
                <w:szCs w:val="24"/>
                <w:lang w:val="en-GB"/>
              </w:rPr>
              <w:t>Interventions</w:t>
            </w:r>
          </w:p>
        </w:tc>
      </w:tr>
      <w:tr w:rsidR="000E7058" w14:paraId="10E483B0" w14:textId="2DB4E156" w:rsidTr="000E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</w:tcPr>
          <w:p w14:paraId="4CAF96A9" w14:textId="2F728F2B" w:rsidR="000E7058" w:rsidRDefault="000E7058" w:rsidP="000E7058">
            <w:pPr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High priority notifications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14:paraId="544D2ADF" w14:textId="40D078E7" w:rsidR="000E7058" w:rsidRDefault="000E7058" w:rsidP="000E70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Generated for symptoms indicative of hypoventilation, NIV related issues, clearing chest issue, acute respiratory events, swallowing issues, and unmet care needs. </w:t>
            </w:r>
          </w:p>
          <w:p w14:paraId="07339F10" w14:textId="54838333" w:rsidR="000E7058" w:rsidRDefault="000E7058" w:rsidP="000E70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6269D385" w14:textId="04A8E532" w:rsidR="000E7058" w:rsidRDefault="003637C4" w:rsidP="000E70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</w:t>
            </w:r>
            <w:r w:rsidR="003D6E32">
              <w:rPr>
                <w:szCs w:val="24"/>
                <w:lang w:val="en-GB"/>
              </w:rPr>
              <w:t>ssessments</w:t>
            </w:r>
            <w:r w:rsidR="000E7058">
              <w:rPr>
                <w:szCs w:val="24"/>
                <w:lang w:val="en-GB"/>
              </w:rPr>
              <w:t xml:space="preserve"> by clinical team</w:t>
            </w:r>
            <w:r w:rsidR="005C2174">
              <w:rPr>
                <w:szCs w:val="24"/>
                <w:lang w:val="en-GB"/>
              </w:rPr>
              <w:t>, triggering follow-up intervention as required.</w:t>
            </w:r>
            <w:r w:rsidR="0047607B">
              <w:rPr>
                <w:szCs w:val="24"/>
                <w:lang w:val="en-GB"/>
              </w:rPr>
              <w:t xml:space="preserve"> </w:t>
            </w:r>
          </w:p>
        </w:tc>
      </w:tr>
      <w:tr w:rsidR="000E7058" w14:paraId="24B2A99C" w14:textId="0EE48879" w:rsidTr="000E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auto"/>
            </w:tcBorders>
          </w:tcPr>
          <w:p w14:paraId="299CBFC5" w14:textId="79DAC4CF" w:rsidR="000E7058" w:rsidRDefault="000E7058" w:rsidP="000E7058">
            <w:pPr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Low priority notifications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7D75B151" w14:textId="2F50B64D" w:rsidR="000E7058" w:rsidRDefault="000E7058" w:rsidP="000E70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Generated for symptoms indicative of general deterioration that are not acute.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7207EF1" w14:textId="1AC9CC11" w:rsidR="000E7058" w:rsidRDefault="003637C4" w:rsidP="000E70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Further m</w:t>
            </w:r>
            <w:r w:rsidR="000E7058">
              <w:rPr>
                <w:szCs w:val="24"/>
                <w:lang w:val="en-GB"/>
              </w:rPr>
              <w:t>onitoring</w:t>
            </w:r>
            <w:r w:rsidR="00D60E9B">
              <w:rPr>
                <w:szCs w:val="24"/>
                <w:lang w:val="en-GB"/>
              </w:rPr>
              <w:t>.</w:t>
            </w:r>
          </w:p>
        </w:tc>
      </w:tr>
    </w:tbl>
    <w:p w14:paraId="48D23C2E" w14:textId="445B8CF3" w:rsidR="000E7058" w:rsidRDefault="000E7058" w:rsidP="00025F4B">
      <w:pPr>
        <w:rPr>
          <w:szCs w:val="24"/>
          <w:lang w:val="en-GB"/>
        </w:rPr>
      </w:pPr>
    </w:p>
    <w:p w14:paraId="073B10C3" w14:textId="7FFEAB14" w:rsidR="000E7058" w:rsidRDefault="000E7058" w:rsidP="00025F4B">
      <w:pPr>
        <w:rPr>
          <w:szCs w:val="24"/>
          <w:lang w:val="en-GB"/>
        </w:rPr>
      </w:pPr>
    </w:p>
    <w:p w14:paraId="67F61ED7" w14:textId="116AFE6C" w:rsidR="000E7058" w:rsidRDefault="000E7058" w:rsidP="00025F4B">
      <w:pPr>
        <w:rPr>
          <w:szCs w:val="24"/>
          <w:lang w:val="en-GB"/>
        </w:rPr>
      </w:pPr>
    </w:p>
    <w:p w14:paraId="50AF2DE1" w14:textId="6B7FF6DD" w:rsidR="000122EA" w:rsidRDefault="000122EA" w:rsidP="00025F4B">
      <w:pPr>
        <w:rPr>
          <w:szCs w:val="24"/>
          <w:lang w:val="en-GB"/>
        </w:rPr>
      </w:pPr>
    </w:p>
    <w:p w14:paraId="272E6C3B" w14:textId="3AFAD54C" w:rsidR="000122EA" w:rsidRDefault="000122EA" w:rsidP="00025F4B">
      <w:pPr>
        <w:rPr>
          <w:szCs w:val="24"/>
          <w:lang w:val="en-GB"/>
        </w:rPr>
      </w:pPr>
    </w:p>
    <w:p w14:paraId="43D5917C" w14:textId="733B29D2" w:rsidR="000122EA" w:rsidRDefault="000122EA" w:rsidP="00025F4B">
      <w:pPr>
        <w:rPr>
          <w:szCs w:val="24"/>
          <w:lang w:val="en-GB"/>
        </w:rPr>
      </w:pPr>
    </w:p>
    <w:p w14:paraId="3FC04D15" w14:textId="4F59F8C4" w:rsidR="000122EA" w:rsidRDefault="000122EA" w:rsidP="00025F4B">
      <w:pPr>
        <w:rPr>
          <w:szCs w:val="24"/>
          <w:lang w:val="en-GB"/>
        </w:rPr>
      </w:pPr>
    </w:p>
    <w:p w14:paraId="49A964BF" w14:textId="028AE2A9" w:rsidR="000122EA" w:rsidRDefault="000122EA" w:rsidP="00025F4B">
      <w:pPr>
        <w:rPr>
          <w:szCs w:val="24"/>
          <w:lang w:val="en-GB"/>
        </w:rPr>
      </w:pPr>
    </w:p>
    <w:p w14:paraId="252616C2" w14:textId="4143CE25" w:rsidR="000122EA" w:rsidRDefault="000122EA" w:rsidP="00025F4B">
      <w:pPr>
        <w:rPr>
          <w:szCs w:val="24"/>
          <w:lang w:val="en-GB"/>
        </w:rPr>
      </w:pPr>
    </w:p>
    <w:p w14:paraId="61483EBA" w14:textId="2B9B44E1" w:rsidR="000122EA" w:rsidRDefault="000122EA" w:rsidP="00025F4B">
      <w:pPr>
        <w:rPr>
          <w:szCs w:val="24"/>
          <w:lang w:val="en-GB"/>
        </w:rPr>
      </w:pPr>
    </w:p>
    <w:p w14:paraId="7EAE475F" w14:textId="7EF50D55" w:rsidR="000122EA" w:rsidRDefault="000122EA" w:rsidP="00025F4B">
      <w:pPr>
        <w:rPr>
          <w:szCs w:val="24"/>
          <w:lang w:val="en-GB"/>
        </w:rPr>
      </w:pPr>
    </w:p>
    <w:p w14:paraId="1A0D5F9B" w14:textId="0E197C2D" w:rsidR="000122EA" w:rsidRDefault="000122EA" w:rsidP="00025F4B">
      <w:pPr>
        <w:rPr>
          <w:szCs w:val="24"/>
          <w:lang w:val="en-GB"/>
        </w:rPr>
      </w:pPr>
    </w:p>
    <w:p w14:paraId="02BD8D0A" w14:textId="3CD85F12" w:rsidR="000122EA" w:rsidRDefault="000122EA" w:rsidP="00025F4B">
      <w:pPr>
        <w:rPr>
          <w:szCs w:val="24"/>
          <w:lang w:val="en-GB"/>
        </w:rPr>
      </w:pPr>
    </w:p>
    <w:p w14:paraId="53C41659" w14:textId="249A38E3" w:rsidR="000122EA" w:rsidRDefault="000122EA" w:rsidP="00025F4B">
      <w:pPr>
        <w:rPr>
          <w:szCs w:val="24"/>
          <w:lang w:val="en-GB"/>
        </w:rPr>
      </w:pPr>
    </w:p>
    <w:p w14:paraId="4B852D2A" w14:textId="4F226FC9" w:rsidR="000122EA" w:rsidRDefault="000122EA" w:rsidP="00025F4B">
      <w:pPr>
        <w:rPr>
          <w:szCs w:val="24"/>
          <w:lang w:val="en-GB"/>
        </w:rPr>
      </w:pPr>
    </w:p>
    <w:p w14:paraId="77274F74" w14:textId="3A200263" w:rsidR="000122EA" w:rsidRDefault="000122EA" w:rsidP="00025F4B">
      <w:pPr>
        <w:rPr>
          <w:szCs w:val="24"/>
          <w:lang w:val="en-GB"/>
        </w:rPr>
      </w:pPr>
    </w:p>
    <w:p w14:paraId="79086382" w14:textId="51DE605F" w:rsidR="000122EA" w:rsidRDefault="000122EA" w:rsidP="00025F4B">
      <w:pPr>
        <w:rPr>
          <w:szCs w:val="24"/>
          <w:lang w:val="en-GB"/>
        </w:rPr>
      </w:pPr>
    </w:p>
    <w:p w14:paraId="5B23F6F3" w14:textId="0DC5AB56" w:rsidR="000122EA" w:rsidRDefault="000122EA" w:rsidP="00025F4B">
      <w:pPr>
        <w:rPr>
          <w:szCs w:val="24"/>
          <w:lang w:val="en-GB"/>
        </w:rPr>
      </w:pPr>
    </w:p>
    <w:p w14:paraId="734ABAA9" w14:textId="14E7DCFC" w:rsidR="000122EA" w:rsidRDefault="000122EA" w:rsidP="00025F4B">
      <w:pPr>
        <w:rPr>
          <w:szCs w:val="24"/>
          <w:lang w:val="en-GB"/>
        </w:rPr>
      </w:pPr>
    </w:p>
    <w:p w14:paraId="1E155F21" w14:textId="34EF3594" w:rsidR="000122EA" w:rsidRDefault="000122EA" w:rsidP="00025F4B">
      <w:pPr>
        <w:rPr>
          <w:szCs w:val="24"/>
          <w:lang w:val="en-GB"/>
        </w:rPr>
      </w:pPr>
    </w:p>
    <w:p w14:paraId="57E73845" w14:textId="5C66902C" w:rsidR="000122EA" w:rsidRDefault="000122EA" w:rsidP="00025F4B">
      <w:pPr>
        <w:rPr>
          <w:szCs w:val="24"/>
          <w:lang w:val="en-GB"/>
        </w:rPr>
      </w:pPr>
    </w:p>
    <w:p w14:paraId="65B5D168" w14:textId="1A3E23C8" w:rsidR="000122EA" w:rsidRDefault="000122EA" w:rsidP="00025F4B">
      <w:pPr>
        <w:rPr>
          <w:szCs w:val="24"/>
          <w:lang w:val="en-GB"/>
        </w:rPr>
      </w:pPr>
    </w:p>
    <w:p w14:paraId="5CEF7C3B" w14:textId="6A7DD5B2" w:rsidR="00B30FAD" w:rsidRDefault="00B30FAD" w:rsidP="00025F4B">
      <w:pPr>
        <w:rPr>
          <w:szCs w:val="24"/>
          <w:lang w:val="en-GB"/>
        </w:rPr>
      </w:pPr>
    </w:p>
    <w:p w14:paraId="787C0DF0" w14:textId="77777777" w:rsidR="00B30FAD" w:rsidRDefault="00B30FAD" w:rsidP="00025F4B">
      <w:pPr>
        <w:rPr>
          <w:szCs w:val="24"/>
          <w:lang w:val="en-GB"/>
        </w:rPr>
      </w:pPr>
    </w:p>
    <w:p w14:paraId="36458BCD" w14:textId="251106E6" w:rsidR="000122EA" w:rsidRDefault="000122EA" w:rsidP="00025F4B">
      <w:pPr>
        <w:rPr>
          <w:szCs w:val="24"/>
          <w:lang w:val="en-GB"/>
        </w:rPr>
      </w:pPr>
    </w:p>
    <w:p w14:paraId="19426DB7" w14:textId="2477B5E3" w:rsidR="000122EA" w:rsidRDefault="000122EA" w:rsidP="00025F4B">
      <w:pPr>
        <w:rPr>
          <w:szCs w:val="24"/>
          <w:lang w:val="en-GB"/>
        </w:rPr>
      </w:pPr>
    </w:p>
    <w:p w14:paraId="1F8985FB" w14:textId="79E5B0B7" w:rsidR="000122EA" w:rsidRDefault="000122EA" w:rsidP="00025F4B">
      <w:pPr>
        <w:rPr>
          <w:szCs w:val="24"/>
          <w:lang w:val="en-GB"/>
        </w:rPr>
      </w:pPr>
    </w:p>
    <w:p w14:paraId="7BB96812" w14:textId="12DA63AB" w:rsidR="000122EA" w:rsidRDefault="000122EA" w:rsidP="00025F4B">
      <w:pPr>
        <w:rPr>
          <w:szCs w:val="24"/>
          <w:lang w:val="en-GB"/>
        </w:rPr>
      </w:pPr>
    </w:p>
    <w:p w14:paraId="5F2E449A" w14:textId="0D0AAB9A" w:rsidR="000122EA" w:rsidRDefault="000122EA" w:rsidP="00025F4B">
      <w:pPr>
        <w:rPr>
          <w:szCs w:val="24"/>
          <w:lang w:val="en-GB"/>
        </w:rPr>
      </w:pPr>
    </w:p>
    <w:p w14:paraId="6D65FCBF" w14:textId="7C9E285D" w:rsidR="000122EA" w:rsidRDefault="000122EA" w:rsidP="00025F4B">
      <w:pPr>
        <w:rPr>
          <w:szCs w:val="24"/>
          <w:lang w:val="en-GB"/>
        </w:rPr>
      </w:pPr>
    </w:p>
    <w:p w14:paraId="5A7F7716" w14:textId="67087835" w:rsidR="000122EA" w:rsidRDefault="000122EA" w:rsidP="00025F4B">
      <w:pPr>
        <w:rPr>
          <w:szCs w:val="24"/>
          <w:lang w:val="en-GB"/>
        </w:rPr>
      </w:pPr>
    </w:p>
    <w:p w14:paraId="4AF874B3" w14:textId="38A1E300" w:rsidR="000122EA" w:rsidRDefault="000122EA" w:rsidP="00025F4B">
      <w:pPr>
        <w:rPr>
          <w:szCs w:val="24"/>
          <w:lang w:val="en-GB"/>
        </w:rPr>
      </w:pPr>
    </w:p>
    <w:p w14:paraId="358E4706" w14:textId="2E478AB8" w:rsidR="000122EA" w:rsidRDefault="000122EA" w:rsidP="00025F4B">
      <w:pPr>
        <w:rPr>
          <w:szCs w:val="24"/>
          <w:lang w:val="en-GB"/>
        </w:rPr>
      </w:pPr>
    </w:p>
    <w:p w14:paraId="09A19102" w14:textId="77777777" w:rsidR="000122EA" w:rsidRDefault="000122EA" w:rsidP="00025F4B">
      <w:pPr>
        <w:rPr>
          <w:szCs w:val="24"/>
          <w:lang w:val="en-GB"/>
        </w:rPr>
      </w:pPr>
    </w:p>
    <w:p w14:paraId="6579228B" w14:textId="77777777" w:rsidR="000E7058" w:rsidRDefault="000E7058" w:rsidP="00025F4B">
      <w:pPr>
        <w:rPr>
          <w:szCs w:val="24"/>
          <w:lang w:val="en-GB"/>
        </w:rPr>
      </w:pPr>
    </w:p>
    <w:p w14:paraId="0D193E7D" w14:textId="77777777" w:rsidR="0056062C" w:rsidRDefault="0056062C" w:rsidP="00025F4B">
      <w:pPr>
        <w:rPr>
          <w:szCs w:val="24"/>
          <w:lang w:val="en-GB"/>
        </w:rPr>
      </w:pPr>
    </w:p>
    <w:p w14:paraId="36C8F55D" w14:textId="77777777" w:rsidR="0056062C" w:rsidRDefault="0056062C" w:rsidP="00025F4B">
      <w:pPr>
        <w:rPr>
          <w:szCs w:val="24"/>
          <w:lang w:val="en-GB"/>
        </w:rPr>
      </w:pPr>
    </w:p>
    <w:p w14:paraId="5679C6CD" w14:textId="77777777" w:rsidR="0056062C" w:rsidRPr="000D0D9A" w:rsidRDefault="0056062C" w:rsidP="00025F4B">
      <w:pPr>
        <w:rPr>
          <w:szCs w:val="24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141"/>
        <w:gridCol w:w="1745"/>
      </w:tblGrid>
      <w:tr w:rsidR="00626C2A" w:rsidRPr="00A8640B" w14:paraId="7B65AC12" w14:textId="77777777" w:rsidTr="004A50C7">
        <w:trPr>
          <w:trHeight w:val="298"/>
        </w:trPr>
        <w:tc>
          <w:tcPr>
            <w:tcW w:w="6980" w:type="dxa"/>
            <w:gridSpan w:val="3"/>
            <w:tcBorders>
              <w:top w:val="nil"/>
              <w:bottom w:val="double" w:sz="4" w:space="0" w:color="auto"/>
            </w:tcBorders>
          </w:tcPr>
          <w:p w14:paraId="18CC9465" w14:textId="3204296D" w:rsidR="00984ECB" w:rsidRPr="00A8640B" w:rsidRDefault="00E67C2C" w:rsidP="00742620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 xml:space="preserve"> Table </w:t>
            </w:r>
            <w:r w:rsidR="000E7058" w:rsidRPr="00A8640B">
              <w:rPr>
                <w:szCs w:val="24"/>
                <w:lang w:val="en-GB"/>
              </w:rPr>
              <w:t>2</w:t>
            </w:r>
            <w:r w:rsidRPr="00A8640B">
              <w:rPr>
                <w:szCs w:val="24"/>
                <w:lang w:val="en-GB"/>
              </w:rPr>
              <w:t>: Baseline characteristics of participants (n=13)</w:t>
            </w:r>
          </w:p>
        </w:tc>
      </w:tr>
      <w:tr w:rsidR="00626C2A" w:rsidRPr="00A8640B" w14:paraId="409DF3E2" w14:textId="77777777" w:rsidTr="004A50C7">
        <w:trPr>
          <w:trHeight w:val="283"/>
        </w:trPr>
        <w:tc>
          <w:tcPr>
            <w:tcW w:w="3094" w:type="dxa"/>
            <w:tcBorders>
              <w:top w:val="doub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6873663" w14:textId="77777777" w:rsidR="00984ECB" w:rsidRPr="00A8640B" w:rsidRDefault="00E67C2C" w:rsidP="00DC542F">
            <w:pPr>
              <w:rPr>
                <w:i/>
                <w:szCs w:val="24"/>
                <w:lang w:val="en-GB"/>
              </w:rPr>
            </w:pPr>
            <w:r w:rsidRPr="00A8640B">
              <w:rPr>
                <w:i/>
                <w:szCs w:val="24"/>
                <w:lang w:val="en-GB"/>
              </w:rPr>
              <w:t xml:space="preserve">Demographics </w:t>
            </w:r>
          </w:p>
        </w:tc>
        <w:tc>
          <w:tcPr>
            <w:tcW w:w="2141" w:type="dxa"/>
            <w:tcBorders>
              <w:top w:val="doub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C3E3395" w14:textId="77777777" w:rsidR="00984ECB" w:rsidRPr="00A8640B" w:rsidRDefault="00984ECB" w:rsidP="00DC542F">
            <w:pPr>
              <w:jc w:val="center"/>
              <w:rPr>
                <w:i/>
                <w:szCs w:val="24"/>
                <w:lang w:val="en-GB"/>
              </w:rPr>
            </w:pPr>
          </w:p>
        </w:tc>
        <w:tc>
          <w:tcPr>
            <w:tcW w:w="1745" w:type="dxa"/>
            <w:tcBorders>
              <w:top w:val="doub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94D96C6" w14:textId="77777777" w:rsidR="00984ECB" w:rsidRPr="00A8640B" w:rsidRDefault="00984ECB" w:rsidP="00DC542F">
            <w:pPr>
              <w:jc w:val="center"/>
              <w:rPr>
                <w:i/>
                <w:szCs w:val="24"/>
                <w:lang w:val="en-GB"/>
              </w:rPr>
            </w:pPr>
          </w:p>
        </w:tc>
      </w:tr>
      <w:tr w:rsidR="00626C2A" w:rsidRPr="00A8640B" w14:paraId="4AC74B4D" w14:textId="77777777" w:rsidTr="004A50C7">
        <w:trPr>
          <w:trHeight w:val="565"/>
        </w:trPr>
        <w:tc>
          <w:tcPr>
            <w:tcW w:w="3094" w:type="dxa"/>
            <w:tcBorders>
              <w:top w:val="nil"/>
              <w:bottom w:val="nil"/>
            </w:tcBorders>
          </w:tcPr>
          <w:p w14:paraId="06A209A9" w14:textId="77777777" w:rsidR="00984ECB" w:rsidRPr="00A8640B" w:rsidRDefault="00E67C2C" w:rsidP="00DC542F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Median age (range)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115942BB" w14:textId="77777777" w:rsidR="00BF4F0B" w:rsidRPr="00A8640B" w:rsidRDefault="00E67C2C" w:rsidP="00D077E2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66yrs (49yrs-73yrs)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2861CB77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62280E2D" w14:textId="77777777" w:rsidTr="004A50C7">
        <w:trPr>
          <w:trHeight w:val="298"/>
        </w:trPr>
        <w:tc>
          <w:tcPr>
            <w:tcW w:w="3094" w:type="dxa"/>
            <w:tcBorders>
              <w:top w:val="nil"/>
              <w:bottom w:val="nil"/>
            </w:tcBorders>
          </w:tcPr>
          <w:p w14:paraId="5AA0B638" w14:textId="77777777" w:rsidR="00984ECB" w:rsidRPr="00A8640B" w:rsidRDefault="00E67C2C" w:rsidP="00DC542F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Male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627B55BD" w14:textId="77777777" w:rsidR="00BF4F0B" w:rsidRPr="00A8640B" w:rsidRDefault="00E67C2C" w:rsidP="00D077E2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8 (61.5%)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309513DF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0437AB8E" w14:textId="77777777" w:rsidTr="004A50C7">
        <w:trPr>
          <w:trHeight w:val="298"/>
        </w:trPr>
        <w:tc>
          <w:tcPr>
            <w:tcW w:w="3094" w:type="dxa"/>
            <w:tcBorders>
              <w:top w:val="nil"/>
              <w:bottom w:val="nil"/>
            </w:tcBorders>
          </w:tcPr>
          <w:p w14:paraId="35B4CF15" w14:textId="77777777" w:rsidR="00984ECB" w:rsidRPr="00A8640B" w:rsidRDefault="00E67C2C" w:rsidP="00DC542F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Illness onset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74792055" w14:textId="77777777" w:rsidR="00984ECB" w:rsidRPr="00A8640B" w:rsidRDefault="00984ECB" w:rsidP="005F031A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65DA568F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0364D097" w14:textId="77777777" w:rsidTr="004A50C7">
        <w:trPr>
          <w:trHeight w:val="283"/>
        </w:trPr>
        <w:tc>
          <w:tcPr>
            <w:tcW w:w="3094" w:type="dxa"/>
            <w:tcBorders>
              <w:top w:val="nil"/>
              <w:bottom w:val="nil"/>
            </w:tcBorders>
          </w:tcPr>
          <w:p w14:paraId="66BD26DF" w14:textId="77777777" w:rsidR="00BF4F0B" w:rsidRPr="00A8640B" w:rsidRDefault="00E67C2C" w:rsidP="005A6C1F">
            <w:pPr>
              <w:jc w:val="left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Limb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01893360" w14:textId="77777777" w:rsidR="00BF4F0B" w:rsidRPr="00A8640B" w:rsidRDefault="00E67C2C" w:rsidP="00D077E2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11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07848EBE" w14:textId="77777777" w:rsidR="00984ECB" w:rsidRPr="00A8640B" w:rsidRDefault="00984ECB" w:rsidP="00D077E2">
            <w:pPr>
              <w:jc w:val="right"/>
              <w:rPr>
                <w:szCs w:val="24"/>
                <w:lang w:val="en-GB"/>
              </w:rPr>
            </w:pPr>
          </w:p>
        </w:tc>
      </w:tr>
      <w:tr w:rsidR="00626C2A" w:rsidRPr="00A8640B" w14:paraId="183A49C8" w14:textId="77777777" w:rsidTr="004A50C7">
        <w:trPr>
          <w:trHeight w:val="298"/>
        </w:trPr>
        <w:tc>
          <w:tcPr>
            <w:tcW w:w="3094" w:type="dxa"/>
            <w:tcBorders>
              <w:top w:val="nil"/>
              <w:bottom w:val="nil"/>
            </w:tcBorders>
          </w:tcPr>
          <w:p w14:paraId="4DA2ED5C" w14:textId="77777777" w:rsidR="00BF4F0B" w:rsidRPr="00A8640B" w:rsidRDefault="00E67C2C" w:rsidP="005A6C1F">
            <w:pPr>
              <w:jc w:val="left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Bulbar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7E78C2F7" w14:textId="77777777" w:rsidR="00BF4F0B" w:rsidRPr="00A8640B" w:rsidRDefault="00E67C2C" w:rsidP="00D077E2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1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79DC6C79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0DE52903" w14:textId="77777777" w:rsidTr="004A50C7">
        <w:trPr>
          <w:trHeight w:val="298"/>
        </w:trPr>
        <w:tc>
          <w:tcPr>
            <w:tcW w:w="3094" w:type="dxa"/>
            <w:tcBorders>
              <w:top w:val="nil"/>
            </w:tcBorders>
          </w:tcPr>
          <w:p w14:paraId="0F2D3FD2" w14:textId="77777777" w:rsidR="00BF4F0B" w:rsidRPr="00A8640B" w:rsidRDefault="00E67C2C" w:rsidP="005A6C1F">
            <w:pPr>
              <w:jc w:val="left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Respiratory</w:t>
            </w:r>
          </w:p>
        </w:tc>
        <w:tc>
          <w:tcPr>
            <w:tcW w:w="2141" w:type="dxa"/>
            <w:tcBorders>
              <w:top w:val="nil"/>
            </w:tcBorders>
          </w:tcPr>
          <w:p w14:paraId="55F61DAD" w14:textId="77777777" w:rsidR="00BF4F0B" w:rsidRPr="00A8640B" w:rsidRDefault="00E67C2C" w:rsidP="00D077E2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1</w:t>
            </w:r>
          </w:p>
        </w:tc>
        <w:tc>
          <w:tcPr>
            <w:tcW w:w="1745" w:type="dxa"/>
            <w:tcBorders>
              <w:top w:val="nil"/>
            </w:tcBorders>
          </w:tcPr>
          <w:p w14:paraId="5DDD4D23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05CF1821" w14:textId="77777777" w:rsidTr="004A50C7">
        <w:trPr>
          <w:trHeight w:val="283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62FDC8" w14:textId="77777777" w:rsidR="00984ECB" w:rsidRPr="00A8640B" w:rsidRDefault="00E67C2C" w:rsidP="00DC542F">
            <w:pPr>
              <w:rPr>
                <w:i/>
                <w:szCs w:val="24"/>
                <w:lang w:val="en-GB"/>
              </w:rPr>
            </w:pPr>
            <w:r w:rsidRPr="00A8640B">
              <w:rPr>
                <w:i/>
                <w:szCs w:val="24"/>
                <w:lang w:val="en-GB"/>
              </w:rPr>
              <w:t>Illness characteristics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AEA326" w14:textId="77777777" w:rsidR="00984ECB" w:rsidRPr="00A8640B" w:rsidRDefault="00E67C2C" w:rsidP="00DC542F">
            <w:pPr>
              <w:jc w:val="center"/>
              <w:rPr>
                <w:i/>
                <w:szCs w:val="24"/>
                <w:lang w:val="en-GB"/>
              </w:rPr>
            </w:pPr>
            <w:r w:rsidRPr="00A8640B">
              <w:rPr>
                <w:i/>
                <w:szCs w:val="24"/>
                <w:lang w:val="en-GB"/>
              </w:rPr>
              <w:t xml:space="preserve">Median (IQR) 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B592D7" w14:textId="77777777" w:rsidR="00984ECB" w:rsidRPr="00A8640B" w:rsidRDefault="00E67C2C" w:rsidP="00DC542F">
            <w:pPr>
              <w:jc w:val="center"/>
              <w:rPr>
                <w:i/>
                <w:szCs w:val="24"/>
                <w:lang w:val="en-GB"/>
              </w:rPr>
            </w:pPr>
            <w:r w:rsidRPr="00A8640B">
              <w:rPr>
                <w:i/>
                <w:szCs w:val="24"/>
                <w:lang w:val="en-GB"/>
              </w:rPr>
              <w:t>Range</w:t>
            </w:r>
          </w:p>
        </w:tc>
      </w:tr>
      <w:tr w:rsidR="00626C2A" w:rsidRPr="00A8640B" w14:paraId="07E35532" w14:textId="77777777" w:rsidTr="004A50C7">
        <w:trPr>
          <w:trHeight w:val="298"/>
        </w:trPr>
        <w:tc>
          <w:tcPr>
            <w:tcW w:w="3094" w:type="dxa"/>
            <w:tcBorders>
              <w:bottom w:val="nil"/>
            </w:tcBorders>
          </w:tcPr>
          <w:p w14:paraId="74DD4B2E" w14:textId="77777777" w:rsidR="00984ECB" w:rsidRPr="00A8640B" w:rsidRDefault="00E67C2C" w:rsidP="00DC542F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Illness duration</w:t>
            </w:r>
          </w:p>
        </w:tc>
        <w:tc>
          <w:tcPr>
            <w:tcW w:w="2141" w:type="dxa"/>
            <w:tcBorders>
              <w:bottom w:val="nil"/>
            </w:tcBorders>
          </w:tcPr>
          <w:p w14:paraId="689A0F75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14m (39)</w:t>
            </w:r>
          </w:p>
        </w:tc>
        <w:tc>
          <w:tcPr>
            <w:tcW w:w="1745" w:type="dxa"/>
            <w:tcBorders>
              <w:bottom w:val="nil"/>
            </w:tcBorders>
          </w:tcPr>
          <w:p w14:paraId="794FDD22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(2m–13y7m)</w:t>
            </w:r>
          </w:p>
        </w:tc>
      </w:tr>
      <w:tr w:rsidR="00626C2A" w:rsidRPr="00A8640B" w14:paraId="16E4E627" w14:textId="77777777" w:rsidTr="004A50C7">
        <w:trPr>
          <w:trHeight w:val="283"/>
        </w:trPr>
        <w:tc>
          <w:tcPr>
            <w:tcW w:w="3094" w:type="dxa"/>
            <w:tcBorders>
              <w:top w:val="nil"/>
            </w:tcBorders>
          </w:tcPr>
          <w:p w14:paraId="37480BBF" w14:textId="77777777" w:rsidR="00984ECB" w:rsidRPr="00A8640B" w:rsidRDefault="00E67C2C" w:rsidP="00DC542F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NIV duration</w:t>
            </w:r>
          </w:p>
        </w:tc>
        <w:tc>
          <w:tcPr>
            <w:tcW w:w="2141" w:type="dxa"/>
            <w:tcBorders>
              <w:top w:val="nil"/>
            </w:tcBorders>
          </w:tcPr>
          <w:p w14:paraId="61F77B25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8m (23)</w:t>
            </w:r>
          </w:p>
        </w:tc>
        <w:tc>
          <w:tcPr>
            <w:tcW w:w="1745" w:type="dxa"/>
            <w:tcBorders>
              <w:top w:val="nil"/>
            </w:tcBorders>
          </w:tcPr>
          <w:p w14:paraId="6E3C35B2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(0–3y)</w:t>
            </w:r>
          </w:p>
        </w:tc>
      </w:tr>
      <w:tr w:rsidR="00626C2A" w:rsidRPr="00A8640B" w14:paraId="3CF82BEF" w14:textId="77777777" w:rsidTr="004A50C7">
        <w:trPr>
          <w:trHeight w:val="298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E1CA4" w14:textId="77777777" w:rsidR="00984ECB" w:rsidRPr="00A8640B" w:rsidRDefault="00E67C2C" w:rsidP="00DC542F">
            <w:pPr>
              <w:rPr>
                <w:i/>
                <w:szCs w:val="24"/>
                <w:lang w:val="en-GB"/>
              </w:rPr>
            </w:pPr>
            <w:r w:rsidRPr="00A8640B">
              <w:rPr>
                <w:i/>
                <w:szCs w:val="24"/>
                <w:lang w:val="en-GB"/>
              </w:rPr>
              <w:t>Baseline function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7D9B71" w14:textId="77777777" w:rsidR="00984ECB" w:rsidRPr="00A8640B" w:rsidRDefault="00E67C2C" w:rsidP="00DC542F">
            <w:pPr>
              <w:jc w:val="center"/>
              <w:rPr>
                <w:i/>
                <w:szCs w:val="24"/>
                <w:lang w:val="en-GB"/>
              </w:rPr>
            </w:pPr>
            <w:r w:rsidRPr="00A8640B">
              <w:rPr>
                <w:i/>
                <w:szCs w:val="24"/>
                <w:lang w:val="en-GB"/>
              </w:rPr>
              <w:t>Mean (SD)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C10C0D" w14:textId="77777777" w:rsidR="00984ECB" w:rsidRPr="00A8640B" w:rsidRDefault="00984ECB" w:rsidP="00DC542F">
            <w:pPr>
              <w:jc w:val="center"/>
              <w:rPr>
                <w:i/>
                <w:szCs w:val="24"/>
                <w:lang w:val="en-GB"/>
              </w:rPr>
            </w:pPr>
          </w:p>
        </w:tc>
      </w:tr>
      <w:tr w:rsidR="00626C2A" w:rsidRPr="00A8640B" w14:paraId="438537DD" w14:textId="77777777" w:rsidTr="004A50C7">
        <w:trPr>
          <w:trHeight w:val="283"/>
        </w:trPr>
        <w:tc>
          <w:tcPr>
            <w:tcW w:w="3094" w:type="dxa"/>
            <w:tcBorders>
              <w:bottom w:val="nil"/>
            </w:tcBorders>
            <w:shd w:val="clear" w:color="auto" w:fill="auto"/>
          </w:tcPr>
          <w:p w14:paraId="17BA482B" w14:textId="77777777" w:rsidR="00984ECB" w:rsidRPr="00A8640B" w:rsidRDefault="00E67C2C" w:rsidP="00DC542F">
            <w:pPr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Respiratory function</w:t>
            </w:r>
          </w:p>
        </w:tc>
        <w:tc>
          <w:tcPr>
            <w:tcW w:w="2141" w:type="dxa"/>
            <w:tcBorders>
              <w:bottom w:val="nil"/>
            </w:tcBorders>
            <w:shd w:val="clear" w:color="auto" w:fill="auto"/>
          </w:tcPr>
          <w:p w14:paraId="606F5304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  <w:tc>
          <w:tcPr>
            <w:tcW w:w="1745" w:type="dxa"/>
            <w:tcBorders>
              <w:bottom w:val="nil"/>
            </w:tcBorders>
            <w:shd w:val="clear" w:color="auto" w:fill="auto"/>
          </w:tcPr>
          <w:p w14:paraId="29D09F8A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7ABA2BE3" w14:textId="77777777" w:rsidTr="004A50C7">
        <w:trPr>
          <w:trHeight w:val="298"/>
        </w:trPr>
        <w:tc>
          <w:tcPr>
            <w:tcW w:w="3094" w:type="dxa"/>
            <w:tcBorders>
              <w:top w:val="nil"/>
              <w:bottom w:val="nil"/>
            </w:tcBorders>
          </w:tcPr>
          <w:p w14:paraId="68BD051B" w14:textId="77777777" w:rsidR="00984ECB" w:rsidRPr="00A8640B" w:rsidRDefault="00E67C2C" w:rsidP="00DC542F">
            <w:pPr>
              <w:jc w:val="right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FVC %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3679C542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55.27 (20.43)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789156C1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626C2A" w:rsidRPr="00A8640B" w14:paraId="3D6F8677" w14:textId="77777777" w:rsidTr="004A50C7">
        <w:trPr>
          <w:trHeight w:val="283"/>
        </w:trPr>
        <w:tc>
          <w:tcPr>
            <w:tcW w:w="3094" w:type="dxa"/>
            <w:tcBorders>
              <w:top w:val="nil"/>
              <w:bottom w:val="nil"/>
            </w:tcBorders>
          </w:tcPr>
          <w:p w14:paraId="53329462" w14:textId="77777777" w:rsidR="00984ECB" w:rsidRPr="00A8640B" w:rsidRDefault="00E67C2C" w:rsidP="00DC542F">
            <w:pPr>
              <w:jc w:val="right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FEV1/FVC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56734340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82.83 (12.15)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1EE7CB50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  <w:tr w:rsidR="00742620" w:rsidRPr="00A8640B" w14:paraId="30B33326" w14:textId="77777777" w:rsidTr="004A50C7">
        <w:trPr>
          <w:trHeight w:val="314"/>
        </w:trPr>
        <w:tc>
          <w:tcPr>
            <w:tcW w:w="3094" w:type="dxa"/>
            <w:tcBorders>
              <w:top w:val="nil"/>
              <w:bottom w:val="double" w:sz="4" w:space="0" w:color="auto"/>
            </w:tcBorders>
          </w:tcPr>
          <w:p w14:paraId="7A866B3A" w14:textId="77777777" w:rsidR="00984ECB" w:rsidRPr="00A8640B" w:rsidRDefault="00E67C2C" w:rsidP="00DC542F">
            <w:pPr>
              <w:jc w:val="right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SNIP%</w:t>
            </w:r>
          </w:p>
        </w:tc>
        <w:tc>
          <w:tcPr>
            <w:tcW w:w="2141" w:type="dxa"/>
            <w:tcBorders>
              <w:top w:val="nil"/>
              <w:bottom w:val="double" w:sz="4" w:space="0" w:color="auto"/>
            </w:tcBorders>
          </w:tcPr>
          <w:p w14:paraId="11CC94C5" w14:textId="77777777" w:rsidR="00984ECB" w:rsidRPr="00A8640B" w:rsidRDefault="00E67C2C" w:rsidP="00DC542F">
            <w:pPr>
              <w:jc w:val="center"/>
              <w:rPr>
                <w:szCs w:val="24"/>
                <w:lang w:val="en-GB"/>
              </w:rPr>
            </w:pPr>
            <w:r w:rsidRPr="00A8640B">
              <w:rPr>
                <w:szCs w:val="24"/>
                <w:lang w:val="en-GB"/>
              </w:rPr>
              <w:t>45.52 (37.41)</w:t>
            </w:r>
          </w:p>
        </w:tc>
        <w:tc>
          <w:tcPr>
            <w:tcW w:w="1745" w:type="dxa"/>
            <w:tcBorders>
              <w:top w:val="nil"/>
              <w:bottom w:val="double" w:sz="4" w:space="0" w:color="auto"/>
            </w:tcBorders>
          </w:tcPr>
          <w:p w14:paraId="7074176A" w14:textId="77777777" w:rsidR="00984ECB" w:rsidRPr="00A8640B" w:rsidRDefault="00984ECB" w:rsidP="00DC542F">
            <w:pPr>
              <w:jc w:val="center"/>
              <w:rPr>
                <w:szCs w:val="24"/>
                <w:lang w:val="en-GB"/>
              </w:rPr>
            </w:pPr>
          </w:p>
        </w:tc>
      </w:tr>
    </w:tbl>
    <w:p w14:paraId="65BDF32C" w14:textId="34ADF9BF" w:rsidR="00742620" w:rsidRDefault="00A8640B" w:rsidP="005A6636">
      <w:pPr>
        <w:spacing w:after="100" w:afterAutospacing="1"/>
        <w:jc w:val="left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FVC: forced vital capacity; FEV1: forced expiratory volume in one second; SNIP: sniff nasal inspiratory pressure</w:t>
      </w:r>
    </w:p>
    <w:p w14:paraId="4326CBEE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426A4759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023FEBAA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6940936D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6D649F0E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4836C07D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77836488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06B4AF8B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5CBF1DF8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2AED8EF5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76921B00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5E22D293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78F529BD" w14:textId="77777777" w:rsidR="0056062C" w:rsidRDefault="0056062C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p w14:paraId="66DC5275" w14:textId="77777777" w:rsidR="00797778" w:rsidRPr="000D0D9A" w:rsidRDefault="00797778" w:rsidP="005A6636">
      <w:pPr>
        <w:spacing w:after="100" w:afterAutospacing="1"/>
        <w:jc w:val="left"/>
        <w:rPr>
          <w:rFonts w:cs="Arial"/>
          <w:szCs w:val="24"/>
          <w:lang w:val="en-GB"/>
        </w:rPr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2918"/>
        <w:gridCol w:w="2309"/>
        <w:gridCol w:w="1918"/>
        <w:gridCol w:w="2707"/>
      </w:tblGrid>
      <w:tr w:rsidR="00626C2A" w:rsidRPr="000D0D9A" w14:paraId="06E8FF93" w14:textId="77777777" w:rsidTr="006E30C3"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2B0200E4" w14:textId="354CA01D" w:rsidR="00BF2CDD" w:rsidRPr="000D0D9A" w:rsidRDefault="00E67C2C" w:rsidP="00DC542F">
            <w:pPr>
              <w:rPr>
                <w:lang w:val="en-GB"/>
              </w:rPr>
            </w:pPr>
            <w:r w:rsidRPr="000D0D9A">
              <w:rPr>
                <w:lang w:val="en-GB"/>
              </w:rPr>
              <w:t xml:space="preserve">Table </w:t>
            </w:r>
            <w:r w:rsidR="000E7058">
              <w:rPr>
                <w:lang w:val="en-GB"/>
              </w:rPr>
              <w:t>3</w:t>
            </w:r>
            <w:r w:rsidRPr="000D0D9A">
              <w:rPr>
                <w:lang w:val="en-GB"/>
              </w:rPr>
              <w:t>: Median values for each variable over time</w:t>
            </w:r>
          </w:p>
        </w:tc>
      </w:tr>
      <w:tr w:rsidR="00626C2A" w:rsidRPr="000D0D9A" w14:paraId="355FE42D" w14:textId="77777777" w:rsidTr="006E30C3">
        <w:tc>
          <w:tcPr>
            <w:tcW w:w="2918" w:type="dxa"/>
          </w:tcPr>
          <w:p w14:paraId="33A16E97" w14:textId="77777777" w:rsidR="00BF2CDD" w:rsidRPr="000D0D9A" w:rsidRDefault="00BF2CDD" w:rsidP="00DC542F">
            <w:pPr>
              <w:rPr>
                <w:b/>
                <w:lang w:val="en-GB"/>
              </w:rPr>
            </w:pPr>
          </w:p>
        </w:tc>
        <w:tc>
          <w:tcPr>
            <w:tcW w:w="2309" w:type="dxa"/>
          </w:tcPr>
          <w:p w14:paraId="531C5592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Baseline</w:t>
            </w:r>
          </w:p>
          <w:p w14:paraId="010B9D28" w14:textId="77777777" w:rsidR="00E1141A" w:rsidRPr="000D0D9A" w:rsidRDefault="00E67C2C" w:rsidP="00E1141A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Median (IQR)</w:t>
            </w:r>
            <w:r w:rsidR="00E1141A" w:rsidRPr="000D0D9A">
              <w:rPr>
                <w:b/>
                <w:lang w:val="en-GB"/>
              </w:rPr>
              <w:t xml:space="preserve"> </w:t>
            </w:r>
          </w:p>
          <w:p w14:paraId="3598B636" w14:textId="77777777" w:rsidR="00BF2CDD" w:rsidRPr="000D0D9A" w:rsidRDefault="00E1141A" w:rsidP="00E1141A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(n=13)</w:t>
            </w:r>
          </w:p>
        </w:tc>
        <w:tc>
          <w:tcPr>
            <w:tcW w:w="1918" w:type="dxa"/>
          </w:tcPr>
          <w:p w14:paraId="3E9315AD" w14:textId="77777777" w:rsidR="00BF2CDD" w:rsidRPr="000D0D9A" w:rsidRDefault="00250A16" w:rsidP="00DC542F"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>12 weeks</w:t>
            </w:r>
          </w:p>
          <w:p w14:paraId="2BB36DE8" w14:textId="77777777" w:rsidR="00E1141A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Median (IQR)</w:t>
            </w:r>
            <w:r w:rsidR="00E1141A" w:rsidRPr="000D0D9A">
              <w:rPr>
                <w:b/>
                <w:lang w:val="en-GB"/>
              </w:rPr>
              <w:t xml:space="preserve"> </w:t>
            </w:r>
          </w:p>
          <w:p w14:paraId="1D8C31E1" w14:textId="77777777" w:rsidR="00BF2CDD" w:rsidRPr="000D0D9A" w:rsidRDefault="00E1141A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(n=11)</w:t>
            </w:r>
          </w:p>
        </w:tc>
        <w:tc>
          <w:tcPr>
            <w:tcW w:w="2707" w:type="dxa"/>
          </w:tcPr>
          <w:p w14:paraId="26623AFD" w14:textId="77777777" w:rsidR="00BF2CDD" w:rsidRPr="000D0D9A" w:rsidRDefault="00250A16" w:rsidP="00DC542F">
            <w:pPr>
              <w:jc w:val="center"/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>24 week</w:t>
            </w:r>
            <w:r w:rsidR="00E67C2C" w:rsidRPr="000D0D9A">
              <w:rPr>
                <w:b/>
                <w:lang w:val="en-GB"/>
              </w:rPr>
              <w:t>s</w:t>
            </w:r>
          </w:p>
          <w:p w14:paraId="217DC2DF" w14:textId="77777777" w:rsidR="00E1141A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Median (IQR)</w:t>
            </w:r>
            <w:r w:rsidR="00E1141A" w:rsidRPr="000D0D9A">
              <w:rPr>
                <w:b/>
                <w:lang w:val="en-GB"/>
              </w:rPr>
              <w:t xml:space="preserve"> </w:t>
            </w:r>
          </w:p>
          <w:p w14:paraId="70A99902" w14:textId="77777777" w:rsidR="00BF2CDD" w:rsidRPr="000D0D9A" w:rsidRDefault="00E1141A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(n=10)</w:t>
            </w:r>
          </w:p>
        </w:tc>
      </w:tr>
      <w:tr w:rsidR="00626C2A" w:rsidRPr="000D0D9A" w14:paraId="316B950E" w14:textId="77777777" w:rsidTr="006E30C3">
        <w:tc>
          <w:tcPr>
            <w:tcW w:w="2918" w:type="dxa"/>
            <w:shd w:val="clear" w:color="auto" w:fill="BFBFBF" w:themeFill="background1" w:themeFillShade="BF"/>
          </w:tcPr>
          <w:p w14:paraId="3AC17554" w14:textId="77777777" w:rsidR="00BF2CDD" w:rsidRPr="000D0D9A" w:rsidRDefault="00E67C2C" w:rsidP="00DC542F">
            <w:pPr>
              <w:rPr>
                <w:b/>
                <w:i/>
                <w:lang w:val="en-GB"/>
              </w:rPr>
            </w:pPr>
            <w:r w:rsidRPr="000D0D9A">
              <w:rPr>
                <w:b/>
                <w:i/>
                <w:lang w:val="en-GB"/>
              </w:rPr>
              <w:t>ALSFRS-R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2ABEEF55" w14:textId="77777777" w:rsidR="00BF2CDD" w:rsidRPr="000D0D9A" w:rsidRDefault="00BF2CDD" w:rsidP="00DC542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 w14:paraId="79F06538" w14:textId="77777777" w:rsidR="00BF2CDD" w:rsidRPr="000D0D9A" w:rsidRDefault="00BF2CDD" w:rsidP="00DC542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707" w:type="dxa"/>
            <w:shd w:val="clear" w:color="auto" w:fill="BFBFBF" w:themeFill="background1" w:themeFillShade="BF"/>
          </w:tcPr>
          <w:p w14:paraId="16681147" w14:textId="77777777" w:rsidR="00BF2CDD" w:rsidRPr="000D0D9A" w:rsidRDefault="00BF2CDD" w:rsidP="00DC542F">
            <w:pPr>
              <w:jc w:val="center"/>
              <w:rPr>
                <w:b/>
                <w:lang w:val="en-GB"/>
              </w:rPr>
            </w:pPr>
          </w:p>
        </w:tc>
      </w:tr>
      <w:tr w:rsidR="00626C2A" w:rsidRPr="000D0D9A" w14:paraId="5868A000" w14:textId="77777777" w:rsidTr="006E30C3">
        <w:tc>
          <w:tcPr>
            <w:tcW w:w="2918" w:type="dxa"/>
          </w:tcPr>
          <w:p w14:paraId="0741FFC6" w14:textId="77777777" w:rsidR="00BF2CDD" w:rsidRPr="000D0D9A" w:rsidRDefault="00E67C2C" w:rsidP="00DB571E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 xml:space="preserve">Total </w:t>
            </w:r>
          </w:p>
        </w:tc>
        <w:tc>
          <w:tcPr>
            <w:tcW w:w="2309" w:type="dxa"/>
          </w:tcPr>
          <w:p w14:paraId="09FDFF9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22 (14)</w:t>
            </w:r>
          </w:p>
        </w:tc>
        <w:tc>
          <w:tcPr>
            <w:tcW w:w="1918" w:type="dxa"/>
          </w:tcPr>
          <w:p w14:paraId="7041E65D" w14:textId="7D7F2A0D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22 (15)</w:t>
            </w:r>
            <w:r w:rsidR="00DB571E" w:rsidRPr="000D0D9A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2707" w:type="dxa"/>
          </w:tcPr>
          <w:p w14:paraId="2B2F80B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20 (21)</w:t>
            </w:r>
            <w:r w:rsidR="00DB571E" w:rsidRPr="000D0D9A">
              <w:rPr>
                <w:rFonts w:cstheme="minorHAnsi"/>
                <w:lang w:val="en-GB"/>
              </w:rPr>
              <w:t xml:space="preserve"> †‡</w:t>
            </w:r>
          </w:p>
        </w:tc>
      </w:tr>
      <w:tr w:rsidR="00626C2A" w:rsidRPr="000D0D9A" w14:paraId="21962E6C" w14:textId="77777777" w:rsidTr="006E30C3">
        <w:tc>
          <w:tcPr>
            <w:tcW w:w="2918" w:type="dxa"/>
          </w:tcPr>
          <w:p w14:paraId="40CF0574" w14:textId="77777777" w:rsidR="00BF2CDD" w:rsidRPr="000D0D9A" w:rsidRDefault="00E67C2C" w:rsidP="00DB571E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Bulbar sub-score</w:t>
            </w:r>
          </w:p>
        </w:tc>
        <w:tc>
          <w:tcPr>
            <w:tcW w:w="2309" w:type="dxa"/>
          </w:tcPr>
          <w:p w14:paraId="61110ABB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9 (5.5)</w:t>
            </w:r>
          </w:p>
        </w:tc>
        <w:tc>
          <w:tcPr>
            <w:tcW w:w="1918" w:type="dxa"/>
          </w:tcPr>
          <w:p w14:paraId="65D58EBC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9 (8.5)</w:t>
            </w:r>
          </w:p>
        </w:tc>
        <w:tc>
          <w:tcPr>
            <w:tcW w:w="2707" w:type="dxa"/>
          </w:tcPr>
          <w:p w14:paraId="4CD1A43A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7 (7.5)</w:t>
            </w:r>
            <w:r w:rsidR="00DB571E" w:rsidRPr="000D0D9A">
              <w:rPr>
                <w:rFonts w:cstheme="minorHAnsi"/>
                <w:lang w:val="en-GB"/>
              </w:rPr>
              <w:t xml:space="preserve"> †</w:t>
            </w:r>
          </w:p>
        </w:tc>
      </w:tr>
      <w:tr w:rsidR="00626C2A" w:rsidRPr="000D0D9A" w14:paraId="6A17C858" w14:textId="77777777" w:rsidTr="006E30C3">
        <w:tc>
          <w:tcPr>
            <w:tcW w:w="2918" w:type="dxa"/>
          </w:tcPr>
          <w:p w14:paraId="197FA78C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Motor sub-score</w:t>
            </w:r>
          </w:p>
        </w:tc>
        <w:tc>
          <w:tcPr>
            <w:tcW w:w="2309" w:type="dxa"/>
          </w:tcPr>
          <w:p w14:paraId="514B762F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9 (13.5)</w:t>
            </w:r>
          </w:p>
        </w:tc>
        <w:tc>
          <w:tcPr>
            <w:tcW w:w="1918" w:type="dxa"/>
          </w:tcPr>
          <w:p w14:paraId="5701B81F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8 (9.5)</w:t>
            </w:r>
          </w:p>
        </w:tc>
        <w:tc>
          <w:tcPr>
            <w:tcW w:w="2707" w:type="dxa"/>
          </w:tcPr>
          <w:p w14:paraId="78016F4D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8 (12.5)</w:t>
            </w:r>
          </w:p>
        </w:tc>
      </w:tr>
      <w:tr w:rsidR="00626C2A" w:rsidRPr="000D0D9A" w14:paraId="450AF30B" w14:textId="77777777" w:rsidTr="006E30C3">
        <w:tc>
          <w:tcPr>
            <w:tcW w:w="2918" w:type="dxa"/>
          </w:tcPr>
          <w:p w14:paraId="2D6DBD0C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Respiratory sub-score</w:t>
            </w:r>
          </w:p>
        </w:tc>
        <w:tc>
          <w:tcPr>
            <w:tcW w:w="2309" w:type="dxa"/>
          </w:tcPr>
          <w:p w14:paraId="65FA5078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6 (3)</w:t>
            </w:r>
          </w:p>
        </w:tc>
        <w:tc>
          <w:tcPr>
            <w:tcW w:w="1918" w:type="dxa"/>
          </w:tcPr>
          <w:p w14:paraId="4EEE070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4 (4)</w:t>
            </w:r>
          </w:p>
        </w:tc>
        <w:tc>
          <w:tcPr>
            <w:tcW w:w="2707" w:type="dxa"/>
          </w:tcPr>
          <w:p w14:paraId="1C8F6B1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4.5 (4.5)</w:t>
            </w:r>
          </w:p>
        </w:tc>
      </w:tr>
      <w:tr w:rsidR="00626C2A" w:rsidRPr="000D0D9A" w14:paraId="172FDE24" w14:textId="77777777" w:rsidTr="006E30C3">
        <w:tc>
          <w:tcPr>
            <w:tcW w:w="2918" w:type="dxa"/>
            <w:shd w:val="clear" w:color="auto" w:fill="BFBFBF" w:themeFill="background1" w:themeFillShade="BF"/>
          </w:tcPr>
          <w:p w14:paraId="501AC99B" w14:textId="77777777" w:rsidR="00BF2CDD" w:rsidRPr="000D0D9A" w:rsidRDefault="00E67C2C" w:rsidP="00DC542F">
            <w:pPr>
              <w:rPr>
                <w:b/>
                <w:i/>
                <w:lang w:val="en-GB"/>
              </w:rPr>
            </w:pPr>
            <w:r w:rsidRPr="000D0D9A">
              <w:rPr>
                <w:b/>
                <w:i/>
                <w:lang w:val="en-GB"/>
              </w:rPr>
              <w:t>SpO2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2EB52CA1" w14:textId="77777777" w:rsidR="00BF2CDD" w:rsidRPr="000D0D9A" w:rsidRDefault="00BF2CDD" w:rsidP="00DC542F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 w14:paraId="777DF6D9" w14:textId="77777777" w:rsidR="00BF2CDD" w:rsidRPr="000D0D9A" w:rsidRDefault="00BF2CDD" w:rsidP="00DC542F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2707" w:type="dxa"/>
            <w:shd w:val="clear" w:color="auto" w:fill="BFBFBF" w:themeFill="background1" w:themeFillShade="BF"/>
          </w:tcPr>
          <w:p w14:paraId="3673E548" w14:textId="77777777" w:rsidR="00BF2CDD" w:rsidRPr="000D0D9A" w:rsidRDefault="00BF2CDD" w:rsidP="00DC542F">
            <w:pPr>
              <w:jc w:val="center"/>
              <w:rPr>
                <w:b/>
                <w:i/>
                <w:lang w:val="en-GB"/>
              </w:rPr>
            </w:pPr>
          </w:p>
        </w:tc>
      </w:tr>
      <w:tr w:rsidR="00626C2A" w:rsidRPr="000D0D9A" w14:paraId="7A1D4BA9" w14:textId="77777777" w:rsidTr="006E30C3">
        <w:tc>
          <w:tcPr>
            <w:tcW w:w="2918" w:type="dxa"/>
          </w:tcPr>
          <w:p w14:paraId="2269BC88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Average SpO2 levels</w:t>
            </w:r>
          </w:p>
        </w:tc>
        <w:tc>
          <w:tcPr>
            <w:tcW w:w="2309" w:type="dxa"/>
          </w:tcPr>
          <w:p w14:paraId="4D7282C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92.5 (5)</w:t>
            </w:r>
          </w:p>
        </w:tc>
        <w:tc>
          <w:tcPr>
            <w:tcW w:w="1918" w:type="dxa"/>
          </w:tcPr>
          <w:p w14:paraId="3D0ED552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93 (3)</w:t>
            </w:r>
          </w:p>
        </w:tc>
        <w:tc>
          <w:tcPr>
            <w:tcW w:w="2707" w:type="dxa"/>
          </w:tcPr>
          <w:p w14:paraId="7D1A6EE5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91 (3.5)</w:t>
            </w:r>
          </w:p>
        </w:tc>
      </w:tr>
      <w:tr w:rsidR="00626C2A" w:rsidRPr="000D0D9A" w14:paraId="389C6F61" w14:textId="77777777" w:rsidTr="006E30C3">
        <w:tc>
          <w:tcPr>
            <w:tcW w:w="2918" w:type="dxa"/>
          </w:tcPr>
          <w:p w14:paraId="50EC97FE" w14:textId="77777777" w:rsidR="00BF2CDD" w:rsidRPr="000D0D9A" w:rsidRDefault="00824193" w:rsidP="00824193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Minutes</w:t>
            </w:r>
            <w:r w:rsidR="00E67C2C" w:rsidRPr="000D0D9A">
              <w:rPr>
                <w:lang w:val="en-GB"/>
              </w:rPr>
              <w:t xml:space="preserve"> spent &lt;90% </w:t>
            </w:r>
          </w:p>
        </w:tc>
        <w:tc>
          <w:tcPr>
            <w:tcW w:w="2309" w:type="dxa"/>
          </w:tcPr>
          <w:p w14:paraId="1F8FC005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2.39 (32.99)</w:t>
            </w:r>
          </w:p>
        </w:tc>
        <w:tc>
          <w:tcPr>
            <w:tcW w:w="1918" w:type="dxa"/>
          </w:tcPr>
          <w:p w14:paraId="68C6440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1.33 (12.84)</w:t>
            </w:r>
          </w:p>
        </w:tc>
        <w:tc>
          <w:tcPr>
            <w:tcW w:w="2707" w:type="dxa"/>
          </w:tcPr>
          <w:p w14:paraId="192B9915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12.32 (31.06)</w:t>
            </w:r>
          </w:p>
        </w:tc>
      </w:tr>
      <w:tr w:rsidR="00626C2A" w:rsidRPr="000D0D9A" w14:paraId="272E2969" w14:textId="77777777" w:rsidTr="006E30C3">
        <w:tc>
          <w:tcPr>
            <w:tcW w:w="2918" w:type="dxa"/>
          </w:tcPr>
          <w:p w14:paraId="6469B148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Rate of 4% dip</w:t>
            </w:r>
          </w:p>
        </w:tc>
        <w:tc>
          <w:tcPr>
            <w:tcW w:w="2309" w:type="dxa"/>
          </w:tcPr>
          <w:p w14:paraId="45C2F737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1.25 (1.44)</w:t>
            </w:r>
          </w:p>
        </w:tc>
        <w:tc>
          <w:tcPr>
            <w:tcW w:w="1918" w:type="dxa"/>
          </w:tcPr>
          <w:p w14:paraId="6392CD93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1.05 (3.41)</w:t>
            </w:r>
          </w:p>
        </w:tc>
        <w:tc>
          <w:tcPr>
            <w:tcW w:w="2707" w:type="dxa"/>
          </w:tcPr>
          <w:p w14:paraId="11E55D04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1.17 (1.49)</w:t>
            </w:r>
          </w:p>
        </w:tc>
      </w:tr>
      <w:tr w:rsidR="00626C2A" w:rsidRPr="000D0D9A" w14:paraId="58C0FE04" w14:textId="77777777" w:rsidTr="006E30C3">
        <w:tc>
          <w:tcPr>
            <w:tcW w:w="2918" w:type="dxa"/>
            <w:shd w:val="clear" w:color="auto" w:fill="BFBFBF" w:themeFill="background1" w:themeFillShade="BF"/>
          </w:tcPr>
          <w:p w14:paraId="30F77B82" w14:textId="77777777" w:rsidR="00BF2CDD" w:rsidRPr="000D0D9A" w:rsidRDefault="00E67C2C" w:rsidP="00DC542F">
            <w:pPr>
              <w:rPr>
                <w:b/>
                <w:i/>
                <w:lang w:val="en-GB"/>
              </w:rPr>
            </w:pPr>
            <w:r w:rsidRPr="000D0D9A">
              <w:rPr>
                <w:b/>
                <w:i/>
                <w:lang w:val="en-GB"/>
              </w:rPr>
              <w:t>NIV Use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214A0651" w14:textId="77777777" w:rsidR="00BF2CDD" w:rsidRPr="000D0D9A" w:rsidRDefault="00BF2CDD" w:rsidP="00DC542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 w14:paraId="2FE10DF8" w14:textId="77777777" w:rsidR="00BF2CDD" w:rsidRPr="000D0D9A" w:rsidRDefault="00BF2CDD" w:rsidP="00DC542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707" w:type="dxa"/>
            <w:shd w:val="clear" w:color="auto" w:fill="BFBFBF" w:themeFill="background1" w:themeFillShade="BF"/>
          </w:tcPr>
          <w:p w14:paraId="67E1B3F0" w14:textId="77777777" w:rsidR="00BF2CDD" w:rsidRPr="000D0D9A" w:rsidRDefault="00BF2CDD" w:rsidP="00DC542F">
            <w:pPr>
              <w:jc w:val="center"/>
              <w:rPr>
                <w:b/>
                <w:lang w:val="en-GB"/>
              </w:rPr>
            </w:pPr>
          </w:p>
        </w:tc>
      </w:tr>
      <w:tr w:rsidR="00626C2A" w:rsidRPr="000D0D9A" w14:paraId="24D1990D" w14:textId="77777777" w:rsidTr="006E30C3">
        <w:tc>
          <w:tcPr>
            <w:tcW w:w="2918" w:type="dxa"/>
            <w:shd w:val="clear" w:color="auto" w:fill="auto"/>
          </w:tcPr>
          <w:p w14:paraId="7EDDB4A5" w14:textId="77777777" w:rsidR="00BF2CDD" w:rsidRPr="000D0D9A" w:rsidRDefault="00E67C2C" w:rsidP="00DB571E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Usage time(hrs)</w:t>
            </w:r>
          </w:p>
        </w:tc>
        <w:tc>
          <w:tcPr>
            <w:tcW w:w="2309" w:type="dxa"/>
            <w:shd w:val="clear" w:color="auto" w:fill="auto"/>
          </w:tcPr>
          <w:p w14:paraId="1A680BF0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8 (4)</w:t>
            </w:r>
          </w:p>
        </w:tc>
        <w:tc>
          <w:tcPr>
            <w:tcW w:w="1918" w:type="dxa"/>
            <w:shd w:val="clear" w:color="auto" w:fill="auto"/>
          </w:tcPr>
          <w:p w14:paraId="249EC28B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11.5 (7)</w:t>
            </w:r>
            <w:r w:rsidR="00DB571E" w:rsidRPr="000D0D9A">
              <w:rPr>
                <w:rFonts w:cstheme="minorHAnsi"/>
                <w:lang w:val="en-GB"/>
              </w:rPr>
              <w:t xml:space="preserve"> †‡</w:t>
            </w:r>
          </w:p>
        </w:tc>
        <w:tc>
          <w:tcPr>
            <w:tcW w:w="2707" w:type="dxa"/>
            <w:shd w:val="clear" w:color="auto" w:fill="auto"/>
          </w:tcPr>
          <w:p w14:paraId="799A057E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10.5 (7)</w:t>
            </w:r>
            <w:r w:rsidR="00DB571E" w:rsidRPr="000D0D9A">
              <w:rPr>
                <w:rFonts w:cstheme="minorHAnsi"/>
                <w:lang w:val="en-GB"/>
              </w:rPr>
              <w:t xml:space="preserve"> †‡</w:t>
            </w:r>
          </w:p>
        </w:tc>
      </w:tr>
      <w:tr w:rsidR="00626C2A" w:rsidRPr="000D0D9A" w14:paraId="67FB31E4" w14:textId="77777777" w:rsidTr="006E30C3">
        <w:tc>
          <w:tcPr>
            <w:tcW w:w="2918" w:type="dxa"/>
            <w:shd w:val="clear" w:color="auto" w:fill="BFBFBF" w:themeFill="background1" w:themeFillShade="BF"/>
          </w:tcPr>
          <w:p w14:paraId="17E95F51" w14:textId="77777777" w:rsidR="00BF2CDD" w:rsidRPr="000D0D9A" w:rsidRDefault="00E67C2C" w:rsidP="00DC542F">
            <w:pPr>
              <w:rPr>
                <w:b/>
                <w:lang w:val="en-GB"/>
              </w:rPr>
            </w:pPr>
            <w:r w:rsidRPr="000D0D9A">
              <w:rPr>
                <w:b/>
                <w:i/>
                <w:lang w:val="en-GB"/>
              </w:rPr>
              <w:t>PVI*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EFA66DD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Week 1</w:t>
            </w:r>
          </w:p>
          <w:p w14:paraId="17490E38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Median (IQR)</w:t>
            </w:r>
          </w:p>
        </w:tc>
        <w:tc>
          <w:tcPr>
            <w:tcW w:w="1918" w:type="dxa"/>
            <w:shd w:val="clear" w:color="auto" w:fill="BFBFBF" w:themeFill="background1" w:themeFillShade="BF"/>
          </w:tcPr>
          <w:p w14:paraId="68B33D67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Week 12</w:t>
            </w:r>
          </w:p>
          <w:p w14:paraId="3F478810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Median (IQR)</w:t>
            </w:r>
          </w:p>
        </w:tc>
        <w:tc>
          <w:tcPr>
            <w:tcW w:w="2707" w:type="dxa"/>
            <w:shd w:val="clear" w:color="auto" w:fill="BFBFBF" w:themeFill="background1" w:themeFillShade="BF"/>
          </w:tcPr>
          <w:p w14:paraId="363B9A04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Week 22</w:t>
            </w:r>
          </w:p>
          <w:p w14:paraId="27905AE1" w14:textId="77777777" w:rsidR="00BF2CDD" w:rsidRPr="000D0D9A" w:rsidRDefault="00E67C2C" w:rsidP="00DC542F">
            <w:pPr>
              <w:jc w:val="center"/>
              <w:rPr>
                <w:b/>
                <w:lang w:val="en-GB"/>
              </w:rPr>
            </w:pPr>
            <w:r w:rsidRPr="000D0D9A">
              <w:rPr>
                <w:b/>
                <w:lang w:val="en-GB"/>
              </w:rPr>
              <w:t>Median (IQR)</w:t>
            </w:r>
          </w:p>
        </w:tc>
      </w:tr>
      <w:tr w:rsidR="00626C2A" w:rsidRPr="000D0D9A" w14:paraId="6AEC8719" w14:textId="77777777" w:rsidTr="006E30C3">
        <w:tc>
          <w:tcPr>
            <w:tcW w:w="2918" w:type="dxa"/>
          </w:tcPr>
          <w:p w14:paraId="2AB5F4F6" w14:textId="77777777" w:rsidR="00BF2CDD" w:rsidRPr="000D0D9A" w:rsidRDefault="00E67C2C" w:rsidP="00B3028D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IPAP</w:t>
            </w:r>
          </w:p>
        </w:tc>
        <w:tc>
          <w:tcPr>
            <w:tcW w:w="2309" w:type="dxa"/>
          </w:tcPr>
          <w:p w14:paraId="218341E2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16.8 (7.7)</w:t>
            </w:r>
          </w:p>
        </w:tc>
        <w:tc>
          <w:tcPr>
            <w:tcW w:w="1918" w:type="dxa"/>
          </w:tcPr>
          <w:p w14:paraId="43833DA3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19.17 (10.27)</w:t>
            </w:r>
          </w:p>
        </w:tc>
        <w:tc>
          <w:tcPr>
            <w:tcW w:w="2707" w:type="dxa"/>
          </w:tcPr>
          <w:p w14:paraId="1CE07B72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21.94 (10.33)</w:t>
            </w:r>
            <w:r w:rsidR="00B3028D" w:rsidRPr="000D0D9A">
              <w:rPr>
                <w:rFonts w:cstheme="minorHAnsi"/>
                <w:lang w:val="en-GB"/>
              </w:rPr>
              <w:t xml:space="preserve"> †‡</w:t>
            </w:r>
          </w:p>
        </w:tc>
      </w:tr>
      <w:tr w:rsidR="00626C2A" w:rsidRPr="000D0D9A" w14:paraId="4FADC14B" w14:textId="77777777" w:rsidTr="006E30C3">
        <w:tc>
          <w:tcPr>
            <w:tcW w:w="2918" w:type="dxa"/>
          </w:tcPr>
          <w:p w14:paraId="0F07BD40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EPAP</w:t>
            </w:r>
          </w:p>
        </w:tc>
        <w:tc>
          <w:tcPr>
            <w:tcW w:w="2309" w:type="dxa"/>
          </w:tcPr>
          <w:p w14:paraId="36F3FAC5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3.97 (0.04)</w:t>
            </w:r>
          </w:p>
        </w:tc>
        <w:tc>
          <w:tcPr>
            <w:tcW w:w="1918" w:type="dxa"/>
          </w:tcPr>
          <w:p w14:paraId="48E82C16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3.98 (1.03)</w:t>
            </w:r>
          </w:p>
        </w:tc>
        <w:tc>
          <w:tcPr>
            <w:tcW w:w="2707" w:type="dxa"/>
          </w:tcPr>
          <w:p w14:paraId="0DF01DA3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3.98 (1.02)</w:t>
            </w:r>
          </w:p>
        </w:tc>
      </w:tr>
      <w:tr w:rsidR="00626C2A" w:rsidRPr="000D0D9A" w14:paraId="06E25D67" w14:textId="77777777" w:rsidTr="006E30C3">
        <w:tc>
          <w:tcPr>
            <w:tcW w:w="2918" w:type="dxa"/>
          </w:tcPr>
          <w:p w14:paraId="57DD343C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BPM</w:t>
            </w:r>
          </w:p>
        </w:tc>
        <w:tc>
          <w:tcPr>
            <w:tcW w:w="2309" w:type="dxa"/>
          </w:tcPr>
          <w:p w14:paraId="5C29C167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13.63 (3.73)</w:t>
            </w:r>
          </w:p>
        </w:tc>
        <w:tc>
          <w:tcPr>
            <w:tcW w:w="1918" w:type="dxa"/>
          </w:tcPr>
          <w:p w14:paraId="48ED83EE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14.15 (2.04)</w:t>
            </w:r>
          </w:p>
        </w:tc>
        <w:tc>
          <w:tcPr>
            <w:tcW w:w="2707" w:type="dxa"/>
          </w:tcPr>
          <w:p w14:paraId="5AEB106F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13.1 (2.81)</w:t>
            </w:r>
          </w:p>
        </w:tc>
      </w:tr>
      <w:tr w:rsidR="00626C2A" w:rsidRPr="000D0D9A" w14:paraId="67376C71" w14:textId="77777777" w:rsidTr="006E30C3">
        <w:tc>
          <w:tcPr>
            <w:tcW w:w="2918" w:type="dxa"/>
          </w:tcPr>
          <w:p w14:paraId="3525DB30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PTB</w:t>
            </w:r>
          </w:p>
        </w:tc>
        <w:tc>
          <w:tcPr>
            <w:tcW w:w="2309" w:type="dxa"/>
          </w:tcPr>
          <w:p w14:paraId="08567EB5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35.92 (63.24)</w:t>
            </w:r>
          </w:p>
        </w:tc>
        <w:tc>
          <w:tcPr>
            <w:tcW w:w="1918" w:type="dxa"/>
          </w:tcPr>
          <w:p w14:paraId="7947970E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47.23 (66.1)</w:t>
            </w:r>
          </w:p>
        </w:tc>
        <w:tc>
          <w:tcPr>
            <w:tcW w:w="2707" w:type="dxa"/>
          </w:tcPr>
          <w:p w14:paraId="4A7AE1DB" w14:textId="77777777" w:rsidR="00BF2CDD" w:rsidRPr="000D0D9A" w:rsidRDefault="00E67C2C" w:rsidP="00DC542F">
            <w:pPr>
              <w:jc w:val="center"/>
              <w:rPr>
                <w:lang w:val="en-GB"/>
              </w:rPr>
            </w:pPr>
            <w:r w:rsidRPr="000D0D9A">
              <w:rPr>
                <w:lang w:val="en-GB"/>
              </w:rPr>
              <w:t>32.97 (48.53)</w:t>
            </w:r>
          </w:p>
        </w:tc>
      </w:tr>
      <w:tr w:rsidR="00626C2A" w:rsidRPr="000D0D9A" w14:paraId="3D3E6020" w14:textId="77777777" w:rsidTr="006E30C3">
        <w:tc>
          <w:tcPr>
            <w:tcW w:w="2918" w:type="dxa"/>
          </w:tcPr>
          <w:p w14:paraId="54481BBE" w14:textId="77777777" w:rsidR="00BF2CDD" w:rsidRPr="000D0D9A" w:rsidRDefault="00E67C2C" w:rsidP="00DC542F">
            <w:pPr>
              <w:jc w:val="right"/>
              <w:rPr>
                <w:lang w:val="en-GB"/>
              </w:rPr>
            </w:pPr>
            <w:r w:rsidRPr="000D0D9A">
              <w:rPr>
                <w:lang w:val="en-GB"/>
              </w:rPr>
              <w:t>PF</w:t>
            </w:r>
          </w:p>
        </w:tc>
        <w:tc>
          <w:tcPr>
            <w:tcW w:w="2309" w:type="dxa"/>
          </w:tcPr>
          <w:p w14:paraId="6D5D290E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22.36 (12.83)</w:t>
            </w:r>
          </w:p>
        </w:tc>
        <w:tc>
          <w:tcPr>
            <w:tcW w:w="1918" w:type="dxa"/>
          </w:tcPr>
          <w:p w14:paraId="29FCE08B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28.58 (11.29)</w:t>
            </w:r>
          </w:p>
        </w:tc>
        <w:tc>
          <w:tcPr>
            <w:tcW w:w="2707" w:type="dxa"/>
          </w:tcPr>
          <w:p w14:paraId="653F020C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29.71 (10.74)</w:t>
            </w:r>
          </w:p>
        </w:tc>
      </w:tr>
      <w:tr w:rsidR="00626C2A" w:rsidRPr="000D0D9A" w14:paraId="6C043576" w14:textId="77777777" w:rsidTr="006E30C3">
        <w:tc>
          <w:tcPr>
            <w:tcW w:w="2918" w:type="dxa"/>
          </w:tcPr>
          <w:p w14:paraId="1CFA7655" w14:textId="77777777" w:rsidR="00BF2CDD" w:rsidRPr="000D0D9A" w:rsidRDefault="00E67C2C" w:rsidP="00DC542F">
            <w:pPr>
              <w:keepNext/>
              <w:jc w:val="right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Leak</w:t>
            </w:r>
          </w:p>
        </w:tc>
        <w:tc>
          <w:tcPr>
            <w:tcW w:w="2309" w:type="dxa"/>
          </w:tcPr>
          <w:p w14:paraId="4F9A5207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38.74 (25.22)</w:t>
            </w:r>
          </w:p>
        </w:tc>
        <w:tc>
          <w:tcPr>
            <w:tcW w:w="1918" w:type="dxa"/>
          </w:tcPr>
          <w:p w14:paraId="6E49A464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48.56 (31.95)</w:t>
            </w:r>
          </w:p>
        </w:tc>
        <w:tc>
          <w:tcPr>
            <w:tcW w:w="2707" w:type="dxa"/>
          </w:tcPr>
          <w:p w14:paraId="1A3485F8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37.05 (38.52)</w:t>
            </w:r>
          </w:p>
        </w:tc>
      </w:tr>
      <w:tr w:rsidR="00626C2A" w:rsidRPr="000D0D9A" w14:paraId="224C3FBB" w14:textId="77777777" w:rsidTr="006E30C3">
        <w:tc>
          <w:tcPr>
            <w:tcW w:w="2918" w:type="dxa"/>
          </w:tcPr>
          <w:p w14:paraId="7883DCCF" w14:textId="77777777" w:rsidR="00BF2CDD" w:rsidRPr="000D0D9A" w:rsidRDefault="00E67C2C" w:rsidP="00DC542F">
            <w:pPr>
              <w:keepNext/>
              <w:jc w:val="right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TV</w:t>
            </w:r>
          </w:p>
        </w:tc>
        <w:tc>
          <w:tcPr>
            <w:tcW w:w="2309" w:type="dxa"/>
          </w:tcPr>
          <w:p w14:paraId="75BAF598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397.01 (178.74)</w:t>
            </w:r>
          </w:p>
        </w:tc>
        <w:tc>
          <w:tcPr>
            <w:tcW w:w="1918" w:type="dxa"/>
          </w:tcPr>
          <w:p w14:paraId="206CC6ED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461.59 (257.49)</w:t>
            </w:r>
          </w:p>
        </w:tc>
        <w:tc>
          <w:tcPr>
            <w:tcW w:w="2707" w:type="dxa"/>
          </w:tcPr>
          <w:p w14:paraId="08182B92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528.18 (267.56)</w:t>
            </w:r>
          </w:p>
        </w:tc>
      </w:tr>
      <w:tr w:rsidR="00626C2A" w:rsidRPr="000D0D9A" w14:paraId="34912FF5" w14:textId="77777777" w:rsidTr="006E30C3">
        <w:tc>
          <w:tcPr>
            <w:tcW w:w="2918" w:type="dxa"/>
          </w:tcPr>
          <w:p w14:paraId="6235AB8B" w14:textId="77777777" w:rsidR="00BF2CDD" w:rsidRPr="000D0D9A" w:rsidRDefault="00E67C2C" w:rsidP="00DC542F">
            <w:pPr>
              <w:keepNext/>
              <w:jc w:val="right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TT</w:t>
            </w:r>
          </w:p>
        </w:tc>
        <w:tc>
          <w:tcPr>
            <w:tcW w:w="2309" w:type="dxa"/>
          </w:tcPr>
          <w:p w14:paraId="4002DFB1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30.7 (6.13)</w:t>
            </w:r>
          </w:p>
        </w:tc>
        <w:tc>
          <w:tcPr>
            <w:tcW w:w="1918" w:type="dxa"/>
          </w:tcPr>
          <w:p w14:paraId="494C6E3B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32.12 (4.78)</w:t>
            </w:r>
          </w:p>
        </w:tc>
        <w:tc>
          <w:tcPr>
            <w:tcW w:w="2707" w:type="dxa"/>
          </w:tcPr>
          <w:p w14:paraId="142D9A9D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31.38 (3.83)</w:t>
            </w:r>
          </w:p>
        </w:tc>
      </w:tr>
      <w:tr w:rsidR="00626C2A" w:rsidRPr="000D0D9A" w14:paraId="2ADC63FB" w14:textId="77777777" w:rsidTr="006E30C3">
        <w:tc>
          <w:tcPr>
            <w:tcW w:w="2918" w:type="dxa"/>
            <w:tcBorders>
              <w:bottom w:val="single" w:sz="4" w:space="0" w:color="auto"/>
            </w:tcBorders>
          </w:tcPr>
          <w:p w14:paraId="40E9A950" w14:textId="77777777" w:rsidR="00BF2CDD" w:rsidRPr="000D0D9A" w:rsidRDefault="00E67C2C" w:rsidP="00DC542F">
            <w:pPr>
              <w:keepNext/>
              <w:jc w:val="right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MV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F113DB3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5.26 (3.14)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378DB7D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6.7 (3.21)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3E890D9F" w14:textId="77777777" w:rsidR="00BF2CDD" w:rsidRPr="000D0D9A" w:rsidRDefault="00E67C2C" w:rsidP="00DC542F">
            <w:pPr>
              <w:keepNext/>
              <w:jc w:val="center"/>
              <w:outlineLvl w:val="0"/>
              <w:rPr>
                <w:lang w:val="en-GB"/>
              </w:rPr>
            </w:pPr>
            <w:r w:rsidRPr="000D0D9A">
              <w:rPr>
                <w:lang w:val="en-GB"/>
              </w:rPr>
              <w:t>6.62 (4.52)</w:t>
            </w:r>
          </w:p>
        </w:tc>
      </w:tr>
      <w:tr w:rsidR="00626C2A" w:rsidRPr="000D0D9A" w14:paraId="158C599B" w14:textId="77777777" w:rsidTr="006E30C3">
        <w:tc>
          <w:tcPr>
            <w:tcW w:w="9852" w:type="dxa"/>
            <w:gridSpan w:val="4"/>
            <w:tcBorders>
              <w:left w:val="nil"/>
              <w:bottom w:val="nil"/>
              <w:right w:val="nil"/>
            </w:tcBorders>
          </w:tcPr>
          <w:p w14:paraId="63F45824" w14:textId="77777777" w:rsidR="00BF2CDD" w:rsidRPr="000D0D9A" w:rsidRDefault="00E67C2C" w:rsidP="00DC542F">
            <w:pPr>
              <w:keepNext/>
              <w:outlineLvl w:val="0"/>
              <w:rPr>
                <w:sz w:val="18"/>
                <w:szCs w:val="18"/>
                <w:lang w:val="en-GB"/>
              </w:rPr>
            </w:pPr>
            <w:r w:rsidRPr="000D0D9A">
              <w:rPr>
                <w:sz w:val="18"/>
                <w:szCs w:val="18"/>
                <w:lang w:val="en-GB"/>
              </w:rPr>
              <w:t>PVI: patient-ventilator interaction; ALSFRS-R: revised Amyotrophic lateral sclerosis functional rating scale; PVI: patient-ventilator interaction; IPAP: Inspiratory positive airway pressure; EPAP: Expiratory positive airway pressure: BPM: Breaths per minute; PTB: Patient triggered breaths; PF: Peak flow; TV: Tidal volume: TT: Ti Titot; MV: Minute ventilation</w:t>
            </w:r>
            <w:r w:rsidRPr="000D0D9A">
              <w:rPr>
                <w:lang w:val="en-GB"/>
              </w:rPr>
              <w:t>.</w:t>
            </w:r>
            <w:r w:rsidRPr="000D0D9A">
              <w:rPr>
                <w:sz w:val="18"/>
                <w:szCs w:val="18"/>
                <w:lang w:val="en-GB"/>
              </w:rPr>
              <w:t xml:space="preserve"> </w:t>
            </w:r>
          </w:p>
          <w:p w14:paraId="2FE6539E" w14:textId="77777777" w:rsidR="00BF2CDD" w:rsidRPr="000D0D9A" w:rsidRDefault="00BF2CDD" w:rsidP="00DC542F">
            <w:pPr>
              <w:rPr>
                <w:sz w:val="18"/>
                <w:szCs w:val="18"/>
                <w:lang w:val="en-GB"/>
              </w:rPr>
            </w:pPr>
          </w:p>
          <w:p w14:paraId="32229583" w14:textId="77777777" w:rsidR="00BF2CDD" w:rsidRPr="000D0D9A" w:rsidRDefault="00E67C2C" w:rsidP="00DC542F">
            <w:pPr>
              <w:rPr>
                <w:sz w:val="18"/>
                <w:szCs w:val="18"/>
                <w:lang w:val="en-GB"/>
              </w:rPr>
            </w:pPr>
            <w:r w:rsidRPr="000D0D9A">
              <w:rPr>
                <w:sz w:val="18"/>
                <w:szCs w:val="18"/>
                <w:lang w:val="en-GB"/>
              </w:rPr>
              <w:t xml:space="preserve">*Data for </w:t>
            </w:r>
            <w:r w:rsidR="00250A16">
              <w:rPr>
                <w:rFonts w:hint="eastAsia"/>
                <w:sz w:val="18"/>
                <w:szCs w:val="18"/>
                <w:lang w:val="en-GB"/>
              </w:rPr>
              <w:t>24 weeks</w:t>
            </w:r>
            <w:r w:rsidRPr="000D0D9A">
              <w:rPr>
                <w:sz w:val="18"/>
                <w:szCs w:val="18"/>
                <w:lang w:val="en-GB"/>
              </w:rPr>
              <w:t xml:space="preserve"> were obtained from Week 22 due to a low availability o</w:t>
            </w:r>
            <w:r w:rsidR="00D377F8" w:rsidRPr="000D0D9A">
              <w:rPr>
                <w:sz w:val="18"/>
                <w:szCs w:val="18"/>
                <w:lang w:val="en-GB"/>
              </w:rPr>
              <w:t>f</w:t>
            </w:r>
            <w:r w:rsidRPr="000D0D9A">
              <w:rPr>
                <w:sz w:val="18"/>
                <w:szCs w:val="18"/>
                <w:lang w:val="en-GB"/>
              </w:rPr>
              <w:t xml:space="preserve"> PVI data for Week 23/24. </w:t>
            </w:r>
          </w:p>
          <w:p w14:paraId="73CE9682" w14:textId="5A8D35F3" w:rsidR="00BF2CDD" w:rsidRPr="000D0D9A" w:rsidRDefault="00E67C2C" w:rsidP="00DC542F">
            <w:pPr>
              <w:rPr>
                <w:sz w:val="18"/>
                <w:szCs w:val="18"/>
                <w:lang w:val="en-GB"/>
              </w:rPr>
            </w:pPr>
            <w:r w:rsidRPr="000D0D9A">
              <w:rPr>
                <w:rFonts w:cstheme="minorHAnsi"/>
                <w:sz w:val="18"/>
                <w:szCs w:val="18"/>
                <w:lang w:val="en-GB"/>
              </w:rPr>
              <w:t xml:space="preserve">† Significant changes </w:t>
            </w:r>
            <w:r w:rsidR="000D365A">
              <w:rPr>
                <w:rFonts w:cstheme="minorHAnsi"/>
                <w:sz w:val="18"/>
                <w:szCs w:val="18"/>
                <w:lang w:val="en-GB"/>
              </w:rPr>
              <w:t>from the baseline</w:t>
            </w:r>
            <w:r w:rsidRPr="000D0D9A">
              <w:rPr>
                <w:rFonts w:cstheme="minorHAnsi"/>
                <w:sz w:val="18"/>
                <w:szCs w:val="18"/>
                <w:lang w:val="en-GB"/>
              </w:rPr>
              <w:t xml:space="preserve">. ‡ Significant changes after Bonferroni correction. </w:t>
            </w:r>
          </w:p>
          <w:p w14:paraId="5770E3D9" w14:textId="75E58F10" w:rsidR="00BF2CDD" w:rsidRDefault="00BF2CDD" w:rsidP="00811042">
            <w:pPr>
              <w:rPr>
                <w:lang w:val="en-GB"/>
              </w:rPr>
            </w:pPr>
          </w:p>
          <w:p w14:paraId="02AE3F9E" w14:textId="77777777" w:rsidR="006E30C3" w:rsidRPr="000D0D9A" w:rsidRDefault="006E30C3" w:rsidP="00811042">
            <w:pPr>
              <w:rPr>
                <w:lang w:val="en-GB"/>
              </w:rPr>
            </w:pPr>
          </w:p>
          <w:p w14:paraId="20E1E7F5" w14:textId="77777777" w:rsidR="00811042" w:rsidRPr="000D0D9A" w:rsidRDefault="00811042" w:rsidP="00811042">
            <w:pPr>
              <w:rPr>
                <w:lang w:val="en-GB"/>
              </w:rPr>
            </w:pPr>
          </w:p>
        </w:tc>
      </w:tr>
    </w:tbl>
    <w:p w14:paraId="7DB24C43" w14:textId="5997A38C" w:rsidR="00BF2CDD" w:rsidRDefault="00BF2CDD" w:rsidP="00BF2CDD">
      <w:pPr>
        <w:spacing w:after="100" w:afterAutospacing="1"/>
        <w:rPr>
          <w:rFonts w:cs="Calibri"/>
          <w:szCs w:val="24"/>
          <w:lang w:val="en-GB"/>
        </w:rPr>
      </w:pPr>
    </w:p>
    <w:p w14:paraId="296A05C8" w14:textId="636C8DEA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568D360E" w14:textId="27C2E78E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7B39E95B" w14:textId="77777777" w:rsidR="00090901" w:rsidRDefault="00090901" w:rsidP="00BF2CDD">
      <w:pPr>
        <w:spacing w:after="100" w:afterAutospacing="1"/>
        <w:rPr>
          <w:rFonts w:cs="Calibri"/>
          <w:szCs w:val="24"/>
          <w:lang w:val="en-GB"/>
        </w:rPr>
      </w:pPr>
    </w:p>
    <w:p w14:paraId="26DA6AB0" w14:textId="243B981D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438ECF33" w14:textId="58AFC12D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3701"/>
        <w:gridCol w:w="2631"/>
        <w:gridCol w:w="1173"/>
        <w:gridCol w:w="2347"/>
      </w:tblGrid>
      <w:tr w:rsidR="00137EF3" w14:paraId="248D3D39" w14:textId="77777777" w:rsidTr="00E47F8D">
        <w:tc>
          <w:tcPr>
            <w:tcW w:w="9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47C9C" w14:textId="77777777" w:rsidR="00137EF3" w:rsidRPr="006E30C3" w:rsidRDefault="00137EF3" w:rsidP="00073DBB">
            <w:pPr>
              <w:spacing w:after="100" w:afterAutospacing="1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  <w:lang w:val="en-GB"/>
              </w:rPr>
              <w:lastRenderedPageBreak/>
              <w:t xml:space="preserve">Table 4: Results for Wilcoxon tests </w:t>
            </w:r>
          </w:p>
        </w:tc>
      </w:tr>
      <w:tr w:rsidR="00AA1541" w:rsidRPr="00945991" w14:paraId="127007E3" w14:textId="77777777" w:rsidTr="00E47F8D"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714C" w14:textId="77777777" w:rsidR="00137EF3" w:rsidRPr="00945991" w:rsidRDefault="00137EF3" w:rsidP="00073DBB">
            <w:pPr>
              <w:spacing w:after="100" w:afterAutospacing="1"/>
              <w:rPr>
                <w:rFonts w:cs="Calibri"/>
                <w:b/>
                <w:szCs w:val="24"/>
                <w:lang w:val="en-GB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1564A" w14:textId="77777777" w:rsidR="00137EF3" w:rsidRPr="00945991" w:rsidRDefault="00137EF3" w:rsidP="00073DBB">
            <w:pPr>
              <w:spacing w:after="100" w:afterAutospacing="1"/>
              <w:jc w:val="center"/>
              <w:rPr>
                <w:rFonts w:cs="Calibri"/>
                <w:b/>
                <w:i/>
                <w:szCs w:val="24"/>
                <w:lang w:val="en-GB"/>
              </w:rPr>
            </w:pPr>
            <w:r w:rsidRPr="00945991">
              <w:rPr>
                <w:rFonts w:cs="Calibri"/>
                <w:b/>
                <w:i/>
                <w:szCs w:val="24"/>
                <w:lang w:val="en-GB"/>
              </w:rPr>
              <w:t>z</w:t>
            </w:r>
            <w:r w:rsidRPr="00945991">
              <w:rPr>
                <w:rFonts w:cs="Calibri"/>
                <w:b/>
                <w:szCs w:val="24"/>
                <w:lang w:val="en-GB"/>
              </w:rPr>
              <w:t>-score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81B05" w14:textId="77777777" w:rsidR="00137EF3" w:rsidRPr="00945991" w:rsidRDefault="00137EF3" w:rsidP="00073DBB">
            <w:pPr>
              <w:spacing w:after="100" w:afterAutospacing="1"/>
              <w:jc w:val="center"/>
              <w:rPr>
                <w:rFonts w:cs="Calibri"/>
                <w:b/>
                <w:i/>
                <w:szCs w:val="24"/>
                <w:lang w:val="en-GB"/>
              </w:rPr>
            </w:pPr>
            <w:r w:rsidRPr="00945991">
              <w:rPr>
                <w:rFonts w:cs="Calibri"/>
                <w:b/>
                <w:i/>
                <w:szCs w:val="24"/>
                <w:lang w:val="en-GB"/>
              </w:rPr>
              <w:t>r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142E4" w14:textId="438E3CBB" w:rsidR="00137EF3" w:rsidRPr="00945991" w:rsidRDefault="00A8025A" w:rsidP="00073DBB">
            <w:pPr>
              <w:spacing w:after="100" w:afterAutospacing="1"/>
              <w:jc w:val="center"/>
              <w:rPr>
                <w:rFonts w:cs="Calibri"/>
                <w:b/>
                <w:i/>
                <w:szCs w:val="24"/>
                <w:lang w:val="en-GB"/>
              </w:rPr>
            </w:pPr>
            <w:r>
              <w:rPr>
                <w:rFonts w:cs="Calibri"/>
                <w:b/>
                <w:i/>
                <w:szCs w:val="24"/>
                <w:lang w:val="en-GB"/>
              </w:rPr>
              <w:t>p</w:t>
            </w:r>
            <w:r w:rsidR="00137EF3" w:rsidRPr="00945991">
              <w:rPr>
                <w:rFonts w:cs="Calibri"/>
                <w:b/>
                <w:i/>
                <w:szCs w:val="24"/>
                <w:lang w:val="en-GB"/>
              </w:rPr>
              <w:t xml:space="preserve"> </w:t>
            </w:r>
            <w:r w:rsidR="00137EF3" w:rsidRPr="00945991">
              <w:rPr>
                <w:rFonts w:cs="Calibri"/>
                <w:b/>
                <w:szCs w:val="24"/>
                <w:lang w:val="en-GB"/>
              </w:rPr>
              <w:t>value</w:t>
            </w:r>
          </w:p>
        </w:tc>
      </w:tr>
      <w:tr w:rsidR="00AA1541" w14:paraId="643AF553" w14:textId="77777777" w:rsidTr="00E47F8D"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B4808" w14:textId="460C6EF4" w:rsidR="00137EF3" w:rsidRPr="00945991" w:rsidRDefault="00137EF3" w:rsidP="00073DBB">
            <w:pPr>
              <w:spacing w:after="100" w:afterAutospacing="1"/>
              <w:rPr>
                <w:rFonts w:cs="Calibri"/>
                <w:b/>
                <w:szCs w:val="24"/>
                <w:lang w:val="en-GB"/>
              </w:rPr>
            </w:pPr>
            <w:r w:rsidRPr="00945991">
              <w:rPr>
                <w:rFonts w:cs="Calibri"/>
                <w:b/>
                <w:szCs w:val="24"/>
                <w:lang w:val="en-GB"/>
              </w:rPr>
              <w:t>ALSFRS-R</w:t>
            </w:r>
            <w:r w:rsidR="00AA1541">
              <w:rPr>
                <w:rFonts w:cs="Calibri"/>
                <w:b/>
                <w:szCs w:val="24"/>
                <w:lang w:val="en-GB"/>
              </w:rPr>
              <w:t xml:space="preserve"> (Total)</w:t>
            </w:r>
          </w:p>
        </w:tc>
        <w:tc>
          <w:tcPr>
            <w:tcW w:w="263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37606D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7B29D1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234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FFDFD7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</w:tr>
      <w:tr w:rsidR="00AA1541" w14:paraId="6159C686" w14:textId="77777777" w:rsidTr="00E47F8D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E25029" w14:textId="37CB8181" w:rsidR="00137EF3" w:rsidRDefault="00137EF3" w:rsidP="00073DBB">
            <w:pPr>
              <w:spacing w:after="100" w:afterAutospacing="1"/>
              <w:jc w:val="right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 xml:space="preserve"> Baseline </w:t>
            </w:r>
            <w:r>
              <w:rPr>
                <w:rFonts w:cs="Calibri"/>
                <w:szCs w:val="24"/>
              </w:rPr>
              <w:t>/</w:t>
            </w:r>
            <w:r>
              <w:rPr>
                <w:rFonts w:cs="Calibri" w:hint="eastAsia"/>
                <w:szCs w:val="24"/>
                <w:lang w:val="en-GB"/>
              </w:rPr>
              <w:t xml:space="preserve"> </w:t>
            </w:r>
            <w:r>
              <w:rPr>
                <w:rFonts w:cs="Calibri"/>
                <w:szCs w:val="24"/>
                <w:lang w:val="en-GB"/>
              </w:rPr>
              <w:t>Week 24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2A1B06" w14:textId="77777777" w:rsidR="00137EF3" w:rsidRPr="00945991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-2.53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5B7EC3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-.57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1AC08E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.008</w:t>
            </w:r>
          </w:p>
        </w:tc>
      </w:tr>
      <w:tr w:rsidR="00AA1541" w14:paraId="5CCBDF80" w14:textId="77777777" w:rsidTr="00E47F8D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4C21F2B2" w14:textId="77777777" w:rsidR="00137EF3" w:rsidRPr="00945991" w:rsidRDefault="00137EF3" w:rsidP="00073DBB">
            <w:pPr>
              <w:spacing w:after="100" w:afterAutospacing="1"/>
              <w:rPr>
                <w:rFonts w:cs="Calibri"/>
                <w:b/>
                <w:szCs w:val="24"/>
                <w:lang w:val="en-GB"/>
              </w:rPr>
            </w:pPr>
            <w:r w:rsidRPr="00945991">
              <w:rPr>
                <w:rFonts w:cs="Calibri"/>
                <w:b/>
                <w:szCs w:val="24"/>
                <w:lang w:val="en-GB"/>
              </w:rPr>
              <w:t>NIV usage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4D6885B5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DDE51F0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14FA2E38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</w:tr>
      <w:tr w:rsidR="00AA1541" w14:paraId="66316656" w14:textId="77777777" w:rsidTr="00E47F8D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144A2471" w14:textId="77777777" w:rsidR="00137EF3" w:rsidRDefault="00137EF3" w:rsidP="00073DBB">
            <w:pPr>
              <w:spacing w:after="100" w:afterAutospacing="1"/>
              <w:jc w:val="right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Baseline / Week 12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B64CEF3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-2.35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564408D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-.48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520D603A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.016</w:t>
            </w:r>
          </w:p>
        </w:tc>
      </w:tr>
      <w:tr w:rsidR="00AA1541" w14:paraId="569F196B" w14:textId="77777777" w:rsidTr="00E47F8D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102FE635" w14:textId="77777777" w:rsidR="00137EF3" w:rsidRDefault="00137EF3" w:rsidP="00073DBB">
            <w:pPr>
              <w:spacing w:after="100" w:afterAutospacing="1"/>
              <w:jc w:val="right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Baseline / Week 24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189F477D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-2.71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1863DC9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-.57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05FD046A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.004</w:t>
            </w:r>
          </w:p>
        </w:tc>
      </w:tr>
      <w:tr w:rsidR="00AA1541" w14:paraId="617F1A1A" w14:textId="77777777" w:rsidTr="00E47F8D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9EFF94" w14:textId="77777777" w:rsidR="00137EF3" w:rsidRDefault="00137EF3" w:rsidP="00073DBB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945991">
              <w:rPr>
                <w:rFonts w:cs="Calibri"/>
                <w:b/>
                <w:szCs w:val="24"/>
                <w:lang w:val="en-GB"/>
              </w:rPr>
              <w:t>IPAP</w:t>
            </w:r>
            <w:r w:rsidRPr="00945991">
              <w:rPr>
                <w:rFonts w:cs="Calibri"/>
                <w:szCs w:val="24"/>
                <w:lang w:val="en-GB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BFA535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31D74A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1D2773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</w:p>
        </w:tc>
      </w:tr>
      <w:tr w:rsidR="00AA1541" w14:paraId="3FB0795E" w14:textId="77777777" w:rsidTr="00E47F8D"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419418B" w14:textId="77777777" w:rsidR="00137EF3" w:rsidRDefault="00137EF3" w:rsidP="00073DBB">
            <w:pPr>
              <w:spacing w:after="100" w:afterAutospacing="1"/>
              <w:jc w:val="right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Baseline / Week 22</w:t>
            </w:r>
          </w:p>
        </w:tc>
        <w:tc>
          <w:tcPr>
            <w:tcW w:w="263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7F45321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-2.52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325E677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-.58</w:t>
            </w:r>
          </w:p>
        </w:tc>
        <w:tc>
          <w:tcPr>
            <w:tcW w:w="234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0073607" w14:textId="77777777" w:rsidR="00137EF3" w:rsidRDefault="00137EF3" w:rsidP="00073DBB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.008</w:t>
            </w:r>
          </w:p>
        </w:tc>
      </w:tr>
    </w:tbl>
    <w:p w14:paraId="702CE848" w14:textId="2CF73186" w:rsidR="00137EF3" w:rsidRDefault="00E47F8D" w:rsidP="00137EF3">
      <w:pPr>
        <w:spacing w:after="100" w:afterAutospacing="1"/>
        <w:rPr>
          <w:rFonts w:cs="Calibri"/>
          <w:szCs w:val="24"/>
          <w:lang w:val="en-GB"/>
        </w:rPr>
      </w:pPr>
      <w:r w:rsidRPr="000D0D9A">
        <w:rPr>
          <w:sz w:val="18"/>
          <w:szCs w:val="18"/>
          <w:lang w:val="en-GB"/>
        </w:rPr>
        <w:t>ALSFRS-R: revised Amyotrophic lateral sclerosis functional rating scale; IPAP: Inspiratory positive airway pressure;</w:t>
      </w:r>
    </w:p>
    <w:p w14:paraId="6992B988" w14:textId="77777777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4A0F3280" w14:textId="439DE534" w:rsidR="00797778" w:rsidRDefault="00797778" w:rsidP="00BF2CDD">
      <w:pPr>
        <w:spacing w:after="100" w:afterAutospacing="1"/>
        <w:rPr>
          <w:rFonts w:cs="Calibri"/>
          <w:szCs w:val="24"/>
          <w:lang w:val="en-GB"/>
        </w:rPr>
      </w:pPr>
    </w:p>
    <w:p w14:paraId="1B6EE445" w14:textId="0837DF85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6286AA7C" w14:textId="63474796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40923EF4" w14:textId="4585DAFA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3B2E7579" w14:textId="005D75D5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1C7E1BD0" w14:textId="2CFDAD38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1AEAF71E" w14:textId="4316EF19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61DF6A92" w14:textId="530850BC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010E1325" w14:textId="14011390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085839BC" w14:textId="3BAB85AD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3E340BA9" w14:textId="6DB03167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1B64228C" w14:textId="6B8E1E83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463576A2" w14:textId="0C150630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1D9B110B" w14:textId="60E98FE9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7B42D155" w14:textId="4D65951A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4D15DD96" w14:textId="5AE2A6D9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1DE7ED65" w14:textId="77777777" w:rsidR="00137EF3" w:rsidRDefault="00137EF3" w:rsidP="00BF2CDD">
      <w:pPr>
        <w:spacing w:after="100" w:afterAutospacing="1"/>
        <w:rPr>
          <w:rFonts w:cs="Calibri"/>
          <w:szCs w:val="24"/>
          <w:lang w:val="en-GB"/>
        </w:rPr>
      </w:pPr>
    </w:p>
    <w:p w14:paraId="614F5617" w14:textId="77777777" w:rsidR="00797778" w:rsidRPr="000D0D9A" w:rsidRDefault="00797778" w:rsidP="00BF2CDD">
      <w:pPr>
        <w:spacing w:after="100" w:afterAutospacing="1"/>
        <w:rPr>
          <w:rFonts w:cs="Calibri"/>
          <w:szCs w:val="24"/>
          <w:lang w:val="en-GB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227"/>
        <w:gridCol w:w="3736"/>
        <w:gridCol w:w="1792"/>
      </w:tblGrid>
      <w:tr w:rsidR="00626C2A" w:rsidRPr="000D0D9A" w14:paraId="66270808" w14:textId="77777777" w:rsidTr="00152DCF">
        <w:tc>
          <w:tcPr>
            <w:tcW w:w="87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C24ADA9" w14:textId="4C0053DB" w:rsidR="00BF2CDD" w:rsidRPr="000D0D9A" w:rsidRDefault="00E67C2C" w:rsidP="006D4C26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lastRenderedPageBreak/>
              <w:t xml:space="preserve">Table </w:t>
            </w:r>
            <w:r w:rsidR="00137EF3">
              <w:rPr>
                <w:rFonts w:cs="Calibri"/>
                <w:szCs w:val="24"/>
                <w:lang w:val="en-GB"/>
              </w:rPr>
              <w:t>5</w:t>
            </w:r>
            <w:r w:rsidRPr="000D0D9A">
              <w:rPr>
                <w:rFonts w:cs="Calibri"/>
                <w:szCs w:val="24"/>
                <w:lang w:val="en-GB"/>
              </w:rPr>
              <w:t xml:space="preserve">: Intervention category during </w:t>
            </w:r>
            <w:r w:rsidR="006D4C26">
              <w:rPr>
                <w:rFonts w:cs="Calibri" w:hint="eastAsia"/>
                <w:szCs w:val="24"/>
                <w:lang w:val="en-GB"/>
              </w:rPr>
              <w:t>24-week</w:t>
            </w:r>
            <w:r w:rsidRPr="000D0D9A">
              <w:rPr>
                <w:rFonts w:cs="Calibri"/>
                <w:szCs w:val="24"/>
                <w:lang w:val="en-GB"/>
              </w:rPr>
              <w:t xml:space="preserve"> trial</w:t>
            </w:r>
          </w:p>
        </w:tc>
      </w:tr>
      <w:tr w:rsidR="00626C2A" w:rsidRPr="000D0D9A" w14:paraId="5E46D188" w14:textId="77777777" w:rsidTr="00152DCF">
        <w:tc>
          <w:tcPr>
            <w:tcW w:w="3227" w:type="dxa"/>
            <w:shd w:val="clear" w:color="auto" w:fill="BFBFBF" w:themeFill="background1" w:themeFillShade="BF"/>
          </w:tcPr>
          <w:p w14:paraId="026BFA5E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b/>
                <w:szCs w:val="24"/>
                <w:lang w:val="en-GB"/>
              </w:rPr>
            </w:pPr>
            <w:r w:rsidRPr="000D0D9A">
              <w:rPr>
                <w:rFonts w:cs="Calibri"/>
                <w:b/>
                <w:szCs w:val="24"/>
                <w:lang w:val="en-GB"/>
              </w:rPr>
              <w:t>Intervention category</w:t>
            </w:r>
          </w:p>
        </w:tc>
        <w:tc>
          <w:tcPr>
            <w:tcW w:w="3736" w:type="dxa"/>
            <w:shd w:val="clear" w:color="auto" w:fill="BFBFBF" w:themeFill="background1" w:themeFillShade="BF"/>
          </w:tcPr>
          <w:p w14:paraId="0370AB5D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b/>
                <w:szCs w:val="24"/>
                <w:lang w:val="en-GB"/>
              </w:rPr>
            </w:pPr>
            <w:r w:rsidRPr="000D0D9A">
              <w:rPr>
                <w:rFonts w:cs="Calibri"/>
                <w:b/>
                <w:szCs w:val="24"/>
                <w:lang w:val="en-GB"/>
              </w:rPr>
              <w:t>Intervention details</w:t>
            </w:r>
          </w:p>
        </w:tc>
        <w:tc>
          <w:tcPr>
            <w:tcW w:w="1792" w:type="dxa"/>
            <w:shd w:val="clear" w:color="auto" w:fill="BFBFBF" w:themeFill="background1" w:themeFillShade="BF"/>
          </w:tcPr>
          <w:p w14:paraId="146ABFA5" w14:textId="77777777" w:rsidR="00BF2CDD" w:rsidRPr="000D0D9A" w:rsidRDefault="00E67C2C" w:rsidP="00DC542F">
            <w:pPr>
              <w:jc w:val="center"/>
              <w:rPr>
                <w:rFonts w:cs="Calibri"/>
                <w:b/>
                <w:szCs w:val="24"/>
                <w:lang w:val="en-GB"/>
              </w:rPr>
            </w:pPr>
            <w:r w:rsidRPr="000D0D9A">
              <w:rPr>
                <w:rFonts w:cs="Calibri"/>
                <w:b/>
                <w:szCs w:val="24"/>
                <w:lang w:val="en-GB"/>
              </w:rPr>
              <w:t xml:space="preserve">Number </w:t>
            </w:r>
            <w:r w:rsidR="00152DCF">
              <w:rPr>
                <w:rFonts w:cs="Calibri" w:hint="eastAsia"/>
                <w:b/>
                <w:szCs w:val="24"/>
                <w:lang w:val="en-GB"/>
              </w:rPr>
              <w:t xml:space="preserve">of interventions </w:t>
            </w:r>
            <w:r w:rsidRPr="000D0D9A">
              <w:rPr>
                <w:rFonts w:cs="Calibri"/>
                <w:szCs w:val="24"/>
                <w:lang w:val="en-GB"/>
              </w:rPr>
              <w:t>(number of participant</w:t>
            </w:r>
            <w:r w:rsidR="000A33E5">
              <w:rPr>
                <w:rFonts w:cs="Calibri" w:hint="eastAsia"/>
                <w:szCs w:val="24"/>
                <w:lang w:val="en-GB"/>
              </w:rPr>
              <w:t>s</w:t>
            </w:r>
            <w:r w:rsidRPr="000D0D9A">
              <w:rPr>
                <w:rFonts w:cs="Calibri"/>
                <w:szCs w:val="24"/>
                <w:lang w:val="en-GB"/>
              </w:rPr>
              <w:t>)</w:t>
            </w:r>
          </w:p>
        </w:tc>
      </w:tr>
      <w:tr w:rsidR="00626C2A" w:rsidRPr="000D0D9A" w14:paraId="2DD2921E" w14:textId="77777777" w:rsidTr="00152DCF">
        <w:tc>
          <w:tcPr>
            <w:tcW w:w="3227" w:type="dxa"/>
            <w:vMerge w:val="restart"/>
          </w:tcPr>
          <w:p w14:paraId="5DE12CA1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 xml:space="preserve">Arranging a new appointment </w:t>
            </w:r>
          </w:p>
          <w:p w14:paraId="2279F2F5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(n=12)</w:t>
            </w:r>
          </w:p>
        </w:tc>
        <w:tc>
          <w:tcPr>
            <w:tcW w:w="3736" w:type="dxa"/>
          </w:tcPr>
          <w:p w14:paraId="3B6A6C02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Outpatient appointment</w:t>
            </w:r>
          </w:p>
        </w:tc>
        <w:tc>
          <w:tcPr>
            <w:tcW w:w="1792" w:type="dxa"/>
          </w:tcPr>
          <w:p w14:paraId="7CBE5BBE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2 (2)</w:t>
            </w:r>
          </w:p>
        </w:tc>
      </w:tr>
      <w:tr w:rsidR="00626C2A" w:rsidRPr="000D0D9A" w14:paraId="40804FF6" w14:textId="77777777" w:rsidTr="00152DCF">
        <w:tc>
          <w:tcPr>
            <w:tcW w:w="3227" w:type="dxa"/>
            <w:vMerge/>
          </w:tcPr>
          <w:p w14:paraId="023C59C0" w14:textId="77777777" w:rsidR="00BF2CDD" w:rsidRPr="000D0D9A" w:rsidRDefault="00BF2CDD" w:rsidP="00DC542F">
            <w:pPr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604BCDD9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Home visit</w:t>
            </w:r>
          </w:p>
        </w:tc>
        <w:tc>
          <w:tcPr>
            <w:tcW w:w="1792" w:type="dxa"/>
          </w:tcPr>
          <w:p w14:paraId="5724F964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7 (7)</w:t>
            </w:r>
          </w:p>
        </w:tc>
      </w:tr>
      <w:tr w:rsidR="00626C2A" w:rsidRPr="000D0D9A" w14:paraId="1265D16C" w14:textId="77777777" w:rsidTr="00152DCF">
        <w:tc>
          <w:tcPr>
            <w:tcW w:w="3227" w:type="dxa"/>
            <w:vMerge/>
          </w:tcPr>
          <w:p w14:paraId="15887A05" w14:textId="77777777" w:rsidR="00BF2CDD" w:rsidRPr="000D0D9A" w:rsidRDefault="00BF2CDD" w:rsidP="00DC542F">
            <w:pPr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2FBDC9A4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Elective admission</w:t>
            </w:r>
          </w:p>
        </w:tc>
        <w:tc>
          <w:tcPr>
            <w:tcW w:w="1792" w:type="dxa"/>
          </w:tcPr>
          <w:p w14:paraId="1EED586B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3 (3)</w:t>
            </w:r>
          </w:p>
        </w:tc>
      </w:tr>
      <w:tr w:rsidR="00626C2A" w:rsidRPr="000D0D9A" w14:paraId="7E70AF2B" w14:textId="77777777" w:rsidTr="00152DCF">
        <w:tc>
          <w:tcPr>
            <w:tcW w:w="3227" w:type="dxa"/>
            <w:vMerge w:val="restart"/>
          </w:tcPr>
          <w:p w14:paraId="671FD9D3" w14:textId="77777777" w:rsidR="00152DCF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 xml:space="preserve">Treatment adjustment </w:t>
            </w:r>
          </w:p>
          <w:p w14:paraId="4BF45954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(n=16)</w:t>
            </w:r>
          </w:p>
        </w:tc>
        <w:tc>
          <w:tcPr>
            <w:tcW w:w="3736" w:type="dxa"/>
          </w:tcPr>
          <w:p w14:paraId="7813D802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NIV adjustment (IPAP increase)</w:t>
            </w:r>
          </w:p>
        </w:tc>
        <w:tc>
          <w:tcPr>
            <w:tcW w:w="1792" w:type="dxa"/>
          </w:tcPr>
          <w:p w14:paraId="2C52C588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11 (8)</w:t>
            </w:r>
          </w:p>
        </w:tc>
      </w:tr>
      <w:tr w:rsidR="00626C2A" w:rsidRPr="000D0D9A" w14:paraId="1CBECFBF" w14:textId="77777777" w:rsidTr="00152DCF">
        <w:tc>
          <w:tcPr>
            <w:tcW w:w="3227" w:type="dxa"/>
            <w:vMerge/>
          </w:tcPr>
          <w:p w14:paraId="43FD10BD" w14:textId="77777777" w:rsidR="00BF2CDD" w:rsidRPr="000D0D9A" w:rsidRDefault="00BF2CDD" w:rsidP="00DC542F">
            <w:pPr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5E77EFE9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Cough assistor adjustment</w:t>
            </w:r>
          </w:p>
        </w:tc>
        <w:tc>
          <w:tcPr>
            <w:tcW w:w="1792" w:type="dxa"/>
          </w:tcPr>
          <w:p w14:paraId="3A3BA1E6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5 (3)</w:t>
            </w:r>
          </w:p>
        </w:tc>
      </w:tr>
      <w:tr w:rsidR="00626C2A" w:rsidRPr="000D0D9A" w14:paraId="1E6FA891" w14:textId="77777777" w:rsidTr="00152DCF">
        <w:tc>
          <w:tcPr>
            <w:tcW w:w="3227" w:type="dxa"/>
            <w:vMerge w:val="restart"/>
          </w:tcPr>
          <w:p w14:paraId="5F348809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Equipment provision</w:t>
            </w:r>
          </w:p>
          <w:p w14:paraId="7D539D34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 xml:space="preserve"> (n=19)</w:t>
            </w:r>
          </w:p>
        </w:tc>
        <w:tc>
          <w:tcPr>
            <w:tcW w:w="3736" w:type="dxa"/>
          </w:tcPr>
          <w:p w14:paraId="0BC2CF3A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Accessories e.g. masks</w:t>
            </w:r>
          </w:p>
        </w:tc>
        <w:tc>
          <w:tcPr>
            <w:tcW w:w="1792" w:type="dxa"/>
          </w:tcPr>
          <w:p w14:paraId="4B9496F2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13 (9)</w:t>
            </w:r>
          </w:p>
        </w:tc>
      </w:tr>
      <w:tr w:rsidR="00626C2A" w:rsidRPr="000D0D9A" w14:paraId="3F2CFA5D" w14:textId="77777777" w:rsidTr="00152DCF">
        <w:tc>
          <w:tcPr>
            <w:tcW w:w="3227" w:type="dxa"/>
            <w:vMerge/>
          </w:tcPr>
          <w:p w14:paraId="3CA296AC" w14:textId="77777777" w:rsidR="00BF2CDD" w:rsidRPr="000D0D9A" w:rsidRDefault="00BF2CDD" w:rsidP="00DC542F">
            <w:pPr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447B0FB6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Second NIV or exchange NIV</w:t>
            </w:r>
          </w:p>
        </w:tc>
        <w:tc>
          <w:tcPr>
            <w:tcW w:w="1792" w:type="dxa"/>
          </w:tcPr>
          <w:p w14:paraId="4016A10B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4 (3)</w:t>
            </w:r>
          </w:p>
        </w:tc>
      </w:tr>
      <w:tr w:rsidR="00626C2A" w:rsidRPr="000D0D9A" w14:paraId="08CD103C" w14:textId="77777777" w:rsidTr="00152DCF">
        <w:tc>
          <w:tcPr>
            <w:tcW w:w="3227" w:type="dxa"/>
            <w:vMerge/>
          </w:tcPr>
          <w:p w14:paraId="3B8D93AF" w14:textId="77777777" w:rsidR="00BF2CDD" w:rsidRPr="000D0D9A" w:rsidRDefault="00BF2CDD" w:rsidP="00DC542F">
            <w:pPr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41676881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New cough assistor</w:t>
            </w:r>
          </w:p>
        </w:tc>
        <w:tc>
          <w:tcPr>
            <w:tcW w:w="1792" w:type="dxa"/>
          </w:tcPr>
          <w:p w14:paraId="37210517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1 (1)</w:t>
            </w:r>
          </w:p>
        </w:tc>
      </w:tr>
      <w:tr w:rsidR="00626C2A" w:rsidRPr="000D0D9A" w14:paraId="4B16B7AE" w14:textId="77777777" w:rsidTr="00152DCF">
        <w:tc>
          <w:tcPr>
            <w:tcW w:w="3227" w:type="dxa"/>
            <w:vMerge/>
          </w:tcPr>
          <w:p w14:paraId="3DF48F36" w14:textId="77777777" w:rsidR="00BF2CDD" w:rsidRPr="000D0D9A" w:rsidRDefault="00BF2CDD" w:rsidP="00DC542F">
            <w:pPr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6A26D40B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Humidifier</w:t>
            </w:r>
          </w:p>
        </w:tc>
        <w:tc>
          <w:tcPr>
            <w:tcW w:w="1792" w:type="dxa"/>
          </w:tcPr>
          <w:p w14:paraId="6EA1AA7F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1 (1)</w:t>
            </w:r>
          </w:p>
        </w:tc>
      </w:tr>
      <w:tr w:rsidR="00626C2A" w:rsidRPr="000D0D9A" w14:paraId="5DF9C695" w14:textId="77777777" w:rsidTr="00152DCF">
        <w:tc>
          <w:tcPr>
            <w:tcW w:w="3227" w:type="dxa"/>
            <w:vMerge w:val="restart"/>
          </w:tcPr>
          <w:p w14:paraId="41917DA1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 xml:space="preserve">Referral </w:t>
            </w:r>
          </w:p>
          <w:p w14:paraId="058D6727" w14:textId="77777777" w:rsidR="00BF2CDD" w:rsidRPr="000D0D9A" w:rsidRDefault="00E67C2C" w:rsidP="00DC542F">
            <w:pPr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(n=14)</w:t>
            </w:r>
          </w:p>
        </w:tc>
        <w:tc>
          <w:tcPr>
            <w:tcW w:w="3736" w:type="dxa"/>
          </w:tcPr>
          <w:p w14:paraId="1CBAF898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Advice from another professionals</w:t>
            </w:r>
          </w:p>
        </w:tc>
        <w:tc>
          <w:tcPr>
            <w:tcW w:w="1792" w:type="dxa"/>
          </w:tcPr>
          <w:p w14:paraId="4BDFA640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13 (7)</w:t>
            </w:r>
          </w:p>
        </w:tc>
      </w:tr>
      <w:tr w:rsidR="00BF2CDD" w:rsidRPr="000D0D9A" w14:paraId="024FB261" w14:textId="77777777" w:rsidTr="00152DCF">
        <w:tc>
          <w:tcPr>
            <w:tcW w:w="3227" w:type="dxa"/>
            <w:vMerge/>
          </w:tcPr>
          <w:p w14:paraId="52441A18" w14:textId="77777777" w:rsidR="00BF2CDD" w:rsidRPr="000D0D9A" w:rsidRDefault="00BF2CDD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</w:p>
        </w:tc>
        <w:tc>
          <w:tcPr>
            <w:tcW w:w="3736" w:type="dxa"/>
          </w:tcPr>
          <w:p w14:paraId="19A9EE00" w14:textId="77777777" w:rsidR="00BF2CDD" w:rsidRPr="000D0D9A" w:rsidRDefault="00E67C2C" w:rsidP="00DC542F">
            <w:pPr>
              <w:spacing w:after="100" w:afterAutospacing="1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GP review advised</w:t>
            </w:r>
          </w:p>
        </w:tc>
        <w:tc>
          <w:tcPr>
            <w:tcW w:w="1792" w:type="dxa"/>
          </w:tcPr>
          <w:p w14:paraId="271C4354" w14:textId="77777777" w:rsidR="00BF2CDD" w:rsidRPr="000D0D9A" w:rsidRDefault="00E67C2C" w:rsidP="00DC542F">
            <w:pPr>
              <w:spacing w:after="100" w:afterAutospacing="1"/>
              <w:jc w:val="center"/>
              <w:rPr>
                <w:rFonts w:cs="Calibri"/>
                <w:szCs w:val="24"/>
                <w:lang w:val="en-GB"/>
              </w:rPr>
            </w:pPr>
            <w:r w:rsidRPr="000D0D9A">
              <w:rPr>
                <w:rFonts w:cs="Calibri"/>
                <w:szCs w:val="24"/>
                <w:lang w:val="en-GB"/>
              </w:rPr>
              <w:t>1 (1)</w:t>
            </w:r>
          </w:p>
        </w:tc>
      </w:tr>
    </w:tbl>
    <w:p w14:paraId="467AE3F1" w14:textId="77777777" w:rsidR="00E63F48" w:rsidRPr="000D0D9A" w:rsidRDefault="00E63F48" w:rsidP="00BF2CDD">
      <w:pPr>
        <w:spacing w:after="100" w:afterAutospacing="1"/>
        <w:rPr>
          <w:rFonts w:cs="Calibri"/>
          <w:szCs w:val="24"/>
          <w:lang w:val="en-GB"/>
        </w:rPr>
      </w:pPr>
    </w:p>
    <w:p w14:paraId="738770F0" w14:textId="77777777" w:rsidR="00A354C3" w:rsidRPr="004A50C7" w:rsidRDefault="00A354C3">
      <w:pPr>
        <w:rPr>
          <w:lang w:val="en-GB"/>
        </w:rPr>
      </w:pPr>
    </w:p>
    <w:sectPr w:rsidR="00A354C3" w:rsidRPr="004A50C7" w:rsidSect="00EE5CE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AF170" w14:textId="77777777" w:rsidR="009562B6" w:rsidRDefault="009562B6" w:rsidP="0030193E">
      <w:r>
        <w:separator/>
      </w:r>
    </w:p>
  </w:endnote>
  <w:endnote w:type="continuationSeparator" w:id="0">
    <w:p w14:paraId="30C12C22" w14:textId="77777777" w:rsidR="009562B6" w:rsidRDefault="009562B6" w:rsidP="0030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71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FBBFC" w14:textId="23897E95" w:rsidR="00D54699" w:rsidRDefault="004B160B">
        <w:pPr>
          <w:pStyle w:val="Footer"/>
          <w:jc w:val="right"/>
        </w:pPr>
        <w:r>
          <w:fldChar w:fldCharType="begin"/>
        </w:r>
        <w:r w:rsidR="00D54699">
          <w:instrText xml:space="preserve"> PAGE   \* MERGEFORMAT </w:instrText>
        </w:r>
        <w:r>
          <w:fldChar w:fldCharType="separate"/>
        </w:r>
        <w:r w:rsidR="00E14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B687E" w14:textId="77777777" w:rsidR="00D54699" w:rsidRDefault="00D5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06CA" w14:textId="77777777" w:rsidR="009562B6" w:rsidRDefault="009562B6" w:rsidP="0030193E">
      <w:r>
        <w:separator/>
      </w:r>
    </w:p>
  </w:footnote>
  <w:footnote w:type="continuationSeparator" w:id="0">
    <w:p w14:paraId="4B5BE250" w14:textId="77777777" w:rsidR="009562B6" w:rsidRDefault="009562B6" w:rsidP="0030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9C6"/>
    <w:multiLevelType w:val="hybridMultilevel"/>
    <w:tmpl w:val="3C2CD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4358"/>
    <w:multiLevelType w:val="hybridMultilevel"/>
    <w:tmpl w:val="DFF69DCC"/>
    <w:lvl w:ilvl="0" w:tplc="DFF2C83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89"/>
    <w:rsid w:val="00004C47"/>
    <w:rsid w:val="000122EA"/>
    <w:rsid w:val="00020D4C"/>
    <w:rsid w:val="00021021"/>
    <w:rsid w:val="00025F4B"/>
    <w:rsid w:val="000276CA"/>
    <w:rsid w:val="00031E2E"/>
    <w:rsid w:val="000415D9"/>
    <w:rsid w:val="00057F69"/>
    <w:rsid w:val="00084621"/>
    <w:rsid w:val="00090901"/>
    <w:rsid w:val="000A33E5"/>
    <w:rsid w:val="000B69C4"/>
    <w:rsid w:val="000B7D07"/>
    <w:rsid w:val="000C0B0A"/>
    <w:rsid w:val="000C0E13"/>
    <w:rsid w:val="000C3A9C"/>
    <w:rsid w:val="000D0D9A"/>
    <w:rsid w:val="000D2115"/>
    <w:rsid w:val="000D365A"/>
    <w:rsid w:val="000D6ACB"/>
    <w:rsid w:val="000D7424"/>
    <w:rsid w:val="000E1A97"/>
    <w:rsid w:val="000E1DA1"/>
    <w:rsid w:val="000E22AF"/>
    <w:rsid w:val="000E7058"/>
    <w:rsid w:val="000E72F4"/>
    <w:rsid w:val="000F3A96"/>
    <w:rsid w:val="001033D8"/>
    <w:rsid w:val="00106CA7"/>
    <w:rsid w:val="00110F53"/>
    <w:rsid w:val="001126B2"/>
    <w:rsid w:val="00116812"/>
    <w:rsid w:val="001171D6"/>
    <w:rsid w:val="0012130E"/>
    <w:rsid w:val="001233BF"/>
    <w:rsid w:val="00125E71"/>
    <w:rsid w:val="001329DC"/>
    <w:rsid w:val="001340D0"/>
    <w:rsid w:val="00137EF3"/>
    <w:rsid w:val="00141E4D"/>
    <w:rsid w:val="00151B41"/>
    <w:rsid w:val="00152DCF"/>
    <w:rsid w:val="001550E3"/>
    <w:rsid w:val="00171DA2"/>
    <w:rsid w:val="001766CC"/>
    <w:rsid w:val="00184F22"/>
    <w:rsid w:val="00195331"/>
    <w:rsid w:val="001B6598"/>
    <w:rsid w:val="001B7B5D"/>
    <w:rsid w:val="001C4007"/>
    <w:rsid w:val="001D3B60"/>
    <w:rsid w:val="001D721B"/>
    <w:rsid w:val="001F13F1"/>
    <w:rsid w:val="001F3C15"/>
    <w:rsid w:val="001F51B8"/>
    <w:rsid w:val="001F55F8"/>
    <w:rsid w:val="00226D78"/>
    <w:rsid w:val="002321B0"/>
    <w:rsid w:val="00233521"/>
    <w:rsid w:val="002408A0"/>
    <w:rsid w:val="00250A16"/>
    <w:rsid w:val="00251E32"/>
    <w:rsid w:val="00256E13"/>
    <w:rsid w:val="00257421"/>
    <w:rsid w:val="002578D7"/>
    <w:rsid w:val="002625D4"/>
    <w:rsid w:val="002625F4"/>
    <w:rsid w:val="0026416D"/>
    <w:rsid w:val="002A18DA"/>
    <w:rsid w:val="002A5EBC"/>
    <w:rsid w:val="002B3466"/>
    <w:rsid w:val="002B4995"/>
    <w:rsid w:val="002C2327"/>
    <w:rsid w:val="002C248B"/>
    <w:rsid w:val="002C2D56"/>
    <w:rsid w:val="002C7E1C"/>
    <w:rsid w:val="002F14BD"/>
    <w:rsid w:val="0030193E"/>
    <w:rsid w:val="00310667"/>
    <w:rsid w:val="003125E7"/>
    <w:rsid w:val="0032714C"/>
    <w:rsid w:val="0033204E"/>
    <w:rsid w:val="00333295"/>
    <w:rsid w:val="003355F2"/>
    <w:rsid w:val="003424C9"/>
    <w:rsid w:val="003637C4"/>
    <w:rsid w:val="00373419"/>
    <w:rsid w:val="003801D6"/>
    <w:rsid w:val="00380944"/>
    <w:rsid w:val="0038255C"/>
    <w:rsid w:val="00395835"/>
    <w:rsid w:val="003B1F21"/>
    <w:rsid w:val="003C19AF"/>
    <w:rsid w:val="003D3FC1"/>
    <w:rsid w:val="003D6E32"/>
    <w:rsid w:val="003D7043"/>
    <w:rsid w:val="003E03A8"/>
    <w:rsid w:val="003F1199"/>
    <w:rsid w:val="003F4F48"/>
    <w:rsid w:val="004033B6"/>
    <w:rsid w:val="004119C5"/>
    <w:rsid w:val="004138C6"/>
    <w:rsid w:val="00414683"/>
    <w:rsid w:val="00421803"/>
    <w:rsid w:val="004264E2"/>
    <w:rsid w:val="004526E9"/>
    <w:rsid w:val="004561AD"/>
    <w:rsid w:val="004647C2"/>
    <w:rsid w:val="0047607B"/>
    <w:rsid w:val="00494A00"/>
    <w:rsid w:val="004A50C7"/>
    <w:rsid w:val="004A5D3F"/>
    <w:rsid w:val="004A648D"/>
    <w:rsid w:val="004B160B"/>
    <w:rsid w:val="004B1CE9"/>
    <w:rsid w:val="004B48C1"/>
    <w:rsid w:val="004B6E04"/>
    <w:rsid w:val="004C55B0"/>
    <w:rsid w:val="004D1790"/>
    <w:rsid w:val="004D596E"/>
    <w:rsid w:val="004E6232"/>
    <w:rsid w:val="004E6438"/>
    <w:rsid w:val="004E70E2"/>
    <w:rsid w:val="004F2728"/>
    <w:rsid w:val="00501FD3"/>
    <w:rsid w:val="00511A65"/>
    <w:rsid w:val="00512420"/>
    <w:rsid w:val="00513AB9"/>
    <w:rsid w:val="00514A75"/>
    <w:rsid w:val="00524F89"/>
    <w:rsid w:val="00540294"/>
    <w:rsid w:val="00545EF6"/>
    <w:rsid w:val="00553510"/>
    <w:rsid w:val="00555EF5"/>
    <w:rsid w:val="0056062C"/>
    <w:rsid w:val="00564583"/>
    <w:rsid w:val="00566A7A"/>
    <w:rsid w:val="00577ACE"/>
    <w:rsid w:val="00591BD4"/>
    <w:rsid w:val="00592CB6"/>
    <w:rsid w:val="00592EBA"/>
    <w:rsid w:val="005A0307"/>
    <w:rsid w:val="005A6636"/>
    <w:rsid w:val="005A6C1F"/>
    <w:rsid w:val="005B30C2"/>
    <w:rsid w:val="005B3544"/>
    <w:rsid w:val="005B776D"/>
    <w:rsid w:val="005B79E1"/>
    <w:rsid w:val="005C2174"/>
    <w:rsid w:val="005C5546"/>
    <w:rsid w:val="005D393F"/>
    <w:rsid w:val="005D7ADB"/>
    <w:rsid w:val="005E1BCF"/>
    <w:rsid w:val="005F031A"/>
    <w:rsid w:val="005F1D55"/>
    <w:rsid w:val="00617A92"/>
    <w:rsid w:val="00621171"/>
    <w:rsid w:val="00626C2A"/>
    <w:rsid w:val="00633225"/>
    <w:rsid w:val="00650B11"/>
    <w:rsid w:val="00652233"/>
    <w:rsid w:val="0067345E"/>
    <w:rsid w:val="00676EB0"/>
    <w:rsid w:val="006C28BE"/>
    <w:rsid w:val="006C4348"/>
    <w:rsid w:val="006D009C"/>
    <w:rsid w:val="006D4C26"/>
    <w:rsid w:val="006D5900"/>
    <w:rsid w:val="006E30C3"/>
    <w:rsid w:val="006E5DA8"/>
    <w:rsid w:val="006F0730"/>
    <w:rsid w:val="006F3A13"/>
    <w:rsid w:val="00704291"/>
    <w:rsid w:val="00704B10"/>
    <w:rsid w:val="00705DFA"/>
    <w:rsid w:val="00711440"/>
    <w:rsid w:val="00737BDC"/>
    <w:rsid w:val="00742620"/>
    <w:rsid w:val="00754496"/>
    <w:rsid w:val="007618AD"/>
    <w:rsid w:val="00762D48"/>
    <w:rsid w:val="00773BB4"/>
    <w:rsid w:val="007762E4"/>
    <w:rsid w:val="00776585"/>
    <w:rsid w:val="00776E52"/>
    <w:rsid w:val="0078075A"/>
    <w:rsid w:val="00784B5A"/>
    <w:rsid w:val="00794A04"/>
    <w:rsid w:val="00797778"/>
    <w:rsid w:val="007A0F66"/>
    <w:rsid w:val="007B6257"/>
    <w:rsid w:val="007C7244"/>
    <w:rsid w:val="007D2352"/>
    <w:rsid w:val="007D2924"/>
    <w:rsid w:val="007D503F"/>
    <w:rsid w:val="00811042"/>
    <w:rsid w:val="00814891"/>
    <w:rsid w:val="0081512D"/>
    <w:rsid w:val="00824193"/>
    <w:rsid w:val="0083051B"/>
    <w:rsid w:val="00852373"/>
    <w:rsid w:val="00865DE1"/>
    <w:rsid w:val="00870209"/>
    <w:rsid w:val="00872916"/>
    <w:rsid w:val="00882D8C"/>
    <w:rsid w:val="00885415"/>
    <w:rsid w:val="00891FA2"/>
    <w:rsid w:val="00895682"/>
    <w:rsid w:val="008B2C38"/>
    <w:rsid w:val="008B4EE8"/>
    <w:rsid w:val="008B6AAD"/>
    <w:rsid w:val="008D2DB4"/>
    <w:rsid w:val="008D4329"/>
    <w:rsid w:val="008D5C7E"/>
    <w:rsid w:val="008E3E1B"/>
    <w:rsid w:val="00902795"/>
    <w:rsid w:val="00903D64"/>
    <w:rsid w:val="00904CC9"/>
    <w:rsid w:val="009101B9"/>
    <w:rsid w:val="0091214E"/>
    <w:rsid w:val="00915201"/>
    <w:rsid w:val="0092079F"/>
    <w:rsid w:val="00924995"/>
    <w:rsid w:val="00941709"/>
    <w:rsid w:val="009432E7"/>
    <w:rsid w:val="00945991"/>
    <w:rsid w:val="009536E8"/>
    <w:rsid w:val="009562B6"/>
    <w:rsid w:val="00957479"/>
    <w:rsid w:val="009612D8"/>
    <w:rsid w:val="00984ECB"/>
    <w:rsid w:val="00990059"/>
    <w:rsid w:val="009A70C9"/>
    <w:rsid w:val="009D1C54"/>
    <w:rsid w:val="009D4181"/>
    <w:rsid w:val="009D4C51"/>
    <w:rsid w:val="009E6D67"/>
    <w:rsid w:val="009F76A6"/>
    <w:rsid w:val="00A01CEA"/>
    <w:rsid w:val="00A053CA"/>
    <w:rsid w:val="00A224DD"/>
    <w:rsid w:val="00A246DB"/>
    <w:rsid w:val="00A2612C"/>
    <w:rsid w:val="00A30651"/>
    <w:rsid w:val="00A31475"/>
    <w:rsid w:val="00A354C3"/>
    <w:rsid w:val="00A378C7"/>
    <w:rsid w:val="00A40478"/>
    <w:rsid w:val="00A61144"/>
    <w:rsid w:val="00A710F6"/>
    <w:rsid w:val="00A71C7E"/>
    <w:rsid w:val="00A8025A"/>
    <w:rsid w:val="00A85DFE"/>
    <w:rsid w:val="00A8640B"/>
    <w:rsid w:val="00A96B09"/>
    <w:rsid w:val="00AA1320"/>
    <w:rsid w:val="00AA1541"/>
    <w:rsid w:val="00AA2A71"/>
    <w:rsid w:val="00AA57F3"/>
    <w:rsid w:val="00AA5C42"/>
    <w:rsid w:val="00AB3970"/>
    <w:rsid w:val="00AB73F7"/>
    <w:rsid w:val="00AC17DF"/>
    <w:rsid w:val="00AC1E74"/>
    <w:rsid w:val="00AC493E"/>
    <w:rsid w:val="00AD2DA5"/>
    <w:rsid w:val="00AE56C9"/>
    <w:rsid w:val="00AF6B30"/>
    <w:rsid w:val="00B00000"/>
    <w:rsid w:val="00B03A8F"/>
    <w:rsid w:val="00B04B49"/>
    <w:rsid w:val="00B04F95"/>
    <w:rsid w:val="00B05D10"/>
    <w:rsid w:val="00B076F0"/>
    <w:rsid w:val="00B3028D"/>
    <w:rsid w:val="00B30FAD"/>
    <w:rsid w:val="00B31F19"/>
    <w:rsid w:val="00B325B3"/>
    <w:rsid w:val="00B34062"/>
    <w:rsid w:val="00B4582B"/>
    <w:rsid w:val="00B45C2D"/>
    <w:rsid w:val="00B50879"/>
    <w:rsid w:val="00B532E2"/>
    <w:rsid w:val="00B6235A"/>
    <w:rsid w:val="00B66925"/>
    <w:rsid w:val="00B73FE5"/>
    <w:rsid w:val="00B8275D"/>
    <w:rsid w:val="00B92DAE"/>
    <w:rsid w:val="00BC72DA"/>
    <w:rsid w:val="00BC7949"/>
    <w:rsid w:val="00BD3B9A"/>
    <w:rsid w:val="00BE4860"/>
    <w:rsid w:val="00BE5C1A"/>
    <w:rsid w:val="00BE7DF8"/>
    <w:rsid w:val="00BF2CDD"/>
    <w:rsid w:val="00BF4F0B"/>
    <w:rsid w:val="00C04650"/>
    <w:rsid w:val="00C10A34"/>
    <w:rsid w:val="00C17B2F"/>
    <w:rsid w:val="00C21F21"/>
    <w:rsid w:val="00C33CAB"/>
    <w:rsid w:val="00C37B27"/>
    <w:rsid w:val="00C53B36"/>
    <w:rsid w:val="00C60534"/>
    <w:rsid w:val="00C6063B"/>
    <w:rsid w:val="00C65152"/>
    <w:rsid w:val="00C7360D"/>
    <w:rsid w:val="00C83FB3"/>
    <w:rsid w:val="00C862C9"/>
    <w:rsid w:val="00C962E4"/>
    <w:rsid w:val="00CA5B21"/>
    <w:rsid w:val="00CB3575"/>
    <w:rsid w:val="00CB5618"/>
    <w:rsid w:val="00CB5C9D"/>
    <w:rsid w:val="00CC0B17"/>
    <w:rsid w:val="00CE673B"/>
    <w:rsid w:val="00CF7474"/>
    <w:rsid w:val="00D06EF0"/>
    <w:rsid w:val="00D077E2"/>
    <w:rsid w:val="00D12D85"/>
    <w:rsid w:val="00D13FB1"/>
    <w:rsid w:val="00D21316"/>
    <w:rsid w:val="00D2403C"/>
    <w:rsid w:val="00D25B1E"/>
    <w:rsid w:val="00D377F8"/>
    <w:rsid w:val="00D408C3"/>
    <w:rsid w:val="00D50939"/>
    <w:rsid w:val="00D53632"/>
    <w:rsid w:val="00D54699"/>
    <w:rsid w:val="00D6015D"/>
    <w:rsid w:val="00D60E9B"/>
    <w:rsid w:val="00D642E8"/>
    <w:rsid w:val="00D870BC"/>
    <w:rsid w:val="00DB571E"/>
    <w:rsid w:val="00DC542F"/>
    <w:rsid w:val="00DD721A"/>
    <w:rsid w:val="00DD7BBF"/>
    <w:rsid w:val="00DE2879"/>
    <w:rsid w:val="00E02A0D"/>
    <w:rsid w:val="00E1141A"/>
    <w:rsid w:val="00E1420F"/>
    <w:rsid w:val="00E21231"/>
    <w:rsid w:val="00E35632"/>
    <w:rsid w:val="00E37F52"/>
    <w:rsid w:val="00E43CA4"/>
    <w:rsid w:val="00E47F8D"/>
    <w:rsid w:val="00E63F48"/>
    <w:rsid w:val="00E67C2C"/>
    <w:rsid w:val="00E8236C"/>
    <w:rsid w:val="00E8504D"/>
    <w:rsid w:val="00E86C8B"/>
    <w:rsid w:val="00EB431B"/>
    <w:rsid w:val="00EB6616"/>
    <w:rsid w:val="00EB726E"/>
    <w:rsid w:val="00ED0F72"/>
    <w:rsid w:val="00EE5CE0"/>
    <w:rsid w:val="00EE6B32"/>
    <w:rsid w:val="00EE7185"/>
    <w:rsid w:val="00EF0819"/>
    <w:rsid w:val="00EF0E97"/>
    <w:rsid w:val="00EF333A"/>
    <w:rsid w:val="00F207CC"/>
    <w:rsid w:val="00F20EFD"/>
    <w:rsid w:val="00F26271"/>
    <w:rsid w:val="00F32CA9"/>
    <w:rsid w:val="00F36E75"/>
    <w:rsid w:val="00F53A07"/>
    <w:rsid w:val="00F5585D"/>
    <w:rsid w:val="00F6108D"/>
    <w:rsid w:val="00F6609F"/>
    <w:rsid w:val="00F750FC"/>
    <w:rsid w:val="00F81EE8"/>
    <w:rsid w:val="00F86A9E"/>
    <w:rsid w:val="00F95991"/>
    <w:rsid w:val="00FA1A9C"/>
    <w:rsid w:val="00FB3108"/>
    <w:rsid w:val="00FB5B4C"/>
    <w:rsid w:val="00FB67C9"/>
    <w:rsid w:val="00FF2912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8683"/>
  <w15:docId w15:val="{4DD56C4E-380F-1848-BDEA-82969CA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36"/>
    <w:pPr>
      <w:widowControl w:val="0"/>
      <w:spacing w:after="0" w:line="240" w:lineRule="auto"/>
      <w:jc w:val="both"/>
    </w:pPr>
    <w:rPr>
      <w:rFonts w:ascii="Calibri" w:hAnsi="Calibri"/>
      <w:kern w:val="2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A8F"/>
    <w:pPr>
      <w:keepNext/>
      <w:outlineLvl w:val="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3F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C2D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8F"/>
    <w:rPr>
      <w:rFonts w:ascii="Times New Roman" w:eastAsiaTheme="majorEastAsia" w:hAnsi="Times New Roman" w:cstheme="majorBidi"/>
      <w:b/>
      <w:kern w:val="2"/>
      <w:sz w:val="28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01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3E"/>
    <w:rPr>
      <w:rFonts w:ascii="Calibri" w:eastAsiaTheme="minorEastAsia" w:hAnsi="Calibri"/>
      <w:kern w:val="2"/>
      <w:sz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01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3E"/>
    <w:rPr>
      <w:rFonts w:ascii="Calibri" w:eastAsiaTheme="minorEastAsia" w:hAnsi="Calibri"/>
      <w:kern w:val="2"/>
      <w:sz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29DC"/>
    <w:rPr>
      <w:rFonts w:asciiTheme="majorHAnsi" w:eastAsiaTheme="majorEastAsia" w:hAnsiTheme="majorHAnsi" w:cstheme="majorBidi"/>
      <w:b/>
      <w:bCs/>
      <w:color w:val="000000" w:themeColor="text1"/>
      <w:kern w:val="2"/>
      <w:sz w:val="24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F13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B1CE9"/>
    <w:pPr>
      <w:spacing w:after="0" w:line="240" w:lineRule="auto"/>
    </w:pPr>
    <w:rPr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2C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CDD"/>
    <w:pPr>
      <w:jc w:val="left"/>
    </w:pPr>
    <w:rPr>
      <w:rFonts w:asciiTheme="minorHAnsi" w:hAnsiTheme="minorHAnsi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CDD"/>
    <w:rPr>
      <w:rFonts w:eastAsiaTheme="minorEastAsia"/>
      <w:kern w:val="2"/>
      <w:sz w:val="21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F2CD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DD"/>
    <w:rPr>
      <w:rFonts w:ascii="Tahoma" w:eastAsiaTheme="minorEastAsia" w:hAnsi="Tahoma" w:cs="Tahoma"/>
      <w:kern w:val="2"/>
      <w:sz w:val="16"/>
      <w:szCs w:val="16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45C2D"/>
    <w:rPr>
      <w:rFonts w:eastAsiaTheme="majorEastAsia" w:cstheme="majorBidi"/>
      <w:bCs/>
      <w:i/>
      <w:iCs/>
      <w:kern w:val="2"/>
      <w:sz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201"/>
    <w:pPr>
      <w:jc w:val="both"/>
    </w:pPr>
    <w:rPr>
      <w:rFonts w:ascii="Calibri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201"/>
    <w:rPr>
      <w:rFonts w:ascii="Calibri" w:eastAsiaTheme="minorEastAsia" w:hAnsi="Calibri"/>
      <w:b/>
      <w:bCs/>
      <w:kern w:val="2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776E52"/>
    <w:pPr>
      <w:ind w:leftChars="400" w:left="840"/>
    </w:pPr>
  </w:style>
  <w:style w:type="paragraph" w:styleId="Revision">
    <w:name w:val="Revision"/>
    <w:hidden/>
    <w:uiPriority w:val="99"/>
    <w:semiHidden/>
    <w:rsid w:val="001033D8"/>
    <w:pPr>
      <w:spacing w:after="0" w:line="240" w:lineRule="auto"/>
    </w:pPr>
    <w:rPr>
      <w:rFonts w:ascii="Calibri" w:hAnsi="Calibri"/>
      <w:kern w:val="2"/>
      <w:sz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354C3"/>
    <w:rPr>
      <w:color w:val="0000FF" w:themeColor="hyperlink"/>
      <w:u w:val="single"/>
    </w:rPr>
  </w:style>
  <w:style w:type="table" w:styleId="ListTable6Colorful-Accent1">
    <w:name w:val="List Table 6 Colorful Accent 1"/>
    <w:basedOn w:val="TableNormal"/>
    <w:uiPriority w:val="51"/>
    <w:rsid w:val="000E70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0E70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6D6F-21E3-49CA-B88A-B2702871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Aintree Hospital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Aintree</dc:creator>
  <cp:lastModifiedBy>adamsm2</cp:lastModifiedBy>
  <cp:revision>2</cp:revision>
  <cp:lastPrinted>2018-05-21T10:14:00Z</cp:lastPrinted>
  <dcterms:created xsi:type="dcterms:W3CDTF">2019-03-10T14:37:00Z</dcterms:created>
  <dcterms:modified xsi:type="dcterms:W3CDTF">2019-03-10T14:37:00Z</dcterms:modified>
</cp:coreProperties>
</file>