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D1A5F" w14:textId="6E17AB3B" w:rsidR="00AC3769" w:rsidRPr="00A429AA" w:rsidRDefault="009A6A33" w:rsidP="00965DE3">
      <w:pPr>
        <w:spacing w:line="360" w:lineRule="auto"/>
        <w:jc w:val="both"/>
        <w:rPr>
          <w:rFonts w:ascii="Times New Roman" w:eastAsia="Times New Roman" w:hAnsi="Times New Roman" w:cs="Times New Roman"/>
          <w:b/>
          <w:sz w:val="32"/>
          <w:szCs w:val="32"/>
        </w:rPr>
      </w:pPr>
      <w:r w:rsidRPr="00A429AA">
        <w:rPr>
          <w:rFonts w:ascii="Times New Roman" w:eastAsia="Times New Roman" w:hAnsi="Times New Roman" w:cs="Times New Roman"/>
          <w:b/>
          <w:sz w:val="32"/>
          <w:szCs w:val="32"/>
          <w:shd w:val="clear" w:color="auto" w:fill="FFFFFF"/>
        </w:rPr>
        <w:t>The impact of the 2007-</w:t>
      </w:r>
      <w:r w:rsidR="00AC3769" w:rsidRPr="00A429AA">
        <w:rPr>
          <w:rFonts w:ascii="Times New Roman" w:eastAsia="Times New Roman" w:hAnsi="Times New Roman" w:cs="Times New Roman"/>
          <w:b/>
          <w:sz w:val="32"/>
          <w:szCs w:val="32"/>
          <w:shd w:val="clear" w:color="auto" w:fill="FFFFFF"/>
        </w:rPr>
        <w:t>2008 financial crisis on the banking systems</w:t>
      </w:r>
      <w:r w:rsidRPr="00A429AA">
        <w:rPr>
          <w:rFonts w:ascii="Times New Roman" w:eastAsia="Times New Roman" w:hAnsi="Times New Roman" w:cs="Times New Roman"/>
          <w:b/>
          <w:sz w:val="32"/>
          <w:szCs w:val="32"/>
          <w:shd w:val="clear" w:color="auto" w:fill="FFFFFF"/>
        </w:rPr>
        <w:t xml:space="preserve"> in advanced European countries</w:t>
      </w:r>
    </w:p>
    <w:p w14:paraId="224DFA97" w14:textId="77777777" w:rsidR="00E66400" w:rsidRDefault="00E66400" w:rsidP="002C366B">
      <w:pPr>
        <w:rPr>
          <w:rFonts w:ascii="Times New Roman" w:hAnsi="Times New Roman" w:cs="Times New Roman"/>
        </w:rPr>
      </w:pPr>
    </w:p>
    <w:p w14:paraId="3EB63F95" w14:textId="77777777" w:rsidR="00E66400" w:rsidRPr="00A429AA" w:rsidRDefault="00E66400" w:rsidP="00E66400">
      <w:pPr>
        <w:rPr>
          <w:rFonts w:ascii="Times New Roman" w:hAnsi="Times New Roman" w:cs="Times New Roman"/>
          <w:b/>
          <w:sz w:val="28"/>
          <w:szCs w:val="28"/>
        </w:rPr>
      </w:pPr>
      <w:r w:rsidRPr="00A429AA">
        <w:rPr>
          <w:rFonts w:ascii="Times New Roman" w:hAnsi="Times New Roman" w:cs="Times New Roman"/>
          <w:b/>
          <w:sz w:val="28"/>
          <w:szCs w:val="28"/>
        </w:rPr>
        <w:t>Abstract</w:t>
      </w:r>
    </w:p>
    <w:p w14:paraId="70B20E1E" w14:textId="77777777" w:rsidR="00E66400" w:rsidRPr="00A429AA" w:rsidRDefault="00E66400" w:rsidP="00E66400">
      <w:pPr>
        <w:rPr>
          <w:rFonts w:ascii="Times New Roman" w:hAnsi="Times New Roman" w:cs="Times New Roman"/>
          <w:b/>
        </w:rPr>
      </w:pPr>
    </w:p>
    <w:p w14:paraId="79D490AD" w14:textId="77777777" w:rsidR="00E66400" w:rsidRPr="00A429AA" w:rsidRDefault="00E66400" w:rsidP="00E66400">
      <w:pPr>
        <w:rPr>
          <w:rFonts w:ascii="Times New Roman" w:hAnsi="Times New Roman" w:cs="Times New Roman"/>
          <w:b/>
        </w:rPr>
      </w:pPr>
    </w:p>
    <w:p w14:paraId="6ABF3FBF" w14:textId="77777777" w:rsidR="00E66400" w:rsidRPr="00A429AA" w:rsidRDefault="00E66400" w:rsidP="00E66400">
      <w:pPr>
        <w:widowControl w:val="0"/>
        <w:autoSpaceDE w:val="0"/>
        <w:autoSpaceDN w:val="0"/>
        <w:adjustRightInd w:val="0"/>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The aim of this article is to explore the impact of the financial crisis in 2007-2008 on the banking sector in advanced economies of the European Union. The 2007-2008 financial crisis severely affected economies of the European Union, where the recession, the aftermath of the crisis, was more severe than in the US. </w:t>
      </w:r>
      <w:r w:rsidRPr="00A429AA">
        <w:rPr>
          <w:rFonts w:ascii="Times New Roman" w:hAnsi="Times New Roman" w:cs="Times New Roman"/>
        </w:rPr>
        <w:t xml:space="preserve">Advanced economies </w:t>
      </w:r>
      <w:proofErr w:type="gramStart"/>
      <w:r w:rsidRPr="00A429AA">
        <w:rPr>
          <w:rFonts w:ascii="Times New Roman" w:hAnsi="Times New Roman" w:cs="Times New Roman"/>
        </w:rPr>
        <w:t>were not often examined</w:t>
      </w:r>
      <w:proofErr w:type="gramEnd"/>
      <w:r w:rsidRPr="00A429AA">
        <w:rPr>
          <w:rFonts w:ascii="Times New Roman" w:hAnsi="Times New Roman" w:cs="Times New Roman"/>
        </w:rPr>
        <w:t xml:space="preserve"> due to rare occurrences of financial crises in those countries, thus</w:t>
      </w:r>
      <w:r w:rsidRPr="00A429AA">
        <w:rPr>
          <w:rFonts w:ascii="Times New Roman" w:eastAsia="Times New Roman" w:hAnsi="Times New Roman" w:cs="Times New Roman"/>
        </w:rPr>
        <w:t xml:space="preserve"> this research will contribute to the literature by providing detailed analysis of the crisis consequences on the economy and banking sector in advanced economies. Additionally, this research will provide an overview of the impact of the financial crisis on the banking sectors using the capital asset pricing model (CAPM) beta of the banking sector. </w:t>
      </w:r>
    </w:p>
    <w:p w14:paraId="2493371E" w14:textId="49AC71DB" w:rsidR="00E66400" w:rsidRPr="00E66400" w:rsidRDefault="00E66400" w:rsidP="00E66400">
      <w:pPr>
        <w:widowControl w:val="0"/>
        <w:autoSpaceDE w:val="0"/>
        <w:autoSpaceDN w:val="0"/>
        <w:adjustRightInd w:val="0"/>
        <w:spacing w:after="240" w:line="360" w:lineRule="auto"/>
        <w:jc w:val="both"/>
        <w:rPr>
          <w:rFonts w:ascii="Times New Roman" w:hAnsi="Times New Roman" w:cs="Times New Roman"/>
        </w:rPr>
        <w:sectPr w:rsidR="00E66400" w:rsidRPr="00E66400" w:rsidSect="002C366B">
          <w:footnotePr>
            <w:numFmt w:val="chicago"/>
          </w:footnotePr>
          <w:pgSz w:w="11900" w:h="16840"/>
          <w:pgMar w:top="1440" w:right="1800" w:bottom="1440" w:left="1800" w:header="708" w:footer="708" w:gutter="0"/>
          <w:cols w:space="708"/>
          <w:docGrid w:linePitch="360"/>
        </w:sectPr>
      </w:pPr>
      <w:r w:rsidRPr="00A429AA">
        <w:rPr>
          <w:rFonts w:ascii="Times New Roman" w:hAnsi="Times New Roman" w:cs="Times New Roman"/>
        </w:rPr>
        <w:t xml:space="preserve">The collapse of Lehman Brothers worsened the situation in the EU financial markets, where high volatility and a huge drop in the equity prices </w:t>
      </w:r>
      <w:proofErr w:type="gramStart"/>
      <w:r w:rsidRPr="00A429AA">
        <w:rPr>
          <w:rFonts w:ascii="Times New Roman" w:hAnsi="Times New Roman" w:cs="Times New Roman"/>
        </w:rPr>
        <w:t>were observed</w:t>
      </w:r>
      <w:proofErr w:type="gramEnd"/>
      <w:r w:rsidRPr="00A429AA">
        <w:rPr>
          <w:rFonts w:ascii="Times New Roman" w:hAnsi="Times New Roman" w:cs="Times New Roman"/>
        </w:rPr>
        <w:t>. Furthermore, a high value of beta of banking sectors in 2007 and in 2008 indicated the stress in the selected European banking sectors. The banking sector problems were due to the uncertainty about the EU finan</w:t>
      </w:r>
      <w:r>
        <w:rPr>
          <w:rFonts w:ascii="Times New Roman" w:hAnsi="Times New Roman" w:cs="Times New Roman"/>
        </w:rPr>
        <w:t>cial institutions’ exposure to ‘toxic’</w:t>
      </w:r>
      <w:r w:rsidRPr="00A429AA">
        <w:rPr>
          <w:rFonts w:ascii="Times New Roman" w:hAnsi="Times New Roman" w:cs="Times New Roman"/>
        </w:rPr>
        <w:t xml:space="preserve"> assets from the US. To restore confidence in the interbank</w:t>
      </w:r>
      <w:r>
        <w:rPr>
          <w:rFonts w:ascii="Times New Roman" w:hAnsi="Times New Roman" w:cs="Times New Roman"/>
        </w:rPr>
        <w:t xml:space="preserve"> market</w:t>
      </w:r>
      <w:r w:rsidRPr="00A429AA">
        <w:rPr>
          <w:rFonts w:ascii="Times New Roman" w:hAnsi="Times New Roman" w:cs="Times New Roman"/>
        </w:rPr>
        <w:t xml:space="preserve">, the most troubled European financial institutions </w:t>
      </w:r>
      <w:proofErr w:type="gramStart"/>
      <w:r w:rsidRPr="00A429AA">
        <w:rPr>
          <w:rFonts w:ascii="Times New Roman" w:hAnsi="Times New Roman" w:cs="Times New Roman"/>
        </w:rPr>
        <w:t>were bailed out</w:t>
      </w:r>
      <w:proofErr w:type="gramEnd"/>
      <w:r w:rsidRPr="00A429AA">
        <w:rPr>
          <w:rFonts w:ascii="Times New Roman" w:hAnsi="Times New Roman" w:cs="Times New Roman"/>
        </w:rPr>
        <w:t xml:space="preserve">. Despite governments’ </w:t>
      </w:r>
      <w:proofErr w:type="gramStart"/>
      <w:r w:rsidRPr="00A429AA">
        <w:rPr>
          <w:rFonts w:ascii="Times New Roman" w:hAnsi="Times New Roman" w:cs="Times New Roman"/>
        </w:rPr>
        <w:t>interventions</w:t>
      </w:r>
      <w:proofErr w:type="gramEnd"/>
      <w:r w:rsidRPr="00A429AA">
        <w:rPr>
          <w:rFonts w:ascii="Times New Roman" w:hAnsi="Times New Roman" w:cs="Times New Roman"/>
        </w:rPr>
        <w:t xml:space="preserve"> there was a decline in business investments</w:t>
      </w:r>
      <w:r>
        <w:rPr>
          <w:rFonts w:ascii="Times New Roman" w:hAnsi="Times New Roman" w:cs="Times New Roman"/>
        </w:rPr>
        <w:t xml:space="preserve"> and</w:t>
      </w:r>
      <w:r w:rsidRPr="00A429AA">
        <w:rPr>
          <w:rFonts w:ascii="Times New Roman" w:hAnsi="Times New Roman" w:cs="Times New Roman"/>
        </w:rPr>
        <w:t xml:space="preserve"> consumption, a decrease in exports and an increase in </w:t>
      </w:r>
      <w:r>
        <w:rPr>
          <w:rFonts w:ascii="Times New Roman" w:hAnsi="Times New Roman" w:cs="Times New Roman"/>
        </w:rPr>
        <w:t>unemployment in the EU countrie</w:t>
      </w:r>
      <w:r w:rsidR="006B19C0">
        <w:rPr>
          <w:rFonts w:ascii="Times New Roman" w:hAnsi="Times New Roman" w:cs="Times New Roman"/>
        </w:rPr>
        <w:t>s.</w:t>
      </w:r>
      <w:bookmarkStart w:id="0" w:name="_GoBack"/>
      <w:bookmarkEnd w:id="0"/>
    </w:p>
    <w:p w14:paraId="3F7AB576" w14:textId="3397FCB4" w:rsidR="002C366B" w:rsidRDefault="002C366B">
      <w:pPr>
        <w:rPr>
          <w:rFonts w:ascii="Times New Roman" w:hAnsi="Times New Roman" w:cs="Times New Roman"/>
        </w:rPr>
        <w:sectPr w:rsidR="002C366B" w:rsidSect="006362EA">
          <w:footerReference w:type="even" r:id="rId8"/>
          <w:footerReference w:type="default" r:id="rId9"/>
          <w:pgSz w:w="11900" w:h="16840"/>
          <w:pgMar w:top="1440" w:right="1800" w:bottom="1440" w:left="1800" w:header="708" w:footer="708" w:gutter="0"/>
          <w:cols w:space="708"/>
          <w:docGrid w:linePitch="360"/>
        </w:sectPr>
      </w:pPr>
    </w:p>
    <w:p w14:paraId="0A0FFACD" w14:textId="77777777" w:rsidR="00E66400" w:rsidRPr="00A429AA" w:rsidRDefault="00E66400" w:rsidP="00E70304">
      <w:pPr>
        <w:spacing w:line="360" w:lineRule="auto"/>
        <w:jc w:val="both"/>
        <w:rPr>
          <w:rFonts w:ascii="Times New Roman" w:eastAsia="Times New Roman" w:hAnsi="Times New Roman" w:cs="Times New Roman"/>
        </w:rPr>
      </w:pPr>
    </w:p>
    <w:p w14:paraId="65D37F5E" w14:textId="63F22CEE" w:rsidR="003E32A0" w:rsidRPr="00A429AA" w:rsidRDefault="0050540D" w:rsidP="00433C15">
      <w:pPr>
        <w:autoSpaceDE w:val="0"/>
        <w:autoSpaceDN w:val="0"/>
        <w:adjustRightInd w:val="0"/>
        <w:spacing w:line="360" w:lineRule="auto"/>
        <w:rPr>
          <w:rFonts w:ascii="Times New Roman" w:hAnsi="Times New Roman" w:cs="Times New Roman"/>
          <w:b/>
          <w:lang w:eastAsia="en-GB"/>
        </w:rPr>
      </w:pPr>
      <w:r>
        <w:rPr>
          <w:rFonts w:ascii="Times New Roman" w:hAnsi="Times New Roman" w:cs="Times New Roman"/>
          <w:b/>
          <w:lang w:eastAsia="en-GB"/>
        </w:rPr>
        <w:t>1.</w:t>
      </w:r>
      <w:r w:rsidR="0006463D">
        <w:rPr>
          <w:rFonts w:ascii="Times New Roman" w:hAnsi="Times New Roman" w:cs="Times New Roman"/>
          <w:b/>
          <w:lang w:eastAsia="en-GB"/>
        </w:rPr>
        <w:t xml:space="preserve"> </w:t>
      </w:r>
      <w:r w:rsidR="00067644" w:rsidRPr="00A429AA">
        <w:rPr>
          <w:rFonts w:ascii="Times New Roman" w:hAnsi="Times New Roman" w:cs="Times New Roman"/>
          <w:b/>
          <w:lang w:eastAsia="en-GB"/>
        </w:rPr>
        <w:t xml:space="preserve">Introduction </w:t>
      </w:r>
    </w:p>
    <w:p w14:paraId="2F471665" w14:textId="14B74D24" w:rsidR="00C41EBF" w:rsidRPr="00A429AA" w:rsidRDefault="006754F1" w:rsidP="00E43418">
      <w:pPr>
        <w:spacing w:line="360" w:lineRule="auto"/>
        <w:jc w:val="both"/>
        <w:rPr>
          <w:rFonts w:ascii="Times New Roman" w:eastAsia="Times New Roman" w:hAnsi="Times New Roman" w:cs="Times New Roman"/>
        </w:rPr>
      </w:pPr>
      <w:r>
        <w:rPr>
          <w:rFonts w:ascii="Times New Roman" w:eastAsia="Times New Roman" w:hAnsi="Times New Roman" w:cs="Times New Roman"/>
        </w:rPr>
        <w:t>The</w:t>
      </w:r>
      <w:r w:rsidR="00097E03" w:rsidRPr="00A429AA">
        <w:rPr>
          <w:rFonts w:ascii="Times New Roman" w:eastAsia="Times New Roman" w:hAnsi="Times New Roman" w:cs="Times New Roman"/>
        </w:rPr>
        <w:t xml:space="preserve"> crisis of 2007-</w:t>
      </w:r>
      <w:r w:rsidR="000C1AFF" w:rsidRPr="00A429AA">
        <w:rPr>
          <w:rFonts w:ascii="Times New Roman" w:eastAsia="Times New Roman" w:hAnsi="Times New Roman" w:cs="Times New Roman"/>
        </w:rPr>
        <w:t xml:space="preserve">2008 that originated in the United States of America’s (US) financial market </w:t>
      </w:r>
      <w:proofErr w:type="gramStart"/>
      <w:r w:rsidR="000C1AFF" w:rsidRPr="00A429AA">
        <w:rPr>
          <w:rFonts w:ascii="Times New Roman" w:eastAsia="Times New Roman" w:hAnsi="Times New Roman" w:cs="Times New Roman"/>
        </w:rPr>
        <w:t>is considered</w:t>
      </w:r>
      <w:proofErr w:type="gramEnd"/>
      <w:r w:rsidR="000C1AFF" w:rsidRPr="00A429AA">
        <w:rPr>
          <w:rFonts w:ascii="Times New Roman" w:eastAsia="Times New Roman" w:hAnsi="Times New Roman" w:cs="Times New Roman"/>
        </w:rPr>
        <w:t xml:space="preserve"> as one of the most profound and financially severe in history. The causes of the financial crisis in the US were the development of the subprime mortgage market and its securitisation. At the beginning of 2007, mortgage-backed securities (MBS) issued by investment banks and based on a subprime crisis were proved to be worthless and were called ‘toxic assets’. </w:t>
      </w:r>
      <w:r w:rsidR="00C41EBF" w:rsidRPr="00A429AA">
        <w:rPr>
          <w:rFonts w:ascii="Times New Roman" w:eastAsia="Times New Roman" w:hAnsi="Times New Roman" w:cs="Times New Roman"/>
        </w:rPr>
        <w:t>The crisis increased uncertainty in the market because the level of</w:t>
      </w:r>
      <w:r w:rsidR="004A0C25" w:rsidRPr="00A429AA">
        <w:rPr>
          <w:rFonts w:ascii="Times New Roman" w:eastAsia="Times New Roman" w:hAnsi="Times New Roman" w:cs="Times New Roman"/>
        </w:rPr>
        <w:t xml:space="preserve"> the</w:t>
      </w:r>
      <w:r w:rsidR="00C41EBF" w:rsidRPr="00A429AA">
        <w:rPr>
          <w:rFonts w:ascii="Times New Roman" w:eastAsia="Times New Roman" w:hAnsi="Times New Roman" w:cs="Times New Roman"/>
        </w:rPr>
        <w:t xml:space="preserve"> </w:t>
      </w:r>
      <w:proofErr w:type="gramStart"/>
      <w:r w:rsidR="00C41EBF" w:rsidRPr="00A429AA">
        <w:rPr>
          <w:rFonts w:ascii="Times New Roman" w:eastAsia="Times New Roman" w:hAnsi="Times New Roman" w:cs="Times New Roman"/>
        </w:rPr>
        <w:t>leverage</w:t>
      </w:r>
      <w:proofErr w:type="gramEnd"/>
      <w:r w:rsidR="00C41EBF" w:rsidRPr="00A429AA">
        <w:rPr>
          <w:rFonts w:ascii="Times New Roman" w:eastAsia="Times New Roman" w:hAnsi="Times New Roman" w:cs="Times New Roman"/>
        </w:rPr>
        <w:t xml:space="preserve"> ratio of households and firms was significantly higher than savings, especially in the US, so when the crisis began, investors were uncertain about the real value of their assets. Consequently, in 2008 and 2009, a great volatility in the exchange rate and p</w:t>
      </w:r>
      <w:r w:rsidR="004D7B03" w:rsidRPr="00A429AA">
        <w:rPr>
          <w:rFonts w:ascii="Times New Roman" w:eastAsia="Times New Roman" w:hAnsi="Times New Roman" w:cs="Times New Roman"/>
        </w:rPr>
        <w:t xml:space="preserve">rices of commodity </w:t>
      </w:r>
      <w:proofErr w:type="gramStart"/>
      <w:r w:rsidR="004D7B03" w:rsidRPr="00A429AA">
        <w:rPr>
          <w:rFonts w:ascii="Times New Roman" w:eastAsia="Times New Roman" w:hAnsi="Times New Roman" w:cs="Times New Roman"/>
        </w:rPr>
        <w:t>was observed</w:t>
      </w:r>
      <w:proofErr w:type="gramEnd"/>
      <w:r w:rsidR="00C41EBF" w:rsidRPr="00A429AA">
        <w:rPr>
          <w:rFonts w:ascii="Times New Roman" w:eastAsia="Times New Roman" w:hAnsi="Times New Roman" w:cs="Times New Roman"/>
        </w:rPr>
        <w:t>. Furthermore, stock prices also changed often abruptly. This created uncertainty of commodity prices, asset prices and exchange rate that aggravated economic decisions in the short and long run</w:t>
      </w:r>
      <w:r w:rsidR="00060985" w:rsidRPr="00A429AA">
        <w:rPr>
          <w:rFonts w:ascii="Times New Roman" w:eastAsia="Times New Roman" w:hAnsi="Times New Roman" w:cs="Times New Roman"/>
        </w:rPr>
        <w:t xml:space="preserve"> (Allen and</w:t>
      </w:r>
      <w:r w:rsidR="00D50A06" w:rsidRPr="00A429AA">
        <w:rPr>
          <w:rFonts w:ascii="Times New Roman" w:eastAsia="Times New Roman" w:hAnsi="Times New Roman" w:cs="Times New Roman"/>
        </w:rPr>
        <w:t xml:space="preserve"> </w:t>
      </w:r>
      <w:proofErr w:type="spellStart"/>
      <w:r w:rsidR="00D50A06" w:rsidRPr="00A429AA">
        <w:rPr>
          <w:rFonts w:ascii="Times New Roman" w:eastAsia="Times New Roman" w:hAnsi="Times New Roman" w:cs="Times New Roman"/>
        </w:rPr>
        <w:t>Carletti</w:t>
      </w:r>
      <w:proofErr w:type="spellEnd"/>
      <w:r w:rsidR="00060985" w:rsidRPr="00A429AA">
        <w:rPr>
          <w:rFonts w:ascii="Times New Roman" w:eastAsia="Times New Roman" w:hAnsi="Times New Roman" w:cs="Times New Roman"/>
        </w:rPr>
        <w:t xml:space="preserve"> 2010)</w:t>
      </w:r>
      <w:r w:rsidR="00C41EBF" w:rsidRPr="00A429AA">
        <w:rPr>
          <w:rFonts w:ascii="Times New Roman" w:eastAsia="Times New Roman" w:hAnsi="Times New Roman" w:cs="Times New Roman"/>
        </w:rPr>
        <w:t>.</w:t>
      </w:r>
      <w:r w:rsidR="00E43418" w:rsidRPr="00A429AA">
        <w:rPr>
          <w:rFonts w:ascii="Times New Roman" w:eastAsia="Times New Roman" w:hAnsi="Times New Roman" w:cs="Times New Roman"/>
        </w:rPr>
        <w:t xml:space="preserve"> </w:t>
      </w:r>
    </w:p>
    <w:p w14:paraId="1FD3444E" w14:textId="476E9577" w:rsidR="00C41EBF" w:rsidRPr="00A429AA" w:rsidRDefault="00C41EBF" w:rsidP="009F3B71">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The bankruptcy of Lehman Brothers triggered direct and </w:t>
      </w:r>
      <w:r w:rsidR="00DB4085" w:rsidRPr="00A429AA">
        <w:rPr>
          <w:rFonts w:ascii="Times New Roman" w:eastAsia="Times New Roman" w:hAnsi="Times New Roman" w:cs="Times New Roman"/>
        </w:rPr>
        <w:t>indirect contagion. The direct</w:t>
      </w:r>
      <w:r w:rsidR="0006006F" w:rsidRPr="00A429AA">
        <w:rPr>
          <w:rFonts w:ascii="Times New Roman" w:eastAsia="Times New Roman" w:hAnsi="Times New Roman" w:cs="Times New Roman"/>
        </w:rPr>
        <w:t xml:space="preserve"> contagion </w:t>
      </w:r>
      <w:r w:rsidRPr="00A429AA">
        <w:rPr>
          <w:rFonts w:ascii="Times New Roman" w:eastAsia="Times New Roman" w:hAnsi="Times New Roman" w:cs="Times New Roman"/>
        </w:rPr>
        <w:t xml:space="preserve">affected Reserve Capital, the oldest money market mutual fund, with huge holdings of Lehman Brothers' debts. The price of a Reserve Capital share dropped below </w:t>
      </w:r>
      <w:r w:rsidR="00FE4F42" w:rsidRPr="00FE4F42">
        <w:rPr>
          <w:rFonts w:ascii="Times New Roman" w:eastAsia="Times New Roman" w:hAnsi="Times New Roman" w:cs="Times New Roman"/>
        </w:rPr>
        <w:t xml:space="preserve">1 </w:t>
      </w:r>
      <w:r w:rsidRPr="00FE4F42">
        <w:rPr>
          <w:rFonts w:ascii="Times New Roman" w:eastAsia="Times New Roman" w:hAnsi="Times New Roman" w:cs="Times New Roman"/>
        </w:rPr>
        <w:t>US$</w:t>
      </w:r>
      <w:r w:rsidR="004D7B03" w:rsidRPr="00A429AA">
        <w:rPr>
          <w:rFonts w:ascii="Times New Roman" w:eastAsia="Times New Roman" w:hAnsi="Times New Roman" w:cs="Times New Roman"/>
        </w:rPr>
        <w:t>, which</w:t>
      </w:r>
      <w:r w:rsidRPr="00A429AA">
        <w:rPr>
          <w:rFonts w:ascii="Times New Roman" w:eastAsia="Times New Roman" w:hAnsi="Times New Roman" w:cs="Times New Roman"/>
        </w:rPr>
        <w:t xml:space="preserve"> resulted in withdrawal of funds from other money market funds and led the US government to give guarantees to all money market mutual funds. The indirect contagion occurred because investors </w:t>
      </w:r>
      <w:proofErr w:type="gramStart"/>
      <w:r w:rsidRPr="00A429AA">
        <w:rPr>
          <w:rFonts w:ascii="Times New Roman" w:eastAsia="Times New Roman" w:hAnsi="Times New Roman" w:cs="Times New Roman"/>
        </w:rPr>
        <w:t>made an assumption</w:t>
      </w:r>
      <w:proofErr w:type="gramEnd"/>
      <w:r w:rsidRPr="00A429AA">
        <w:rPr>
          <w:rFonts w:ascii="Times New Roman" w:eastAsia="Times New Roman" w:hAnsi="Times New Roman" w:cs="Times New Roman"/>
        </w:rPr>
        <w:t xml:space="preserve"> that Lehman Brothers was not the only financial institution in trouble and there was a high probability that other institutions may fall down. Consequently,</w:t>
      </w:r>
      <w:r w:rsidR="00B83FEA" w:rsidRPr="00A429AA">
        <w:rPr>
          <w:rFonts w:ascii="Times New Roman" w:eastAsia="Times New Roman" w:hAnsi="Times New Roman" w:cs="Times New Roman"/>
        </w:rPr>
        <w:t xml:space="preserve"> the trade</w:t>
      </w:r>
      <w:r w:rsidR="00C4440A" w:rsidRPr="00A429AA">
        <w:rPr>
          <w:rFonts w:ascii="Times New Roman" w:eastAsia="Times New Roman" w:hAnsi="Times New Roman" w:cs="Times New Roman"/>
        </w:rPr>
        <w:t xml:space="preserve"> volume</w:t>
      </w:r>
      <w:r w:rsidRPr="00A429AA">
        <w:rPr>
          <w:rFonts w:ascii="Times New Roman" w:eastAsia="Times New Roman" w:hAnsi="Times New Roman" w:cs="Times New Roman"/>
        </w:rPr>
        <w:t xml:space="preserve"> in</w:t>
      </w:r>
      <w:r w:rsidR="00B83FEA" w:rsidRPr="00A429AA">
        <w:rPr>
          <w:rFonts w:ascii="Times New Roman" w:eastAsia="Times New Roman" w:hAnsi="Times New Roman" w:cs="Times New Roman"/>
        </w:rPr>
        <w:t xml:space="preserve"> the</w:t>
      </w:r>
      <w:r w:rsidR="00E91BDA" w:rsidRPr="00A429AA">
        <w:rPr>
          <w:rFonts w:ascii="Times New Roman" w:eastAsia="Times New Roman" w:hAnsi="Times New Roman" w:cs="Times New Roman"/>
        </w:rPr>
        <w:t xml:space="preserve"> financial market decreased </w:t>
      </w:r>
      <w:proofErr w:type="gramStart"/>
      <w:r w:rsidR="00E91BDA" w:rsidRPr="00A429AA">
        <w:rPr>
          <w:rFonts w:ascii="Times New Roman" w:eastAsia="Times New Roman" w:hAnsi="Times New Roman" w:cs="Times New Roman"/>
        </w:rPr>
        <w:t>significantly</w:t>
      </w:r>
      <w:proofErr w:type="gramEnd"/>
      <w:r w:rsidR="003A4737" w:rsidRPr="00A429AA">
        <w:rPr>
          <w:rFonts w:ascii="Times New Roman" w:eastAsia="Times New Roman" w:hAnsi="Times New Roman" w:cs="Times New Roman"/>
        </w:rPr>
        <w:t xml:space="preserve"> which</w:t>
      </w:r>
      <w:r w:rsidRPr="00A429AA">
        <w:rPr>
          <w:rFonts w:ascii="Times New Roman" w:eastAsia="Times New Roman" w:hAnsi="Times New Roman" w:cs="Times New Roman"/>
        </w:rPr>
        <w:t xml:space="preserve"> also</w:t>
      </w:r>
      <w:r w:rsidR="003A4737" w:rsidRPr="00A429AA">
        <w:rPr>
          <w:rFonts w:ascii="Times New Roman" w:eastAsia="Times New Roman" w:hAnsi="Times New Roman" w:cs="Times New Roman"/>
        </w:rPr>
        <w:t xml:space="preserve"> negatively affected</w:t>
      </w:r>
      <w:r w:rsidRPr="00A429AA">
        <w:rPr>
          <w:rFonts w:ascii="Times New Roman" w:eastAsia="Times New Roman" w:hAnsi="Times New Roman" w:cs="Times New Roman"/>
        </w:rPr>
        <w:t xml:space="preserve"> the GDP of many countries</w:t>
      </w:r>
      <w:r w:rsidR="00060985" w:rsidRPr="00A429AA">
        <w:rPr>
          <w:rFonts w:ascii="Times New Roman" w:eastAsia="Times New Roman" w:hAnsi="Times New Roman" w:cs="Times New Roman"/>
        </w:rPr>
        <w:t xml:space="preserve"> (Allen and</w:t>
      </w:r>
      <w:r w:rsidR="00CE76D9" w:rsidRPr="00A429AA">
        <w:rPr>
          <w:rFonts w:ascii="Times New Roman" w:eastAsia="Times New Roman" w:hAnsi="Times New Roman" w:cs="Times New Roman"/>
        </w:rPr>
        <w:t xml:space="preserve"> </w:t>
      </w:r>
      <w:proofErr w:type="spellStart"/>
      <w:r w:rsidR="00CE76D9" w:rsidRPr="00A429AA">
        <w:rPr>
          <w:rFonts w:ascii="Times New Roman" w:eastAsia="Times New Roman" w:hAnsi="Times New Roman" w:cs="Times New Roman"/>
        </w:rPr>
        <w:t>Carletti</w:t>
      </w:r>
      <w:proofErr w:type="spellEnd"/>
      <w:r w:rsidR="00060985" w:rsidRPr="00A429AA">
        <w:rPr>
          <w:rFonts w:ascii="Times New Roman" w:eastAsia="Times New Roman" w:hAnsi="Times New Roman" w:cs="Times New Roman"/>
        </w:rPr>
        <w:t xml:space="preserve"> 2010)</w:t>
      </w:r>
      <w:r w:rsidRPr="00A429AA">
        <w:rPr>
          <w:rFonts w:ascii="Times New Roman" w:eastAsia="Times New Roman" w:hAnsi="Times New Roman" w:cs="Times New Roman"/>
        </w:rPr>
        <w:t xml:space="preserve">. </w:t>
      </w:r>
    </w:p>
    <w:p w14:paraId="29476BC6" w14:textId="553622B2" w:rsidR="00BE5864" w:rsidRPr="00A429AA" w:rsidRDefault="00C03318" w:rsidP="00744AE9">
      <w:pPr>
        <w:spacing w:line="360" w:lineRule="auto"/>
        <w:jc w:val="both"/>
        <w:rPr>
          <w:rFonts w:ascii="Times New Roman" w:hAnsi="Times New Roman" w:cs="Times New Roman"/>
          <w:lang w:eastAsia="en-GB"/>
        </w:rPr>
      </w:pPr>
      <w:proofErr w:type="gramStart"/>
      <w:r w:rsidRPr="00A429AA">
        <w:rPr>
          <w:rFonts w:ascii="Times New Roman" w:hAnsi="Times New Roman" w:cs="Times New Roman"/>
          <w:lang w:eastAsia="en-GB"/>
        </w:rPr>
        <w:t>At the beginning of</w:t>
      </w:r>
      <w:r w:rsidR="00053FF4" w:rsidRPr="00A429AA">
        <w:rPr>
          <w:rFonts w:ascii="Times New Roman" w:hAnsi="Times New Roman" w:cs="Times New Roman"/>
          <w:lang w:eastAsia="en-GB"/>
        </w:rPr>
        <w:t xml:space="preserve"> the</w:t>
      </w:r>
      <w:r w:rsidRPr="00A429AA">
        <w:rPr>
          <w:rFonts w:ascii="Times New Roman" w:hAnsi="Times New Roman" w:cs="Times New Roman"/>
          <w:lang w:eastAsia="en-GB"/>
        </w:rPr>
        <w:t xml:space="preserve"> global transmission of</w:t>
      </w:r>
      <w:r w:rsidR="00053FF4" w:rsidRPr="00A429AA">
        <w:rPr>
          <w:rFonts w:ascii="Times New Roman" w:hAnsi="Times New Roman" w:cs="Times New Roman"/>
          <w:lang w:eastAsia="en-GB"/>
        </w:rPr>
        <w:t xml:space="preserve"> the</w:t>
      </w:r>
      <w:r w:rsidRPr="00A429AA">
        <w:rPr>
          <w:rFonts w:ascii="Times New Roman" w:hAnsi="Times New Roman" w:cs="Times New Roman"/>
          <w:lang w:eastAsia="en-GB"/>
        </w:rPr>
        <w:t xml:space="preserve"> financial crisis it was believed that </w:t>
      </w:r>
      <w:r w:rsidR="00053FF4" w:rsidRPr="00A429AA">
        <w:rPr>
          <w:rFonts w:ascii="Times New Roman" w:hAnsi="Times New Roman" w:cs="Times New Roman"/>
          <w:lang w:eastAsia="en-GB"/>
        </w:rPr>
        <w:t>the crisis in Europe would</w:t>
      </w:r>
      <w:r w:rsidRPr="00A429AA">
        <w:rPr>
          <w:rFonts w:ascii="Times New Roman" w:hAnsi="Times New Roman" w:cs="Times New Roman"/>
          <w:lang w:eastAsia="en-GB"/>
        </w:rPr>
        <w:t xml:space="preserve"> be much less severe than in the US, mainly due to the fact that ca</w:t>
      </w:r>
      <w:r w:rsidR="001379D0">
        <w:rPr>
          <w:rFonts w:ascii="Times New Roman" w:hAnsi="Times New Roman" w:cs="Times New Roman"/>
          <w:lang w:eastAsia="en-GB"/>
        </w:rPr>
        <w:t xml:space="preserve">uses of </w:t>
      </w:r>
      <w:r w:rsidR="00EF1B3A">
        <w:rPr>
          <w:rFonts w:ascii="Times New Roman" w:hAnsi="Times New Roman" w:cs="Times New Roman"/>
          <w:lang w:eastAsia="en-GB"/>
        </w:rPr>
        <w:t xml:space="preserve">the </w:t>
      </w:r>
      <w:r w:rsidR="001379D0">
        <w:rPr>
          <w:rFonts w:ascii="Times New Roman" w:hAnsi="Times New Roman" w:cs="Times New Roman"/>
          <w:lang w:eastAsia="en-GB"/>
        </w:rPr>
        <w:t xml:space="preserve">financial crisis in </w:t>
      </w:r>
      <w:r w:rsidR="00DA6EFF">
        <w:rPr>
          <w:rFonts w:ascii="Times New Roman" w:hAnsi="Times New Roman" w:cs="Times New Roman"/>
          <w:lang w:eastAsia="en-GB"/>
        </w:rPr>
        <w:t xml:space="preserve">the </w:t>
      </w:r>
      <w:r w:rsidR="001379D0">
        <w:rPr>
          <w:rFonts w:ascii="Times New Roman" w:hAnsi="Times New Roman" w:cs="Times New Roman"/>
          <w:lang w:eastAsia="en-GB"/>
        </w:rPr>
        <w:t>US</w:t>
      </w:r>
      <w:r w:rsidR="00FE4F42">
        <w:rPr>
          <w:rFonts w:ascii="Times New Roman" w:hAnsi="Times New Roman" w:cs="Times New Roman"/>
          <w:lang w:eastAsia="en-GB"/>
        </w:rPr>
        <w:t xml:space="preserve"> such as </w:t>
      </w:r>
      <w:r w:rsidRPr="00A429AA">
        <w:rPr>
          <w:rFonts w:ascii="Times New Roman" w:hAnsi="Times New Roman" w:cs="Times New Roman"/>
          <w:lang w:eastAsia="en-GB"/>
        </w:rPr>
        <w:t>loose monetary polic</w:t>
      </w:r>
      <w:r w:rsidR="00861E65" w:rsidRPr="00A429AA">
        <w:rPr>
          <w:rFonts w:ascii="Times New Roman" w:hAnsi="Times New Roman" w:cs="Times New Roman"/>
          <w:lang w:eastAsia="en-GB"/>
        </w:rPr>
        <w:t>y and financial market liberalis</w:t>
      </w:r>
      <w:r w:rsidRPr="00A429AA">
        <w:rPr>
          <w:rFonts w:ascii="Times New Roman" w:hAnsi="Times New Roman" w:cs="Times New Roman"/>
          <w:lang w:eastAsia="en-GB"/>
        </w:rPr>
        <w:t>ation were in contrast to the conditions in the European countries.</w:t>
      </w:r>
      <w:proofErr w:type="gramEnd"/>
      <w:r w:rsidRPr="00A429AA">
        <w:rPr>
          <w:rFonts w:ascii="Times New Roman" w:hAnsi="Times New Roman" w:cs="Times New Roman"/>
          <w:lang w:eastAsia="en-GB"/>
        </w:rPr>
        <w:t xml:space="preserve"> </w:t>
      </w:r>
      <w:proofErr w:type="gramStart"/>
      <w:r w:rsidRPr="00A429AA">
        <w:rPr>
          <w:rFonts w:ascii="Times New Roman" w:hAnsi="Times New Roman" w:cs="Times New Roman"/>
          <w:lang w:eastAsia="en-GB"/>
        </w:rPr>
        <w:t>But</w:t>
      </w:r>
      <w:proofErr w:type="gramEnd"/>
      <w:r w:rsidRPr="00A429AA">
        <w:rPr>
          <w:rFonts w:ascii="Times New Roman" w:hAnsi="Times New Roman" w:cs="Times New Roman"/>
          <w:lang w:eastAsia="en-GB"/>
        </w:rPr>
        <w:t xml:space="preserve"> with time, </w:t>
      </w:r>
      <w:r w:rsidR="007A5B70" w:rsidRPr="00A429AA">
        <w:rPr>
          <w:rFonts w:ascii="Times New Roman" w:hAnsi="Times New Roman" w:cs="Times New Roman"/>
          <w:lang w:eastAsia="en-GB"/>
        </w:rPr>
        <w:t xml:space="preserve">the </w:t>
      </w:r>
      <w:r w:rsidRPr="00A429AA">
        <w:rPr>
          <w:rFonts w:ascii="Times New Roman" w:hAnsi="Times New Roman" w:cs="Times New Roman"/>
          <w:lang w:eastAsia="en-GB"/>
        </w:rPr>
        <w:t>crisis in Europe was at least as serious and severe as in the US.</w:t>
      </w:r>
    </w:p>
    <w:p w14:paraId="7F43B6F1" w14:textId="35C17A35" w:rsidR="00F563BD" w:rsidRPr="00A429AA" w:rsidRDefault="00215AB6" w:rsidP="00F563BD">
      <w:pPr>
        <w:spacing w:line="360" w:lineRule="auto"/>
        <w:jc w:val="both"/>
        <w:rPr>
          <w:rFonts w:ascii="Times New Roman" w:hAnsi="Times New Roman" w:cs="Times New Roman"/>
          <w:lang w:eastAsia="en-GB"/>
        </w:rPr>
      </w:pPr>
      <w:r w:rsidRPr="00A429AA">
        <w:rPr>
          <w:rFonts w:ascii="Times New Roman" w:eastAsia="Times New Roman" w:hAnsi="Times New Roman" w:cs="Times New Roman"/>
          <w:shd w:val="clear" w:color="auto" w:fill="FFFFFF"/>
        </w:rPr>
        <w:t>This</w:t>
      </w:r>
      <w:r w:rsidR="00BE5864" w:rsidRPr="00A429AA">
        <w:rPr>
          <w:rFonts w:ascii="Times New Roman" w:eastAsia="Times New Roman" w:hAnsi="Times New Roman" w:cs="Times New Roman"/>
          <w:shd w:val="clear" w:color="auto" w:fill="FFFFFF"/>
        </w:rPr>
        <w:t xml:space="preserve"> paper contributes </w:t>
      </w:r>
      <w:r w:rsidR="00452B61" w:rsidRPr="00A429AA">
        <w:rPr>
          <w:rFonts w:ascii="Times New Roman" w:eastAsia="Times New Roman" w:hAnsi="Times New Roman" w:cs="Times New Roman"/>
          <w:shd w:val="clear" w:color="auto" w:fill="FFFFFF"/>
        </w:rPr>
        <w:t>to the literature in two ways. First</w:t>
      </w:r>
      <w:r w:rsidR="008F1B67" w:rsidRPr="00A429AA">
        <w:rPr>
          <w:rFonts w:ascii="Times New Roman" w:eastAsia="Times New Roman" w:hAnsi="Times New Roman" w:cs="Times New Roman"/>
          <w:shd w:val="clear" w:color="auto" w:fill="FFFFFF"/>
        </w:rPr>
        <w:t>,</w:t>
      </w:r>
      <w:r w:rsidR="00452B61" w:rsidRPr="00A429AA">
        <w:rPr>
          <w:rFonts w:ascii="Times New Roman" w:eastAsia="Times New Roman" w:hAnsi="Times New Roman" w:cs="Times New Roman"/>
          <w:shd w:val="clear" w:color="auto" w:fill="FFFFFF"/>
        </w:rPr>
        <w:t xml:space="preserve"> it </w:t>
      </w:r>
      <w:r w:rsidR="00452B61" w:rsidRPr="00A429AA">
        <w:rPr>
          <w:rFonts w:ascii="Times New Roman" w:eastAsia="Times New Roman" w:hAnsi="Times New Roman" w:cs="Times New Roman"/>
        </w:rPr>
        <w:t>investigate</w:t>
      </w:r>
      <w:r w:rsidR="00DA4AEC" w:rsidRPr="00A429AA">
        <w:rPr>
          <w:rFonts w:ascii="Times New Roman" w:eastAsia="Times New Roman" w:hAnsi="Times New Roman" w:cs="Times New Roman"/>
        </w:rPr>
        <w:t>s</w:t>
      </w:r>
      <w:r w:rsidR="00452B61" w:rsidRPr="00A429AA">
        <w:rPr>
          <w:rFonts w:ascii="Times New Roman" w:eastAsia="Times New Roman" w:hAnsi="Times New Roman" w:cs="Times New Roman"/>
        </w:rPr>
        <w:t xml:space="preserve"> </w:t>
      </w:r>
      <w:r w:rsidR="003F54E6" w:rsidRPr="00A429AA">
        <w:rPr>
          <w:rFonts w:ascii="Times New Roman" w:eastAsia="Times New Roman" w:hAnsi="Times New Roman" w:cs="Times New Roman"/>
        </w:rPr>
        <w:t xml:space="preserve">the </w:t>
      </w:r>
      <w:r w:rsidR="00452B61" w:rsidRPr="00A429AA">
        <w:rPr>
          <w:rFonts w:ascii="Times New Roman" w:eastAsia="Times New Roman" w:hAnsi="Times New Roman" w:cs="Times New Roman"/>
        </w:rPr>
        <w:t xml:space="preserve">consequences and impact of </w:t>
      </w:r>
      <w:r w:rsidR="00104EC2" w:rsidRPr="00A429AA">
        <w:rPr>
          <w:rFonts w:ascii="Times New Roman" w:eastAsia="Times New Roman" w:hAnsi="Times New Roman" w:cs="Times New Roman"/>
        </w:rPr>
        <w:t xml:space="preserve">the </w:t>
      </w:r>
      <w:r w:rsidR="00452B61" w:rsidRPr="00A429AA">
        <w:rPr>
          <w:rFonts w:ascii="Times New Roman" w:eastAsia="Times New Roman" w:hAnsi="Times New Roman" w:cs="Times New Roman"/>
        </w:rPr>
        <w:t>financial crisis on the advanced EU countries</w:t>
      </w:r>
      <w:r w:rsidR="00363F45" w:rsidRPr="00A429AA">
        <w:rPr>
          <w:rFonts w:ascii="Times New Roman" w:eastAsia="Times New Roman" w:hAnsi="Times New Roman" w:cs="Times New Roman"/>
        </w:rPr>
        <w:t>,</w:t>
      </w:r>
      <w:r w:rsidR="00452B61" w:rsidRPr="00A429AA">
        <w:rPr>
          <w:rFonts w:ascii="Times New Roman" w:eastAsia="Times New Roman" w:hAnsi="Times New Roman" w:cs="Times New Roman"/>
        </w:rPr>
        <w:t xml:space="preserve"> especially on their banking</w:t>
      </w:r>
      <w:r w:rsidR="0038370D" w:rsidRPr="00A429AA">
        <w:rPr>
          <w:rFonts w:ascii="Times New Roman" w:eastAsia="Times New Roman" w:hAnsi="Times New Roman" w:cs="Times New Roman"/>
        </w:rPr>
        <w:t xml:space="preserve"> sector</w:t>
      </w:r>
      <w:r w:rsidR="00452B61" w:rsidRPr="00A429AA">
        <w:rPr>
          <w:rFonts w:ascii="Times New Roman" w:eastAsia="Times New Roman" w:hAnsi="Times New Roman" w:cs="Times New Roman"/>
        </w:rPr>
        <w:t>.</w:t>
      </w:r>
      <w:r w:rsidR="00F563BD" w:rsidRPr="00A429AA">
        <w:rPr>
          <w:rFonts w:ascii="Times New Roman" w:hAnsi="Times New Roman" w:cs="Times New Roman"/>
        </w:rPr>
        <w:t xml:space="preserve"> </w:t>
      </w:r>
      <w:r w:rsidR="00F563BD" w:rsidRPr="00AC5780">
        <w:rPr>
          <w:rFonts w:ascii="Times New Roman" w:hAnsi="Times New Roman" w:cs="Times New Roman"/>
        </w:rPr>
        <w:t xml:space="preserve">In the selected countries, the 2007-2008 financial </w:t>
      </w:r>
      <w:r w:rsidR="00F563BD" w:rsidRPr="00AC5780">
        <w:rPr>
          <w:rFonts w:ascii="Times New Roman" w:hAnsi="Times New Roman" w:cs="Times New Roman"/>
        </w:rPr>
        <w:lastRenderedPageBreak/>
        <w:t>crisis had a severe impact on the economy and the chosen sample gives an opportunity to study the financial crisis in advanced economies.</w:t>
      </w:r>
      <w:r w:rsidR="00F563BD" w:rsidRPr="00A429AA">
        <w:rPr>
          <w:rFonts w:ascii="Times New Roman" w:eastAsia="Times New Roman" w:hAnsi="Times New Roman" w:cs="Times New Roman"/>
        </w:rPr>
        <w:t xml:space="preserve">  </w:t>
      </w:r>
    </w:p>
    <w:p w14:paraId="2BB51CEA" w14:textId="4A22D880" w:rsidR="00452B61" w:rsidRPr="00A429AA" w:rsidRDefault="00452B61" w:rsidP="00F563BD">
      <w:pPr>
        <w:widowControl w:val="0"/>
        <w:autoSpaceDE w:val="0"/>
        <w:autoSpaceDN w:val="0"/>
        <w:adjustRightInd w:val="0"/>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Second, </w:t>
      </w:r>
      <w:r w:rsidR="00C3732C" w:rsidRPr="00A429AA">
        <w:rPr>
          <w:rFonts w:ascii="Times New Roman" w:eastAsia="Times New Roman" w:hAnsi="Times New Roman" w:cs="Times New Roman"/>
        </w:rPr>
        <w:t>it presents</w:t>
      </w:r>
      <w:r w:rsidR="000849E1" w:rsidRPr="00A429AA">
        <w:rPr>
          <w:rFonts w:ascii="Times New Roman" w:eastAsia="Times New Roman" w:hAnsi="Times New Roman" w:cs="Times New Roman"/>
        </w:rPr>
        <w:t xml:space="preserve"> the</w:t>
      </w:r>
      <w:r w:rsidR="00C3732C" w:rsidRPr="00A429AA">
        <w:rPr>
          <w:rFonts w:ascii="Times New Roman" w:eastAsia="Times New Roman" w:hAnsi="Times New Roman" w:cs="Times New Roman"/>
        </w:rPr>
        <w:t xml:space="preserve"> </w:t>
      </w:r>
      <w:r w:rsidR="00064736" w:rsidRPr="00A429AA">
        <w:rPr>
          <w:rFonts w:eastAsia="Times New Roman" w:cs="Times New Roman"/>
          <w:sz w:val="22"/>
          <w:szCs w:val="22"/>
        </w:rPr>
        <w:t>CAPM beta</w:t>
      </w:r>
      <w:r w:rsidR="000A1AE7" w:rsidRPr="00A429AA">
        <w:rPr>
          <w:rFonts w:ascii="Times New Roman" w:eastAsia="Times New Roman" w:hAnsi="Times New Roman" w:cs="Times New Roman"/>
        </w:rPr>
        <w:t xml:space="preserve"> calculation</w:t>
      </w:r>
      <w:r w:rsidR="00064736" w:rsidRPr="00A429AA">
        <w:rPr>
          <w:rFonts w:ascii="Times New Roman" w:eastAsia="Times New Roman" w:hAnsi="Times New Roman" w:cs="Times New Roman"/>
        </w:rPr>
        <w:t>s</w:t>
      </w:r>
      <w:r w:rsidR="000A1AE7" w:rsidRPr="00A429AA">
        <w:rPr>
          <w:rFonts w:ascii="Times New Roman" w:eastAsia="Times New Roman" w:hAnsi="Times New Roman" w:cs="Times New Roman"/>
        </w:rPr>
        <w:t xml:space="preserve"> of </w:t>
      </w:r>
      <w:r w:rsidR="00064736" w:rsidRPr="00A429AA">
        <w:rPr>
          <w:rFonts w:ascii="Times New Roman" w:eastAsia="Times New Roman" w:hAnsi="Times New Roman" w:cs="Times New Roman"/>
        </w:rPr>
        <w:t xml:space="preserve">the </w:t>
      </w:r>
      <w:r w:rsidR="000A1AE7" w:rsidRPr="00A429AA">
        <w:rPr>
          <w:rFonts w:ascii="Times New Roman" w:eastAsia="Times New Roman" w:hAnsi="Times New Roman" w:cs="Times New Roman"/>
        </w:rPr>
        <w:t>banking sector for the selected EU countries</w:t>
      </w:r>
      <w:r w:rsidR="007104C0" w:rsidRPr="00A429AA">
        <w:rPr>
          <w:rFonts w:ascii="Times New Roman" w:eastAsia="Times New Roman" w:hAnsi="Times New Roman" w:cs="Times New Roman"/>
        </w:rPr>
        <w:t xml:space="preserve"> </w:t>
      </w:r>
      <w:r w:rsidR="004807F2" w:rsidRPr="00A429AA">
        <w:rPr>
          <w:rFonts w:ascii="Times New Roman" w:eastAsia="Times New Roman" w:hAnsi="Times New Roman" w:cs="Times New Roman"/>
        </w:rPr>
        <w:t>and with</w:t>
      </w:r>
      <w:r w:rsidR="004B37EE" w:rsidRPr="00A429AA">
        <w:rPr>
          <w:rFonts w:ascii="Times New Roman" w:eastAsia="Times New Roman" w:hAnsi="Times New Roman" w:cs="Times New Roman"/>
        </w:rPr>
        <w:t xml:space="preserve"> a</w:t>
      </w:r>
      <w:r w:rsidR="004807F2" w:rsidRPr="00A429AA">
        <w:rPr>
          <w:rFonts w:ascii="Times New Roman" w:eastAsia="Times New Roman" w:hAnsi="Times New Roman" w:cs="Times New Roman"/>
        </w:rPr>
        <w:t xml:space="preserve"> discussion</w:t>
      </w:r>
      <w:r w:rsidR="00AF7E4F" w:rsidRPr="00A429AA">
        <w:rPr>
          <w:rFonts w:ascii="Times New Roman" w:eastAsia="Times New Roman" w:hAnsi="Times New Roman" w:cs="Times New Roman"/>
        </w:rPr>
        <w:t xml:space="preserve"> of </w:t>
      </w:r>
      <w:r w:rsidR="00CE612C" w:rsidRPr="00A429AA">
        <w:rPr>
          <w:rFonts w:ascii="Times New Roman" w:eastAsia="Times New Roman" w:hAnsi="Times New Roman" w:cs="Times New Roman"/>
        </w:rPr>
        <w:t>other financial ratios</w:t>
      </w:r>
      <w:r w:rsidR="00781517">
        <w:rPr>
          <w:rFonts w:ascii="Times New Roman" w:eastAsia="Times New Roman" w:hAnsi="Times New Roman" w:cs="Times New Roman"/>
        </w:rPr>
        <w:t>,</w:t>
      </w:r>
      <w:r w:rsidR="00CE612C" w:rsidRPr="00A429AA">
        <w:rPr>
          <w:rFonts w:ascii="Times New Roman" w:eastAsia="Times New Roman" w:hAnsi="Times New Roman" w:cs="Times New Roman"/>
        </w:rPr>
        <w:t xml:space="preserve"> </w:t>
      </w:r>
      <w:r w:rsidR="00631AB8" w:rsidRPr="00A429AA">
        <w:rPr>
          <w:rFonts w:ascii="Times New Roman" w:eastAsia="Times New Roman" w:hAnsi="Times New Roman" w:cs="Times New Roman"/>
        </w:rPr>
        <w:t>provide</w:t>
      </w:r>
      <w:r w:rsidR="00B2169E" w:rsidRPr="00A429AA">
        <w:rPr>
          <w:rFonts w:ascii="Times New Roman" w:eastAsia="Times New Roman" w:hAnsi="Times New Roman" w:cs="Times New Roman"/>
        </w:rPr>
        <w:t>s</w:t>
      </w:r>
      <w:r w:rsidR="00CE612C" w:rsidRPr="00A429AA">
        <w:rPr>
          <w:rFonts w:ascii="Times New Roman" w:eastAsia="Times New Roman" w:hAnsi="Times New Roman" w:cs="Times New Roman"/>
        </w:rPr>
        <w:t xml:space="preserve"> </w:t>
      </w:r>
      <w:r w:rsidR="008F1B67" w:rsidRPr="00A429AA">
        <w:rPr>
          <w:rFonts w:ascii="Times New Roman" w:eastAsia="Times New Roman" w:hAnsi="Times New Roman" w:cs="Times New Roman"/>
        </w:rPr>
        <w:t xml:space="preserve">an </w:t>
      </w:r>
      <w:r w:rsidR="00CE612C" w:rsidRPr="00A429AA">
        <w:rPr>
          <w:rFonts w:ascii="Times New Roman" w:eastAsia="Times New Roman" w:hAnsi="Times New Roman" w:cs="Times New Roman"/>
        </w:rPr>
        <w:t>assess</w:t>
      </w:r>
      <w:r w:rsidR="00631AB8" w:rsidRPr="00A429AA">
        <w:rPr>
          <w:rFonts w:ascii="Times New Roman" w:eastAsia="Times New Roman" w:hAnsi="Times New Roman" w:cs="Times New Roman"/>
        </w:rPr>
        <w:t>ment of the</w:t>
      </w:r>
      <w:r w:rsidR="00B9175A" w:rsidRPr="00A429AA">
        <w:rPr>
          <w:rFonts w:ascii="Times New Roman" w:eastAsia="Times New Roman" w:hAnsi="Times New Roman" w:cs="Times New Roman"/>
        </w:rPr>
        <w:t xml:space="preserve"> effects of the 2007-</w:t>
      </w:r>
      <w:r w:rsidR="008F1B67" w:rsidRPr="00A429AA">
        <w:rPr>
          <w:rFonts w:ascii="Times New Roman" w:eastAsia="Times New Roman" w:hAnsi="Times New Roman" w:cs="Times New Roman"/>
        </w:rPr>
        <w:t>2008</w:t>
      </w:r>
      <w:r w:rsidR="00CE612C" w:rsidRPr="00A429AA">
        <w:rPr>
          <w:rFonts w:ascii="Times New Roman" w:eastAsia="Times New Roman" w:hAnsi="Times New Roman" w:cs="Times New Roman"/>
        </w:rPr>
        <w:t xml:space="preserve"> financial</w:t>
      </w:r>
      <w:r w:rsidR="006264E4" w:rsidRPr="00A429AA">
        <w:rPr>
          <w:rFonts w:ascii="Times New Roman" w:eastAsia="Times New Roman" w:hAnsi="Times New Roman" w:cs="Times New Roman"/>
        </w:rPr>
        <w:t xml:space="preserve"> crisis.</w:t>
      </w:r>
    </w:p>
    <w:p w14:paraId="58D25330" w14:textId="03B0974F" w:rsidR="00C776B5" w:rsidRPr="00A429AA" w:rsidRDefault="00C776B5" w:rsidP="00813320">
      <w:pPr>
        <w:spacing w:after="160"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CAPM </w:t>
      </w:r>
      <w:r w:rsidR="005167AA" w:rsidRPr="00A429AA">
        <w:rPr>
          <w:rFonts w:ascii="Times New Roman" w:eastAsia="Times New Roman" w:hAnsi="Times New Roman" w:cs="Times New Roman"/>
        </w:rPr>
        <w:t>is a</w:t>
      </w:r>
      <w:r w:rsidRPr="00A429AA">
        <w:rPr>
          <w:rFonts w:ascii="Times New Roman" w:eastAsia="Times New Roman" w:hAnsi="Times New Roman" w:cs="Times New Roman"/>
        </w:rPr>
        <w:t xml:space="preserve"> method to estimate the cost of capital and </w:t>
      </w:r>
      <w:proofErr w:type="gramStart"/>
      <w:r w:rsidR="006165F4" w:rsidRPr="00A429AA">
        <w:rPr>
          <w:rFonts w:ascii="Times New Roman" w:eastAsia="Times New Roman" w:hAnsi="Times New Roman" w:cs="Times New Roman"/>
        </w:rPr>
        <w:t>is also</w:t>
      </w:r>
      <w:proofErr w:type="gramEnd"/>
      <w:r w:rsidR="006165F4" w:rsidRPr="00A429AA">
        <w:rPr>
          <w:rFonts w:ascii="Times New Roman" w:eastAsia="Times New Roman" w:hAnsi="Times New Roman" w:cs="Times New Roman"/>
        </w:rPr>
        <w:t xml:space="preserve"> a</w:t>
      </w:r>
      <w:r w:rsidRPr="00A429AA">
        <w:rPr>
          <w:rFonts w:ascii="Times New Roman" w:eastAsia="Times New Roman" w:hAnsi="Times New Roman" w:cs="Times New Roman"/>
        </w:rPr>
        <w:t xml:space="preserve"> model of risk and return. </w:t>
      </w:r>
      <w:r w:rsidR="00546025" w:rsidRPr="00A429AA">
        <w:rPr>
          <w:rFonts w:ascii="Times New Roman" w:eastAsia="Times New Roman" w:hAnsi="Times New Roman" w:cs="Times New Roman"/>
        </w:rPr>
        <w:t>Beta in this model is a measure of market risk</w:t>
      </w:r>
      <w:r w:rsidR="006165F4" w:rsidRPr="00A429AA">
        <w:rPr>
          <w:rFonts w:ascii="Times New Roman" w:eastAsia="Times New Roman" w:hAnsi="Times New Roman" w:cs="Times New Roman"/>
        </w:rPr>
        <w:t xml:space="preserve"> used</w:t>
      </w:r>
      <w:r w:rsidR="00546025" w:rsidRPr="00A429AA">
        <w:rPr>
          <w:rFonts w:ascii="Times New Roman" w:eastAsia="Times New Roman" w:hAnsi="Times New Roman" w:cs="Times New Roman"/>
        </w:rPr>
        <w:t xml:space="preserve"> </w:t>
      </w:r>
      <w:r w:rsidR="00F144F2" w:rsidRPr="00A429AA">
        <w:rPr>
          <w:rFonts w:ascii="Times New Roman" w:eastAsia="Times New Roman" w:hAnsi="Times New Roman" w:cs="Times New Roman"/>
        </w:rPr>
        <w:t>by measuring</w:t>
      </w:r>
      <w:r w:rsidR="006165F4" w:rsidRPr="00A429AA">
        <w:rPr>
          <w:rFonts w:ascii="Times New Roman" w:eastAsia="Times New Roman" w:hAnsi="Times New Roman" w:cs="Times New Roman"/>
        </w:rPr>
        <w:t xml:space="preserve"> the</w:t>
      </w:r>
      <w:r w:rsidR="00F144F2" w:rsidRPr="00A429AA">
        <w:rPr>
          <w:rFonts w:ascii="Times New Roman" w:eastAsia="Times New Roman" w:hAnsi="Times New Roman" w:cs="Times New Roman"/>
        </w:rPr>
        <w:t xml:space="preserve"> volatility o</w:t>
      </w:r>
      <w:r w:rsidR="00CC0C59" w:rsidRPr="00A429AA">
        <w:rPr>
          <w:rFonts w:ascii="Times New Roman" w:eastAsia="Times New Roman" w:hAnsi="Times New Roman" w:cs="Times New Roman"/>
        </w:rPr>
        <w:t>f</w:t>
      </w:r>
      <w:r w:rsidR="00F144F2" w:rsidRPr="00A429AA">
        <w:rPr>
          <w:rFonts w:ascii="Times New Roman" w:eastAsia="Times New Roman" w:hAnsi="Times New Roman" w:cs="Times New Roman"/>
        </w:rPr>
        <w:t xml:space="preserve"> security due to </w:t>
      </w:r>
      <w:r w:rsidR="00CC0C59" w:rsidRPr="00A429AA">
        <w:rPr>
          <w:rFonts w:ascii="Times New Roman" w:eastAsia="Times New Roman" w:hAnsi="Times New Roman" w:cs="Times New Roman"/>
        </w:rPr>
        <w:t xml:space="preserve">the </w:t>
      </w:r>
      <w:r w:rsidR="00F144F2" w:rsidRPr="00A429AA">
        <w:rPr>
          <w:rFonts w:ascii="Times New Roman" w:eastAsia="Times New Roman" w:hAnsi="Times New Roman" w:cs="Times New Roman"/>
        </w:rPr>
        <w:t xml:space="preserve">market risk relative to the market as a whole. </w:t>
      </w:r>
      <w:r w:rsidRPr="00A429AA">
        <w:rPr>
          <w:rFonts w:ascii="Times New Roman" w:eastAsia="Times New Roman" w:hAnsi="Times New Roman" w:cs="Times New Roman"/>
        </w:rPr>
        <w:t>According to</w:t>
      </w:r>
      <w:r w:rsidR="00CC0C59" w:rsidRPr="00A429AA">
        <w:rPr>
          <w:rFonts w:ascii="Times New Roman" w:eastAsia="Times New Roman" w:hAnsi="Times New Roman" w:cs="Times New Roman"/>
        </w:rPr>
        <w:t xml:space="preserve"> CAPM</w:t>
      </w:r>
      <w:r w:rsidR="007562C8" w:rsidRPr="00A429AA">
        <w:rPr>
          <w:rFonts w:ascii="Times New Roman" w:eastAsia="Times New Roman" w:hAnsi="Times New Roman" w:cs="Times New Roman"/>
        </w:rPr>
        <w:t>,</w:t>
      </w:r>
      <w:r w:rsidRPr="00A429AA">
        <w:rPr>
          <w:rFonts w:ascii="Times New Roman" w:eastAsia="Times New Roman" w:hAnsi="Times New Roman" w:cs="Times New Roman"/>
        </w:rPr>
        <w:t xml:space="preserve"> the efficient portfolio is the ma</w:t>
      </w:r>
      <w:r w:rsidR="000050AB" w:rsidRPr="00A429AA">
        <w:rPr>
          <w:rFonts w:ascii="Times New Roman" w:eastAsia="Times New Roman" w:hAnsi="Times New Roman" w:cs="Times New Roman"/>
        </w:rPr>
        <w:t xml:space="preserve">rket portfolio </w:t>
      </w:r>
      <w:r w:rsidRPr="00A429AA">
        <w:rPr>
          <w:rFonts w:ascii="Times New Roman" w:eastAsia="Times New Roman" w:hAnsi="Times New Roman" w:cs="Times New Roman"/>
        </w:rPr>
        <w:t>and</w:t>
      </w:r>
      <w:r w:rsidR="00457CA4" w:rsidRPr="00A429AA">
        <w:rPr>
          <w:rFonts w:ascii="Times New Roman" w:eastAsia="Times New Roman" w:hAnsi="Times New Roman" w:cs="Times New Roman"/>
        </w:rPr>
        <w:t xml:space="preserve"> in</w:t>
      </w:r>
      <w:r w:rsidRPr="00A429AA">
        <w:rPr>
          <w:rFonts w:ascii="Times New Roman" w:eastAsia="Times New Roman" w:hAnsi="Times New Roman" w:cs="Times New Roman"/>
        </w:rPr>
        <w:t xml:space="preserve"> this model</w:t>
      </w:r>
      <w:r w:rsidR="007562C8" w:rsidRPr="00A429AA">
        <w:rPr>
          <w:rFonts w:ascii="Times New Roman" w:eastAsia="Times New Roman" w:hAnsi="Times New Roman" w:cs="Times New Roman"/>
        </w:rPr>
        <w:t>,</w:t>
      </w:r>
      <w:r w:rsidR="003676F4" w:rsidRPr="00A429AA">
        <w:rPr>
          <w:rFonts w:ascii="Times New Roman" w:eastAsia="Times New Roman" w:hAnsi="Times New Roman" w:cs="Times New Roman"/>
        </w:rPr>
        <w:t xml:space="preserve"> the</w:t>
      </w:r>
      <w:r w:rsidRPr="00A429AA">
        <w:rPr>
          <w:rFonts w:ascii="Times New Roman" w:eastAsia="Times New Roman" w:hAnsi="Times New Roman" w:cs="Times New Roman"/>
        </w:rPr>
        <w:t xml:space="preserve"> market portfolio</w:t>
      </w:r>
      <w:r w:rsidR="00870CEE" w:rsidRPr="00A429AA">
        <w:rPr>
          <w:rFonts w:ascii="Times New Roman" w:eastAsia="Times New Roman" w:hAnsi="Times New Roman" w:cs="Times New Roman"/>
        </w:rPr>
        <w:t xml:space="preserve"> </w:t>
      </w:r>
      <w:proofErr w:type="gramStart"/>
      <w:r w:rsidR="00870CEE" w:rsidRPr="00A429AA">
        <w:rPr>
          <w:rFonts w:ascii="Times New Roman" w:eastAsia="Times New Roman" w:hAnsi="Times New Roman" w:cs="Times New Roman"/>
        </w:rPr>
        <w:t>is used</w:t>
      </w:r>
      <w:proofErr w:type="gramEnd"/>
      <w:r w:rsidR="00870CEE" w:rsidRPr="00A429AA">
        <w:rPr>
          <w:rFonts w:ascii="Times New Roman" w:eastAsia="Times New Roman" w:hAnsi="Times New Roman" w:cs="Times New Roman"/>
        </w:rPr>
        <w:t xml:space="preserve"> as a</w:t>
      </w:r>
      <w:r w:rsidRPr="00A429AA">
        <w:rPr>
          <w:rFonts w:ascii="Times New Roman" w:eastAsia="Times New Roman" w:hAnsi="Times New Roman" w:cs="Times New Roman"/>
        </w:rPr>
        <w:t xml:space="preserve"> benchmark. </w:t>
      </w:r>
      <w:r w:rsidR="000050AB" w:rsidRPr="00A429AA">
        <w:rPr>
          <w:rFonts w:ascii="Times New Roman" w:eastAsia="Times New Roman" w:hAnsi="Times New Roman" w:cs="Times New Roman"/>
        </w:rPr>
        <w:t xml:space="preserve">Although CAPM assumptions are not completely accurate especially in terms of </w:t>
      </w:r>
      <w:r w:rsidR="00457CA4" w:rsidRPr="00A429AA">
        <w:rPr>
          <w:rFonts w:ascii="Times New Roman" w:eastAsia="Times New Roman" w:hAnsi="Times New Roman" w:cs="Times New Roman"/>
        </w:rPr>
        <w:t>investors’</w:t>
      </w:r>
      <w:r w:rsidR="000050AB" w:rsidRPr="00A429AA">
        <w:rPr>
          <w:rFonts w:ascii="Times New Roman" w:eastAsia="Times New Roman" w:hAnsi="Times New Roman" w:cs="Times New Roman"/>
        </w:rPr>
        <w:t xml:space="preserve"> behaviour, </w:t>
      </w:r>
      <w:r w:rsidR="00825BCE" w:rsidRPr="00A429AA">
        <w:rPr>
          <w:rFonts w:ascii="Times New Roman" w:eastAsia="Times New Roman" w:hAnsi="Times New Roman" w:cs="Times New Roman"/>
        </w:rPr>
        <w:t>CAPM generates robust result</w:t>
      </w:r>
      <w:r w:rsidR="00917537" w:rsidRPr="00A429AA">
        <w:rPr>
          <w:rFonts w:ascii="Times New Roman" w:eastAsia="Times New Roman" w:hAnsi="Times New Roman" w:cs="Times New Roman"/>
        </w:rPr>
        <w:t>s</w:t>
      </w:r>
      <w:r w:rsidR="00825BCE" w:rsidRPr="00A429AA">
        <w:rPr>
          <w:rFonts w:ascii="Times New Roman" w:eastAsia="Times New Roman" w:hAnsi="Times New Roman" w:cs="Times New Roman"/>
        </w:rPr>
        <w:t xml:space="preserve"> with relatively small errors. </w:t>
      </w:r>
    </w:p>
    <w:p w14:paraId="77E8E609" w14:textId="6C730A6B" w:rsidR="00457622" w:rsidRPr="00A429AA" w:rsidRDefault="00D71772" w:rsidP="0097699E">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The main aim of this article is to investigate </w:t>
      </w:r>
      <w:r w:rsidR="005C545F" w:rsidRPr="00A429AA">
        <w:rPr>
          <w:rFonts w:ascii="Times New Roman" w:eastAsia="Times New Roman" w:hAnsi="Times New Roman" w:cs="Times New Roman"/>
        </w:rPr>
        <w:t xml:space="preserve">the </w:t>
      </w:r>
      <w:r w:rsidRPr="00A429AA">
        <w:rPr>
          <w:rFonts w:ascii="Times New Roman" w:eastAsia="Times New Roman" w:hAnsi="Times New Roman" w:cs="Times New Roman"/>
        </w:rPr>
        <w:t xml:space="preserve">consequences and impact of </w:t>
      </w:r>
      <w:r w:rsidR="001B0077" w:rsidRPr="00A429AA">
        <w:rPr>
          <w:rFonts w:ascii="Times New Roman" w:eastAsia="Times New Roman" w:hAnsi="Times New Roman" w:cs="Times New Roman"/>
        </w:rPr>
        <w:t>the 2007-</w:t>
      </w:r>
      <w:r w:rsidR="00A35EF1" w:rsidRPr="00A429AA">
        <w:rPr>
          <w:rFonts w:ascii="Times New Roman" w:eastAsia="Times New Roman" w:hAnsi="Times New Roman" w:cs="Times New Roman"/>
        </w:rPr>
        <w:t xml:space="preserve">2008 </w:t>
      </w:r>
      <w:r w:rsidRPr="00A429AA">
        <w:rPr>
          <w:rFonts w:ascii="Times New Roman" w:eastAsia="Times New Roman" w:hAnsi="Times New Roman" w:cs="Times New Roman"/>
        </w:rPr>
        <w:t>financial crisis on the advanced EU countries especially on their</w:t>
      </w:r>
      <w:r w:rsidR="00BD5537" w:rsidRPr="00A429AA">
        <w:rPr>
          <w:rFonts w:ascii="Times New Roman" w:eastAsia="Times New Roman" w:hAnsi="Times New Roman" w:cs="Times New Roman"/>
        </w:rPr>
        <w:t xml:space="preserve"> banking</w:t>
      </w:r>
      <w:r w:rsidR="00F54170" w:rsidRPr="00A429AA">
        <w:rPr>
          <w:rFonts w:ascii="Times New Roman" w:eastAsia="Times New Roman" w:hAnsi="Times New Roman" w:cs="Times New Roman"/>
        </w:rPr>
        <w:t xml:space="preserve"> sector</w:t>
      </w:r>
      <w:r w:rsidR="00BD5537" w:rsidRPr="00A429AA">
        <w:rPr>
          <w:rFonts w:ascii="Times New Roman" w:eastAsia="Times New Roman" w:hAnsi="Times New Roman" w:cs="Times New Roman"/>
        </w:rPr>
        <w:t xml:space="preserve">, </w:t>
      </w:r>
      <w:r w:rsidR="00DC376C" w:rsidRPr="00A429AA">
        <w:rPr>
          <w:rFonts w:ascii="Times New Roman" w:eastAsia="Times New Roman" w:hAnsi="Times New Roman" w:cs="Times New Roman"/>
        </w:rPr>
        <w:t xml:space="preserve">and </w:t>
      </w:r>
      <w:r w:rsidR="00BD5537" w:rsidRPr="00A429AA">
        <w:rPr>
          <w:rFonts w:ascii="Times New Roman" w:eastAsia="Times New Roman" w:hAnsi="Times New Roman" w:cs="Times New Roman"/>
        </w:rPr>
        <w:t>thus t</w:t>
      </w:r>
      <w:r w:rsidRPr="00A429AA">
        <w:rPr>
          <w:rFonts w:ascii="Times New Roman" w:eastAsia="Times New Roman" w:hAnsi="Times New Roman" w:cs="Times New Roman"/>
        </w:rPr>
        <w:t>he analysis will focus on 10 developed EU countries: Belgium, De</w:t>
      </w:r>
      <w:r w:rsidR="00D148A7" w:rsidRPr="00A429AA">
        <w:rPr>
          <w:rFonts w:ascii="Times New Roman" w:eastAsia="Times New Roman" w:hAnsi="Times New Roman" w:cs="Times New Roman"/>
        </w:rPr>
        <w:t>nmark, France, Germany, Italy, t</w:t>
      </w:r>
      <w:r w:rsidRPr="00A429AA">
        <w:rPr>
          <w:rFonts w:ascii="Times New Roman" w:eastAsia="Times New Roman" w:hAnsi="Times New Roman" w:cs="Times New Roman"/>
        </w:rPr>
        <w:t>he Netherlands, Portugal, Spain, Sweden, and the UK.</w:t>
      </w:r>
    </w:p>
    <w:p w14:paraId="4AE1F591" w14:textId="77777777" w:rsidR="00C926D5" w:rsidRPr="00A429AA" w:rsidRDefault="00C926D5" w:rsidP="00C41EBF">
      <w:pPr>
        <w:rPr>
          <w:rFonts w:ascii="Times New Roman" w:eastAsia="Times New Roman" w:hAnsi="Times New Roman" w:cs="Times New Roman"/>
          <w:sz w:val="20"/>
          <w:szCs w:val="20"/>
        </w:rPr>
      </w:pPr>
    </w:p>
    <w:p w14:paraId="7BFC739E" w14:textId="2C7B555B" w:rsidR="005D27E0" w:rsidRPr="00A429AA" w:rsidRDefault="00137778" w:rsidP="009C4540">
      <w:pPr>
        <w:tabs>
          <w:tab w:val="center" w:pos="4150"/>
        </w:tabs>
        <w:rPr>
          <w:rFonts w:ascii="Times New Roman" w:hAnsi="Times New Roman" w:cs="Times New Roman"/>
          <w:b/>
        </w:rPr>
      </w:pPr>
      <w:r w:rsidRPr="00A429AA">
        <w:rPr>
          <w:rFonts w:ascii="Times New Roman" w:hAnsi="Times New Roman" w:cs="Times New Roman"/>
          <w:b/>
        </w:rPr>
        <w:t xml:space="preserve">2. </w:t>
      </w:r>
      <w:r w:rsidR="005D27E0" w:rsidRPr="00A429AA">
        <w:rPr>
          <w:rFonts w:ascii="Times New Roman" w:hAnsi="Times New Roman" w:cs="Times New Roman"/>
          <w:b/>
        </w:rPr>
        <w:t xml:space="preserve">Literature review </w:t>
      </w:r>
      <w:r w:rsidR="009C4540" w:rsidRPr="00A429AA">
        <w:rPr>
          <w:rFonts w:ascii="Times New Roman" w:hAnsi="Times New Roman" w:cs="Times New Roman"/>
          <w:b/>
        </w:rPr>
        <w:tab/>
      </w:r>
    </w:p>
    <w:p w14:paraId="5283683D" w14:textId="77777777" w:rsidR="005D27E0" w:rsidRPr="00A429AA" w:rsidRDefault="005D27E0">
      <w:pPr>
        <w:rPr>
          <w:rFonts w:ascii="Times New Roman" w:hAnsi="Times New Roman" w:cs="Times New Roman"/>
          <w:b/>
        </w:rPr>
      </w:pPr>
    </w:p>
    <w:p w14:paraId="628FDA94" w14:textId="1463AA41" w:rsidR="00C621F5" w:rsidRPr="00A429AA" w:rsidRDefault="001D6B5A" w:rsidP="005D3E02">
      <w:pPr>
        <w:widowControl w:val="0"/>
        <w:autoSpaceDE w:val="0"/>
        <w:autoSpaceDN w:val="0"/>
        <w:adjustRightInd w:val="0"/>
        <w:spacing w:line="360" w:lineRule="auto"/>
        <w:jc w:val="both"/>
        <w:rPr>
          <w:rFonts w:ascii="Times New Roman" w:hAnsi="Times New Roman" w:cs="Times New Roman"/>
          <w:lang w:val="en-US"/>
        </w:rPr>
      </w:pPr>
      <w:r w:rsidRPr="00A429AA">
        <w:rPr>
          <w:rFonts w:ascii="Times New Roman" w:hAnsi="Times New Roman" w:cs="Times New Roman"/>
          <w:lang w:val="en-US"/>
        </w:rPr>
        <w:t>At the heart of the financial crisis of 2007-2008 were problems in the banking sector in the US linked to mortgage-backed securities</w:t>
      </w:r>
      <w:r w:rsidR="00B40205" w:rsidRPr="00A429AA">
        <w:rPr>
          <w:rFonts w:ascii="Times New Roman" w:hAnsi="Times New Roman" w:cs="Times New Roman"/>
          <w:lang w:val="en-US"/>
        </w:rPr>
        <w:t xml:space="preserve"> but the crisis also affected the European financial market where financial </w:t>
      </w:r>
      <w:r w:rsidR="00B40205" w:rsidRPr="00A429AA">
        <w:rPr>
          <w:rFonts w:ascii="Times New Roman" w:hAnsi="Times New Roman" w:cs="Times New Roman"/>
        </w:rPr>
        <w:t>turmoil</w:t>
      </w:r>
      <w:r w:rsidR="00B40205" w:rsidRPr="00A429AA">
        <w:rPr>
          <w:rFonts w:ascii="Times New Roman" w:hAnsi="Times New Roman" w:cs="Times New Roman"/>
          <w:lang w:val="en-US"/>
        </w:rPr>
        <w:t xml:space="preserve"> </w:t>
      </w:r>
      <w:proofErr w:type="gramStart"/>
      <w:r w:rsidR="00B40205" w:rsidRPr="00A429AA">
        <w:rPr>
          <w:rFonts w:ascii="Times New Roman" w:hAnsi="Times New Roman" w:cs="Times New Roman"/>
          <w:lang w:val="en-US"/>
        </w:rPr>
        <w:t>was experienced</w:t>
      </w:r>
      <w:proofErr w:type="gramEnd"/>
      <w:r w:rsidR="00B40205" w:rsidRPr="00A429AA">
        <w:rPr>
          <w:rFonts w:ascii="Times New Roman" w:hAnsi="Times New Roman" w:cs="Times New Roman"/>
          <w:lang w:val="en-US"/>
        </w:rPr>
        <w:t xml:space="preserve"> by many European financial institutions</w:t>
      </w:r>
      <w:r w:rsidRPr="00A429AA">
        <w:rPr>
          <w:rFonts w:ascii="Times New Roman" w:hAnsi="Times New Roman" w:cs="Times New Roman"/>
          <w:lang w:val="en-US"/>
        </w:rPr>
        <w:t>.</w:t>
      </w:r>
      <w:r w:rsidR="005D3E02" w:rsidRPr="00A429AA">
        <w:rPr>
          <w:rFonts w:ascii="Times New Roman" w:hAnsi="Times New Roman" w:cs="Times New Roman"/>
          <w:lang w:val="en-US"/>
        </w:rPr>
        <w:t xml:space="preserve"> Financial crises can be </w:t>
      </w:r>
      <w:proofErr w:type="spellStart"/>
      <w:r w:rsidR="005D3E02" w:rsidRPr="00A429AA">
        <w:rPr>
          <w:rFonts w:ascii="Times New Roman" w:hAnsi="Times New Roman" w:cs="Times New Roman"/>
          <w:lang w:val="en-US"/>
        </w:rPr>
        <w:t>categorised</w:t>
      </w:r>
      <w:proofErr w:type="spellEnd"/>
      <w:r w:rsidR="005D3E02" w:rsidRPr="00A429AA">
        <w:rPr>
          <w:rFonts w:ascii="Times New Roman" w:hAnsi="Times New Roman" w:cs="Times New Roman"/>
          <w:lang w:val="en-US"/>
        </w:rPr>
        <w:t xml:space="preserve"> into different types depending on their characteristics or sector of the economy that is affected the most. Among all the crises types, a banking crisis is the most relevant i</w:t>
      </w:r>
      <w:r w:rsidR="00DB1C8C" w:rsidRPr="00A429AA">
        <w:rPr>
          <w:rFonts w:ascii="Times New Roman" w:hAnsi="Times New Roman" w:cs="Times New Roman"/>
          <w:lang w:val="en-US"/>
        </w:rPr>
        <w:t>n explaining</w:t>
      </w:r>
      <w:r w:rsidR="00792196" w:rsidRPr="00A429AA">
        <w:rPr>
          <w:rFonts w:ascii="Times New Roman" w:hAnsi="Times New Roman" w:cs="Times New Roman"/>
          <w:lang w:val="en-US"/>
        </w:rPr>
        <w:t xml:space="preserve"> the</w:t>
      </w:r>
      <w:r w:rsidR="00DB1C8C" w:rsidRPr="00A429AA">
        <w:rPr>
          <w:rFonts w:ascii="Times New Roman" w:hAnsi="Times New Roman" w:cs="Times New Roman"/>
          <w:lang w:val="en-US"/>
        </w:rPr>
        <w:t xml:space="preserve"> dynamics and consequences</w:t>
      </w:r>
      <w:r w:rsidR="005D3E02" w:rsidRPr="00A429AA">
        <w:rPr>
          <w:rFonts w:ascii="Times New Roman" w:hAnsi="Times New Roman" w:cs="Times New Roman"/>
          <w:lang w:val="en-US"/>
        </w:rPr>
        <w:t xml:space="preserve"> of the 2007-2008 financial c</w:t>
      </w:r>
      <w:r w:rsidR="006B3DBE" w:rsidRPr="00A429AA">
        <w:rPr>
          <w:rFonts w:ascii="Times New Roman" w:hAnsi="Times New Roman" w:cs="Times New Roman"/>
          <w:lang w:val="en-US"/>
        </w:rPr>
        <w:t>risis.</w:t>
      </w:r>
      <w:r w:rsidR="00B40205" w:rsidRPr="00A429AA">
        <w:rPr>
          <w:rFonts w:ascii="Times New Roman" w:hAnsi="Times New Roman" w:cs="Times New Roman"/>
          <w:lang w:val="en-US"/>
        </w:rPr>
        <w:t xml:space="preserve"> </w:t>
      </w:r>
      <w:r w:rsidR="00C621F5" w:rsidRPr="00A429AA">
        <w:rPr>
          <w:rFonts w:ascii="Times New Roman" w:hAnsi="Times New Roman" w:cs="Times New Roman"/>
          <w:lang w:val="en-US"/>
        </w:rPr>
        <w:t xml:space="preserve">A banking crisis </w:t>
      </w:r>
      <w:proofErr w:type="gramStart"/>
      <w:r w:rsidR="00DB1C8C" w:rsidRPr="00A429AA">
        <w:rPr>
          <w:rFonts w:ascii="Times New Roman" w:hAnsi="Times New Roman" w:cs="Times New Roman"/>
          <w:lang w:val="en-US"/>
        </w:rPr>
        <w:t xml:space="preserve">is </w:t>
      </w:r>
      <w:r w:rsidR="00C621F5" w:rsidRPr="00A429AA">
        <w:rPr>
          <w:rFonts w:ascii="Times New Roman" w:hAnsi="Times New Roman" w:cs="Times New Roman"/>
          <w:lang w:val="en-US"/>
        </w:rPr>
        <w:t>defined</w:t>
      </w:r>
      <w:proofErr w:type="gramEnd"/>
      <w:r w:rsidR="00C621F5" w:rsidRPr="00A429AA">
        <w:rPr>
          <w:rFonts w:ascii="Times New Roman" w:hAnsi="Times New Roman" w:cs="Times New Roman"/>
          <w:lang w:val="en-US"/>
        </w:rPr>
        <w:t xml:space="preserve"> as ‘occurrence of severely impaired ability of banks to perform their intermediary role</w:t>
      </w:r>
      <w:r w:rsidR="00F02E39" w:rsidRPr="00A429AA">
        <w:rPr>
          <w:rFonts w:ascii="Times New Roman" w:hAnsi="Times New Roman" w:cs="Times New Roman"/>
          <w:lang w:val="en-US"/>
        </w:rPr>
        <w:t>’</w:t>
      </w:r>
      <w:r w:rsidR="00C621F5" w:rsidRPr="00A429AA">
        <w:rPr>
          <w:rFonts w:ascii="Times New Roman" w:hAnsi="Times New Roman" w:cs="Times New Roman"/>
          <w:lang w:val="en-US"/>
        </w:rPr>
        <w:t xml:space="preserve"> (Davis and Karim, 2008). A banking crisis may cause a huge disruption in the economy, because of the banks’ role as an intermediary in allocat</w:t>
      </w:r>
      <w:r w:rsidR="00F02E39" w:rsidRPr="00A429AA">
        <w:rPr>
          <w:rFonts w:ascii="Times New Roman" w:hAnsi="Times New Roman" w:cs="Times New Roman"/>
          <w:lang w:val="en-US"/>
        </w:rPr>
        <w:t>ion of resources in the economy</w:t>
      </w:r>
      <w:r w:rsidR="00C621F5" w:rsidRPr="00A429AA">
        <w:rPr>
          <w:rFonts w:ascii="Times New Roman" w:hAnsi="Times New Roman" w:cs="Times New Roman"/>
          <w:lang w:val="en-US"/>
        </w:rPr>
        <w:t xml:space="preserve"> (</w:t>
      </w:r>
      <w:proofErr w:type="spellStart"/>
      <w:r w:rsidR="00C621F5" w:rsidRPr="00A429AA">
        <w:rPr>
          <w:rFonts w:ascii="Times New Roman" w:hAnsi="Times New Roman" w:cs="Times New Roman"/>
          <w:lang w:val="en-US"/>
        </w:rPr>
        <w:t>Lindgreen</w:t>
      </w:r>
      <w:proofErr w:type="spellEnd"/>
      <w:r w:rsidR="00C621F5" w:rsidRPr="00A429AA">
        <w:rPr>
          <w:rFonts w:ascii="Times New Roman" w:hAnsi="Times New Roman" w:cs="Times New Roman"/>
          <w:lang w:val="en-US"/>
        </w:rPr>
        <w:t xml:space="preserve"> </w:t>
      </w:r>
      <w:r w:rsidR="00C621F5" w:rsidRPr="00DD16C0">
        <w:rPr>
          <w:rFonts w:ascii="Times New Roman" w:hAnsi="Times New Roman" w:cs="Times New Roman"/>
          <w:i/>
          <w:lang w:val="en-US"/>
        </w:rPr>
        <w:t>et al</w:t>
      </w:r>
      <w:r w:rsidR="00C621F5" w:rsidRPr="00A429AA">
        <w:rPr>
          <w:rFonts w:ascii="Times New Roman" w:hAnsi="Times New Roman" w:cs="Times New Roman"/>
          <w:lang w:val="en-US"/>
        </w:rPr>
        <w:t xml:space="preserve">., 1996; </w:t>
      </w:r>
      <w:proofErr w:type="spellStart"/>
      <w:r w:rsidR="00C621F5" w:rsidRPr="00A429AA">
        <w:rPr>
          <w:rFonts w:ascii="Times New Roman" w:hAnsi="Times New Roman" w:cs="Times New Roman"/>
          <w:lang w:val="en-US"/>
        </w:rPr>
        <w:t>Pericoli</w:t>
      </w:r>
      <w:proofErr w:type="spellEnd"/>
      <w:r w:rsidR="00C621F5" w:rsidRPr="00A429AA">
        <w:rPr>
          <w:rFonts w:ascii="Times New Roman" w:hAnsi="Times New Roman" w:cs="Times New Roman"/>
          <w:lang w:val="en-US"/>
        </w:rPr>
        <w:t xml:space="preserve"> and </w:t>
      </w:r>
      <w:proofErr w:type="spellStart"/>
      <w:r w:rsidR="00C621F5" w:rsidRPr="00A429AA">
        <w:rPr>
          <w:rFonts w:ascii="Times New Roman" w:hAnsi="Times New Roman" w:cs="Times New Roman"/>
          <w:lang w:val="en-US"/>
        </w:rPr>
        <w:t>Sbracia</w:t>
      </w:r>
      <w:proofErr w:type="spellEnd"/>
      <w:r w:rsidR="00C621F5" w:rsidRPr="00A429AA">
        <w:rPr>
          <w:rFonts w:ascii="Times New Roman" w:hAnsi="Times New Roman" w:cs="Times New Roman"/>
          <w:lang w:val="en-US"/>
        </w:rPr>
        <w:t xml:space="preserve"> 2003).</w:t>
      </w:r>
      <w:r w:rsidR="002D1B0B" w:rsidRPr="00A429AA">
        <w:rPr>
          <w:rFonts w:ascii="Times New Roman" w:hAnsi="Times New Roman" w:cs="Times New Roman"/>
          <w:lang w:val="en-US"/>
        </w:rPr>
        <w:t xml:space="preserve"> </w:t>
      </w:r>
      <w:r w:rsidR="006B3DBE" w:rsidRPr="00A429AA">
        <w:rPr>
          <w:rFonts w:ascii="Times New Roman" w:hAnsi="Times New Roman" w:cs="Times New Roman"/>
          <w:lang w:val="en-US"/>
        </w:rPr>
        <w:t>A banking crisis is</w:t>
      </w:r>
      <w:r w:rsidR="007D7510" w:rsidRPr="00A429AA">
        <w:rPr>
          <w:rFonts w:ascii="Times New Roman" w:hAnsi="Times New Roman" w:cs="Times New Roman"/>
          <w:lang w:val="en-US"/>
        </w:rPr>
        <w:t xml:space="preserve"> also</w:t>
      </w:r>
      <w:r w:rsidR="002D1B0B" w:rsidRPr="00A429AA">
        <w:rPr>
          <w:rFonts w:ascii="Times New Roman" w:hAnsi="Times New Roman" w:cs="Times New Roman"/>
          <w:lang w:val="en-US"/>
        </w:rPr>
        <w:t xml:space="preserve"> </w:t>
      </w:r>
      <w:proofErr w:type="spellStart"/>
      <w:r w:rsidR="002D1B0B" w:rsidRPr="00A429AA">
        <w:rPr>
          <w:rFonts w:ascii="Times New Roman" w:hAnsi="Times New Roman" w:cs="Times New Roman"/>
          <w:lang w:val="en-US"/>
        </w:rPr>
        <w:t>characterised</w:t>
      </w:r>
      <w:proofErr w:type="spellEnd"/>
      <w:r w:rsidR="002D1B0B" w:rsidRPr="00A429AA">
        <w:rPr>
          <w:rFonts w:ascii="Times New Roman" w:hAnsi="Times New Roman" w:cs="Times New Roman"/>
          <w:lang w:val="en-US"/>
        </w:rPr>
        <w:t xml:space="preserve"> by a decline in the ratio of non-performing assets to </w:t>
      </w:r>
      <w:proofErr w:type="gramStart"/>
      <w:r w:rsidR="002D1B0B" w:rsidRPr="00A429AA">
        <w:rPr>
          <w:rFonts w:ascii="Times New Roman" w:hAnsi="Times New Roman" w:cs="Times New Roman"/>
          <w:lang w:val="en-US"/>
        </w:rPr>
        <w:t>total assets (</w:t>
      </w:r>
      <w:proofErr w:type="spellStart"/>
      <w:r w:rsidR="002D1B0B" w:rsidRPr="00A429AA">
        <w:rPr>
          <w:rFonts w:ascii="Times New Roman" w:hAnsi="Times New Roman" w:cs="Times New Roman"/>
          <w:lang w:val="en-US"/>
        </w:rPr>
        <w:t>Pericoli</w:t>
      </w:r>
      <w:proofErr w:type="spellEnd"/>
      <w:r w:rsidR="002D1B0B" w:rsidRPr="00A429AA">
        <w:rPr>
          <w:rFonts w:ascii="Times New Roman" w:hAnsi="Times New Roman" w:cs="Times New Roman"/>
          <w:lang w:val="en-US"/>
        </w:rPr>
        <w:t xml:space="preserve"> and </w:t>
      </w:r>
      <w:proofErr w:type="spellStart"/>
      <w:r w:rsidR="002D1B0B" w:rsidRPr="00A429AA">
        <w:rPr>
          <w:rFonts w:ascii="Times New Roman" w:hAnsi="Times New Roman" w:cs="Times New Roman"/>
          <w:lang w:val="en-US"/>
        </w:rPr>
        <w:t>Sbracia</w:t>
      </w:r>
      <w:proofErr w:type="spellEnd"/>
      <w:r w:rsidR="002D1B0B" w:rsidRPr="00A429AA">
        <w:rPr>
          <w:rFonts w:ascii="Times New Roman" w:hAnsi="Times New Roman" w:cs="Times New Roman"/>
          <w:lang w:val="en-US"/>
        </w:rPr>
        <w:t>, 2003) or when there is a significant decrease in banking capital (</w:t>
      </w:r>
      <w:proofErr w:type="spellStart"/>
      <w:r w:rsidR="002D1B0B" w:rsidRPr="00A429AA">
        <w:rPr>
          <w:rFonts w:ascii="Times New Roman" w:hAnsi="Times New Roman" w:cs="Times New Roman"/>
          <w:lang w:val="en-US"/>
        </w:rPr>
        <w:t>Caprio</w:t>
      </w:r>
      <w:proofErr w:type="spellEnd"/>
      <w:r w:rsidR="002D1B0B" w:rsidRPr="00A429AA">
        <w:rPr>
          <w:rFonts w:ascii="Times New Roman" w:hAnsi="Times New Roman" w:cs="Times New Roman"/>
          <w:lang w:val="en-US"/>
        </w:rPr>
        <w:t xml:space="preserve"> and </w:t>
      </w:r>
      <w:proofErr w:type="spellStart"/>
      <w:r w:rsidR="002D1B0B" w:rsidRPr="00A429AA">
        <w:rPr>
          <w:rFonts w:ascii="Times New Roman" w:hAnsi="Times New Roman" w:cs="Times New Roman"/>
          <w:lang w:val="en-US"/>
        </w:rPr>
        <w:t>Klingebiel</w:t>
      </w:r>
      <w:proofErr w:type="spellEnd"/>
      <w:r w:rsidR="002D1B0B" w:rsidRPr="00A429AA">
        <w:rPr>
          <w:rFonts w:ascii="Times New Roman" w:hAnsi="Times New Roman" w:cs="Times New Roman"/>
          <w:lang w:val="en-US"/>
        </w:rPr>
        <w:t>, 1996)</w:t>
      </w:r>
      <w:proofErr w:type="gramEnd"/>
      <w:r w:rsidR="002D1B0B" w:rsidRPr="00A429AA">
        <w:rPr>
          <w:rFonts w:ascii="Times New Roman" w:hAnsi="Times New Roman" w:cs="Times New Roman"/>
          <w:lang w:val="en-US"/>
        </w:rPr>
        <w:t xml:space="preserve">. </w:t>
      </w:r>
    </w:p>
    <w:p w14:paraId="74493045" w14:textId="4E872AFF" w:rsidR="00D72616" w:rsidRPr="00A429AA" w:rsidRDefault="00F02E39" w:rsidP="005D3E02">
      <w:pPr>
        <w:widowControl w:val="0"/>
        <w:autoSpaceDE w:val="0"/>
        <w:autoSpaceDN w:val="0"/>
        <w:adjustRightInd w:val="0"/>
        <w:spacing w:line="360" w:lineRule="auto"/>
        <w:jc w:val="both"/>
        <w:rPr>
          <w:rFonts w:ascii="Times New Roman" w:hAnsi="Times New Roman" w:cs="Times New Roman"/>
          <w:lang w:val="en-US"/>
        </w:rPr>
      </w:pPr>
      <w:r w:rsidRPr="00A429AA">
        <w:rPr>
          <w:rFonts w:ascii="Times New Roman" w:hAnsi="Times New Roman" w:cs="Times New Roman"/>
          <w:lang w:val="en-US"/>
        </w:rPr>
        <w:t>I</w:t>
      </w:r>
      <w:r w:rsidR="0006387A" w:rsidRPr="00A429AA">
        <w:rPr>
          <w:rFonts w:ascii="Times New Roman" w:hAnsi="Times New Roman" w:cs="Times New Roman"/>
          <w:lang w:val="en-US"/>
        </w:rPr>
        <w:t xml:space="preserve">t is widely agreed that </w:t>
      </w:r>
      <w:r w:rsidR="002A2A31" w:rsidRPr="00A429AA">
        <w:rPr>
          <w:rFonts w:ascii="Times New Roman" w:hAnsi="Times New Roman" w:cs="Times New Roman"/>
          <w:lang w:val="en-US"/>
        </w:rPr>
        <w:t>the financial crisis of 2007-20</w:t>
      </w:r>
      <w:r w:rsidR="0006387A" w:rsidRPr="00A429AA">
        <w:rPr>
          <w:rFonts w:ascii="Times New Roman" w:hAnsi="Times New Roman" w:cs="Times New Roman"/>
          <w:lang w:val="en-US"/>
        </w:rPr>
        <w:t xml:space="preserve">08 was </w:t>
      </w:r>
      <w:r w:rsidR="002A2A31" w:rsidRPr="00A429AA">
        <w:rPr>
          <w:rFonts w:ascii="Times New Roman" w:hAnsi="Times New Roman" w:cs="Times New Roman"/>
          <w:lang w:val="en-US"/>
        </w:rPr>
        <w:t>a banking crisi</w:t>
      </w:r>
      <w:r w:rsidR="009449CF" w:rsidRPr="00A429AA">
        <w:rPr>
          <w:rFonts w:ascii="Times New Roman" w:hAnsi="Times New Roman" w:cs="Times New Roman"/>
          <w:lang w:val="en-US"/>
        </w:rPr>
        <w:t>s,</w:t>
      </w:r>
      <w:r w:rsidR="00285FEA" w:rsidRPr="00A429AA">
        <w:rPr>
          <w:rFonts w:ascii="Times New Roman" w:hAnsi="Times New Roman" w:cs="Times New Roman"/>
          <w:lang w:val="en-US"/>
        </w:rPr>
        <w:t xml:space="preserve"> </w:t>
      </w:r>
      <w:r w:rsidRPr="00A429AA">
        <w:rPr>
          <w:rFonts w:ascii="Times New Roman" w:hAnsi="Times New Roman" w:cs="Times New Roman"/>
          <w:lang w:val="en-US"/>
        </w:rPr>
        <w:t xml:space="preserve">and </w:t>
      </w:r>
      <w:r w:rsidR="00E05C66" w:rsidRPr="00A429AA">
        <w:rPr>
          <w:rFonts w:ascii="Times New Roman" w:hAnsi="Times New Roman" w:cs="Times New Roman"/>
          <w:lang w:val="en-US"/>
        </w:rPr>
        <w:t xml:space="preserve">there </w:t>
      </w:r>
      <w:r w:rsidR="00E05C66" w:rsidRPr="00A429AA">
        <w:rPr>
          <w:rFonts w:ascii="Times New Roman" w:hAnsi="Times New Roman" w:cs="Times New Roman"/>
          <w:lang w:val="en-US"/>
        </w:rPr>
        <w:lastRenderedPageBreak/>
        <w:t xml:space="preserve">are number of papers </w:t>
      </w:r>
      <w:r w:rsidR="009A0AFE" w:rsidRPr="00A429AA">
        <w:rPr>
          <w:rFonts w:ascii="Times New Roman" w:hAnsi="Times New Roman" w:cs="Times New Roman"/>
          <w:lang w:val="en-US"/>
        </w:rPr>
        <w:t>analyzing the</w:t>
      </w:r>
      <w:r w:rsidR="00E05C66" w:rsidRPr="00A429AA">
        <w:rPr>
          <w:rFonts w:ascii="Times New Roman" w:hAnsi="Times New Roman" w:cs="Times New Roman"/>
          <w:lang w:val="en-US"/>
        </w:rPr>
        <w:t xml:space="preserve"> consequences of the crisis. </w:t>
      </w:r>
      <w:r w:rsidR="00D72616" w:rsidRPr="00A429AA">
        <w:rPr>
          <w:rFonts w:ascii="Times New Roman" w:hAnsi="Times New Roman" w:cs="Times New Roman"/>
          <w:lang w:val="en-US"/>
        </w:rPr>
        <w:t xml:space="preserve">Research of </w:t>
      </w:r>
      <w:proofErr w:type="spellStart"/>
      <w:r w:rsidR="00D72616" w:rsidRPr="00A429AA">
        <w:rPr>
          <w:rFonts w:ascii="Times New Roman" w:hAnsi="Times New Roman" w:cs="Times New Roman"/>
          <w:lang w:val="en-US"/>
        </w:rPr>
        <w:t>Llaudes</w:t>
      </w:r>
      <w:proofErr w:type="spellEnd"/>
      <w:r w:rsidR="00D72616" w:rsidRPr="00A429AA">
        <w:rPr>
          <w:rFonts w:ascii="Times New Roman" w:hAnsi="Times New Roman" w:cs="Times New Roman"/>
          <w:lang w:val="en-US"/>
        </w:rPr>
        <w:t xml:space="preserve"> </w:t>
      </w:r>
      <w:r w:rsidR="00D72616" w:rsidRPr="00DD16C0">
        <w:rPr>
          <w:rFonts w:ascii="Times New Roman" w:hAnsi="Times New Roman" w:cs="Times New Roman"/>
          <w:i/>
          <w:lang w:val="en-US"/>
        </w:rPr>
        <w:t>et al.</w:t>
      </w:r>
      <w:r w:rsidR="00D72616" w:rsidRPr="00A429AA">
        <w:rPr>
          <w:rFonts w:ascii="Times New Roman" w:hAnsi="Times New Roman" w:cs="Times New Roman"/>
          <w:lang w:val="en-US"/>
        </w:rPr>
        <w:t xml:space="preserve"> (2010) studying consequences of the subprime financial crisis on emerging markets revealed that during the first stage of the crisis, countries with sound economic fundamentals experienced a smaller drop in GDP. Furthermore, countries with strong linkage to advanced economies or larger exposure to foreign bank claims suffered from a decline in GDP during the crisis.</w:t>
      </w:r>
    </w:p>
    <w:p w14:paraId="341456AD" w14:textId="7F6779AE" w:rsidR="00A3160F" w:rsidRPr="00A429AA" w:rsidRDefault="007C5F13" w:rsidP="005D3E02">
      <w:pPr>
        <w:widowControl w:val="0"/>
        <w:autoSpaceDE w:val="0"/>
        <w:autoSpaceDN w:val="0"/>
        <w:adjustRightInd w:val="0"/>
        <w:spacing w:line="360" w:lineRule="auto"/>
        <w:jc w:val="both"/>
        <w:rPr>
          <w:rFonts w:ascii="Times New Roman" w:hAnsi="Times New Roman" w:cs="Times New Roman"/>
          <w:lang w:val="en-US"/>
        </w:rPr>
      </w:pPr>
      <w:r w:rsidRPr="00A429AA">
        <w:rPr>
          <w:rFonts w:ascii="Times New Roman" w:hAnsi="Times New Roman" w:cs="Times New Roman"/>
          <w:lang w:val="en-US"/>
        </w:rPr>
        <w:t>Additionally, t</w:t>
      </w:r>
      <w:r w:rsidR="00D72616" w:rsidRPr="00A429AA">
        <w:rPr>
          <w:rFonts w:ascii="Times New Roman" w:hAnsi="Times New Roman" w:cs="Times New Roman"/>
          <w:lang w:val="en-US"/>
        </w:rPr>
        <w:t>he se</w:t>
      </w:r>
      <w:r w:rsidR="003747DC" w:rsidRPr="00A429AA">
        <w:rPr>
          <w:rFonts w:ascii="Times New Roman" w:hAnsi="Times New Roman" w:cs="Times New Roman"/>
          <w:lang w:val="en-US"/>
        </w:rPr>
        <w:t xml:space="preserve">verity of the crisis </w:t>
      </w:r>
      <w:proofErr w:type="gramStart"/>
      <w:r w:rsidR="00D72616" w:rsidRPr="00A429AA">
        <w:rPr>
          <w:rFonts w:ascii="Times New Roman" w:hAnsi="Times New Roman" w:cs="Times New Roman"/>
          <w:lang w:val="en-US"/>
        </w:rPr>
        <w:t>could be linked</w:t>
      </w:r>
      <w:proofErr w:type="gramEnd"/>
      <w:r w:rsidR="00D72616" w:rsidRPr="00A429AA">
        <w:rPr>
          <w:rFonts w:ascii="Times New Roman" w:hAnsi="Times New Roman" w:cs="Times New Roman"/>
          <w:lang w:val="en-US"/>
        </w:rPr>
        <w:t xml:space="preserve"> to pre-crisis credit growth to their GDP and current account deficit. There is some evidence that trade openness and manufacturing share </w:t>
      </w:r>
      <w:proofErr w:type="gramStart"/>
      <w:r w:rsidR="00D72616" w:rsidRPr="00A429AA">
        <w:rPr>
          <w:rFonts w:ascii="Times New Roman" w:hAnsi="Times New Roman" w:cs="Times New Roman"/>
          <w:lang w:val="en-US"/>
        </w:rPr>
        <w:t>could also</w:t>
      </w:r>
      <w:proofErr w:type="gramEnd"/>
      <w:r w:rsidR="00D72616" w:rsidRPr="00A429AA">
        <w:rPr>
          <w:rFonts w:ascii="Times New Roman" w:hAnsi="Times New Roman" w:cs="Times New Roman"/>
          <w:lang w:val="en-US"/>
        </w:rPr>
        <w:t xml:space="preserve"> be connected t</w:t>
      </w:r>
      <w:r w:rsidR="009C4540" w:rsidRPr="00A429AA">
        <w:rPr>
          <w:rFonts w:ascii="Times New Roman" w:hAnsi="Times New Roman" w:cs="Times New Roman"/>
          <w:lang w:val="en-US"/>
        </w:rPr>
        <w:t>o the occurrence of the crisis</w:t>
      </w:r>
      <w:r w:rsidR="00D81FA5" w:rsidRPr="00A429AA">
        <w:rPr>
          <w:rFonts w:ascii="Times New Roman" w:hAnsi="Times New Roman" w:cs="Times New Roman"/>
          <w:lang w:val="en-US"/>
        </w:rPr>
        <w:t xml:space="preserve"> (</w:t>
      </w:r>
      <w:r w:rsidR="00D72616" w:rsidRPr="00A429AA">
        <w:rPr>
          <w:rFonts w:ascii="Times New Roman" w:hAnsi="Times New Roman" w:cs="Times New Roman"/>
          <w:lang w:val="en-US"/>
        </w:rPr>
        <w:t xml:space="preserve">Lane and </w:t>
      </w:r>
      <w:proofErr w:type="spellStart"/>
      <w:r w:rsidR="00D72616" w:rsidRPr="00A429AA">
        <w:rPr>
          <w:rFonts w:ascii="Times New Roman" w:hAnsi="Times New Roman" w:cs="Times New Roman"/>
          <w:lang w:val="en-US"/>
        </w:rPr>
        <w:t>Milesi</w:t>
      </w:r>
      <w:proofErr w:type="spellEnd"/>
      <w:r w:rsidR="00D72616" w:rsidRPr="00A429AA">
        <w:rPr>
          <w:rFonts w:ascii="Times New Roman" w:hAnsi="Times New Roman" w:cs="Times New Roman"/>
          <w:lang w:val="en-US"/>
        </w:rPr>
        <w:t>-Ferretti, 2010).</w:t>
      </w:r>
    </w:p>
    <w:p w14:paraId="1D419FFA" w14:textId="71E7DAAA" w:rsidR="001A55D7" w:rsidRPr="00A429AA" w:rsidRDefault="00F02E39" w:rsidP="001A55D7">
      <w:pPr>
        <w:spacing w:line="360" w:lineRule="auto"/>
        <w:jc w:val="both"/>
        <w:rPr>
          <w:rFonts w:ascii="Times New Roman" w:hAnsi="Times New Roman" w:cs="Times New Roman"/>
        </w:rPr>
      </w:pPr>
      <w:r w:rsidRPr="00A429AA">
        <w:rPr>
          <w:rFonts w:ascii="Times New Roman" w:hAnsi="Times New Roman" w:cs="Times New Roman"/>
          <w:noProof/>
          <w:lang w:val="en-US"/>
        </w:rPr>
        <w:t>Claessens</w:t>
      </w:r>
      <w:r w:rsidR="0084541E" w:rsidRPr="00A429AA">
        <w:rPr>
          <w:rFonts w:ascii="Times New Roman" w:hAnsi="Times New Roman" w:cs="Times New Roman"/>
          <w:noProof/>
          <w:lang w:val="en-US"/>
        </w:rPr>
        <w:t xml:space="preserve"> </w:t>
      </w:r>
      <w:r w:rsidR="0084541E" w:rsidRPr="00DD16C0">
        <w:rPr>
          <w:rFonts w:ascii="Times New Roman" w:hAnsi="Times New Roman" w:cs="Times New Roman"/>
          <w:i/>
          <w:noProof/>
          <w:lang w:val="en-US"/>
        </w:rPr>
        <w:t>et</w:t>
      </w:r>
      <w:r w:rsidR="001A55D7" w:rsidRPr="00DD16C0">
        <w:rPr>
          <w:rFonts w:ascii="Times New Roman" w:hAnsi="Times New Roman" w:cs="Times New Roman"/>
          <w:i/>
          <w:noProof/>
          <w:lang w:val="en-US"/>
        </w:rPr>
        <w:t xml:space="preserve"> al.</w:t>
      </w:r>
      <w:r w:rsidR="001A55D7" w:rsidRPr="00A429AA">
        <w:rPr>
          <w:rFonts w:ascii="Times New Roman" w:hAnsi="Times New Roman" w:cs="Times New Roman"/>
          <w:noProof/>
          <w:lang w:val="en-US"/>
        </w:rPr>
        <w:t xml:space="preserve"> (2010)</w:t>
      </w:r>
      <w:r w:rsidR="001A55D7" w:rsidRPr="00A429AA">
        <w:rPr>
          <w:rFonts w:ascii="Times New Roman" w:hAnsi="Times New Roman" w:cs="Times New Roman"/>
          <w:b/>
        </w:rPr>
        <w:t xml:space="preserve"> </w:t>
      </w:r>
      <w:r w:rsidR="001A55D7" w:rsidRPr="00A429AA">
        <w:rPr>
          <w:rFonts w:ascii="Times New Roman" w:hAnsi="Times New Roman" w:cs="Times New Roman"/>
        </w:rPr>
        <w:t>test</w:t>
      </w:r>
      <w:r w:rsidR="007C4EAE" w:rsidRPr="00A429AA">
        <w:rPr>
          <w:rFonts w:ascii="Times New Roman" w:hAnsi="Times New Roman" w:cs="Times New Roman"/>
        </w:rPr>
        <w:t>ed</w:t>
      </w:r>
      <w:r w:rsidR="001A55D7" w:rsidRPr="00A429AA">
        <w:rPr>
          <w:rFonts w:ascii="Times New Roman" w:hAnsi="Times New Roman" w:cs="Times New Roman"/>
        </w:rPr>
        <w:t xml:space="preserve"> the performance of the financial sector during the crisis in emerging and advanced economies using financial stress index (FSI) which </w:t>
      </w:r>
      <w:r w:rsidR="002002AB" w:rsidRPr="00A429AA">
        <w:rPr>
          <w:rFonts w:ascii="Times New Roman" w:hAnsi="Times New Roman" w:cs="Times New Roman"/>
        </w:rPr>
        <w:t>was</w:t>
      </w:r>
      <w:r w:rsidR="00D0200B" w:rsidRPr="00A429AA">
        <w:rPr>
          <w:rFonts w:ascii="Times New Roman" w:hAnsi="Times New Roman" w:cs="Times New Roman"/>
        </w:rPr>
        <w:t xml:space="preserve"> comprised</w:t>
      </w:r>
      <w:r w:rsidR="001A55D7" w:rsidRPr="00A429AA">
        <w:rPr>
          <w:rFonts w:ascii="Times New Roman" w:hAnsi="Times New Roman" w:cs="Times New Roman"/>
        </w:rPr>
        <w:t xml:space="preserve"> of seven </w:t>
      </w:r>
      <w:r w:rsidR="002002AB" w:rsidRPr="00A429AA">
        <w:rPr>
          <w:rFonts w:ascii="Times New Roman" w:hAnsi="Times New Roman" w:cs="Times New Roman"/>
        </w:rPr>
        <w:t xml:space="preserve">financial market development indicators </w:t>
      </w:r>
      <w:r w:rsidR="0068063C">
        <w:rPr>
          <w:rFonts w:ascii="Times New Roman" w:hAnsi="Times New Roman" w:cs="Times New Roman"/>
        </w:rPr>
        <w:t xml:space="preserve">including: Ted spread, </w:t>
      </w:r>
      <w:r w:rsidR="001A55D7" w:rsidRPr="00A429AA">
        <w:rPr>
          <w:rFonts w:ascii="Times New Roman" w:hAnsi="Times New Roman" w:cs="Times New Roman"/>
        </w:rPr>
        <w:t xml:space="preserve">banking sector beta, the inverted term spread, the stock market return, the stock market return volatility, sovereign debt spread, and exchange market volatility. The authors concluded that the financial crisis was more severe in countries </w:t>
      </w:r>
      <w:r w:rsidR="00A86FAC" w:rsidRPr="00A429AA">
        <w:rPr>
          <w:rFonts w:ascii="Times New Roman" w:hAnsi="Times New Roman" w:cs="Times New Roman"/>
        </w:rPr>
        <w:t xml:space="preserve">with appreciating </w:t>
      </w:r>
      <w:proofErr w:type="gramStart"/>
      <w:r w:rsidR="00A86FAC" w:rsidRPr="00A429AA">
        <w:rPr>
          <w:rFonts w:ascii="Times New Roman" w:hAnsi="Times New Roman" w:cs="Times New Roman"/>
        </w:rPr>
        <w:t>house prices</w:t>
      </w:r>
      <w:r w:rsidR="00223371" w:rsidRPr="00A429AA">
        <w:rPr>
          <w:rFonts w:ascii="Times New Roman" w:hAnsi="Times New Roman" w:cs="Times New Roman"/>
        </w:rPr>
        <w:t xml:space="preserve">, </w:t>
      </w:r>
      <w:r w:rsidR="00ED6DC6" w:rsidRPr="00A429AA">
        <w:rPr>
          <w:rFonts w:ascii="Times New Roman" w:hAnsi="Times New Roman" w:cs="Times New Roman"/>
        </w:rPr>
        <w:t xml:space="preserve">high </w:t>
      </w:r>
      <w:r w:rsidR="00223371" w:rsidRPr="00A429AA">
        <w:rPr>
          <w:rFonts w:ascii="Times New Roman" w:hAnsi="Times New Roman" w:cs="Times New Roman"/>
        </w:rPr>
        <w:t>mortgage debt and</w:t>
      </w:r>
      <w:r w:rsidR="00350291" w:rsidRPr="00A429AA">
        <w:rPr>
          <w:rFonts w:ascii="Times New Roman" w:hAnsi="Times New Roman" w:cs="Times New Roman"/>
        </w:rPr>
        <w:t xml:space="preserve"> great</w:t>
      </w:r>
      <w:r w:rsidR="00DD2103" w:rsidRPr="00A429AA">
        <w:rPr>
          <w:rFonts w:ascii="Times New Roman" w:hAnsi="Times New Roman" w:cs="Times New Roman"/>
        </w:rPr>
        <w:t>er</w:t>
      </w:r>
      <w:r w:rsidR="008C5C79" w:rsidRPr="00A429AA">
        <w:rPr>
          <w:rFonts w:ascii="Times New Roman" w:hAnsi="Times New Roman" w:cs="Times New Roman"/>
        </w:rPr>
        <w:t xml:space="preserve"> financial deepening, </w:t>
      </w:r>
      <w:r w:rsidR="00ED6DC6" w:rsidRPr="00A429AA">
        <w:rPr>
          <w:rFonts w:ascii="Times New Roman" w:hAnsi="Times New Roman" w:cs="Times New Roman"/>
        </w:rPr>
        <w:t xml:space="preserve">and </w:t>
      </w:r>
      <w:r w:rsidR="001A55D7" w:rsidRPr="00A429AA">
        <w:rPr>
          <w:rFonts w:ascii="Times New Roman" w:hAnsi="Times New Roman" w:cs="Times New Roman"/>
        </w:rPr>
        <w:t>w</w:t>
      </w:r>
      <w:r w:rsidR="00FB4C77" w:rsidRPr="00A429AA">
        <w:rPr>
          <w:rFonts w:ascii="Times New Roman" w:hAnsi="Times New Roman" w:cs="Times New Roman"/>
        </w:rPr>
        <w:t xml:space="preserve">here </w:t>
      </w:r>
      <w:r w:rsidR="00ED6DC6" w:rsidRPr="00A429AA">
        <w:rPr>
          <w:rFonts w:ascii="Times New Roman" w:hAnsi="Times New Roman" w:cs="Times New Roman"/>
        </w:rPr>
        <w:t xml:space="preserve">the </w:t>
      </w:r>
      <w:r w:rsidR="00FB4C77" w:rsidRPr="00A429AA">
        <w:rPr>
          <w:rFonts w:ascii="Times New Roman" w:hAnsi="Times New Roman" w:cs="Times New Roman"/>
        </w:rPr>
        <w:t>industry relied on</w:t>
      </w:r>
      <w:r w:rsidR="00DD2103" w:rsidRPr="00A429AA">
        <w:rPr>
          <w:rFonts w:ascii="Times New Roman" w:hAnsi="Times New Roman" w:cs="Times New Roman"/>
        </w:rPr>
        <w:t xml:space="preserve"> bank</w:t>
      </w:r>
      <w:r w:rsidR="00DC1F55" w:rsidRPr="00A429AA">
        <w:rPr>
          <w:rFonts w:ascii="Times New Roman" w:hAnsi="Times New Roman" w:cs="Times New Roman"/>
        </w:rPr>
        <w:t xml:space="preserve"> credit</w:t>
      </w:r>
      <w:proofErr w:type="gramEnd"/>
      <w:r w:rsidR="001A55D7" w:rsidRPr="00A429AA">
        <w:rPr>
          <w:rFonts w:ascii="Times New Roman" w:hAnsi="Times New Roman" w:cs="Times New Roman"/>
        </w:rPr>
        <w:t>. Additionally,</w:t>
      </w:r>
      <w:r w:rsidR="0065443A" w:rsidRPr="00A429AA">
        <w:rPr>
          <w:rFonts w:ascii="Times New Roman" w:hAnsi="Times New Roman" w:cs="Times New Roman"/>
        </w:rPr>
        <w:t xml:space="preserve"> the</w:t>
      </w:r>
      <w:r w:rsidR="001A55D7" w:rsidRPr="00A429AA">
        <w:rPr>
          <w:rFonts w:ascii="Times New Roman" w:hAnsi="Times New Roman" w:cs="Times New Roman"/>
        </w:rPr>
        <w:t xml:space="preserve"> share of foreign bank claim</w:t>
      </w:r>
      <w:r w:rsidR="00016946" w:rsidRPr="00A429AA">
        <w:rPr>
          <w:rFonts w:ascii="Times New Roman" w:hAnsi="Times New Roman" w:cs="Times New Roman"/>
        </w:rPr>
        <w:t>s</w:t>
      </w:r>
      <w:r w:rsidR="001A55D7" w:rsidRPr="00A429AA">
        <w:rPr>
          <w:rFonts w:ascii="Times New Roman" w:hAnsi="Times New Roman" w:cs="Times New Roman"/>
        </w:rPr>
        <w:t xml:space="preserve"> </w:t>
      </w:r>
      <w:proofErr w:type="gramStart"/>
      <w:r w:rsidR="001A55D7" w:rsidRPr="00A429AA">
        <w:rPr>
          <w:rFonts w:ascii="Times New Roman" w:hAnsi="Times New Roman" w:cs="Times New Roman"/>
        </w:rPr>
        <w:t>was positively related</w:t>
      </w:r>
      <w:proofErr w:type="gramEnd"/>
      <w:r w:rsidR="001A55D7" w:rsidRPr="00A429AA">
        <w:rPr>
          <w:rFonts w:ascii="Times New Roman" w:hAnsi="Times New Roman" w:cs="Times New Roman"/>
        </w:rPr>
        <w:t xml:space="preserve"> to </w:t>
      </w:r>
      <w:r w:rsidR="00466F6E" w:rsidRPr="00A429AA">
        <w:rPr>
          <w:rFonts w:ascii="Times New Roman" w:hAnsi="Times New Roman" w:cs="Times New Roman"/>
        </w:rPr>
        <w:t xml:space="preserve">the </w:t>
      </w:r>
      <w:r w:rsidR="001A55D7" w:rsidRPr="00A429AA">
        <w:rPr>
          <w:rFonts w:ascii="Times New Roman" w:hAnsi="Times New Roman" w:cs="Times New Roman"/>
        </w:rPr>
        <w:t xml:space="preserve">duration of the crisis. </w:t>
      </w:r>
    </w:p>
    <w:p w14:paraId="46A8E0F3" w14:textId="45D0FA67" w:rsidR="00F83E8C" w:rsidRPr="00A429AA" w:rsidRDefault="003C12D1" w:rsidP="00F83E8C">
      <w:pPr>
        <w:spacing w:line="360" w:lineRule="auto"/>
        <w:jc w:val="both"/>
        <w:rPr>
          <w:rFonts w:ascii="Times New Roman" w:hAnsi="Times New Roman" w:cs="Times New Roman"/>
        </w:rPr>
      </w:pPr>
      <w:proofErr w:type="gramStart"/>
      <w:r w:rsidRPr="00A429AA">
        <w:rPr>
          <w:rFonts w:ascii="Times New Roman" w:hAnsi="Times New Roman" w:cs="Times New Roman"/>
          <w:lang w:val="en-US"/>
        </w:rPr>
        <w:t xml:space="preserve">There </w:t>
      </w:r>
      <w:r w:rsidR="00533940" w:rsidRPr="00A429AA">
        <w:rPr>
          <w:rFonts w:ascii="Times New Roman" w:hAnsi="Times New Roman" w:cs="Times New Roman"/>
          <w:lang w:val="en-US"/>
        </w:rPr>
        <w:t>have</w:t>
      </w:r>
      <w:r w:rsidRPr="00A429AA">
        <w:rPr>
          <w:rFonts w:ascii="Times New Roman" w:hAnsi="Times New Roman" w:cs="Times New Roman"/>
          <w:lang w:val="en-US"/>
        </w:rPr>
        <w:t xml:space="preserve"> been an increasing number of s</w:t>
      </w:r>
      <w:r w:rsidR="007203C9" w:rsidRPr="00A429AA">
        <w:rPr>
          <w:rFonts w:ascii="Times New Roman" w:hAnsi="Times New Roman" w:cs="Times New Roman"/>
          <w:lang w:val="en-US"/>
        </w:rPr>
        <w:t>t</w:t>
      </w:r>
      <w:r w:rsidR="00FE03C1" w:rsidRPr="00A429AA">
        <w:rPr>
          <w:rFonts w:ascii="Times New Roman" w:hAnsi="Times New Roman" w:cs="Times New Roman"/>
          <w:lang w:val="en-US"/>
        </w:rPr>
        <w:t>udies that have examined the</w:t>
      </w:r>
      <w:r w:rsidR="007203C9" w:rsidRPr="00A429AA">
        <w:rPr>
          <w:rFonts w:ascii="Times New Roman" w:hAnsi="Times New Roman" w:cs="Times New Roman"/>
          <w:lang w:val="en-US"/>
        </w:rPr>
        <w:t xml:space="preserve"> financial crisis in the EU countries.</w:t>
      </w:r>
      <w:proofErr w:type="gramEnd"/>
      <w:r w:rsidR="007203C9" w:rsidRPr="00A429AA">
        <w:rPr>
          <w:rFonts w:ascii="Times New Roman" w:hAnsi="Times New Roman" w:cs="Times New Roman"/>
          <w:lang w:val="en-US"/>
        </w:rPr>
        <w:t xml:space="preserve"> </w:t>
      </w:r>
      <w:r w:rsidR="00F83E8C" w:rsidRPr="00A429AA">
        <w:rPr>
          <w:rFonts w:ascii="Times New Roman" w:eastAsia="Times New Roman" w:hAnsi="Times New Roman" w:cs="Times New Roman"/>
        </w:rPr>
        <w:t xml:space="preserve">According to </w:t>
      </w:r>
      <w:proofErr w:type="spellStart"/>
      <w:r w:rsidR="00F83E8C" w:rsidRPr="00A429AA">
        <w:rPr>
          <w:rFonts w:ascii="Times New Roman" w:eastAsia="Times New Roman" w:hAnsi="Times New Roman" w:cs="Times New Roman"/>
        </w:rPr>
        <w:t>Constâncio</w:t>
      </w:r>
      <w:proofErr w:type="spellEnd"/>
      <w:r w:rsidR="00F83E8C" w:rsidRPr="00A429AA">
        <w:rPr>
          <w:rFonts w:ascii="Times New Roman" w:eastAsia="Times New Roman" w:hAnsi="Times New Roman" w:cs="Times New Roman"/>
        </w:rPr>
        <w:t xml:space="preserve"> (2014)</w:t>
      </w:r>
      <w:r w:rsidR="008D1C1A" w:rsidRPr="00A429AA">
        <w:rPr>
          <w:rFonts w:ascii="Times New Roman" w:eastAsia="Times New Roman" w:hAnsi="Times New Roman" w:cs="Times New Roman"/>
        </w:rPr>
        <w:t>,</w:t>
      </w:r>
      <w:r w:rsidR="00F83E8C" w:rsidRPr="00A429AA">
        <w:rPr>
          <w:rFonts w:ascii="Times New Roman" w:eastAsia="Times New Roman" w:hAnsi="Times New Roman" w:cs="Times New Roman"/>
        </w:rPr>
        <w:t xml:space="preserve"> there were two major sources of crisis contagion in the EU banking sector, firstly, banks’ exposure to the US housing market and secondly, general change of risk perception due to </w:t>
      </w:r>
      <w:r w:rsidR="003D7772" w:rsidRPr="00A429AA">
        <w:rPr>
          <w:rFonts w:ascii="Times New Roman" w:eastAsia="Times New Roman" w:hAnsi="Times New Roman" w:cs="Times New Roman"/>
        </w:rPr>
        <w:t xml:space="preserve">the </w:t>
      </w:r>
      <w:r w:rsidR="00B521EE" w:rsidRPr="00A429AA">
        <w:rPr>
          <w:rFonts w:ascii="Times New Roman" w:eastAsia="Times New Roman" w:hAnsi="Times New Roman" w:cs="Times New Roman"/>
        </w:rPr>
        <w:t>sub- prime crisis in the US</w:t>
      </w:r>
      <w:r w:rsidR="00F83E8C" w:rsidRPr="00A429AA">
        <w:rPr>
          <w:rFonts w:ascii="Times New Roman" w:eastAsia="Times New Roman" w:hAnsi="Times New Roman" w:cs="Times New Roman"/>
        </w:rPr>
        <w:t xml:space="preserve">. </w:t>
      </w:r>
      <w:r w:rsidR="0084541E" w:rsidRPr="00A429AA">
        <w:rPr>
          <w:rFonts w:ascii="Times New Roman" w:eastAsia="Times New Roman" w:hAnsi="Times New Roman" w:cs="Times New Roman"/>
        </w:rPr>
        <w:t xml:space="preserve"> The crisis </w:t>
      </w:r>
      <w:r w:rsidR="00D76C97" w:rsidRPr="00A429AA">
        <w:rPr>
          <w:rFonts w:ascii="Times New Roman" w:eastAsia="Times New Roman" w:hAnsi="Times New Roman" w:cs="Times New Roman"/>
        </w:rPr>
        <w:t>also</w:t>
      </w:r>
      <w:r w:rsidR="00F83E8C" w:rsidRPr="00A429AA">
        <w:rPr>
          <w:rFonts w:ascii="Times New Roman" w:eastAsia="Times New Roman" w:hAnsi="Times New Roman" w:cs="Times New Roman"/>
        </w:rPr>
        <w:t xml:space="preserve"> </w:t>
      </w:r>
      <w:r w:rsidR="0084541E" w:rsidRPr="00A429AA">
        <w:rPr>
          <w:rFonts w:ascii="Times New Roman" w:eastAsia="Times New Roman" w:hAnsi="Times New Roman" w:cs="Times New Roman"/>
        </w:rPr>
        <w:t xml:space="preserve">had </w:t>
      </w:r>
      <w:r w:rsidR="00F83E8C" w:rsidRPr="00A429AA">
        <w:rPr>
          <w:rFonts w:ascii="Times New Roman" w:eastAsia="Times New Roman" w:hAnsi="Times New Roman" w:cs="Times New Roman"/>
        </w:rPr>
        <w:t xml:space="preserve">an adverse effect on </w:t>
      </w:r>
      <w:r w:rsidR="0084541E" w:rsidRPr="00A429AA">
        <w:rPr>
          <w:rFonts w:ascii="Times New Roman" w:eastAsia="Times New Roman" w:hAnsi="Times New Roman" w:cs="Times New Roman"/>
        </w:rPr>
        <w:t xml:space="preserve">a </w:t>
      </w:r>
      <w:r w:rsidR="00F83E8C" w:rsidRPr="00A429AA">
        <w:rPr>
          <w:rFonts w:ascii="Times New Roman" w:eastAsia="Times New Roman" w:hAnsi="Times New Roman" w:cs="Times New Roman"/>
        </w:rPr>
        <w:t>financial stability in</w:t>
      </w:r>
      <w:r w:rsidR="00A121FD" w:rsidRPr="00A429AA">
        <w:rPr>
          <w:rFonts w:ascii="Times New Roman" w:eastAsia="Times New Roman" w:hAnsi="Times New Roman" w:cs="Times New Roman"/>
        </w:rPr>
        <w:t xml:space="preserve"> the</w:t>
      </w:r>
      <w:r w:rsidR="00F83E8C" w:rsidRPr="00A429AA">
        <w:rPr>
          <w:rFonts w:ascii="Times New Roman" w:eastAsia="Times New Roman" w:hAnsi="Times New Roman" w:cs="Times New Roman"/>
        </w:rPr>
        <w:t xml:space="preserve"> EU countries and led to rebalancing of their portfolios to include less risky government bonds. </w:t>
      </w:r>
    </w:p>
    <w:p w14:paraId="46CB6CBD" w14:textId="43CD0565" w:rsidR="00C81E5B" w:rsidRPr="00A429AA" w:rsidRDefault="00533940" w:rsidP="00AF6ACF">
      <w:pPr>
        <w:spacing w:line="360" w:lineRule="auto"/>
        <w:jc w:val="both"/>
        <w:rPr>
          <w:rFonts w:ascii="Times New Roman" w:hAnsi="Times New Roman" w:cs="Times New Roman"/>
        </w:rPr>
      </w:pPr>
      <w:r w:rsidRPr="00A429AA">
        <w:rPr>
          <w:rFonts w:ascii="Times New Roman" w:hAnsi="Times New Roman" w:cs="Times New Roman"/>
        </w:rPr>
        <w:t xml:space="preserve">According to </w:t>
      </w:r>
      <w:r w:rsidR="0084541E" w:rsidRPr="00A429AA">
        <w:rPr>
          <w:rFonts w:ascii="Times New Roman" w:hAnsi="Times New Roman" w:cs="Times New Roman"/>
          <w:noProof/>
          <w:lang w:val="en-US"/>
        </w:rPr>
        <w:t>Degl'Innocenti</w:t>
      </w:r>
      <w:r w:rsidRPr="00A429AA">
        <w:rPr>
          <w:rFonts w:ascii="Times New Roman" w:hAnsi="Times New Roman" w:cs="Times New Roman"/>
          <w:noProof/>
          <w:lang w:val="en-US"/>
        </w:rPr>
        <w:t xml:space="preserve"> </w:t>
      </w:r>
      <w:r w:rsidR="00F44753" w:rsidRPr="00DD16C0">
        <w:rPr>
          <w:rFonts w:ascii="Times New Roman" w:hAnsi="Times New Roman" w:cs="Times New Roman"/>
          <w:i/>
          <w:noProof/>
          <w:lang w:val="en-US"/>
        </w:rPr>
        <w:t>et</w:t>
      </w:r>
      <w:r w:rsidRPr="00DD16C0">
        <w:rPr>
          <w:rFonts w:ascii="Times New Roman" w:hAnsi="Times New Roman" w:cs="Times New Roman"/>
          <w:i/>
          <w:noProof/>
          <w:lang w:val="en-US"/>
        </w:rPr>
        <w:t xml:space="preserve"> al.</w:t>
      </w:r>
      <w:r w:rsidRPr="00A429AA">
        <w:rPr>
          <w:rFonts w:ascii="Times New Roman" w:hAnsi="Times New Roman" w:cs="Times New Roman"/>
          <w:noProof/>
          <w:lang w:val="en-US"/>
        </w:rPr>
        <w:t xml:space="preserve"> (2017)</w:t>
      </w:r>
      <w:r w:rsidR="0088791D" w:rsidRPr="00A429AA">
        <w:rPr>
          <w:rFonts w:ascii="Times New Roman" w:hAnsi="Times New Roman" w:cs="Times New Roman"/>
          <w:noProof/>
          <w:lang w:val="en-US"/>
        </w:rPr>
        <w:t>,</w:t>
      </w:r>
      <w:r w:rsidRPr="00A429AA">
        <w:rPr>
          <w:rFonts w:ascii="Times New Roman" w:hAnsi="Times New Roman" w:cs="Times New Roman"/>
        </w:rPr>
        <w:t xml:space="preserve"> one of the </w:t>
      </w:r>
      <w:r w:rsidR="0084541E" w:rsidRPr="00A429AA">
        <w:rPr>
          <w:rFonts w:ascii="Times New Roman" w:hAnsi="Times New Roman" w:cs="Times New Roman"/>
        </w:rPr>
        <w:t>consequences</w:t>
      </w:r>
      <w:r w:rsidR="00A121FD" w:rsidRPr="00A429AA">
        <w:rPr>
          <w:rFonts w:ascii="Times New Roman" w:hAnsi="Times New Roman" w:cs="Times New Roman"/>
        </w:rPr>
        <w:t xml:space="preserve"> of the financial crisis </w:t>
      </w:r>
      <w:r w:rsidR="009C4540" w:rsidRPr="00A429AA">
        <w:rPr>
          <w:rFonts w:ascii="Times New Roman" w:hAnsi="Times New Roman" w:cs="Times New Roman"/>
        </w:rPr>
        <w:t>was an increase in the bank productivity growth</w:t>
      </w:r>
      <w:r w:rsidR="00FD067D" w:rsidRPr="00A429AA">
        <w:rPr>
          <w:rFonts w:ascii="Times New Roman" w:hAnsi="Times New Roman" w:cs="Times New Roman"/>
        </w:rPr>
        <w:t xml:space="preserve"> in the EU banking sector</w:t>
      </w:r>
      <w:r w:rsidR="009C4540" w:rsidRPr="00A429AA">
        <w:rPr>
          <w:rFonts w:ascii="Times New Roman" w:hAnsi="Times New Roman" w:cs="Times New Roman"/>
        </w:rPr>
        <w:t xml:space="preserve"> </w:t>
      </w:r>
      <w:r w:rsidR="00A73A80" w:rsidRPr="00A429AA">
        <w:rPr>
          <w:rFonts w:ascii="Times New Roman" w:hAnsi="Times New Roman" w:cs="Times New Roman"/>
        </w:rPr>
        <w:t>in 2007</w:t>
      </w:r>
      <w:r w:rsidR="00DD2AD3" w:rsidRPr="00A429AA">
        <w:rPr>
          <w:rFonts w:ascii="Times New Roman" w:hAnsi="Times New Roman" w:cs="Times New Roman"/>
        </w:rPr>
        <w:t xml:space="preserve"> and </w:t>
      </w:r>
      <w:r w:rsidR="009C4540" w:rsidRPr="00A429AA">
        <w:rPr>
          <w:rFonts w:ascii="Times New Roman" w:hAnsi="Times New Roman" w:cs="Times New Roman"/>
        </w:rPr>
        <w:t xml:space="preserve">2008 because </w:t>
      </w:r>
      <w:r w:rsidR="0084541E" w:rsidRPr="00A429AA">
        <w:rPr>
          <w:rFonts w:ascii="Times New Roman" w:hAnsi="Times New Roman" w:cs="Times New Roman"/>
        </w:rPr>
        <w:t>of changes</w:t>
      </w:r>
      <w:r w:rsidR="009C4540" w:rsidRPr="00A429AA">
        <w:rPr>
          <w:rFonts w:ascii="Times New Roman" w:hAnsi="Times New Roman" w:cs="Times New Roman"/>
        </w:rPr>
        <w:t xml:space="preserve"> in efficiency. </w:t>
      </w:r>
      <w:r w:rsidR="00DD2AD3" w:rsidRPr="00A429AA">
        <w:rPr>
          <w:rFonts w:ascii="Times New Roman" w:hAnsi="Times New Roman" w:cs="Times New Roman"/>
        </w:rPr>
        <w:t>However, the drop of prod</w:t>
      </w:r>
      <w:r w:rsidR="006F078E" w:rsidRPr="00A429AA">
        <w:rPr>
          <w:rFonts w:ascii="Times New Roman" w:hAnsi="Times New Roman" w:cs="Times New Roman"/>
        </w:rPr>
        <w:t xml:space="preserve">uctivity growth </w:t>
      </w:r>
      <w:proofErr w:type="gramStart"/>
      <w:r w:rsidR="006F078E" w:rsidRPr="00A429AA">
        <w:rPr>
          <w:rFonts w:ascii="Times New Roman" w:hAnsi="Times New Roman" w:cs="Times New Roman"/>
        </w:rPr>
        <w:t>was observed</w:t>
      </w:r>
      <w:proofErr w:type="gramEnd"/>
      <w:r w:rsidR="006F078E" w:rsidRPr="00A429AA">
        <w:rPr>
          <w:rFonts w:ascii="Times New Roman" w:hAnsi="Times New Roman" w:cs="Times New Roman"/>
        </w:rPr>
        <w:t xml:space="preserve"> between</w:t>
      </w:r>
      <w:r w:rsidR="009302A2">
        <w:rPr>
          <w:rFonts w:ascii="Times New Roman" w:hAnsi="Times New Roman" w:cs="Times New Roman"/>
        </w:rPr>
        <w:t xml:space="preserve"> 2008 and </w:t>
      </w:r>
      <w:r w:rsidR="00DD2AD3" w:rsidRPr="00A429AA">
        <w:rPr>
          <w:rFonts w:ascii="Times New Roman" w:hAnsi="Times New Roman" w:cs="Times New Roman"/>
        </w:rPr>
        <w:t xml:space="preserve">2010. </w:t>
      </w:r>
    </w:p>
    <w:p w14:paraId="6ECB8F20" w14:textId="71158B12" w:rsidR="009752A0" w:rsidRPr="00A429AA" w:rsidRDefault="009210F4" w:rsidP="00AF6ACF">
      <w:pPr>
        <w:spacing w:line="360" w:lineRule="auto"/>
        <w:jc w:val="both"/>
        <w:rPr>
          <w:rFonts w:ascii="Times New Roman" w:hAnsi="Times New Roman" w:cs="Times New Roman"/>
          <w:b/>
        </w:rPr>
      </w:pPr>
      <w:r w:rsidRPr="00A429AA">
        <w:rPr>
          <w:rFonts w:ascii="Times New Roman" w:hAnsi="Times New Roman" w:cs="Times New Roman"/>
        </w:rPr>
        <w:t xml:space="preserve">Popov and </w:t>
      </w:r>
      <w:proofErr w:type="spellStart"/>
      <w:r w:rsidRPr="00A429AA">
        <w:rPr>
          <w:rFonts w:ascii="Times New Roman" w:hAnsi="Times New Roman" w:cs="Times New Roman"/>
        </w:rPr>
        <w:t>Udell</w:t>
      </w:r>
      <w:proofErr w:type="spellEnd"/>
      <w:r w:rsidRPr="00A429AA">
        <w:rPr>
          <w:rFonts w:ascii="Times New Roman" w:hAnsi="Times New Roman" w:cs="Times New Roman"/>
        </w:rPr>
        <w:t xml:space="preserve"> (2012)</w:t>
      </w:r>
      <w:r w:rsidR="004408D8" w:rsidRPr="00A429AA">
        <w:rPr>
          <w:rFonts w:ascii="Times New Roman" w:hAnsi="Times New Roman" w:cs="Times New Roman"/>
        </w:rPr>
        <w:t xml:space="preserve"> studied</w:t>
      </w:r>
      <w:r w:rsidR="00AD654C" w:rsidRPr="00A429AA">
        <w:rPr>
          <w:rFonts w:ascii="Times New Roman" w:hAnsi="Times New Roman" w:cs="Times New Roman"/>
        </w:rPr>
        <w:t xml:space="preserve"> the</w:t>
      </w:r>
      <w:r w:rsidR="004408D8" w:rsidRPr="00A429AA">
        <w:rPr>
          <w:rFonts w:ascii="Times New Roman" w:hAnsi="Times New Roman" w:cs="Times New Roman"/>
        </w:rPr>
        <w:t xml:space="preserve"> banking sector in emerging European </w:t>
      </w:r>
      <w:r w:rsidR="00F50EB7" w:rsidRPr="00A429AA">
        <w:rPr>
          <w:rFonts w:ascii="Times New Roman" w:hAnsi="Times New Roman" w:cs="Times New Roman"/>
        </w:rPr>
        <w:t>countries</w:t>
      </w:r>
      <w:r w:rsidR="00AF37C5" w:rsidRPr="00A429AA">
        <w:rPr>
          <w:rFonts w:ascii="Times New Roman" w:hAnsi="Times New Roman" w:cs="Times New Roman"/>
        </w:rPr>
        <w:t xml:space="preserve"> before and during the financial crisis</w:t>
      </w:r>
      <w:r w:rsidR="00F50EB7" w:rsidRPr="00A429AA">
        <w:rPr>
          <w:rFonts w:ascii="Times New Roman" w:hAnsi="Times New Roman" w:cs="Times New Roman"/>
        </w:rPr>
        <w:t xml:space="preserve"> and found evidence of constraints in credit availability </w:t>
      </w:r>
      <w:r w:rsidR="00B93C92" w:rsidRPr="00A429AA">
        <w:rPr>
          <w:rFonts w:ascii="Times New Roman" w:hAnsi="Times New Roman" w:cs="Times New Roman"/>
        </w:rPr>
        <w:t xml:space="preserve">for companies. </w:t>
      </w:r>
    </w:p>
    <w:p w14:paraId="0F8B614A" w14:textId="10748356" w:rsidR="00B01864" w:rsidRPr="00A429AA" w:rsidRDefault="0084541E" w:rsidP="0012738F">
      <w:pPr>
        <w:spacing w:line="360" w:lineRule="auto"/>
        <w:jc w:val="both"/>
        <w:rPr>
          <w:rFonts w:ascii="Times New Roman" w:hAnsi="Times New Roman" w:cs="Times New Roman"/>
        </w:rPr>
      </w:pPr>
      <w:r w:rsidRPr="00A429AA">
        <w:rPr>
          <w:rFonts w:ascii="Times New Roman" w:hAnsi="Times New Roman" w:cs="Times New Roman"/>
          <w:noProof/>
          <w:lang w:val="en-US"/>
        </w:rPr>
        <w:lastRenderedPageBreak/>
        <w:t>Festic</w:t>
      </w:r>
      <w:r w:rsidR="0042720F" w:rsidRPr="00A429AA">
        <w:rPr>
          <w:rFonts w:ascii="Times New Roman" w:hAnsi="Times New Roman" w:cs="Times New Roman"/>
          <w:noProof/>
          <w:lang w:val="en-US"/>
        </w:rPr>
        <w:t xml:space="preserve"> </w:t>
      </w:r>
      <w:r w:rsidR="0042720F" w:rsidRPr="00DD16C0">
        <w:rPr>
          <w:rFonts w:ascii="Times New Roman" w:hAnsi="Times New Roman" w:cs="Times New Roman"/>
          <w:i/>
          <w:noProof/>
          <w:lang w:val="en-US"/>
        </w:rPr>
        <w:t>et al</w:t>
      </w:r>
      <w:r w:rsidR="0042720F" w:rsidRPr="00A429AA">
        <w:rPr>
          <w:rFonts w:ascii="Times New Roman" w:hAnsi="Times New Roman" w:cs="Times New Roman"/>
          <w:i/>
          <w:noProof/>
          <w:lang w:val="en-US"/>
        </w:rPr>
        <w:t>.</w:t>
      </w:r>
      <w:r w:rsidR="00C06C04" w:rsidRPr="00A429AA">
        <w:rPr>
          <w:rFonts w:ascii="Times New Roman" w:hAnsi="Times New Roman" w:cs="Times New Roman"/>
          <w:noProof/>
          <w:lang w:val="en-US"/>
        </w:rPr>
        <w:t xml:space="preserve"> (2011)</w:t>
      </w:r>
      <w:r w:rsidR="00EB11BD" w:rsidRPr="00A429AA">
        <w:rPr>
          <w:rFonts w:ascii="Times New Roman" w:hAnsi="Times New Roman" w:cs="Times New Roman"/>
          <w:noProof/>
          <w:lang w:val="en-US"/>
        </w:rPr>
        <w:t xml:space="preserve"> invesigated the influence </w:t>
      </w:r>
      <w:r w:rsidRPr="00A429AA">
        <w:rPr>
          <w:rFonts w:ascii="Times New Roman" w:hAnsi="Times New Roman" w:cs="Times New Roman"/>
          <w:noProof/>
          <w:lang w:val="en-US"/>
        </w:rPr>
        <w:t>of growth of credit on non-</w:t>
      </w:r>
      <w:r w:rsidR="00EB11BD" w:rsidRPr="00A429AA">
        <w:rPr>
          <w:rFonts w:ascii="Times New Roman" w:hAnsi="Times New Roman" w:cs="Times New Roman"/>
          <w:noProof/>
          <w:lang w:val="en-US"/>
        </w:rPr>
        <w:t>performing loans ratio and confirmed that in Central and Eastern Europe</w:t>
      </w:r>
      <w:r w:rsidR="003D6777" w:rsidRPr="00A429AA">
        <w:rPr>
          <w:rFonts w:ascii="Times New Roman" w:hAnsi="Times New Roman" w:cs="Times New Roman"/>
          <w:noProof/>
          <w:lang w:val="en-US"/>
        </w:rPr>
        <w:t>,</w:t>
      </w:r>
      <w:r w:rsidRPr="00A429AA">
        <w:rPr>
          <w:rFonts w:ascii="Times New Roman" w:hAnsi="Times New Roman" w:cs="Times New Roman"/>
          <w:noProof/>
          <w:lang w:val="en-US"/>
        </w:rPr>
        <w:t xml:space="preserve"> the</w:t>
      </w:r>
      <w:r w:rsidR="00701F5B" w:rsidRPr="00A429AA">
        <w:rPr>
          <w:rFonts w:ascii="Times New Roman" w:hAnsi="Times New Roman" w:cs="Times New Roman"/>
          <w:noProof/>
          <w:lang w:val="en-US"/>
        </w:rPr>
        <w:t xml:space="preserve"> growth of credit and lax </w:t>
      </w:r>
      <w:r w:rsidR="00EB11BD" w:rsidRPr="00A429AA">
        <w:rPr>
          <w:rFonts w:ascii="Times New Roman" w:hAnsi="Times New Roman" w:cs="Times New Roman"/>
          <w:noProof/>
          <w:lang w:val="en-US"/>
        </w:rPr>
        <w:t xml:space="preserve">banks’ credit policy </w:t>
      </w:r>
      <w:r w:rsidRPr="00A429AA">
        <w:rPr>
          <w:rFonts w:ascii="Times New Roman" w:hAnsi="Times New Roman" w:cs="Times New Roman"/>
          <w:noProof/>
          <w:lang w:val="en-US"/>
        </w:rPr>
        <w:t>could</w:t>
      </w:r>
      <w:r w:rsidR="00EB11BD" w:rsidRPr="00A429AA">
        <w:rPr>
          <w:rFonts w:ascii="Times New Roman" w:hAnsi="Times New Roman" w:cs="Times New Roman"/>
          <w:noProof/>
          <w:lang w:val="en-US"/>
        </w:rPr>
        <w:t xml:space="preserve"> harm banking performance. </w:t>
      </w:r>
    </w:p>
    <w:p w14:paraId="052A2A15" w14:textId="064472F3" w:rsidR="00886469" w:rsidRPr="00A429AA" w:rsidRDefault="00016CC8" w:rsidP="002C78C8">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In turn, t</w:t>
      </w:r>
      <w:r w:rsidR="00701F5B" w:rsidRPr="00A429AA">
        <w:rPr>
          <w:rFonts w:ascii="Times New Roman" w:eastAsia="Times New Roman" w:hAnsi="Times New Roman" w:cs="Times New Roman"/>
        </w:rPr>
        <w:t xml:space="preserve">he study of </w:t>
      </w:r>
      <w:r w:rsidR="00EC5490" w:rsidRPr="00A429AA">
        <w:rPr>
          <w:rFonts w:ascii="Times New Roman" w:eastAsia="Times New Roman" w:hAnsi="Times New Roman" w:cs="Times New Roman"/>
          <w:noProof/>
          <w:lang w:val="en-US"/>
        </w:rPr>
        <w:t>Choudhry and Jayasekera (2014)</w:t>
      </w:r>
      <w:r w:rsidR="00701F5B" w:rsidRPr="00A429AA">
        <w:rPr>
          <w:rFonts w:ascii="Times New Roman" w:eastAsia="Times New Roman" w:hAnsi="Times New Roman" w:cs="Times New Roman"/>
        </w:rPr>
        <w:t xml:space="preserve"> </w:t>
      </w:r>
      <w:r w:rsidR="00EC5490" w:rsidRPr="00A429AA">
        <w:rPr>
          <w:rFonts w:ascii="Times New Roman" w:eastAsia="Times New Roman" w:hAnsi="Times New Roman" w:cs="Times New Roman"/>
        </w:rPr>
        <w:t>used</w:t>
      </w:r>
      <w:r w:rsidR="00701F5B" w:rsidRPr="00A429AA">
        <w:rPr>
          <w:rFonts w:ascii="Times New Roman" w:eastAsia="Times New Roman" w:hAnsi="Times New Roman" w:cs="Times New Roman"/>
        </w:rPr>
        <w:t xml:space="preserve"> banking stock indices to asses</w:t>
      </w:r>
      <w:r w:rsidR="007E6F27" w:rsidRPr="00A429AA">
        <w:rPr>
          <w:rFonts w:ascii="Times New Roman" w:eastAsia="Times New Roman" w:hAnsi="Times New Roman" w:cs="Times New Roman"/>
        </w:rPr>
        <w:t>s</w:t>
      </w:r>
      <w:r w:rsidR="00701F5B" w:rsidRPr="00A429AA">
        <w:rPr>
          <w:rFonts w:ascii="Times New Roman" w:eastAsia="Times New Roman" w:hAnsi="Times New Roman" w:cs="Times New Roman"/>
        </w:rPr>
        <w:t xml:space="preserve"> the effect of </w:t>
      </w:r>
      <w:r w:rsidR="00EC5490" w:rsidRPr="00A429AA">
        <w:rPr>
          <w:rFonts w:ascii="Times New Roman" w:eastAsia="Times New Roman" w:hAnsi="Times New Roman" w:cs="Times New Roman"/>
        </w:rPr>
        <w:t xml:space="preserve">the </w:t>
      </w:r>
      <w:r w:rsidR="00701F5B" w:rsidRPr="00A429AA">
        <w:rPr>
          <w:rFonts w:ascii="Times New Roman" w:eastAsia="Times New Roman" w:hAnsi="Times New Roman" w:cs="Times New Roman"/>
        </w:rPr>
        <w:t xml:space="preserve">financial crisis on the EU countries with the focus on </w:t>
      </w:r>
      <w:proofErr w:type="spellStart"/>
      <w:r w:rsidR="00701F5B" w:rsidRPr="00A429AA">
        <w:rPr>
          <w:rFonts w:ascii="Times New Roman" w:eastAsia="Times New Roman" w:hAnsi="Times New Roman" w:cs="Times New Roman"/>
        </w:rPr>
        <w:t>spillover</w:t>
      </w:r>
      <w:proofErr w:type="spellEnd"/>
      <w:r w:rsidR="00701F5B" w:rsidRPr="00A429AA">
        <w:rPr>
          <w:rFonts w:ascii="Times New Roman" w:eastAsia="Times New Roman" w:hAnsi="Times New Roman" w:cs="Times New Roman"/>
        </w:rPr>
        <w:t xml:space="preserve"> effects between Germany, </w:t>
      </w:r>
      <w:r w:rsidR="0084541E" w:rsidRPr="00A429AA">
        <w:rPr>
          <w:rFonts w:ascii="Times New Roman" w:eastAsia="Times New Roman" w:hAnsi="Times New Roman" w:cs="Times New Roman"/>
        </w:rPr>
        <w:t>the UK and the US</w:t>
      </w:r>
      <w:r w:rsidR="00701F5B" w:rsidRPr="00A429AA">
        <w:rPr>
          <w:rFonts w:ascii="Times New Roman" w:eastAsia="Times New Roman" w:hAnsi="Times New Roman" w:cs="Times New Roman"/>
        </w:rPr>
        <w:t xml:space="preserve"> and smaller countries of the EU. </w:t>
      </w:r>
      <w:r w:rsidR="00E171BE" w:rsidRPr="00A429AA">
        <w:rPr>
          <w:rFonts w:ascii="Times New Roman" w:eastAsia="Times New Roman" w:hAnsi="Times New Roman" w:cs="Times New Roman"/>
        </w:rPr>
        <w:t xml:space="preserve"> Similarly, </w:t>
      </w:r>
      <w:proofErr w:type="spellStart"/>
      <w:r w:rsidR="00E171BE" w:rsidRPr="00A429AA">
        <w:rPr>
          <w:rFonts w:ascii="Times New Roman" w:eastAsia="Times New Roman" w:hAnsi="Times New Roman" w:cs="Times New Roman"/>
        </w:rPr>
        <w:t>S</w:t>
      </w:r>
      <w:r w:rsidR="002E33CE" w:rsidRPr="00A429AA">
        <w:rPr>
          <w:rFonts w:ascii="Times New Roman" w:hAnsi="Times New Roman" w:cs="Times New Roman"/>
          <w:noProof/>
        </w:rPr>
        <w:t>hehzada</w:t>
      </w:r>
      <w:proofErr w:type="spellEnd"/>
      <w:r w:rsidR="002E33CE" w:rsidRPr="00A429AA">
        <w:rPr>
          <w:rFonts w:ascii="Times New Roman" w:hAnsi="Times New Roman" w:cs="Times New Roman"/>
          <w:noProof/>
        </w:rPr>
        <w:t xml:space="preserve"> and De Haan (2013) used the stock prices of banks to examine</w:t>
      </w:r>
      <w:r w:rsidR="003A65DD" w:rsidRPr="00A429AA">
        <w:rPr>
          <w:rFonts w:ascii="Times New Roman" w:hAnsi="Times New Roman" w:cs="Times New Roman"/>
          <w:noProof/>
        </w:rPr>
        <w:t xml:space="preserve"> the</w:t>
      </w:r>
      <w:r w:rsidR="002E33CE" w:rsidRPr="00A429AA">
        <w:rPr>
          <w:rFonts w:ascii="Times New Roman" w:hAnsi="Times New Roman" w:cs="Times New Roman"/>
          <w:noProof/>
        </w:rPr>
        <w:t xml:space="preserve"> impact of </w:t>
      </w:r>
      <w:r w:rsidR="0084541E" w:rsidRPr="00A429AA">
        <w:rPr>
          <w:rFonts w:ascii="Times New Roman" w:hAnsi="Times New Roman" w:cs="Times New Roman"/>
          <w:noProof/>
        </w:rPr>
        <w:t xml:space="preserve">the </w:t>
      </w:r>
      <w:r w:rsidR="002E33CE" w:rsidRPr="00A429AA">
        <w:rPr>
          <w:rFonts w:ascii="Times New Roman" w:hAnsi="Times New Roman" w:cs="Times New Roman"/>
          <w:noProof/>
        </w:rPr>
        <w:t xml:space="preserve">financial crisis on </w:t>
      </w:r>
      <w:r w:rsidRPr="00A429AA">
        <w:rPr>
          <w:rFonts w:ascii="Times New Roman" w:hAnsi="Times New Roman" w:cs="Times New Roman"/>
          <w:noProof/>
        </w:rPr>
        <w:t xml:space="preserve">the </w:t>
      </w:r>
      <w:r w:rsidR="002E33CE" w:rsidRPr="00A429AA">
        <w:rPr>
          <w:rFonts w:ascii="Times New Roman" w:hAnsi="Times New Roman" w:cs="Times New Roman"/>
          <w:noProof/>
        </w:rPr>
        <w:t xml:space="preserve">banking sector. This </w:t>
      </w:r>
      <w:r w:rsidR="00AD1F7A" w:rsidRPr="00A429AA">
        <w:rPr>
          <w:rFonts w:ascii="Times New Roman" w:hAnsi="Times New Roman" w:cs="Times New Roman"/>
          <w:noProof/>
        </w:rPr>
        <w:t>methodological aproach is suppo</w:t>
      </w:r>
      <w:r w:rsidR="002E33CE" w:rsidRPr="00A429AA">
        <w:rPr>
          <w:rFonts w:ascii="Times New Roman" w:hAnsi="Times New Roman" w:cs="Times New Roman"/>
          <w:noProof/>
        </w:rPr>
        <w:t xml:space="preserve">rted by </w:t>
      </w:r>
      <w:r w:rsidR="002E33CE" w:rsidRPr="00A429AA">
        <w:rPr>
          <w:rFonts w:ascii="Times New Roman" w:hAnsi="Times New Roman" w:cs="Times New Roman"/>
        </w:rPr>
        <w:t xml:space="preserve">Efficient Market </w:t>
      </w:r>
      <w:r w:rsidR="00D9349B" w:rsidRPr="00A429AA">
        <w:rPr>
          <w:rFonts w:ascii="Times New Roman" w:hAnsi="Times New Roman" w:cs="Times New Roman"/>
        </w:rPr>
        <w:t>Hypothesis, which</w:t>
      </w:r>
      <w:r w:rsidR="002E33CE" w:rsidRPr="00A429AA">
        <w:rPr>
          <w:rFonts w:ascii="Times New Roman" w:hAnsi="Times New Roman" w:cs="Times New Roman"/>
          <w:noProof/>
        </w:rPr>
        <w:t xml:space="preserve"> states that stock prices are</w:t>
      </w:r>
      <w:r w:rsidR="00101983" w:rsidRPr="00A429AA">
        <w:rPr>
          <w:rFonts w:ascii="Times New Roman" w:hAnsi="Times New Roman" w:cs="Times New Roman"/>
          <w:noProof/>
        </w:rPr>
        <w:t xml:space="preserve"> an</w:t>
      </w:r>
      <w:r w:rsidR="002E33CE" w:rsidRPr="00A429AA">
        <w:rPr>
          <w:rFonts w:ascii="Times New Roman" w:hAnsi="Times New Roman" w:cs="Times New Roman"/>
          <w:noProof/>
        </w:rPr>
        <w:t xml:space="preserve"> indicator for </w:t>
      </w:r>
      <w:r w:rsidR="002E33CE" w:rsidRPr="00A429AA">
        <w:rPr>
          <w:rFonts w:ascii="Times New Roman" w:hAnsi="Times New Roman" w:cs="Times New Roman"/>
        </w:rPr>
        <w:t>perceived bank ris</w:t>
      </w:r>
      <w:r w:rsidR="00C90EC8" w:rsidRPr="00A429AA">
        <w:rPr>
          <w:rFonts w:ascii="Times New Roman" w:hAnsi="Times New Roman" w:cs="Times New Roman"/>
        </w:rPr>
        <w:t xml:space="preserve">kiness. Their </w:t>
      </w:r>
      <w:r w:rsidR="00503805" w:rsidRPr="00A429AA">
        <w:rPr>
          <w:rFonts w:ascii="Times New Roman" w:hAnsi="Times New Roman" w:cs="Times New Roman"/>
        </w:rPr>
        <w:t>findings indicate</w:t>
      </w:r>
      <w:r w:rsidR="002E33CE" w:rsidRPr="00A429AA">
        <w:rPr>
          <w:rFonts w:ascii="Times New Roman" w:hAnsi="Times New Roman" w:cs="Times New Roman"/>
        </w:rPr>
        <w:t xml:space="preserve"> that the financial crisis had greater impact on industrial countries and large banks, where bank stock prices remained lower than before 2007</w:t>
      </w:r>
      <w:r w:rsidR="00886469" w:rsidRPr="00A429AA">
        <w:rPr>
          <w:rFonts w:ascii="Times New Roman" w:hAnsi="Times New Roman" w:cs="Times New Roman"/>
        </w:rPr>
        <w:t xml:space="preserve">. </w:t>
      </w:r>
    </w:p>
    <w:p w14:paraId="121B9512" w14:textId="77777777" w:rsidR="00BA703B" w:rsidRPr="00A429AA" w:rsidRDefault="00BA703B">
      <w:pPr>
        <w:rPr>
          <w:rFonts w:ascii="Times New Roman" w:hAnsi="Times New Roman" w:cs="Times New Roman"/>
          <w:b/>
        </w:rPr>
      </w:pPr>
    </w:p>
    <w:p w14:paraId="0EB34183" w14:textId="12864AA5" w:rsidR="006B523B" w:rsidRPr="00A429AA" w:rsidRDefault="00137778">
      <w:pPr>
        <w:rPr>
          <w:rFonts w:ascii="Times New Roman" w:hAnsi="Times New Roman" w:cs="Times New Roman"/>
          <w:b/>
        </w:rPr>
      </w:pPr>
      <w:r w:rsidRPr="00A429AA">
        <w:rPr>
          <w:rFonts w:ascii="Times New Roman" w:hAnsi="Times New Roman" w:cs="Times New Roman"/>
          <w:b/>
        </w:rPr>
        <w:t xml:space="preserve">3. </w:t>
      </w:r>
      <w:r w:rsidR="006B523B" w:rsidRPr="00A429AA">
        <w:rPr>
          <w:rFonts w:ascii="Times New Roman" w:hAnsi="Times New Roman" w:cs="Times New Roman"/>
          <w:b/>
        </w:rPr>
        <w:t>Consequences of</w:t>
      </w:r>
      <w:r w:rsidR="00723C69" w:rsidRPr="00A429AA">
        <w:rPr>
          <w:rFonts w:ascii="Times New Roman" w:hAnsi="Times New Roman" w:cs="Times New Roman"/>
          <w:b/>
        </w:rPr>
        <w:t xml:space="preserve"> the</w:t>
      </w:r>
      <w:r w:rsidR="007A3391" w:rsidRPr="00A429AA">
        <w:rPr>
          <w:rFonts w:ascii="Times New Roman" w:hAnsi="Times New Roman" w:cs="Times New Roman"/>
          <w:b/>
        </w:rPr>
        <w:t xml:space="preserve"> financial crisis of 2007-</w:t>
      </w:r>
      <w:r w:rsidR="006B523B" w:rsidRPr="00A429AA">
        <w:rPr>
          <w:rFonts w:ascii="Times New Roman" w:hAnsi="Times New Roman" w:cs="Times New Roman"/>
          <w:b/>
        </w:rPr>
        <w:t>2008 on</w:t>
      </w:r>
      <w:r w:rsidR="00723C69" w:rsidRPr="00A429AA">
        <w:rPr>
          <w:rFonts w:ascii="Times New Roman" w:hAnsi="Times New Roman" w:cs="Times New Roman"/>
          <w:b/>
        </w:rPr>
        <w:t xml:space="preserve"> the</w:t>
      </w:r>
      <w:r w:rsidR="00E5406C" w:rsidRPr="00A429AA">
        <w:rPr>
          <w:rFonts w:ascii="Times New Roman" w:hAnsi="Times New Roman" w:cs="Times New Roman"/>
          <w:b/>
        </w:rPr>
        <w:t xml:space="preserve"> </w:t>
      </w:r>
      <w:r w:rsidR="00850248" w:rsidRPr="00A429AA">
        <w:rPr>
          <w:rFonts w:ascii="Times New Roman" w:hAnsi="Times New Roman" w:cs="Times New Roman"/>
          <w:b/>
        </w:rPr>
        <w:t>EU economies</w:t>
      </w:r>
      <w:r w:rsidR="00D97AC5" w:rsidRPr="00A429AA">
        <w:rPr>
          <w:rFonts w:ascii="Times New Roman" w:hAnsi="Times New Roman" w:cs="Times New Roman"/>
          <w:b/>
        </w:rPr>
        <w:t xml:space="preserve"> </w:t>
      </w:r>
    </w:p>
    <w:p w14:paraId="586D864A" w14:textId="77777777" w:rsidR="00106ED2" w:rsidRPr="00A429AA" w:rsidRDefault="00106ED2">
      <w:pPr>
        <w:rPr>
          <w:rFonts w:ascii="Times New Roman" w:hAnsi="Times New Roman" w:cs="Times New Roman"/>
          <w:b/>
        </w:rPr>
      </w:pPr>
    </w:p>
    <w:p w14:paraId="082EF241" w14:textId="05882F82" w:rsidR="00B133AE" w:rsidRPr="00A429AA" w:rsidRDefault="00E5406C" w:rsidP="0097699E">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The economic situation in the European countries in 2007 was s</w:t>
      </w:r>
      <w:r w:rsidR="004F12F7" w:rsidRPr="00A429AA">
        <w:rPr>
          <w:rFonts w:ascii="Times New Roman" w:eastAsia="Times New Roman" w:hAnsi="Times New Roman" w:cs="Times New Roman"/>
        </w:rPr>
        <w:t xml:space="preserve">table. On </w:t>
      </w:r>
      <w:proofErr w:type="gramStart"/>
      <w:r w:rsidR="004F12F7" w:rsidRPr="00A429AA">
        <w:rPr>
          <w:rFonts w:ascii="Times New Roman" w:eastAsia="Times New Roman" w:hAnsi="Times New Roman" w:cs="Times New Roman"/>
        </w:rPr>
        <w:t>average</w:t>
      </w:r>
      <w:proofErr w:type="gramEnd"/>
      <w:r w:rsidR="004F12F7" w:rsidRPr="00A429AA">
        <w:rPr>
          <w:rFonts w:ascii="Times New Roman" w:eastAsia="Times New Roman" w:hAnsi="Times New Roman" w:cs="Times New Roman"/>
        </w:rPr>
        <w:t xml:space="preserve"> the E</w:t>
      </w:r>
      <w:r w:rsidR="000E65CE" w:rsidRPr="00A429AA">
        <w:rPr>
          <w:rFonts w:ascii="Times New Roman" w:eastAsia="Times New Roman" w:hAnsi="Times New Roman" w:cs="Times New Roman"/>
        </w:rPr>
        <w:t>uro area’</w:t>
      </w:r>
      <w:r w:rsidRPr="00A429AA">
        <w:rPr>
          <w:rFonts w:ascii="Times New Roman" w:eastAsia="Times New Roman" w:hAnsi="Times New Roman" w:cs="Times New Roman"/>
        </w:rPr>
        <w:t>s GDP increased by 2.6% in 2007. The first sign of slowdown could be seen in the fourth quarter of 2007 when economic</w:t>
      </w:r>
      <w:r w:rsidR="00B42DB4" w:rsidRPr="00A429AA">
        <w:rPr>
          <w:rFonts w:ascii="Times New Roman" w:eastAsia="Times New Roman" w:hAnsi="Times New Roman" w:cs="Times New Roman"/>
        </w:rPr>
        <w:t xml:space="preserve"> growth dropped to 1.5% in the E</w:t>
      </w:r>
      <w:r w:rsidRPr="00A429AA">
        <w:rPr>
          <w:rFonts w:ascii="Times New Roman" w:eastAsia="Times New Roman" w:hAnsi="Times New Roman" w:cs="Times New Roman"/>
        </w:rPr>
        <w:t xml:space="preserve">uro area </w:t>
      </w:r>
      <w:r w:rsidR="00CE76D9" w:rsidRPr="00A429AA">
        <w:rPr>
          <w:rFonts w:ascii="Times New Roman" w:eastAsia="Times New Roman" w:hAnsi="Times New Roman" w:cs="Times New Roman"/>
        </w:rPr>
        <w:t>(IMF</w:t>
      </w:r>
      <w:r w:rsidR="006D76CE" w:rsidRPr="00A429AA">
        <w:rPr>
          <w:rFonts w:ascii="Times New Roman" w:eastAsia="Times New Roman" w:hAnsi="Times New Roman" w:cs="Times New Roman"/>
        </w:rPr>
        <w:t xml:space="preserve"> 2008 April)</w:t>
      </w:r>
      <w:r w:rsidRPr="00A429AA">
        <w:rPr>
          <w:rFonts w:ascii="Times New Roman" w:eastAsia="Times New Roman" w:hAnsi="Times New Roman" w:cs="Times New Roman"/>
        </w:rPr>
        <w:t>, and the negative economic growth rate was marked in one quarte</w:t>
      </w:r>
      <w:r w:rsidR="000E65CE" w:rsidRPr="00A429AA">
        <w:rPr>
          <w:rFonts w:ascii="Times New Roman" w:eastAsia="Times New Roman" w:hAnsi="Times New Roman" w:cs="Times New Roman"/>
        </w:rPr>
        <w:t xml:space="preserve">r of 2007 in Denmark, Portugal and </w:t>
      </w:r>
      <w:r w:rsidRPr="00A429AA">
        <w:rPr>
          <w:rFonts w:ascii="Times New Roman" w:eastAsia="Times New Roman" w:hAnsi="Times New Roman" w:cs="Times New Roman"/>
        </w:rPr>
        <w:t xml:space="preserve">Italy. What </w:t>
      </w:r>
      <w:proofErr w:type="gramStart"/>
      <w:r w:rsidRPr="00A429AA">
        <w:rPr>
          <w:rFonts w:ascii="Times New Roman" w:eastAsia="Times New Roman" w:hAnsi="Times New Roman" w:cs="Times New Roman"/>
        </w:rPr>
        <w:t>can also be noticed</w:t>
      </w:r>
      <w:proofErr w:type="gramEnd"/>
      <w:r w:rsidRPr="00A429AA">
        <w:rPr>
          <w:rFonts w:ascii="Times New Roman" w:eastAsia="Times New Roman" w:hAnsi="Times New Roman" w:cs="Times New Roman"/>
        </w:rPr>
        <w:t xml:space="preserve"> is that the perception of the economic outlook by businesses and consumers deteriorated at the end of 2007. The growth rate in smaller European countries like Sweden, and the Netherlands was still high in the end of 2007</w:t>
      </w:r>
      <w:r w:rsidR="00B133AE" w:rsidRPr="00A429AA">
        <w:rPr>
          <w:rFonts w:ascii="Times New Roman" w:eastAsia="Times New Roman" w:hAnsi="Times New Roman" w:cs="Times New Roman"/>
        </w:rPr>
        <w:t xml:space="preserve"> (Table 1)</w:t>
      </w:r>
      <w:r w:rsidRPr="00A429AA">
        <w:rPr>
          <w:rFonts w:ascii="Times New Roman" w:eastAsia="Times New Roman" w:hAnsi="Times New Roman" w:cs="Times New Roman"/>
        </w:rPr>
        <w:t xml:space="preserve">. The confidence in the European markets </w:t>
      </w:r>
      <w:proofErr w:type="gramStart"/>
      <w:r w:rsidRPr="00A429AA">
        <w:rPr>
          <w:rFonts w:ascii="Times New Roman" w:eastAsia="Times New Roman" w:hAnsi="Times New Roman" w:cs="Times New Roman"/>
        </w:rPr>
        <w:t>was diminished</w:t>
      </w:r>
      <w:proofErr w:type="gramEnd"/>
      <w:r w:rsidRPr="00A429AA">
        <w:rPr>
          <w:rFonts w:ascii="Times New Roman" w:eastAsia="Times New Roman" w:hAnsi="Times New Roman" w:cs="Times New Roman"/>
        </w:rPr>
        <w:t xml:space="preserve"> by information that more banks from Germ</w:t>
      </w:r>
      <w:r w:rsidR="00DD16C0">
        <w:rPr>
          <w:rFonts w:ascii="Times New Roman" w:eastAsia="Times New Roman" w:hAnsi="Times New Roman" w:cs="Times New Roman"/>
        </w:rPr>
        <w:t>any and France were exposed to ‘toxic’</w:t>
      </w:r>
      <w:r w:rsidRPr="00A429AA">
        <w:rPr>
          <w:rFonts w:ascii="Times New Roman" w:eastAsia="Times New Roman" w:hAnsi="Times New Roman" w:cs="Times New Roman"/>
        </w:rPr>
        <w:t xml:space="preserve"> assets from the US. Moreover, the headline inflation rate increased to 3.5%</w:t>
      </w:r>
      <w:r w:rsidR="00C303DA" w:rsidRPr="00A429AA">
        <w:rPr>
          <w:rFonts w:ascii="Times New Roman" w:eastAsia="Times New Roman" w:hAnsi="Times New Roman" w:cs="Times New Roman"/>
        </w:rPr>
        <w:t xml:space="preserve"> (year to year) in 2008 in the Euro</w:t>
      </w:r>
      <w:r w:rsidRPr="00A429AA">
        <w:rPr>
          <w:rFonts w:ascii="Times New Roman" w:eastAsia="Times New Roman" w:hAnsi="Times New Roman" w:cs="Times New Roman"/>
        </w:rPr>
        <w:t>zone. Most of the countries reduced fiscal deficits and in gene</w:t>
      </w:r>
      <w:r w:rsidR="00A87E76" w:rsidRPr="00A429AA">
        <w:rPr>
          <w:rFonts w:ascii="Times New Roman" w:eastAsia="Times New Roman" w:hAnsi="Times New Roman" w:cs="Times New Roman"/>
        </w:rPr>
        <w:t>ral, the fiscal deficit in the Euro</w:t>
      </w:r>
      <w:r w:rsidRPr="00A429AA">
        <w:rPr>
          <w:rFonts w:ascii="Times New Roman" w:eastAsia="Times New Roman" w:hAnsi="Times New Roman" w:cs="Times New Roman"/>
        </w:rPr>
        <w:t>zone dropped from 1% to 0.6% of GDP. The large fiscal deficit was still persistent in France being 2.4% of GDP and in the UK, being 3.0% of GDP</w:t>
      </w:r>
      <w:r w:rsidR="00DF72D2" w:rsidRPr="00A429AA">
        <w:rPr>
          <w:rFonts w:ascii="Times New Roman" w:eastAsia="Times New Roman" w:hAnsi="Times New Roman" w:cs="Times New Roman"/>
        </w:rPr>
        <w:t xml:space="preserve"> </w:t>
      </w:r>
      <w:r w:rsidR="00CE76D9" w:rsidRPr="00A429AA">
        <w:rPr>
          <w:rFonts w:ascii="Times New Roman" w:eastAsia="Times New Roman" w:hAnsi="Times New Roman" w:cs="Times New Roman"/>
        </w:rPr>
        <w:t>(IMF</w:t>
      </w:r>
      <w:r w:rsidR="00DF72D2" w:rsidRPr="00A429AA">
        <w:rPr>
          <w:rFonts w:ascii="Times New Roman" w:eastAsia="Times New Roman" w:hAnsi="Times New Roman" w:cs="Times New Roman"/>
        </w:rPr>
        <w:t xml:space="preserve"> 2008 April)</w:t>
      </w:r>
      <w:r w:rsidRPr="00A429AA">
        <w:rPr>
          <w:rFonts w:ascii="Times New Roman" w:eastAsia="Times New Roman" w:hAnsi="Times New Roman" w:cs="Times New Roman"/>
        </w:rPr>
        <w:t>.</w:t>
      </w:r>
    </w:p>
    <w:p w14:paraId="0680B405" w14:textId="77777777" w:rsidR="00A714E1" w:rsidRDefault="00A714E1" w:rsidP="00B133AE">
      <w:pPr>
        <w:jc w:val="both"/>
        <w:rPr>
          <w:rFonts w:ascii="Times New Roman" w:eastAsia="Times New Roman" w:hAnsi="Times New Roman" w:cs="Times New Roman"/>
          <w:b/>
          <w:sz w:val="22"/>
          <w:szCs w:val="22"/>
        </w:rPr>
      </w:pPr>
    </w:p>
    <w:p w14:paraId="54934BF7" w14:textId="77777777" w:rsidR="00DD16C0" w:rsidRDefault="00DD16C0" w:rsidP="00B133AE">
      <w:pPr>
        <w:jc w:val="both"/>
        <w:rPr>
          <w:rFonts w:ascii="Times New Roman" w:eastAsia="Times New Roman" w:hAnsi="Times New Roman" w:cs="Times New Roman"/>
          <w:b/>
          <w:sz w:val="22"/>
          <w:szCs w:val="22"/>
        </w:rPr>
      </w:pPr>
    </w:p>
    <w:p w14:paraId="31D63659" w14:textId="77777777" w:rsidR="00DD16C0" w:rsidRDefault="00DD16C0" w:rsidP="00B133AE">
      <w:pPr>
        <w:jc w:val="both"/>
        <w:rPr>
          <w:rFonts w:ascii="Times New Roman" w:eastAsia="Times New Roman" w:hAnsi="Times New Roman" w:cs="Times New Roman"/>
          <w:b/>
          <w:sz w:val="22"/>
          <w:szCs w:val="22"/>
        </w:rPr>
      </w:pPr>
    </w:p>
    <w:p w14:paraId="01EFB23A" w14:textId="77777777" w:rsidR="00DD16C0" w:rsidRDefault="00DD16C0" w:rsidP="00B133AE">
      <w:pPr>
        <w:jc w:val="both"/>
        <w:rPr>
          <w:rFonts w:ascii="Times New Roman" w:eastAsia="Times New Roman" w:hAnsi="Times New Roman" w:cs="Times New Roman"/>
          <w:b/>
          <w:sz w:val="22"/>
          <w:szCs w:val="22"/>
        </w:rPr>
      </w:pPr>
    </w:p>
    <w:p w14:paraId="63950FE5" w14:textId="77777777" w:rsidR="00DD16C0" w:rsidRDefault="00DD16C0" w:rsidP="00B133AE">
      <w:pPr>
        <w:jc w:val="both"/>
        <w:rPr>
          <w:rFonts w:ascii="Times New Roman" w:eastAsia="Times New Roman" w:hAnsi="Times New Roman" w:cs="Times New Roman"/>
          <w:b/>
          <w:sz w:val="22"/>
          <w:szCs w:val="22"/>
        </w:rPr>
      </w:pPr>
    </w:p>
    <w:p w14:paraId="688FA034" w14:textId="77777777" w:rsidR="00DD16C0" w:rsidRPr="00A429AA" w:rsidRDefault="00DD16C0" w:rsidP="00B133AE">
      <w:pPr>
        <w:jc w:val="both"/>
        <w:rPr>
          <w:rFonts w:ascii="Times New Roman" w:eastAsia="Times New Roman" w:hAnsi="Times New Roman" w:cs="Times New Roman"/>
          <w:b/>
          <w:sz w:val="22"/>
          <w:szCs w:val="22"/>
        </w:rPr>
      </w:pPr>
    </w:p>
    <w:p w14:paraId="1286E010" w14:textId="77777777" w:rsidR="00A714E1" w:rsidRPr="00A429AA" w:rsidRDefault="00A714E1" w:rsidP="00B133AE">
      <w:pPr>
        <w:jc w:val="both"/>
        <w:rPr>
          <w:rFonts w:ascii="Times New Roman" w:eastAsia="Times New Roman" w:hAnsi="Times New Roman" w:cs="Times New Roman"/>
          <w:b/>
          <w:sz w:val="22"/>
          <w:szCs w:val="22"/>
        </w:rPr>
      </w:pPr>
    </w:p>
    <w:p w14:paraId="5B4E7AC9" w14:textId="77777777" w:rsidR="00A714E1" w:rsidRPr="00A429AA" w:rsidRDefault="00A714E1" w:rsidP="00B133AE">
      <w:pPr>
        <w:jc w:val="both"/>
        <w:rPr>
          <w:rFonts w:ascii="Times New Roman" w:eastAsia="Times New Roman" w:hAnsi="Times New Roman" w:cs="Times New Roman"/>
          <w:b/>
          <w:sz w:val="22"/>
          <w:szCs w:val="22"/>
        </w:rPr>
      </w:pPr>
    </w:p>
    <w:p w14:paraId="1DA4907B" w14:textId="37E17625" w:rsidR="0099756D" w:rsidRPr="00A429AA" w:rsidRDefault="00A678D7" w:rsidP="00B133AE">
      <w:pPr>
        <w:jc w:val="both"/>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lastRenderedPageBreak/>
        <w:t xml:space="preserve">Table 1 </w:t>
      </w:r>
      <w:r w:rsidRPr="00A429AA">
        <w:rPr>
          <w:rFonts w:ascii="Times New Roman" w:hAnsi="Times New Roman" w:cs="Times New Roman"/>
          <w:b/>
          <w:sz w:val="22"/>
          <w:szCs w:val="22"/>
        </w:rPr>
        <w:t>Quarterly c</w:t>
      </w:r>
      <w:r w:rsidR="00EC74CB" w:rsidRPr="00A429AA">
        <w:rPr>
          <w:rFonts w:ascii="Times New Roman" w:hAnsi="Times New Roman" w:cs="Times New Roman"/>
          <w:b/>
          <w:sz w:val="22"/>
          <w:szCs w:val="22"/>
        </w:rPr>
        <w:t>hange in GDP quarter to quarter in</w:t>
      </w:r>
      <w:r w:rsidRPr="00A429AA">
        <w:rPr>
          <w:rFonts w:ascii="Times New Roman" w:hAnsi="Times New Roman" w:cs="Times New Roman"/>
          <w:b/>
          <w:sz w:val="22"/>
          <w:szCs w:val="22"/>
        </w:rPr>
        <w:t xml:space="preserve"> 10 </w:t>
      </w:r>
      <w:r w:rsidR="00EC74CB" w:rsidRPr="00A429AA">
        <w:rPr>
          <w:rFonts w:ascii="Times New Roman" w:hAnsi="Times New Roman" w:cs="Times New Roman"/>
          <w:b/>
          <w:sz w:val="22"/>
          <w:szCs w:val="22"/>
        </w:rPr>
        <w:t xml:space="preserve">selected </w:t>
      </w:r>
      <w:r w:rsidRPr="00A429AA">
        <w:rPr>
          <w:rFonts w:ascii="Times New Roman" w:hAnsi="Times New Roman" w:cs="Times New Roman"/>
          <w:b/>
          <w:sz w:val="22"/>
          <w:szCs w:val="22"/>
        </w:rPr>
        <w:t>countries of the E</w:t>
      </w:r>
      <w:r w:rsidR="00EC74CB" w:rsidRPr="00A429AA">
        <w:rPr>
          <w:rFonts w:ascii="Times New Roman" w:hAnsi="Times New Roman" w:cs="Times New Roman"/>
          <w:b/>
          <w:sz w:val="22"/>
          <w:szCs w:val="22"/>
        </w:rPr>
        <w:t xml:space="preserve">uropean </w:t>
      </w:r>
      <w:r w:rsidRPr="00A429AA">
        <w:rPr>
          <w:rFonts w:ascii="Times New Roman" w:hAnsi="Times New Roman" w:cs="Times New Roman"/>
          <w:b/>
          <w:sz w:val="22"/>
          <w:szCs w:val="22"/>
        </w:rPr>
        <w:t>U</w:t>
      </w:r>
      <w:r w:rsidR="00EC74CB" w:rsidRPr="00A429AA">
        <w:rPr>
          <w:rFonts w:ascii="Times New Roman" w:hAnsi="Times New Roman" w:cs="Times New Roman"/>
          <w:b/>
          <w:sz w:val="22"/>
          <w:szCs w:val="22"/>
        </w:rPr>
        <w:t>nion</w:t>
      </w:r>
    </w:p>
    <w:tbl>
      <w:tblPr>
        <w:tblStyle w:val="TableGrid"/>
        <w:tblW w:w="0" w:type="auto"/>
        <w:tblInd w:w="108" w:type="dxa"/>
        <w:tblLayout w:type="fixed"/>
        <w:tblLook w:val="00A0" w:firstRow="1" w:lastRow="0" w:firstColumn="1" w:lastColumn="0" w:noHBand="0" w:noVBand="0"/>
      </w:tblPr>
      <w:tblGrid>
        <w:gridCol w:w="1276"/>
        <w:gridCol w:w="567"/>
        <w:gridCol w:w="567"/>
        <w:gridCol w:w="567"/>
        <w:gridCol w:w="567"/>
        <w:gridCol w:w="566"/>
        <w:gridCol w:w="614"/>
        <w:gridCol w:w="614"/>
        <w:gridCol w:w="614"/>
        <w:gridCol w:w="614"/>
        <w:gridCol w:w="614"/>
        <w:gridCol w:w="614"/>
        <w:gridCol w:w="614"/>
      </w:tblGrid>
      <w:tr w:rsidR="0099756D" w:rsidRPr="00A429AA" w14:paraId="69094148" w14:textId="77777777" w:rsidTr="00A714E1">
        <w:trPr>
          <w:trHeight w:val="885"/>
        </w:trPr>
        <w:tc>
          <w:tcPr>
            <w:tcW w:w="1276" w:type="dxa"/>
            <w:vMerge w:val="restart"/>
          </w:tcPr>
          <w:p w14:paraId="4DD2E870"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p>
          <w:p w14:paraId="2F2BF89D"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sz w:val="20"/>
                <w:szCs w:val="20"/>
                <w:lang w:eastAsia="en-GB"/>
              </w:rPr>
              <w:t>Country</w:t>
            </w:r>
          </w:p>
        </w:tc>
        <w:tc>
          <w:tcPr>
            <w:tcW w:w="2268" w:type="dxa"/>
            <w:gridSpan w:val="4"/>
          </w:tcPr>
          <w:p w14:paraId="44ED7667" w14:textId="77777777" w:rsidR="0099756D" w:rsidRPr="00A429AA" w:rsidRDefault="0099756D" w:rsidP="00DD16C0">
            <w:pPr>
              <w:autoSpaceDE w:val="0"/>
              <w:autoSpaceDN w:val="0"/>
              <w:adjustRightInd w:val="0"/>
              <w:spacing w:line="360" w:lineRule="auto"/>
              <w:jc w:val="both"/>
              <w:rPr>
                <w:rFonts w:ascii="Times New Roman" w:hAnsi="Times New Roman" w:cs="Times New Roman"/>
                <w:b/>
                <w:bCs/>
                <w:sz w:val="20"/>
                <w:szCs w:val="20"/>
                <w:lang w:eastAsia="en-GB"/>
              </w:rPr>
            </w:pPr>
            <w:r w:rsidRPr="00A429AA">
              <w:rPr>
                <w:rFonts w:ascii="Times New Roman" w:hAnsi="Times New Roman" w:cs="Times New Roman"/>
                <w:sz w:val="20"/>
                <w:szCs w:val="20"/>
                <w:lang w:eastAsia="en-GB"/>
              </w:rPr>
              <w:t>Real GDP growth rates in 2007 change over previous quarter (in %)</w:t>
            </w:r>
          </w:p>
        </w:tc>
        <w:tc>
          <w:tcPr>
            <w:tcW w:w="2408" w:type="dxa"/>
            <w:gridSpan w:val="4"/>
          </w:tcPr>
          <w:p w14:paraId="64E41F50" w14:textId="03B3AFCB" w:rsidR="0099756D" w:rsidRPr="00A429AA" w:rsidRDefault="00A714E1" w:rsidP="00A714E1">
            <w:pPr>
              <w:autoSpaceDE w:val="0"/>
              <w:autoSpaceDN w:val="0"/>
              <w:adjustRightInd w:val="0"/>
              <w:spacing w:line="360" w:lineRule="auto"/>
              <w:jc w:val="both"/>
              <w:rPr>
                <w:rFonts w:ascii="Times New Roman" w:hAnsi="Times New Roman" w:cs="Times New Roman"/>
                <w:b/>
                <w:bCs/>
                <w:sz w:val="20"/>
                <w:szCs w:val="20"/>
                <w:lang w:eastAsia="en-GB"/>
              </w:rPr>
            </w:pPr>
            <w:r w:rsidRPr="00A429AA">
              <w:rPr>
                <w:rFonts w:ascii="Times New Roman" w:hAnsi="Times New Roman" w:cs="Times New Roman"/>
                <w:sz w:val="20"/>
                <w:szCs w:val="20"/>
                <w:lang w:eastAsia="en-GB"/>
              </w:rPr>
              <w:t xml:space="preserve">Real GDP growth rates in </w:t>
            </w:r>
            <w:r w:rsidR="0099756D" w:rsidRPr="00A429AA">
              <w:rPr>
                <w:rFonts w:ascii="Times New Roman" w:hAnsi="Times New Roman" w:cs="Times New Roman"/>
                <w:sz w:val="20"/>
                <w:szCs w:val="20"/>
                <w:lang w:eastAsia="en-GB"/>
              </w:rPr>
              <w:t>2008 change over previous quarter (in %)</w:t>
            </w:r>
          </w:p>
        </w:tc>
        <w:tc>
          <w:tcPr>
            <w:tcW w:w="2456" w:type="dxa"/>
            <w:gridSpan w:val="4"/>
          </w:tcPr>
          <w:p w14:paraId="1E922E5C" w14:textId="77777777" w:rsidR="0099756D" w:rsidRPr="00A429AA" w:rsidRDefault="0099756D" w:rsidP="00A714E1">
            <w:pPr>
              <w:autoSpaceDE w:val="0"/>
              <w:autoSpaceDN w:val="0"/>
              <w:adjustRightInd w:val="0"/>
              <w:spacing w:line="360" w:lineRule="auto"/>
              <w:jc w:val="both"/>
              <w:rPr>
                <w:rFonts w:ascii="Times New Roman" w:hAnsi="Times New Roman" w:cs="Times New Roman"/>
                <w:b/>
                <w:bCs/>
                <w:sz w:val="20"/>
                <w:szCs w:val="20"/>
                <w:lang w:eastAsia="en-GB"/>
              </w:rPr>
            </w:pPr>
            <w:r w:rsidRPr="00A429AA">
              <w:rPr>
                <w:rFonts w:ascii="Times New Roman" w:hAnsi="Times New Roman" w:cs="Times New Roman"/>
                <w:sz w:val="20"/>
                <w:szCs w:val="20"/>
                <w:lang w:eastAsia="en-GB"/>
              </w:rPr>
              <w:t>Real GDP growth rates in 2009 change over previous quarter (in %)</w:t>
            </w:r>
          </w:p>
        </w:tc>
      </w:tr>
      <w:tr w:rsidR="0099756D" w:rsidRPr="00A429AA" w14:paraId="6B38EFC1" w14:textId="77777777" w:rsidTr="00A714E1">
        <w:trPr>
          <w:trHeight w:val="360"/>
        </w:trPr>
        <w:tc>
          <w:tcPr>
            <w:tcW w:w="1276" w:type="dxa"/>
            <w:vMerge/>
          </w:tcPr>
          <w:p w14:paraId="231A5A66"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p>
        </w:tc>
        <w:tc>
          <w:tcPr>
            <w:tcW w:w="567" w:type="dxa"/>
          </w:tcPr>
          <w:p w14:paraId="450ABC78"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1Q</w:t>
            </w:r>
          </w:p>
        </w:tc>
        <w:tc>
          <w:tcPr>
            <w:tcW w:w="567" w:type="dxa"/>
          </w:tcPr>
          <w:p w14:paraId="47ED1106"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2Q</w:t>
            </w:r>
          </w:p>
        </w:tc>
        <w:tc>
          <w:tcPr>
            <w:tcW w:w="567" w:type="dxa"/>
          </w:tcPr>
          <w:p w14:paraId="6CB2ED51"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3Q</w:t>
            </w:r>
          </w:p>
        </w:tc>
        <w:tc>
          <w:tcPr>
            <w:tcW w:w="567" w:type="dxa"/>
          </w:tcPr>
          <w:p w14:paraId="274729F9"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4Q</w:t>
            </w:r>
          </w:p>
        </w:tc>
        <w:tc>
          <w:tcPr>
            <w:tcW w:w="566" w:type="dxa"/>
          </w:tcPr>
          <w:p w14:paraId="7021FE82"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1Q</w:t>
            </w:r>
          </w:p>
        </w:tc>
        <w:tc>
          <w:tcPr>
            <w:tcW w:w="614" w:type="dxa"/>
          </w:tcPr>
          <w:p w14:paraId="632DC540"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2Q</w:t>
            </w:r>
          </w:p>
        </w:tc>
        <w:tc>
          <w:tcPr>
            <w:tcW w:w="614" w:type="dxa"/>
          </w:tcPr>
          <w:p w14:paraId="6DF5042F"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3Q</w:t>
            </w:r>
          </w:p>
        </w:tc>
        <w:tc>
          <w:tcPr>
            <w:tcW w:w="614" w:type="dxa"/>
          </w:tcPr>
          <w:p w14:paraId="6BAE7A67"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4Q</w:t>
            </w:r>
          </w:p>
        </w:tc>
        <w:tc>
          <w:tcPr>
            <w:tcW w:w="614" w:type="dxa"/>
          </w:tcPr>
          <w:p w14:paraId="1F9AC106"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1Q</w:t>
            </w:r>
          </w:p>
        </w:tc>
        <w:tc>
          <w:tcPr>
            <w:tcW w:w="614" w:type="dxa"/>
          </w:tcPr>
          <w:p w14:paraId="0EEBC38C"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2Q</w:t>
            </w:r>
          </w:p>
        </w:tc>
        <w:tc>
          <w:tcPr>
            <w:tcW w:w="614" w:type="dxa"/>
          </w:tcPr>
          <w:p w14:paraId="05B98677"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3Q</w:t>
            </w:r>
          </w:p>
        </w:tc>
        <w:tc>
          <w:tcPr>
            <w:tcW w:w="614" w:type="dxa"/>
          </w:tcPr>
          <w:p w14:paraId="396823FA" w14:textId="77777777" w:rsidR="0099756D" w:rsidRPr="00A429AA" w:rsidRDefault="0099756D" w:rsidP="0099756D">
            <w:pPr>
              <w:autoSpaceDE w:val="0"/>
              <w:autoSpaceDN w:val="0"/>
              <w:adjustRightInd w:val="0"/>
              <w:spacing w:line="360" w:lineRule="auto"/>
              <w:jc w:val="center"/>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4Q</w:t>
            </w:r>
          </w:p>
        </w:tc>
      </w:tr>
      <w:tr w:rsidR="0099756D" w:rsidRPr="00A429AA" w14:paraId="1FDBDE50" w14:textId="77777777" w:rsidTr="00A714E1">
        <w:trPr>
          <w:trHeight w:val="252"/>
        </w:trPr>
        <w:tc>
          <w:tcPr>
            <w:tcW w:w="1276" w:type="dxa"/>
            <w:vAlign w:val="center"/>
          </w:tcPr>
          <w:p w14:paraId="1751247C"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Belgium</w:t>
            </w:r>
          </w:p>
        </w:tc>
        <w:tc>
          <w:tcPr>
            <w:tcW w:w="567" w:type="dxa"/>
          </w:tcPr>
          <w:p w14:paraId="1EF16B8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c>
          <w:tcPr>
            <w:tcW w:w="567" w:type="dxa"/>
          </w:tcPr>
          <w:p w14:paraId="2EB6387D"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567" w:type="dxa"/>
          </w:tcPr>
          <w:p w14:paraId="1FA1DA3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0.7</w:t>
            </w:r>
          </w:p>
        </w:tc>
        <w:tc>
          <w:tcPr>
            <w:tcW w:w="567" w:type="dxa"/>
          </w:tcPr>
          <w:p w14:paraId="1F3D62C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6" w:type="dxa"/>
          </w:tcPr>
          <w:p w14:paraId="110303E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0.7</w:t>
            </w:r>
          </w:p>
        </w:tc>
        <w:tc>
          <w:tcPr>
            <w:tcW w:w="614" w:type="dxa"/>
          </w:tcPr>
          <w:p w14:paraId="3BB94A5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614" w:type="dxa"/>
          </w:tcPr>
          <w:p w14:paraId="4E66103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3C89370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-2.1</w:t>
            </w:r>
          </w:p>
        </w:tc>
        <w:tc>
          <w:tcPr>
            <w:tcW w:w="614" w:type="dxa"/>
          </w:tcPr>
          <w:p w14:paraId="77108C4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-1.8</w:t>
            </w:r>
          </w:p>
        </w:tc>
        <w:tc>
          <w:tcPr>
            <w:tcW w:w="614" w:type="dxa"/>
          </w:tcPr>
          <w:p w14:paraId="50E1D13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0222F92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614" w:type="dxa"/>
          </w:tcPr>
          <w:p w14:paraId="12BE0BEA"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0.7</w:t>
            </w:r>
          </w:p>
        </w:tc>
      </w:tr>
      <w:tr w:rsidR="0099756D" w:rsidRPr="00A429AA" w14:paraId="164197C2" w14:textId="77777777" w:rsidTr="00A714E1">
        <w:trPr>
          <w:trHeight w:val="298"/>
        </w:trPr>
        <w:tc>
          <w:tcPr>
            <w:tcW w:w="1276" w:type="dxa"/>
            <w:vAlign w:val="center"/>
          </w:tcPr>
          <w:p w14:paraId="0D8319E0"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Denmark</w:t>
            </w:r>
          </w:p>
        </w:tc>
        <w:tc>
          <w:tcPr>
            <w:tcW w:w="567" w:type="dxa"/>
          </w:tcPr>
          <w:p w14:paraId="79846F4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c>
          <w:tcPr>
            <w:tcW w:w="567" w:type="dxa"/>
          </w:tcPr>
          <w:p w14:paraId="68ADECE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7" w:type="dxa"/>
          </w:tcPr>
          <w:p w14:paraId="736557C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567" w:type="dxa"/>
          </w:tcPr>
          <w:p w14:paraId="11E4E6DA"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1.0</w:t>
            </w:r>
          </w:p>
        </w:tc>
        <w:tc>
          <w:tcPr>
            <w:tcW w:w="566" w:type="dxa"/>
          </w:tcPr>
          <w:p w14:paraId="1578FB5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-1.4</w:t>
            </w:r>
          </w:p>
        </w:tc>
        <w:tc>
          <w:tcPr>
            <w:tcW w:w="614" w:type="dxa"/>
          </w:tcPr>
          <w:p w14:paraId="5D4FBACF"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1.5</w:t>
            </w:r>
          </w:p>
        </w:tc>
        <w:tc>
          <w:tcPr>
            <w:tcW w:w="614" w:type="dxa"/>
          </w:tcPr>
          <w:p w14:paraId="56BE6E7D"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-1.8</w:t>
            </w:r>
          </w:p>
        </w:tc>
        <w:tc>
          <w:tcPr>
            <w:tcW w:w="614" w:type="dxa"/>
          </w:tcPr>
          <w:p w14:paraId="62A1A2B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-2.4</w:t>
            </w:r>
          </w:p>
        </w:tc>
        <w:tc>
          <w:tcPr>
            <w:tcW w:w="614" w:type="dxa"/>
          </w:tcPr>
          <w:p w14:paraId="6DEB9F7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-2.2</w:t>
            </w:r>
          </w:p>
        </w:tc>
        <w:tc>
          <w:tcPr>
            <w:tcW w:w="614" w:type="dxa"/>
          </w:tcPr>
          <w:p w14:paraId="035099E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-1.9</w:t>
            </w:r>
          </w:p>
        </w:tc>
        <w:tc>
          <w:tcPr>
            <w:tcW w:w="614" w:type="dxa"/>
          </w:tcPr>
          <w:p w14:paraId="462D037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614" w:type="dxa"/>
          </w:tcPr>
          <w:p w14:paraId="47EAD03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r>
      <w:tr w:rsidR="0099756D" w:rsidRPr="00A429AA" w14:paraId="445542A7" w14:textId="77777777" w:rsidTr="005D4107">
        <w:trPr>
          <w:trHeight w:val="325"/>
        </w:trPr>
        <w:tc>
          <w:tcPr>
            <w:tcW w:w="1276" w:type="dxa"/>
            <w:vAlign w:val="center"/>
          </w:tcPr>
          <w:p w14:paraId="699F911E"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France</w:t>
            </w:r>
          </w:p>
        </w:tc>
        <w:tc>
          <w:tcPr>
            <w:tcW w:w="567" w:type="dxa"/>
          </w:tcPr>
          <w:p w14:paraId="298F12B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567" w:type="dxa"/>
          </w:tcPr>
          <w:p w14:paraId="70CD3EF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7" w:type="dxa"/>
          </w:tcPr>
          <w:p w14:paraId="0CF5265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567" w:type="dxa"/>
          </w:tcPr>
          <w:p w14:paraId="33CD338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566" w:type="dxa"/>
          </w:tcPr>
          <w:p w14:paraId="623E539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614" w:type="dxa"/>
          </w:tcPr>
          <w:p w14:paraId="0C191B9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614" w:type="dxa"/>
          </w:tcPr>
          <w:p w14:paraId="3A43A2D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4FCA835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-1.6</w:t>
            </w:r>
          </w:p>
        </w:tc>
        <w:tc>
          <w:tcPr>
            <w:tcW w:w="614" w:type="dxa"/>
          </w:tcPr>
          <w:p w14:paraId="271DA92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-1.7</w:t>
            </w:r>
          </w:p>
        </w:tc>
        <w:tc>
          <w:tcPr>
            <w:tcW w:w="614" w:type="dxa"/>
          </w:tcPr>
          <w:p w14:paraId="37EE088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41C98C4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614" w:type="dxa"/>
          </w:tcPr>
          <w:p w14:paraId="6C16DE2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r>
      <w:tr w:rsidR="0099756D" w:rsidRPr="00A429AA" w14:paraId="1DC0E763" w14:textId="77777777" w:rsidTr="005D4107">
        <w:trPr>
          <w:trHeight w:val="316"/>
        </w:trPr>
        <w:tc>
          <w:tcPr>
            <w:tcW w:w="1276" w:type="dxa"/>
            <w:vAlign w:val="center"/>
          </w:tcPr>
          <w:p w14:paraId="15EADB69"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 xml:space="preserve">Germany </w:t>
            </w:r>
          </w:p>
        </w:tc>
        <w:tc>
          <w:tcPr>
            <w:tcW w:w="567" w:type="dxa"/>
          </w:tcPr>
          <w:p w14:paraId="6DEFFD5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567" w:type="dxa"/>
          </w:tcPr>
          <w:p w14:paraId="2AD70DA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7" w:type="dxa"/>
          </w:tcPr>
          <w:p w14:paraId="1732D2A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c>
          <w:tcPr>
            <w:tcW w:w="567" w:type="dxa"/>
          </w:tcPr>
          <w:p w14:paraId="13C7F92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566" w:type="dxa"/>
          </w:tcPr>
          <w:p w14:paraId="79AD441F"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1.0</w:t>
            </w:r>
          </w:p>
        </w:tc>
        <w:tc>
          <w:tcPr>
            <w:tcW w:w="614" w:type="dxa"/>
          </w:tcPr>
          <w:p w14:paraId="071B510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614" w:type="dxa"/>
          </w:tcPr>
          <w:p w14:paraId="3DFF2AA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614" w:type="dxa"/>
          </w:tcPr>
          <w:p w14:paraId="0114A86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-2.0</w:t>
            </w:r>
          </w:p>
        </w:tc>
        <w:tc>
          <w:tcPr>
            <w:tcW w:w="614" w:type="dxa"/>
          </w:tcPr>
          <w:p w14:paraId="108D5FC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-4.1</w:t>
            </w:r>
          </w:p>
        </w:tc>
        <w:tc>
          <w:tcPr>
            <w:tcW w:w="614" w:type="dxa"/>
          </w:tcPr>
          <w:p w14:paraId="1AA0C99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614" w:type="dxa"/>
          </w:tcPr>
          <w:p w14:paraId="25615DF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614" w:type="dxa"/>
          </w:tcPr>
          <w:p w14:paraId="235F656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r>
      <w:tr w:rsidR="0099756D" w:rsidRPr="00A429AA" w14:paraId="4F13182E" w14:textId="77777777" w:rsidTr="005D4107">
        <w:trPr>
          <w:trHeight w:val="193"/>
        </w:trPr>
        <w:tc>
          <w:tcPr>
            <w:tcW w:w="1276" w:type="dxa"/>
            <w:vAlign w:val="center"/>
          </w:tcPr>
          <w:p w14:paraId="0D84DF24"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 xml:space="preserve">Italy </w:t>
            </w:r>
          </w:p>
        </w:tc>
        <w:tc>
          <w:tcPr>
            <w:tcW w:w="567" w:type="dxa"/>
          </w:tcPr>
          <w:p w14:paraId="3D71338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567" w:type="dxa"/>
          </w:tcPr>
          <w:p w14:paraId="3AD2BEE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567" w:type="dxa"/>
          </w:tcPr>
          <w:p w14:paraId="41F1626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567" w:type="dxa"/>
          </w:tcPr>
          <w:p w14:paraId="6457F64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6" w:type="dxa"/>
          </w:tcPr>
          <w:p w14:paraId="1D8F25B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17A6618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614" w:type="dxa"/>
          </w:tcPr>
          <w:p w14:paraId="64F84A8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614" w:type="dxa"/>
          </w:tcPr>
          <w:p w14:paraId="2450697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-1.8</w:t>
            </w:r>
          </w:p>
        </w:tc>
        <w:tc>
          <w:tcPr>
            <w:tcW w:w="614" w:type="dxa"/>
          </w:tcPr>
          <w:p w14:paraId="3BEA280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-3.5</w:t>
            </w:r>
          </w:p>
        </w:tc>
        <w:tc>
          <w:tcPr>
            <w:tcW w:w="614" w:type="dxa"/>
          </w:tcPr>
          <w:p w14:paraId="210EB12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614" w:type="dxa"/>
          </w:tcPr>
          <w:p w14:paraId="4BAEA40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614" w:type="dxa"/>
          </w:tcPr>
          <w:p w14:paraId="05D81E6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r>
      <w:tr w:rsidR="0099756D" w:rsidRPr="00A429AA" w14:paraId="19DF8FA7" w14:textId="77777777" w:rsidTr="005D4107">
        <w:trPr>
          <w:trHeight w:val="268"/>
        </w:trPr>
        <w:tc>
          <w:tcPr>
            <w:tcW w:w="1276" w:type="dxa"/>
            <w:vAlign w:val="center"/>
          </w:tcPr>
          <w:p w14:paraId="30AA3738"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Netherlands</w:t>
            </w:r>
          </w:p>
        </w:tc>
        <w:tc>
          <w:tcPr>
            <w:tcW w:w="567" w:type="dxa"/>
          </w:tcPr>
          <w:p w14:paraId="0D1524E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1.3</w:t>
            </w:r>
          </w:p>
        </w:tc>
        <w:tc>
          <w:tcPr>
            <w:tcW w:w="567" w:type="dxa"/>
          </w:tcPr>
          <w:p w14:paraId="7F3494CA"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567" w:type="dxa"/>
          </w:tcPr>
          <w:p w14:paraId="1F3D0D6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1.4</w:t>
            </w:r>
          </w:p>
        </w:tc>
        <w:tc>
          <w:tcPr>
            <w:tcW w:w="567" w:type="dxa"/>
          </w:tcPr>
          <w:p w14:paraId="04382AB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1.3</w:t>
            </w:r>
          </w:p>
        </w:tc>
        <w:tc>
          <w:tcPr>
            <w:tcW w:w="566" w:type="dxa"/>
          </w:tcPr>
          <w:p w14:paraId="79CBA9CF"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153E69A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614" w:type="dxa"/>
          </w:tcPr>
          <w:p w14:paraId="1668047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614" w:type="dxa"/>
          </w:tcPr>
          <w:p w14:paraId="2F7FDFB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-1.2</w:t>
            </w:r>
          </w:p>
        </w:tc>
        <w:tc>
          <w:tcPr>
            <w:tcW w:w="614" w:type="dxa"/>
          </w:tcPr>
          <w:p w14:paraId="57B60F7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-2.2</w:t>
            </w:r>
          </w:p>
        </w:tc>
        <w:tc>
          <w:tcPr>
            <w:tcW w:w="614" w:type="dxa"/>
          </w:tcPr>
          <w:p w14:paraId="7E7C844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-1.4</w:t>
            </w:r>
          </w:p>
        </w:tc>
        <w:tc>
          <w:tcPr>
            <w:tcW w:w="614" w:type="dxa"/>
          </w:tcPr>
          <w:p w14:paraId="09EC54A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614" w:type="dxa"/>
          </w:tcPr>
          <w:p w14:paraId="4A78DDB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r>
      <w:tr w:rsidR="0099756D" w:rsidRPr="00A429AA" w14:paraId="576733CD" w14:textId="77777777" w:rsidTr="005D4107">
        <w:trPr>
          <w:trHeight w:val="289"/>
        </w:trPr>
        <w:tc>
          <w:tcPr>
            <w:tcW w:w="1276" w:type="dxa"/>
            <w:vAlign w:val="center"/>
          </w:tcPr>
          <w:p w14:paraId="6D48C69D"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 xml:space="preserve">Portugal </w:t>
            </w:r>
          </w:p>
        </w:tc>
        <w:tc>
          <w:tcPr>
            <w:tcW w:w="567" w:type="dxa"/>
          </w:tcPr>
          <w:p w14:paraId="1BF8649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1.5</w:t>
            </w:r>
          </w:p>
        </w:tc>
        <w:tc>
          <w:tcPr>
            <w:tcW w:w="567" w:type="dxa"/>
          </w:tcPr>
          <w:p w14:paraId="2338539F"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567" w:type="dxa"/>
          </w:tcPr>
          <w:p w14:paraId="42ECAEE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567" w:type="dxa"/>
          </w:tcPr>
          <w:p w14:paraId="0CFF0AA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1.0</w:t>
            </w:r>
          </w:p>
        </w:tc>
        <w:tc>
          <w:tcPr>
            <w:tcW w:w="566" w:type="dxa"/>
          </w:tcPr>
          <w:p w14:paraId="2F491CC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22E21C9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614" w:type="dxa"/>
          </w:tcPr>
          <w:p w14:paraId="5770ABD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187C69A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614" w:type="dxa"/>
          </w:tcPr>
          <w:p w14:paraId="77ED5D9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-2.3</w:t>
            </w:r>
          </w:p>
        </w:tc>
        <w:tc>
          <w:tcPr>
            <w:tcW w:w="614" w:type="dxa"/>
          </w:tcPr>
          <w:p w14:paraId="682C5FB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614" w:type="dxa"/>
          </w:tcPr>
          <w:p w14:paraId="0960E50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0.6</w:t>
            </w:r>
          </w:p>
        </w:tc>
        <w:tc>
          <w:tcPr>
            <w:tcW w:w="614" w:type="dxa"/>
          </w:tcPr>
          <w:p w14:paraId="653FB09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r>
      <w:tr w:rsidR="0099756D" w:rsidRPr="00A429AA" w14:paraId="7B6FADB2" w14:textId="77777777" w:rsidTr="005D4107">
        <w:trPr>
          <w:trHeight w:val="281"/>
        </w:trPr>
        <w:tc>
          <w:tcPr>
            <w:tcW w:w="1276" w:type="dxa"/>
            <w:vAlign w:val="center"/>
          </w:tcPr>
          <w:p w14:paraId="3EEDD745"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Spain</w:t>
            </w:r>
          </w:p>
        </w:tc>
        <w:tc>
          <w:tcPr>
            <w:tcW w:w="567" w:type="dxa"/>
          </w:tcPr>
          <w:p w14:paraId="4568529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c>
          <w:tcPr>
            <w:tcW w:w="567" w:type="dxa"/>
          </w:tcPr>
          <w:p w14:paraId="4E34A97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567" w:type="dxa"/>
          </w:tcPr>
          <w:p w14:paraId="55553E4C"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567" w:type="dxa"/>
          </w:tcPr>
          <w:p w14:paraId="4243D92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0.7</w:t>
            </w:r>
          </w:p>
        </w:tc>
        <w:tc>
          <w:tcPr>
            <w:tcW w:w="566" w:type="dxa"/>
          </w:tcPr>
          <w:p w14:paraId="3FEF7EF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614" w:type="dxa"/>
          </w:tcPr>
          <w:p w14:paraId="61E5DD7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4A6DBFA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-0.8</w:t>
            </w:r>
          </w:p>
        </w:tc>
        <w:tc>
          <w:tcPr>
            <w:tcW w:w="614" w:type="dxa"/>
          </w:tcPr>
          <w:p w14:paraId="6F5E1D9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614" w:type="dxa"/>
          </w:tcPr>
          <w:p w14:paraId="08A2255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-1.6</w:t>
            </w:r>
          </w:p>
        </w:tc>
        <w:tc>
          <w:tcPr>
            <w:tcW w:w="614" w:type="dxa"/>
          </w:tcPr>
          <w:p w14:paraId="4F7F3B45"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614" w:type="dxa"/>
          </w:tcPr>
          <w:p w14:paraId="5F11968A"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-0.3</w:t>
            </w:r>
          </w:p>
        </w:tc>
        <w:tc>
          <w:tcPr>
            <w:tcW w:w="614" w:type="dxa"/>
          </w:tcPr>
          <w:p w14:paraId="40C9091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r>
      <w:tr w:rsidR="0099756D" w:rsidRPr="00A429AA" w14:paraId="462734F1" w14:textId="77777777" w:rsidTr="005D4107">
        <w:trPr>
          <w:trHeight w:val="341"/>
        </w:trPr>
        <w:tc>
          <w:tcPr>
            <w:tcW w:w="1276" w:type="dxa"/>
            <w:vAlign w:val="center"/>
          </w:tcPr>
          <w:p w14:paraId="066771CA" w14:textId="77777777" w:rsidR="0099756D" w:rsidRPr="00A429AA" w:rsidRDefault="0099756D" w:rsidP="00A714E1">
            <w:pPr>
              <w:autoSpaceDE w:val="0"/>
              <w:autoSpaceDN w:val="0"/>
              <w:adjustRightInd w:val="0"/>
              <w:spacing w:line="360" w:lineRule="auto"/>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Sweden</w:t>
            </w:r>
          </w:p>
        </w:tc>
        <w:tc>
          <w:tcPr>
            <w:tcW w:w="567" w:type="dxa"/>
          </w:tcPr>
          <w:p w14:paraId="49850A0E"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1.0</w:t>
            </w:r>
          </w:p>
        </w:tc>
        <w:tc>
          <w:tcPr>
            <w:tcW w:w="567" w:type="dxa"/>
          </w:tcPr>
          <w:p w14:paraId="0FDF935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0.5</w:t>
            </w:r>
          </w:p>
        </w:tc>
        <w:tc>
          <w:tcPr>
            <w:tcW w:w="567" w:type="dxa"/>
          </w:tcPr>
          <w:p w14:paraId="0F24BC7D"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0.7</w:t>
            </w:r>
          </w:p>
        </w:tc>
        <w:tc>
          <w:tcPr>
            <w:tcW w:w="567" w:type="dxa"/>
          </w:tcPr>
          <w:p w14:paraId="0F5FC44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1.5</w:t>
            </w:r>
          </w:p>
        </w:tc>
        <w:tc>
          <w:tcPr>
            <w:tcW w:w="566" w:type="dxa"/>
          </w:tcPr>
          <w:p w14:paraId="67F8B7F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-1.2</w:t>
            </w:r>
          </w:p>
        </w:tc>
        <w:tc>
          <w:tcPr>
            <w:tcW w:w="614" w:type="dxa"/>
          </w:tcPr>
          <w:p w14:paraId="4BB6947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614" w:type="dxa"/>
          </w:tcPr>
          <w:p w14:paraId="36696361"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04166027"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-3.8</w:t>
            </w:r>
          </w:p>
        </w:tc>
        <w:tc>
          <w:tcPr>
            <w:tcW w:w="614" w:type="dxa"/>
          </w:tcPr>
          <w:p w14:paraId="69735876"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-2.6</w:t>
            </w:r>
          </w:p>
        </w:tc>
        <w:tc>
          <w:tcPr>
            <w:tcW w:w="614" w:type="dxa"/>
          </w:tcPr>
          <w:p w14:paraId="09158BB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614" w:type="dxa"/>
          </w:tcPr>
          <w:p w14:paraId="1A9DFE6B"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0.0</w:t>
            </w:r>
          </w:p>
        </w:tc>
        <w:tc>
          <w:tcPr>
            <w:tcW w:w="614" w:type="dxa"/>
          </w:tcPr>
          <w:p w14:paraId="3A3609EA"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r>
      <w:tr w:rsidR="0099756D" w:rsidRPr="00A429AA" w14:paraId="0106BDAC" w14:textId="77777777" w:rsidTr="00A714E1">
        <w:trPr>
          <w:trHeight w:val="517"/>
        </w:trPr>
        <w:tc>
          <w:tcPr>
            <w:tcW w:w="1276" w:type="dxa"/>
            <w:vAlign w:val="center"/>
          </w:tcPr>
          <w:p w14:paraId="6926E0B5" w14:textId="77777777" w:rsidR="0099756D" w:rsidRPr="00A429AA" w:rsidRDefault="0099756D" w:rsidP="00A714E1">
            <w:pPr>
              <w:autoSpaceDE w:val="0"/>
              <w:autoSpaceDN w:val="0"/>
              <w:adjustRightInd w:val="0"/>
              <w:rPr>
                <w:rFonts w:ascii="Times New Roman" w:hAnsi="Times New Roman" w:cs="Times New Roman"/>
                <w:b/>
                <w:bCs/>
                <w:sz w:val="20"/>
                <w:szCs w:val="20"/>
                <w:lang w:eastAsia="en-GB"/>
              </w:rPr>
            </w:pPr>
            <w:r w:rsidRPr="00A429AA">
              <w:rPr>
                <w:rFonts w:ascii="Times New Roman" w:hAnsi="Times New Roman" w:cs="Times New Roman"/>
                <w:b/>
                <w:bCs/>
                <w:sz w:val="20"/>
                <w:szCs w:val="20"/>
                <w:lang w:eastAsia="en-GB"/>
              </w:rPr>
              <w:t xml:space="preserve">United Kingdom </w:t>
            </w:r>
          </w:p>
        </w:tc>
        <w:tc>
          <w:tcPr>
            <w:tcW w:w="567" w:type="dxa"/>
          </w:tcPr>
          <w:p w14:paraId="138773D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1.1</w:t>
            </w:r>
          </w:p>
        </w:tc>
        <w:tc>
          <w:tcPr>
            <w:tcW w:w="567" w:type="dxa"/>
          </w:tcPr>
          <w:p w14:paraId="4E7300A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1.2</w:t>
            </w:r>
          </w:p>
        </w:tc>
        <w:tc>
          <w:tcPr>
            <w:tcW w:w="567" w:type="dxa"/>
          </w:tcPr>
          <w:p w14:paraId="2CEBE2F3"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1.2</w:t>
            </w:r>
          </w:p>
        </w:tc>
        <w:tc>
          <w:tcPr>
            <w:tcW w:w="567" w:type="dxa"/>
          </w:tcPr>
          <w:p w14:paraId="706E628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566" w:type="dxa"/>
          </w:tcPr>
          <w:p w14:paraId="55C70EF0"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0.1</w:t>
            </w:r>
          </w:p>
        </w:tc>
        <w:tc>
          <w:tcPr>
            <w:tcW w:w="614" w:type="dxa"/>
          </w:tcPr>
          <w:p w14:paraId="5095000D"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-0.9</w:t>
            </w:r>
          </w:p>
        </w:tc>
        <w:tc>
          <w:tcPr>
            <w:tcW w:w="614" w:type="dxa"/>
          </w:tcPr>
          <w:p w14:paraId="7F2FDE04"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-1.8</w:t>
            </w:r>
          </w:p>
        </w:tc>
        <w:tc>
          <w:tcPr>
            <w:tcW w:w="614" w:type="dxa"/>
          </w:tcPr>
          <w:p w14:paraId="6A6543D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-2.1</w:t>
            </w:r>
          </w:p>
        </w:tc>
        <w:tc>
          <w:tcPr>
            <w:tcW w:w="614" w:type="dxa"/>
          </w:tcPr>
          <w:p w14:paraId="49E8DA8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-1.5</w:t>
            </w:r>
          </w:p>
        </w:tc>
        <w:tc>
          <w:tcPr>
            <w:tcW w:w="614" w:type="dxa"/>
          </w:tcPr>
          <w:p w14:paraId="05149988"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-0.2</w:t>
            </w:r>
          </w:p>
        </w:tc>
        <w:tc>
          <w:tcPr>
            <w:tcW w:w="614" w:type="dxa"/>
          </w:tcPr>
          <w:p w14:paraId="0252AF22"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c>
          <w:tcPr>
            <w:tcW w:w="614" w:type="dxa"/>
          </w:tcPr>
          <w:p w14:paraId="39154BB9" w14:textId="77777777" w:rsidR="0099756D" w:rsidRPr="00A429AA" w:rsidRDefault="0099756D" w:rsidP="0099756D">
            <w:pPr>
              <w:autoSpaceDE w:val="0"/>
              <w:autoSpaceDN w:val="0"/>
              <w:adjustRightInd w:val="0"/>
              <w:spacing w:line="360" w:lineRule="auto"/>
              <w:jc w:val="center"/>
              <w:rPr>
                <w:rFonts w:ascii="Times New Roman" w:hAnsi="Times New Roman" w:cs="Times New Roman"/>
                <w:sz w:val="20"/>
                <w:szCs w:val="20"/>
                <w:lang w:eastAsia="en-GB"/>
              </w:rPr>
            </w:pPr>
            <w:r w:rsidRPr="00A429AA">
              <w:rPr>
                <w:rFonts w:ascii="Times New Roman" w:hAnsi="Times New Roman" w:cs="Times New Roman"/>
                <w:sz w:val="20"/>
                <w:szCs w:val="20"/>
                <w:lang w:eastAsia="en-GB"/>
              </w:rPr>
              <w:t>0.4</w:t>
            </w:r>
          </w:p>
        </w:tc>
      </w:tr>
    </w:tbl>
    <w:p w14:paraId="758B0ABC" w14:textId="6FDCF6D0" w:rsidR="00A678D7" w:rsidRPr="00A429AA" w:rsidRDefault="00A678D7" w:rsidP="00A678D7">
      <w:pPr>
        <w:autoSpaceDE w:val="0"/>
        <w:autoSpaceDN w:val="0"/>
        <w:adjustRightInd w:val="0"/>
        <w:spacing w:line="360" w:lineRule="auto"/>
        <w:rPr>
          <w:rFonts w:ascii="Times New Roman" w:hAnsi="Times New Roman" w:cs="Times New Roman"/>
          <w:sz w:val="20"/>
          <w:szCs w:val="20"/>
          <w:lang w:eastAsia="en-GB"/>
        </w:rPr>
      </w:pPr>
      <w:r w:rsidRPr="00A429AA">
        <w:rPr>
          <w:rFonts w:ascii="Times New Roman" w:hAnsi="Times New Roman" w:cs="Times New Roman"/>
          <w:sz w:val="20"/>
          <w:szCs w:val="20"/>
          <w:lang w:eastAsia="en-GB"/>
        </w:rPr>
        <w:t xml:space="preserve">Source: </w:t>
      </w:r>
      <w:r w:rsidR="00E84057" w:rsidRPr="00A429AA">
        <w:rPr>
          <w:rFonts w:ascii="Times New Roman" w:hAnsi="Times New Roman" w:cs="Times New Roman"/>
          <w:sz w:val="20"/>
          <w:szCs w:val="20"/>
          <w:lang w:eastAsia="en-GB"/>
        </w:rPr>
        <w:t>OECD</w:t>
      </w:r>
    </w:p>
    <w:p w14:paraId="6901DDD4" w14:textId="77777777" w:rsidR="00DD16C0" w:rsidRDefault="00DD16C0" w:rsidP="0097699E">
      <w:pPr>
        <w:spacing w:line="360" w:lineRule="auto"/>
        <w:jc w:val="both"/>
        <w:rPr>
          <w:rFonts w:ascii="Times New Roman" w:eastAsia="Times New Roman" w:hAnsi="Times New Roman" w:cs="Times New Roman"/>
        </w:rPr>
      </w:pPr>
    </w:p>
    <w:p w14:paraId="7D55D77D" w14:textId="4E5677E8" w:rsidR="00E305E3" w:rsidRPr="00A429AA" w:rsidRDefault="00E5406C" w:rsidP="0097699E">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In</w:t>
      </w:r>
      <w:r w:rsidR="004E6F22">
        <w:rPr>
          <w:rFonts w:ascii="Times New Roman" w:eastAsia="Times New Roman" w:hAnsi="Times New Roman" w:cs="Times New Roman"/>
        </w:rPr>
        <w:t xml:space="preserve"> 2008, GDP of the EU</w:t>
      </w:r>
      <w:r w:rsidRPr="00A429AA">
        <w:rPr>
          <w:rFonts w:ascii="Times New Roman" w:eastAsia="Times New Roman" w:hAnsi="Times New Roman" w:cs="Times New Roman"/>
        </w:rPr>
        <w:t xml:space="preserve"> was growing but the growth was weaker than the year before. The slowdown in growth was accounted to the increase of oil prices and further deterioration of financial systems due to its exposure to the US mortgage-backed assets and worsening credit quality and confidence in the sector. To restore confid</w:t>
      </w:r>
      <w:r w:rsidR="00B65EEF" w:rsidRPr="00A429AA">
        <w:rPr>
          <w:rFonts w:ascii="Times New Roman" w:eastAsia="Times New Roman" w:hAnsi="Times New Roman" w:cs="Times New Roman"/>
        </w:rPr>
        <w:t xml:space="preserve">ence, Belgium, France, Germany, </w:t>
      </w:r>
      <w:r w:rsidRPr="00A429AA">
        <w:rPr>
          <w:rFonts w:ascii="Times New Roman" w:eastAsia="Times New Roman" w:hAnsi="Times New Roman" w:cs="Times New Roman"/>
        </w:rPr>
        <w:t>the Ne</w:t>
      </w:r>
      <w:r w:rsidR="00683E63">
        <w:rPr>
          <w:rFonts w:ascii="Times New Roman" w:eastAsia="Times New Roman" w:hAnsi="Times New Roman" w:cs="Times New Roman"/>
        </w:rPr>
        <w:t>therlands and the UK</w:t>
      </w:r>
      <w:r w:rsidRPr="00A429AA">
        <w:rPr>
          <w:rFonts w:ascii="Times New Roman" w:eastAsia="Times New Roman" w:hAnsi="Times New Roman" w:cs="Times New Roman"/>
        </w:rPr>
        <w:t xml:space="preserve"> bailed out the most troubled financial institutions like Fortis and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Furthermore, assurances to deposits in Germany and the UK </w:t>
      </w:r>
      <w:proofErr w:type="gramStart"/>
      <w:r w:rsidRPr="00A429AA">
        <w:rPr>
          <w:rFonts w:ascii="Times New Roman" w:eastAsia="Times New Roman" w:hAnsi="Times New Roman" w:cs="Times New Roman"/>
        </w:rPr>
        <w:t>were provided</w:t>
      </w:r>
      <w:proofErr w:type="gramEnd"/>
      <w:r w:rsidRPr="00A429AA">
        <w:rPr>
          <w:rFonts w:ascii="Times New Roman" w:eastAsia="Times New Roman" w:hAnsi="Times New Roman" w:cs="Times New Roman"/>
        </w:rPr>
        <w:t xml:space="preserve"> </w:t>
      </w:r>
      <w:r w:rsidR="00CE76D9" w:rsidRPr="00A429AA">
        <w:rPr>
          <w:rFonts w:ascii="Times New Roman" w:eastAsia="Times New Roman" w:hAnsi="Times New Roman" w:cs="Times New Roman"/>
        </w:rPr>
        <w:t>(IMF</w:t>
      </w:r>
      <w:r w:rsidR="000E2DFE" w:rsidRPr="00A429AA">
        <w:rPr>
          <w:rFonts w:ascii="Times New Roman" w:eastAsia="Times New Roman" w:hAnsi="Times New Roman" w:cs="Times New Roman"/>
        </w:rPr>
        <w:t xml:space="preserve"> 2008 October)</w:t>
      </w:r>
      <w:r w:rsidRPr="00A429AA">
        <w:rPr>
          <w:rFonts w:ascii="Times New Roman" w:eastAsia="Times New Roman" w:hAnsi="Times New Roman" w:cs="Times New Roman"/>
        </w:rPr>
        <w:t>.</w:t>
      </w:r>
      <w:r w:rsidR="006C76EA" w:rsidRPr="00A429AA">
        <w:rPr>
          <w:rFonts w:ascii="Times New Roman" w:eastAsia="Times New Roman" w:hAnsi="Times New Roman" w:cs="Times New Roman"/>
        </w:rPr>
        <w:t xml:space="preserve"> </w:t>
      </w:r>
    </w:p>
    <w:p w14:paraId="21FF200B" w14:textId="6138CB5F" w:rsidR="00215A1D" w:rsidRPr="00A429AA" w:rsidRDefault="00E5406C" w:rsidP="0097699E">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The last months of 2008 </w:t>
      </w:r>
      <w:proofErr w:type="gramStart"/>
      <w:r w:rsidRPr="00A429AA">
        <w:rPr>
          <w:rFonts w:ascii="Times New Roman" w:eastAsia="Times New Roman" w:hAnsi="Times New Roman" w:cs="Times New Roman"/>
        </w:rPr>
        <w:t>were marked</w:t>
      </w:r>
      <w:proofErr w:type="gramEnd"/>
      <w:r w:rsidRPr="00A429AA">
        <w:rPr>
          <w:rFonts w:ascii="Times New Roman" w:eastAsia="Times New Roman" w:hAnsi="Times New Roman" w:cs="Times New Roman"/>
        </w:rPr>
        <w:t xml:space="preserve"> by high volatility and a huge drop in equity prices together with a decline in business investments and consumption. Unemployment rate also increased in 2009 in all EU countries except Luxembourg. The decline in the economic activity </w:t>
      </w:r>
      <w:proofErr w:type="gramStart"/>
      <w:r w:rsidRPr="00A429AA">
        <w:rPr>
          <w:rFonts w:ascii="Times New Roman" w:eastAsia="Times New Roman" w:hAnsi="Times New Roman" w:cs="Times New Roman"/>
        </w:rPr>
        <w:t>was reflected</w:t>
      </w:r>
      <w:proofErr w:type="gramEnd"/>
      <w:r w:rsidRPr="00A429AA">
        <w:rPr>
          <w:rFonts w:ascii="Times New Roman" w:eastAsia="Times New Roman" w:hAnsi="Times New Roman" w:cs="Times New Roman"/>
        </w:rPr>
        <w:t xml:space="preserve"> in a significant decline in GDP in most of the countries of the </w:t>
      </w:r>
      <w:r w:rsidR="006C76EA" w:rsidRPr="00A429AA">
        <w:rPr>
          <w:rFonts w:ascii="Times New Roman" w:eastAsia="Times New Roman" w:hAnsi="Times New Roman" w:cs="Times New Roman"/>
        </w:rPr>
        <w:t>EU</w:t>
      </w:r>
      <w:r w:rsidRPr="00A429AA">
        <w:rPr>
          <w:rFonts w:ascii="Times New Roman" w:eastAsia="Times New Roman" w:hAnsi="Times New Roman" w:cs="Times New Roman"/>
        </w:rPr>
        <w:t xml:space="preserve"> at the end of 2008. </w:t>
      </w:r>
    </w:p>
    <w:p w14:paraId="5D2E4FF3" w14:textId="3BBFE275" w:rsidR="001C34EE" w:rsidRPr="00A429AA" w:rsidRDefault="00E95942" w:rsidP="006C76EA">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Moreover</w:t>
      </w:r>
      <w:r w:rsidR="00E5406C" w:rsidRPr="00A429AA">
        <w:rPr>
          <w:rFonts w:ascii="Times New Roman" w:eastAsia="Times New Roman" w:hAnsi="Times New Roman" w:cs="Times New Roman"/>
        </w:rPr>
        <w:t xml:space="preserve">, because of the contraction of export opportunities </w:t>
      </w:r>
      <w:r w:rsidR="00854FD1" w:rsidRPr="00A429AA">
        <w:rPr>
          <w:rFonts w:ascii="Times New Roman" w:eastAsia="Times New Roman" w:hAnsi="Times New Roman" w:cs="Times New Roman"/>
        </w:rPr>
        <w:t>in Western Europe and investors’</w:t>
      </w:r>
      <w:r w:rsidR="00E5406C" w:rsidRPr="00A429AA">
        <w:rPr>
          <w:rFonts w:ascii="Times New Roman" w:eastAsia="Times New Roman" w:hAnsi="Times New Roman" w:cs="Times New Roman"/>
        </w:rPr>
        <w:t xml:space="preserve"> avoidance of risk, the growth rate and export fell dramatically. </w:t>
      </w:r>
      <w:r w:rsidR="001C34EE" w:rsidRPr="00A429AA">
        <w:rPr>
          <w:rFonts w:ascii="Times New Roman" w:eastAsia="Times New Roman" w:hAnsi="Times New Roman" w:cs="Times New Roman"/>
        </w:rPr>
        <w:t>One of the consequences of the financial crisis was a significant decreas</w:t>
      </w:r>
      <w:r w:rsidR="003F24D4" w:rsidRPr="00A429AA">
        <w:rPr>
          <w:rFonts w:ascii="Times New Roman" w:eastAsia="Times New Roman" w:hAnsi="Times New Roman" w:cs="Times New Roman"/>
        </w:rPr>
        <w:t>e in exports in 2009 (Figure 1</w:t>
      </w:r>
      <w:r w:rsidR="001C34EE" w:rsidRPr="00A429AA">
        <w:rPr>
          <w:rFonts w:ascii="Times New Roman" w:eastAsia="Times New Roman" w:hAnsi="Times New Roman" w:cs="Times New Roman"/>
        </w:rPr>
        <w:t xml:space="preserve">). Exports of capital and intermediate goods </w:t>
      </w:r>
      <w:proofErr w:type="gramStart"/>
      <w:r w:rsidR="001C34EE" w:rsidRPr="00A429AA">
        <w:rPr>
          <w:rFonts w:ascii="Times New Roman" w:eastAsia="Times New Roman" w:hAnsi="Times New Roman" w:cs="Times New Roman"/>
        </w:rPr>
        <w:t>were more affected</w:t>
      </w:r>
      <w:proofErr w:type="gramEnd"/>
      <w:r w:rsidR="001C34EE" w:rsidRPr="00A429AA">
        <w:rPr>
          <w:rFonts w:ascii="Times New Roman" w:eastAsia="Times New Roman" w:hAnsi="Times New Roman" w:cs="Times New Roman"/>
        </w:rPr>
        <w:t xml:space="preserve"> than exports of consumer goods mostly because of a decline in manufacturing sector. </w:t>
      </w:r>
    </w:p>
    <w:p w14:paraId="59B531B0" w14:textId="77777777" w:rsidR="006C76EA" w:rsidRDefault="006C76EA" w:rsidP="006C76EA">
      <w:pPr>
        <w:spacing w:line="360" w:lineRule="auto"/>
        <w:jc w:val="both"/>
        <w:rPr>
          <w:rFonts w:ascii="Times New Roman" w:eastAsia="Times New Roman" w:hAnsi="Times New Roman" w:cs="Times New Roman"/>
        </w:rPr>
      </w:pPr>
    </w:p>
    <w:p w14:paraId="6749ECD9" w14:textId="77777777" w:rsidR="00AE1F67" w:rsidRPr="00A429AA" w:rsidRDefault="00AE1F67" w:rsidP="006C76EA">
      <w:pPr>
        <w:spacing w:line="360" w:lineRule="auto"/>
        <w:jc w:val="both"/>
        <w:rPr>
          <w:rFonts w:ascii="Times New Roman" w:eastAsia="Times New Roman" w:hAnsi="Times New Roman" w:cs="Times New Roman"/>
        </w:rPr>
      </w:pPr>
    </w:p>
    <w:p w14:paraId="1DCAC9AA" w14:textId="6D0C0420" w:rsidR="005F7ACE" w:rsidRPr="00A429AA" w:rsidRDefault="00AF40A5" w:rsidP="006C76EA">
      <w:pPr>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t xml:space="preserve">Figure 1. </w:t>
      </w:r>
      <w:r w:rsidR="00714BAD" w:rsidRPr="00A429AA">
        <w:rPr>
          <w:rFonts w:ascii="Times New Roman" w:eastAsia="Times New Roman" w:hAnsi="Times New Roman" w:cs="Times New Roman"/>
          <w:b/>
          <w:sz w:val="22"/>
          <w:szCs w:val="22"/>
        </w:rPr>
        <w:t xml:space="preserve">Export of goods and services at current prices in </w:t>
      </w:r>
      <w:proofErr w:type="spellStart"/>
      <w:r w:rsidR="00714BAD" w:rsidRPr="00A429AA">
        <w:rPr>
          <w:rFonts w:ascii="Times New Roman" w:eastAsia="Times New Roman" w:hAnsi="Times New Roman" w:cs="Times New Roman"/>
          <w:b/>
          <w:sz w:val="22"/>
          <w:szCs w:val="22"/>
        </w:rPr>
        <w:t>million</w:t>
      </w:r>
      <w:proofErr w:type="spellEnd"/>
      <w:r w:rsidR="00714BAD" w:rsidRPr="00A429AA">
        <w:rPr>
          <w:rFonts w:ascii="Times New Roman" w:eastAsia="Times New Roman" w:hAnsi="Times New Roman" w:cs="Times New Roman"/>
          <w:b/>
          <w:sz w:val="22"/>
          <w:szCs w:val="22"/>
        </w:rPr>
        <w:t xml:space="preserve"> of euro</w:t>
      </w:r>
    </w:p>
    <w:p w14:paraId="667FE9FE" w14:textId="01072934" w:rsidR="001C34EE" w:rsidRPr="00A429AA" w:rsidRDefault="00140927" w:rsidP="006C76EA">
      <w:pPr>
        <w:widowControl w:val="0"/>
        <w:autoSpaceDE w:val="0"/>
        <w:autoSpaceDN w:val="0"/>
        <w:adjustRightInd w:val="0"/>
        <w:rPr>
          <w:rFonts w:ascii="Times New Roman" w:hAnsi="Times New Roman" w:cs="Times New Roman"/>
        </w:rPr>
      </w:pPr>
      <w:r w:rsidRPr="00A429AA">
        <w:rPr>
          <w:rFonts w:ascii="Times New Roman" w:hAnsi="Times New Roman" w:cs="Times New Roman"/>
          <w:noProof/>
          <w:lang w:eastAsia="en-GB"/>
        </w:rPr>
        <w:drawing>
          <wp:inline distT="0" distB="0" distL="0" distR="0" wp14:anchorId="314AFD04" wp14:editId="28BF53B4">
            <wp:extent cx="5270500" cy="2503805"/>
            <wp:effectExtent l="0" t="0" r="1270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ort all europe.pdf"/>
                    <pic:cNvPicPr/>
                  </pic:nvPicPr>
                  <pic:blipFill>
                    <a:blip r:embed="rId10">
                      <a:extLst>
                        <a:ext uri="{28A0092B-C50C-407E-A947-70E740481C1C}">
                          <a14:useLocalDpi xmlns:a14="http://schemas.microsoft.com/office/drawing/2010/main" val="0"/>
                        </a:ext>
                      </a:extLst>
                    </a:blip>
                    <a:stretch>
                      <a:fillRect/>
                    </a:stretch>
                  </pic:blipFill>
                  <pic:spPr>
                    <a:xfrm>
                      <a:off x="0" y="0"/>
                      <a:ext cx="5270500" cy="2503805"/>
                    </a:xfrm>
                    <a:prstGeom prst="rect">
                      <a:avLst/>
                    </a:prstGeom>
                  </pic:spPr>
                </pic:pic>
              </a:graphicData>
            </a:graphic>
          </wp:inline>
        </w:drawing>
      </w:r>
    </w:p>
    <w:p w14:paraId="28AF5F0F" w14:textId="6CD2EDB2" w:rsidR="00106ED2" w:rsidRPr="00A429AA" w:rsidRDefault="006C76EA" w:rsidP="005D4107">
      <w:pPr>
        <w:spacing w:line="360" w:lineRule="auto"/>
        <w:jc w:val="both"/>
        <w:rPr>
          <w:rFonts w:ascii="Times New Roman" w:eastAsia="Times New Roman" w:hAnsi="Times New Roman" w:cs="Times New Roman"/>
          <w:sz w:val="22"/>
          <w:szCs w:val="22"/>
        </w:rPr>
      </w:pPr>
      <w:r w:rsidRPr="00A429AA">
        <w:rPr>
          <w:rFonts w:ascii="Times New Roman" w:eastAsia="Times New Roman" w:hAnsi="Times New Roman" w:cs="Times New Roman"/>
          <w:sz w:val="22"/>
          <w:szCs w:val="22"/>
        </w:rPr>
        <w:t>S</w:t>
      </w:r>
      <w:r w:rsidR="00140927" w:rsidRPr="00A429AA">
        <w:rPr>
          <w:rFonts w:ascii="Times New Roman" w:eastAsia="Times New Roman" w:hAnsi="Times New Roman" w:cs="Times New Roman"/>
          <w:sz w:val="22"/>
          <w:szCs w:val="22"/>
        </w:rPr>
        <w:t>ource: Eurostat</w:t>
      </w:r>
    </w:p>
    <w:p w14:paraId="794F725A" w14:textId="77777777" w:rsidR="00106ED2" w:rsidRPr="00A429AA" w:rsidRDefault="00106ED2">
      <w:pPr>
        <w:rPr>
          <w:rFonts w:ascii="Times New Roman" w:eastAsia="Times New Roman" w:hAnsi="Times New Roman" w:cs="Times New Roman"/>
        </w:rPr>
      </w:pPr>
    </w:p>
    <w:p w14:paraId="77E2ED30" w14:textId="77777777" w:rsidR="00106ED2" w:rsidRPr="00A429AA" w:rsidRDefault="00106ED2">
      <w:pPr>
        <w:rPr>
          <w:rFonts w:ascii="Times New Roman" w:eastAsia="Times New Roman" w:hAnsi="Times New Roman" w:cs="Times New Roman"/>
        </w:rPr>
      </w:pPr>
    </w:p>
    <w:p w14:paraId="73278F42" w14:textId="44EA5377" w:rsidR="00C41EBF" w:rsidRPr="00A429AA" w:rsidRDefault="00137778">
      <w:pPr>
        <w:rPr>
          <w:rFonts w:ascii="Times New Roman" w:hAnsi="Times New Roman" w:cs="Times New Roman"/>
          <w:b/>
        </w:rPr>
      </w:pPr>
      <w:r w:rsidRPr="00A429AA">
        <w:rPr>
          <w:rFonts w:ascii="Times New Roman" w:hAnsi="Times New Roman" w:cs="Times New Roman"/>
          <w:b/>
        </w:rPr>
        <w:t xml:space="preserve">4. </w:t>
      </w:r>
      <w:r w:rsidR="004F02A6" w:rsidRPr="00A429AA">
        <w:rPr>
          <w:rFonts w:ascii="Times New Roman" w:hAnsi="Times New Roman" w:cs="Times New Roman"/>
          <w:b/>
        </w:rPr>
        <w:t xml:space="preserve">The impact </w:t>
      </w:r>
      <w:r w:rsidR="0029442F" w:rsidRPr="00A429AA">
        <w:rPr>
          <w:rFonts w:ascii="Times New Roman" w:hAnsi="Times New Roman" w:cs="Times New Roman"/>
          <w:b/>
        </w:rPr>
        <w:t>of the</w:t>
      </w:r>
      <w:r w:rsidR="006B523B" w:rsidRPr="00A429AA">
        <w:rPr>
          <w:rFonts w:ascii="Times New Roman" w:hAnsi="Times New Roman" w:cs="Times New Roman"/>
          <w:b/>
        </w:rPr>
        <w:t xml:space="preserve"> f</w:t>
      </w:r>
      <w:r w:rsidR="004F02A6" w:rsidRPr="00A429AA">
        <w:rPr>
          <w:rFonts w:ascii="Times New Roman" w:hAnsi="Times New Roman" w:cs="Times New Roman"/>
          <w:b/>
        </w:rPr>
        <w:t>inancial crisis of 2007- 2008 on</w:t>
      </w:r>
      <w:r w:rsidR="00723C69" w:rsidRPr="00A429AA">
        <w:rPr>
          <w:rFonts w:ascii="Times New Roman" w:hAnsi="Times New Roman" w:cs="Times New Roman"/>
          <w:b/>
        </w:rPr>
        <w:t xml:space="preserve"> the</w:t>
      </w:r>
      <w:r w:rsidR="004F02A6" w:rsidRPr="00A429AA">
        <w:rPr>
          <w:rFonts w:ascii="Times New Roman" w:hAnsi="Times New Roman" w:cs="Times New Roman"/>
          <w:b/>
        </w:rPr>
        <w:t xml:space="preserve"> EU banking sector </w:t>
      </w:r>
    </w:p>
    <w:p w14:paraId="29F276BF" w14:textId="77777777" w:rsidR="007F60CB" w:rsidRPr="00A429AA" w:rsidRDefault="007F60CB">
      <w:pPr>
        <w:rPr>
          <w:rFonts w:ascii="Times New Roman" w:hAnsi="Times New Roman" w:cs="Times New Roman"/>
          <w:b/>
        </w:rPr>
      </w:pPr>
    </w:p>
    <w:p w14:paraId="5A940957" w14:textId="75207B67" w:rsidR="00067644" w:rsidRPr="00A429AA" w:rsidRDefault="00BC747E" w:rsidP="00581BA7">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Although European banks were not involved in the distribution or issuance of subprime-backed mortgages, many banks bought </w:t>
      </w:r>
      <w:r w:rsidR="00A7531E">
        <w:rPr>
          <w:rFonts w:ascii="Times New Roman" w:eastAsia="Times New Roman" w:hAnsi="Times New Roman" w:cs="Times New Roman"/>
        </w:rPr>
        <w:t>‘</w:t>
      </w:r>
      <w:r w:rsidRPr="00A429AA">
        <w:rPr>
          <w:rFonts w:ascii="Times New Roman" w:eastAsia="Times New Roman" w:hAnsi="Times New Roman" w:cs="Times New Roman"/>
        </w:rPr>
        <w:t>toxic</w:t>
      </w:r>
      <w:r w:rsidR="00A7531E">
        <w:rPr>
          <w:rFonts w:ascii="Times New Roman" w:eastAsia="Times New Roman" w:hAnsi="Times New Roman" w:cs="Times New Roman"/>
        </w:rPr>
        <w:t>’</w:t>
      </w:r>
      <w:r w:rsidRPr="00A429AA">
        <w:rPr>
          <w:rFonts w:ascii="Times New Roman" w:eastAsia="Times New Roman" w:hAnsi="Times New Roman" w:cs="Times New Roman"/>
        </w:rPr>
        <w:t xml:space="preserve"> assets between 2003 and 2007. Moreover, the crisis was triggered in the European banking system by excess risk taking, increase in </w:t>
      </w:r>
      <w:proofErr w:type="gramStart"/>
      <w:r w:rsidRPr="00A429AA">
        <w:rPr>
          <w:rFonts w:ascii="Times New Roman" w:eastAsia="Times New Roman" w:hAnsi="Times New Roman" w:cs="Times New Roman"/>
        </w:rPr>
        <w:t>leverage</w:t>
      </w:r>
      <w:proofErr w:type="gramEnd"/>
      <w:r w:rsidRPr="00A429AA">
        <w:rPr>
          <w:rFonts w:ascii="Times New Roman" w:eastAsia="Times New Roman" w:hAnsi="Times New Roman" w:cs="Times New Roman"/>
        </w:rPr>
        <w:t xml:space="preserve"> and dollar shortage</w:t>
      </w:r>
      <w:r w:rsidR="0083617E" w:rsidRPr="00A429AA">
        <w:rPr>
          <w:rFonts w:ascii="Times New Roman" w:eastAsia="Times New Roman" w:hAnsi="Times New Roman" w:cs="Times New Roman"/>
        </w:rPr>
        <w:t xml:space="preserve"> </w:t>
      </w:r>
      <w:r w:rsidR="00CE76D9" w:rsidRPr="00A429AA">
        <w:rPr>
          <w:rFonts w:ascii="Times New Roman" w:eastAsia="Times New Roman" w:hAnsi="Times New Roman" w:cs="Times New Roman"/>
        </w:rPr>
        <w:t>(</w:t>
      </w:r>
      <w:proofErr w:type="spellStart"/>
      <w:r w:rsidR="00CE76D9" w:rsidRPr="00A429AA">
        <w:rPr>
          <w:rFonts w:ascii="Times New Roman" w:eastAsia="Times New Roman" w:hAnsi="Times New Roman" w:cs="Times New Roman"/>
        </w:rPr>
        <w:t>Chorafas</w:t>
      </w:r>
      <w:proofErr w:type="spellEnd"/>
      <w:r w:rsidR="0083617E" w:rsidRPr="00A429AA">
        <w:rPr>
          <w:rFonts w:ascii="Times New Roman" w:eastAsia="Times New Roman" w:hAnsi="Times New Roman" w:cs="Times New Roman"/>
        </w:rPr>
        <w:t xml:space="preserve"> 2009).</w:t>
      </w:r>
      <w:r w:rsidRPr="00A429AA">
        <w:rPr>
          <w:rFonts w:ascii="Times New Roman" w:eastAsia="Times New Roman" w:hAnsi="Times New Roman" w:cs="Times New Roman"/>
        </w:rPr>
        <w:t xml:space="preserve"> </w:t>
      </w:r>
    </w:p>
    <w:p w14:paraId="4B5BB391" w14:textId="7D91405D" w:rsidR="005663C0" w:rsidRPr="00A429AA" w:rsidRDefault="005663C0" w:rsidP="00581BA7">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One of the first symptoms of the crisis was loss of liquidity and a significant increase in interbank rates</w:t>
      </w:r>
      <w:r w:rsidR="00B061DE" w:rsidRPr="00A429AA">
        <w:rPr>
          <w:rFonts w:ascii="Times New Roman" w:eastAsia="Times New Roman" w:hAnsi="Times New Roman" w:cs="Times New Roman"/>
        </w:rPr>
        <w:t xml:space="preserve"> </w:t>
      </w:r>
      <w:r w:rsidR="00CE76D9" w:rsidRPr="00A429AA">
        <w:rPr>
          <w:rFonts w:ascii="Times New Roman" w:eastAsia="Times New Roman" w:hAnsi="Times New Roman" w:cs="Times New Roman"/>
        </w:rPr>
        <w:t>(IMF</w:t>
      </w:r>
      <w:r w:rsidR="00B061DE" w:rsidRPr="00A429AA">
        <w:rPr>
          <w:rFonts w:ascii="Times New Roman" w:eastAsia="Times New Roman" w:hAnsi="Times New Roman" w:cs="Times New Roman"/>
        </w:rPr>
        <w:t xml:space="preserve"> 2008 April)</w:t>
      </w:r>
      <w:r w:rsidRPr="00A429AA">
        <w:rPr>
          <w:rFonts w:ascii="Times New Roman" w:eastAsia="Times New Roman" w:hAnsi="Times New Roman" w:cs="Times New Roman"/>
        </w:rPr>
        <w:t xml:space="preserve">. After the bankruptcy of Lehman Brothers in September 2008, worries about further losses on the US mortgage-backed assets froze wholesale and funding markets. These problems spread the crisis to the real economy. The shock in Europe was more severe than was expected. European policy was criticised because of the reluctance of the European Central Bank (ECB) to change interest rates, which were at the level of 4% from June 2007 to July 2008. At the same </w:t>
      </w:r>
      <w:proofErr w:type="gramStart"/>
      <w:r w:rsidRPr="00A429AA">
        <w:rPr>
          <w:rFonts w:ascii="Times New Roman" w:eastAsia="Times New Roman" w:hAnsi="Times New Roman" w:cs="Times New Roman"/>
        </w:rPr>
        <w:t>time</w:t>
      </w:r>
      <w:proofErr w:type="gramEnd"/>
      <w:r w:rsidRPr="00A429AA">
        <w:rPr>
          <w:rFonts w:ascii="Times New Roman" w:eastAsia="Times New Roman" w:hAnsi="Times New Roman" w:cs="Times New Roman"/>
        </w:rPr>
        <w:t xml:space="preserve"> the</w:t>
      </w:r>
      <w:r w:rsidR="004844F8" w:rsidRPr="00A429AA">
        <w:rPr>
          <w:rFonts w:ascii="Times New Roman" w:eastAsia="Times New Roman" w:hAnsi="Times New Roman" w:cs="Times New Roman"/>
        </w:rPr>
        <w:t xml:space="preserve"> </w:t>
      </w:r>
      <w:r w:rsidR="004844F8" w:rsidRPr="00A429AA">
        <w:rPr>
          <w:rFonts w:ascii="Times New Roman" w:eastAsia="Times New Roman" w:hAnsi="Times New Roman" w:cs="Times New Roman"/>
          <w:shd w:val="clear" w:color="auto" w:fill="FFFFFF"/>
        </w:rPr>
        <w:t>Federal Reserve System</w:t>
      </w:r>
      <w:r w:rsidR="004844F8" w:rsidRPr="00A429AA">
        <w:rPr>
          <w:rFonts w:ascii="Times New Roman" w:eastAsia="Times New Roman" w:hAnsi="Times New Roman" w:cs="Times New Roman"/>
        </w:rPr>
        <w:t xml:space="preserve"> (</w:t>
      </w:r>
      <w:r w:rsidRPr="00A429AA">
        <w:rPr>
          <w:rFonts w:ascii="Times New Roman" w:eastAsia="Times New Roman" w:hAnsi="Times New Roman" w:cs="Times New Roman"/>
        </w:rPr>
        <w:t>FED</w:t>
      </w:r>
      <w:r w:rsidR="004844F8" w:rsidRPr="00A429AA">
        <w:rPr>
          <w:rFonts w:ascii="Times New Roman" w:eastAsia="Times New Roman" w:hAnsi="Times New Roman" w:cs="Times New Roman"/>
        </w:rPr>
        <w:t>)</w:t>
      </w:r>
      <w:r w:rsidRPr="00A429AA">
        <w:rPr>
          <w:rFonts w:ascii="Times New Roman" w:eastAsia="Times New Roman" w:hAnsi="Times New Roman" w:cs="Times New Roman"/>
        </w:rPr>
        <w:t xml:space="preserve"> in the US cut interest rates to ensure liquidity of financial system. Additionally, European policy provided only short-term refinancing operations that supported short-term liquidity that was in contrast to the FED open market operations that </w:t>
      </w:r>
      <w:proofErr w:type="gramStart"/>
      <w:r w:rsidRPr="00A429AA">
        <w:rPr>
          <w:rFonts w:ascii="Times New Roman" w:eastAsia="Times New Roman" w:hAnsi="Times New Roman" w:cs="Times New Roman"/>
        </w:rPr>
        <w:t>were conducted</w:t>
      </w:r>
      <w:proofErr w:type="gramEnd"/>
      <w:r w:rsidRPr="00A429AA">
        <w:rPr>
          <w:rFonts w:ascii="Times New Roman" w:eastAsia="Times New Roman" w:hAnsi="Times New Roman" w:cs="Times New Roman"/>
        </w:rPr>
        <w:t xml:space="preserve"> on a larger scale</w:t>
      </w:r>
      <w:r w:rsidR="00880A81" w:rsidRPr="00A429AA">
        <w:rPr>
          <w:rFonts w:ascii="Times New Roman" w:eastAsia="Times New Roman" w:hAnsi="Times New Roman" w:cs="Times New Roman"/>
        </w:rPr>
        <w:t xml:space="preserve"> </w:t>
      </w:r>
      <w:r w:rsidR="00ED630D" w:rsidRPr="00A429AA">
        <w:rPr>
          <w:rFonts w:ascii="Times New Roman" w:eastAsia="Times New Roman" w:hAnsi="Times New Roman" w:cs="Times New Roman"/>
        </w:rPr>
        <w:t>(</w:t>
      </w:r>
      <w:proofErr w:type="spellStart"/>
      <w:r w:rsidR="00ED630D" w:rsidRPr="00A429AA">
        <w:rPr>
          <w:rFonts w:ascii="Times New Roman" w:eastAsia="Times New Roman" w:hAnsi="Times New Roman" w:cs="Times New Roman"/>
        </w:rPr>
        <w:t>Fitoussi</w:t>
      </w:r>
      <w:proofErr w:type="spellEnd"/>
      <w:r w:rsidR="00ED630D" w:rsidRPr="00A429AA">
        <w:rPr>
          <w:rFonts w:ascii="Times New Roman" w:eastAsia="Times New Roman" w:hAnsi="Times New Roman" w:cs="Times New Roman"/>
        </w:rPr>
        <w:t xml:space="preserve"> and </w:t>
      </w:r>
      <w:proofErr w:type="spellStart"/>
      <w:r w:rsidR="00ED630D" w:rsidRPr="00A429AA">
        <w:rPr>
          <w:rFonts w:ascii="Times New Roman" w:eastAsia="Times New Roman" w:hAnsi="Times New Roman" w:cs="Times New Roman"/>
        </w:rPr>
        <w:t>Saraceno</w:t>
      </w:r>
      <w:proofErr w:type="spellEnd"/>
      <w:r w:rsidR="00880A81" w:rsidRPr="00A429AA">
        <w:rPr>
          <w:rFonts w:ascii="Times New Roman" w:eastAsia="Times New Roman" w:hAnsi="Times New Roman" w:cs="Times New Roman"/>
        </w:rPr>
        <w:t xml:space="preserve"> 2010)</w:t>
      </w:r>
      <w:r w:rsidRPr="00A429AA">
        <w:rPr>
          <w:rFonts w:ascii="Times New Roman" w:eastAsia="Times New Roman" w:hAnsi="Times New Roman" w:cs="Times New Roman"/>
        </w:rPr>
        <w:t xml:space="preserve">. </w:t>
      </w:r>
    </w:p>
    <w:p w14:paraId="598CECC2" w14:textId="3A97B501" w:rsidR="00D413AB" w:rsidRDefault="00D413AB" w:rsidP="00D413AB">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The financial crisis also had an impact on banking institutions in the </w:t>
      </w:r>
      <w:r w:rsidR="00E44992" w:rsidRPr="00A429AA">
        <w:rPr>
          <w:rFonts w:ascii="Times New Roman" w:eastAsia="Times New Roman" w:hAnsi="Times New Roman" w:cs="Times New Roman"/>
        </w:rPr>
        <w:t>EU</w:t>
      </w:r>
      <w:r w:rsidRPr="00A429AA">
        <w:rPr>
          <w:rFonts w:ascii="Times New Roman" w:eastAsia="Times New Roman" w:hAnsi="Times New Roman" w:cs="Times New Roman"/>
        </w:rPr>
        <w:t xml:space="preserve"> especially on their profitability. Between 2007 and 2008, Return </w:t>
      </w:r>
      <w:proofErr w:type="gramStart"/>
      <w:r w:rsidRPr="00A429AA">
        <w:rPr>
          <w:rFonts w:ascii="Times New Roman" w:eastAsia="Times New Roman" w:hAnsi="Times New Roman" w:cs="Times New Roman"/>
        </w:rPr>
        <w:t>On</w:t>
      </w:r>
      <w:proofErr w:type="gramEnd"/>
      <w:r w:rsidRPr="00A429AA">
        <w:rPr>
          <w:rFonts w:ascii="Times New Roman" w:eastAsia="Times New Roman" w:hAnsi="Times New Roman" w:cs="Times New Roman"/>
        </w:rPr>
        <w:t xml:space="preserve"> Equity (ROE</w:t>
      </w:r>
      <w:r w:rsidR="00E44992" w:rsidRPr="00A429AA">
        <w:rPr>
          <w:rFonts w:ascii="Times New Roman" w:eastAsia="Times New Roman" w:hAnsi="Times New Roman" w:cs="Times New Roman"/>
        </w:rPr>
        <w:t>), which is a measurement of bank’s profitability,</w:t>
      </w:r>
      <w:r w:rsidRPr="00A429AA">
        <w:rPr>
          <w:rFonts w:ascii="Times New Roman" w:eastAsia="Times New Roman" w:hAnsi="Times New Roman" w:cs="Times New Roman"/>
        </w:rPr>
        <w:t xml:space="preserve"> fell by 7.3%</w:t>
      </w:r>
      <w:r w:rsidR="00386C6D" w:rsidRPr="00A429AA">
        <w:rPr>
          <w:rFonts w:ascii="Times New Roman" w:eastAsia="Times New Roman" w:hAnsi="Times New Roman" w:cs="Times New Roman"/>
        </w:rPr>
        <w:t xml:space="preserve"> in the average EU bank</w:t>
      </w:r>
      <w:r w:rsidRPr="00A429AA">
        <w:rPr>
          <w:rFonts w:ascii="Times New Roman" w:eastAsia="Times New Roman" w:hAnsi="Times New Roman" w:cs="Times New Roman"/>
        </w:rPr>
        <w:t xml:space="preserve">. A decrease </w:t>
      </w:r>
      <w:r w:rsidRPr="00A429AA">
        <w:rPr>
          <w:rFonts w:ascii="Times New Roman" w:eastAsia="Times New Roman" w:hAnsi="Times New Roman" w:cs="Times New Roman"/>
        </w:rPr>
        <w:lastRenderedPageBreak/>
        <w:t>in profitability was due to an increase in liquidity, capital and interest rate risks. More than 10% of banks in those countries disappeared due to bankruptcy or merged with other financial institutions</w:t>
      </w:r>
      <w:r w:rsidR="006C7413" w:rsidRPr="00A429AA">
        <w:rPr>
          <w:rFonts w:ascii="Times New Roman" w:eastAsia="Times New Roman" w:hAnsi="Times New Roman" w:cs="Times New Roman"/>
        </w:rPr>
        <w:t xml:space="preserve"> (</w:t>
      </w:r>
      <w:proofErr w:type="spellStart"/>
      <w:r w:rsidR="006C7413" w:rsidRPr="00A429AA">
        <w:rPr>
          <w:rFonts w:ascii="Times New Roman" w:eastAsia="Times New Roman" w:hAnsi="Times New Roman" w:cs="Times New Roman"/>
        </w:rPr>
        <w:t>Lindblom</w:t>
      </w:r>
      <w:proofErr w:type="spellEnd"/>
      <w:r w:rsidR="006C7413" w:rsidRPr="00A429AA">
        <w:rPr>
          <w:rFonts w:ascii="Times New Roman" w:eastAsia="Times New Roman" w:hAnsi="Times New Roman" w:cs="Times New Roman"/>
        </w:rPr>
        <w:t xml:space="preserve"> and</w:t>
      </w:r>
      <w:r w:rsidR="00323F8B" w:rsidRPr="00A429AA">
        <w:rPr>
          <w:rFonts w:ascii="Times New Roman" w:eastAsia="Times New Roman" w:hAnsi="Times New Roman" w:cs="Times New Roman"/>
        </w:rPr>
        <w:t xml:space="preserve"> </w:t>
      </w:r>
      <w:proofErr w:type="spellStart"/>
      <w:r w:rsidR="00323F8B" w:rsidRPr="00A429AA">
        <w:rPr>
          <w:rFonts w:ascii="Times New Roman" w:eastAsia="Times New Roman" w:hAnsi="Times New Roman" w:cs="Times New Roman"/>
        </w:rPr>
        <w:t>Willesson</w:t>
      </w:r>
      <w:proofErr w:type="spellEnd"/>
      <w:r w:rsidR="006C7413" w:rsidRPr="00A429AA">
        <w:rPr>
          <w:rFonts w:ascii="Times New Roman" w:eastAsia="Times New Roman" w:hAnsi="Times New Roman" w:cs="Times New Roman"/>
        </w:rPr>
        <w:t xml:space="preserve"> 2012)</w:t>
      </w:r>
      <w:r w:rsidRPr="00A429AA">
        <w:rPr>
          <w:rFonts w:ascii="Times New Roman" w:eastAsia="Times New Roman" w:hAnsi="Times New Roman" w:cs="Times New Roman"/>
        </w:rPr>
        <w:t xml:space="preserve">. </w:t>
      </w:r>
    </w:p>
    <w:p w14:paraId="233E8F72" w14:textId="17373289" w:rsidR="00D413AB" w:rsidRPr="00A429AA" w:rsidRDefault="00D65218" w:rsidP="00FD01E1">
      <w:pPr>
        <w:spacing w:line="360" w:lineRule="auto"/>
        <w:jc w:val="both"/>
        <w:rPr>
          <w:rFonts w:ascii="Times New Roman" w:eastAsia="Times New Roman" w:hAnsi="Times New Roman" w:cs="Times New Roman"/>
        </w:rPr>
      </w:pPr>
      <w:r>
        <w:rPr>
          <w:rFonts w:ascii="Times New Roman" w:eastAsia="Times New Roman" w:hAnsi="Times New Roman" w:cs="Times New Roman"/>
        </w:rPr>
        <w:t>Additionally, a</w:t>
      </w:r>
      <w:r w:rsidR="0070388A" w:rsidRPr="00A429AA">
        <w:rPr>
          <w:rFonts w:ascii="Times New Roman" w:eastAsia="Times New Roman" w:hAnsi="Times New Roman" w:cs="Times New Roman"/>
        </w:rPr>
        <w:t xml:space="preserve"> significant increase in non-performing loans as a percentage to the total gross loans </w:t>
      </w:r>
      <w:proofErr w:type="gramStart"/>
      <w:r w:rsidR="0070388A" w:rsidRPr="00A429AA">
        <w:rPr>
          <w:rFonts w:ascii="Times New Roman" w:eastAsia="Times New Roman" w:hAnsi="Times New Roman" w:cs="Times New Roman"/>
        </w:rPr>
        <w:t>was observed</w:t>
      </w:r>
      <w:proofErr w:type="gramEnd"/>
      <w:r w:rsidR="0070388A" w:rsidRPr="00A429AA">
        <w:rPr>
          <w:rFonts w:ascii="Times New Roman" w:eastAsia="Times New Roman" w:hAnsi="Times New Roman" w:cs="Times New Roman"/>
        </w:rPr>
        <w:t xml:space="preserve"> in 2008 and in the following years in the EU countries (Figure 2).</w:t>
      </w:r>
      <w:r w:rsidR="0070388A">
        <w:rPr>
          <w:rFonts w:ascii="Times New Roman" w:eastAsia="Times New Roman" w:hAnsi="Times New Roman" w:cs="Times New Roman"/>
        </w:rPr>
        <w:t xml:space="preserve"> T</w:t>
      </w:r>
      <w:r w:rsidR="00D413AB" w:rsidRPr="00A429AA">
        <w:rPr>
          <w:rFonts w:ascii="Times New Roman" w:eastAsia="Times New Roman" w:hAnsi="Times New Roman" w:cs="Times New Roman"/>
        </w:rPr>
        <w:t>he ratio of non-performing loans to total loans is usu</w:t>
      </w:r>
      <w:r w:rsidR="00C43023">
        <w:rPr>
          <w:rFonts w:ascii="Times New Roman" w:eastAsia="Times New Roman" w:hAnsi="Times New Roman" w:cs="Times New Roman"/>
        </w:rPr>
        <w:t>ally a sign of a banking crisis and a</w:t>
      </w:r>
      <w:r w:rsidR="00D413AB" w:rsidRPr="00A429AA">
        <w:rPr>
          <w:rFonts w:ascii="Times New Roman" w:eastAsia="Times New Roman" w:hAnsi="Times New Roman" w:cs="Times New Roman"/>
        </w:rPr>
        <w:t xml:space="preserve"> significant increase </w:t>
      </w:r>
      <w:proofErr w:type="gramStart"/>
      <w:r w:rsidR="00D413AB" w:rsidRPr="00A429AA">
        <w:rPr>
          <w:rFonts w:ascii="Times New Roman" w:eastAsia="Times New Roman" w:hAnsi="Times New Roman" w:cs="Times New Roman"/>
        </w:rPr>
        <w:t>in the amount of non-performing</w:t>
      </w:r>
      <w:proofErr w:type="gramEnd"/>
      <w:r w:rsidR="00D413AB" w:rsidRPr="00A429AA">
        <w:rPr>
          <w:rFonts w:ascii="Times New Roman" w:eastAsia="Times New Roman" w:hAnsi="Times New Roman" w:cs="Times New Roman"/>
        </w:rPr>
        <w:t xml:space="preserve"> loans can seriously jeopardise banks' profitability</w:t>
      </w:r>
      <w:r w:rsidR="00D413AB" w:rsidRPr="00A429AA">
        <w:rPr>
          <w:rFonts w:ascii="Times New Roman" w:eastAsia="Times New Roman" w:hAnsi="Times New Roman" w:cs="Times New Roman"/>
          <w:sz w:val="20"/>
          <w:szCs w:val="20"/>
        </w:rPr>
        <w:t xml:space="preserve"> </w:t>
      </w:r>
      <w:r w:rsidR="00D413AB" w:rsidRPr="00A429AA">
        <w:rPr>
          <w:rFonts w:ascii="Times New Roman" w:eastAsia="Times New Roman" w:hAnsi="Times New Roman" w:cs="Times New Roman"/>
        </w:rPr>
        <w:t>and financial sector performance.</w:t>
      </w:r>
      <w:r w:rsidR="003111DC" w:rsidRPr="00A429AA">
        <w:rPr>
          <w:rFonts w:ascii="Times New Roman" w:eastAsia="Times New Roman" w:hAnsi="Times New Roman" w:cs="Times New Roman"/>
        </w:rPr>
        <w:t xml:space="preserve"> </w:t>
      </w:r>
    </w:p>
    <w:p w14:paraId="7A0230ED" w14:textId="77777777" w:rsidR="00731C61" w:rsidRPr="00A429AA" w:rsidRDefault="00731C61" w:rsidP="003111DC">
      <w:pPr>
        <w:rPr>
          <w:rFonts w:ascii="Times New Roman" w:eastAsia="Times New Roman" w:hAnsi="Times New Roman" w:cs="Times New Roman"/>
          <w:b/>
          <w:sz w:val="22"/>
          <w:szCs w:val="22"/>
        </w:rPr>
      </w:pPr>
    </w:p>
    <w:p w14:paraId="411BE730" w14:textId="77777777" w:rsidR="00731C61" w:rsidRPr="00A429AA" w:rsidRDefault="00731C61" w:rsidP="003111DC">
      <w:pPr>
        <w:rPr>
          <w:rFonts w:ascii="Times New Roman" w:eastAsia="Times New Roman" w:hAnsi="Times New Roman" w:cs="Times New Roman"/>
          <w:b/>
          <w:sz w:val="22"/>
          <w:szCs w:val="22"/>
        </w:rPr>
      </w:pPr>
    </w:p>
    <w:p w14:paraId="0CF585CB" w14:textId="2DC738D6" w:rsidR="00D413AB" w:rsidRPr="00A429AA" w:rsidRDefault="00D413AB" w:rsidP="003111DC">
      <w:pPr>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t>F</w:t>
      </w:r>
      <w:r w:rsidR="00BA2562" w:rsidRPr="00A429AA">
        <w:rPr>
          <w:rFonts w:ascii="Times New Roman" w:eastAsia="Times New Roman" w:hAnsi="Times New Roman" w:cs="Times New Roman"/>
          <w:b/>
          <w:sz w:val="22"/>
          <w:szCs w:val="22"/>
        </w:rPr>
        <w:t>igure 2</w:t>
      </w:r>
      <w:r w:rsidRPr="00A429AA">
        <w:rPr>
          <w:rFonts w:ascii="Times New Roman" w:eastAsia="Times New Roman" w:hAnsi="Times New Roman" w:cs="Times New Roman"/>
          <w:b/>
          <w:sz w:val="22"/>
          <w:szCs w:val="22"/>
        </w:rPr>
        <w:t>. European Union non-performing loans to total gross loans in percentage</w:t>
      </w:r>
    </w:p>
    <w:p w14:paraId="7E6EAE72" w14:textId="77777777" w:rsidR="00267B40" w:rsidRPr="00A429AA" w:rsidRDefault="00267B40" w:rsidP="003111DC">
      <w:pPr>
        <w:rPr>
          <w:rFonts w:ascii="Times New Roman" w:eastAsia="Times New Roman" w:hAnsi="Times New Roman" w:cs="Times New Roman"/>
          <w:b/>
          <w:sz w:val="22"/>
          <w:szCs w:val="22"/>
        </w:rPr>
      </w:pPr>
    </w:p>
    <w:p w14:paraId="421A6189" w14:textId="179BCDE6" w:rsidR="00D413AB" w:rsidRPr="00A429AA" w:rsidRDefault="00737905" w:rsidP="00D413AB">
      <w:pPr>
        <w:rPr>
          <w:rFonts w:ascii="Times New Roman" w:eastAsia="Times New Roman" w:hAnsi="Times New Roman" w:cs="Times New Roman"/>
          <w:b/>
          <w:sz w:val="20"/>
          <w:szCs w:val="20"/>
        </w:rPr>
      </w:pPr>
      <w:r w:rsidRPr="00A429AA">
        <w:rPr>
          <w:noProof/>
          <w:lang w:eastAsia="en-GB"/>
        </w:rPr>
        <w:drawing>
          <wp:inline distT="0" distB="0" distL="0" distR="0" wp14:anchorId="4F36B902" wp14:editId="0A69EC66">
            <wp:extent cx="5270500" cy="2901825"/>
            <wp:effectExtent l="0" t="0" r="1270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1CA5BB" w14:textId="7D3805D1" w:rsidR="00D413AB" w:rsidRPr="00A429AA" w:rsidRDefault="00D413AB" w:rsidP="00151E44">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S</w:t>
      </w:r>
      <w:r w:rsidR="00B05E2D" w:rsidRPr="00A429AA">
        <w:rPr>
          <w:rFonts w:ascii="Times New Roman" w:eastAsia="Times New Roman" w:hAnsi="Times New Roman" w:cs="Times New Roman"/>
          <w:sz w:val="20"/>
          <w:szCs w:val="20"/>
        </w:rPr>
        <w:t>ource: Adapted from World Bank</w:t>
      </w:r>
    </w:p>
    <w:p w14:paraId="2B0EAC0F" w14:textId="77777777" w:rsidR="00D413AB" w:rsidRPr="00A429AA" w:rsidRDefault="00D413AB" w:rsidP="00D413AB">
      <w:pPr>
        <w:rPr>
          <w:rFonts w:ascii="Times New Roman" w:eastAsia="Times New Roman" w:hAnsi="Times New Roman" w:cs="Times New Roman"/>
          <w:b/>
          <w:sz w:val="20"/>
          <w:szCs w:val="20"/>
        </w:rPr>
      </w:pPr>
    </w:p>
    <w:p w14:paraId="6CEB8CF8" w14:textId="77777777" w:rsidR="00D413AB" w:rsidRPr="00A429AA" w:rsidRDefault="00D413AB" w:rsidP="00D413AB">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An increase of the ratio of non-performing loans to total loans was a symptom of declining capital in banking systems, which was due to an increase in the number in loan defaults. </w:t>
      </w:r>
    </w:p>
    <w:p w14:paraId="6500D116" w14:textId="3B662E03" w:rsidR="007D22BE" w:rsidRPr="00A429AA" w:rsidRDefault="00D413AB" w:rsidP="00D413AB">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In many previous banking crises, </w:t>
      </w:r>
      <w:r w:rsidRPr="00F322FD">
        <w:rPr>
          <w:rFonts w:ascii="Times New Roman" w:eastAsia="Times New Roman" w:hAnsi="Times New Roman" w:cs="Times New Roman"/>
        </w:rPr>
        <w:t>the cons</w:t>
      </w:r>
      <w:r w:rsidR="00F322FD" w:rsidRPr="00F322FD">
        <w:rPr>
          <w:rFonts w:ascii="Times New Roman" w:eastAsia="Times New Roman" w:hAnsi="Times New Roman" w:cs="Times New Roman"/>
        </w:rPr>
        <w:t>equence of the crisis was the</w:t>
      </w:r>
      <w:r w:rsidRPr="00F322FD">
        <w:rPr>
          <w:rFonts w:ascii="Times New Roman" w:eastAsia="Times New Roman" w:hAnsi="Times New Roman" w:cs="Times New Roman"/>
        </w:rPr>
        <w:t xml:space="preserve"> government</w:t>
      </w:r>
      <w:r w:rsidRPr="00A429AA">
        <w:rPr>
          <w:rFonts w:ascii="Times New Roman" w:eastAsia="Times New Roman" w:hAnsi="Times New Roman" w:cs="Times New Roman"/>
        </w:rPr>
        <w:t xml:space="preserve"> intervention in banking sectors. The crisis of 2007-2008 brought write-down of assets due to lower credit ratings and losses on banks’ portfolios because of a slowing down economy and in some cases </w:t>
      </w:r>
      <w:r w:rsidR="00A7531E">
        <w:rPr>
          <w:rFonts w:ascii="Times New Roman" w:eastAsia="Times New Roman" w:hAnsi="Times New Roman" w:cs="Times New Roman"/>
        </w:rPr>
        <w:t>‘</w:t>
      </w:r>
      <w:r w:rsidRPr="00A429AA">
        <w:rPr>
          <w:rFonts w:ascii="Times New Roman" w:eastAsia="Times New Roman" w:hAnsi="Times New Roman" w:cs="Times New Roman"/>
        </w:rPr>
        <w:t>toxic</w:t>
      </w:r>
      <w:r w:rsidR="00A7531E">
        <w:rPr>
          <w:rFonts w:ascii="Times New Roman" w:eastAsia="Times New Roman" w:hAnsi="Times New Roman" w:cs="Times New Roman"/>
        </w:rPr>
        <w:t>’</w:t>
      </w:r>
      <w:r w:rsidRPr="00A429AA">
        <w:rPr>
          <w:rFonts w:ascii="Times New Roman" w:eastAsia="Times New Roman" w:hAnsi="Times New Roman" w:cs="Times New Roman"/>
        </w:rPr>
        <w:t xml:space="preserve"> financial instruments held in portfolios. This negatively affected </w:t>
      </w:r>
      <w:proofErr w:type="gramStart"/>
      <w:r w:rsidRPr="00A429AA">
        <w:rPr>
          <w:rFonts w:ascii="Times New Roman" w:eastAsia="Times New Roman" w:hAnsi="Times New Roman" w:cs="Times New Roman"/>
        </w:rPr>
        <w:t>bank’s</w:t>
      </w:r>
      <w:proofErr w:type="gramEnd"/>
      <w:r w:rsidRPr="00A429AA">
        <w:rPr>
          <w:rFonts w:ascii="Times New Roman" w:eastAsia="Times New Roman" w:hAnsi="Times New Roman" w:cs="Times New Roman"/>
        </w:rPr>
        <w:t xml:space="preserve"> capital and led to liquidity and solvency problems of many banks. As this became a more systematic and serious problem of financial system in many countries, European go</w:t>
      </w:r>
      <w:r w:rsidR="00DB24CC" w:rsidRPr="00A429AA">
        <w:rPr>
          <w:rFonts w:ascii="Times New Roman" w:eastAsia="Times New Roman" w:hAnsi="Times New Roman" w:cs="Times New Roman"/>
        </w:rPr>
        <w:t xml:space="preserve">vernments decided to intervene. </w:t>
      </w:r>
      <w:r w:rsidRPr="00A429AA">
        <w:rPr>
          <w:rFonts w:ascii="Times New Roman" w:eastAsia="Times New Roman" w:hAnsi="Times New Roman" w:cs="Times New Roman"/>
        </w:rPr>
        <w:t xml:space="preserve">Government interventions included capital injections, relief on impaired assets, liquidity and bank </w:t>
      </w:r>
      <w:r w:rsidRPr="00A429AA">
        <w:rPr>
          <w:rFonts w:ascii="Times New Roman" w:eastAsia="Times New Roman" w:hAnsi="Times New Roman" w:cs="Times New Roman"/>
        </w:rPr>
        <w:lastRenderedPageBreak/>
        <w:t xml:space="preserve">funding support and guarantee on bank liabilities. </w:t>
      </w:r>
      <w:r w:rsidR="00DB24CC" w:rsidRPr="00A429AA">
        <w:rPr>
          <w:rFonts w:ascii="Times New Roman" w:eastAsia="Times New Roman" w:hAnsi="Times New Roman" w:cs="Times New Roman"/>
        </w:rPr>
        <w:t>T</w:t>
      </w:r>
      <w:r w:rsidRPr="00A429AA">
        <w:rPr>
          <w:rFonts w:ascii="Times New Roman" w:eastAsia="Times New Roman" w:hAnsi="Times New Roman" w:cs="Times New Roman"/>
        </w:rPr>
        <w:t>he government support was a significant part of GDP especially in Belgium, the UK and the Netherlands</w:t>
      </w:r>
      <w:r w:rsidR="00DB24CC" w:rsidRPr="00A429AA">
        <w:rPr>
          <w:rFonts w:ascii="Times New Roman" w:eastAsia="Times New Roman" w:hAnsi="Times New Roman" w:cs="Times New Roman"/>
        </w:rPr>
        <w:t xml:space="preserve"> (</w:t>
      </w:r>
      <w:r w:rsidR="003111DC" w:rsidRPr="00A429AA">
        <w:rPr>
          <w:rFonts w:ascii="Times New Roman" w:eastAsia="Times New Roman" w:hAnsi="Times New Roman" w:cs="Times New Roman"/>
        </w:rPr>
        <w:t>Figure 3</w:t>
      </w:r>
      <w:r w:rsidR="00DB24CC" w:rsidRPr="00A429AA">
        <w:rPr>
          <w:rFonts w:ascii="Times New Roman" w:eastAsia="Times New Roman" w:hAnsi="Times New Roman" w:cs="Times New Roman"/>
        </w:rPr>
        <w:t>).</w:t>
      </w:r>
      <w:r w:rsidRPr="00A429AA">
        <w:rPr>
          <w:rFonts w:ascii="Times New Roman" w:eastAsia="Times New Roman" w:hAnsi="Times New Roman" w:cs="Times New Roman"/>
        </w:rPr>
        <w:t xml:space="preserve"> </w:t>
      </w:r>
    </w:p>
    <w:p w14:paraId="707FBF76" w14:textId="77777777" w:rsidR="003111DC" w:rsidRPr="00A429AA" w:rsidRDefault="003111DC" w:rsidP="00D413AB">
      <w:pPr>
        <w:spacing w:line="360" w:lineRule="auto"/>
        <w:jc w:val="both"/>
        <w:rPr>
          <w:rFonts w:ascii="Times New Roman" w:eastAsia="Times New Roman" w:hAnsi="Times New Roman" w:cs="Times New Roman"/>
        </w:rPr>
      </w:pPr>
    </w:p>
    <w:p w14:paraId="253EF833" w14:textId="70A9B8DD" w:rsidR="007D22BE" w:rsidRPr="00A429AA" w:rsidRDefault="003111DC" w:rsidP="00A7531E">
      <w:pPr>
        <w:jc w:val="both"/>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t>Figure 3</w:t>
      </w:r>
      <w:r w:rsidR="007D22BE" w:rsidRPr="00A429AA">
        <w:rPr>
          <w:rFonts w:ascii="Times New Roman" w:eastAsia="Times New Roman" w:hAnsi="Times New Roman" w:cs="Times New Roman"/>
          <w:b/>
          <w:sz w:val="22"/>
          <w:szCs w:val="22"/>
        </w:rPr>
        <w:t xml:space="preserve">. </w:t>
      </w:r>
      <w:r w:rsidR="007D22BE" w:rsidRPr="00352F3A">
        <w:rPr>
          <w:rFonts w:ascii="Times New Roman" w:eastAsia="Times New Roman" w:hAnsi="Times New Roman" w:cs="Times New Roman"/>
          <w:b/>
          <w:sz w:val="22"/>
          <w:szCs w:val="22"/>
        </w:rPr>
        <w:t xml:space="preserve">Public interventions in the banking sector (effective) during financial crisis until 2009 as </w:t>
      </w:r>
      <w:proofErr w:type="gramStart"/>
      <w:r w:rsidR="007D22BE" w:rsidRPr="00352F3A">
        <w:rPr>
          <w:rFonts w:ascii="Times New Roman" w:eastAsia="Times New Roman" w:hAnsi="Times New Roman" w:cs="Times New Roman"/>
          <w:b/>
          <w:sz w:val="22"/>
          <w:szCs w:val="22"/>
        </w:rPr>
        <w:t>%</w:t>
      </w:r>
      <w:proofErr w:type="gramEnd"/>
      <w:r w:rsidR="007D22BE" w:rsidRPr="00352F3A">
        <w:rPr>
          <w:rFonts w:ascii="Times New Roman" w:eastAsia="Times New Roman" w:hAnsi="Times New Roman" w:cs="Times New Roman"/>
          <w:b/>
          <w:sz w:val="22"/>
          <w:szCs w:val="22"/>
        </w:rPr>
        <w:t xml:space="preserve"> of GDP</w:t>
      </w:r>
    </w:p>
    <w:p w14:paraId="1DE5290A" w14:textId="77777777" w:rsidR="003111DC" w:rsidRPr="00A429AA" w:rsidRDefault="007D22BE" w:rsidP="003111DC">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noProof/>
          <w:lang w:eastAsia="en-GB"/>
        </w:rPr>
        <w:drawing>
          <wp:inline distT="0" distB="0" distL="0" distR="0" wp14:anchorId="4051D453" wp14:editId="0DB15DF8">
            <wp:extent cx="5254283" cy="3164181"/>
            <wp:effectExtent l="0" t="0" r="3810"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intervention.pdf"/>
                    <pic:cNvPicPr/>
                  </pic:nvPicPr>
                  <pic:blipFill>
                    <a:blip r:embed="rId12">
                      <a:extLst>
                        <a:ext uri="{28A0092B-C50C-407E-A947-70E740481C1C}">
                          <a14:useLocalDpi xmlns:a14="http://schemas.microsoft.com/office/drawing/2010/main" val="0"/>
                        </a:ext>
                      </a:extLst>
                    </a:blip>
                    <a:stretch>
                      <a:fillRect/>
                    </a:stretch>
                  </pic:blipFill>
                  <pic:spPr>
                    <a:xfrm>
                      <a:off x="0" y="0"/>
                      <a:ext cx="5256032" cy="3165234"/>
                    </a:xfrm>
                    <a:prstGeom prst="rect">
                      <a:avLst/>
                    </a:prstGeom>
                  </pic:spPr>
                </pic:pic>
              </a:graphicData>
            </a:graphic>
          </wp:inline>
        </w:drawing>
      </w:r>
    </w:p>
    <w:p w14:paraId="5DA2B4A3" w14:textId="5DCFD9E2" w:rsidR="005233A3" w:rsidRPr="00A429AA" w:rsidRDefault="007D22BE" w:rsidP="005233A3">
      <w:pPr>
        <w:rPr>
          <w:rFonts w:ascii="Times New Roman" w:eastAsia="Times New Roman" w:hAnsi="Times New Roman" w:cs="Times New Roman"/>
          <w:sz w:val="22"/>
          <w:szCs w:val="22"/>
        </w:rPr>
      </w:pPr>
      <w:r w:rsidRPr="00A429AA">
        <w:rPr>
          <w:rFonts w:ascii="Times New Roman" w:eastAsia="Times New Roman" w:hAnsi="Times New Roman" w:cs="Times New Roman"/>
          <w:sz w:val="20"/>
          <w:szCs w:val="20"/>
        </w:rPr>
        <w:t>Source: Adapted from</w:t>
      </w:r>
      <w:r w:rsidR="005233A3" w:rsidRPr="00A429AA">
        <w:rPr>
          <w:rFonts w:ascii="Times New Roman" w:eastAsia="Times New Roman" w:hAnsi="Times New Roman" w:cs="Times New Roman"/>
          <w:sz w:val="20"/>
          <w:szCs w:val="20"/>
        </w:rPr>
        <w:t xml:space="preserve"> </w:t>
      </w:r>
      <w:r w:rsidR="00844785" w:rsidRPr="00A429AA">
        <w:rPr>
          <w:rFonts w:ascii="Times New Roman" w:eastAsia="Times New Roman" w:hAnsi="Times New Roman" w:cs="Times New Roman"/>
          <w:sz w:val="22"/>
          <w:szCs w:val="22"/>
        </w:rPr>
        <w:t>European Commission</w:t>
      </w:r>
      <w:r w:rsidR="005233A3" w:rsidRPr="00A429AA">
        <w:rPr>
          <w:rFonts w:ascii="Times New Roman" w:eastAsia="Times New Roman" w:hAnsi="Times New Roman" w:cs="Times New Roman"/>
          <w:sz w:val="22"/>
          <w:szCs w:val="22"/>
        </w:rPr>
        <w:t xml:space="preserve"> </w:t>
      </w:r>
      <w:r w:rsidR="00844785" w:rsidRPr="00A429AA">
        <w:rPr>
          <w:rFonts w:ascii="Times New Roman" w:eastAsia="Times New Roman" w:hAnsi="Times New Roman" w:cs="Times New Roman"/>
          <w:sz w:val="22"/>
          <w:szCs w:val="22"/>
        </w:rPr>
        <w:t>(</w:t>
      </w:r>
      <w:r w:rsidR="005233A3" w:rsidRPr="00A429AA">
        <w:rPr>
          <w:rFonts w:ascii="Times New Roman" w:eastAsia="Times New Roman" w:hAnsi="Times New Roman" w:cs="Times New Roman"/>
          <w:sz w:val="22"/>
          <w:szCs w:val="22"/>
        </w:rPr>
        <w:t>2009</w:t>
      </w:r>
      <w:r w:rsidR="00844785" w:rsidRPr="00A429AA">
        <w:rPr>
          <w:rFonts w:ascii="Times New Roman" w:eastAsia="Times New Roman" w:hAnsi="Times New Roman" w:cs="Times New Roman"/>
          <w:sz w:val="22"/>
          <w:szCs w:val="22"/>
        </w:rPr>
        <w:t>)</w:t>
      </w:r>
    </w:p>
    <w:p w14:paraId="3DFD7A83" w14:textId="16BC94FA" w:rsidR="007D22BE" w:rsidRPr="00A429AA" w:rsidRDefault="005233A3" w:rsidP="003111DC">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sz w:val="20"/>
          <w:szCs w:val="20"/>
        </w:rPr>
        <w:t xml:space="preserve"> </w:t>
      </w:r>
    </w:p>
    <w:p w14:paraId="0119C349" w14:textId="6BCB0BFA" w:rsidR="00F14DF7" w:rsidRDefault="00D413AB" w:rsidP="00844785">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Although no intervention was effective in Italy, approved capital injection into the Italian sector accounted for 1.3% of GDP in 2009</w:t>
      </w:r>
      <w:r w:rsidR="00844785" w:rsidRPr="00A429AA">
        <w:rPr>
          <w:rFonts w:ascii="Times New Roman" w:eastAsia="Times New Roman" w:hAnsi="Times New Roman" w:cs="Times New Roman"/>
        </w:rPr>
        <w:t xml:space="preserve"> (</w:t>
      </w:r>
      <w:r w:rsidR="00323F8B" w:rsidRPr="00A429AA">
        <w:rPr>
          <w:rFonts w:ascii="Times New Roman" w:eastAsia="Times New Roman" w:hAnsi="Times New Roman" w:cs="Times New Roman"/>
        </w:rPr>
        <w:t>European Commission</w:t>
      </w:r>
      <w:r w:rsidR="00844785" w:rsidRPr="00A429AA">
        <w:rPr>
          <w:rFonts w:ascii="Times New Roman" w:eastAsia="Times New Roman" w:hAnsi="Times New Roman" w:cs="Times New Roman"/>
        </w:rPr>
        <w:t xml:space="preserve"> 2009)</w:t>
      </w:r>
      <w:r w:rsidRPr="00A429AA">
        <w:rPr>
          <w:rFonts w:ascii="Times New Roman" w:eastAsia="Times New Roman" w:hAnsi="Times New Roman" w:cs="Times New Roman"/>
        </w:rPr>
        <w:t>. In European countries, government policy aimed to increase liquidity and prevention of solvency problems in financial sectors by provision of capital injections and impaired asset relief and restore trust in financial institutions by providing guarantees on bank liabilities. Through bailouts, some financial institutions were nationalised like German bank Hypo Real Estate or partially nationalised like</w:t>
      </w:r>
      <w:r w:rsidR="00EE42C0" w:rsidRPr="00A429AA">
        <w:rPr>
          <w:rFonts w:ascii="Times New Roman" w:eastAsia="Times New Roman" w:hAnsi="Times New Roman" w:cs="Times New Roman"/>
        </w:rPr>
        <w:t xml:space="preserve"> Royal Bank of Scotland (RBS)</w:t>
      </w:r>
      <w:r w:rsidRPr="00A429AA">
        <w:rPr>
          <w:rFonts w:ascii="Times New Roman" w:eastAsia="Times New Roman" w:hAnsi="Times New Roman" w:cs="Times New Roman"/>
        </w:rPr>
        <w:t xml:space="preserve"> and many others received capital injections or government guaran</w:t>
      </w:r>
      <w:r w:rsidR="007D22BE" w:rsidRPr="00A429AA">
        <w:rPr>
          <w:rFonts w:ascii="Times New Roman" w:eastAsia="Times New Roman" w:hAnsi="Times New Roman" w:cs="Times New Roman"/>
        </w:rPr>
        <w:t>tees for their assets and debt. T</w:t>
      </w:r>
      <w:r w:rsidRPr="00A429AA">
        <w:rPr>
          <w:rFonts w:ascii="Times New Roman" w:eastAsia="Times New Roman" w:hAnsi="Times New Roman" w:cs="Times New Roman"/>
        </w:rPr>
        <w:t xml:space="preserve">he number of important financial institutions that received financial support from the government was significant </w:t>
      </w:r>
      <w:r w:rsidR="007D22BE" w:rsidRPr="00A429AA">
        <w:rPr>
          <w:rFonts w:ascii="Times New Roman" w:eastAsia="Times New Roman" w:hAnsi="Times New Roman" w:cs="Times New Roman"/>
        </w:rPr>
        <w:t>(Table 2)</w:t>
      </w:r>
      <w:r w:rsidRPr="00A429AA">
        <w:rPr>
          <w:rFonts w:ascii="Times New Roman" w:eastAsia="Times New Roman" w:hAnsi="Times New Roman" w:cs="Times New Roman"/>
        </w:rPr>
        <w:t xml:space="preserve">. </w:t>
      </w:r>
    </w:p>
    <w:p w14:paraId="686E9D93" w14:textId="77777777" w:rsidR="00A7531E" w:rsidRDefault="00A7531E" w:rsidP="00844785">
      <w:pPr>
        <w:spacing w:line="360" w:lineRule="auto"/>
        <w:jc w:val="both"/>
        <w:rPr>
          <w:rFonts w:ascii="Times New Roman" w:eastAsia="Times New Roman" w:hAnsi="Times New Roman" w:cs="Times New Roman"/>
        </w:rPr>
      </w:pPr>
    </w:p>
    <w:p w14:paraId="76A0103A" w14:textId="77777777" w:rsidR="00A7531E" w:rsidRDefault="00A7531E" w:rsidP="00844785">
      <w:pPr>
        <w:spacing w:line="360" w:lineRule="auto"/>
        <w:jc w:val="both"/>
        <w:rPr>
          <w:rFonts w:ascii="Times New Roman" w:eastAsia="Times New Roman" w:hAnsi="Times New Roman" w:cs="Times New Roman"/>
        </w:rPr>
      </w:pPr>
    </w:p>
    <w:p w14:paraId="759B7CA0" w14:textId="77777777" w:rsidR="00A7531E" w:rsidRDefault="00A7531E" w:rsidP="00844785">
      <w:pPr>
        <w:spacing w:line="360" w:lineRule="auto"/>
        <w:jc w:val="both"/>
        <w:rPr>
          <w:rFonts w:ascii="Times New Roman" w:eastAsia="Times New Roman" w:hAnsi="Times New Roman" w:cs="Times New Roman"/>
        </w:rPr>
      </w:pPr>
    </w:p>
    <w:p w14:paraId="6908F431" w14:textId="77777777" w:rsidR="00A7531E" w:rsidRPr="00A429AA" w:rsidRDefault="00A7531E" w:rsidP="00844785">
      <w:pPr>
        <w:spacing w:line="360" w:lineRule="auto"/>
        <w:jc w:val="both"/>
        <w:rPr>
          <w:rFonts w:ascii="Times New Roman" w:eastAsia="Times New Roman" w:hAnsi="Times New Roman" w:cs="Times New Roman"/>
        </w:rPr>
      </w:pPr>
    </w:p>
    <w:p w14:paraId="37EF8AEB" w14:textId="77777777" w:rsidR="00D413AB" w:rsidRPr="00A429AA" w:rsidRDefault="00D413AB" w:rsidP="00D413AB">
      <w:pPr>
        <w:rPr>
          <w:rFonts w:ascii="Times New Roman" w:hAnsi="Times New Roman" w:cs="Times New Roman"/>
          <w:b/>
          <w:sz w:val="20"/>
          <w:szCs w:val="20"/>
        </w:rPr>
      </w:pPr>
    </w:p>
    <w:p w14:paraId="4B02124E" w14:textId="61420059" w:rsidR="00D413AB" w:rsidRPr="00A429AA" w:rsidRDefault="00D413AB" w:rsidP="00A7531E">
      <w:pPr>
        <w:jc w:val="both"/>
        <w:rPr>
          <w:rFonts w:ascii="Times New Roman" w:eastAsia="Times New Roman" w:hAnsi="Times New Roman" w:cs="Times New Roman"/>
          <w:b/>
          <w:sz w:val="22"/>
          <w:szCs w:val="22"/>
        </w:rPr>
      </w:pPr>
      <w:r w:rsidRPr="00A429AA">
        <w:rPr>
          <w:rFonts w:ascii="Times New Roman" w:hAnsi="Times New Roman" w:cs="Times New Roman"/>
          <w:b/>
          <w:sz w:val="22"/>
          <w:szCs w:val="22"/>
        </w:rPr>
        <w:lastRenderedPageBreak/>
        <w:t xml:space="preserve">Table 2. </w:t>
      </w:r>
      <w:r w:rsidRPr="00A429AA">
        <w:rPr>
          <w:rFonts w:ascii="Times New Roman" w:eastAsia="Times New Roman" w:hAnsi="Times New Roman" w:cs="Times New Roman"/>
          <w:b/>
          <w:sz w:val="22"/>
          <w:szCs w:val="22"/>
        </w:rPr>
        <w:t>Financial institutions that received government support during the financial crisis</w:t>
      </w:r>
    </w:p>
    <w:tbl>
      <w:tblPr>
        <w:tblStyle w:val="LightList1"/>
        <w:tblW w:w="0" w:type="auto"/>
        <w:tblInd w:w="108" w:type="dxa"/>
        <w:tblLook w:val="04A0" w:firstRow="1" w:lastRow="0" w:firstColumn="1" w:lastColumn="0" w:noHBand="0" w:noVBand="1"/>
      </w:tblPr>
      <w:tblGrid>
        <w:gridCol w:w="3297"/>
        <w:gridCol w:w="4875"/>
      </w:tblGrid>
      <w:tr w:rsidR="00D413AB" w:rsidRPr="00A429AA" w14:paraId="1DE8BA51" w14:textId="77777777" w:rsidTr="0015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9850F4E" w14:textId="77777777" w:rsidR="00D413AB" w:rsidRPr="00A429AA" w:rsidRDefault="00D413AB" w:rsidP="00151E44">
            <w:pPr>
              <w:jc w:val="center"/>
              <w:rPr>
                <w:rFonts w:ascii="Times New Roman" w:eastAsia="Times New Roman" w:hAnsi="Times New Roman"/>
                <w:color w:val="auto"/>
                <w:sz w:val="20"/>
                <w:szCs w:val="20"/>
              </w:rPr>
            </w:pPr>
            <w:r w:rsidRPr="00A429AA">
              <w:rPr>
                <w:rFonts w:ascii="Times New Roman" w:hAnsi="Times New Roman"/>
                <w:color w:val="auto"/>
                <w:sz w:val="20"/>
                <w:szCs w:val="20"/>
              </w:rPr>
              <w:t>Country</w:t>
            </w:r>
          </w:p>
        </w:tc>
        <w:tc>
          <w:tcPr>
            <w:tcW w:w="4995" w:type="dxa"/>
          </w:tcPr>
          <w:p w14:paraId="70A8FC6C" w14:textId="49CB2547" w:rsidR="00D413AB" w:rsidRPr="00A429AA" w:rsidRDefault="00D413AB" w:rsidP="002435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A429AA">
              <w:rPr>
                <w:rFonts w:ascii="Times New Roman" w:hAnsi="Times New Roman"/>
                <w:color w:val="auto"/>
                <w:sz w:val="20"/>
                <w:szCs w:val="20"/>
              </w:rPr>
              <w:t>Bank</w:t>
            </w:r>
            <w:r w:rsidR="00151E44" w:rsidRPr="00A429AA">
              <w:rPr>
                <w:rFonts w:ascii="Times New Roman" w:hAnsi="Times New Roman"/>
                <w:color w:val="auto"/>
                <w:sz w:val="20"/>
                <w:szCs w:val="20"/>
              </w:rPr>
              <w:t xml:space="preserve">  Name</w:t>
            </w:r>
          </w:p>
        </w:tc>
      </w:tr>
      <w:tr w:rsidR="00D413AB" w:rsidRPr="00A429AA" w14:paraId="61F6DB9E" w14:textId="77777777" w:rsidTr="0015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6613374" w14:textId="77777777" w:rsidR="00D413AB" w:rsidRPr="00A429AA" w:rsidRDefault="00D413AB" w:rsidP="00151E44">
            <w:pPr>
              <w:rPr>
                <w:rFonts w:ascii="Times New Roman" w:hAnsi="Times New Roman"/>
                <w:sz w:val="20"/>
                <w:szCs w:val="20"/>
              </w:rPr>
            </w:pPr>
            <w:r w:rsidRPr="00A429AA">
              <w:rPr>
                <w:rFonts w:ascii="Times New Roman" w:hAnsi="Times New Roman"/>
                <w:sz w:val="20"/>
                <w:szCs w:val="20"/>
              </w:rPr>
              <w:t>United Kingdom</w:t>
            </w:r>
          </w:p>
        </w:tc>
        <w:tc>
          <w:tcPr>
            <w:tcW w:w="4995" w:type="dxa"/>
          </w:tcPr>
          <w:p w14:paraId="1AD113F2" w14:textId="6B4583F9" w:rsidR="00D413AB" w:rsidRPr="00A429AA" w:rsidRDefault="00D413AB" w:rsidP="002435E4">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A429AA">
              <w:rPr>
                <w:rFonts w:ascii="Times New Roman" w:hAnsi="Times New Roman"/>
                <w:sz w:val="20"/>
                <w:szCs w:val="20"/>
              </w:rPr>
              <w:t>Loyds</w:t>
            </w:r>
            <w:proofErr w:type="spellEnd"/>
            <w:r w:rsidR="00151E44" w:rsidRPr="00A429AA">
              <w:rPr>
                <w:rFonts w:ascii="Times New Roman" w:hAnsi="Times New Roman"/>
                <w:sz w:val="20"/>
                <w:szCs w:val="20"/>
              </w:rPr>
              <w:t xml:space="preserve">, </w:t>
            </w:r>
            <w:r w:rsidRPr="00A429AA">
              <w:rPr>
                <w:rFonts w:ascii="Times New Roman" w:hAnsi="Times New Roman"/>
                <w:sz w:val="20"/>
                <w:szCs w:val="20"/>
              </w:rPr>
              <w:t>RBS</w:t>
            </w:r>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Bradford &amp; Bingley</w:t>
            </w:r>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Northern Rock</w:t>
            </w:r>
          </w:p>
        </w:tc>
      </w:tr>
      <w:tr w:rsidR="00D413AB" w:rsidRPr="00A429AA" w14:paraId="3CE86AB6" w14:textId="77777777" w:rsidTr="00151E44">
        <w:tc>
          <w:tcPr>
            <w:cnfStyle w:val="001000000000" w:firstRow="0" w:lastRow="0" w:firstColumn="1" w:lastColumn="0" w:oddVBand="0" w:evenVBand="0" w:oddHBand="0" w:evenHBand="0" w:firstRowFirstColumn="0" w:firstRowLastColumn="0" w:lastRowFirstColumn="0" w:lastRowLastColumn="0"/>
            <w:tcW w:w="3369" w:type="dxa"/>
          </w:tcPr>
          <w:p w14:paraId="20221C0E" w14:textId="77777777" w:rsidR="00D413AB" w:rsidRPr="00A429AA" w:rsidRDefault="00D413AB" w:rsidP="00151E44">
            <w:pPr>
              <w:rPr>
                <w:rFonts w:ascii="Times New Roman" w:hAnsi="Times New Roman"/>
                <w:sz w:val="20"/>
                <w:szCs w:val="20"/>
              </w:rPr>
            </w:pPr>
            <w:r w:rsidRPr="00A429AA">
              <w:rPr>
                <w:rFonts w:ascii="Times New Roman" w:hAnsi="Times New Roman"/>
                <w:sz w:val="20"/>
                <w:szCs w:val="20"/>
              </w:rPr>
              <w:t>Germany</w:t>
            </w:r>
          </w:p>
        </w:tc>
        <w:tc>
          <w:tcPr>
            <w:tcW w:w="4995" w:type="dxa"/>
          </w:tcPr>
          <w:p w14:paraId="43EB8209" w14:textId="3C81112D" w:rsidR="00D413AB" w:rsidRPr="00A429AA" w:rsidRDefault="00D413AB" w:rsidP="002435E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29AA">
              <w:rPr>
                <w:rFonts w:ascii="Times New Roman" w:hAnsi="Times New Roman"/>
                <w:sz w:val="20"/>
                <w:szCs w:val="20"/>
              </w:rPr>
              <w:t>Commerzbank/ Dresdner</w:t>
            </w:r>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 xml:space="preserve">HSH </w:t>
            </w:r>
            <w:proofErr w:type="spellStart"/>
            <w:r w:rsidRPr="00A429AA">
              <w:rPr>
                <w:rFonts w:ascii="Times New Roman" w:hAnsi="Times New Roman"/>
                <w:sz w:val="20"/>
                <w:szCs w:val="20"/>
              </w:rPr>
              <w:t>Nordbank</w:t>
            </w:r>
            <w:proofErr w:type="spellEnd"/>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Bayer LB</w:t>
            </w:r>
            <w:r w:rsidR="00151E44" w:rsidRPr="00A429AA">
              <w:rPr>
                <w:rFonts w:ascii="Times New Roman" w:hAnsi="Times New Roman"/>
                <w:sz w:val="20"/>
                <w:szCs w:val="20"/>
              </w:rPr>
              <w:t xml:space="preserve">, Hypo Real Estate, </w:t>
            </w:r>
            <w:r w:rsidRPr="00A429AA">
              <w:rPr>
                <w:rFonts w:ascii="Times New Roman" w:hAnsi="Times New Roman"/>
                <w:sz w:val="20"/>
                <w:szCs w:val="20"/>
              </w:rPr>
              <w:t>IKB</w:t>
            </w:r>
          </w:p>
        </w:tc>
      </w:tr>
      <w:tr w:rsidR="00D413AB" w:rsidRPr="00A429AA" w14:paraId="587B668F" w14:textId="77777777" w:rsidTr="0015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B60BABF" w14:textId="77777777" w:rsidR="00D413AB" w:rsidRPr="00A429AA" w:rsidRDefault="00D413AB" w:rsidP="00151E44">
            <w:pPr>
              <w:rPr>
                <w:rFonts w:ascii="Times New Roman" w:hAnsi="Times New Roman"/>
                <w:sz w:val="20"/>
                <w:szCs w:val="20"/>
              </w:rPr>
            </w:pPr>
            <w:r w:rsidRPr="00A429AA">
              <w:rPr>
                <w:rFonts w:ascii="Times New Roman" w:hAnsi="Times New Roman"/>
                <w:sz w:val="20"/>
                <w:szCs w:val="20"/>
              </w:rPr>
              <w:t>France</w:t>
            </w:r>
          </w:p>
        </w:tc>
        <w:tc>
          <w:tcPr>
            <w:tcW w:w="4995" w:type="dxa"/>
          </w:tcPr>
          <w:p w14:paraId="6B348266" w14:textId="53D0B22B" w:rsidR="00D413AB" w:rsidRPr="00A429AA" w:rsidRDefault="00D413AB" w:rsidP="002435E4">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A429AA">
              <w:rPr>
                <w:rFonts w:ascii="Times New Roman" w:hAnsi="Times New Roman"/>
                <w:sz w:val="20"/>
                <w:szCs w:val="20"/>
              </w:rPr>
              <w:t>Banques</w:t>
            </w:r>
            <w:proofErr w:type="spellEnd"/>
            <w:r w:rsidRPr="00A429AA">
              <w:rPr>
                <w:rFonts w:ascii="Times New Roman" w:hAnsi="Times New Roman"/>
                <w:sz w:val="20"/>
                <w:szCs w:val="20"/>
              </w:rPr>
              <w:t xml:space="preserve"> </w:t>
            </w:r>
            <w:proofErr w:type="spellStart"/>
            <w:r w:rsidRPr="00A429AA">
              <w:rPr>
                <w:rFonts w:ascii="Times New Roman" w:hAnsi="Times New Roman"/>
                <w:sz w:val="20"/>
                <w:szCs w:val="20"/>
              </w:rPr>
              <w:t>Populairs</w:t>
            </w:r>
            <w:proofErr w:type="spellEnd"/>
            <w:r w:rsidR="00151E44" w:rsidRPr="00A429AA">
              <w:rPr>
                <w:rFonts w:ascii="Times New Roman" w:hAnsi="Times New Roman"/>
                <w:sz w:val="20"/>
                <w:szCs w:val="20"/>
              </w:rPr>
              <w:t>,</w:t>
            </w:r>
            <w:r w:rsidR="00A7531E">
              <w:rPr>
                <w:rFonts w:ascii="Times New Roman" w:hAnsi="Times New Roman"/>
                <w:sz w:val="20"/>
                <w:szCs w:val="20"/>
              </w:rPr>
              <w:t xml:space="preserve"> </w:t>
            </w:r>
            <w:proofErr w:type="spellStart"/>
            <w:r w:rsidRPr="00A429AA">
              <w:rPr>
                <w:rFonts w:ascii="Times New Roman" w:hAnsi="Times New Roman"/>
                <w:sz w:val="20"/>
                <w:szCs w:val="20"/>
              </w:rPr>
              <w:t>Caisse</w:t>
            </w:r>
            <w:proofErr w:type="spellEnd"/>
            <w:r w:rsidRPr="00A429AA">
              <w:rPr>
                <w:rFonts w:ascii="Times New Roman" w:hAnsi="Times New Roman"/>
                <w:sz w:val="20"/>
                <w:szCs w:val="20"/>
              </w:rPr>
              <w:t xml:space="preserve"> </w:t>
            </w:r>
            <w:proofErr w:type="spellStart"/>
            <w:r w:rsidRPr="00A429AA">
              <w:rPr>
                <w:rFonts w:ascii="Times New Roman" w:hAnsi="Times New Roman"/>
                <w:sz w:val="20"/>
                <w:szCs w:val="20"/>
              </w:rPr>
              <w:t>d’Epargne</w:t>
            </w:r>
            <w:proofErr w:type="spellEnd"/>
            <w:r w:rsidR="00151E44" w:rsidRPr="00A429AA">
              <w:rPr>
                <w:rFonts w:ascii="Times New Roman" w:hAnsi="Times New Roman"/>
                <w:sz w:val="20"/>
                <w:szCs w:val="20"/>
              </w:rPr>
              <w:t xml:space="preserve">, </w:t>
            </w:r>
            <w:r w:rsidRPr="00A429AA">
              <w:rPr>
                <w:rFonts w:ascii="Times New Roman" w:hAnsi="Times New Roman"/>
                <w:sz w:val="20"/>
                <w:szCs w:val="20"/>
              </w:rPr>
              <w:t>BNP Paribas</w:t>
            </w:r>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 xml:space="preserve">Credit </w:t>
            </w:r>
            <w:proofErr w:type="spellStart"/>
            <w:r w:rsidRPr="00A429AA">
              <w:rPr>
                <w:rFonts w:ascii="Times New Roman" w:hAnsi="Times New Roman"/>
                <w:sz w:val="20"/>
                <w:szCs w:val="20"/>
              </w:rPr>
              <w:t>Agricole</w:t>
            </w:r>
            <w:proofErr w:type="spellEnd"/>
            <w:r w:rsidR="00151E44" w:rsidRPr="00A429AA">
              <w:rPr>
                <w:rFonts w:ascii="Times New Roman" w:hAnsi="Times New Roman"/>
                <w:sz w:val="20"/>
                <w:szCs w:val="20"/>
              </w:rPr>
              <w:t xml:space="preserve">, </w:t>
            </w:r>
            <w:r w:rsidRPr="00A429AA">
              <w:rPr>
                <w:rFonts w:ascii="Times New Roman" w:hAnsi="Times New Roman"/>
                <w:sz w:val="20"/>
                <w:szCs w:val="20"/>
              </w:rPr>
              <w:t xml:space="preserve">Credit </w:t>
            </w:r>
            <w:proofErr w:type="spellStart"/>
            <w:r w:rsidRPr="00A429AA">
              <w:rPr>
                <w:rFonts w:ascii="Times New Roman" w:hAnsi="Times New Roman"/>
                <w:sz w:val="20"/>
                <w:szCs w:val="20"/>
              </w:rPr>
              <w:t>Mutuel</w:t>
            </w:r>
            <w:proofErr w:type="spellEnd"/>
            <w:r w:rsidR="00151E44" w:rsidRPr="00A429AA">
              <w:rPr>
                <w:rFonts w:ascii="Times New Roman" w:hAnsi="Times New Roman"/>
                <w:sz w:val="20"/>
                <w:szCs w:val="20"/>
              </w:rPr>
              <w:t xml:space="preserve">, </w:t>
            </w:r>
            <w:proofErr w:type="spellStart"/>
            <w:r w:rsidRPr="00A429AA">
              <w:rPr>
                <w:rFonts w:ascii="Times New Roman" w:hAnsi="Times New Roman"/>
                <w:sz w:val="20"/>
                <w:szCs w:val="20"/>
              </w:rPr>
              <w:t>Societe</w:t>
            </w:r>
            <w:proofErr w:type="spellEnd"/>
            <w:r w:rsidRPr="00A429AA">
              <w:rPr>
                <w:rFonts w:ascii="Times New Roman" w:hAnsi="Times New Roman"/>
                <w:sz w:val="20"/>
                <w:szCs w:val="20"/>
              </w:rPr>
              <w:t xml:space="preserve"> General</w:t>
            </w:r>
            <w:r w:rsidR="00151E44" w:rsidRPr="00A429AA">
              <w:rPr>
                <w:rFonts w:ascii="Times New Roman" w:hAnsi="Times New Roman"/>
                <w:sz w:val="20"/>
                <w:szCs w:val="20"/>
              </w:rPr>
              <w:t xml:space="preserve">, </w:t>
            </w:r>
            <w:proofErr w:type="spellStart"/>
            <w:r w:rsidRPr="00A429AA">
              <w:rPr>
                <w:rFonts w:ascii="Times New Roman" w:hAnsi="Times New Roman"/>
                <w:sz w:val="20"/>
                <w:szCs w:val="20"/>
              </w:rPr>
              <w:t>Dexia</w:t>
            </w:r>
            <w:proofErr w:type="spellEnd"/>
          </w:p>
        </w:tc>
      </w:tr>
      <w:tr w:rsidR="00D413AB" w:rsidRPr="00A429AA" w14:paraId="201F9A46" w14:textId="77777777" w:rsidTr="00151E44">
        <w:tc>
          <w:tcPr>
            <w:cnfStyle w:val="001000000000" w:firstRow="0" w:lastRow="0" w:firstColumn="1" w:lastColumn="0" w:oddVBand="0" w:evenVBand="0" w:oddHBand="0" w:evenHBand="0" w:firstRowFirstColumn="0" w:firstRowLastColumn="0" w:lastRowFirstColumn="0" w:lastRowLastColumn="0"/>
            <w:tcW w:w="3369" w:type="dxa"/>
          </w:tcPr>
          <w:p w14:paraId="3B9BE992" w14:textId="77777777" w:rsidR="00D413AB" w:rsidRPr="00A429AA" w:rsidRDefault="00D413AB" w:rsidP="00151E44">
            <w:pPr>
              <w:rPr>
                <w:rFonts w:ascii="Times New Roman" w:hAnsi="Times New Roman"/>
                <w:sz w:val="20"/>
                <w:szCs w:val="20"/>
              </w:rPr>
            </w:pPr>
            <w:r w:rsidRPr="00A429AA">
              <w:rPr>
                <w:rFonts w:ascii="Times New Roman" w:hAnsi="Times New Roman"/>
                <w:sz w:val="20"/>
                <w:szCs w:val="20"/>
              </w:rPr>
              <w:t>Netherlands</w:t>
            </w:r>
          </w:p>
        </w:tc>
        <w:tc>
          <w:tcPr>
            <w:tcW w:w="4995" w:type="dxa"/>
          </w:tcPr>
          <w:p w14:paraId="4FC6FE88" w14:textId="2AAED825" w:rsidR="00D413AB" w:rsidRPr="00A429AA" w:rsidRDefault="00D413AB" w:rsidP="002435E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29AA">
              <w:rPr>
                <w:rFonts w:ascii="Times New Roman" w:hAnsi="Times New Roman"/>
                <w:sz w:val="20"/>
                <w:szCs w:val="20"/>
              </w:rPr>
              <w:t>ING</w:t>
            </w:r>
            <w:r w:rsidR="00151E44" w:rsidRPr="00A429AA">
              <w:rPr>
                <w:rFonts w:ascii="Times New Roman" w:hAnsi="Times New Roman"/>
                <w:sz w:val="20"/>
                <w:szCs w:val="20"/>
              </w:rPr>
              <w:t>,</w:t>
            </w:r>
            <w:r w:rsidR="00A7531E">
              <w:rPr>
                <w:rFonts w:ascii="Times New Roman" w:hAnsi="Times New Roman"/>
                <w:sz w:val="20"/>
                <w:szCs w:val="20"/>
              </w:rPr>
              <w:t xml:space="preserve"> </w:t>
            </w:r>
            <w:proofErr w:type="spellStart"/>
            <w:r w:rsidRPr="00A429AA">
              <w:rPr>
                <w:rFonts w:ascii="Times New Roman" w:hAnsi="Times New Roman"/>
                <w:sz w:val="20"/>
                <w:szCs w:val="20"/>
              </w:rPr>
              <w:t>Aegon</w:t>
            </w:r>
            <w:proofErr w:type="spellEnd"/>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 xml:space="preserve">SNS </w:t>
            </w:r>
            <w:proofErr w:type="spellStart"/>
            <w:r w:rsidRPr="00A429AA">
              <w:rPr>
                <w:rFonts w:ascii="Times New Roman" w:hAnsi="Times New Roman"/>
                <w:sz w:val="20"/>
                <w:szCs w:val="20"/>
              </w:rPr>
              <w:t>Reaal</w:t>
            </w:r>
            <w:proofErr w:type="spellEnd"/>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Fortis</w:t>
            </w:r>
          </w:p>
        </w:tc>
      </w:tr>
      <w:tr w:rsidR="00D413AB" w:rsidRPr="00A429AA" w14:paraId="60FCAC42" w14:textId="77777777" w:rsidTr="0015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9DBB1D2" w14:textId="77777777" w:rsidR="00D413AB" w:rsidRPr="00A429AA" w:rsidRDefault="00D413AB" w:rsidP="00151E44">
            <w:pPr>
              <w:rPr>
                <w:rFonts w:ascii="Times New Roman" w:hAnsi="Times New Roman"/>
                <w:sz w:val="20"/>
                <w:szCs w:val="20"/>
              </w:rPr>
            </w:pPr>
            <w:r w:rsidRPr="00A429AA">
              <w:rPr>
                <w:rFonts w:ascii="Times New Roman" w:hAnsi="Times New Roman"/>
                <w:sz w:val="20"/>
                <w:szCs w:val="20"/>
              </w:rPr>
              <w:t>Belgium</w:t>
            </w:r>
          </w:p>
        </w:tc>
        <w:tc>
          <w:tcPr>
            <w:tcW w:w="4995" w:type="dxa"/>
          </w:tcPr>
          <w:p w14:paraId="5A03DB30" w14:textId="4C4BAE0A" w:rsidR="00D413AB" w:rsidRPr="00A429AA" w:rsidRDefault="00D413AB" w:rsidP="002435E4">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A429AA">
              <w:rPr>
                <w:rFonts w:ascii="Times New Roman" w:hAnsi="Times New Roman"/>
                <w:sz w:val="20"/>
                <w:szCs w:val="20"/>
              </w:rPr>
              <w:t>Ethias</w:t>
            </w:r>
            <w:proofErr w:type="spellEnd"/>
            <w:r w:rsidR="00151E44" w:rsidRPr="00A429AA">
              <w:rPr>
                <w:rFonts w:ascii="Times New Roman" w:hAnsi="Times New Roman"/>
                <w:sz w:val="20"/>
                <w:szCs w:val="20"/>
              </w:rPr>
              <w:t xml:space="preserve">, </w:t>
            </w:r>
            <w:r w:rsidRPr="00A429AA">
              <w:rPr>
                <w:rFonts w:ascii="Times New Roman" w:hAnsi="Times New Roman"/>
                <w:sz w:val="20"/>
                <w:szCs w:val="20"/>
              </w:rPr>
              <w:t>KBC</w:t>
            </w:r>
            <w:r w:rsidR="00151E44" w:rsidRPr="00A429AA">
              <w:rPr>
                <w:rFonts w:ascii="Times New Roman" w:hAnsi="Times New Roman"/>
                <w:sz w:val="20"/>
                <w:szCs w:val="20"/>
              </w:rPr>
              <w:t xml:space="preserve">, </w:t>
            </w:r>
            <w:proofErr w:type="spellStart"/>
            <w:r w:rsidRPr="00A429AA">
              <w:rPr>
                <w:rFonts w:ascii="Times New Roman" w:hAnsi="Times New Roman"/>
                <w:sz w:val="20"/>
                <w:szCs w:val="20"/>
              </w:rPr>
              <w:t>Dexia</w:t>
            </w:r>
            <w:proofErr w:type="spellEnd"/>
            <w:r w:rsidR="00151E44" w:rsidRPr="00A429AA">
              <w:rPr>
                <w:rFonts w:ascii="Times New Roman" w:hAnsi="Times New Roman"/>
                <w:sz w:val="20"/>
                <w:szCs w:val="20"/>
              </w:rPr>
              <w:t>,</w:t>
            </w:r>
            <w:r w:rsidR="00A7531E">
              <w:rPr>
                <w:rFonts w:ascii="Times New Roman" w:hAnsi="Times New Roman"/>
                <w:sz w:val="20"/>
                <w:szCs w:val="20"/>
              </w:rPr>
              <w:t xml:space="preserve"> </w:t>
            </w:r>
            <w:r w:rsidRPr="00A429AA">
              <w:rPr>
                <w:rFonts w:ascii="Times New Roman" w:hAnsi="Times New Roman"/>
                <w:sz w:val="20"/>
                <w:szCs w:val="20"/>
              </w:rPr>
              <w:t>Fortis</w:t>
            </w:r>
          </w:p>
        </w:tc>
      </w:tr>
    </w:tbl>
    <w:p w14:paraId="75EC6F24" w14:textId="1235271D" w:rsidR="0043583A" w:rsidRPr="00A429AA" w:rsidRDefault="00151E44" w:rsidP="0043583A">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A</w:t>
      </w:r>
      <w:r w:rsidR="00D413AB" w:rsidRPr="00A429AA">
        <w:rPr>
          <w:rFonts w:ascii="Times New Roman" w:eastAsia="Times New Roman" w:hAnsi="Times New Roman" w:cs="Times New Roman"/>
          <w:sz w:val="20"/>
          <w:szCs w:val="20"/>
        </w:rPr>
        <w:t>dapted from</w:t>
      </w:r>
      <w:r w:rsidR="0043583A" w:rsidRPr="00A429AA">
        <w:rPr>
          <w:rFonts w:ascii="Times New Roman" w:eastAsia="Times New Roman" w:hAnsi="Times New Roman" w:cs="Times New Roman"/>
          <w:sz w:val="20"/>
          <w:szCs w:val="20"/>
        </w:rPr>
        <w:t xml:space="preserve"> Banco de </w:t>
      </w:r>
      <w:proofErr w:type="spellStart"/>
      <w:r w:rsidR="0043583A" w:rsidRPr="00A429AA">
        <w:rPr>
          <w:rFonts w:ascii="Times New Roman" w:eastAsia="Times New Roman" w:hAnsi="Times New Roman" w:cs="Times New Roman"/>
          <w:sz w:val="20"/>
          <w:szCs w:val="20"/>
        </w:rPr>
        <w:t>Espania</w:t>
      </w:r>
      <w:proofErr w:type="spellEnd"/>
      <w:r w:rsidR="0043583A" w:rsidRPr="00A429AA">
        <w:rPr>
          <w:rFonts w:ascii="Times New Roman" w:eastAsia="Times New Roman" w:hAnsi="Times New Roman" w:cs="Times New Roman"/>
          <w:sz w:val="20"/>
          <w:szCs w:val="20"/>
        </w:rPr>
        <w:t xml:space="preserve"> (2008 May)</w:t>
      </w:r>
    </w:p>
    <w:p w14:paraId="5869486D" w14:textId="328A6C8E" w:rsidR="00D413AB" w:rsidRPr="00A429AA" w:rsidRDefault="0043583A" w:rsidP="00D413AB">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 xml:space="preserve"> </w:t>
      </w:r>
    </w:p>
    <w:p w14:paraId="342C9511" w14:textId="78576409" w:rsidR="00385222" w:rsidRPr="00A429AA" w:rsidRDefault="00385222" w:rsidP="00385222">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Other forms of capital injections included purchase of preference shares, hybrid financial instruments and in some cases ordinary shares</w:t>
      </w:r>
      <w:r w:rsidR="007D6F67" w:rsidRPr="00A429AA">
        <w:rPr>
          <w:rFonts w:ascii="Times New Roman" w:eastAsia="Times New Roman" w:hAnsi="Times New Roman" w:cs="Times New Roman"/>
        </w:rPr>
        <w:t xml:space="preserve"> (ECB, 2009)</w:t>
      </w:r>
      <w:r w:rsidRPr="00A429AA">
        <w:rPr>
          <w:rFonts w:ascii="Times New Roman" w:eastAsia="Times New Roman" w:hAnsi="Times New Roman" w:cs="Times New Roman"/>
        </w:rPr>
        <w:t xml:space="preserve">. The main objective of capital injection was to improve banks' capital position and maintain private ownership of the banks. </w:t>
      </w:r>
    </w:p>
    <w:p w14:paraId="27B3E7A7" w14:textId="10B2C760" w:rsidR="00D413AB" w:rsidRPr="00A429AA" w:rsidRDefault="00D413AB" w:rsidP="00D413AB">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It </w:t>
      </w:r>
      <w:proofErr w:type="gramStart"/>
      <w:r w:rsidRPr="00A429AA">
        <w:rPr>
          <w:rFonts w:ascii="Times New Roman" w:eastAsia="Times New Roman" w:hAnsi="Times New Roman" w:cs="Times New Roman"/>
        </w:rPr>
        <w:t>is estimated</w:t>
      </w:r>
      <w:proofErr w:type="gramEnd"/>
      <w:r w:rsidRPr="00A429AA">
        <w:rPr>
          <w:rFonts w:ascii="Times New Roman" w:eastAsia="Times New Roman" w:hAnsi="Times New Roman" w:cs="Times New Roman"/>
        </w:rPr>
        <w:t xml:space="preserve"> that between 2008 and 2012, all EU governments spent nearly 4.5 trillion euro to help the financial sector, mainly to restore liquidity in financial markets and to support financial institutions in trouble through capital injection and guarantees on bank liabilities. Furthermore, the government became a major or sole shareholder in 19 out of 76 EU banking groups</w:t>
      </w:r>
      <w:r w:rsidR="003B3E76" w:rsidRPr="00A429AA">
        <w:rPr>
          <w:rFonts w:ascii="Times New Roman" w:eastAsia="Times New Roman" w:hAnsi="Times New Roman" w:cs="Times New Roman"/>
        </w:rPr>
        <w:t xml:space="preserve"> </w:t>
      </w:r>
      <w:r w:rsidR="00323F8B" w:rsidRPr="00A429AA">
        <w:rPr>
          <w:rFonts w:ascii="Times New Roman" w:eastAsia="Times New Roman" w:hAnsi="Times New Roman" w:cs="Times New Roman"/>
        </w:rPr>
        <w:t>(IMF</w:t>
      </w:r>
      <w:r w:rsidR="003B3E76" w:rsidRPr="00A429AA">
        <w:rPr>
          <w:rFonts w:ascii="Times New Roman" w:eastAsia="Times New Roman" w:hAnsi="Times New Roman" w:cs="Times New Roman"/>
        </w:rPr>
        <w:t xml:space="preserve"> 2013)</w:t>
      </w:r>
      <w:r w:rsidRPr="00A429AA">
        <w:rPr>
          <w:rFonts w:ascii="Times New Roman" w:eastAsia="Times New Roman" w:hAnsi="Times New Roman" w:cs="Times New Roman"/>
        </w:rPr>
        <w:t xml:space="preserve">. In a few countries, bank assets </w:t>
      </w:r>
      <w:proofErr w:type="gramStart"/>
      <w:r w:rsidRPr="00A429AA">
        <w:rPr>
          <w:rFonts w:ascii="Times New Roman" w:eastAsia="Times New Roman" w:hAnsi="Times New Roman" w:cs="Times New Roman"/>
        </w:rPr>
        <w:t>were swapped</w:t>
      </w:r>
      <w:proofErr w:type="gramEnd"/>
      <w:r w:rsidRPr="00A429AA">
        <w:rPr>
          <w:rFonts w:ascii="Times New Roman" w:eastAsia="Times New Roman" w:hAnsi="Times New Roman" w:cs="Times New Roman"/>
        </w:rPr>
        <w:t xml:space="preserve"> for government bonds and most countries guaranteed new bonds issues by banks. The EU increased deposit guarantees to 50,000 euro per deposit, and some countries established higher limits. </w:t>
      </w:r>
    </w:p>
    <w:p w14:paraId="23BFE0D9" w14:textId="5CE2D46F" w:rsidR="00C41EBF" w:rsidRPr="00A429AA" w:rsidRDefault="00D413AB" w:rsidP="009918B3">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The ECB was also involved in bank rescue operations by providing refinancing facilities at low rates. Correspondingly, national central banks set up the Emergency Liquidity Assistance and Assets Purchase Facility in January 2009 by the Bank of England</w:t>
      </w:r>
      <w:r w:rsidR="00D3705D" w:rsidRPr="00A429AA">
        <w:rPr>
          <w:rFonts w:ascii="Times New Roman" w:eastAsia="Times New Roman" w:hAnsi="Times New Roman" w:cs="Times New Roman"/>
        </w:rPr>
        <w:t xml:space="preserve"> </w:t>
      </w:r>
      <w:r w:rsidR="0020433B" w:rsidRPr="00A429AA">
        <w:rPr>
          <w:rFonts w:ascii="Times New Roman" w:eastAsia="Times New Roman" w:hAnsi="Times New Roman" w:cs="Times New Roman"/>
        </w:rPr>
        <w:t>(IMF</w:t>
      </w:r>
      <w:r w:rsidR="00D3705D" w:rsidRPr="00A429AA">
        <w:rPr>
          <w:rFonts w:ascii="Times New Roman" w:eastAsia="Times New Roman" w:hAnsi="Times New Roman" w:cs="Times New Roman"/>
        </w:rPr>
        <w:t xml:space="preserve"> 2013)</w:t>
      </w:r>
      <w:r w:rsidRPr="00A429AA">
        <w:rPr>
          <w:rFonts w:ascii="Times New Roman" w:eastAsia="Times New Roman" w:hAnsi="Times New Roman" w:cs="Times New Roman"/>
        </w:rPr>
        <w:t xml:space="preserve"> to buy high quality assets like UK government securities (gilts), commercial papers and corporate bonds to improve liquidity in credit markets </w:t>
      </w:r>
      <w:r w:rsidR="00323F8B" w:rsidRPr="00A429AA">
        <w:rPr>
          <w:rFonts w:ascii="Times New Roman" w:eastAsia="Times New Roman" w:hAnsi="Times New Roman" w:cs="Times New Roman"/>
        </w:rPr>
        <w:t>(</w:t>
      </w:r>
      <w:proofErr w:type="spellStart"/>
      <w:r w:rsidR="00323F8B" w:rsidRPr="00A429AA">
        <w:rPr>
          <w:rFonts w:ascii="Times New Roman" w:eastAsia="Times New Roman" w:hAnsi="Times New Roman" w:cs="Times New Roman"/>
        </w:rPr>
        <w:t>Stolz</w:t>
      </w:r>
      <w:proofErr w:type="spellEnd"/>
      <w:r w:rsidR="00323F8B" w:rsidRPr="00A429AA">
        <w:rPr>
          <w:rFonts w:ascii="Times New Roman" w:eastAsia="Times New Roman" w:hAnsi="Times New Roman" w:cs="Times New Roman"/>
        </w:rPr>
        <w:t xml:space="preserve"> and </w:t>
      </w:r>
      <w:proofErr w:type="spellStart"/>
      <w:r w:rsidR="00323F8B" w:rsidRPr="00A429AA">
        <w:rPr>
          <w:rFonts w:ascii="Times New Roman" w:eastAsia="Times New Roman" w:hAnsi="Times New Roman" w:cs="Times New Roman"/>
        </w:rPr>
        <w:t>Wedow</w:t>
      </w:r>
      <w:proofErr w:type="spellEnd"/>
      <w:r w:rsidR="00D912E8" w:rsidRPr="00A429AA">
        <w:rPr>
          <w:rFonts w:ascii="Times New Roman" w:eastAsia="Times New Roman" w:hAnsi="Times New Roman" w:cs="Times New Roman"/>
        </w:rPr>
        <w:t xml:space="preserve"> 2010)</w:t>
      </w:r>
      <w:r w:rsidRPr="00A429AA">
        <w:rPr>
          <w:rFonts w:ascii="Times New Roman" w:eastAsia="Times New Roman" w:hAnsi="Times New Roman" w:cs="Times New Roman"/>
        </w:rPr>
        <w:t xml:space="preserve">. </w:t>
      </w:r>
    </w:p>
    <w:p w14:paraId="1C7D6E7D" w14:textId="083B6D26" w:rsidR="006923DA" w:rsidRPr="00A429AA" w:rsidRDefault="001B58A5" w:rsidP="006923DA">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For</w:t>
      </w:r>
      <w:r w:rsidR="00972948" w:rsidRPr="00A429AA">
        <w:rPr>
          <w:rFonts w:ascii="Times New Roman" w:eastAsia="Times New Roman" w:hAnsi="Times New Roman" w:cs="Times New Roman"/>
        </w:rPr>
        <w:t xml:space="preserve"> </w:t>
      </w:r>
      <w:r w:rsidRPr="00A429AA">
        <w:rPr>
          <w:rFonts w:ascii="Times New Roman" w:eastAsia="Times New Roman" w:hAnsi="Times New Roman" w:cs="Times New Roman"/>
        </w:rPr>
        <w:t>further analysis</w:t>
      </w:r>
      <w:r w:rsidR="00F663CF">
        <w:rPr>
          <w:rFonts w:ascii="Times New Roman" w:eastAsia="Times New Roman" w:hAnsi="Times New Roman" w:cs="Times New Roman"/>
        </w:rPr>
        <w:t xml:space="preserve"> of</w:t>
      </w:r>
      <w:r w:rsidR="00D619EF">
        <w:rPr>
          <w:rFonts w:ascii="Times New Roman" w:eastAsia="Times New Roman" w:hAnsi="Times New Roman" w:cs="Times New Roman"/>
        </w:rPr>
        <w:t xml:space="preserve"> the</w:t>
      </w:r>
      <w:r w:rsidR="00F96D24" w:rsidRPr="00A429AA">
        <w:rPr>
          <w:rFonts w:ascii="Times New Roman" w:eastAsia="Times New Roman" w:hAnsi="Times New Roman" w:cs="Times New Roman"/>
        </w:rPr>
        <w:t xml:space="preserve"> </w:t>
      </w:r>
      <w:r w:rsidR="008F245F" w:rsidRPr="00A429AA">
        <w:rPr>
          <w:rFonts w:ascii="Times New Roman" w:eastAsia="Times New Roman" w:hAnsi="Times New Roman" w:cs="Times New Roman"/>
        </w:rPr>
        <w:t>banking sector</w:t>
      </w:r>
      <w:r w:rsidR="00385222" w:rsidRPr="00A429AA">
        <w:rPr>
          <w:rFonts w:ascii="Times New Roman" w:eastAsia="Times New Roman" w:hAnsi="Times New Roman" w:cs="Times New Roman"/>
        </w:rPr>
        <w:t>,</w:t>
      </w:r>
      <w:r w:rsidR="008F245F" w:rsidRPr="00A429AA">
        <w:rPr>
          <w:rFonts w:ascii="Times New Roman" w:eastAsia="Times New Roman" w:hAnsi="Times New Roman" w:cs="Times New Roman"/>
        </w:rPr>
        <w:t xml:space="preserve"> </w:t>
      </w:r>
      <w:r w:rsidR="00215BD5" w:rsidRPr="00A429AA">
        <w:rPr>
          <w:rFonts w:ascii="Times New Roman" w:eastAsia="Times New Roman" w:hAnsi="Times New Roman" w:cs="Times New Roman"/>
        </w:rPr>
        <w:t xml:space="preserve">beta of banking sector </w:t>
      </w:r>
      <w:proofErr w:type="gramStart"/>
      <w:r w:rsidR="00215BD5" w:rsidRPr="00A429AA">
        <w:rPr>
          <w:rFonts w:ascii="Times New Roman" w:eastAsia="Times New Roman" w:hAnsi="Times New Roman" w:cs="Times New Roman"/>
        </w:rPr>
        <w:t>was calculated</w:t>
      </w:r>
      <w:proofErr w:type="gramEnd"/>
      <w:r w:rsidR="00215BD5" w:rsidRPr="00A429AA">
        <w:rPr>
          <w:rFonts w:ascii="Times New Roman" w:eastAsia="Times New Roman" w:hAnsi="Times New Roman" w:cs="Times New Roman"/>
        </w:rPr>
        <w:t xml:space="preserve"> </w:t>
      </w:r>
      <w:r w:rsidR="003528B2" w:rsidRPr="00A429AA">
        <w:rPr>
          <w:rFonts w:ascii="Times New Roman" w:eastAsia="Times New Roman" w:hAnsi="Times New Roman" w:cs="Times New Roman"/>
        </w:rPr>
        <w:t xml:space="preserve">for 10 European countries. </w:t>
      </w:r>
      <w:r w:rsidR="006923DA" w:rsidRPr="00A429AA">
        <w:rPr>
          <w:rFonts w:ascii="Times New Roman" w:eastAsia="Times New Roman" w:hAnsi="Times New Roman" w:cs="Times New Roman"/>
        </w:rPr>
        <w:t xml:space="preserve">Beta, according to </w:t>
      </w:r>
      <w:r w:rsidR="00AC5780">
        <w:rPr>
          <w:rFonts w:ascii="Times New Roman" w:eastAsia="Times New Roman" w:hAnsi="Times New Roman" w:cs="Times New Roman"/>
        </w:rPr>
        <w:t>CAPM</w:t>
      </w:r>
      <w:r w:rsidR="006923DA" w:rsidRPr="00A429AA">
        <w:rPr>
          <w:rFonts w:ascii="Times New Roman" w:eastAsia="Times New Roman" w:hAnsi="Times New Roman" w:cs="Times New Roman"/>
        </w:rPr>
        <w:t>, is a measurement of sensitivity of stock to market movements. Beta is also an indicator of market risk</w:t>
      </w:r>
      <w:proofErr w:type="gramStart"/>
      <w:r w:rsidR="006923DA" w:rsidRPr="00A429AA">
        <w:rPr>
          <w:rFonts w:ascii="Times New Roman" w:eastAsia="Times New Roman" w:hAnsi="Times New Roman" w:cs="Times New Roman"/>
        </w:rPr>
        <w:t>;</w:t>
      </w:r>
      <w:proofErr w:type="gramEnd"/>
      <w:r w:rsidR="006923DA" w:rsidRPr="00A429AA">
        <w:rPr>
          <w:rFonts w:ascii="Times New Roman" w:eastAsia="Times New Roman" w:hAnsi="Times New Roman" w:cs="Times New Roman"/>
        </w:rPr>
        <w:t xml:space="preserve"> if beta is greater than 1 then it means that the banking stock amplifies the overall movement of market, increasing the probability of a banking crisis.  </w:t>
      </w:r>
    </w:p>
    <w:p w14:paraId="3984F531" w14:textId="09972451" w:rsidR="00F044D1" w:rsidRDefault="00F044D1" w:rsidP="007F5984">
      <w:pPr>
        <w:spacing w:line="360" w:lineRule="auto"/>
        <w:jc w:val="both"/>
        <w:rPr>
          <w:rFonts w:ascii="Times New Roman" w:eastAsia="Times New Roman" w:hAnsi="Times New Roman" w:cs="Times New Roman"/>
        </w:rPr>
      </w:pPr>
    </w:p>
    <w:p w14:paraId="10A6DBA3" w14:textId="77777777" w:rsidR="00A7531E" w:rsidRPr="00A429AA" w:rsidRDefault="00A7531E" w:rsidP="007F5984">
      <w:pPr>
        <w:spacing w:line="360" w:lineRule="auto"/>
        <w:jc w:val="both"/>
        <w:rPr>
          <w:rFonts w:ascii="Times New Roman" w:eastAsia="Times New Roman" w:hAnsi="Times New Roman" w:cs="Times New Roman"/>
        </w:rPr>
      </w:pPr>
    </w:p>
    <w:p w14:paraId="04FC9C31" w14:textId="77777777" w:rsidR="009918B3" w:rsidRPr="00A429AA" w:rsidRDefault="009918B3" w:rsidP="007F5984">
      <w:pPr>
        <w:spacing w:line="360" w:lineRule="auto"/>
        <w:jc w:val="both"/>
        <w:rPr>
          <w:rFonts w:ascii="Times New Roman" w:eastAsia="Times New Roman" w:hAnsi="Times New Roman" w:cs="Times New Roman"/>
        </w:rPr>
      </w:pPr>
    </w:p>
    <w:p w14:paraId="0B82AC39" w14:textId="10DBBAA0" w:rsidR="00F044D1" w:rsidRPr="00A429AA" w:rsidRDefault="00F044D1" w:rsidP="007F5984">
      <w:pPr>
        <w:spacing w:line="360" w:lineRule="auto"/>
        <w:jc w:val="both"/>
        <w:rPr>
          <w:rFonts w:ascii="Times New Roman" w:eastAsia="Times New Roman" w:hAnsi="Times New Roman" w:cs="Times New Roman"/>
          <w:b/>
        </w:rPr>
      </w:pPr>
      <w:r w:rsidRPr="00A429AA">
        <w:rPr>
          <w:rFonts w:ascii="Times New Roman" w:eastAsia="Times New Roman" w:hAnsi="Times New Roman" w:cs="Times New Roman"/>
        </w:rPr>
        <w:lastRenderedPageBreak/>
        <w:t xml:space="preserve"> </w:t>
      </w:r>
      <w:r w:rsidR="00385222" w:rsidRPr="00A429AA">
        <w:rPr>
          <w:rFonts w:ascii="Times New Roman" w:eastAsia="Times New Roman" w:hAnsi="Times New Roman" w:cs="Times New Roman"/>
          <w:b/>
        </w:rPr>
        <w:t>Equation 1</w:t>
      </w:r>
      <w:r w:rsidRPr="00A429AA">
        <w:rPr>
          <w:rFonts w:ascii="Times New Roman" w:eastAsia="Times New Roman" w:hAnsi="Times New Roman" w:cs="Times New Roman"/>
          <w:b/>
        </w:rPr>
        <w:t xml:space="preserve">. Beta calculation </w:t>
      </w:r>
    </w:p>
    <w:p w14:paraId="2F15BC22" w14:textId="2EE551B2" w:rsidR="00F044D1" w:rsidRPr="00A429AA" w:rsidRDefault="0052221D" w:rsidP="007F5984">
      <w:pPr>
        <w:spacing w:line="360" w:lineRule="auto"/>
        <w:jc w:val="both"/>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i</m:t>
              </m:r>
            </m:sub>
          </m:sSub>
          <m:r>
            <w:rPr>
              <w:rFonts w:ascii="Cambria Math" w:eastAsia="Times New Roman"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σ</m:t>
                  </m:r>
                </m:e>
                <m:sub>
                  <m:r>
                    <w:rPr>
                      <w:rFonts w:ascii="Cambria Math" w:eastAsia="Times New Roman" w:hAnsi="Cambria Math" w:cs="Times New Roman"/>
                    </w:rPr>
                    <m:t>bm</m:t>
                  </m:r>
                </m:sub>
              </m:sSub>
            </m:num>
            <m:den>
              <m:sSubSup>
                <m:sSubSupPr>
                  <m:ctrlPr>
                    <w:rPr>
                      <w:rFonts w:ascii="Cambria Math" w:eastAsia="Times New Roman" w:hAnsi="Cambria Math" w:cs="Times New Roman"/>
                      <w:i/>
                    </w:rPr>
                  </m:ctrlPr>
                </m:sSubSupPr>
                <m:e>
                  <m:r>
                    <w:rPr>
                      <w:rFonts w:ascii="Cambria Math" w:eastAsia="Times New Roman" w:hAnsi="Cambria Math" w:cs="Times New Roman"/>
                    </w:rPr>
                    <m:t>σ</m:t>
                  </m:r>
                </m:e>
                <m:sub>
                  <m:r>
                    <w:rPr>
                      <w:rFonts w:ascii="Cambria Math" w:eastAsia="Times New Roman" w:hAnsi="Cambria Math" w:cs="Times New Roman"/>
                    </w:rPr>
                    <m:t>m</m:t>
                  </m:r>
                </m:sub>
                <m:sup>
                  <m:r>
                    <w:rPr>
                      <w:rFonts w:ascii="Cambria Math" w:eastAsia="Times New Roman" w:hAnsi="Cambria Math" w:cs="Times New Roman"/>
                    </w:rPr>
                    <m:t>2</m:t>
                  </m:r>
                </m:sup>
              </m:sSubSup>
            </m:den>
          </m:f>
        </m:oMath>
      </m:oMathPara>
    </w:p>
    <w:p w14:paraId="5C103A49" w14:textId="782B8A6A" w:rsidR="00B60448" w:rsidRPr="00A429AA" w:rsidRDefault="0052221D" w:rsidP="00B60448">
      <w:pPr>
        <w:spacing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σ</m:t>
            </m:r>
          </m:e>
          <m:sub>
            <m:r>
              <w:rPr>
                <w:rFonts w:ascii="Cambria Math" w:eastAsia="Times New Roman" w:hAnsi="Cambria Math" w:cs="Times New Roman"/>
              </w:rPr>
              <m:t>bm</m:t>
            </m:r>
          </m:sub>
        </m:sSub>
      </m:oMath>
      <w:r w:rsidR="00F044D1" w:rsidRPr="00A429AA">
        <w:rPr>
          <w:rFonts w:ascii="Times New Roman" w:eastAsia="Times New Roman" w:hAnsi="Times New Roman" w:cs="Times New Roman"/>
        </w:rPr>
        <w:t xml:space="preserve"> </w:t>
      </w:r>
      <w:proofErr w:type="gramStart"/>
      <w:r w:rsidR="00F044D1" w:rsidRPr="00A429AA">
        <w:rPr>
          <w:rFonts w:ascii="Times New Roman" w:eastAsia="Times New Roman" w:hAnsi="Times New Roman" w:cs="Times New Roman"/>
        </w:rPr>
        <w:t>is</w:t>
      </w:r>
      <w:proofErr w:type="gramEnd"/>
      <w:r w:rsidR="00F044D1" w:rsidRPr="00A429AA">
        <w:rPr>
          <w:rFonts w:ascii="Times New Roman" w:eastAsia="Times New Roman" w:hAnsi="Times New Roman" w:cs="Times New Roman"/>
        </w:rPr>
        <w:t xml:space="preserve"> the </w:t>
      </w:r>
      <w:r w:rsidR="00B60448" w:rsidRPr="00A429AA">
        <w:rPr>
          <w:rFonts w:ascii="Times New Roman" w:eastAsia="Times New Roman" w:hAnsi="Times New Roman" w:cs="Times New Roman"/>
        </w:rPr>
        <w:t xml:space="preserve">is the covariance between banking stock b’s return and the market return </w:t>
      </w:r>
    </w:p>
    <w:p w14:paraId="72F5B5E7" w14:textId="6C44A7AC" w:rsidR="005D4107" w:rsidRPr="00A429AA" w:rsidRDefault="0052221D" w:rsidP="00000EFA">
      <w:pPr>
        <w:spacing w:line="360" w:lineRule="auto"/>
        <w:jc w:val="both"/>
        <w:rPr>
          <w:rFonts w:ascii="Times New Roman" w:eastAsia="Times New Roman" w:hAnsi="Times New Roman" w:cs="Times New Roman"/>
        </w:rPr>
      </w:pPr>
      <m:oMath>
        <m:sSubSup>
          <m:sSubSupPr>
            <m:ctrlPr>
              <w:rPr>
                <w:rFonts w:ascii="Cambria Math" w:eastAsia="Times New Roman" w:hAnsi="Cambria Math" w:cs="Times New Roman"/>
                <w:i/>
              </w:rPr>
            </m:ctrlPr>
          </m:sSubSupPr>
          <m:e>
            <m:r>
              <w:rPr>
                <w:rFonts w:ascii="Cambria Math" w:eastAsia="Times New Roman" w:hAnsi="Cambria Math" w:cs="Times New Roman"/>
              </w:rPr>
              <m:t>σ</m:t>
            </m:r>
          </m:e>
          <m:sub>
            <m:r>
              <w:rPr>
                <w:rFonts w:ascii="Cambria Math" w:eastAsia="Times New Roman" w:hAnsi="Cambria Math" w:cs="Times New Roman"/>
              </w:rPr>
              <m:t>m</m:t>
            </m:r>
          </m:sub>
          <m:sup>
            <m:r>
              <w:rPr>
                <w:rFonts w:ascii="Cambria Math" w:eastAsia="Times New Roman" w:hAnsi="Cambria Math" w:cs="Times New Roman"/>
              </w:rPr>
              <m:t>2</m:t>
            </m:r>
          </m:sup>
        </m:sSubSup>
      </m:oMath>
      <w:r w:rsidR="00B60448" w:rsidRPr="00A429AA">
        <w:rPr>
          <w:rFonts w:ascii="Times New Roman" w:eastAsia="Times New Roman" w:hAnsi="Times New Roman" w:cs="Times New Roman"/>
        </w:rPr>
        <w:t xml:space="preserve"> </w:t>
      </w:r>
      <w:proofErr w:type="gramStart"/>
      <w:r w:rsidR="00B60448" w:rsidRPr="00A429AA">
        <w:rPr>
          <w:rFonts w:ascii="Times New Roman" w:eastAsia="Times New Roman" w:hAnsi="Times New Roman" w:cs="Times New Roman"/>
        </w:rPr>
        <w:t>the</w:t>
      </w:r>
      <w:proofErr w:type="gramEnd"/>
      <w:r w:rsidR="00B60448" w:rsidRPr="00A429AA">
        <w:rPr>
          <w:rFonts w:ascii="Times New Roman" w:eastAsia="Times New Roman" w:hAnsi="Times New Roman" w:cs="Times New Roman"/>
        </w:rPr>
        <w:t xml:space="preserve"> variance of the market return </w:t>
      </w:r>
    </w:p>
    <w:p w14:paraId="57506304" w14:textId="77777777" w:rsidR="005D4107" w:rsidRPr="00A429AA" w:rsidRDefault="005D4107" w:rsidP="00000EFA">
      <w:pPr>
        <w:spacing w:line="360" w:lineRule="auto"/>
        <w:jc w:val="both"/>
        <w:rPr>
          <w:rFonts w:ascii="Times New Roman" w:eastAsia="Times New Roman" w:hAnsi="Times New Roman" w:cs="Times New Roman"/>
        </w:rPr>
      </w:pPr>
    </w:p>
    <w:p w14:paraId="5B27F6C4" w14:textId="65536C1A" w:rsidR="00454A2C" w:rsidRPr="00A429AA" w:rsidRDefault="00B53145" w:rsidP="00000EFA">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As presented by beta in Figures 4-6 t</w:t>
      </w:r>
      <w:r w:rsidR="00215BD5" w:rsidRPr="00A429AA">
        <w:rPr>
          <w:rFonts w:ascii="Times New Roman" w:eastAsia="Times New Roman" w:hAnsi="Times New Roman" w:cs="Times New Roman"/>
        </w:rPr>
        <w:t>he banking sector</w:t>
      </w:r>
      <w:r w:rsidR="00C76DFD" w:rsidRPr="00A429AA">
        <w:rPr>
          <w:rFonts w:ascii="Times New Roman" w:eastAsia="Times New Roman" w:hAnsi="Times New Roman" w:cs="Times New Roman"/>
        </w:rPr>
        <w:t xml:space="preserve"> risk</w:t>
      </w:r>
      <w:r w:rsidR="00215BD5" w:rsidRPr="00A429AA">
        <w:rPr>
          <w:rFonts w:ascii="Times New Roman" w:eastAsia="Times New Roman" w:hAnsi="Times New Roman" w:cs="Times New Roman"/>
        </w:rPr>
        <w:t xml:space="preserve"> increased in Portugal in 2007 and in the last quarter of 2007 in the Netherlands, France, Germany, the UK, Belgium and Italy. Moreover, in 2008 in all countries except Portugal, banking sector risks increased significantly in the third quarter of 2008, which is not surprising as Lehman Brothers announced bankruptcy in September 2008. In 2009, banking stress continued as beta increased in Italy, France and Sweden in the first quarter of 2009 and in the two first quarters of 2009 in the UK and Germany. The Belgian banking sector remained in s</w:t>
      </w:r>
      <w:r w:rsidR="00000EFA" w:rsidRPr="00A429AA">
        <w:rPr>
          <w:rFonts w:ascii="Times New Roman" w:eastAsia="Times New Roman" w:hAnsi="Times New Roman" w:cs="Times New Roman"/>
        </w:rPr>
        <w:t>tress for the duration of 2009.</w:t>
      </w:r>
    </w:p>
    <w:p w14:paraId="2732A940" w14:textId="008C26B8" w:rsidR="00454A2C" w:rsidRPr="00A429AA" w:rsidRDefault="00454A2C" w:rsidP="00215BD5">
      <w:pPr>
        <w:rPr>
          <w:rFonts w:ascii="Times New Roman" w:eastAsia="Times New Roman" w:hAnsi="Times New Roman" w:cs="Times New Roman"/>
          <w:sz w:val="20"/>
          <w:szCs w:val="20"/>
        </w:rPr>
      </w:pPr>
    </w:p>
    <w:p w14:paraId="7C6DE274" w14:textId="242CD405" w:rsidR="007F5984" w:rsidRPr="00A429AA" w:rsidRDefault="003111DC" w:rsidP="00215BD5">
      <w:pPr>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t>Figure 4</w:t>
      </w:r>
      <w:r w:rsidR="00714BAD" w:rsidRPr="00A429AA">
        <w:rPr>
          <w:rFonts w:ascii="Times New Roman" w:eastAsia="Times New Roman" w:hAnsi="Times New Roman" w:cs="Times New Roman"/>
          <w:b/>
          <w:sz w:val="22"/>
          <w:szCs w:val="22"/>
        </w:rPr>
        <w:t xml:space="preserve">. </w:t>
      </w:r>
      <w:r w:rsidR="008C197B" w:rsidRPr="00A429AA">
        <w:rPr>
          <w:rFonts w:ascii="Times New Roman" w:eastAsia="Times New Roman" w:hAnsi="Times New Roman" w:cs="Times New Roman"/>
          <w:b/>
          <w:sz w:val="22"/>
          <w:szCs w:val="22"/>
        </w:rPr>
        <w:t xml:space="preserve">Beta of Swedish, Danish, Spanish and Portuguese banking sector </w:t>
      </w:r>
    </w:p>
    <w:p w14:paraId="1E956890" w14:textId="61D47167" w:rsidR="007F5984" w:rsidRPr="00A429AA" w:rsidRDefault="00D87B0C" w:rsidP="00215BD5">
      <w:pPr>
        <w:rPr>
          <w:rFonts w:ascii="Times New Roman" w:eastAsia="Times New Roman" w:hAnsi="Times New Roman" w:cs="Times New Roman"/>
          <w:b/>
          <w:sz w:val="20"/>
          <w:szCs w:val="20"/>
        </w:rPr>
      </w:pPr>
      <w:r w:rsidRPr="00A429AA">
        <w:rPr>
          <w:rFonts w:ascii="Times New Roman" w:eastAsia="Times New Roman" w:hAnsi="Times New Roman" w:cs="Times New Roman"/>
          <w:b/>
          <w:noProof/>
          <w:sz w:val="20"/>
          <w:szCs w:val="20"/>
          <w:lang w:eastAsia="en-GB"/>
        </w:rPr>
        <w:drawing>
          <wp:inline distT="0" distB="0" distL="0" distR="0" wp14:anchorId="2E0F6A6A" wp14:editId="2C520919">
            <wp:extent cx="3539783" cy="2096576"/>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3.pdf"/>
                    <pic:cNvPicPr/>
                  </pic:nvPicPr>
                  <pic:blipFill>
                    <a:blip r:embed="rId13">
                      <a:extLst>
                        <a:ext uri="{28A0092B-C50C-407E-A947-70E740481C1C}">
                          <a14:useLocalDpi xmlns:a14="http://schemas.microsoft.com/office/drawing/2010/main" val="0"/>
                        </a:ext>
                      </a:extLst>
                    </a:blip>
                    <a:stretch>
                      <a:fillRect/>
                    </a:stretch>
                  </pic:blipFill>
                  <pic:spPr>
                    <a:xfrm>
                      <a:off x="0" y="0"/>
                      <a:ext cx="3541612" cy="2097659"/>
                    </a:xfrm>
                    <a:prstGeom prst="rect">
                      <a:avLst/>
                    </a:prstGeom>
                  </pic:spPr>
                </pic:pic>
              </a:graphicData>
            </a:graphic>
          </wp:inline>
        </w:drawing>
      </w:r>
    </w:p>
    <w:p w14:paraId="58DAC2FC" w14:textId="3B529310" w:rsidR="00D87B0C" w:rsidRPr="00A429AA" w:rsidRDefault="00D87B0C" w:rsidP="00D87B0C">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 xml:space="preserve">Source: author’s calculation, data from </w:t>
      </w:r>
      <w:proofErr w:type="spellStart"/>
      <w:r w:rsidRPr="00A429AA">
        <w:rPr>
          <w:rFonts w:ascii="Times New Roman" w:eastAsia="Times New Roman" w:hAnsi="Times New Roman" w:cs="Times New Roman"/>
          <w:sz w:val="20"/>
          <w:szCs w:val="20"/>
        </w:rPr>
        <w:t>Datastream</w:t>
      </w:r>
      <w:proofErr w:type="spellEnd"/>
    </w:p>
    <w:p w14:paraId="0FA955E9" w14:textId="77777777" w:rsidR="008F245F" w:rsidRPr="00A429AA" w:rsidRDefault="008F245F" w:rsidP="00215BD5">
      <w:pPr>
        <w:rPr>
          <w:rFonts w:ascii="Times New Roman" w:eastAsia="Times New Roman" w:hAnsi="Times New Roman" w:cs="Times New Roman"/>
          <w:b/>
          <w:sz w:val="20"/>
          <w:szCs w:val="20"/>
        </w:rPr>
      </w:pPr>
    </w:p>
    <w:p w14:paraId="66CE9436" w14:textId="77777777" w:rsidR="00CE1AAA" w:rsidRPr="00A429AA" w:rsidRDefault="00CE1AAA" w:rsidP="00CE1AAA">
      <w:pPr>
        <w:rPr>
          <w:rFonts w:ascii="Times New Roman" w:eastAsia="Times New Roman" w:hAnsi="Times New Roman" w:cs="Times New Roman"/>
          <w:b/>
          <w:sz w:val="22"/>
          <w:szCs w:val="22"/>
        </w:rPr>
      </w:pPr>
    </w:p>
    <w:p w14:paraId="6921DA13" w14:textId="4D392427" w:rsidR="00D87B0C" w:rsidRPr="00A429AA" w:rsidRDefault="003111DC" w:rsidP="00CE1AAA">
      <w:pPr>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t>Figure 5.</w:t>
      </w:r>
      <w:r w:rsidR="00714BAD" w:rsidRPr="00A429AA">
        <w:rPr>
          <w:rFonts w:ascii="Times New Roman" w:eastAsia="Times New Roman" w:hAnsi="Times New Roman" w:cs="Times New Roman"/>
          <w:b/>
          <w:sz w:val="22"/>
          <w:szCs w:val="22"/>
        </w:rPr>
        <w:t xml:space="preserve"> </w:t>
      </w:r>
      <w:r w:rsidR="008C197B" w:rsidRPr="00A429AA">
        <w:rPr>
          <w:rFonts w:ascii="Times New Roman" w:eastAsia="Times New Roman" w:hAnsi="Times New Roman" w:cs="Times New Roman"/>
          <w:b/>
          <w:sz w:val="22"/>
          <w:szCs w:val="22"/>
        </w:rPr>
        <w:t>Beta of Italian, German and French banking sector</w:t>
      </w:r>
    </w:p>
    <w:p w14:paraId="3B3795F0" w14:textId="6F4C3301" w:rsidR="00D87B0C" w:rsidRPr="00A429AA" w:rsidRDefault="00D87B0C" w:rsidP="00215BD5">
      <w:pPr>
        <w:rPr>
          <w:rFonts w:ascii="Times New Roman" w:eastAsia="Times New Roman" w:hAnsi="Times New Roman" w:cs="Times New Roman"/>
          <w:b/>
          <w:sz w:val="20"/>
          <w:szCs w:val="20"/>
        </w:rPr>
      </w:pPr>
      <w:r w:rsidRPr="00A429AA">
        <w:rPr>
          <w:rFonts w:ascii="Times New Roman" w:eastAsia="Times New Roman" w:hAnsi="Times New Roman" w:cs="Times New Roman"/>
          <w:b/>
          <w:noProof/>
          <w:sz w:val="20"/>
          <w:szCs w:val="20"/>
          <w:lang w:eastAsia="en-GB"/>
        </w:rPr>
        <w:drawing>
          <wp:inline distT="0" distB="0" distL="0" distR="0" wp14:anchorId="594D9570" wp14:editId="38D741B6">
            <wp:extent cx="3543300" cy="1917065"/>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 italy german french .pdf"/>
                    <pic:cNvPicPr/>
                  </pic:nvPicPr>
                  <pic:blipFill>
                    <a:blip r:embed="rId14">
                      <a:extLst>
                        <a:ext uri="{28A0092B-C50C-407E-A947-70E740481C1C}">
                          <a14:useLocalDpi xmlns:a14="http://schemas.microsoft.com/office/drawing/2010/main" val="0"/>
                        </a:ext>
                      </a:extLst>
                    </a:blip>
                    <a:stretch>
                      <a:fillRect/>
                    </a:stretch>
                  </pic:blipFill>
                  <pic:spPr>
                    <a:xfrm>
                      <a:off x="0" y="0"/>
                      <a:ext cx="3544616" cy="1917777"/>
                    </a:xfrm>
                    <a:prstGeom prst="rect">
                      <a:avLst/>
                    </a:prstGeom>
                  </pic:spPr>
                </pic:pic>
              </a:graphicData>
            </a:graphic>
          </wp:inline>
        </w:drawing>
      </w:r>
    </w:p>
    <w:p w14:paraId="00D77529" w14:textId="19901AF7" w:rsidR="00D87B0C" w:rsidRPr="00A429AA" w:rsidRDefault="00D87B0C" w:rsidP="00D87B0C">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 xml:space="preserve">Source: author’s calculation, data from </w:t>
      </w:r>
      <w:proofErr w:type="spellStart"/>
      <w:r w:rsidRPr="00A429AA">
        <w:rPr>
          <w:rFonts w:ascii="Times New Roman" w:eastAsia="Times New Roman" w:hAnsi="Times New Roman" w:cs="Times New Roman"/>
          <w:sz w:val="20"/>
          <w:szCs w:val="20"/>
        </w:rPr>
        <w:t>Datastream</w:t>
      </w:r>
      <w:proofErr w:type="spellEnd"/>
    </w:p>
    <w:p w14:paraId="36C45A9D" w14:textId="77777777" w:rsidR="00A7531E" w:rsidRDefault="00A7531E" w:rsidP="00215BD5">
      <w:pPr>
        <w:rPr>
          <w:rFonts w:ascii="Times New Roman" w:eastAsia="Times New Roman" w:hAnsi="Times New Roman" w:cs="Times New Roman"/>
          <w:b/>
          <w:sz w:val="20"/>
          <w:szCs w:val="20"/>
        </w:rPr>
      </w:pPr>
    </w:p>
    <w:p w14:paraId="6945B395" w14:textId="159D489F" w:rsidR="008C197B" w:rsidRPr="00A429AA" w:rsidRDefault="003111DC" w:rsidP="00215BD5">
      <w:pPr>
        <w:rPr>
          <w:rFonts w:ascii="Times New Roman" w:eastAsia="Times New Roman" w:hAnsi="Times New Roman" w:cs="Times New Roman"/>
          <w:b/>
          <w:sz w:val="22"/>
          <w:szCs w:val="22"/>
        </w:rPr>
      </w:pPr>
      <w:r w:rsidRPr="00A429AA">
        <w:rPr>
          <w:rFonts w:ascii="Times New Roman" w:eastAsia="Times New Roman" w:hAnsi="Times New Roman" w:cs="Times New Roman"/>
          <w:b/>
          <w:sz w:val="22"/>
          <w:szCs w:val="22"/>
        </w:rPr>
        <w:lastRenderedPageBreak/>
        <w:t>Figure 6</w:t>
      </w:r>
      <w:r w:rsidR="00714BAD" w:rsidRPr="00A429AA">
        <w:rPr>
          <w:rFonts w:ascii="Times New Roman" w:eastAsia="Times New Roman" w:hAnsi="Times New Roman" w:cs="Times New Roman"/>
          <w:b/>
          <w:sz w:val="22"/>
          <w:szCs w:val="22"/>
        </w:rPr>
        <w:t>. Beta of British, Nederland’</w:t>
      </w:r>
      <w:r w:rsidR="008C197B" w:rsidRPr="00A429AA">
        <w:rPr>
          <w:rFonts w:ascii="Times New Roman" w:eastAsia="Times New Roman" w:hAnsi="Times New Roman" w:cs="Times New Roman"/>
          <w:b/>
          <w:sz w:val="22"/>
          <w:szCs w:val="22"/>
        </w:rPr>
        <w:t>s and Belgian banking sector</w:t>
      </w:r>
    </w:p>
    <w:p w14:paraId="0931C48B" w14:textId="2056C678" w:rsidR="00D87B0C" w:rsidRPr="00A429AA" w:rsidRDefault="00D87B0C" w:rsidP="00215BD5">
      <w:pPr>
        <w:rPr>
          <w:rFonts w:ascii="Times New Roman" w:eastAsia="Times New Roman" w:hAnsi="Times New Roman" w:cs="Times New Roman"/>
          <w:b/>
          <w:sz w:val="20"/>
          <w:szCs w:val="20"/>
        </w:rPr>
      </w:pPr>
      <w:r w:rsidRPr="00A429AA">
        <w:rPr>
          <w:rFonts w:ascii="Times New Roman" w:eastAsia="Times New Roman" w:hAnsi="Times New Roman" w:cs="Times New Roman"/>
          <w:b/>
          <w:noProof/>
          <w:sz w:val="20"/>
          <w:szCs w:val="20"/>
          <w:lang w:eastAsia="en-GB"/>
        </w:rPr>
        <w:drawing>
          <wp:inline distT="0" distB="0" distL="0" distR="0" wp14:anchorId="3C08B86B" wp14:editId="4202A377">
            <wp:extent cx="3544794" cy="1993199"/>
            <wp:effectExtent l="0" t="0" r="1143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5.pdf"/>
                    <pic:cNvPicPr/>
                  </pic:nvPicPr>
                  <pic:blipFill>
                    <a:blip r:embed="rId15">
                      <a:extLst>
                        <a:ext uri="{28A0092B-C50C-407E-A947-70E740481C1C}">
                          <a14:useLocalDpi xmlns:a14="http://schemas.microsoft.com/office/drawing/2010/main" val="0"/>
                        </a:ext>
                      </a:extLst>
                    </a:blip>
                    <a:stretch>
                      <a:fillRect/>
                    </a:stretch>
                  </pic:blipFill>
                  <pic:spPr>
                    <a:xfrm>
                      <a:off x="0" y="0"/>
                      <a:ext cx="3546281" cy="1994035"/>
                    </a:xfrm>
                    <a:prstGeom prst="rect">
                      <a:avLst/>
                    </a:prstGeom>
                  </pic:spPr>
                </pic:pic>
              </a:graphicData>
            </a:graphic>
          </wp:inline>
        </w:drawing>
      </w:r>
    </w:p>
    <w:p w14:paraId="409BAC15" w14:textId="66E253F7" w:rsidR="00D87B0C" w:rsidRPr="00A429AA" w:rsidRDefault="00D87B0C" w:rsidP="00D87B0C">
      <w:pPr>
        <w:rPr>
          <w:rFonts w:ascii="Times New Roman" w:eastAsia="Times New Roman" w:hAnsi="Times New Roman" w:cs="Times New Roman"/>
          <w:sz w:val="20"/>
          <w:szCs w:val="20"/>
        </w:rPr>
      </w:pPr>
      <w:r w:rsidRPr="00A429AA">
        <w:rPr>
          <w:rFonts w:ascii="Times New Roman" w:eastAsia="Times New Roman" w:hAnsi="Times New Roman" w:cs="Times New Roman"/>
          <w:sz w:val="20"/>
          <w:szCs w:val="20"/>
        </w:rPr>
        <w:t xml:space="preserve">Source: author’s calculation, data from </w:t>
      </w:r>
      <w:proofErr w:type="spellStart"/>
      <w:r w:rsidRPr="00A429AA">
        <w:rPr>
          <w:rFonts w:ascii="Times New Roman" w:eastAsia="Times New Roman" w:hAnsi="Times New Roman" w:cs="Times New Roman"/>
          <w:sz w:val="20"/>
          <w:szCs w:val="20"/>
        </w:rPr>
        <w:t>Datastream</w:t>
      </w:r>
      <w:proofErr w:type="spellEnd"/>
    </w:p>
    <w:p w14:paraId="492A394C" w14:textId="77777777" w:rsidR="00215BD5" w:rsidRPr="00A429AA" w:rsidRDefault="00215BD5">
      <w:pPr>
        <w:rPr>
          <w:rFonts w:ascii="Times New Roman" w:hAnsi="Times New Roman" w:cs="Times New Roman"/>
          <w:b/>
        </w:rPr>
      </w:pPr>
    </w:p>
    <w:p w14:paraId="00D257E1" w14:textId="77777777" w:rsidR="006D162A" w:rsidRPr="00A429AA" w:rsidRDefault="006D162A" w:rsidP="005F684C">
      <w:pPr>
        <w:spacing w:line="360" w:lineRule="auto"/>
        <w:jc w:val="both"/>
        <w:rPr>
          <w:rFonts w:ascii="Times New Roman" w:eastAsia="Times New Roman" w:hAnsi="Times New Roman" w:cs="Times New Roman"/>
        </w:rPr>
      </w:pPr>
    </w:p>
    <w:p w14:paraId="74A55D0C" w14:textId="7E265CFD" w:rsidR="00A84C78" w:rsidRPr="00A429AA" w:rsidRDefault="00A84C78" w:rsidP="00835AAC">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The UK was one of the countries hit</w:t>
      </w:r>
      <w:r w:rsidR="00445263" w:rsidRPr="00A429AA">
        <w:rPr>
          <w:rFonts w:ascii="Times New Roman" w:eastAsia="Times New Roman" w:hAnsi="Times New Roman" w:cs="Times New Roman"/>
        </w:rPr>
        <w:t xml:space="preserve"> hardest</w:t>
      </w:r>
      <w:r w:rsidRPr="00A429AA">
        <w:rPr>
          <w:rFonts w:ascii="Times New Roman" w:eastAsia="Times New Roman" w:hAnsi="Times New Roman" w:cs="Times New Roman"/>
        </w:rPr>
        <w:t xml:space="preserve"> by the crisis, </w:t>
      </w:r>
      <w:r w:rsidR="00A47247" w:rsidRPr="00A429AA">
        <w:rPr>
          <w:rFonts w:ascii="Times New Roman" w:eastAsia="Times New Roman" w:hAnsi="Times New Roman" w:cs="Times New Roman"/>
        </w:rPr>
        <w:t xml:space="preserve">mainly </w:t>
      </w:r>
      <w:r w:rsidRPr="00A429AA">
        <w:rPr>
          <w:rFonts w:ascii="Times New Roman" w:eastAsia="Times New Roman" w:hAnsi="Times New Roman" w:cs="Times New Roman"/>
        </w:rPr>
        <w:t>because 6.5% of its gross value added was generated by banking and insurance industries and 20% of UK GDP came from London’s economy which highly depends on its banking and insurance sector (</w:t>
      </w:r>
      <w:proofErr w:type="spellStart"/>
      <w:r w:rsidRPr="00A429AA">
        <w:rPr>
          <w:rFonts w:ascii="Times New Roman" w:eastAsia="Times New Roman" w:hAnsi="Times New Roman" w:cs="Times New Roman"/>
        </w:rPr>
        <w:t>Chorafas</w:t>
      </w:r>
      <w:proofErr w:type="spellEnd"/>
      <w:r w:rsidRPr="00A429AA">
        <w:rPr>
          <w:rFonts w:ascii="Times New Roman" w:eastAsia="Times New Roman" w:hAnsi="Times New Roman" w:cs="Times New Roman"/>
        </w:rPr>
        <w:t xml:space="preserve"> 2009). </w:t>
      </w:r>
      <w:r w:rsidR="00255D31" w:rsidRPr="00A429AA">
        <w:rPr>
          <w:rFonts w:ascii="Times New Roman" w:eastAsia="Times New Roman" w:hAnsi="Times New Roman" w:cs="Times New Roman"/>
        </w:rPr>
        <w:t xml:space="preserve">Moreover, </w:t>
      </w:r>
      <w:r w:rsidR="00306A2D">
        <w:rPr>
          <w:rFonts w:ascii="Times New Roman" w:eastAsia="Times New Roman" w:hAnsi="Times New Roman" w:cs="Times New Roman"/>
        </w:rPr>
        <w:t>t</w:t>
      </w:r>
      <w:r w:rsidR="00F546FE" w:rsidRPr="00A429AA">
        <w:rPr>
          <w:rFonts w:ascii="Times New Roman" w:eastAsia="Times New Roman" w:hAnsi="Times New Roman" w:cs="Times New Roman"/>
        </w:rPr>
        <w:t xml:space="preserve">he UK banking sector </w:t>
      </w:r>
      <w:proofErr w:type="gramStart"/>
      <w:r w:rsidR="00F546FE" w:rsidRPr="00A429AA">
        <w:rPr>
          <w:rFonts w:ascii="Times New Roman" w:eastAsia="Times New Roman" w:hAnsi="Times New Roman" w:cs="Times New Roman"/>
        </w:rPr>
        <w:t>was exposed</w:t>
      </w:r>
      <w:proofErr w:type="gramEnd"/>
      <w:r w:rsidR="00F546FE" w:rsidRPr="00A429AA">
        <w:rPr>
          <w:rFonts w:ascii="Times New Roman" w:eastAsia="Times New Roman" w:hAnsi="Times New Roman" w:cs="Times New Roman"/>
        </w:rPr>
        <w:t xml:space="preserve"> to other markets' movements as half of the assets owned by the UK banks were outside the country and UK banks were highly connected to other financial markets, so as financial </w:t>
      </w:r>
      <w:r w:rsidR="00A47247" w:rsidRPr="00A429AA">
        <w:rPr>
          <w:rFonts w:ascii="Times New Roman" w:eastAsia="Times New Roman" w:hAnsi="Times New Roman" w:cs="Times New Roman"/>
        </w:rPr>
        <w:t>turmoil affected the US markets</w:t>
      </w:r>
      <w:r w:rsidR="00E4346C">
        <w:rPr>
          <w:rFonts w:ascii="Times New Roman" w:eastAsia="Times New Roman" w:hAnsi="Times New Roman" w:cs="Times New Roman"/>
        </w:rPr>
        <w:t xml:space="preserve">, </w:t>
      </w:r>
      <w:r w:rsidR="00E4346C" w:rsidRPr="00E4346C">
        <w:rPr>
          <w:rFonts w:ascii="Times" w:eastAsia="Times New Roman" w:hAnsi="Times" w:cs="Times New Roman"/>
        </w:rPr>
        <w:t>UK banks were hit too</w:t>
      </w:r>
      <w:r w:rsidR="00E4346C">
        <w:rPr>
          <w:rFonts w:ascii="Times" w:eastAsia="Times New Roman" w:hAnsi="Times" w:cs="Times New Roman"/>
        </w:rPr>
        <w:t xml:space="preserve">. </w:t>
      </w:r>
      <w:r w:rsidR="00096A9C" w:rsidRPr="00A429AA">
        <w:rPr>
          <w:rFonts w:ascii="Times New Roman" w:eastAsia="Times New Roman" w:hAnsi="Times New Roman" w:cs="Times New Roman"/>
        </w:rPr>
        <w:t>Moreover, securitisation was widely used by the UK banks in 2007. Securitisation involved 25% of new mortgages with the majority funds coming from abroad</w:t>
      </w:r>
      <w:r w:rsidR="00E048A1" w:rsidRPr="00A429AA">
        <w:rPr>
          <w:rFonts w:ascii="Times New Roman" w:eastAsia="Times New Roman" w:hAnsi="Times New Roman" w:cs="Times New Roman"/>
        </w:rPr>
        <w:t xml:space="preserve"> </w:t>
      </w:r>
      <w:r w:rsidR="008E630B" w:rsidRPr="00A429AA">
        <w:rPr>
          <w:rFonts w:ascii="Times New Roman" w:eastAsia="Times New Roman" w:hAnsi="Times New Roman" w:cs="Times New Roman"/>
        </w:rPr>
        <w:t>(OECD</w:t>
      </w:r>
      <w:r w:rsidR="00E048A1" w:rsidRPr="00A429AA">
        <w:rPr>
          <w:rFonts w:ascii="Times New Roman" w:eastAsia="Times New Roman" w:hAnsi="Times New Roman" w:cs="Times New Roman"/>
        </w:rPr>
        <w:t xml:space="preserve"> 2009 June)</w:t>
      </w:r>
      <w:r w:rsidR="00096A9C" w:rsidRPr="00A429AA">
        <w:rPr>
          <w:rFonts w:ascii="Times New Roman" w:eastAsia="Times New Roman" w:hAnsi="Times New Roman" w:cs="Times New Roman"/>
        </w:rPr>
        <w:t xml:space="preserve">. </w:t>
      </w:r>
    </w:p>
    <w:p w14:paraId="731A7B3B" w14:textId="77777777" w:rsidR="00F734AC" w:rsidRDefault="00096A9C" w:rsidP="00835AAC">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Belgian banks were also involved in investing in subprime financial instruments ABS and </w:t>
      </w:r>
      <w:r w:rsidR="00B916EB" w:rsidRPr="00A429AA">
        <w:rPr>
          <w:rFonts w:ascii="Times New Roman" w:eastAsia="Times New Roman" w:hAnsi="Times New Roman" w:cs="Times New Roman"/>
        </w:rPr>
        <w:t>CDOs, which</w:t>
      </w:r>
      <w:r w:rsidRPr="00A429AA">
        <w:rPr>
          <w:rFonts w:ascii="Times New Roman" w:eastAsia="Times New Roman" w:hAnsi="Times New Roman" w:cs="Times New Roman"/>
        </w:rPr>
        <w:t xml:space="preserve"> led to a decline in bank’s profitability </w:t>
      </w:r>
      <w:r w:rsidR="00683FFC" w:rsidRPr="00A429AA">
        <w:rPr>
          <w:rFonts w:ascii="Times New Roman" w:eastAsia="Times New Roman" w:hAnsi="Times New Roman" w:cs="Times New Roman"/>
        </w:rPr>
        <w:t xml:space="preserve">between 2006 and 2007 </w:t>
      </w:r>
      <w:r w:rsidR="008E630B" w:rsidRPr="00A429AA">
        <w:rPr>
          <w:rFonts w:ascii="Times New Roman" w:eastAsia="Times New Roman" w:hAnsi="Times New Roman" w:cs="Times New Roman"/>
        </w:rPr>
        <w:t>(National Bank of Belgium</w:t>
      </w:r>
      <w:r w:rsidR="000534D2" w:rsidRPr="00A429AA">
        <w:rPr>
          <w:rFonts w:ascii="Times New Roman" w:eastAsia="Times New Roman" w:hAnsi="Times New Roman" w:cs="Times New Roman"/>
        </w:rPr>
        <w:t xml:space="preserve"> 2008)</w:t>
      </w:r>
      <w:r w:rsidR="007877FB" w:rsidRPr="00A429AA">
        <w:rPr>
          <w:rFonts w:ascii="Times New Roman" w:eastAsia="Times New Roman" w:hAnsi="Times New Roman" w:cs="Times New Roman"/>
        </w:rPr>
        <w:t xml:space="preserve">. </w:t>
      </w:r>
    </w:p>
    <w:p w14:paraId="6A863778" w14:textId="35F720E9" w:rsidR="00835AAC" w:rsidRPr="00A429AA" w:rsidRDefault="00AC7C43" w:rsidP="00835AAC">
      <w:pPr>
        <w:spacing w:line="360" w:lineRule="auto"/>
        <w:jc w:val="both"/>
        <w:rPr>
          <w:rFonts w:ascii="Times New Roman" w:eastAsia="Times New Roman" w:hAnsi="Times New Roman" w:cs="Times New Roman"/>
        </w:rPr>
      </w:pPr>
      <w:r>
        <w:rPr>
          <w:rFonts w:ascii="Times New Roman" w:eastAsia="Times New Roman" w:hAnsi="Times New Roman" w:cs="Times New Roman"/>
        </w:rPr>
        <w:t>Another country affected by</w:t>
      </w:r>
      <w:r w:rsidR="00835AAC" w:rsidRPr="00A429AA">
        <w:rPr>
          <w:rFonts w:ascii="Times New Roman" w:eastAsia="Times New Roman" w:hAnsi="Times New Roman" w:cs="Times New Roman"/>
        </w:rPr>
        <w:t xml:space="preserve"> the US </w:t>
      </w:r>
      <w:r>
        <w:rPr>
          <w:rFonts w:ascii="Times New Roman" w:eastAsia="Times New Roman" w:hAnsi="Times New Roman" w:cs="Times New Roman"/>
        </w:rPr>
        <w:t>subprime crisis</w:t>
      </w:r>
      <w:r w:rsidR="00835AAC" w:rsidRPr="00A429AA">
        <w:rPr>
          <w:rFonts w:ascii="Times New Roman" w:eastAsia="Times New Roman" w:hAnsi="Times New Roman" w:cs="Times New Roman"/>
        </w:rPr>
        <w:t xml:space="preserve"> was the Netherlands where Dutch banks and its US subsidiaries </w:t>
      </w:r>
      <w:proofErr w:type="gramStart"/>
      <w:r w:rsidR="00835AAC" w:rsidRPr="00A429AA">
        <w:rPr>
          <w:rFonts w:ascii="Times New Roman" w:eastAsia="Times New Roman" w:hAnsi="Times New Roman" w:cs="Times New Roman"/>
        </w:rPr>
        <w:t>were exposed</w:t>
      </w:r>
      <w:proofErr w:type="gramEnd"/>
      <w:r w:rsidR="00835AAC" w:rsidRPr="00A429AA">
        <w:rPr>
          <w:rFonts w:ascii="Times New Roman" w:eastAsia="Times New Roman" w:hAnsi="Times New Roman" w:cs="Times New Roman"/>
        </w:rPr>
        <w:t xml:space="preserve"> to the US mortgage-backed securities and they suffered during the financial </w:t>
      </w:r>
      <w:r w:rsidR="001C7B53" w:rsidRPr="00A429AA">
        <w:rPr>
          <w:rFonts w:ascii="Times New Roman" w:eastAsia="Times New Roman" w:hAnsi="Times New Roman" w:cs="Times New Roman"/>
        </w:rPr>
        <w:t>crisis because of limited inter</w:t>
      </w:r>
      <w:r w:rsidR="00835AAC" w:rsidRPr="00A429AA">
        <w:rPr>
          <w:rFonts w:ascii="Times New Roman" w:eastAsia="Times New Roman" w:hAnsi="Times New Roman" w:cs="Times New Roman"/>
        </w:rPr>
        <w:t>bank funding</w:t>
      </w:r>
      <w:r w:rsidR="003E1678"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(IMF</w:t>
      </w:r>
      <w:r w:rsidR="003E1678" w:rsidRPr="00A429AA">
        <w:rPr>
          <w:rFonts w:ascii="Times New Roman" w:eastAsia="Times New Roman" w:hAnsi="Times New Roman" w:cs="Times New Roman"/>
        </w:rPr>
        <w:t xml:space="preserve"> 2011 June)</w:t>
      </w:r>
      <w:r w:rsidR="00835AAC" w:rsidRPr="00A429AA">
        <w:rPr>
          <w:rFonts w:ascii="Times New Roman" w:eastAsia="Times New Roman" w:hAnsi="Times New Roman" w:cs="Times New Roman"/>
        </w:rPr>
        <w:t>.</w:t>
      </w:r>
      <w:r w:rsidR="005E6994" w:rsidRPr="00A429AA">
        <w:rPr>
          <w:rFonts w:ascii="Times New Roman" w:eastAsia="Times New Roman" w:hAnsi="Times New Roman" w:cs="Times New Roman"/>
        </w:rPr>
        <w:t xml:space="preserve"> Another consequence of significant Dutch banks investments in structured credit products that originated in the US was 10 billion euro worth of write-downs that were made by</w:t>
      </w:r>
      <w:r w:rsidR="00255D31" w:rsidRPr="00A429AA">
        <w:rPr>
          <w:rFonts w:ascii="Times New Roman" w:eastAsia="Times New Roman" w:hAnsi="Times New Roman" w:cs="Times New Roman"/>
        </w:rPr>
        <w:t xml:space="preserve"> four major Dutch banks in 2007 </w:t>
      </w:r>
      <w:r w:rsidR="00D22C82" w:rsidRPr="00A429AA">
        <w:rPr>
          <w:rFonts w:ascii="Times New Roman" w:eastAsia="Times New Roman" w:hAnsi="Times New Roman" w:cs="Times New Roman"/>
        </w:rPr>
        <w:t>(</w:t>
      </w:r>
      <w:r w:rsidR="00A446EB" w:rsidRPr="00A429AA">
        <w:rPr>
          <w:rFonts w:ascii="Times New Roman" w:eastAsia="Times New Roman" w:hAnsi="Times New Roman" w:cs="Times New Roman"/>
        </w:rPr>
        <w:t xml:space="preserve">De </w:t>
      </w:r>
      <w:proofErr w:type="spellStart"/>
      <w:r w:rsidR="00A446EB" w:rsidRPr="00A429AA">
        <w:rPr>
          <w:rFonts w:ascii="Times New Roman" w:eastAsia="Times New Roman" w:hAnsi="Times New Roman" w:cs="Times New Roman"/>
        </w:rPr>
        <w:t>Nederlandsche</w:t>
      </w:r>
      <w:proofErr w:type="spellEnd"/>
      <w:r w:rsidR="00A446EB" w:rsidRPr="00A429AA">
        <w:rPr>
          <w:rFonts w:ascii="Times New Roman" w:eastAsia="Times New Roman" w:hAnsi="Times New Roman" w:cs="Times New Roman"/>
        </w:rPr>
        <w:t xml:space="preserve"> Bank</w:t>
      </w:r>
      <w:r w:rsidR="003E1678" w:rsidRPr="00A429AA">
        <w:rPr>
          <w:rFonts w:ascii="Times New Roman" w:eastAsia="Times New Roman" w:hAnsi="Times New Roman" w:cs="Times New Roman"/>
        </w:rPr>
        <w:t xml:space="preserve"> 2008)</w:t>
      </w:r>
      <w:r w:rsidR="005142D4" w:rsidRPr="00A429AA">
        <w:rPr>
          <w:rFonts w:ascii="Times New Roman" w:eastAsia="Times New Roman" w:hAnsi="Times New Roman" w:cs="Times New Roman"/>
        </w:rPr>
        <w:t>.</w:t>
      </w:r>
    </w:p>
    <w:p w14:paraId="72174A8B" w14:textId="77777777" w:rsidR="00C040CE" w:rsidRPr="00A429AA" w:rsidRDefault="006F48C7" w:rsidP="00486CE5">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Conversely, </w:t>
      </w:r>
      <w:r w:rsidR="00481FCC" w:rsidRPr="00A429AA">
        <w:rPr>
          <w:rFonts w:ascii="Times New Roman" w:eastAsia="Times New Roman" w:hAnsi="Times New Roman" w:cs="Times New Roman"/>
        </w:rPr>
        <w:t>Italian,</w:t>
      </w:r>
      <w:r w:rsidR="00A410B9" w:rsidRPr="00A429AA">
        <w:rPr>
          <w:rFonts w:ascii="Times New Roman" w:eastAsia="Times New Roman" w:hAnsi="Times New Roman" w:cs="Times New Roman"/>
        </w:rPr>
        <w:t xml:space="preserve"> Portuguese</w:t>
      </w:r>
      <w:r w:rsidR="006E7AFD" w:rsidRPr="00A429AA">
        <w:rPr>
          <w:rFonts w:ascii="Times New Roman" w:eastAsia="Times New Roman" w:hAnsi="Times New Roman" w:cs="Times New Roman"/>
        </w:rPr>
        <w:t>,</w:t>
      </w:r>
      <w:r w:rsidR="00481FCC" w:rsidRPr="00A429AA">
        <w:rPr>
          <w:rFonts w:ascii="Times New Roman" w:eastAsia="Times New Roman" w:hAnsi="Times New Roman" w:cs="Times New Roman"/>
        </w:rPr>
        <w:t xml:space="preserve"> </w:t>
      </w:r>
      <w:r w:rsidR="005F670F" w:rsidRPr="00A429AA">
        <w:rPr>
          <w:rFonts w:ascii="Times New Roman" w:eastAsia="Times New Roman" w:hAnsi="Times New Roman" w:cs="Times New Roman"/>
        </w:rPr>
        <w:t xml:space="preserve">Danish and </w:t>
      </w:r>
      <w:r w:rsidR="00481FCC" w:rsidRPr="00A429AA">
        <w:rPr>
          <w:rFonts w:ascii="Times New Roman" w:eastAsia="Times New Roman" w:hAnsi="Times New Roman" w:cs="Times New Roman"/>
        </w:rPr>
        <w:t>Spanish</w:t>
      </w:r>
      <w:r w:rsidR="005F670F" w:rsidRPr="00A429AA">
        <w:rPr>
          <w:rFonts w:ascii="Times New Roman" w:eastAsia="Times New Roman" w:hAnsi="Times New Roman" w:cs="Times New Roman"/>
        </w:rPr>
        <w:t xml:space="preserve"> banks</w:t>
      </w:r>
      <w:r w:rsidRPr="00A429AA">
        <w:rPr>
          <w:rFonts w:ascii="Times New Roman" w:eastAsia="Times New Roman" w:hAnsi="Times New Roman" w:cs="Times New Roman"/>
        </w:rPr>
        <w:t xml:space="preserve"> </w:t>
      </w:r>
      <w:r w:rsidR="005F670F" w:rsidRPr="00A429AA">
        <w:rPr>
          <w:rFonts w:ascii="Times New Roman" w:eastAsia="Times New Roman" w:hAnsi="Times New Roman" w:cs="Times New Roman"/>
        </w:rPr>
        <w:t>were not directly involved in originating and trade of credit-backed securities</w:t>
      </w:r>
      <w:r w:rsidR="00BC76D8" w:rsidRPr="00A429AA">
        <w:rPr>
          <w:rFonts w:ascii="Times New Roman" w:eastAsia="Times New Roman" w:hAnsi="Times New Roman" w:cs="Times New Roman"/>
        </w:rPr>
        <w:t>. However, an increase of uncertainty in the reaction to the financial crisis in the US</w:t>
      </w:r>
      <w:r w:rsidR="00007E57" w:rsidRPr="00A429AA">
        <w:rPr>
          <w:rFonts w:ascii="Times New Roman" w:eastAsia="Times New Roman" w:hAnsi="Times New Roman" w:cs="Times New Roman"/>
        </w:rPr>
        <w:t xml:space="preserve"> and reduction in the interbank market</w:t>
      </w:r>
      <w:r w:rsidR="00BC76D8" w:rsidRPr="00A429AA">
        <w:rPr>
          <w:rFonts w:ascii="Times New Roman" w:eastAsia="Times New Roman" w:hAnsi="Times New Roman" w:cs="Times New Roman"/>
        </w:rPr>
        <w:t xml:space="preserve"> had an effect on those banking systems</w:t>
      </w:r>
      <w:r w:rsidR="00A63C31" w:rsidRPr="00A429AA">
        <w:rPr>
          <w:rFonts w:ascii="Times New Roman" w:eastAsia="Times New Roman" w:hAnsi="Times New Roman" w:cs="Times New Roman"/>
        </w:rPr>
        <w:t>. For example in Italy</w:t>
      </w:r>
      <w:r w:rsidR="00BC76D8" w:rsidRPr="00A429AA">
        <w:rPr>
          <w:rFonts w:ascii="Times New Roman" w:eastAsia="Times New Roman" w:hAnsi="Times New Roman" w:cs="Times New Roman"/>
        </w:rPr>
        <w:t xml:space="preserve"> financial shares decreased from September 2007 to January 2009 by 64%</w:t>
      </w:r>
      <w:r w:rsidR="00A63C31"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(OECD</w:t>
      </w:r>
      <w:r w:rsidR="001056A5" w:rsidRPr="00A429AA">
        <w:rPr>
          <w:rFonts w:ascii="Times New Roman" w:eastAsia="Times New Roman" w:hAnsi="Times New Roman" w:cs="Times New Roman"/>
        </w:rPr>
        <w:t xml:space="preserve"> 2009 June) </w:t>
      </w:r>
      <w:r w:rsidR="00A63C31" w:rsidRPr="00A429AA">
        <w:rPr>
          <w:rFonts w:ascii="Times New Roman" w:eastAsia="Times New Roman" w:hAnsi="Times New Roman" w:cs="Times New Roman"/>
        </w:rPr>
        <w:t xml:space="preserve">and in 2008, Italian </w:t>
      </w:r>
      <w:r w:rsidR="00A63C31" w:rsidRPr="00A429AA">
        <w:rPr>
          <w:rFonts w:ascii="Times New Roman" w:eastAsia="Times New Roman" w:hAnsi="Times New Roman" w:cs="Times New Roman"/>
        </w:rPr>
        <w:lastRenderedPageBreak/>
        <w:t>banks were first affected by the financial crisis by the limited availability of wholesale markets and thus banks’ profits declined by almost two thirds</w:t>
      </w:r>
      <w:r w:rsidR="005E5AA2" w:rsidRPr="00A429AA">
        <w:rPr>
          <w:rFonts w:ascii="Times New Roman" w:eastAsia="Times New Roman" w:hAnsi="Times New Roman" w:cs="Times New Roman"/>
        </w:rPr>
        <w:t xml:space="preserve"> </w:t>
      </w:r>
      <w:r w:rsidR="006F4624" w:rsidRPr="00A429AA">
        <w:rPr>
          <w:rFonts w:ascii="Times New Roman" w:eastAsia="Times New Roman" w:hAnsi="Times New Roman" w:cs="Times New Roman"/>
        </w:rPr>
        <w:t>(Banca</w:t>
      </w:r>
      <w:r w:rsidR="005E5AA2" w:rsidRPr="00A429AA">
        <w:rPr>
          <w:rFonts w:ascii="Times New Roman" w:eastAsia="Times New Roman" w:hAnsi="Times New Roman" w:cs="Times New Roman"/>
        </w:rPr>
        <w:t xml:space="preserve"> </w:t>
      </w:r>
      <w:proofErr w:type="spellStart"/>
      <w:r w:rsidR="005E5AA2" w:rsidRPr="00A429AA">
        <w:rPr>
          <w:rFonts w:ascii="Times New Roman" w:eastAsia="Times New Roman" w:hAnsi="Times New Roman" w:cs="Times New Roman"/>
        </w:rPr>
        <w:t>D'Italia</w:t>
      </w:r>
      <w:proofErr w:type="spellEnd"/>
      <w:r w:rsidR="005E5AA2" w:rsidRPr="00A429AA">
        <w:rPr>
          <w:rFonts w:ascii="Times New Roman" w:eastAsia="Times New Roman" w:hAnsi="Times New Roman" w:cs="Times New Roman"/>
        </w:rPr>
        <w:t>, 2009)</w:t>
      </w:r>
      <w:r w:rsidR="00A63C31" w:rsidRPr="00A429AA">
        <w:rPr>
          <w:rFonts w:ascii="Times New Roman" w:eastAsia="Times New Roman" w:hAnsi="Times New Roman" w:cs="Times New Roman"/>
        </w:rPr>
        <w:t xml:space="preserve">. </w:t>
      </w:r>
      <w:r w:rsidR="00F02F34" w:rsidRPr="00A429AA">
        <w:rPr>
          <w:rFonts w:ascii="Times New Roman" w:eastAsia="Times New Roman" w:hAnsi="Times New Roman" w:cs="Times New Roman"/>
        </w:rPr>
        <w:t xml:space="preserve">Also </w:t>
      </w:r>
      <w:r w:rsidR="00B73A05" w:rsidRPr="00A429AA">
        <w:rPr>
          <w:rFonts w:ascii="Times New Roman" w:eastAsia="Times New Roman" w:hAnsi="Times New Roman" w:cs="Times New Roman"/>
        </w:rPr>
        <w:t>Spanish banks relied on external funding as their source of finance</w:t>
      </w:r>
      <w:r w:rsidR="00A72CC3"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IMF</w:t>
      </w:r>
      <w:r w:rsidR="00A72CC3" w:rsidRPr="00A429AA">
        <w:rPr>
          <w:rFonts w:ascii="Times New Roman" w:eastAsia="Times New Roman" w:hAnsi="Times New Roman" w:cs="Times New Roman"/>
        </w:rPr>
        <w:t xml:space="preserve"> 2012 June)</w:t>
      </w:r>
      <w:r w:rsidR="00B73A05" w:rsidRPr="00A429AA">
        <w:rPr>
          <w:rFonts w:ascii="Times New Roman" w:eastAsia="Times New Roman" w:hAnsi="Times New Roman" w:cs="Times New Roman"/>
        </w:rPr>
        <w:t xml:space="preserve"> so a limited access to interbank and wholesale markets in the second half of 2007 negatively affected Spanish banks' operations</w:t>
      </w:r>
      <w:r w:rsidR="00D72112"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 xml:space="preserve">(Banco de </w:t>
      </w:r>
      <w:proofErr w:type="spellStart"/>
      <w:r w:rsidR="00A446EB" w:rsidRPr="00A429AA">
        <w:rPr>
          <w:rFonts w:ascii="Times New Roman" w:eastAsia="Times New Roman" w:hAnsi="Times New Roman" w:cs="Times New Roman"/>
        </w:rPr>
        <w:t>Espana</w:t>
      </w:r>
      <w:proofErr w:type="spellEnd"/>
      <w:r w:rsidR="00D72112" w:rsidRPr="00A429AA">
        <w:rPr>
          <w:rFonts w:ascii="Times New Roman" w:eastAsia="Times New Roman" w:hAnsi="Times New Roman" w:cs="Times New Roman"/>
        </w:rPr>
        <w:t xml:space="preserve"> 2007)</w:t>
      </w:r>
      <w:r w:rsidR="00B73A05" w:rsidRPr="00A429AA">
        <w:rPr>
          <w:rFonts w:ascii="Times New Roman" w:eastAsia="Times New Roman" w:hAnsi="Times New Roman" w:cs="Times New Roman"/>
        </w:rPr>
        <w:t>. The deteriorating situation in the financial market in Spain continued in 2008 resulting in a decrease of profits of Spanish credit institutions</w:t>
      </w:r>
      <w:r w:rsidR="00D72112"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 xml:space="preserve">(Banco de </w:t>
      </w:r>
      <w:proofErr w:type="spellStart"/>
      <w:r w:rsidR="00A446EB" w:rsidRPr="00A429AA">
        <w:rPr>
          <w:rFonts w:ascii="Times New Roman" w:eastAsia="Times New Roman" w:hAnsi="Times New Roman" w:cs="Times New Roman"/>
        </w:rPr>
        <w:t>Espana</w:t>
      </w:r>
      <w:proofErr w:type="spellEnd"/>
      <w:r w:rsidR="00D72112" w:rsidRPr="00A429AA">
        <w:rPr>
          <w:rFonts w:ascii="Times New Roman" w:eastAsia="Times New Roman" w:hAnsi="Times New Roman" w:cs="Times New Roman"/>
        </w:rPr>
        <w:t xml:space="preserve"> 2008)</w:t>
      </w:r>
      <w:r w:rsidR="00B73A05" w:rsidRPr="00A429AA">
        <w:rPr>
          <w:rFonts w:ascii="Times New Roman" w:eastAsia="Times New Roman" w:hAnsi="Times New Roman" w:cs="Times New Roman"/>
        </w:rPr>
        <w:t>.</w:t>
      </w:r>
      <w:r w:rsidR="00B77AB2" w:rsidRPr="00A429AA">
        <w:rPr>
          <w:rFonts w:ascii="Times New Roman" w:eastAsia="Times New Roman" w:hAnsi="Times New Roman" w:cs="Times New Roman"/>
        </w:rPr>
        <w:t xml:space="preserve"> </w:t>
      </w:r>
      <w:r w:rsidR="0069398F" w:rsidRPr="00A429AA">
        <w:rPr>
          <w:rFonts w:ascii="Times New Roman" w:eastAsia="Times New Roman" w:hAnsi="Times New Roman" w:cs="Times New Roman"/>
        </w:rPr>
        <w:t xml:space="preserve">Portuguese </w:t>
      </w:r>
      <w:r w:rsidR="000C655E" w:rsidRPr="00A429AA">
        <w:rPr>
          <w:rFonts w:ascii="Times New Roman" w:eastAsia="Times New Roman" w:hAnsi="Times New Roman" w:cs="Times New Roman"/>
        </w:rPr>
        <w:t xml:space="preserve">and German </w:t>
      </w:r>
      <w:r w:rsidR="0069398F" w:rsidRPr="00A429AA">
        <w:rPr>
          <w:rFonts w:ascii="Times New Roman" w:eastAsia="Times New Roman" w:hAnsi="Times New Roman" w:cs="Times New Roman"/>
        </w:rPr>
        <w:t xml:space="preserve">banks’ profits </w:t>
      </w:r>
      <w:proofErr w:type="gramStart"/>
      <w:r w:rsidR="0069398F" w:rsidRPr="00A429AA">
        <w:rPr>
          <w:rFonts w:ascii="Times New Roman" w:eastAsia="Times New Roman" w:hAnsi="Times New Roman" w:cs="Times New Roman"/>
        </w:rPr>
        <w:t>were affected</w:t>
      </w:r>
      <w:proofErr w:type="gramEnd"/>
      <w:r w:rsidR="0069398F" w:rsidRPr="00A429AA">
        <w:rPr>
          <w:rFonts w:ascii="Times New Roman" w:eastAsia="Times New Roman" w:hAnsi="Times New Roman" w:cs="Times New Roman"/>
        </w:rPr>
        <w:t xml:space="preserve"> by an increase in cost of borrowing caused by the subprime crisis in the second half of 2007</w:t>
      </w:r>
      <w:r w:rsidR="00846AA4" w:rsidRPr="00A429AA">
        <w:rPr>
          <w:rFonts w:ascii="Times New Roman" w:eastAsia="Times New Roman" w:hAnsi="Times New Roman" w:cs="Times New Roman"/>
        </w:rPr>
        <w:t xml:space="preserve"> (Banco de Portugal, 2008; IMF 2011 July). </w:t>
      </w:r>
      <w:r w:rsidR="00B916EB" w:rsidRPr="00A429AA">
        <w:rPr>
          <w:rFonts w:ascii="Times New Roman" w:eastAsia="Times New Roman" w:hAnsi="Times New Roman" w:cs="Times New Roman"/>
        </w:rPr>
        <w:t xml:space="preserve"> </w:t>
      </w:r>
    </w:p>
    <w:p w14:paraId="1C251E74" w14:textId="0293BD5F" w:rsidR="00486CE5" w:rsidRPr="00A429AA" w:rsidRDefault="00486CE5" w:rsidP="00486CE5">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In Sweden, the crisis resulted in currency depreciation, drops in output, banks’ liquidity problems and a drop in investment in the Baltics that resulted in a decrease in share prices </w:t>
      </w:r>
      <w:r w:rsidR="00A446EB" w:rsidRPr="00A429AA">
        <w:rPr>
          <w:rFonts w:ascii="Times New Roman" w:eastAsia="Times New Roman" w:hAnsi="Times New Roman" w:cs="Times New Roman"/>
        </w:rPr>
        <w:t>(IMF</w:t>
      </w:r>
      <w:r w:rsidR="00A43CE1" w:rsidRPr="00A429AA">
        <w:rPr>
          <w:rFonts w:ascii="Times New Roman" w:eastAsia="Times New Roman" w:hAnsi="Times New Roman" w:cs="Times New Roman"/>
        </w:rPr>
        <w:t xml:space="preserve"> 2011 July)</w:t>
      </w:r>
      <w:r w:rsidRPr="00A429AA">
        <w:rPr>
          <w:rFonts w:ascii="Times New Roman" w:eastAsia="Times New Roman" w:hAnsi="Times New Roman" w:cs="Times New Roman"/>
        </w:rPr>
        <w:t>. Another consequence of the subprime crisis was an increase in the rate of interest of funds from abroad</w:t>
      </w:r>
      <w:r w:rsidR="00A43CE1"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w:t>
      </w:r>
      <w:proofErr w:type="spellStart"/>
      <w:r w:rsidR="00A446EB" w:rsidRPr="00A429AA">
        <w:rPr>
          <w:rFonts w:ascii="Times New Roman" w:eastAsia="Times New Roman" w:hAnsi="Times New Roman" w:cs="Times New Roman"/>
        </w:rPr>
        <w:t>Sveriges</w:t>
      </w:r>
      <w:proofErr w:type="spellEnd"/>
      <w:r w:rsidR="00A446EB" w:rsidRPr="00A429AA">
        <w:rPr>
          <w:rFonts w:ascii="Times New Roman" w:eastAsia="Times New Roman" w:hAnsi="Times New Roman" w:cs="Times New Roman"/>
        </w:rPr>
        <w:t xml:space="preserve"> </w:t>
      </w:r>
      <w:proofErr w:type="spellStart"/>
      <w:r w:rsidR="00A446EB" w:rsidRPr="00A429AA">
        <w:rPr>
          <w:rFonts w:ascii="Times New Roman" w:eastAsia="Times New Roman" w:hAnsi="Times New Roman" w:cs="Times New Roman"/>
        </w:rPr>
        <w:t>Riksbank</w:t>
      </w:r>
      <w:proofErr w:type="spellEnd"/>
      <w:r w:rsidR="00A43CE1" w:rsidRPr="00A429AA">
        <w:rPr>
          <w:rFonts w:ascii="Times New Roman" w:eastAsia="Times New Roman" w:hAnsi="Times New Roman" w:cs="Times New Roman"/>
        </w:rPr>
        <w:t xml:space="preserve"> 2007)</w:t>
      </w:r>
      <w:r w:rsidRPr="00A429AA">
        <w:rPr>
          <w:rFonts w:ascii="Times New Roman" w:eastAsia="Times New Roman" w:hAnsi="Times New Roman" w:cs="Times New Roman"/>
        </w:rPr>
        <w:t xml:space="preserve">. In </w:t>
      </w:r>
      <w:proofErr w:type="gramStart"/>
      <w:r w:rsidRPr="00A429AA">
        <w:rPr>
          <w:rFonts w:ascii="Times New Roman" w:eastAsia="Times New Roman" w:hAnsi="Times New Roman" w:cs="Times New Roman"/>
        </w:rPr>
        <w:t>2008</w:t>
      </w:r>
      <w:proofErr w:type="gramEnd"/>
      <w:r w:rsidRPr="00A429AA">
        <w:rPr>
          <w:rFonts w:ascii="Times New Roman" w:eastAsia="Times New Roman" w:hAnsi="Times New Roman" w:cs="Times New Roman"/>
        </w:rPr>
        <w:t xml:space="preserve"> there was also a decrease in profitability of banks although not as dramatic and in line with the 10 years average</w:t>
      </w:r>
      <w:r w:rsidR="00441628"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w:t>
      </w:r>
      <w:proofErr w:type="spellStart"/>
      <w:r w:rsidR="00A446EB" w:rsidRPr="00A429AA">
        <w:rPr>
          <w:rFonts w:ascii="Times New Roman" w:eastAsia="Times New Roman" w:hAnsi="Times New Roman" w:cs="Times New Roman"/>
        </w:rPr>
        <w:t>Sveriges</w:t>
      </w:r>
      <w:proofErr w:type="spellEnd"/>
      <w:r w:rsidR="00A446EB" w:rsidRPr="00A429AA">
        <w:rPr>
          <w:rFonts w:ascii="Times New Roman" w:eastAsia="Times New Roman" w:hAnsi="Times New Roman" w:cs="Times New Roman"/>
        </w:rPr>
        <w:t xml:space="preserve"> </w:t>
      </w:r>
      <w:proofErr w:type="spellStart"/>
      <w:r w:rsidR="00A446EB" w:rsidRPr="00A429AA">
        <w:rPr>
          <w:rFonts w:ascii="Times New Roman" w:eastAsia="Times New Roman" w:hAnsi="Times New Roman" w:cs="Times New Roman"/>
        </w:rPr>
        <w:t>Riksbank</w:t>
      </w:r>
      <w:proofErr w:type="spellEnd"/>
      <w:r w:rsidR="00441628" w:rsidRPr="00A429AA">
        <w:rPr>
          <w:rFonts w:ascii="Times New Roman" w:eastAsia="Times New Roman" w:hAnsi="Times New Roman" w:cs="Times New Roman"/>
        </w:rPr>
        <w:t xml:space="preserve"> 2008)</w:t>
      </w:r>
      <w:r w:rsidRPr="00A429AA">
        <w:rPr>
          <w:rFonts w:ascii="Times New Roman" w:eastAsia="Times New Roman" w:hAnsi="Times New Roman" w:cs="Times New Roman"/>
        </w:rPr>
        <w:t xml:space="preserve">. </w:t>
      </w:r>
    </w:p>
    <w:p w14:paraId="3F1C68F1" w14:textId="77777777" w:rsidR="005604EA" w:rsidRPr="00A429AA" w:rsidRDefault="005D311D" w:rsidP="00BC63B9">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In several </w:t>
      </w:r>
      <w:proofErr w:type="gramStart"/>
      <w:r w:rsidRPr="00A429AA">
        <w:rPr>
          <w:rFonts w:ascii="Times New Roman" w:eastAsia="Times New Roman" w:hAnsi="Times New Roman" w:cs="Times New Roman"/>
        </w:rPr>
        <w:t>countries</w:t>
      </w:r>
      <w:proofErr w:type="gramEnd"/>
      <w:r w:rsidRPr="00A429AA">
        <w:rPr>
          <w:rFonts w:ascii="Times New Roman" w:eastAsia="Times New Roman" w:hAnsi="Times New Roman" w:cs="Times New Roman"/>
        </w:rPr>
        <w:t xml:space="preserve"> the financial crisis </w:t>
      </w:r>
      <w:r w:rsidR="00E34B24" w:rsidRPr="00A429AA">
        <w:rPr>
          <w:rFonts w:ascii="Times New Roman" w:eastAsia="Times New Roman" w:hAnsi="Times New Roman" w:cs="Times New Roman"/>
        </w:rPr>
        <w:t xml:space="preserve">led to financial problems of major financial institutions. </w:t>
      </w:r>
      <w:r w:rsidR="00235992" w:rsidRPr="00A429AA">
        <w:rPr>
          <w:rFonts w:ascii="Times New Roman" w:eastAsia="Times New Roman" w:hAnsi="Times New Roman" w:cs="Times New Roman"/>
        </w:rPr>
        <w:t xml:space="preserve">One of the first was Northern </w:t>
      </w:r>
      <w:r w:rsidR="00B916EB" w:rsidRPr="00A429AA">
        <w:rPr>
          <w:rFonts w:ascii="Times New Roman" w:eastAsia="Times New Roman" w:hAnsi="Times New Roman" w:cs="Times New Roman"/>
        </w:rPr>
        <w:t>Rock, which</w:t>
      </w:r>
      <w:r w:rsidR="00BC63B9" w:rsidRPr="00A429AA">
        <w:rPr>
          <w:rFonts w:ascii="Times New Roman" w:eastAsia="Times New Roman" w:hAnsi="Times New Roman" w:cs="Times New Roman"/>
        </w:rPr>
        <w:t xml:space="preserve"> </w:t>
      </w:r>
      <w:r w:rsidR="00235992" w:rsidRPr="00A429AA">
        <w:rPr>
          <w:rFonts w:ascii="Times New Roman" w:eastAsia="Times New Roman" w:hAnsi="Times New Roman" w:cs="Times New Roman"/>
        </w:rPr>
        <w:t>experienced problems with funding</w:t>
      </w:r>
      <w:r w:rsidR="00BC63B9" w:rsidRPr="00A429AA">
        <w:rPr>
          <w:rFonts w:ascii="Times New Roman" w:eastAsia="Times New Roman" w:hAnsi="Times New Roman" w:cs="Times New Roman"/>
        </w:rPr>
        <w:t xml:space="preserve"> in 2007</w:t>
      </w:r>
      <w:r w:rsidR="00235992" w:rsidRPr="00A429AA">
        <w:rPr>
          <w:rFonts w:ascii="Times New Roman" w:eastAsia="Times New Roman" w:hAnsi="Times New Roman" w:cs="Times New Roman"/>
        </w:rPr>
        <w:t xml:space="preserve">. Although the bank </w:t>
      </w:r>
      <w:proofErr w:type="gramStart"/>
      <w:r w:rsidR="00235992" w:rsidRPr="00A429AA">
        <w:rPr>
          <w:rFonts w:ascii="Times New Roman" w:eastAsia="Times New Roman" w:hAnsi="Times New Roman" w:cs="Times New Roman"/>
        </w:rPr>
        <w:t>was not exposed</w:t>
      </w:r>
      <w:proofErr w:type="gramEnd"/>
      <w:r w:rsidR="00235992" w:rsidRPr="00A429AA">
        <w:rPr>
          <w:rFonts w:ascii="Times New Roman" w:eastAsia="Times New Roman" w:hAnsi="Times New Roman" w:cs="Times New Roman"/>
        </w:rPr>
        <w:t xml:space="preserve"> to subprime mortgages, its growth strategy depended on securitisation and in 2007 when the crisis in the US reduced availability of long-term funds, Northern Rock experienced short-term liquidity problems and this led to deposit bank runs</w:t>
      </w:r>
      <w:r w:rsidR="00C22BC6" w:rsidRPr="00A429AA">
        <w:rPr>
          <w:rFonts w:ascii="Times New Roman" w:eastAsia="Times New Roman" w:hAnsi="Times New Roman" w:cs="Times New Roman"/>
        </w:rPr>
        <w:t xml:space="preserve"> </w:t>
      </w:r>
      <w:r w:rsidR="00A446EB" w:rsidRPr="00A429AA">
        <w:rPr>
          <w:rFonts w:ascii="Times New Roman" w:eastAsia="Times New Roman" w:hAnsi="Times New Roman" w:cs="Times New Roman"/>
        </w:rPr>
        <w:t>(Bank of England</w:t>
      </w:r>
      <w:r w:rsidR="00C22BC6" w:rsidRPr="00A429AA">
        <w:rPr>
          <w:rFonts w:ascii="Times New Roman" w:eastAsia="Times New Roman" w:hAnsi="Times New Roman" w:cs="Times New Roman"/>
        </w:rPr>
        <w:t xml:space="preserve"> 2007)</w:t>
      </w:r>
      <w:r w:rsidR="00235992" w:rsidRPr="00A429AA">
        <w:rPr>
          <w:rFonts w:ascii="Times New Roman" w:eastAsia="Times New Roman" w:hAnsi="Times New Roman" w:cs="Times New Roman"/>
        </w:rPr>
        <w:t xml:space="preserve">. </w:t>
      </w:r>
      <w:r w:rsidR="00BC63B9" w:rsidRPr="00A429AA">
        <w:rPr>
          <w:rFonts w:ascii="Times New Roman" w:eastAsia="Times New Roman" w:hAnsi="Times New Roman" w:cs="Times New Roman"/>
        </w:rPr>
        <w:t xml:space="preserve">Another important European financial institution </w:t>
      </w:r>
      <w:r w:rsidR="00E34B24" w:rsidRPr="00A429AA">
        <w:rPr>
          <w:rFonts w:ascii="Times New Roman" w:eastAsia="Times New Roman" w:hAnsi="Times New Roman" w:cs="Times New Roman"/>
        </w:rPr>
        <w:t>nationalised</w:t>
      </w:r>
      <w:r w:rsidR="00B916EB" w:rsidRPr="00A429AA">
        <w:rPr>
          <w:rFonts w:ascii="Times New Roman" w:eastAsia="Times New Roman" w:hAnsi="Times New Roman" w:cs="Times New Roman"/>
        </w:rPr>
        <w:t xml:space="preserve"> by t</w:t>
      </w:r>
      <w:r w:rsidR="00BC63B9" w:rsidRPr="00A429AA">
        <w:rPr>
          <w:rFonts w:ascii="Times New Roman" w:eastAsia="Times New Roman" w:hAnsi="Times New Roman" w:cs="Times New Roman"/>
        </w:rPr>
        <w:t>he g</w:t>
      </w:r>
      <w:r w:rsidR="00AD3335" w:rsidRPr="00A429AA">
        <w:rPr>
          <w:rFonts w:ascii="Times New Roman" w:eastAsia="Times New Roman" w:hAnsi="Times New Roman" w:cs="Times New Roman"/>
        </w:rPr>
        <w:t xml:space="preserve">overnment was Fortis Nederland and </w:t>
      </w:r>
      <w:r w:rsidR="00E34B24" w:rsidRPr="00A429AA">
        <w:rPr>
          <w:rFonts w:ascii="Times New Roman" w:eastAsia="Times New Roman" w:hAnsi="Times New Roman" w:cs="Times New Roman"/>
        </w:rPr>
        <w:t>ING, where the government purchased subordinates bonds worth 1</w:t>
      </w:r>
      <w:r w:rsidR="0043559F" w:rsidRPr="00A429AA">
        <w:rPr>
          <w:rFonts w:ascii="Times New Roman" w:eastAsia="Times New Roman" w:hAnsi="Times New Roman" w:cs="Times New Roman"/>
        </w:rPr>
        <w:t>0 billion euro in October 2008, (f</w:t>
      </w:r>
      <w:r w:rsidR="00E34B24" w:rsidRPr="00A429AA">
        <w:rPr>
          <w:rFonts w:ascii="Times New Roman" w:eastAsia="Times New Roman" w:hAnsi="Times New Roman" w:cs="Times New Roman"/>
        </w:rPr>
        <w:t>urther support for ING included 17 billion euro of bonds guaranteed by the government and 27 billion euro in assets guarantee on an Alt-A portfolio</w:t>
      </w:r>
      <w:r w:rsidR="0043559F" w:rsidRPr="00A429AA">
        <w:rPr>
          <w:rFonts w:ascii="Times New Roman" w:eastAsia="Times New Roman" w:hAnsi="Times New Roman" w:cs="Times New Roman"/>
        </w:rPr>
        <w:t>)</w:t>
      </w:r>
      <w:r w:rsidR="003A30E0" w:rsidRPr="00A429AA">
        <w:rPr>
          <w:rFonts w:ascii="Times New Roman" w:eastAsia="Times New Roman" w:hAnsi="Times New Roman" w:cs="Times New Roman"/>
        </w:rPr>
        <w:t xml:space="preserve"> (</w:t>
      </w:r>
      <w:proofErr w:type="spellStart"/>
      <w:r w:rsidR="003A30E0" w:rsidRPr="00A429AA">
        <w:rPr>
          <w:rFonts w:ascii="Times New Roman" w:eastAsia="Times New Roman" w:hAnsi="Times New Roman" w:cs="Times New Roman"/>
        </w:rPr>
        <w:t>Stolz</w:t>
      </w:r>
      <w:proofErr w:type="spellEnd"/>
      <w:r w:rsidR="003A30E0" w:rsidRPr="00A429AA">
        <w:rPr>
          <w:rFonts w:ascii="Times New Roman" w:eastAsia="Times New Roman" w:hAnsi="Times New Roman" w:cs="Times New Roman"/>
        </w:rPr>
        <w:t xml:space="preserve"> and</w:t>
      </w:r>
      <w:r w:rsidR="001C7B53" w:rsidRPr="00A429AA">
        <w:rPr>
          <w:rFonts w:ascii="Times New Roman" w:eastAsia="Times New Roman" w:hAnsi="Times New Roman" w:cs="Times New Roman"/>
        </w:rPr>
        <w:t xml:space="preserve"> </w:t>
      </w:r>
      <w:proofErr w:type="spellStart"/>
      <w:r w:rsidR="001C7B53" w:rsidRPr="00A429AA">
        <w:rPr>
          <w:rFonts w:ascii="Times New Roman" w:eastAsia="Times New Roman" w:hAnsi="Times New Roman" w:cs="Times New Roman"/>
        </w:rPr>
        <w:t>Wedow</w:t>
      </w:r>
      <w:proofErr w:type="spellEnd"/>
      <w:r w:rsidR="003A30E0" w:rsidRPr="00A429AA">
        <w:rPr>
          <w:rFonts w:ascii="Times New Roman" w:eastAsia="Times New Roman" w:hAnsi="Times New Roman" w:cs="Times New Roman"/>
        </w:rPr>
        <w:t xml:space="preserve"> 2010)</w:t>
      </w:r>
      <w:r w:rsidR="00E34B24" w:rsidRPr="00A429AA">
        <w:rPr>
          <w:rFonts w:ascii="Times New Roman" w:eastAsia="Times New Roman" w:hAnsi="Times New Roman" w:cs="Times New Roman"/>
        </w:rPr>
        <w:t>.</w:t>
      </w:r>
      <w:r w:rsidR="00B916EB" w:rsidRPr="00A429AA">
        <w:rPr>
          <w:rFonts w:ascii="Times New Roman" w:eastAsia="Times New Roman" w:hAnsi="Times New Roman" w:cs="Times New Roman"/>
        </w:rPr>
        <w:t xml:space="preserve"> </w:t>
      </w:r>
    </w:p>
    <w:p w14:paraId="5D589461" w14:textId="3FF2B7F9" w:rsidR="00B90BC2" w:rsidRPr="00A429AA" w:rsidRDefault="00B90BC2" w:rsidP="00BC63B9">
      <w:pPr>
        <w:spacing w:line="360" w:lineRule="auto"/>
        <w:jc w:val="both"/>
        <w:rPr>
          <w:rFonts w:ascii="Times New Roman" w:eastAsia="Times New Roman" w:hAnsi="Times New Roman" w:cs="Times New Roman"/>
        </w:rPr>
      </w:pPr>
      <w:r w:rsidRPr="00A429AA">
        <w:rPr>
          <w:rFonts w:ascii="Times New Roman" w:eastAsia="Times New Roman" w:hAnsi="Times New Roman" w:cs="Times New Roman"/>
        </w:rPr>
        <w:t xml:space="preserve">In the second half of </w:t>
      </w:r>
      <w:proofErr w:type="gramStart"/>
      <w:r w:rsidRPr="00A429AA">
        <w:rPr>
          <w:rFonts w:ascii="Times New Roman" w:eastAsia="Times New Roman" w:hAnsi="Times New Roman" w:cs="Times New Roman"/>
        </w:rPr>
        <w:t>2008</w:t>
      </w:r>
      <w:proofErr w:type="gramEnd"/>
      <w:r w:rsidRPr="00A429AA">
        <w:rPr>
          <w:rFonts w:ascii="Times New Roman" w:eastAsia="Times New Roman" w:hAnsi="Times New Roman" w:cs="Times New Roman"/>
        </w:rPr>
        <w:t xml:space="preserve"> the situation worsened especially for KBC,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and large insurance group </w:t>
      </w:r>
      <w:proofErr w:type="spellStart"/>
      <w:r w:rsidRPr="00A429AA">
        <w:rPr>
          <w:rFonts w:ascii="Times New Roman" w:eastAsia="Times New Roman" w:hAnsi="Times New Roman" w:cs="Times New Roman"/>
        </w:rPr>
        <w:t>Ethias</w:t>
      </w:r>
      <w:proofErr w:type="spellEnd"/>
      <w:r w:rsidRPr="00A429AA">
        <w:rPr>
          <w:rFonts w:ascii="Times New Roman" w:eastAsia="Times New Roman" w:hAnsi="Times New Roman" w:cs="Times New Roman"/>
        </w:rPr>
        <w:t xml:space="preserve">.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w:t>
      </w:r>
      <w:proofErr w:type="gramStart"/>
      <w:r w:rsidRPr="00A429AA">
        <w:rPr>
          <w:rFonts w:ascii="Times New Roman" w:eastAsia="Times New Roman" w:hAnsi="Times New Roman" w:cs="Times New Roman"/>
        </w:rPr>
        <w:t>were exposed</w:t>
      </w:r>
      <w:proofErr w:type="gramEnd"/>
      <w:r w:rsidRPr="00A429AA">
        <w:rPr>
          <w:rFonts w:ascii="Times New Roman" w:eastAsia="Times New Roman" w:hAnsi="Times New Roman" w:cs="Times New Roman"/>
        </w:rPr>
        <w:t xml:space="preserve"> to structured financial instruments from the US,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via the US insurance subsidiary and German banks. Problems of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also affected </w:t>
      </w:r>
      <w:proofErr w:type="spellStart"/>
      <w:r w:rsidRPr="00A429AA">
        <w:rPr>
          <w:rFonts w:ascii="Times New Roman" w:eastAsia="Times New Roman" w:hAnsi="Times New Roman" w:cs="Times New Roman"/>
        </w:rPr>
        <w:t>Ethias</w:t>
      </w:r>
      <w:proofErr w:type="spellEnd"/>
      <w:r w:rsidRPr="00A429AA">
        <w:rPr>
          <w:rFonts w:ascii="Times New Roman" w:eastAsia="Times New Roman" w:hAnsi="Times New Roman" w:cs="Times New Roman"/>
        </w:rPr>
        <w:t xml:space="preserve"> as </w:t>
      </w:r>
      <w:proofErr w:type="spellStart"/>
      <w:r w:rsidRPr="00A429AA">
        <w:rPr>
          <w:rFonts w:ascii="Times New Roman" w:eastAsia="Times New Roman" w:hAnsi="Times New Roman" w:cs="Times New Roman"/>
        </w:rPr>
        <w:t>Ethias</w:t>
      </w:r>
      <w:proofErr w:type="spellEnd"/>
      <w:r w:rsidRPr="00A429AA">
        <w:rPr>
          <w:rFonts w:ascii="Times New Roman" w:eastAsia="Times New Roman" w:hAnsi="Times New Roman" w:cs="Times New Roman"/>
        </w:rPr>
        <w:t xml:space="preserve"> held 5% of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ownership</w:t>
      </w:r>
      <w:r w:rsidR="0053678A" w:rsidRPr="00A429AA">
        <w:rPr>
          <w:rFonts w:ascii="Times New Roman" w:eastAsia="Times New Roman" w:hAnsi="Times New Roman" w:cs="Times New Roman"/>
        </w:rPr>
        <w:t xml:space="preserve"> (OECD, 2009)</w:t>
      </w:r>
      <w:r w:rsidRPr="00A429AA">
        <w:rPr>
          <w:rFonts w:ascii="Times New Roman" w:eastAsia="Times New Roman" w:hAnsi="Times New Roman" w:cs="Times New Roman"/>
        </w:rPr>
        <w:t xml:space="preserve">. The concern over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about the extent of exposure to subprime financial instruments led to difficulties in renewing short-term financing and a decrease in price of their shares. In </w:t>
      </w:r>
      <w:r w:rsidRPr="00A429AA">
        <w:rPr>
          <w:rFonts w:ascii="Times New Roman" w:eastAsia="Times New Roman" w:hAnsi="Times New Roman" w:cs="Times New Roman"/>
        </w:rPr>
        <w:lastRenderedPageBreak/>
        <w:t xml:space="preserve">September, </w:t>
      </w:r>
      <w:proofErr w:type="spellStart"/>
      <w:r w:rsidRPr="00A429AA">
        <w:rPr>
          <w:rFonts w:ascii="Times New Roman" w:eastAsia="Times New Roman" w:hAnsi="Times New Roman" w:cs="Times New Roman"/>
        </w:rPr>
        <w:t>Dexia</w:t>
      </w:r>
      <w:proofErr w:type="spellEnd"/>
      <w:r w:rsidRPr="00A429AA">
        <w:rPr>
          <w:rFonts w:ascii="Times New Roman" w:eastAsia="Times New Roman" w:hAnsi="Times New Roman" w:cs="Times New Roman"/>
        </w:rPr>
        <w:t xml:space="preserve"> received 6.4 billion euro in financial assistance from Belgian, French and Luxembourg governments</w:t>
      </w:r>
      <w:r w:rsidR="00F33EA2" w:rsidRPr="00A429AA">
        <w:rPr>
          <w:rFonts w:ascii="Times New Roman" w:eastAsia="Times New Roman" w:hAnsi="Times New Roman" w:cs="Times New Roman"/>
        </w:rPr>
        <w:t xml:space="preserve"> (Na</w:t>
      </w:r>
      <w:r w:rsidR="001C7B53" w:rsidRPr="00A429AA">
        <w:rPr>
          <w:rFonts w:ascii="Times New Roman" w:eastAsia="Times New Roman" w:hAnsi="Times New Roman" w:cs="Times New Roman"/>
        </w:rPr>
        <w:t>tional Bank of Belgium</w:t>
      </w:r>
      <w:r w:rsidR="00F33EA2" w:rsidRPr="00A429AA">
        <w:rPr>
          <w:rFonts w:ascii="Times New Roman" w:eastAsia="Times New Roman" w:hAnsi="Times New Roman" w:cs="Times New Roman"/>
        </w:rPr>
        <w:t xml:space="preserve"> 2008).  </w:t>
      </w:r>
    </w:p>
    <w:p w14:paraId="53826A73" w14:textId="77777777" w:rsidR="00B916EB" w:rsidRPr="00A429AA" w:rsidRDefault="00B916EB" w:rsidP="007C7907">
      <w:pPr>
        <w:spacing w:line="360" w:lineRule="auto"/>
        <w:rPr>
          <w:rFonts w:ascii="Times New Roman" w:eastAsia="Times New Roman" w:hAnsi="Times New Roman" w:cs="Times New Roman"/>
        </w:rPr>
      </w:pPr>
    </w:p>
    <w:p w14:paraId="21706633" w14:textId="6C90C68F" w:rsidR="00576736" w:rsidRPr="00A429AA" w:rsidRDefault="00137778" w:rsidP="007C7907">
      <w:pPr>
        <w:spacing w:line="360" w:lineRule="auto"/>
        <w:rPr>
          <w:rFonts w:ascii="Times New Roman" w:eastAsia="Times New Roman" w:hAnsi="Times New Roman" w:cs="Times New Roman"/>
          <w:b/>
        </w:rPr>
      </w:pPr>
      <w:r w:rsidRPr="00A429AA">
        <w:rPr>
          <w:rFonts w:ascii="Times New Roman" w:eastAsia="Times New Roman" w:hAnsi="Times New Roman" w:cs="Times New Roman"/>
          <w:b/>
        </w:rPr>
        <w:t xml:space="preserve">5. </w:t>
      </w:r>
      <w:r w:rsidR="007C7907" w:rsidRPr="00A429AA">
        <w:rPr>
          <w:rFonts w:ascii="Times New Roman" w:eastAsia="Times New Roman" w:hAnsi="Times New Roman" w:cs="Times New Roman"/>
          <w:b/>
        </w:rPr>
        <w:t>Conclusions</w:t>
      </w:r>
    </w:p>
    <w:p w14:paraId="427C09C8" w14:textId="3CA53739" w:rsidR="007A7C41" w:rsidRPr="00A429AA" w:rsidRDefault="00CB6889" w:rsidP="007A7C41">
      <w:pPr>
        <w:widowControl w:val="0"/>
        <w:autoSpaceDE w:val="0"/>
        <w:autoSpaceDN w:val="0"/>
        <w:adjustRightInd w:val="0"/>
        <w:spacing w:line="360" w:lineRule="auto"/>
        <w:jc w:val="both"/>
        <w:rPr>
          <w:rFonts w:ascii="Times New Roman" w:hAnsi="Times New Roman" w:cs="Times New Roman"/>
        </w:rPr>
      </w:pPr>
      <w:r w:rsidRPr="00A429AA">
        <w:rPr>
          <w:rFonts w:ascii="Times New Roman" w:hAnsi="Times New Roman" w:cs="Times New Roman"/>
        </w:rPr>
        <w:t>In the 10 selected European Union countries the first symptoms of the crisis were visible in 2007, when the ec</w:t>
      </w:r>
      <w:r w:rsidR="00FE0FE4" w:rsidRPr="00A429AA">
        <w:rPr>
          <w:rFonts w:ascii="Times New Roman" w:hAnsi="Times New Roman" w:cs="Times New Roman"/>
        </w:rPr>
        <w:t>onomic growth decreased in the E</w:t>
      </w:r>
      <w:r w:rsidRPr="00A429AA">
        <w:rPr>
          <w:rFonts w:ascii="Times New Roman" w:hAnsi="Times New Roman" w:cs="Times New Roman"/>
        </w:rPr>
        <w:t>uro area.</w:t>
      </w:r>
      <w:r w:rsidR="001A53DB" w:rsidRPr="00A429AA">
        <w:rPr>
          <w:rFonts w:ascii="Times New Roman" w:hAnsi="Times New Roman" w:cs="Times New Roman"/>
        </w:rPr>
        <w:t xml:space="preserve"> Moreover,</w:t>
      </w:r>
      <w:r w:rsidRPr="00A429AA">
        <w:rPr>
          <w:rFonts w:ascii="Times New Roman" w:hAnsi="Times New Roman" w:cs="Times New Roman"/>
        </w:rPr>
        <w:t xml:space="preserve"> high value of beta of banking sectors indicated </w:t>
      </w:r>
      <w:r w:rsidR="001A53DB" w:rsidRPr="00A429AA">
        <w:rPr>
          <w:rFonts w:ascii="Times New Roman" w:hAnsi="Times New Roman" w:cs="Times New Roman"/>
        </w:rPr>
        <w:t xml:space="preserve">increase in risk </w:t>
      </w:r>
      <w:r w:rsidRPr="00A429AA">
        <w:rPr>
          <w:rFonts w:ascii="Times New Roman" w:hAnsi="Times New Roman" w:cs="Times New Roman"/>
        </w:rPr>
        <w:t>in banking sectors</w:t>
      </w:r>
      <w:r w:rsidR="00037996">
        <w:rPr>
          <w:rFonts w:ascii="Times New Roman" w:hAnsi="Times New Roman" w:cs="Times New Roman"/>
        </w:rPr>
        <w:t xml:space="preserve"> in 2007 and</w:t>
      </w:r>
      <w:r w:rsidR="00D94226" w:rsidRPr="00A429AA">
        <w:rPr>
          <w:rFonts w:ascii="Times New Roman" w:hAnsi="Times New Roman" w:cs="Times New Roman"/>
        </w:rPr>
        <w:t xml:space="preserve"> 2008</w:t>
      </w:r>
      <w:r w:rsidRPr="00A429AA">
        <w:rPr>
          <w:rFonts w:ascii="Times New Roman" w:hAnsi="Times New Roman" w:cs="Times New Roman"/>
        </w:rPr>
        <w:t>.</w:t>
      </w:r>
      <w:r w:rsidR="007A7C41" w:rsidRPr="00A429AA">
        <w:rPr>
          <w:rFonts w:ascii="Times New Roman" w:hAnsi="Times New Roman" w:cs="Times New Roman"/>
        </w:rPr>
        <w:t xml:space="preserve"> The fall of Lehman Brothers undermined the trust in financial institutions in the EU and led to a decrease in bank’s profitability </w:t>
      </w:r>
      <w:proofErr w:type="gramStart"/>
      <w:r w:rsidR="007A7C41" w:rsidRPr="00A429AA">
        <w:rPr>
          <w:rFonts w:ascii="Times New Roman" w:hAnsi="Times New Roman" w:cs="Times New Roman"/>
        </w:rPr>
        <w:t>and also</w:t>
      </w:r>
      <w:proofErr w:type="gramEnd"/>
      <w:r w:rsidR="007A7C41" w:rsidRPr="00A429AA">
        <w:rPr>
          <w:rFonts w:ascii="Times New Roman" w:hAnsi="Times New Roman" w:cs="Times New Roman"/>
        </w:rPr>
        <w:t xml:space="preserve"> volatility and a decrease in equity prices, a decline in business investment and GDP and an increase in unemployment and finally a decrease in exports. </w:t>
      </w:r>
    </w:p>
    <w:p w14:paraId="1ED1FB9E" w14:textId="13F37DD2" w:rsidR="007E160C" w:rsidRPr="00A429AA" w:rsidRDefault="00614C41" w:rsidP="00C159C9">
      <w:pPr>
        <w:spacing w:line="360" w:lineRule="auto"/>
        <w:jc w:val="both"/>
        <w:rPr>
          <w:rFonts w:ascii="Times New Roman" w:hAnsi="Times New Roman" w:cs="Times New Roman"/>
        </w:rPr>
      </w:pPr>
      <w:r w:rsidRPr="00A429AA">
        <w:rPr>
          <w:rFonts w:ascii="Times New Roman" w:eastAsia="Times New Roman" w:hAnsi="Times New Roman" w:cs="Times New Roman"/>
        </w:rPr>
        <w:t xml:space="preserve">The crisis affected the European </w:t>
      </w:r>
      <w:r w:rsidR="00641AD3" w:rsidRPr="00A429AA">
        <w:rPr>
          <w:rFonts w:ascii="Times New Roman" w:eastAsia="Times New Roman" w:hAnsi="Times New Roman" w:cs="Times New Roman"/>
        </w:rPr>
        <w:t>banking sector</w:t>
      </w:r>
      <w:r w:rsidRPr="00A429AA">
        <w:rPr>
          <w:rFonts w:ascii="Times New Roman" w:eastAsia="Times New Roman" w:hAnsi="Times New Roman" w:cs="Times New Roman"/>
        </w:rPr>
        <w:t xml:space="preserve"> where financial turmoil </w:t>
      </w:r>
      <w:proofErr w:type="gramStart"/>
      <w:r w:rsidRPr="00A429AA">
        <w:rPr>
          <w:rFonts w:ascii="Times New Roman" w:eastAsia="Times New Roman" w:hAnsi="Times New Roman" w:cs="Times New Roman"/>
        </w:rPr>
        <w:t>was experienced</w:t>
      </w:r>
      <w:proofErr w:type="gramEnd"/>
      <w:r w:rsidRPr="00A429AA">
        <w:rPr>
          <w:rFonts w:ascii="Times New Roman" w:eastAsia="Times New Roman" w:hAnsi="Times New Roman" w:cs="Times New Roman"/>
        </w:rPr>
        <w:t xml:space="preserve"> by many European financial institutions. </w:t>
      </w:r>
      <w:r w:rsidR="00C159C9" w:rsidRPr="00A429AA">
        <w:rPr>
          <w:rFonts w:ascii="Times New Roman" w:eastAsia="Times New Roman" w:hAnsi="Times New Roman" w:cs="Times New Roman"/>
        </w:rPr>
        <w:t xml:space="preserve">One of the first was Northern Rock, a UK bank; other difficulties of big financial institutions included the takeover of Dresdner Kleinwort investment bank by German Commerzbank AG, and HBOS-Britain's largest mortgage lender by Lloyds TSB. Other consequences of Lehman Brothers' fall included: bailout of Fortis by Netherlands, Belgium and Luxembourg, and a rescue package for commercial property lender Hypo Real Estate Holding AG from the German government. </w:t>
      </w:r>
    </w:p>
    <w:p w14:paraId="3F9FA7CB" w14:textId="445F326B" w:rsidR="00CB6889" w:rsidRPr="00A429AA" w:rsidRDefault="001B7E18" w:rsidP="00C36156">
      <w:pPr>
        <w:widowControl w:val="0"/>
        <w:autoSpaceDE w:val="0"/>
        <w:autoSpaceDN w:val="0"/>
        <w:adjustRightInd w:val="0"/>
        <w:spacing w:line="360" w:lineRule="auto"/>
        <w:jc w:val="both"/>
        <w:rPr>
          <w:rFonts w:ascii="Times New Roman" w:hAnsi="Times New Roman" w:cs="Times New Roman"/>
        </w:rPr>
      </w:pPr>
      <w:r w:rsidRPr="00A429AA">
        <w:rPr>
          <w:rFonts w:ascii="Times New Roman" w:hAnsi="Times New Roman" w:cs="Times New Roman"/>
        </w:rPr>
        <w:t>T</w:t>
      </w:r>
      <w:r w:rsidR="00614C41" w:rsidRPr="00A429AA">
        <w:rPr>
          <w:rFonts w:ascii="Times New Roman" w:hAnsi="Times New Roman" w:cs="Times New Roman"/>
        </w:rPr>
        <w:t>here was</w:t>
      </w:r>
      <w:r w:rsidR="00C31A9B" w:rsidRPr="00A429AA">
        <w:rPr>
          <w:rFonts w:ascii="Times New Roman" w:hAnsi="Times New Roman" w:cs="Times New Roman"/>
        </w:rPr>
        <w:t xml:space="preserve"> </w:t>
      </w:r>
      <w:r w:rsidRPr="00A429AA">
        <w:rPr>
          <w:rFonts w:ascii="Times New Roman" w:hAnsi="Times New Roman" w:cs="Times New Roman"/>
        </w:rPr>
        <w:t>growing</w:t>
      </w:r>
      <w:r w:rsidR="00CB6889" w:rsidRPr="00A429AA">
        <w:rPr>
          <w:rFonts w:ascii="Times New Roman" w:hAnsi="Times New Roman" w:cs="Times New Roman"/>
        </w:rPr>
        <w:t xml:space="preserve"> uncertainty about </w:t>
      </w:r>
      <w:r w:rsidR="001C6EEA" w:rsidRPr="00A429AA">
        <w:rPr>
          <w:rFonts w:ascii="Times New Roman" w:hAnsi="Times New Roman" w:cs="Times New Roman"/>
        </w:rPr>
        <w:t xml:space="preserve">EU </w:t>
      </w:r>
      <w:r w:rsidR="00CB6889" w:rsidRPr="00A429AA">
        <w:rPr>
          <w:rFonts w:ascii="Times New Roman" w:hAnsi="Times New Roman" w:cs="Times New Roman"/>
        </w:rPr>
        <w:t>finan</w:t>
      </w:r>
      <w:r w:rsidR="00DE7E48">
        <w:rPr>
          <w:rFonts w:ascii="Times New Roman" w:hAnsi="Times New Roman" w:cs="Times New Roman"/>
        </w:rPr>
        <w:t>cial institutions’ exposure to ‘</w:t>
      </w:r>
      <w:r w:rsidR="00CB6889" w:rsidRPr="00A429AA">
        <w:rPr>
          <w:rFonts w:ascii="Times New Roman" w:hAnsi="Times New Roman" w:cs="Times New Roman"/>
        </w:rPr>
        <w:t>toxic’ assets from the US,</w:t>
      </w:r>
      <w:r w:rsidRPr="00A429AA">
        <w:rPr>
          <w:rFonts w:ascii="Times New Roman" w:hAnsi="Times New Roman" w:cs="Times New Roman"/>
        </w:rPr>
        <w:t xml:space="preserve"> which contributed to</w:t>
      </w:r>
      <w:r w:rsidR="00CB6889" w:rsidRPr="00A429AA">
        <w:rPr>
          <w:rFonts w:ascii="Times New Roman" w:hAnsi="Times New Roman" w:cs="Times New Roman"/>
        </w:rPr>
        <w:t xml:space="preserve"> the</w:t>
      </w:r>
      <w:r w:rsidRPr="00A429AA">
        <w:rPr>
          <w:rFonts w:ascii="Times New Roman" w:hAnsi="Times New Roman" w:cs="Times New Roman"/>
        </w:rPr>
        <w:t xml:space="preserve"> increase in</w:t>
      </w:r>
      <w:r w:rsidR="00CB6889" w:rsidRPr="00A429AA">
        <w:rPr>
          <w:rFonts w:ascii="Times New Roman" w:hAnsi="Times New Roman" w:cs="Times New Roman"/>
        </w:rPr>
        <w:t xml:space="preserve"> stress in </w:t>
      </w:r>
      <w:r w:rsidR="001C6EEA" w:rsidRPr="00A429AA">
        <w:rPr>
          <w:rFonts w:ascii="Times New Roman" w:hAnsi="Times New Roman" w:cs="Times New Roman"/>
        </w:rPr>
        <w:t xml:space="preserve">the </w:t>
      </w:r>
      <w:r w:rsidR="003620E9" w:rsidRPr="00A429AA">
        <w:rPr>
          <w:rFonts w:ascii="Times New Roman" w:hAnsi="Times New Roman" w:cs="Times New Roman"/>
        </w:rPr>
        <w:t>European banking sector.</w:t>
      </w:r>
    </w:p>
    <w:p w14:paraId="0658ECB4" w14:textId="66CC3071" w:rsidR="00C159C9" w:rsidRPr="00A429AA" w:rsidRDefault="00FE0FE4" w:rsidP="00C7605C">
      <w:pPr>
        <w:widowControl w:val="0"/>
        <w:autoSpaceDE w:val="0"/>
        <w:autoSpaceDN w:val="0"/>
        <w:adjustRightInd w:val="0"/>
        <w:spacing w:after="240" w:line="360" w:lineRule="auto"/>
        <w:jc w:val="both"/>
        <w:rPr>
          <w:rFonts w:ascii="Times New Roman" w:hAnsi="Times New Roman" w:cs="Times New Roman"/>
        </w:rPr>
      </w:pPr>
      <w:r w:rsidRPr="00A429AA">
        <w:rPr>
          <w:rFonts w:ascii="Times New Roman" w:hAnsi="Times New Roman" w:cs="Times New Roman"/>
        </w:rPr>
        <w:t>Although</w:t>
      </w:r>
      <w:r w:rsidR="00F7781A" w:rsidRPr="00A429AA">
        <w:rPr>
          <w:rFonts w:ascii="Times New Roman" w:hAnsi="Times New Roman" w:cs="Times New Roman"/>
        </w:rPr>
        <w:t>,</w:t>
      </w:r>
      <w:r w:rsidRPr="00A429AA">
        <w:rPr>
          <w:rFonts w:ascii="Times New Roman" w:hAnsi="Times New Roman" w:cs="Times New Roman"/>
        </w:rPr>
        <w:t xml:space="preserve"> majority of the EU banks were not </w:t>
      </w:r>
      <w:r w:rsidR="00B320E8" w:rsidRPr="00A429AA">
        <w:rPr>
          <w:rFonts w:ascii="Times New Roman" w:hAnsi="Times New Roman" w:cs="Times New Roman"/>
        </w:rPr>
        <w:t xml:space="preserve">directly </w:t>
      </w:r>
      <w:r w:rsidRPr="00A429AA">
        <w:rPr>
          <w:rFonts w:ascii="Times New Roman" w:hAnsi="Times New Roman" w:cs="Times New Roman"/>
        </w:rPr>
        <w:t>involved</w:t>
      </w:r>
      <w:r w:rsidR="005A4658" w:rsidRPr="00A429AA">
        <w:rPr>
          <w:rFonts w:ascii="Times New Roman" w:hAnsi="Times New Roman" w:cs="Times New Roman"/>
        </w:rPr>
        <w:t xml:space="preserve"> </w:t>
      </w:r>
      <w:r w:rsidR="00C45E10" w:rsidRPr="00A429AA">
        <w:rPr>
          <w:rFonts w:ascii="Times New Roman" w:hAnsi="Times New Roman" w:cs="Times New Roman"/>
        </w:rPr>
        <w:t xml:space="preserve">in </w:t>
      </w:r>
      <w:r w:rsidR="00D72A65" w:rsidRPr="00A429AA">
        <w:rPr>
          <w:rFonts w:ascii="Times New Roman" w:hAnsi="Times New Roman" w:cs="Times New Roman"/>
        </w:rPr>
        <w:t xml:space="preserve">the </w:t>
      </w:r>
      <w:r w:rsidR="00C45E10" w:rsidRPr="00A429AA">
        <w:rPr>
          <w:rFonts w:ascii="Times New Roman" w:hAnsi="Times New Roman" w:cs="Times New Roman"/>
        </w:rPr>
        <w:t>trade of subprime</w:t>
      </w:r>
      <w:r w:rsidR="00B320E8" w:rsidRPr="00A429AA">
        <w:rPr>
          <w:rFonts w:ascii="Times New Roman" w:hAnsi="Times New Roman" w:cs="Times New Roman"/>
        </w:rPr>
        <w:t xml:space="preserve"> backed</w:t>
      </w:r>
      <w:r w:rsidR="00C45E10" w:rsidRPr="00A429AA">
        <w:rPr>
          <w:rFonts w:ascii="Times New Roman" w:hAnsi="Times New Roman" w:cs="Times New Roman"/>
        </w:rPr>
        <w:t xml:space="preserve"> securities</w:t>
      </w:r>
      <w:r w:rsidR="00F7781A" w:rsidRPr="00A429AA">
        <w:rPr>
          <w:rFonts w:ascii="Times New Roman" w:hAnsi="Times New Roman" w:cs="Times New Roman"/>
        </w:rPr>
        <w:t>,</w:t>
      </w:r>
      <w:r w:rsidR="00C45E10" w:rsidRPr="00A429AA">
        <w:rPr>
          <w:rFonts w:ascii="Times New Roman" w:hAnsi="Times New Roman" w:cs="Times New Roman"/>
        </w:rPr>
        <w:t xml:space="preserve"> all countries in the sample </w:t>
      </w:r>
      <w:r w:rsidR="00F7781A" w:rsidRPr="00A429AA">
        <w:rPr>
          <w:rFonts w:ascii="Times New Roman" w:hAnsi="Times New Roman" w:cs="Times New Roman"/>
        </w:rPr>
        <w:t xml:space="preserve">experienced stress in </w:t>
      </w:r>
      <w:r w:rsidR="005A4658" w:rsidRPr="00A429AA">
        <w:rPr>
          <w:rFonts w:ascii="Times New Roman" w:hAnsi="Times New Roman" w:cs="Times New Roman"/>
        </w:rPr>
        <w:t>banking sector and decrease in bank</w:t>
      </w:r>
      <w:r w:rsidR="007831FA" w:rsidRPr="00A429AA">
        <w:rPr>
          <w:rFonts w:ascii="Times New Roman" w:hAnsi="Times New Roman" w:cs="Times New Roman"/>
        </w:rPr>
        <w:t>s’</w:t>
      </w:r>
      <w:r w:rsidR="005A4658" w:rsidRPr="00A429AA">
        <w:rPr>
          <w:rFonts w:ascii="Times New Roman" w:hAnsi="Times New Roman" w:cs="Times New Roman"/>
        </w:rPr>
        <w:t xml:space="preserve"> profitability. </w:t>
      </w:r>
      <w:r w:rsidR="00A636AD" w:rsidRPr="00A429AA">
        <w:rPr>
          <w:rFonts w:ascii="Times New Roman" w:eastAsia="Times New Roman" w:hAnsi="Times New Roman" w:cs="Times New Roman"/>
        </w:rPr>
        <w:t xml:space="preserve">Further studies could include the reasons for severity of the crisis in the advanced economies with consideration </w:t>
      </w:r>
      <w:r w:rsidR="00AB6EB1" w:rsidRPr="00A429AA">
        <w:rPr>
          <w:rFonts w:ascii="Times New Roman" w:eastAsia="Times New Roman" w:hAnsi="Times New Roman" w:cs="Times New Roman"/>
        </w:rPr>
        <w:t xml:space="preserve">of </w:t>
      </w:r>
      <w:r w:rsidR="00E318AB" w:rsidRPr="00A429AA">
        <w:rPr>
          <w:rFonts w:ascii="Times New Roman" w:eastAsia="Times New Roman" w:hAnsi="Times New Roman" w:cs="Times New Roman"/>
        </w:rPr>
        <w:t>crisis transmission</w:t>
      </w:r>
      <w:r w:rsidR="001B4C47" w:rsidRPr="00A429AA">
        <w:rPr>
          <w:rFonts w:ascii="Times New Roman" w:eastAsia="Times New Roman" w:hAnsi="Times New Roman" w:cs="Times New Roman"/>
        </w:rPr>
        <w:t xml:space="preserve"> channels</w:t>
      </w:r>
      <w:r w:rsidR="00E318AB" w:rsidRPr="00A429AA">
        <w:rPr>
          <w:rFonts w:ascii="Times New Roman" w:eastAsia="Times New Roman" w:hAnsi="Times New Roman" w:cs="Times New Roman"/>
        </w:rPr>
        <w:t xml:space="preserve"> to the</w:t>
      </w:r>
      <w:r w:rsidR="00C7605C" w:rsidRPr="00A429AA">
        <w:rPr>
          <w:rFonts w:ascii="Times New Roman" w:eastAsia="Times New Roman" w:hAnsi="Times New Roman" w:cs="Times New Roman"/>
        </w:rPr>
        <w:t xml:space="preserve"> EU countries.</w:t>
      </w:r>
    </w:p>
    <w:p w14:paraId="1FAD3C2A" w14:textId="77777777" w:rsidR="009918B3" w:rsidRPr="00A429AA" w:rsidRDefault="009918B3" w:rsidP="00F56B72">
      <w:pPr>
        <w:jc w:val="both"/>
        <w:rPr>
          <w:rFonts w:ascii="Times New Roman" w:hAnsi="Times New Roman" w:cs="Times New Roman"/>
        </w:rPr>
      </w:pPr>
    </w:p>
    <w:p w14:paraId="4E469077" w14:textId="77777777" w:rsidR="00614C41" w:rsidRPr="00A429AA" w:rsidRDefault="00614C41" w:rsidP="00F56B72">
      <w:pPr>
        <w:jc w:val="both"/>
        <w:rPr>
          <w:rFonts w:ascii="Times New Roman" w:hAnsi="Times New Roman" w:cs="Times New Roman"/>
        </w:rPr>
      </w:pPr>
    </w:p>
    <w:p w14:paraId="0420FC73" w14:textId="77777777" w:rsidR="00614C41" w:rsidRPr="00A429AA" w:rsidRDefault="00614C41" w:rsidP="00F56B72">
      <w:pPr>
        <w:jc w:val="both"/>
        <w:rPr>
          <w:rFonts w:ascii="Times New Roman" w:hAnsi="Times New Roman" w:cs="Times New Roman"/>
        </w:rPr>
      </w:pPr>
    </w:p>
    <w:p w14:paraId="00818BBE" w14:textId="77777777" w:rsidR="00614C41" w:rsidRPr="00A429AA" w:rsidRDefault="00614C41" w:rsidP="00F56B72">
      <w:pPr>
        <w:jc w:val="both"/>
        <w:rPr>
          <w:rFonts w:ascii="Times New Roman" w:hAnsi="Times New Roman" w:cs="Times New Roman"/>
        </w:rPr>
      </w:pPr>
    </w:p>
    <w:p w14:paraId="04DAA1D6" w14:textId="77777777" w:rsidR="00614C41" w:rsidRDefault="00614C41" w:rsidP="00F56B72">
      <w:pPr>
        <w:jc w:val="both"/>
        <w:rPr>
          <w:rFonts w:ascii="Times New Roman" w:hAnsi="Times New Roman" w:cs="Times New Roman"/>
        </w:rPr>
      </w:pPr>
    </w:p>
    <w:p w14:paraId="64D06076" w14:textId="77777777" w:rsidR="00DE7E48" w:rsidRPr="00A429AA" w:rsidRDefault="00DE7E48" w:rsidP="00F56B72">
      <w:pPr>
        <w:jc w:val="both"/>
        <w:rPr>
          <w:rFonts w:ascii="Times New Roman" w:hAnsi="Times New Roman" w:cs="Times New Roman"/>
        </w:rPr>
      </w:pPr>
    </w:p>
    <w:p w14:paraId="527F4FDB" w14:textId="77777777" w:rsidR="00614C41" w:rsidRPr="00A429AA" w:rsidRDefault="00614C41" w:rsidP="00F56B72">
      <w:pPr>
        <w:jc w:val="both"/>
        <w:rPr>
          <w:rFonts w:ascii="Times New Roman" w:hAnsi="Times New Roman" w:cs="Times New Roman"/>
        </w:rPr>
      </w:pPr>
    </w:p>
    <w:p w14:paraId="792763F9" w14:textId="77777777" w:rsidR="00614C41" w:rsidRPr="00A429AA" w:rsidRDefault="00614C41" w:rsidP="00F56B72">
      <w:pPr>
        <w:jc w:val="both"/>
        <w:rPr>
          <w:rFonts w:ascii="Times New Roman" w:hAnsi="Times New Roman" w:cs="Times New Roman"/>
        </w:rPr>
      </w:pPr>
    </w:p>
    <w:p w14:paraId="7733391F" w14:textId="77777777" w:rsidR="00614C41" w:rsidRPr="00A429AA" w:rsidRDefault="00614C41" w:rsidP="00F56B72">
      <w:pPr>
        <w:jc w:val="both"/>
        <w:rPr>
          <w:rFonts w:ascii="Times New Roman" w:hAnsi="Times New Roman" w:cs="Times New Roman"/>
        </w:rPr>
      </w:pPr>
    </w:p>
    <w:p w14:paraId="5B414CD1" w14:textId="732CE2BC" w:rsidR="00F56B72" w:rsidRPr="00A429AA" w:rsidRDefault="00F56B72" w:rsidP="00F56B72">
      <w:pPr>
        <w:jc w:val="both"/>
        <w:rPr>
          <w:rFonts w:ascii="Times New Roman" w:eastAsia="Times New Roman" w:hAnsi="Times New Roman" w:cs="Times New Roman"/>
          <w:b/>
        </w:rPr>
      </w:pPr>
      <w:r w:rsidRPr="00A429AA">
        <w:rPr>
          <w:rFonts w:ascii="Times New Roman" w:eastAsia="Times New Roman" w:hAnsi="Times New Roman" w:cs="Times New Roman"/>
          <w:b/>
        </w:rPr>
        <w:lastRenderedPageBreak/>
        <w:t>References</w:t>
      </w:r>
    </w:p>
    <w:p w14:paraId="4ADAE1BB" w14:textId="77777777" w:rsidR="00F56B72" w:rsidRPr="00A429AA" w:rsidRDefault="00F56B72" w:rsidP="001B792B">
      <w:pPr>
        <w:spacing w:line="360" w:lineRule="auto"/>
        <w:jc w:val="both"/>
        <w:rPr>
          <w:rFonts w:ascii="Times New Roman" w:eastAsia="Times New Roman" w:hAnsi="Times New Roman" w:cs="Times New Roman"/>
        </w:rPr>
      </w:pPr>
    </w:p>
    <w:p w14:paraId="1BEF9FA0" w14:textId="62D9E2F5" w:rsidR="00F56B72" w:rsidRPr="00A429AA" w:rsidRDefault="00907E3A" w:rsidP="00F56B72">
      <w:pPr>
        <w:spacing w:line="360" w:lineRule="auto"/>
        <w:rPr>
          <w:rFonts w:ascii="Times New Roman" w:hAnsi="Times New Roman" w:cs="Times New Roman"/>
        </w:rPr>
      </w:pPr>
      <w:r w:rsidRPr="00EB1A7B">
        <w:rPr>
          <w:rFonts w:ascii="Times New Roman" w:hAnsi="Times New Roman" w:cs="Times New Roman"/>
          <w:i/>
        </w:rPr>
        <w:t>Allen</w:t>
      </w:r>
      <w:r w:rsidR="00EB1A7B">
        <w:rPr>
          <w:rFonts w:ascii="Times New Roman" w:hAnsi="Times New Roman" w:cs="Times New Roman"/>
        </w:rPr>
        <w:t>, F. /</w:t>
      </w:r>
      <w:r w:rsidRPr="00A429AA">
        <w:rPr>
          <w:rFonts w:ascii="Times New Roman" w:hAnsi="Times New Roman" w:cs="Times New Roman"/>
        </w:rPr>
        <w:t xml:space="preserve"> </w:t>
      </w:r>
      <w:proofErr w:type="spellStart"/>
      <w:r w:rsidRPr="00EB1A7B">
        <w:rPr>
          <w:rFonts w:ascii="Times New Roman" w:hAnsi="Times New Roman" w:cs="Times New Roman"/>
          <w:i/>
        </w:rPr>
        <w:t>Carletti</w:t>
      </w:r>
      <w:proofErr w:type="spellEnd"/>
      <w:r w:rsidR="00EB1A7B">
        <w:rPr>
          <w:rFonts w:ascii="Times New Roman" w:hAnsi="Times New Roman" w:cs="Times New Roman"/>
        </w:rPr>
        <w:t>,</w:t>
      </w:r>
      <w:r w:rsidR="00EB6BF6" w:rsidRPr="00A429AA">
        <w:rPr>
          <w:rFonts w:ascii="Times New Roman" w:hAnsi="Times New Roman" w:cs="Times New Roman"/>
        </w:rPr>
        <w:t xml:space="preserve"> E</w:t>
      </w:r>
      <w:r w:rsidR="00EB1A7B">
        <w:rPr>
          <w:rFonts w:ascii="Times New Roman" w:hAnsi="Times New Roman" w:cs="Times New Roman"/>
        </w:rPr>
        <w:t>.</w:t>
      </w:r>
      <w:r w:rsidR="00F56B72" w:rsidRPr="00A429AA">
        <w:rPr>
          <w:rFonts w:ascii="Times New Roman" w:hAnsi="Times New Roman" w:cs="Times New Roman"/>
        </w:rPr>
        <w:t xml:space="preserve"> </w:t>
      </w:r>
      <w:r w:rsidR="00EB6BF6" w:rsidRPr="00A429AA">
        <w:rPr>
          <w:rFonts w:ascii="Times New Roman" w:hAnsi="Times New Roman" w:cs="Times New Roman"/>
        </w:rPr>
        <w:t>(</w:t>
      </w:r>
      <w:r w:rsidR="00F56B72" w:rsidRPr="00A429AA">
        <w:rPr>
          <w:rFonts w:ascii="Times New Roman" w:hAnsi="Times New Roman" w:cs="Times New Roman"/>
        </w:rPr>
        <w:t>2010</w:t>
      </w:r>
      <w:r w:rsidR="00EB6BF6" w:rsidRPr="00A429AA">
        <w:rPr>
          <w:rFonts w:ascii="Times New Roman" w:hAnsi="Times New Roman" w:cs="Times New Roman"/>
        </w:rPr>
        <w:t>)</w:t>
      </w:r>
      <w:r w:rsidR="00EB1A7B">
        <w:rPr>
          <w:rFonts w:ascii="Times New Roman" w:hAnsi="Times New Roman" w:cs="Times New Roman"/>
        </w:rPr>
        <w:t>:</w:t>
      </w:r>
      <w:r w:rsidR="00F56B72" w:rsidRPr="00A429AA">
        <w:rPr>
          <w:rFonts w:ascii="Times New Roman" w:hAnsi="Times New Roman" w:cs="Times New Roman"/>
        </w:rPr>
        <w:t xml:space="preserve"> </w:t>
      </w:r>
      <w:r w:rsidR="00EB1A7B">
        <w:rPr>
          <w:rFonts w:ascii="Times New Roman" w:hAnsi="Times New Roman" w:cs="Times New Roman"/>
        </w:rPr>
        <w:t>“</w:t>
      </w:r>
      <w:r w:rsidR="00F56B72" w:rsidRPr="00A429AA">
        <w:rPr>
          <w:rFonts w:ascii="Times New Roman" w:hAnsi="Times New Roman" w:cs="Times New Roman"/>
        </w:rPr>
        <w:t>An overview of the crisis: caus</w:t>
      </w:r>
      <w:r w:rsidR="00EB1A7B">
        <w:rPr>
          <w:rFonts w:ascii="Times New Roman" w:hAnsi="Times New Roman" w:cs="Times New Roman"/>
        </w:rPr>
        <w:t>es, consequences, and solutions,”</w:t>
      </w:r>
      <w:r w:rsidR="00F56B72" w:rsidRPr="00A429AA">
        <w:rPr>
          <w:rFonts w:ascii="Times New Roman" w:hAnsi="Times New Roman" w:cs="Times New Roman"/>
        </w:rPr>
        <w:t xml:space="preserve"> </w:t>
      </w:r>
      <w:r w:rsidR="00F56B72" w:rsidRPr="00A429AA">
        <w:rPr>
          <w:rFonts w:ascii="Times New Roman" w:hAnsi="Times New Roman" w:cs="Times New Roman"/>
          <w:iCs/>
        </w:rPr>
        <w:t>International Review of Finance</w:t>
      </w:r>
      <w:r w:rsidR="00F56B72" w:rsidRPr="00A429AA">
        <w:rPr>
          <w:rFonts w:ascii="Times New Roman" w:hAnsi="Times New Roman" w:cs="Times New Roman"/>
          <w:i/>
          <w:iCs/>
        </w:rPr>
        <w:t xml:space="preserve"> </w:t>
      </w:r>
      <w:r w:rsidR="00EB1A7B">
        <w:rPr>
          <w:rFonts w:ascii="Times New Roman" w:hAnsi="Times New Roman" w:cs="Times New Roman"/>
        </w:rPr>
        <w:t>10</w:t>
      </w:r>
      <w:r w:rsidR="004E75BB">
        <w:rPr>
          <w:rFonts w:ascii="Times New Roman" w:hAnsi="Times New Roman" w:cs="Times New Roman"/>
        </w:rPr>
        <w:t>,</w:t>
      </w:r>
      <w:r w:rsidR="00563904" w:rsidRPr="00A429AA">
        <w:rPr>
          <w:rFonts w:ascii="Times New Roman" w:hAnsi="Times New Roman" w:cs="Times New Roman"/>
        </w:rPr>
        <w:t xml:space="preserve"> </w:t>
      </w:r>
      <w:r w:rsidR="00B46110" w:rsidRPr="00A429AA">
        <w:rPr>
          <w:rFonts w:ascii="Times New Roman" w:hAnsi="Times New Roman" w:cs="Times New Roman"/>
        </w:rPr>
        <w:t>1-26</w:t>
      </w:r>
      <w:r w:rsidR="00333C19">
        <w:rPr>
          <w:rFonts w:ascii="Times New Roman" w:hAnsi="Times New Roman" w:cs="Times New Roman"/>
        </w:rPr>
        <w:t>.</w:t>
      </w:r>
    </w:p>
    <w:p w14:paraId="4EBC5D16" w14:textId="77777777" w:rsidR="00D839B5" w:rsidRPr="00A429AA" w:rsidRDefault="00D839B5" w:rsidP="00F56B72">
      <w:pPr>
        <w:spacing w:line="360" w:lineRule="auto"/>
        <w:rPr>
          <w:rFonts w:ascii="Times New Roman" w:hAnsi="Times New Roman" w:cs="Times New Roman"/>
        </w:rPr>
      </w:pPr>
    </w:p>
    <w:p w14:paraId="52CB7159" w14:textId="31C960BB" w:rsidR="00F56B72" w:rsidRPr="00A429AA" w:rsidRDefault="00D839B5" w:rsidP="00F56B72">
      <w:pPr>
        <w:spacing w:line="360" w:lineRule="auto"/>
        <w:rPr>
          <w:rFonts w:ascii="Times New Roman" w:hAnsi="Times New Roman" w:cs="Times New Roman"/>
        </w:rPr>
      </w:pPr>
      <w:r w:rsidRPr="00883661">
        <w:rPr>
          <w:rFonts w:ascii="Times New Roman" w:hAnsi="Times New Roman" w:cs="Times New Roman"/>
          <w:i/>
        </w:rPr>
        <w:t xml:space="preserve">Banca </w:t>
      </w:r>
      <w:proofErr w:type="spellStart"/>
      <w:r w:rsidRPr="00883661">
        <w:rPr>
          <w:rFonts w:ascii="Times New Roman" w:hAnsi="Times New Roman" w:cs="Times New Roman"/>
          <w:i/>
        </w:rPr>
        <w:t>d'Italia</w:t>
      </w:r>
      <w:proofErr w:type="spellEnd"/>
      <w:r w:rsidR="00883661">
        <w:rPr>
          <w:rFonts w:ascii="Times New Roman" w:hAnsi="Times New Roman" w:cs="Times New Roman"/>
          <w:i/>
        </w:rPr>
        <w:t>.</w:t>
      </w:r>
      <w:r w:rsidRPr="00A429AA">
        <w:rPr>
          <w:rFonts w:ascii="Times New Roman" w:hAnsi="Times New Roman" w:cs="Times New Roman"/>
        </w:rPr>
        <w:t xml:space="preserve"> (2008)</w:t>
      </w:r>
      <w:r w:rsidR="00883661">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Annual Report</w:t>
      </w:r>
      <w:r w:rsidR="00291E36">
        <w:rPr>
          <w:rFonts w:ascii="Times New Roman" w:hAnsi="Times New Roman" w:cs="Times New Roman"/>
          <w:i/>
          <w:iCs/>
        </w:rPr>
        <w:t>,</w:t>
      </w:r>
      <w:r w:rsidR="00F56B72" w:rsidRPr="00A429AA">
        <w:rPr>
          <w:rFonts w:ascii="Times New Roman" w:hAnsi="Times New Roman" w:cs="Times New Roman"/>
          <w:i/>
          <w:iCs/>
        </w:rPr>
        <w:t xml:space="preserve"> </w:t>
      </w:r>
      <w:r w:rsidR="00F56B72" w:rsidRPr="00A429AA">
        <w:rPr>
          <w:rFonts w:ascii="Times New Roman" w:hAnsi="Times New Roman" w:cs="Times New Roman"/>
        </w:rPr>
        <w:br/>
      </w:r>
      <w:hyperlink r:id="rId16" w:history="1">
        <w:r w:rsidR="002138BA" w:rsidRPr="00A429AA">
          <w:rPr>
            <w:rStyle w:val="Hyperlink"/>
            <w:rFonts w:ascii="Times New Roman" w:hAnsi="Times New Roman" w:cs="Times New Roman"/>
            <w:color w:val="auto"/>
          </w:rPr>
          <w:t>https://www.bancaditalia.it/pubblicazioni/relann/rel07/encf07/rel_07_abr_anrep.pdf</w:t>
        </w:r>
      </w:hyperlink>
      <w:r w:rsidR="002138BA" w:rsidRPr="00A429AA">
        <w:rPr>
          <w:rFonts w:ascii="Times New Roman" w:hAnsi="Times New Roman" w:cs="Times New Roman"/>
          <w:u w:val="single"/>
        </w:rPr>
        <w:t>.</w:t>
      </w:r>
      <w:r w:rsidR="002138BA" w:rsidRPr="00A429AA">
        <w:rPr>
          <w:rFonts w:ascii="Times New Roman" w:hAnsi="Times New Roman" w:cs="Times New Roman"/>
        </w:rPr>
        <w:t xml:space="preserve">  Accessed 21 January 2016</w:t>
      </w:r>
      <w:r w:rsidR="00E5374E">
        <w:rPr>
          <w:rFonts w:ascii="Times New Roman" w:hAnsi="Times New Roman" w:cs="Times New Roman"/>
        </w:rPr>
        <w:t>.</w:t>
      </w:r>
    </w:p>
    <w:p w14:paraId="253CC74D" w14:textId="77777777" w:rsidR="003128C1" w:rsidRPr="00A429AA" w:rsidRDefault="003128C1" w:rsidP="00F56B72">
      <w:pPr>
        <w:spacing w:line="360" w:lineRule="auto"/>
        <w:rPr>
          <w:rFonts w:ascii="Times New Roman" w:hAnsi="Times New Roman" w:cs="Times New Roman"/>
        </w:rPr>
      </w:pPr>
    </w:p>
    <w:p w14:paraId="08D66DBE" w14:textId="02AFEAA5" w:rsidR="003128C1" w:rsidRPr="00A429AA" w:rsidRDefault="006F4624" w:rsidP="003128C1">
      <w:pPr>
        <w:spacing w:line="360" w:lineRule="auto"/>
        <w:rPr>
          <w:rFonts w:ascii="Times New Roman" w:hAnsi="Times New Roman" w:cs="Times New Roman"/>
          <w:u w:val="single"/>
        </w:rPr>
      </w:pPr>
      <w:r w:rsidRPr="00E417EF">
        <w:rPr>
          <w:rFonts w:ascii="Times New Roman" w:hAnsi="Times New Roman" w:cs="Times New Roman"/>
          <w:i/>
        </w:rPr>
        <w:t>Banca</w:t>
      </w:r>
      <w:r w:rsidR="003128C1" w:rsidRPr="00E417EF">
        <w:rPr>
          <w:rFonts w:ascii="Times New Roman" w:hAnsi="Times New Roman" w:cs="Times New Roman"/>
          <w:i/>
        </w:rPr>
        <w:t xml:space="preserve"> </w:t>
      </w:r>
      <w:proofErr w:type="spellStart"/>
      <w:r w:rsidR="003128C1" w:rsidRPr="00E417EF">
        <w:rPr>
          <w:rFonts w:ascii="Times New Roman" w:hAnsi="Times New Roman" w:cs="Times New Roman"/>
          <w:i/>
        </w:rPr>
        <w:t>D'Italia</w:t>
      </w:r>
      <w:proofErr w:type="spellEnd"/>
      <w:r w:rsidR="00E417EF">
        <w:rPr>
          <w:rFonts w:ascii="Times New Roman" w:hAnsi="Times New Roman" w:cs="Times New Roman"/>
          <w:i/>
        </w:rPr>
        <w:t>.</w:t>
      </w:r>
      <w:r w:rsidR="003128C1" w:rsidRPr="00A429AA">
        <w:rPr>
          <w:rFonts w:ascii="Times New Roman" w:hAnsi="Times New Roman" w:cs="Times New Roman"/>
        </w:rPr>
        <w:t xml:space="preserve"> (2009)</w:t>
      </w:r>
      <w:r w:rsidR="00E417EF">
        <w:rPr>
          <w:rFonts w:ascii="Times New Roman" w:hAnsi="Times New Roman" w:cs="Times New Roman"/>
        </w:rPr>
        <w:t>:</w:t>
      </w:r>
      <w:r w:rsidR="003128C1" w:rsidRPr="00A429AA">
        <w:rPr>
          <w:rFonts w:ascii="Times New Roman" w:hAnsi="Times New Roman" w:cs="Times New Roman"/>
        </w:rPr>
        <w:t xml:space="preserve"> </w:t>
      </w:r>
      <w:r w:rsidR="003128C1" w:rsidRPr="00A429AA">
        <w:rPr>
          <w:rFonts w:ascii="Times New Roman" w:hAnsi="Times New Roman" w:cs="Times New Roman"/>
          <w:iCs/>
        </w:rPr>
        <w:t>Annual report</w:t>
      </w:r>
      <w:r w:rsidR="003C14C4">
        <w:rPr>
          <w:rFonts w:ascii="Times New Roman" w:hAnsi="Times New Roman" w:cs="Times New Roman"/>
          <w:iCs/>
        </w:rPr>
        <w:t>,</w:t>
      </w:r>
      <w:r w:rsidR="003128C1" w:rsidRPr="00A429AA">
        <w:rPr>
          <w:rFonts w:ascii="Times New Roman" w:hAnsi="Times New Roman" w:cs="Times New Roman"/>
          <w:i/>
          <w:iCs/>
        </w:rPr>
        <w:t xml:space="preserve"> </w:t>
      </w:r>
      <w:hyperlink r:id="rId17" w:history="1">
        <w:r w:rsidR="003128C1" w:rsidRPr="00A429AA">
          <w:rPr>
            <w:rStyle w:val="Hyperlink"/>
            <w:rFonts w:ascii="Times New Roman" w:hAnsi="Times New Roman" w:cs="Times New Roman"/>
            <w:color w:val="auto"/>
          </w:rPr>
          <w:t>https://www.bancaditalia.it/pubblicazioni/relann/rel08/rel08en/Text%20book_internet.pdf</w:t>
        </w:r>
      </w:hyperlink>
      <w:r w:rsidR="003128C1" w:rsidRPr="00A429AA">
        <w:rPr>
          <w:rFonts w:ascii="Times New Roman" w:hAnsi="Times New Roman" w:cs="Times New Roman"/>
          <w:u w:val="single"/>
        </w:rPr>
        <w:t>.</w:t>
      </w:r>
      <w:r w:rsidR="003128C1" w:rsidRPr="00A429AA">
        <w:rPr>
          <w:rFonts w:ascii="Times New Roman" w:hAnsi="Times New Roman" w:cs="Times New Roman"/>
        </w:rPr>
        <w:t xml:space="preserve"> Accessed 18 January 2016</w:t>
      </w:r>
      <w:r w:rsidR="00E5374E">
        <w:rPr>
          <w:rFonts w:ascii="Times New Roman" w:hAnsi="Times New Roman" w:cs="Times New Roman"/>
        </w:rPr>
        <w:t>.</w:t>
      </w:r>
    </w:p>
    <w:p w14:paraId="2B4BEED5" w14:textId="77777777" w:rsidR="00D839B5" w:rsidRPr="00A429AA" w:rsidRDefault="00D839B5" w:rsidP="00F56B72">
      <w:pPr>
        <w:spacing w:line="360" w:lineRule="auto"/>
        <w:rPr>
          <w:rFonts w:ascii="Times New Roman" w:hAnsi="Times New Roman" w:cs="Times New Roman"/>
        </w:rPr>
      </w:pPr>
    </w:p>
    <w:p w14:paraId="61C85452" w14:textId="76284A1B" w:rsidR="00F56B72" w:rsidRPr="00A429AA" w:rsidRDefault="007426F9" w:rsidP="00F56B72">
      <w:pPr>
        <w:spacing w:line="360" w:lineRule="auto"/>
        <w:rPr>
          <w:rFonts w:ascii="Times New Roman" w:hAnsi="Times New Roman" w:cs="Times New Roman"/>
        </w:rPr>
      </w:pPr>
      <w:r w:rsidRPr="00BE5EDF">
        <w:rPr>
          <w:rFonts w:ascii="Times New Roman" w:hAnsi="Times New Roman" w:cs="Times New Roman"/>
          <w:i/>
        </w:rPr>
        <w:t xml:space="preserve">Banco de </w:t>
      </w:r>
      <w:proofErr w:type="spellStart"/>
      <w:r w:rsidRPr="00BE5EDF">
        <w:rPr>
          <w:rFonts w:ascii="Times New Roman" w:hAnsi="Times New Roman" w:cs="Times New Roman"/>
          <w:i/>
        </w:rPr>
        <w:t>Espana</w:t>
      </w:r>
      <w:proofErr w:type="spellEnd"/>
      <w:r w:rsidR="00BE5EDF">
        <w:rPr>
          <w:rFonts w:ascii="Times New Roman" w:hAnsi="Times New Roman" w:cs="Times New Roman"/>
          <w:i/>
        </w:rPr>
        <w:t>.</w:t>
      </w:r>
      <w:r w:rsidR="00F56B72" w:rsidRPr="00A429AA">
        <w:rPr>
          <w:rFonts w:ascii="Times New Roman" w:hAnsi="Times New Roman" w:cs="Times New Roman"/>
        </w:rPr>
        <w:t xml:space="preserve"> </w:t>
      </w:r>
      <w:r w:rsidRPr="00A429AA">
        <w:rPr>
          <w:rFonts w:ascii="Times New Roman" w:hAnsi="Times New Roman" w:cs="Times New Roman"/>
        </w:rPr>
        <w:t>(</w:t>
      </w:r>
      <w:r w:rsidR="00F56B72" w:rsidRPr="00A429AA">
        <w:rPr>
          <w:rFonts w:ascii="Times New Roman" w:hAnsi="Times New Roman" w:cs="Times New Roman"/>
        </w:rPr>
        <w:t>2007</w:t>
      </w:r>
      <w:r w:rsidRPr="00A429AA">
        <w:rPr>
          <w:rFonts w:ascii="Times New Roman" w:hAnsi="Times New Roman" w:cs="Times New Roman"/>
        </w:rPr>
        <w:t>)</w:t>
      </w:r>
      <w:r w:rsidR="00BE5EDF">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Annual report 2007</w:t>
      </w:r>
      <w:r w:rsidR="00BA1DD3">
        <w:rPr>
          <w:rFonts w:ascii="Times New Roman" w:hAnsi="Times New Roman" w:cs="Times New Roman"/>
          <w:iCs/>
        </w:rPr>
        <w:t>,</w:t>
      </w:r>
      <w:r w:rsidR="00F56B72" w:rsidRPr="00A429AA">
        <w:rPr>
          <w:rFonts w:ascii="Times New Roman" w:hAnsi="Times New Roman" w:cs="Times New Roman"/>
          <w:i/>
          <w:iCs/>
        </w:rPr>
        <w:t xml:space="preserve"> </w:t>
      </w:r>
      <w:r w:rsidR="00F56B72" w:rsidRPr="00A429AA">
        <w:rPr>
          <w:rFonts w:ascii="Times New Roman" w:hAnsi="Times New Roman" w:cs="Times New Roman"/>
          <w:u w:val="single"/>
        </w:rPr>
        <w:t>http://www.bde.es/f/webbde/SES/Secciones/Publicaciones/PublicacionesAnuales/InformesAnuales/07/Fic/en/inf2007e.pdf</w:t>
      </w:r>
      <w:r w:rsidR="002138BA" w:rsidRPr="00A429AA">
        <w:rPr>
          <w:rFonts w:ascii="Times New Roman" w:hAnsi="Times New Roman" w:cs="Times New Roman"/>
          <w:u w:val="single"/>
        </w:rPr>
        <w:t>.</w:t>
      </w:r>
      <w:r w:rsidR="002138BA" w:rsidRPr="00A429AA">
        <w:rPr>
          <w:rFonts w:ascii="Times New Roman" w:hAnsi="Times New Roman" w:cs="Times New Roman"/>
        </w:rPr>
        <w:t xml:space="preserve"> </w:t>
      </w:r>
      <w:r w:rsidR="00A3557C" w:rsidRPr="00A429AA">
        <w:rPr>
          <w:rFonts w:ascii="Times New Roman" w:hAnsi="Times New Roman" w:cs="Times New Roman"/>
        </w:rPr>
        <w:t>Accessed 21 January 2016</w:t>
      </w:r>
      <w:r w:rsidR="00E5374E">
        <w:rPr>
          <w:rFonts w:ascii="Times New Roman" w:hAnsi="Times New Roman" w:cs="Times New Roman"/>
        </w:rPr>
        <w:t>.</w:t>
      </w:r>
    </w:p>
    <w:p w14:paraId="1B16330E" w14:textId="77777777" w:rsidR="00D839B5" w:rsidRPr="00A429AA" w:rsidRDefault="00D839B5" w:rsidP="00F56B72">
      <w:pPr>
        <w:spacing w:line="360" w:lineRule="auto"/>
        <w:rPr>
          <w:rFonts w:ascii="Times New Roman" w:hAnsi="Times New Roman" w:cs="Times New Roman"/>
        </w:rPr>
      </w:pPr>
    </w:p>
    <w:p w14:paraId="4B8E4F17" w14:textId="39BA0D69" w:rsidR="00391525" w:rsidRPr="00A429AA" w:rsidRDefault="00FA24F1" w:rsidP="00391525">
      <w:pPr>
        <w:spacing w:line="360" w:lineRule="auto"/>
        <w:rPr>
          <w:rFonts w:ascii="Times New Roman" w:hAnsi="Times New Roman" w:cs="Times New Roman"/>
        </w:rPr>
      </w:pPr>
      <w:r w:rsidRPr="009B2054">
        <w:rPr>
          <w:rFonts w:ascii="Times New Roman" w:hAnsi="Times New Roman" w:cs="Times New Roman"/>
          <w:i/>
        </w:rPr>
        <w:t xml:space="preserve">Banco de </w:t>
      </w:r>
      <w:proofErr w:type="spellStart"/>
      <w:r w:rsidRPr="009B2054">
        <w:rPr>
          <w:rFonts w:ascii="Times New Roman" w:hAnsi="Times New Roman" w:cs="Times New Roman"/>
          <w:i/>
        </w:rPr>
        <w:t>Espana</w:t>
      </w:r>
      <w:proofErr w:type="spellEnd"/>
      <w:r w:rsidR="009B2054">
        <w:rPr>
          <w:rFonts w:ascii="Times New Roman" w:hAnsi="Times New Roman" w:cs="Times New Roman"/>
          <w:i/>
        </w:rPr>
        <w:t>.</w:t>
      </w:r>
      <w:r w:rsidRPr="00A429AA">
        <w:rPr>
          <w:rFonts w:ascii="Times New Roman" w:hAnsi="Times New Roman" w:cs="Times New Roman"/>
        </w:rPr>
        <w:t xml:space="preserve"> (2008)</w:t>
      </w:r>
      <w:r w:rsidR="009B2054">
        <w:rPr>
          <w:rFonts w:ascii="Times New Roman" w:hAnsi="Times New Roman" w:cs="Times New Roman"/>
        </w:rPr>
        <w:t>:</w:t>
      </w:r>
      <w:r w:rsidR="00F56B72" w:rsidRPr="00A429AA">
        <w:rPr>
          <w:rFonts w:ascii="Times New Roman" w:hAnsi="Times New Roman" w:cs="Times New Roman"/>
        </w:rPr>
        <w:t xml:space="preserve"> </w:t>
      </w:r>
      <w:r w:rsidR="00B521B7">
        <w:rPr>
          <w:rFonts w:ascii="Times New Roman" w:hAnsi="Times New Roman" w:cs="Times New Roman"/>
          <w:iCs/>
        </w:rPr>
        <w:t>Annual report 2008,</w:t>
      </w:r>
      <w:r w:rsidR="002C5B47" w:rsidRPr="00A429AA">
        <w:rPr>
          <w:rFonts w:ascii="Times New Roman" w:hAnsi="Times New Roman" w:cs="Times New Roman"/>
          <w:iCs/>
        </w:rPr>
        <w:t xml:space="preserve"> </w:t>
      </w:r>
      <w:hyperlink r:id="rId18" w:history="1">
        <w:r w:rsidR="00391525" w:rsidRPr="00A429AA">
          <w:rPr>
            <w:rStyle w:val="Hyperlink"/>
            <w:rFonts w:ascii="Times New Roman" w:hAnsi="Times New Roman" w:cs="Times New Roman"/>
            <w:color w:val="auto"/>
          </w:rPr>
          <w:t>http://www.bde.es/f/webbde/Secciones/Publicaciones/PublicacionesAnuales/inf2008e.pdf</w:t>
        </w:r>
      </w:hyperlink>
      <w:r w:rsidR="00391525" w:rsidRPr="00A429AA">
        <w:rPr>
          <w:rFonts w:ascii="Times New Roman" w:hAnsi="Times New Roman" w:cs="Times New Roman"/>
          <w:u w:val="single"/>
        </w:rPr>
        <w:t>.</w:t>
      </w:r>
      <w:r w:rsidR="00391525" w:rsidRPr="00A429AA">
        <w:rPr>
          <w:rFonts w:ascii="Times New Roman" w:hAnsi="Times New Roman" w:cs="Times New Roman"/>
        </w:rPr>
        <w:t xml:space="preserve"> Accessed 23 January 2016</w:t>
      </w:r>
      <w:r w:rsidR="00E600FD">
        <w:rPr>
          <w:rFonts w:ascii="Times New Roman" w:hAnsi="Times New Roman" w:cs="Times New Roman"/>
        </w:rPr>
        <w:t>.</w:t>
      </w:r>
    </w:p>
    <w:p w14:paraId="3DB1531D" w14:textId="77777777" w:rsidR="00D839B5" w:rsidRPr="00A429AA" w:rsidRDefault="00D839B5" w:rsidP="00391525">
      <w:pPr>
        <w:spacing w:line="360" w:lineRule="auto"/>
        <w:rPr>
          <w:rFonts w:ascii="Times New Roman" w:hAnsi="Times New Roman" w:cs="Times New Roman"/>
        </w:rPr>
      </w:pPr>
    </w:p>
    <w:p w14:paraId="7581ADCC" w14:textId="17588384" w:rsidR="00391525" w:rsidRPr="00A429AA" w:rsidRDefault="00FA24F1" w:rsidP="00391525">
      <w:pPr>
        <w:spacing w:line="360" w:lineRule="auto"/>
        <w:rPr>
          <w:rFonts w:ascii="Times New Roman" w:hAnsi="Times New Roman" w:cs="Times New Roman"/>
        </w:rPr>
      </w:pPr>
      <w:r w:rsidRPr="001A54B7">
        <w:rPr>
          <w:rFonts w:ascii="Times New Roman" w:hAnsi="Times New Roman" w:cs="Times New Roman"/>
          <w:i/>
        </w:rPr>
        <w:t xml:space="preserve">Banco de </w:t>
      </w:r>
      <w:proofErr w:type="spellStart"/>
      <w:r w:rsidRPr="001A54B7">
        <w:rPr>
          <w:rFonts w:ascii="Times New Roman" w:hAnsi="Times New Roman" w:cs="Times New Roman"/>
          <w:i/>
        </w:rPr>
        <w:t>Espania</w:t>
      </w:r>
      <w:proofErr w:type="spellEnd"/>
      <w:r w:rsidR="001A54B7">
        <w:rPr>
          <w:rFonts w:ascii="Times New Roman" w:hAnsi="Times New Roman" w:cs="Times New Roman"/>
          <w:i/>
        </w:rPr>
        <w:t>.</w:t>
      </w:r>
      <w:r w:rsidRPr="00A429AA">
        <w:rPr>
          <w:rFonts w:ascii="Times New Roman" w:hAnsi="Times New Roman" w:cs="Times New Roman"/>
        </w:rPr>
        <w:t xml:space="preserve"> (</w:t>
      </w:r>
      <w:r w:rsidR="00F56B72" w:rsidRPr="00A429AA">
        <w:rPr>
          <w:rFonts w:ascii="Times New Roman" w:hAnsi="Times New Roman" w:cs="Times New Roman"/>
        </w:rPr>
        <w:t>2008 May</w:t>
      </w:r>
      <w:r w:rsidRPr="00A429AA">
        <w:rPr>
          <w:rFonts w:ascii="Times New Roman" w:hAnsi="Times New Roman" w:cs="Times New Roman"/>
        </w:rPr>
        <w:t>)</w:t>
      </w:r>
      <w:r w:rsidR="001A54B7">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report</w:t>
      </w:r>
      <w:r w:rsidR="000E4547">
        <w:rPr>
          <w:rFonts w:ascii="Times New Roman" w:hAnsi="Times New Roman" w:cs="Times New Roman"/>
          <w:i/>
          <w:iCs/>
        </w:rPr>
        <w:t>,</w:t>
      </w:r>
      <w:r w:rsidR="00F56B72" w:rsidRPr="00A429AA">
        <w:rPr>
          <w:rFonts w:ascii="Times New Roman" w:hAnsi="Times New Roman" w:cs="Times New Roman"/>
          <w:i/>
          <w:iCs/>
        </w:rPr>
        <w:t xml:space="preserve"> </w:t>
      </w:r>
      <w:hyperlink r:id="rId19" w:history="1">
        <w:r w:rsidR="00391525" w:rsidRPr="00A429AA">
          <w:rPr>
            <w:rStyle w:val="Hyperlink"/>
            <w:rFonts w:ascii="Times New Roman" w:hAnsi="Times New Roman" w:cs="Times New Roman"/>
            <w:color w:val="auto"/>
          </w:rPr>
          <w:t>http://www.bde.es/f/webbde/Secciones/Publicaciones/InformesBoletinesRevistas/InformesEstabilidadFinancera/estfin16e.pdf</w:t>
        </w:r>
      </w:hyperlink>
      <w:r w:rsidR="00391525" w:rsidRPr="00A429AA">
        <w:rPr>
          <w:rFonts w:ascii="Times New Roman" w:hAnsi="Times New Roman" w:cs="Times New Roman"/>
          <w:u w:val="single"/>
        </w:rPr>
        <w:t>.</w:t>
      </w:r>
      <w:r w:rsidR="00391525" w:rsidRPr="00A429AA">
        <w:rPr>
          <w:rFonts w:ascii="Times New Roman" w:hAnsi="Times New Roman" w:cs="Times New Roman"/>
        </w:rPr>
        <w:t xml:space="preserve"> Accessed 23 January 2016</w:t>
      </w:r>
      <w:r w:rsidR="00E600FD">
        <w:rPr>
          <w:rFonts w:ascii="Times New Roman" w:hAnsi="Times New Roman" w:cs="Times New Roman"/>
        </w:rPr>
        <w:t>.</w:t>
      </w:r>
    </w:p>
    <w:p w14:paraId="56CE4DC2" w14:textId="77777777" w:rsidR="00D839B5" w:rsidRPr="00A429AA" w:rsidRDefault="00D839B5" w:rsidP="00391525">
      <w:pPr>
        <w:spacing w:line="360" w:lineRule="auto"/>
        <w:rPr>
          <w:rFonts w:ascii="Times New Roman" w:hAnsi="Times New Roman" w:cs="Times New Roman"/>
        </w:rPr>
      </w:pPr>
    </w:p>
    <w:p w14:paraId="7E3F1241" w14:textId="43A4763B" w:rsidR="0050097C" w:rsidRPr="00A429AA" w:rsidRDefault="002C5B47" w:rsidP="00F56B72">
      <w:pPr>
        <w:spacing w:line="360" w:lineRule="auto"/>
        <w:rPr>
          <w:rFonts w:ascii="Times New Roman" w:hAnsi="Times New Roman" w:cs="Times New Roman"/>
        </w:rPr>
      </w:pPr>
      <w:r w:rsidRPr="00CA3F28">
        <w:rPr>
          <w:rFonts w:ascii="Times New Roman" w:hAnsi="Times New Roman" w:cs="Times New Roman"/>
          <w:i/>
        </w:rPr>
        <w:t xml:space="preserve">Banco de </w:t>
      </w:r>
      <w:proofErr w:type="spellStart"/>
      <w:r w:rsidRPr="00CA3F28">
        <w:rPr>
          <w:rFonts w:ascii="Times New Roman" w:hAnsi="Times New Roman" w:cs="Times New Roman"/>
          <w:i/>
        </w:rPr>
        <w:t>Espania</w:t>
      </w:r>
      <w:proofErr w:type="spellEnd"/>
      <w:r w:rsidR="00CA3F28">
        <w:rPr>
          <w:rFonts w:ascii="Times New Roman" w:hAnsi="Times New Roman" w:cs="Times New Roman"/>
        </w:rPr>
        <w:t xml:space="preserve">. </w:t>
      </w:r>
      <w:r w:rsidRPr="00A429AA">
        <w:rPr>
          <w:rFonts w:ascii="Times New Roman" w:hAnsi="Times New Roman" w:cs="Times New Roman"/>
        </w:rPr>
        <w:t>(2008 November)</w:t>
      </w:r>
      <w:r w:rsidR="00CA3F28">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report November 2008</w:t>
      </w:r>
      <w:r w:rsidR="00CA3F28">
        <w:rPr>
          <w:rFonts w:ascii="Times New Roman" w:hAnsi="Times New Roman" w:cs="Times New Roman"/>
          <w:iCs/>
        </w:rPr>
        <w:t>,</w:t>
      </w:r>
      <w:r w:rsidR="00F56B72" w:rsidRPr="00A429AA">
        <w:rPr>
          <w:rFonts w:ascii="Times New Roman" w:hAnsi="Times New Roman" w:cs="Times New Roman"/>
          <w:i/>
          <w:iCs/>
        </w:rPr>
        <w:t xml:space="preserve"> </w:t>
      </w:r>
      <w:hyperlink r:id="rId20" w:history="1">
        <w:r w:rsidR="00D839B5" w:rsidRPr="00A429AA">
          <w:rPr>
            <w:rStyle w:val="Hyperlink"/>
            <w:rFonts w:ascii="Times New Roman" w:hAnsi="Times New Roman" w:cs="Times New Roman"/>
            <w:color w:val="auto"/>
          </w:rPr>
          <w:t>http://www.bde.es/f/webbde/Secciones/Publicaciones/PublicacionesAnuales/inf2008e.pdf</w:t>
        </w:r>
      </w:hyperlink>
      <w:r w:rsidR="00D839B5" w:rsidRPr="00A429AA">
        <w:rPr>
          <w:rFonts w:ascii="Times New Roman" w:hAnsi="Times New Roman" w:cs="Times New Roman"/>
          <w:u w:val="single"/>
        </w:rPr>
        <w:t>.</w:t>
      </w:r>
      <w:r w:rsidR="00D839B5" w:rsidRPr="00A429AA">
        <w:rPr>
          <w:rFonts w:ascii="Times New Roman" w:hAnsi="Times New Roman" w:cs="Times New Roman"/>
        </w:rPr>
        <w:t xml:space="preserve"> Accessed 23 January 2016</w:t>
      </w:r>
      <w:r w:rsidR="00E600FD">
        <w:rPr>
          <w:rFonts w:ascii="Times New Roman" w:hAnsi="Times New Roman" w:cs="Times New Roman"/>
        </w:rPr>
        <w:t>.</w:t>
      </w:r>
    </w:p>
    <w:p w14:paraId="1B8D721D" w14:textId="77777777" w:rsidR="00040E04" w:rsidRPr="00A429AA" w:rsidRDefault="00040E04" w:rsidP="00F56B72">
      <w:pPr>
        <w:spacing w:line="360" w:lineRule="auto"/>
        <w:rPr>
          <w:rFonts w:ascii="Times New Roman" w:hAnsi="Times New Roman" w:cs="Times New Roman"/>
        </w:rPr>
      </w:pPr>
    </w:p>
    <w:p w14:paraId="5D5E7FE1" w14:textId="5E337A84" w:rsidR="00D839B5" w:rsidRPr="00A429AA" w:rsidRDefault="002C5B47" w:rsidP="00F56B72">
      <w:pPr>
        <w:spacing w:line="360" w:lineRule="auto"/>
        <w:rPr>
          <w:rFonts w:ascii="Times New Roman" w:hAnsi="Times New Roman" w:cs="Times New Roman"/>
        </w:rPr>
      </w:pPr>
      <w:r w:rsidRPr="00FD4DBD">
        <w:rPr>
          <w:rFonts w:ascii="Times New Roman" w:hAnsi="Times New Roman" w:cs="Times New Roman"/>
          <w:i/>
        </w:rPr>
        <w:t>Banco de Portugal</w:t>
      </w:r>
      <w:r w:rsidR="00FD4DBD">
        <w:rPr>
          <w:rFonts w:ascii="Times New Roman" w:hAnsi="Times New Roman" w:cs="Times New Roman"/>
          <w:i/>
        </w:rPr>
        <w:t>.</w:t>
      </w:r>
      <w:r w:rsidR="00F56B72" w:rsidRPr="00A429AA">
        <w:rPr>
          <w:rFonts w:ascii="Times New Roman" w:hAnsi="Times New Roman" w:cs="Times New Roman"/>
        </w:rPr>
        <w:t xml:space="preserve"> </w:t>
      </w:r>
      <w:r w:rsidRPr="00A429AA">
        <w:rPr>
          <w:rFonts w:ascii="Times New Roman" w:hAnsi="Times New Roman" w:cs="Times New Roman"/>
        </w:rPr>
        <w:t>(2008)</w:t>
      </w:r>
      <w:r w:rsidR="00FD4DBD">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Repor</w:t>
      </w:r>
      <w:r w:rsidR="00D839B5" w:rsidRPr="00A429AA">
        <w:rPr>
          <w:rFonts w:ascii="Times New Roman" w:hAnsi="Times New Roman" w:cs="Times New Roman"/>
          <w:iCs/>
        </w:rPr>
        <w:t>t 2007</w:t>
      </w:r>
      <w:r w:rsidR="00A73250">
        <w:rPr>
          <w:rFonts w:ascii="Times New Roman" w:hAnsi="Times New Roman" w:cs="Times New Roman"/>
          <w:iCs/>
        </w:rPr>
        <w:t>,</w:t>
      </w:r>
    </w:p>
    <w:p w14:paraId="12C5E04F" w14:textId="0321D2E6" w:rsidR="002C5B47" w:rsidRPr="00A429AA" w:rsidRDefault="0052221D" w:rsidP="002C5B47">
      <w:pPr>
        <w:spacing w:line="360" w:lineRule="auto"/>
        <w:rPr>
          <w:rFonts w:ascii="Times New Roman" w:hAnsi="Times New Roman" w:cs="Times New Roman"/>
        </w:rPr>
      </w:pPr>
      <w:hyperlink r:id="rId21" w:history="1">
        <w:r w:rsidR="002C5B47" w:rsidRPr="00A429AA">
          <w:rPr>
            <w:rStyle w:val="Hyperlink"/>
            <w:rFonts w:ascii="Times New Roman" w:hAnsi="Times New Roman" w:cs="Times New Roman"/>
            <w:color w:val="auto"/>
          </w:rPr>
          <w:t>http://www.bportugal.pt/en-US/EstabilidadeFinanceira/Publicacoes/RelatoriodeEstabilidadeFinanceira/REFAnteriores/Documents/ref_07_e.pdf</w:t>
        </w:r>
      </w:hyperlink>
      <w:r w:rsidR="002C5B47" w:rsidRPr="00A429AA">
        <w:rPr>
          <w:rFonts w:ascii="Times New Roman" w:hAnsi="Times New Roman" w:cs="Times New Roman"/>
          <w:u w:val="single"/>
        </w:rPr>
        <w:t>.</w:t>
      </w:r>
      <w:r w:rsidR="002C5B47" w:rsidRPr="00A429AA">
        <w:rPr>
          <w:rFonts w:ascii="Times New Roman" w:hAnsi="Times New Roman" w:cs="Times New Roman"/>
        </w:rPr>
        <w:t xml:space="preserve"> </w:t>
      </w:r>
      <w:r w:rsidR="00FA301D" w:rsidRPr="00A429AA">
        <w:rPr>
          <w:rFonts w:ascii="Times New Roman" w:hAnsi="Times New Roman" w:cs="Times New Roman"/>
        </w:rPr>
        <w:t xml:space="preserve"> </w:t>
      </w:r>
      <w:r w:rsidR="002C5B47" w:rsidRPr="00A429AA">
        <w:rPr>
          <w:rFonts w:ascii="Times New Roman" w:hAnsi="Times New Roman" w:cs="Times New Roman"/>
        </w:rPr>
        <w:t>Accessed 19 January 2016</w:t>
      </w:r>
      <w:r w:rsidR="00E600FD">
        <w:rPr>
          <w:rFonts w:ascii="Times New Roman" w:hAnsi="Times New Roman" w:cs="Times New Roman"/>
        </w:rPr>
        <w:t>.</w:t>
      </w:r>
    </w:p>
    <w:p w14:paraId="610EE8A3" w14:textId="577A0858" w:rsidR="00F56B72" w:rsidRPr="00A429AA" w:rsidRDefault="00F56B72" w:rsidP="00F56B72">
      <w:pPr>
        <w:spacing w:line="360" w:lineRule="auto"/>
        <w:rPr>
          <w:rFonts w:ascii="Times New Roman" w:hAnsi="Times New Roman" w:cs="Times New Roman"/>
        </w:rPr>
      </w:pPr>
    </w:p>
    <w:p w14:paraId="13FFA8D5" w14:textId="51DC1516" w:rsidR="00F56B72" w:rsidRPr="00A429AA" w:rsidRDefault="006D557F" w:rsidP="00F56B72">
      <w:pPr>
        <w:spacing w:line="360" w:lineRule="auto"/>
        <w:rPr>
          <w:rFonts w:ascii="Times New Roman" w:hAnsi="Times New Roman" w:cs="Times New Roman"/>
          <w:u w:val="single"/>
        </w:rPr>
      </w:pPr>
      <w:r w:rsidRPr="00AC76A6">
        <w:rPr>
          <w:rFonts w:ascii="Times New Roman" w:hAnsi="Times New Roman" w:cs="Times New Roman"/>
          <w:i/>
        </w:rPr>
        <w:lastRenderedPageBreak/>
        <w:t>Banco de Portugal</w:t>
      </w:r>
      <w:r w:rsidR="00AC76A6">
        <w:rPr>
          <w:rFonts w:ascii="Times New Roman" w:hAnsi="Times New Roman" w:cs="Times New Roman"/>
          <w:i/>
        </w:rPr>
        <w:t>.</w:t>
      </w:r>
      <w:r w:rsidRPr="00A429AA">
        <w:rPr>
          <w:rFonts w:ascii="Times New Roman" w:hAnsi="Times New Roman" w:cs="Times New Roman"/>
        </w:rPr>
        <w:t xml:space="preserve"> (2009)</w:t>
      </w:r>
      <w:r w:rsidR="00AC76A6">
        <w:rPr>
          <w:rFonts w:ascii="Times New Roman" w:hAnsi="Times New Roman" w:cs="Times New Roman"/>
        </w:rPr>
        <w:t>:</w:t>
      </w:r>
      <w:r w:rsidRPr="00A429AA">
        <w:rPr>
          <w:rFonts w:ascii="Times New Roman" w:hAnsi="Times New Roman" w:cs="Times New Roman"/>
        </w:rPr>
        <w:t xml:space="preserve"> </w:t>
      </w:r>
      <w:r w:rsidR="00F56B72" w:rsidRPr="00A429AA">
        <w:rPr>
          <w:rFonts w:ascii="Times New Roman" w:hAnsi="Times New Roman" w:cs="Times New Roman"/>
          <w:iCs/>
        </w:rPr>
        <w:t>Financial Stability Report 2008</w:t>
      </w:r>
      <w:r w:rsidR="00B448B3">
        <w:rPr>
          <w:rFonts w:ascii="Times New Roman" w:hAnsi="Times New Roman" w:cs="Times New Roman"/>
          <w:i/>
          <w:iCs/>
        </w:rPr>
        <w:t>,</w:t>
      </w:r>
      <w:r w:rsidR="00F56B72" w:rsidRPr="00A429AA">
        <w:rPr>
          <w:rFonts w:ascii="Times New Roman" w:hAnsi="Times New Roman" w:cs="Times New Roman"/>
          <w:i/>
          <w:iCs/>
        </w:rPr>
        <w:t xml:space="preserve"> </w:t>
      </w:r>
      <w:hyperlink r:id="rId22" w:history="1">
        <w:r w:rsidRPr="00A429AA">
          <w:rPr>
            <w:rStyle w:val="Hyperlink"/>
            <w:rFonts w:ascii="Times New Roman" w:hAnsi="Times New Roman" w:cs="Times New Roman"/>
            <w:color w:val="auto"/>
          </w:rPr>
          <w:t>http://www.bportugal.pt/en-US/EstabilidadeFinanceira/Publicacoes\\/RelatoriodeEstabilidadeFinanceira/REFAnteriores/Documents/ref_08_e.pdf</w:t>
        </w:r>
      </w:hyperlink>
      <w:r w:rsidRPr="00A429AA">
        <w:rPr>
          <w:rFonts w:ascii="Times New Roman" w:hAnsi="Times New Roman" w:cs="Times New Roman"/>
          <w:u w:val="single"/>
        </w:rPr>
        <w:t>.</w:t>
      </w:r>
      <w:r w:rsidRPr="00A429AA">
        <w:rPr>
          <w:rFonts w:ascii="Times New Roman" w:hAnsi="Times New Roman" w:cs="Times New Roman"/>
        </w:rPr>
        <w:t xml:space="preserve"> Accessed 19 January 2016</w:t>
      </w:r>
      <w:r w:rsidR="00E600FD">
        <w:rPr>
          <w:rFonts w:ascii="Times New Roman" w:hAnsi="Times New Roman" w:cs="Times New Roman"/>
        </w:rPr>
        <w:t>.</w:t>
      </w:r>
    </w:p>
    <w:p w14:paraId="5CB33775" w14:textId="77777777" w:rsidR="009C1DB5" w:rsidRPr="00A429AA" w:rsidRDefault="009C1DB5" w:rsidP="00F56B72">
      <w:pPr>
        <w:spacing w:line="360" w:lineRule="auto"/>
        <w:rPr>
          <w:rFonts w:ascii="Times New Roman" w:hAnsi="Times New Roman" w:cs="Times New Roman"/>
        </w:rPr>
      </w:pPr>
    </w:p>
    <w:p w14:paraId="3C658457" w14:textId="5E7F39DF" w:rsidR="00906C73" w:rsidRPr="00A429AA" w:rsidRDefault="00906C73" w:rsidP="00906C73">
      <w:pPr>
        <w:spacing w:line="360" w:lineRule="auto"/>
        <w:rPr>
          <w:rFonts w:ascii="Times New Roman" w:hAnsi="Times New Roman" w:cs="Times New Roman"/>
        </w:rPr>
      </w:pPr>
      <w:r w:rsidRPr="00EB7B5F">
        <w:rPr>
          <w:rFonts w:ascii="Times New Roman" w:hAnsi="Times New Roman" w:cs="Times New Roman"/>
          <w:i/>
        </w:rPr>
        <w:t>Bank of England</w:t>
      </w:r>
      <w:r w:rsidR="00EB7B5F">
        <w:rPr>
          <w:rFonts w:ascii="Times New Roman" w:hAnsi="Times New Roman" w:cs="Times New Roman"/>
          <w:i/>
        </w:rPr>
        <w:t>.</w:t>
      </w:r>
      <w:r w:rsidRPr="00A429AA">
        <w:rPr>
          <w:rFonts w:ascii="Times New Roman" w:hAnsi="Times New Roman" w:cs="Times New Roman"/>
        </w:rPr>
        <w:t xml:space="preserve"> (2007)</w:t>
      </w:r>
      <w:r w:rsidR="00EB7B5F">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Report</w:t>
      </w:r>
      <w:r w:rsidR="00B448B3">
        <w:rPr>
          <w:rFonts w:ascii="Times New Roman" w:hAnsi="Times New Roman" w:cs="Times New Roman"/>
          <w:i/>
          <w:iCs/>
        </w:rPr>
        <w:t>,</w:t>
      </w:r>
      <w:r w:rsidR="00F56B72" w:rsidRPr="00A429AA">
        <w:rPr>
          <w:rFonts w:ascii="Times New Roman" w:hAnsi="Times New Roman" w:cs="Times New Roman"/>
          <w:i/>
          <w:iCs/>
        </w:rPr>
        <w:t xml:space="preserve"> </w:t>
      </w:r>
      <w:hyperlink r:id="rId23" w:history="1">
        <w:r w:rsidRPr="00A429AA">
          <w:rPr>
            <w:rStyle w:val="Hyperlink"/>
            <w:rFonts w:ascii="Times New Roman" w:hAnsi="Times New Roman" w:cs="Times New Roman"/>
            <w:color w:val="auto"/>
          </w:rPr>
          <w:t>http://www.bankofengland.co.uk/publications/Documents/fsr/2007/fsrfull0710.pdf</w:t>
        </w:r>
      </w:hyperlink>
      <w:r w:rsidRPr="00A429AA">
        <w:rPr>
          <w:rFonts w:ascii="Times New Roman" w:hAnsi="Times New Roman" w:cs="Times New Roman"/>
          <w:u w:val="single"/>
        </w:rPr>
        <w:t xml:space="preserve">. </w:t>
      </w:r>
      <w:r w:rsidRPr="00A429AA">
        <w:rPr>
          <w:rFonts w:ascii="Times New Roman" w:hAnsi="Times New Roman" w:cs="Times New Roman"/>
        </w:rPr>
        <w:t>Accessed 15 January 2016</w:t>
      </w:r>
      <w:r w:rsidR="00E600FD">
        <w:rPr>
          <w:rFonts w:ascii="Times New Roman" w:hAnsi="Times New Roman" w:cs="Times New Roman"/>
        </w:rPr>
        <w:t>.</w:t>
      </w:r>
    </w:p>
    <w:p w14:paraId="449A5B9E" w14:textId="77777777" w:rsidR="0026680D" w:rsidRPr="00A429AA" w:rsidRDefault="0026680D" w:rsidP="0026680D"/>
    <w:p w14:paraId="7A0C4AB1" w14:textId="19A80973" w:rsidR="0026680D" w:rsidRPr="00A429AA" w:rsidRDefault="0026680D" w:rsidP="0026680D">
      <w:pPr>
        <w:autoSpaceDE w:val="0"/>
        <w:autoSpaceDN w:val="0"/>
        <w:adjustRightInd w:val="0"/>
        <w:spacing w:line="360" w:lineRule="auto"/>
        <w:rPr>
          <w:rFonts w:ascii="Times New Roman" w:hAnsi="Times New Roman" w:cs="Times New Roman"/>
          <w:lang w:val="en-US"/>
        </w:rPr>
      </w:pPr>
      <w:proofErr w:type="spellStart"/>
      <w:r w:rsidRPr="001223F8">
        <w:rPr>
          <w:rFonts w:ascii="Times New Roman" w:hAnsi="Times New Roman" w:cs="Times New Roman"/>
          <w:i/>
          <w:lang w:val="en-US"/>
        </w:rPr>
        <w:t>Caprio</w:t>
      </w:r>
      <w:proofErr w:type="spellEnd"/>
      <w:r w:rsidR="001223F8">
        <w:rPr>
          <w:rFonts w:ascii="Times New Roman" w:hAnsi="Times New Roman" w:cs="Times New Roman"/>
          <w:i/>
          <w:lang w:val="en-US"/>
        </w:rPr>
        <w:t>,</w:t>
      </w:r>
      <w:r w:rsidR="001223F8">
        <w:rPr>
          <w:rFonts w:ascii="Times New Roman" w:hAnsi="Times New Roman" w:cs="Times New Roman"/>
          <w:lang w:val="en-US"/>
        </w:rPr>
        <w:t xml:space="preserve"> G. /</w:t>
      </w:r>
      <w:r w:rsidRPr="00A429AA">
        <w:rPr>
          <w:rFonts w:ascii="Times New Roman" w:hAnsi="Times New Roman" w:cs="Times New Roman"/>
          <w:lang w:val="en-US"/>
        </w:rPr>
        <w:t xml:space="preserve"> </w:t>
      </w:r>
      <w:proofErr w:type="spellStart"/>
      <w:r w:rsidRPr="001223F8">
        <w:rPr>
          <w:rFonts w:ascii="Times New Roman" w:hAnsi="Times New Roman" w:cs="Times New Roman"/>
          <w:i/>
          <w:lang w:val="en-US"/>
        </w:rPr>
        <w:t>Klingebiel</w:t>
      </w:r>
      <w:proofErr w:type="spellEnd"/>
      <w:r w:rsidR="001223F8">
        <w:rPr>
          <w:rFonts w:ascii="Times New Roman" w:hAnsi="Times New Roman" w:cs="Times New Roman"/>
          <w:lang w:val="en-US"/>
        </w:rPr>
        <w:t>,</w:t>
      </w:r>
      <w:r w:rsidRPr="00A429AA">
        <w:rPr>
          <w:rFonts w:ascii="Times New Roman" w:hAnsi="Times New Roman" w:cs="Times New Roman"/>
          <w:lang w:val="en-US"/>
        </w:rPr>
        <w:t xml:space="preserve"> D</w:t>
      </w:r>
      <w:r w:rsidR="001223F8">
        <w:rPr>
          <w:rFonts w:ascii="Times New Roman" w:hAnsi="Times New Roman" w:cs="Times New Roman"/>
          <w:lang w:val="en-US"/>
        </w:rPr>
        <w:t>.</w:t>
      </w:r>
      <w:r w:rsidRPr="00A429AA">
        <w:rPr>
          <w:rFonts w:ascii="Times New Roman" w:hAnsi="Times New Roman" w:cs="Times New Roman"/>
          <w:lang w:val="en-US"/>
        </w:rPr>
        <w:t xml:space="preserve"> (1996)</w:t>
      </w:r>
      <w:r w:rsidR="00910C4B">
        <w:rPr>
          <w:rFonts w:ascii="Times New Roman" w:hAnsi="Times New Roman" w:cs="Times New Roman"/>
          <w:lang w:val="en-US"/>
        </w:rPr>
        <w:t>:</w:t>
      </w:r>
      <w:r w:rsidRPr="00A429AA">
        <w:rPr>
          <w:rFonts w:ascii="Times New Roman" w:hAnsi="Times New Roman" w:cs="Times New Roman"/>
          <w:lang w:val="en-US"/>
        </w:rPr>
        <w:t xml:space="preserve"> </w:t>
      </w:r>
      <w:r w:rsidR="00910C4B">
        <w:rPr>
          <w:rFonts w:ascii="Times New Roman" w:hAnsi="Times New Roman" w:cs="Times New Roman"/>
          <w:lang w:val="en-US"/>
        </w:rPr>
        <w:t>“</w:t>
      </w:r>
      <w:r w:rsidRPr="00A429AA">
        <w:rPr>
          <w:rFonts w:ascii="Times New Roman" w:hAnsi="Times New Roman" w:cs="Times New Roman"/>
          <w:lang w:val="en-US"/>
        </w:rPr>
        <w:t>Bank insolve</w:t>
      </w:r>
      <w:r w:rsidR="007B60A8">
        <w:rPr>
          <w:rFonts w:ascii="Times New Roman" w:hAnsi="Times New Roman" w:cs="Times New Roman"/>
          <w:lang w:val="en-US"/>
        </w:rPr>
        <w:t>ncies: cross-country experience,”</w:t>
      </w:r>
      <w:r w:rsidRPr="00A429AA">
        <w:rPr>
          <w:rFonts w:ascii="Times New Roman" w:hAnsi="Times New Roman" w:cs="Times New Roman"/>
          <w:lang w:val="en-US"/>
        </w:rPr>
        <w:t xml:space="preserve"> Policy Research</w:t>
      </w:r>
      <w:r w:rsidR="00293A50" w:rsidRPr="00A429AA">
        <w:rPr>
          <w:rFonts w:ascii="Times New Roman" w:hAnsi="Times New Roman" w:cs="Times New Roman"/>
          <w:lang w:val="en-US"/>
        </w:rPr>
        <w:t xml:space="preserve"> </w:t>
      </w:r>
      <w:r w:rsidRPr="00A429AA">
        <w:rPr>
          <w:rFonts w:ascii="Times New Roman" w:hAnsi="Times New Roman" w:cs="Times New Roman"/>
          <w:lang w:val="en-US"/>
        </w:rPr>
        <w:t>Working Paper No. 1620</w:t>
      </w:r>
      <w:r w:rsidR="00E600FD">
        <w:rPr>
          <w:rFonts w:ascii="Times New Roman" w:hAnsi="Times New Roman" w:cs="Times New Roman"/>
          <w:lang w:val="en-US"/>
        </w:rPr>
        <w:t>.</w:t>
      </w:r>
    </w:p>
    <w:p w14:paraId="36D3E04B" w14:textId="77777777" w:rsidR="00906C73" w:rsidRPr="00A429AA" w:rsidRDefault="00906C73" w:rsidP="00F56B72">
      <w:pPr>
        <w:spacing w:line="360" w:lineRule="auto"/>
        <w:rPr>
          <w:rFonts w:ascii="Times New Roman" w:hAnsi="Times New Roman" w:cs="Times New Roman"/>
        </w:rPr>
      </w:pPr>
    </w:p>
    <w:p w14:paraId="6103BCA0" w14:textId="2FD674C6" w:rsidR="00F56B72" w:rsidRPr="00A429AA" w:rsidRDefault="00906C73" w:rsidP="00F56B72">
      <w:pPr>
        <w:spacing w:line="360" w:lineRule="auto"/>
        <w:rPr>
          <w:rFonts w:ascii="Times New Roman" w:hAnsi="Times New Roman" w:cs="Times New Roman"/>
        </w:rPr>
      </w:pPr>
      <w:proofErr w:type="spellStart"/>
      <w:r w:rsidRPr="00333C19">
        <w:rPr>
          <w:rFonts w:ascii="Times New Roman" w:hAnsi="Times New Roman" w:cs="Times New Roman"/>
          <w:i/>
        </w:rPr>
        <w:t>Chorafas</w:t>
      </w:r>
      <w:proofErr w:type="spellEnd"/>
      <w:r w:rsidR="00333C19">
        <w:rPr>
          <w:rFonts w:ascii="Times New Roman" w:hAnsi="Times New Roman" w:cs="Times New Roman"/>
          <w:i/>
        </w:rPr>
        <w:t>,</w:t>
      </w:r>
      <w:r w:rsidRPr="00A429AA">
        <w:rPr>
          <w:rFonts w:ascii="Times New Roman" w:hAnsi="Times New Roman" w:cs="Times New Roman"/>
        </w:rPr>
        <w:t xml:space="preserve"> N</w:t>
      </w:r>
      <w:r w:rsidR="00333C19">
        <w:rPr>
          <w:rFonts w:ascii="Times New Roman" w:hAnsi="Times New Roman" w:cs="Times New Roman"/>
        </w:rPr>
        <w:t>.</w:t>
      </w:r>
      <w:r w:rsidR="006D787A">
        <w:rPr>
          <w:rFonts w:ascii="Times New Roman" w:hAnsi="Times New Roman" w:cs="Times New Roman"/>
        </w:rPr>
        <w:t xml:space="preserve"> </w:t>
      </w:r>
      <w:r w:rsidRPr="00A429AA">
        <w:rPr>
          <w:rFonts w:ascii="Times New Roman" w:hAnsi="Times New Roman" w:cs="Times New Roman"/>
        </w:rPr>
        <w:t>D</w:t>
      </w:r>
      <w:r w:rsidR="00333C19">
        <w:rPr>
          <w:rFonts w:ascii="Times New Roman" w:hAnsi="Times New Roman" w:cs="Times New Roman"/>
        </w:rPr>
        <w:t>.</w:t>
      </w:r>
      <w:r w:rsidRPr="00A429AA">
        <w:rPr>
          <w:rFonts w:ascii="Times New Roman" w:hAnsi="Times New Roman" w:cs="Times New Roman"/>
        </w:rPr>
        <w:t xml:space="preserve"> (2009)</w:t>
      </w:r>
      <w:r w:rsidR="00333C19">
        <w:rPr>
          <w:rFonts w:ascii="Times New Roman" w:hAnsi="Times New Roman" w:cs="Times New Roman"/>
        </w:rPr>
        <w:t>:</w:t>
      </w:r>
      <w:r w:rsidR="00F56B72" w:rsidRPr="00A429AA">
        <w:rPr>
          <w:rFonts w:ascii="Times New Roman" w:hAnsi="Times New Roman" w:cs="Times New Roman"/>
        </w:rPr>
        <w:t xml:space="preserve"> </w:t>
      </w:r>
      <w:r w:rsidR="00333C19">
        <w:rPr>
          <w:rFonts w:ascii="Times New Roman" w:hAnsi="Times New Roman" w:cs="Times New Roman"/>
        </w:rPr>
        <w:t>“</w:t>
      </w:r>
      <w:r w:rsidR="00F56B72" w:rsidRPr="00A429AA">
        <w:rPr>
          <w:rFonts w:ascii="Times New Roman" w:hAnsi="Times New Roman" w:cs="Times New Roman"/>
          <w:iCs/>
        </w:rPr>
        <w:t>Capitalism without capital</w:t>
      </w:r>
      <w:r w:rsidR="00333C19">
        <w:rPr>
          <w:rFonts w:ascii="Times New Roman" w:hAnsi="Times New Roman" w:cs="Times New Roman"/>
          <w:iCs/>
        </w:rPr>
        <w:t>,”</w:t>
      </w:r>
      <w:r w:rsidR="00F56B72" w:rsidRPr="00A429AA">
        <w:rPr>
          <w:rFonts w:ascii="Times New Roman" w:hAnsi="Times New Roman" w:cs="Times New Roman"/>
          <w:i/>
          <w:iCs/>
        </w:rPr>
        <w:t xml:space="preserve"> </w:t>
      </w:r>
      <w:r w:rsidR="00F56B72" w:rsidRPr="00A429AA">
        <w:rPr>
          <w:rFonts w:ascii="Times New Roman" w:hAnsi="Times New Roman" w:cs="Times New Roman"/>
        </w:rPr>
        <w:t>Palgrave Macmillan.</w:t>
      </w:r>
    </w:p>
    <w:p w14:paraId="06571B35" w14:textId="77777777" w:rsidR="006A6A03" w:rsidRPr="00A429AA" w:rsidRDefault="006A6A03" w:rsidP="00F56B72">
      <w:pPr>
        <w:spacing w:line="360" w:lineRule="auto"/>
        <w:rPr>
          <w:rFonts w:ascii="Times New Roman" w:hAnsi="Times New Roman" w:cs="Times New Roman"/>
        </w:rPr>
      </w:pPr>
    </w:p>
    <w:p w14:paraId="42F32ECC" w14:textId="4DB751EA" w:rsidR="006A6A03" w:rsidRPr="00A429AA" w:rsidRDefault="006A6A03" w:rsidP="006A6A03">
      <w:pPr>
        <w:pStyle w:val="Bibliography"/>
        <w:spacing w:line="360" w:lineRule="auto"/>
        <w:jc w:val="both"/>
        <w:rPr>
          <w:rFonts w:ascii="Times New Roman" w:hAnsi="Times New Roman"/>
          <w:noProof/>
        </w:rPr>
      </w:pPr>
      <w:r w:rsidRPr="005E27C8">
        <w:rPr>
          <w:rFonts w:ascii="Times New Roman" w:hAnsi="Times New Roman"/>
          <w:i/>
          <w:noProof/>
        </w:rPr>
        <w:t>Choudhry</w:t>
      </w:r>
      <w:r w:rsidR="005E27C8">
        <w:rPr>
          <w:rFonts w:ascii="Times New Roman" w:hAnsi="Times New Roman"/>
          <w:i/>
          <w:noProof/>
        </w:rPr>
        <w:t>,</w:t>
      </w:r>
      <w:r w:rsidR="005E27C8">
        <w:rPr>
          <w:rFonts w:ascii="Times New Roman" w:hAnsi="Times New Roman"/>
          <w:noProof/>
        </w:rPr>
        <w:t xml:space="preserve"> T. /</w:t>
      </w:r>
      <w:r w:rsidRPr="00A429AA">
        <w:rPr>
          <w:rFonts w:ascii="Times New Roman" w:hAnsi="Times New Roman"/>
          <w:noProof/>
        </w:rPr>
        <w:t xml:space="preserve"> </w:t>
      </w:r>
      <w:r w:rsidRPr="005E27C8">
        <w:rPr>
          <w:rFonts w:ascii="Times New Roman" w:hAnsi="Times New Roman"/>
          <w:i/>
          <w:noProof/>
        </w:rPr>
        <w:t>Jayasekera</w:t>
      </w:r>
      <w:r w:rsidR="005E27C8">
        <w:rPr>
          <w:rFonts w:ascii="Times New Roman" w:hAnsi="Times New Roman"/>
          <w:i/>
          <w:noProof/>
        </w:rPr>
        <w:t>,</w:t>
      </w:r>
      <w:r w:rsidRPr="00A429AA">
        <w:rPr>
          <w:rFonts w:ascii="Times New Roman" w:hAnsi="Times New Roman"/>
          <w:noProof/>
        </w:rPr>
        <w:t xml:space="preserve"> R</w:t>
      </w:r>
      <w:r w:rsidR="005E27C8">
        <w:rPr>
          <w:rFonts w:ascii="Times New Roman" w:hAnsi="Times New Roman"/>
          <w:noProof/>
        </w:rPr>
        <w:t>.</w:t>
      </w:r>
      <w:r w:rsidR="000E7E97">
        <w:rPr>
          <w:rFonts w:ascii="Times New Roman" w:hAnsi="Times New Roman"/>
          <w:noProof/>
        </w:rPr>
        <w:t xml:space="preserve"> </w:t>
      </w:r>
      <w:r w:rsidRPr="00A429AA">
        <w:rPr>
          <w:rFonts w:ascii="Times New Roman" w:hAnsi="Times New Roman"/>
          <w:noProof/>
        </w:rPr>
        <w:t>(2014)</w:t>
      </w:r>
      <w:r w:rsidR="005E27C8">
        <w:rPr>
          <w:rFonts w:ascii="Times New Roman" w:hAnsi="Times New Roman"/>
          <w:noProof/>
        </w:rPr>
        <w:t>:</w:t>
      </w:r>
      <w:r w:rsidR="000E7E97">
        <w:rPr>
          <w:rFonts w:ascii="Times New Roman" w:hAnsi="Times New Roman"/>
          <w:noProof/>
        </w:rPr>
        <w:t xml:space="preserve"> </w:t>
      </w:r>
      <w:r w:rsidR="005E27C8">
        <w:rPr>
          <w:rFonts w:ascii="Times New Roman" w:hAnsi="Times New Roman"/>
          <w:noProof/>
        </w:rPr>
        <w:t>“</w:t>
      </w:r>
      <w:r w:rsidRPr="00A429AA">
        <w:rPr>
          <w:rFonts w:ascii="Times New Roman" w:hAnsi="Times New Roman"/>
          <w:noProof/>
        </w:rPr>
        <w:t>Returns and volatility spillover in the European banking industry during global financial crisis: Flight to perceived quality or contagion?</w:t>
      </w:r>
      <w:r w:rsidR="00B44B65">
        <w:rPr>
          <w:rFonts w:ascii="Times New Roman" w:hAnsi="Times New Roman"/>
          <w:noProof/>
        </w:rPr>
        <w:t>,”</w:t>
      </w:r>
      <w:r w:rsidRPr="00A429AA">
        <w:rPr>
          <w:rFonts w:ascii="Times New Roman" w:hAnsi="Times New Roman"/>
          <w:noProof/>
        </w:rPr>
        <w:t xml:space="preserve"> </w:t>
      </w:r>
      <w:r w:rsidRPr="00A429AA">
        <w:rPr>
          <w:rFonts w:ascii="Times New Roman" w:hAnsi="Times New Roman"/>
          <w:iCs/>
          <w:noProof/>
        </w:rPr>
        <w:t>International Review of Financial Analysis</w:t>
      </w:r>
      <w:r w:rsidRPr="00A429AA">
        <w:rPr>
          <w:rFonts w:ascii="Times New Roman" w:hAnsi="Times New Roman"/>
          <w:noProof/>
        </w:rPr>
        <w:t xml:space="preserve"> </w:t>
      </w:r>
      <w:r w:rsidRPr="00A429AA">
        <w:rPr>
          <w:rFonts w:ascii="Times New Roman" w:hAnsi="Times New Roman"/>
          <w:iCs/>
          <w:noProof/>
        </w:rPr>
        <w:t>36</w:t>
      </w:r>
      <w:r w:rsidR="00D3620A">
        <w:rPr>
          <w:rFonts w:ascii="Times New Roman" w:hAnsi="Times New Roman"/>
          <w:noProof/>
        </w:rPr>
        <w:t>,</w:t>
      </w:r>
      <w:r w:rsidRPr="00A429AA">
        <w:rPr>
          <w:rFonts w:ascii="Times New Roman" w:hAnsi="Times New Roman"/>
          <w:noProof/>
        </w:rPr>
        <w:t xml:space="preserve"> 36-45</w:t>
      </w:r>
      <w:r w:rsidR="00D3620A">
        <w:rPr>
          <w:rFonts w:ascii="Times New Roman" w:hAnsi="Times New Roman"/>
          <w:noProof/>
        </w:rPr>
        <w:t>.</w:t>
      </w:r>
    </w:p>
    <w:p w14:paraId="7F09D35A" w14:textId="77777777" w:rsidR="00DB0774" w:rsidRPr="00A429AA" w:rsidRDefault="00DB0774" w:rsidP="00DB0774"/>
    <w:p w14:paraId="26900B2F" w14:textId="0347507D" w:rsidR="00DB0774" w:rsidRPr="00A429AA" w:rsidRDefault="00DB0774" w:rsidP="00DB0774">
      <w:pPr>
        <w:pStyle w:val="Bibliography"/>
        <w:spacing w:line="360" w:lineRule="auto"/>
        <w:rPr>
          <w:rFonts w:ascii="Times New Roman" w:hAnsi="Times New Roman"/>
          <w:noProof/>
        </w:rPr>
      </w:pPr>
      <w:r w:rsidRPr="0002333E">
        <w:rPr>
          <w:rFonts w:ascii="Times New Roman" w:hAnsi="Times New Roman"/>
          <w:i/>
          <w:noProof/>
        </w:rPr>
        <w:t>Claessens</w:t>
      </w:r>
      <w:r w:rsidR="0002333E">
        <w:rPr>
          <w:rFonts w:ascii="Times New Roman" w:hAnsi="Times New Roman"/>
          <w:i/>
          <w:noProof/>
        </w:rPr>
        <w:t>,</w:t>
      </w:r>
      <w:r w:rsidR="004C5641">
        <w:rPr>
          <w:rFonts w:ascii="Times New Roman" w:hAnsi="Times New Roman"/>
          <w:noProof/>
        </w:rPr>
        <w:t xml:space="preserve"> S.</w:t>
      </w:r>
      <w:r w:rsidRPr="00A429AA">
        <w:rPr>
          <w:rFonts w:ascii="Times New Roman" w:hAnsi="Times New Roman"/>
          <w:noProof/>
        </w:rPr>
        <w:t xml:space="preserve"> </w:t>
      </w:r>
      <w:r w:rsidR="0002333E">
        <w:rPr>
          <w:rFonts w:ascii="Times New Roman" w:hAnsi="Times New Roman"/>
          <w:noProof/>
        </w:rPr>
        <w:t xml:space="preserve">/ </w:t>
      </w:r>
      <w:r w:rsidRPr="0002333E">
        <w:rPr>
          <w:rFonts w:ascii="Times New Roman" w:hAnsi="Times New Roman"/>
          <w:i/>
          <w:noProof/>
        </w:rPr>
        <w:t>Dell'Ariccia</w:t>
      </w:r>
      <w:r w:rsidR="0002333E">
        <w:rPr>
          <w:rFonts w:ascii="Times New Roman" w:hAnsi="Times New Roman"/>
          <w:i/>
          <w:noProof/>
        </w:rPr>
        <w:t>,</w:t>
      </w:r>
      <w:r w:rsidR="0002333E">
        <w:rPr>
          <w:rFonts w:ascii="Times New Roman" w:hAnsi="Times New Roman"/>
          <w:noProof/>
        </w:rPr>
        <w:t xml:space="preserve"> G. /</w:t>
      </w:r>
      <w:r w:rsidRPr="00A429AA">
        <w:rPr>
          <w:rFonts w:ascii="Times New Roman" w:hAnsi="Times New Roman"/>
          <w:noProof/>
        </w:rPr>
        <w:t xml:space="preserve"> </w:t>
      </w:r>
      <w:r w:rsidRPr="0002333E">
        <w:rPr>
          <w:rFonts w:ascii="Times New Roman" w:hAnsi="Times New Roman"/>
          <w:i/>
          <w:noProof/>
        </w:rPr>
        <w:t>Igan</w:t>
      </w:r>
      <w:r w:rsidR="0002333E">
        <w:rPr>
          <w:rFonts w:ascii="Times New Roman" w:hAnsi="Times New Roman"/>
          <w:i/>
          <w:noProof/>
        </w:rPr>
        <w:t>,</w:t>
      </w:r>
      <w:r w:rsidR="0002333E">
        <w:rPr>
          <w:rFonts w:ascii="Times New Roman" w:hAnsi="Times New Roman"/>
          <w:noProof/>
        </w:rPr>
        <w:t xml:space="preserve"> D. /</w:t>
      </w:r>
      <w:r w:rsidRPr="00A429AA">
        <w:rPr>
          <w:rFonts w:ascii="Times New Roman" w:hAnsi="Times New Roman"/>
          <w:noProof/>
        </w:rPr>
        <w:t xml:space="preserve"> </w:t>
      </w:r>
      <w:r w:rsidRPr="0002333E">
        <w:rPr>
          <w:rFonts w:ascii="Times New Roman" w:hAnsi="Times New Roman"/>
          <w:i/>
          <w:noProof/>
        </w:rPr>
        <w:t>Laeven</w:t>
      </w:r>
      <w:r w:rsidR="0002333E">
        <w:rPr>
          <w:rFonts w:ascii="Times New Roman" w:hAnsi="Times New Roman"/>
          <w:i/>
          <w:noProof/>
        </w:rPr>
        <w:t>,</w:t>
      </w:r>
      <w:r w:rsidRPr="00A429AA">
        <w:rPr>
          <w:rFonts w:ascii="Times New Roman" w:hAnsi="Times New Roman"/>
          <w:noProof/>
        </w:rPr>
        <w:t xml:space="preserve"> L</w:t>
      </w:r>
      <w:r w:rsidR="0002333E">
        <w:rPr>
          <w:rFonts w:ascii="Times New Roman" w:hAnsi="Times New Roman"/>
          <w:noProof/>
        </w:rPr>
        <w:t>.</w:t>
      </w:r>
      <w:r w:rsidRPr="00A429AA">
        <w:rPr>
          <w:rFonts w:ascii="Times New Roman" w:hAnsi="Times New Roman"/>
          <w:noProof/>
        </w:rPr>
        <w:t xml:space="preserve"> (2010)</w:t>
      </w:r>
      <w:r w:rsidR="000B13E8">
        <w:rPr>
          <w:rFonts w:ascii="Times New Roman" w:hAnsi="Times New Roman"/>
          <w:noProof/>
        </w:rPr>
        <w:t>:</w:t>
      </w:r>
      <w:r w:rsidRPr="00A429AA">
        <w:rPr>
          <w:rFonts w:ascii="Times New Roman" w:hAnsi="Times New Roman"/>
          <w:noProof/>
        </w:rPr>
        <w:t xml:space="preserve"> </w:t>
      </w:r>
      <w:r w:rsidR="000B13E8">
        <w:rPr>
          <w:rFonts w:ascii="Times New Roman" w:hAnsi="Times New Roman"/>
          <w:noProof/>
        </w:rPr>
        <w:t>“</w:t>
      </w:r>
      <w:r w:rsidRPr="00A429AA">
        <w:rPr>
          <w:rFonts w:ascii="Times New Roman" w:hAnsi="Times New Roman"/>
          <w:noProof/>
        </w:rPr>
        <w:t>Cross-country experiences and policy implications f</w:t>
      </w:r>
      <w:r w:rsidR="000B13E8">
        <w:rPr>
          <w:rFonts w:ascii="Times New Roman" w:hAnsi="Times New Roman"/>
          <w:noProof/>
        </w:rPr>
        <w:t>rom the global financial crisis,”</w:t>
      </w:r>
      <w:r w:rsidRPr="00A429AA">
        <w:rPr>
          <w:rFonts w:ascii="Times New Roman" w:hAnsi="Times New Roman"/>
          <w:noProof/>
        </w:rPr>
        <w:t xml:space="preserve"> </w:t>
      </w:r>
      <w:r w:rsidRPr="00A429AA">
        <w:rPr>
          <w:rFonts w:ascii="Times New Roman" w:hAnsi="Times New Roman"/>
          <w:iCs/>
          <w:noProof/>
        </w:rPr>
        <w:t>Economic Policy 25</w:t>
      </w:r>
      <w:r w:rsidR="000B13E8">
        <w:rPr>
          <w:rFonts w:ascii="Times New Roman" w:hAnsi="Times New Roman"/>
          <w:noProof/>
        </w:rPr>
        <w:t xml:space="preserve">, </w:t>
      </w:r>
      <w:r w:rsidRPr="00A429AA">
        <w:rPr>
          <w:rFonts w:ascii="Times New Roman" w:hAnsi="Times New Roman"/>
          <w:noProof/>
        </w:rPr>
        <w:t>267-293</w:t>
      </w:r>
      <w:r w:rsidR="000B13E8">
        <w:rPr>
          <w:rFonts w:ascii="Times New Roman" w:hAnsi="Times New Roman"/>
          <w:noProof/>
        </w:rPr>
        <w:t>.</w:t>
      </w:r>
    </w:p>
    <w:p w14:paraId="4023B5CB" w14:textId="77777777" w:rsidR="006D69C6" w:rsidRPr="00A429AA" w:rsidRDefault="006D69C6" w:rsidP="006D69C6"/>
    <w:p w14:paraId="30CCE96D" w14:textId="2B1382F2" w:rsidR="006D69C6" w:rsidRPr="00A429AA" w:rsidRDefault="006D69C6" w:rsidP="006D69C6">
      <w:pPr>
        <w:pStyle w:val="Bibliography"/>
        <w:spacing w:line="360" w:lineRule="auto"/>
        <w:rPr>
          <w:rFonts w:ascii="Times New Roman" w:hAnsi="Times New Roman"/>
          <w:noProof/>
        </w:rPr>
      </w:pPr>
      <w:r w:rsidRPr="00221D42">
        <w:rPr>
          <w:rFonts w:ascii="Times New Roman" w:hAnsi="Times New Roman"/>
          <w:i/>
          <w:noProof/>
        </w:rPr>
        <w:t>Constâncio</w:t>
      </w:r>
      <w:r w:rsidR="00221D42">
        <w:rPr>
          <w:rFonts w:ascii="Times New Roman" w:hAnsi="Times New Roman"/>
          <w:i/>
          <w:noProof/>
        </w:rPr>
        <w:t>,</w:t>
      </w:r>
      <w:r w:rsidRPr="00A429AA">
        <w:rPr>
          <w:rFonts w:ascii="Times New Roman" w:hAnsi="Times New Roman"/>
          <w:noProof/>
        </w:rPr>
        <w:t xml:space="preserve"> V</w:t>
      </w:r>
      <w:r w:rsidR="00221D42">
        <w:rPr>
          <w:rFonts w:ascii="Times New Roman" w:hAnsi="Times New Roman"/>
          <w:noProof/>
        </w:rPr>
        <w:t>.</w:t>
      </w:r>
      <w:r w:rsidRPr="00A429AA">
        <w:rPr>
          <w:rFonts w:ascii="Times New Roman" w:hAnsi="Times New Roman"/>
          <w:noProof/>
        </w:rPr>
        <w:t xml:space="preserve"> (2014)</w:t>
      </w:r>
      <w:r w:rsidR="00221D42">
        <w:rPr>
          <w:rFonts w:ascii="Times New Roman" w:hAnsi="Times New Roman"/>
          <w:noProof/>
        </w:rPr>
        <w:t>:</w:t>
      </w:r>
      <w:r w:rsidRPr="00A429AA">
        <w:rPr>
          <w:rFonts w:ascii="Times New Roman" w:hAnsi="Times New Roman"/>
          <w:noProof/>
        </w:rPr>
        <w:t xml:space="preserve"> </w:t>
      </w:r>
      <w:r w:rsidR="00221D42">
        <w:rPr>
          <w:rFonts w:ascii="Times New Roman" w:hAnsi="Times New Roman"/>
          <w:noProof/>
        </w:rPr>
        <w:t>“</w:t>
      </w:r>
      <w:r w:rsidRPr="00A429AA">
        <w:rPr>
          <w:rFonts w:ascii="Times New Roman" w:hAnsi="Times New Roman"/>
          <w:noProof/>
        </w:rPr>
        <w:t>The European Crisis and t</w:t>
      </w:r>
      <w:r w:rsidR="00221D42">
        <w:rPr>
          <w:rFonts w:ascii="Times New Roman" w:hAnsi="Times New Roman"/>
          <w:noProof/>
        </w:rPr>
        <w:t>he Role of the Financial System,”</w:t>
      </w:r>
      <w:r w:rsidRPr="00A429AA">
        <w:rPr>
          <w:rFonts w:ascii="Times New Roman" w:hAnsi="Times New Roman"/>
          <w:noProof/>
        </w:rPr>
        <w:t xml:space="preserve"> </w:t>
      </w:r>
      <w:r w:rsidRPr="00A429AA">
        <w:rPr>
          <w:rFonts w:ascii="Times New Roman" w:hAnsi="Times New Roman"/>
          <w:iCs/>
          <w:noProof/>
        </w:rPr>
        <w:t>Journal of Macroeconomics</w:t>
      </w:r>
      <w:r w:rsidRPr="00A429AA">
        <w:rPr>
          <w:rFonts w:ascii="Times New Roman" w:hAnsi="Times New Roman"/>
          <w:noProof/>
        </w:rPr>
        <w:t xml:space="preserve"> </w:t>
      </w:r>
      <w:r w:rsidRPr="00A429AA">
        <w:rPr>
          <w:rFonts w:ascii="Times New Roman" w:hAnsi="Times New Roman"/>
          <w:iCs/>
          <w:noProof/>
        </w:rPr>
        <w:t>39</w:t>
      </w:r>
      <w:r w:rsidR="00221D42">
        <w:rPr>
          <w:rFonts w:ascii="Times New Roman" w:hAnsi="Times New Roman"/>
          <w:noProof/>
        </w:rPr>
        <w:t>,</w:t>
      </w:r>
      <w:r w:rsidRPr="00A429AA">
        <w:rPr>
          <w:rFonts w:ascii="Times New Roman" w:hAnsi="Times New Roman"/>
          <w:noProof/>
        </w:rPr>
        <w:t xml:space="preserve"> 250-259</w:t>
      </w:r>
      <w:r w:rsidR="00221D42">
        <w:rPr>
          <w:rFonts w:ascii="Times New Roman" w:hAnsi="Times New Roman"/>
          <w:noProof/>
        </w:rPr>
        <w:t>.</w:t>
      </w:r>
    </w:p>
    <w:p w14:paraId="3D38B136" w14:textId="77777777" w:rsidR="006A6A03" w:rsidRPr="00A429AA" w:rsidRDefault="006A6A03" w:rsidP="00F56B72">
      <w:pPr>
        <w:spacing w:line="360" w:lineRule="auto"/>
        <w:rPr>
          <w:rFonts w:ascii="Times New Roman" w:hAnsi="Times New Roman" w:cs="Times New Roman"/>
        </w:rPr>
      </w:pPr>
    </w:p>
    <w:p w14:paraId="6768220F" w14:textId="3CBEABD5" w:rsidR="00F56B72" w:rsidRPr="00A429AA" w:rsidRDefault="00906C73" w:rsidP="00F56B72">
      <w:pPr>
        <w:spacing w:line="360" w:lineRule="auto"/>
        <w:rPr>
          <w:rFonts w:ascii="Times New Roman" w:hAnsi="Times New Roman" w:cs="Times New Roman"/>
          <w:u w:val="single"/>
        </w:rPr>
      </w:pPr>
      <w:r w:rsidRPr="00E863CD">
        <w:rPr>
          <w:rFonts w:ascii="Times New Roman" w:hAnsi="Times New Roman" w:cs="Times New Roman"/>
          <w:i/>
        </w:rPr>
        <w:t>Davis</w:t>
      </w:r>
      <w:r w:rsidR="00E863CD">
        <w:rPr>
          <w:rFonts w:ascii="Times New Roman" w:hAnsi="Times New Roman" w:cs="Times New Roman"/>
          <w:i/>
        </w:rPr>
        <w:t>,</w:t>
      </w:r>
      <w:r w:rsidR="00F56B72" w:rsidRPr="00A429AA">
        <w:rPr>
          <w:rFonts w:ascii="Times New Roman" w:hAnsi="Times New Roman" w:cs="Times New Roman"/>
        </w:rPr>
        <w:t xml:space="preserve"> E</w:t>
      </w:r>
      <w:r w:rsidR="00E863CD">
        <w:rPr>
          <w:rFonts w:ascii="Times New Roman" w:hAnsi="Times New Roman" w:cs="Times New Roman"/>
        </w:rPr>
        <w:t>.</w:t>
      </w:r>
      <w:r w:rsidRPr="00A429AA">
        <w:rPr>
          <w:rFonts w:ascii="Times New Roman" w:hAnsi="Times New Roman" w:cs="Times New Roman"/>
        </w:rPr>
        <w:t xml:space="preserve"> P</w:t>
      </w:r>
      <w:r w:rsidR="00E863CD">
        <w:rPr>
          <w:rFonts w:ascii="Times New Roman" w:hAnsi="Times New Roman" w:cs="Times New Roman"/>
        </w:rPr>
        <w:t>. /</w:t>
      </w:r>
      <w:r w:rsidRPr="00A429AA">
        <w:rPr>
          <w:rFonts w:ascii="Times New Roman" w:hAnsi="Times New Roman" w:cs="Times New Roman"/>
        </w:rPr>
        <w:t xml:space="preserve"> </w:t>
      </w:r>
      <w:r w:rsidRPr="00E863CD">
        <w:rPr>
          <w:rFonts w:ascii="Times New Roman" w:hAnsi="Times New Roman" w:cs="Times New Roman"/>
          <w:i/>
        </w:rPr>
        <w:t>Karim</w:t>
      </w:r>
      <w:r w:rsidR="00E863CD">
        <w:rPr>
          <w:rFonts w:ascii="Times New Roman" w:hAnsi="Times New Roman" w:cs="Times New Roman"/>
          <w:i/>
        </w:rPr>
        <w:t>,</w:t>
      </w:r>
      <w:r w:rsidRPr="00A429AA">
        <w:rPr>
          <w:rFonts w:ascii="Times New Roman" w:hAnsi="Times New Roman" w:cs="Times New Roman"/>
        </w:rPr>
        <w:t xml:space="preserve"> D</w:t>
      </w:r>
      <w:r w:rsidR="00E863CD">
        <w:rPr>
          <w:rFonts w:ascii="Times New Roman" w:hAnsi="Times New Roman" w:cs="Times New Roman"/>
        </w:rPr>
        <w:t>.</w:t>
      </w:r>
      <w:r w:rsidR="00F56B72" w:rsidRPr="00A429AA">
        <w:rPr>
          <w:rFonts w:ascii="Times New Roman" w:hAnsi="Times New Roman" w:cs="Times New Roman"/>
        </w:rPr>
        <w:t xml:space="preserve"> </w:t>
      </w:r>
      <w:r w:rsidRPr="00A429AA">
        <w:rPr>
          <w:rFonts w:ascii="Times New Roman" w:hAnsi="Times New Roman" w:cs="Times New Roman"/>
        </w:rPr>
        <w:t>(</w:t>
      </w:r>
      <w:r w:rsidR="00F56B72" w:rsidRPr="00A429AA">
        <w:rPr>
          <w:rFonts w:ascii="Times New Roman" w:hAnsi="Times New Roman" w:cs="Times New Roman"/>
        </w:rPr>
        <w:t>2008</w:t>
      </w:r>
      <w:r w:rsidR="004556B2" w:rsidRPr="00A429AA">
        <w:rPr>
          <w:rFonts w:ascii="Times New Roman" w:hAnsi="Times New Roman" w:cs="Times New Roman"/>
        </w:rPr>
        <w:t>)</w:t>
      </w:r>
      <w:r w:rsidR="00E863CD">
        <w:rPr>
          <w:rFonts w:ascii="Times New Roman" w:hAnsi="Times New Roman" w:cs="Times New Roman"/>
        </w:rPr>
        <w:t>:</w:t>
      </w:r>
      <w:r w:rsidRPr="00A429AA">
        <w:rPr>
          <w:rFonts w:ascii="Times New Roman" w:hAnsi="Times New Roman" w:cs="Times New Roman"/>
        </w:rPr>
        <w:t xml:space="preserve"> </w:t>
      </w:r>
      <w:r w:rsidR="00801F7B">
        <w:rPr>
          <w:rFonts w:ascii="Times New Roman" w:hAnsi="Times New Roman" w:cs="Times New Roman"/>
        </w:rPr>
        <w:t>“</w:t>
      </w:r>
      <w:r w:rsidRPr="00A429AA">
        <w:rPr>
          <w:rFonts w:ascii="Times New Roman" w:hAnsi="Times New Roman" w:cs="Times New Roman"/>
        </w:rPr>
        <w:t>Comparing early warning sy</w:t>
      </w:r>
      <w:r w:rsidR="00834A77" w:rsidRPr="00A429AA">
        <w:rPr>
          <w:rFonts w:ascii="Times New Roman" w:hAnsi="Times New Roman" w:cs="Times New Roman"/>
        </w:rPr>
        <w:t>s</w:t>
      </w:r>
      <w:r w:rsidRPr="00A429AA">
        <w:rPr>
          <w:rFonts w:ascii="Times New Roman" w:hAnsi="Times New Roman" w:cs="Times New Roman"/>
        </w:rPr>
        <w:t>tems for banking crises</w:t>
      </w:r>
      <w:r w:rsidR="00117099">
        <w:rPr>
          <w:rFonts w:ascii="Times New Roman" w:hAnsi="Times New Roman" w:cs="Times New Roman"/>
        </w:rPr>
        <w:t>,</w:t>
      </w:r>
      <w:r w:rsidR="00E72AEE">
        <w:rPr>
          <w:rFonts w:ascii="Times New Roman" w:hAnsi="Times New Roman" w:cs="Times New Roman"/>
        </w:rPr>
        <w:t>”</w:t>
      </w:r>
      <w:r w:rsidR="00117099">
        <w:rPr>
          <w:rFonts w:ascii="Times New Roman" w:hAnsi="Times New Roman" w:cs="Times New Roman"/>
        </w:rPr>
        <w:t xml:space="preserve"> Journal of Financial Stability 4, 89-120.</w:t>
      </w:r>
    </w:p>
    <w:p w14:paraId="170396A3" w14:textId="77777777" w:rsidR="00906C73" w:rsidRPr="00A429AA" w:rsidRDefault="00906C73" w:rsidP="00F56B72">
      <w:pPr>
        <w:spacing w:line="360" w:lineRule="auto"/>
        <w:rPr>
          <w:rFonts w:ascii="Times New Roman" w:hAnsi="Times New Roman" w:cs="Times New Roman"/>
        </w:rPr>
      </w:pPr>
    </w:p>
    <w:p w14:paraId="20EF94C9" w14:textId="709D14C6" w:rsidR="00F56B72" w:rsidRPr="00A429AA" w:rsidRDefault="00906C73" w:rsidP="00F56B72">
      <w:pPr>
        <w:spacing w:line="360" w:lineRule="auto"/>
        <w:rPr>
          <w:rFonts w:ascii="Times New Roman" w:hAnsi="Times New Roman" w:cs="Times New Roman"/>
          <w:u w:val="single"/>
        </w:rPr>
      </w:pPr>
      <w:r w:rsidRPr="00823581">
        <w:rPr>
          <w:rFonts w:ascii="Times New Roman" w:hAnsi="Times New Roman" w:cs="Times New Roman"/>
          <w:i/>
        </w:rPr>
        <w:t xml:space="preserve">De </w:t>
      </w:r>
      <w:proofErr w:type="spellStart"/>
      <w:r w:rsidRPr="00823581">
        <w:rPr>
          <w:rFonts w:ascii="Times New Roman" w:hAnsi="Times New Roman" w:cs="Times New Roman"/>
          <w:i/>
        </w:rPr>
        <w:t>Nederlandsche</w:t>
      </w:r>
      <w:proofErr w:type="spellEnd"/>
      <w:r w:rsidRPr="00823581">
        <w:rPr>
          <w:rFonts w:ascii="Times New Roman" w:hAnsi="Times New Roman" w:cs="Times New Roman"/>
          <w:i/>
        </w:rPr>
        <w:t xml:space="preserve"> Bank</w:t>
      </w:r>
      <w:r w:rsidR="00823581">
        <w:rPr>
          <w:rFonts w:ascii="Times New Roman" w:hAnsi="Times New Roman" w:cs="Times New Roman"/>
          <w:i/>
        </w:rPr>
        <w:t>.</w:t>
      </w:r>
      <w:r w:rsidRPr="00A429AA">
        <w:rPr>
          <w:rFonts w:ascii="Times New Roman" w:hAnsi="Times New Roman" w:cs="Times New Roman"/>
        </w:rPr>
        <w:t xml:space="preserve"> (2008)</w:t>
      </w:r>
      <w:r w:rsidR="00823581">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Overview of financial stability in the Netherlands</w:t>
      </w:r>
      <w:r w:rsidR="00B329CC">
        <w:rPr>
          <w:rFonts w:ascii="Times New Roman" w:hAnsi="Times New Roman" w:cs="Times New Roman"/>
          <w:iCs/>
        </w:rPr>
        <w:t>,</w:t>
      </w:r>
      <w:r w:rsidR="00F56B72" w:rsidRPr="00A429AA">
        <w:rPr>
          <w:rFonts w:ascii="Times New Roman" w:hAnsi="Times New Roman" w:cs="Times New Roman"/>
          <w:i/>
          <w:iCs/>
        </w:rPr>
        <w:t xml:space="preserve"> </w:t>
      </w:r>
      <w:hyperlink r:id="rId24" w:history="1">
        <w:r w:rsidRPr="00A429AA">
          <w:rPr>
            <w:rStyle w:val="Hyperlink"/>
            <w:rFonts w:ascii="Times New Roman" w:hAnsi="Times New Roman" w:cs="Times New Roman"/>
            <w:color w:val="auto"/>
          </w:rPr>
          <w:t>http://www.dnb.nl/en/binaries/OFSnr9_tcm47-218448.pdf</w:t>
        </w:r>
      </w:hyperlink>
      <w:r w:rsidRPr="00A429AA">
        <w:rPr>
          <w:rFonts w:ascii="Times New Roman" w:hAnsi="Times New Roman" w:cs="Times New Roman"/>
          <w:u w:val="single"/>
        </w:rPr>
        <w:t>.</w:t>
      </w:r>
      <w:r w:rsidRPr="00A429AA">
        <w:rPr>
          <w:rFonts w:ascii="Times New Roman" w:hAnsi="Times New Roman" w:cs="Times New Roman"/>
        </w:rPr>
        <w:t xml:space="preserve"> Accessed 10 January 2016</w:t>
      </w:r>
      <w:r w:rsidR="00B140D7">
        <w:rPr>
          <w:rFonts w:ascii="Times New Roman" w:hAnsi="Times New Roman" w:cs="Times New Roman"/>
        </w:rPr>
        <w:t>.</w:t>
      </w:r>
    </w:p>
    <w:p w14:paraId="3D8D2068" w14:textId="77777777" w:rsidR="00906C73" w:rsidRPr="00A429AA" w:rsidRDefault="00906C73" w:rsidP="00F56B72">
      <w:pPr>
        <w:spacing w:line="360" w:lineRule="auto"/>
        <w:rPr>
          <w:rFonts w:ascii="Times New Roman" w:hAnsi="Times New Roman" w:cs="Times New Roman"/>
        </w:rPr>
      </w:pPr>
    </w:p>
    <w:p w14:paraId="17C7A9C4" w14:textId="51DCAA03" w:rsidR="00B36F48" w:rsidRPr="00A429AA" w:rsidRDefault="00906C73" w:rsidP="00B36F48">
      <w:pPr>
        <w:spacing w:line="360" w:lineRule="auto"/>
        <w:rPr>
          <w:rFonts w:ascii="Times New Roman" w:hAnsi="Times New Roman" w:cs="Times New Roman"/>
        </w:rPr>
      </w:pPr>
      <w:r w:rsidRPr="00DB05D2">
        <w:rPr>
          <w:rFonts w:ascii="Times New Roman" w:hAnsi="Times New Roman" w:cs="Times New Roman"/>
          <w:i/>
        </w:rPr>
        <w:t xml:space="preserve">De </w:t>
      </w:r>
      <w:proofErr w:type="spellStart"/>
      <w:r w:rsidRPr="00DB05D2">
        <w:rPr>
          <w:rFonts w:ascii="Times New Roman" w:hAnsi="Times New Roman" w:cs="Times New Roman"/>
          <w:i/>
        </w:rPr>
        <w:t>Nederlandsche</w:t>
      </w:r>
      <w:proofErr w:type="spellEnd"/>
      <w:r w:rsidRPr="00DB05D2">
        <w:rPr>
          <w:rFonts w:ascii="Times New Roman" w:hAnsi="Times New Roman" w:cs="Times New Roman"/>
          <w:i/>
        </w:rPr>
        <w:t xml:space="preserve"> Bank</w:t>
      </w:r>
      <w:r w:rsidR="00DB05D2">
        <w:rPr>
          <w:rFonts w:ascii="Times New Roman" w:hAnsi="Times New Roman" w:cs="Times New Roman"/>
          <w:i/>
        </w:rPr>
        <w:t xml:space="preserve">. </w:t>
      </w:r>
      <w:r w:rsidRPr="00A429AA">
        <w:rPr>
          <w:rFonts w:ascii="Times New Roman" w:hAnsi="Times New Roman" w:cs="Times New Roman"/>
        </w:rPr>
        <w:t>(2009)</w:t>
      </w:r>
      <w:r w:rsidR="00DB05D2">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Overview of financial stabil</w:t>
      </w:r>
      <w:r w:rsidR="00B329CC">
        <w:rPr>
          <w:rFonts w:ascii="Times New Roman" w:hAnsi="Times New Roman" w:cs="Times New Roman"/>
          <w:iCs/>
        </w:rPr>
        <w:t xml:space="preserve">ity in the </w:t>
      </w:r>
      <w:proofErr w:type="spellStart"/>
      <w:r w:rsidR="00B329CC">
        <w:rPr>
          <w:rFonts w:ascii="Times New Roman" w:hAnsi="Times New Roman" w:cs="Times New Roman"/>
          <w:iCs/>
        </w:rPr>
        <w:t>Nederlands</w:t>
      </w:r>
      <w:proofErr w:type="spellEnd"/>
      <w:r w:rsidR="00B329CC">
        <w:rPr>
          <w:rFonts w:ascii="Times New Roman" w:hAnsi="Times New Roman" w:cs="Times New Roman"/>
          <w:iCs/>
        </w:rPr>
        <w:t>,</w:t>
      </w:r>
      <w:r w:rsidR="00F56B72" w:rsidRPr="00A429AA">
        <w:rPr>
          <w:rFonts w:ascii="Times New Roman" w:hAnsi="Times New Roman" w:cs="Times New Roman"/>
        </w:rPr>
        <w:t xml:space="preserve"> </w:t>
      </w:r>
      <w:hyperlink r:id="rId25" w:history="1">
        <w:r w:rsidR="00B36F48" w:rsidRPr="00A429AA">
          <w:rPr>
            <w:rStyle w:val="Hyperlink"/>
            <w:rFonts w:ascii="Times New Roman" w:hAnsi="Times New Roman" w:cs="Times New Roman"/>
            <w:color w:val="auto"/>
          </w:rPr>
          <w:t>http://www.dnb.nl/en/binaries/OFSnr9_tcm47-218448.pdf</w:t>
        </w:r>
      </w:hyperlink>
      <w:r w:rsidR="00B36F48" w:rsidRPr="00A429AA">
        <w:rPr>
          <w:rFonts w:ascii="Times New Roman" w:hAnsi="Times New Roman" w:cs="Times New Roman"/>
          <w:u w:val="single"/>
        </w:rPr>
        <w:t>.</w:t>
      </w:r>
      <w:r w:rsidR="00B36F48" w:rsidRPr="00A429AA">
        <w:rPr>
          <w:rFonts w:ascii="Times New Roman" w:hAnsi="Times New Roman" w:cs="Times New Roman"/>
        </w:rPr>
        <w:t xml:space="preserve"> Accessed 10 January 2016</w:t>
      </w:r>
      <w:r w:rsidR="00B140D7">
        <w:rPr>
          <w:rFonts w:ascii="Times New Roman" w:hAnsi="Times New Roman" w:cs="Times New Roman"/>
        </w:rPr>
        <w:t>.</w:t>
      </w:r>
    </w:p>
    <w:p w14:paraId="5F72C1B6" w14:textId="77777777" w:rsidR="00DD2AD3" w:rsidRPr="00A429AA" w:rsidRDefault="00DD2AD3" w:rsidP="00B36F48">
      <w:pPr>
        <w:spacing w:line="360" w:lineRule="auto"/>
        <w:rPr>
          <w:rFonts w:ascii="Times New Roman" w:hAnsi="Times New Roman" w:cs="Times New Roman"/>
          <w:u w:val="single"/>
        </w:rPr>
      </w:pPr>
    </w:p>
    <w:p w14:paraId="7E56BB8C" w14:textId="543FD3CF" w:rsidR="003B1715" w:rsidRPr="00A429AA" w:rsidRDefault="003B1715" w:rsidP="003B1715">
      <w:pPr>
        <w:pStyle w:val="Bibliography"/>
        <w:spacing w:line="360" w:lineRule="auto"/>
        <w:rPr>
          <w:rFonts w:ascii="Times New Roman" w:hAnsi="Times New Roman"/>
          <w:noProof/>
        </w:rPr>
      </w:pPr>
      <w:r w:rsidRPr="00AD5A17">
        <w:rPr>
          <w:rFonts w:ascii="Times New Roman" w:hAnsi="Times New Roman"/>
          <w:i/>
          <w:noProof/>
        </w:rPr>
        <w:t>Degl'Innocenti</w:t>
      </w:r>
      <w:r w:rsidR="00AD5A17">
        <w:rPr>
          <w:rFonts w:ascii="Times New Roman" w:hAnsi="Times New Roman"/>
          <w:i/>
          <w:noProof/>
        </w:rPr>
        <w:t>,</w:t>
      </w:r>
      <w:r w:rsidR="00AD5A17">
        <w:rPr>
          <w:rFonts w:ascii="Times New Roman" w:hAnsi="Times New Roman"/>
          <w:noProof/>
        </w:rPr>
        <w:t xml:space="preserve"> M. /</w:t>
      </w:r>
      <w:r w:rsidRPr="00A429AA">
        <w:rPr>
          <w:rFonts w:ascii="Times New Roman" w:hAnsi="Times New Roman"/>
          <w:noProof/>
        </w:rPr>
        <w:t xml:space="preserve"> </w:t>
      </w:r>
      <w:r w:rsidRPr="00AD5A17">
        <w:rPr>
          <w:rFonts w:ascii="Times New Roman" w:hAnsi="Times New Roman"/>
          <w:i/>
          <w:noProof/>
        </w:rPr>
        <w:t>Kourtzidis</w:t>
      </w:r>
      <w:r w:rsidR="00AD5A17">
        <w:rPr>
          <w:rFonts w:ascii="Times New Roman" w:hAnsi="Times New Roman"/>
          <w:i/>
          <w:noProof/>
        </w:rPr>
        <w:t>,</w:t>
      </w:r>
      <w:r w:rsidR="00AD5A17">
        <w:rPr>
          <w:rFonts w:ascii="Times New Roman" w:hAnsi="Times New Roman"/>
          <w:noProof/>
        </w:rPr>
        <w:t xml:space="preserve"> S. /</w:t>
      </w:r>
      <w:r w:rsidRPr="00A429AA">
        <w:rPr>
          <w:rFonts w:ascii="Times New Roman" w:hAnsi="Times New Roman"/>
          <w:noProof/>
        </w:rPr>
        <w:t xml:space="preserve"> </w:t>
      </w:r>
      <w:r w:rsidRPr="00AD5A17">
        <w:rPr>
          <w:rFonts w:ascii="Times New Roman" w:hAnsi="Times New Roman"/>
          <w:i/>
          <w:noProof/>
        </w:rPr>
        <w:t>Sevic</w:t>
      </w:r>
      <w:r w:rsidR="00AD5A17">
        <w:rPr>
          <w:rFonts w:ascii="Times New Roman" w:hAnsi="Times New Roman"/>
          <w:i/>
          <w:noProof/>
        </w:rPr>
        <w:t>,</w:t>
      </w:r>
      <w:r w:rsidR="00AD5A17">
        <w:rPr>
          <w:rFonts w:ascii="Times New Roman" w:hAnsi="Times New Roman"/>
          <w:noProof/>
        </w:rPr>
        <w:t xml:space="preserve"> Z. /</w:t>
      </w:r>
      <w:r w:rsidRPr="00A429AA">
        <w:rPr>
          <w:rFonts w:ascii="Times New Roman" w:hAnsi="Times New Roman"/>
          <w:noProof/>
        </w:rPr>
        <w:t xml:space="preserve">  </w:t>
      </w:r>
      <w:r w:rsidRPr="00AD5A17">
        <w:rPr>
          <w:rFonts w:ascii="Times New Roman" w:hAnsi="Times New Roman"/>
          <w:i/>
          <w:noProof/>
        </w:rPr>
        <w:t>Tzeremes</w:t>
      </w:r>
      <w:r w:rsidR="00AD5A17">
        <w:rPr>
          <w:rFonts w:ascii="Times New Roman" w:hAnsi="Times New Roman"/>
          <w:i/>
          <w:noProof/>
        </w:rPr>
        <w:t>,</w:t>
      </w:r>
      <w:r w:rsidRPr="00A429AA">
        <w:rPr>
          <w:rFonts w:ascii="Times New Roman" w:hAnsi="Times New Roman"/>
          <w:noProof/>
        </w:rPr>
        <w:t xml:space="preserve"> N</w:t>
      </w:r>
      <w:r w:rsidR="00AD5A17">
        <w:rPr>
          <w:rFonts w:ascii="Times New Roman" w:hAnsi="Times New Roman"/>
          <w:noProof/>
        </w:rPr>
        <w:t>.</w:t>
      </w:r>
      <w:r w:rsidRPr="00A429AA">
        <w:rPr>
          <w:rFonts w:ascii="Times New Roman" w:hAnsi="Times New Roman"/>
          <w:noProof/>
        </w:rPr>
        <w:t xml:space="preserve"> (2017)</w:t>
      </w:r>
      <w:r w:rsidR="0044402C">
        <w:rPr>
          <w:rFonts w:ascii="Times New Roman" w:hAnsi="Times New Roman"/>
          <w:noProof/>
        </w:rPr>
        <w:t>:</w:t>
      </w:r>
      <w:r w:rsidRPr="00A429AA">
        <w:rPr>
          <w:rFonts w:ascii="Times New Roman" w:hAnsi="Times New Roman"/>
          <w:noProof/>
        </w:rPr>
        <w:t xml:space="preserve"> </w:t>
      </w:r>
      <w:r w:rsidR="0044402C">
        <w:rPr>
          <w:rFonts w:ascii="Times New Roman" w:hAnsi="Times New Roman"/>
          <w:noProof/>
        </w:rPr>
        <w:t>“</w:t>
      </w:r>
      <w:r w:rsidRPr="00A429AA">
        <w:rPr>
          <w:rFonts w:ascii="Times New Roman" w:hAnsi="Times New Roman"/>
          <w:noProof/>
        </w:rPr>
        <w:t>Bank productivity growth and convergence in the European Un</w:t>
      </w:r>
      <w:r w:rsidR="0044402C">
        <w:rPr>
          <w:rFonts w:ascii="Times New Roman" w:hAnsi="Times New Roman"/>
          <w:noProof/>
        </w:rPr>
        <w:t>ion during the financial crisis,”</w:t>
      </w:r>
      <w:r w:rsidRPr="00A429AA">
        <w:rPr>
          <w:rFonts w:ascii="Times New Roman" w:hAnsi="Times New Roman"/>
          <w:noProof/>
        </w:rPr>
        <w:t xml:space="preserve"> </w:t>
      </w:r>
      <w:r w:rsidR="0044402C">
        <w:rPr>
          <w:rFonts w:ascii="Times New Roman" w:hAnsi="Times New Roman"/>
          <w:iCs/>
          <w:noProof/>
        </w:rPr>
        <w:t xml:space="preserve">Journal of Banking and Finance </w:t>
      </w:r>
      <w:r w:rsidRPr="00A429AA">
        <w:rPr>
          <w:rFonts w:ascii="Times New Roman" w:hAnsi="Times New Roman"/>
          <w:iCs/>
          <w:noProof/>
        </w:rPr>
        <w:t>75</w:t>
      </w:r>
      <w:r w:rsidR="0044402C">
        <w:rPr>
          <w:rFonts w:ascii="Times New Roman" w:hAnsi="Times New Roman"/>
          <w:noProof/>
        </w:rPr>
        <w:t>,</w:t>
      </w:r>
      <w:r w:rsidR="007020CF">
        <w:rPr>
          <w:rFonts w:ascii="Times New Roman" w:hAnsi="Times New Roman"/>
          <w:noProof/>
        </w:rPr>
        <w:t xml:space="preserve"> 184–199.</w:t>
      </w:r>
    </w:p>
    <w:p w14:paraId="6065E0EB" w14:textId="77777777" w:rsidR="003B1715" w:rsidRPr="00A429AA" w:rsidRDefault="003B1715" w:rsidP="00F56B72">
      <w:pPr>
        <w:spacing w:line="360" w:lineRule="auto"/>
        <w:rPr>
          <w:rFonts w:ascii="Times New Roman" w:hAnsi="Times New Roman" w:cs="Times New Roman"/>
        </w:rPr>
      </w:pPr>
    </w:p>
    <w:p w14:paraId="7D1C9919" w14:textId="3E6CD395" w:rsidR="00F56B72" w:rsidRPr="00A429AA" w:rsidRDefault="00A47053" w:rsidP="00F56B72">
      <w:pPr>
        <w:spacing w:line="360" w:lineRule="auto"/>
        <w:rPr>
          <w:rFonts w:ascii="Times New Roman" w:hAnsi="Times New Roman" w:cs="Times New Roman"/>
          <w:iCs/>
        </w:rPr>
      </w:pPr>
      <w:proofErr w:type="spellStart"/>
      <w:r w:rsidRPr="00870745">
        <w:rPr>
          <w:rFonts w:ascii="Times New Roman" w:hAnsi="Times New Roman" w:cs="Times New Roman"/>
          <w:i/>
        </w:rPr>
        <w:t>Demirgüç-Kunt</w:t>
      </w:r>
      <w:proofErr w:type="spellEnd"/>
      <w:r w:rsidR="00870745">
        <w:rPr>
          <w:rFonts w:ascii="Times New Roman" w:hAnsi="Times New Roman" w:cs="Times New Roman"/>
          <w:i/>
        </w:rPr>
        <w:t>,</w:t>
      </w:r>
      <w:r w:rsidR="00870745">
        <w:rPr>
          <w:rFonts w:ascii="Times New Roman" w:hAnsi="Times New Roman" w:cs="Times New Roman"/>
        </w:rPr>
        <w:t xml:space="preserve"> A. /</w:t>
      </w:r>
      <w:r w:rsidR="000C495A" w:rsidRPr="00A429AA">
        <w:rPr>
          <w:rFonts w:ascii="Times New Roman" w:hAnsi="Times New Roman" w:cs="Times New Roman"/>
        </w:rPr>
        <w:t xml:space="preserve"> </w:t>
      </w:r>
      <w:proofErr w:type="spellStart"/>
      <w:r w:rsidR="000C495A" w:rsidRPr="00870745">
        <w:rPr>
          <w:rFonts w:ascii="Times New Roman" w:hAnsi="Times New Roman" w:cs="Times New Roman"/>
          <w:i/>
        </w:rPr>
        <w:t>Detragiache</w:t>
      </w:r>
      <w:proofErr w:type="spellEnd"/>
      <w:r w:rsidR="00870745">
        <w:rPr>
          <w:rFonts w:ascii="Times New Roman" w:hAnsi="Times New Roman" w:cs="Times New Roman"/>
          <w:i/>
        </w:rPr>
        <w:t>,</w:t>
      </w:r>
      <w:r w:rsidR="000C495A" w:rsidRPr="00A429AA">
        <w:rPr>
          <w:rFonts w:ascii="Times New Roman" w:hAnsi="Times New Roman" w:cs="Times New Roman"/>
        </w:rPr>
        <w:t xml:space="preserve"> E</w:t>
      </w:r>
      <w:r w:rsidR="00870745">
        <w:rPr>
          <w:rFonts w:ascii="Times New Roman" w:hAnsi="Times New Roman" w:cs="Times New Roman"/>
        </w:rPr>
        <w:t>.</w:t>
      </w:r>
      <w:r w:rsidR="000C495A" w:rsidRPr="00A429AA">
        <w:rPr>
          <w:rFonts w:ascii="Times New Roman" w:hAnsi="Times New Roman" w:cs="Times New Roman"/>
        </w:rPr>
        <w:t xml:space="preserve"> (2005)</w:t>
      </w:r>
      <w:r w:rsidR="00870745">
        <w:rPr>
          <w:rFonts w:ascii="Times New Roman" w:hAnsi="Times New Roman" w:cs="Times New Roman"/>
        </w:rPr>
        <w:t>:</w:t>
      </w:r>
      <w:r w:rsidR="00F56B72" w:rsidRPr="00A429AA">
        <w:rPr>
          <w:rFonts w:ascii="Times New Roman" w:hAnsi="Times New Roman" w:cs="Times New Roman"/>
        </w:rPr>
        <w:t xml:space="preserve"> </w:t>
      </w:r>
      <w:r w:rsidR="00870745">
        <w:rPr>
          <w:rFonts w:ascii="Times New Roman" w:hAnsi="Times New Roman" w:cs="Times New Roman"/>
        </w:rPr>
        <w:t>“</w:t>
      </w:r>
      <w:r w:rsidR="00F56B72" w:rsidRPr="00A429AA">
        <w:rPr>
          <w:rFonts w:ascii="Times New Roman" w:hAnsi="Times New Roman" w:cs="Times New Roman"/>
        </w:rPr>
        <w:t>Cross- country empirical stud</w:t>
      </w:r>
      <w:r w:rsidR="00E8632C" w:rsidRPr="00A429AA">
        <w:rPr>
          <w:rFonts w:ascii="Times New Roman" w:hAnsi="Times New Roman" w:cs="Times New Roman"/>
        </w:rPr>
        <w:t>ies of systematic bank distress:</w:t>
      </w:r>
      <w:r w:rsidR="00A33248">
        <w:rPr>
          <w:rFonts w:ascii="Times New Roman" w:hAnsi="Times New Roman" w:cs="Times New Roman"/>
        </w:rPr>
        <w:t xml:space="preserve"> A survey,”</w:t>
      </w:r>
      <w:r w:rsidR="00F56B72" w:rsidRPr="00A429AA">
        <w:rPr>
          <w:rFonts w:ascii="Times New Roman" w:hAnsi="Times New Roman" w:cs="Times New Roman"/>
        </w:rPr>
        <w:t xml:space="preserve"> </w:t>
      </w:r>
      <w:r w:rsidR="00E8632C" w:rsidRPr="00A429AA">
        <w:rPr>
          <w:rFonts w:ascii="Times New Roman" w:hAnsi="Times New Roman" w:cs="Times New Roman"/>
          <w:iCs/>
        </w:rPr>
        <w:t>IMF Working Paper 05/96</w:t>
      </w:r>
      <w:r w:rsidR="00544AA2">
        <w:rPr>
          <w:rFonts w:ascii="Times New Roman" w:hAnsi="Times New Roman" w:cs="Times New Roman"/>
          <w:iCs/>
        </w:rPr>
        <w:t xml:space="preserve">. </w:t>
      </w:r>
    </w:p>
    <w:p w14:paraId="36BED9D9" w14:textId="77777777" w:rsidR="000C495A" w:rsidRPr="00A429AA" w:rsidRDefault="000C495A" w:rsidP="00F56B72">
      <w:pPr>
        <w:spacing w:line="360" w:lineRule="auto"/>
        <w:rPr>
          <w:rFonts w:ascii="Times New Roman" w:hAnsi="Times New Roman" w:cs="Times New Roman"/>
        </w:rPr>
      </w:pPr>
    </w:p>
    <w:p w14:paraId="6C626F68" w14:textId="3AE0C782" w:rsidR="00862020" w:rsidRPr="00A429AA" w:rsidRDefault="00862020" w:rsidP="00862020">
      <w:pPr>
        <w:spacing w:line="360" w:lineRule="auto"/>
        <w:rPr>
          <w:rFonts w:ascii="Times New Roman" w:hAnsi="Times New Roman" w:cs="Times New Roman"/>
          <w:u w:val="single"/>
        </w:rPr>
      </w:pPr>
      <w:proofErr w:type="spellStart"/>
      <w:r w:rsidRPr="0041255A">
        <w:rPr>
          <w:rFonts w:ascii="Times New Roman" w:hAnsi="Times New Roman" w:cs="Times New Roman"/>
          <w:i/>
        </w:rPr>
        <w:t>Denmarks</w:t>
      </w:r>
      <w:proofErr w:type="spellEnd"/>
      <w:r w:rsidRPr="0041255A">
        <w:rPr>
          <w:rFonts w:ascii="Times New Roman" w:hAnsi="Times New Roman" w:cs="Times New Roman"/>
          <w:i/>
        </w:rPr>
        <w:t xml:space="preserve"> </w:t>
      </w:r>
      <w:proofErr w:type="spellStart"/>
      <w:r w:rsidRPr="0041255A">
        <w:rPr>
          <w:rFonts w:ascii="Times New Roman" w:hAnsi="Times New Roman" w:cs="Times New Roman"/>
          <w:i/>
        </w:rPr>
        <w:t>Nationalbank</w:t>
      </w:r>
      <w:proofErr w:type="spellEnd"/>
      <w:r w:rsidR="0041255A">
        <w:rPr>
          <w:rFonts w:ascii="Times New Roman" w:hAnsi="Times New Roman" w:cs="Times New Roman"/>
          <w:i/>
        </w:rPr>
        <w:t>.</w:t>
      </w:r>
      <w:r w:rsidRPr="00A429AA">
        <w:rPr>
          <w:rFonts w:ascii="Times New Roman" w:hAnsi="Times New Roman" w:cs="Times New Roman"/>
        </w:rPr>
        <w:t xml:space="preserve"> (2008)</w:t>
      </w:r>
      <w:r w:rsidR="0041255A">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2008</w:t>
      </w:r>
      <w:r w:rsidR="0041255A">
        <w:rPr>
          <w:rFonts w:ascii="Times New Roman" w:hAnsi="Times New Roman" w:cs="Times New Roman"/>
          <w:iCs/>
        </w:rPr>
        <w:t>,</w:t>
      </w:r>
      <w:r w:rsidR="00F56B72" w:rsidRPr="00A429AA">
        <w:rPr>
          <w:rFonts w:ascii="Times New Roman" w:hAnsi="Times New Roman" w:cs="Times New Roman"/>
          <w:i/>
          <w:iCs/>
        </w:rPr>
        <w:t xml:space="preserve"> </w:t>
      </w:r>
      <w:hyperlink r:id="rId26" w:history="1">
        <w:r w:rsidRPr="00A429AA">
          <w:rPr>
            <w:rStyle w:val="Hyperlink"/>
            <w:rFonts w:ascii="Times New Roman" w:hAnsi="Times New Roman" w:cs="Times New Roman"/>
            <w:color w:val="auto"/>
          </w:rPr>
          <w:t>http://www.nationalbanken.dk/en/publications/Documents/2008/05/FinancialStability_2008.pdf</w:t>
        </w:r>
      </w:hyperlink>
      <w:r w:rsidRPr="00A429AA">
        <w:rPr>
          <w:rFonts w:ascii="Times New Roman" w:hAnsi="Times New Roman" w:cs="Times New Roman"/>
          <w:u w:val="single"/>
        </w:rPr>
        <w:t>.</w:t>
      </w:r>
      <w:r w:rsidRPr="00A429AA">
        <w:rPr>
          <w:rFonts w:ascii="Times New Roman" w:hAnsi="Times New Roman" w:cs="Times New Roman"/>
        </w:rPr>
        <w:t xml:space="preserve"> Accessed 10 January 2016</w:t>
      </w:r>
      <w:r w:rsidR="005761BB">
        <w:rPr>
          <w:rFonts w:ascii="Times New Roman" w:hAnsi="Times New Roman" w:cs="Times New Roman"/>
        </w:rPr>
        <w:t>.</w:t>
      </w:r>
    </w:p>
    <w:p w14:paraId="4D2A56AE" w14:textId="657AAE2D" w:rsidR="00F56B72" w:rsidRPr="00A429AA" w:rsidRDefault="00F56B72" w:rsidP="00F56B72">
      <w:pPr>
        <w:spacing w:line="360" w:lineRule="auto"/>
        <w:rPr>
          <w:rFonts w:ascii="Times New Roman" w:hAnsi="Times New Roman" w:cs="Times New Roman"/>
        </w:rPr>
      </w:pPr>
    </w:p>
    <w:p w14:paraId="1FC8482E" w14:textId="35E204D9" w:rsidR="00F06A0B" w:rsidRPr="00A429AA" w:rsidRDefault="00862020" w:rsidP="00F06A0B">
      <w:pPr>
        <w:spacing w:line="360" w:lineRule="auto"/>
        <w:rPr>
          <w:rFonts w:ascii="Times New Roman" w:hAnsi="Times New Roman" w:cs="Times New Roman"/>
          <w:u w:val="single"/>
        </w:rPr>
      </w:pPr>
      <w:proofErr w:type="spellStart"/>
      <w:r w:rsidRPr="0041255A">
        <w:rPr>
          <w:rFonts w:ascii="Times New Roman" w:hAnsi="Times New Roman" w:cs="Times New Roman"/>
          <w:i/>
        </w:rPr>
        <w:t>Denmarks</w:t>
      </w:r>
      <w:proofErr w:type="spellEnd"/>
      <w:r w:rsidRPr="0041255A">
        <w:rPr>
          <w:rFonts w:ascii="Times New Roman" w:hAnsi="Times New Roman" w:cs="Times New Roman"/>
          <w:i/>
        </w:rPr>
        <w:t xml:space="preserve"> </w:t>
      </w:r>
      <w:proofErr w:type="spellStart"/>
      <w:r w:rsidRPr="0041255A">
        <w:rPr>
          <w:rFonts w:ascii="Times New Roman" w:hAnsi="Times New Roman" w:cs="Times New Roman"/>
          <w:i/>
        </w:rPr>
        <w:t>Nationalbank</w:t>
      </w:r>
      <w:proofErr w:type="spellEnd"/>
      <w:r w:rsidR="0041255A">
        <w:rPr>
          <w:rFonts w:ascii="Times New Roman" w:hAnsi="Times New Roman" w:cs="Times New Roman"/>
          <w:i/>
        </w:rPr>
        <w:t>.</w:t>
      </w:r>
      <w:r w:rsidR="00F56B72" w:rsidRPr="00A429AA">
        <w:rPr>
          <w:rFonts w:ascii="Times New Roman" w:hAnsi="Times New Roman" w:cs="Times New Roman"/>
        </w:rPr>
        <w:t xml:space="preserve"> </w:t>
      </w:r>
      <w:r w:rsidRPr="00A429AA">
        <w:rPr>
          <w:rFonts w:ascii="Times New Roman" w:hAnsi="Times New Roman" w:cs="Times New Roman"/>
        </w:rPr>
        <w:t>(</w:t>
      </w:r>
      <w:r w:rsidR="00F56B72" w:rsidRPr="00A429AA">
        <w:rPr>
          <w:rFonts w:ascii="Times New Roman" w:hAnsi="Times New Roman" w:cs="Times New Roman"/>
        </w:rPr>
        <w:t>2008</w:t>
      </w:r>
      <w:r w:rsidRPr="00A429AA">
        <w:rPr>
          <w:rFonts w:ascii="Times New Roman" w:hAnsi="Times New Roman" w:cs="Times New Roman"/>
        </w:rPr>
        <w:t>)</w:t>
      </w:r>
      <w:r w:rsidR="0041255A">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2008</w:t>
      </w:r>
      <w:r w:rsidR="0041255A">
        <w:rPr>
          <w:rFonts w:ascii="Times New Roman" w:hAnsi="Times New Roman" w:cs="Times New Roman"/>
          <w:i/>
          <w:iCs/>
        </w:rPr>
        <w:t>,</w:t>
      </w:r>
      <w:r w:rsidR="00F56B72" w:rsidRPr="00A429AA">
        <w:rPr>
          <w:rFonts w:ascii="Times New Roman" w:hAnsi="Times New Roman" w:cs="Times New Roman"/>
          <w:i/>
          <w:iCs/>
        </w:rPr>
        <w:t xml:space="preserve"> </w:t>
      </w:r>
      <w:hyperlink r:id="rId27" w:history="1">
        <w:r w:rsidR="00F06A0B" w:rsidRPr="00A429AA">
          <w:rPr>
            <w:rStyle w:val="Hyperlink"/>
            <w:rFonts w:ascii="Times New Roman" w:hAnsi="Times New Roman" w:cs="Times New Roman"/>
            <w:color w:val="auto"/>
          </w:rPr>
          <w:t>http://www.nationalbanken.dk/en/publications/Documents/2008/05/FinancialStability_2008.pdf</w:t>
        </w:r>
      </w:hyperlink>
      <w:r w:rsidR="00F06A0B" w:rsidRPr="00A429AA">
        <w:rPr>
          <w:rFonts w:ascii="Times New Roman" w:hAnsi="Times New Roman" w:cs="Times New Roman"/>
          <w:u w:val="single"/>
        </w:rPr>
        <w:t>.</w:t>
      </w:r>
      <w:r w:rsidR="00F06A0B" w:rsidRPr="00A429AA">
        <w:rPr>
          <w:rFonts w:ascii="Times New Roman" w:hAnsi="Times New Roman" w:cs="Times New Roman"/>
        </w:rPr>
        <w:t xml:space="preserve"> Accessed 10 January 2016</w:t>
      </w:r>
      <w:r w:rsidR="005761BB">
        <w:rPr>
          <w:rFonts w:ascii="Times New Roman" w:hAnsi="Times New Roman" w:cs="Times New Roman"/>
        </w:rPr>
        <w:t>.</w:t>
      </w:r>
    </w:p>
    <w:p w14:paraId="6C4C4220" w14:textId="2CDE5828" w:rsidR="00F56B72" w:rsidRPr="00A429AA" w:rsidRDefault="00F56B72" w:rsidP="00F56B72">
      <w:pPr>
        <w:spacing w:line="360" w:lineRule="auto"/>
        <w:rPr>
          <w:rFonts w:ascii="Times New Roman" w:hAnsi="Times New Roman" w:cs="Times New Roman"/>
        </w:rPr>
      </w:pPr>
    </w:p>
    <w:p w14:paraId="4491BB90" w14:textId="7E6CA086" w:rsidR="00F56B72" w:rsidRPr="00A429AA" w:rsidRDefault="00F06A0B" w:rsidP="00F56B72">
      <w:pPr>
        <w:spacing w:line="360" w:lineRule="auto"/>
        <w:rPr>
          <w:rFonts w:ascii="Times New Roman" w:hAnsi="Times New Roman" w:cs="Times New Roman"/>
        </w:rPr>
      </w:pPr>
      <w:proofErr w:type="spellStart"/>
      <w:r w:rsidRPr="00E32CAB">
        <w:rPr>
          <w:rFonts w:ascii="Times New Roman" w:hAnsi="Times New Roman" w:cs="Times New Roman"/>
          <w:i/>
        </w:rPr>
        <w:t>Denmarks</w:t>
      </w:r>
      <w:proofErr w:type="spellEnd"/>
      <w:r w:rsidRPr="00E32CAB">
        <w:rPr>
          <w:rFonts w:ascii="Times New Roman" w:hAnsi="Times New Roman" w:cs="Times New Roman"/>
          <w:i/>
        </w:rPr>
        <w:t xml:space="preserve"> </w:t>
      </w:r>
      <w:proofErr w:type="spellStart"/>
      <w:proofErr w:type="gramStart"/>
      <w:r w:rsidRPr="00E32CAB">
        <w:rPr>
          <w:rFonts w:ascii="Times New Roman" w:hAnsi="Times New Roman" w:cs="Times New Roman"/>
          <w:i/>
        </w:rPr>
        <w:t>Nationalbank</w:t>
      </w:r>
      <w:proofErr w:type="spellEnd"/>
      <w:r w:rsidRPr="00A429AA">
        <w:rPr>
          <w:rFonts w:ascii="Times New Roman" w:hAnsi="Times New Roman" w:cs="Times New Roman"/>
        </w:rPr>
        <w:t xml:space="preserve"> </w:t>
      </w:r>
      <w:r w:rsidR="00E32CAB">
        <w:rPr>
          <w:rFonts w:ascii="Times New Roman" w:hAnsi="Times New Roman" w:cs="Times New Roman"/>
        </w:rPr>
        <w:t>.</w:t>
      </w:r>
      <w:proofErr w:type="gramEnd"/>
      <w:r w:rsidR="00E32CAB">
        <w:rPr>
          <w:rFonts w:ascii="Times New Roman" w:hAnsi="Times New Roman" w:cs="Times New Roman"/>
        </w:rPr>
        <w:t xml:space="preserve"> </w:t>
      </w:r>
      <w:r w:rsidRPr="00A429AA">
        <w:rPr>
          <w:rFonts w:ascii="Times New Roman" w:hAnsi="Times New Roman" w:cs="Times New Roman"/>
        </w:rPr>
        <w:t>(2009)</w:t>
      </w:r>
      <w:r w:rsidR="00E32CAB">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2009, 1st half</w:t>
      </w:r>
      <w:r w:rsidR="00E32CAB">
        <w:rPr>
          <w:rFonts w:ascii="Times New Roman" w:hAnsi="Times New Roman" w:cs="Times New Roman"/>
          <w:iCs/>
        </w:rPr>
        <w:t>,</w:t>
      </w:r>
      <w:r w:rsidR="00F56B72" w:rsidRPr="00A429AA">
        <w:rPr>
          <w:rFonts w:ascii="Times New Roman" w:hAnsi="Times New Roman" w:cs="Times New Roman"/>
          <w:i/>
          <w:iCs/>
        </w:rPr>
        <w:t xml:space="preserve"> </w:t>
      </w:r>
      <w:hyperlink r:id="rId28" w:history="1">
        <w:r w:rsidRPr="00A429AA">
          <w:rPr>
            <w:rStyle w:val="Hyperlink"/>
            <w:rFonts w:ascii="Times New Roman" w:hAnsi="Times New Roman" w:cs="Times New Roman"/>
            <w:color w:val="auto"/>
          </w:rPr>
          <w:t>http://www.nationalbanken.dk/en/publications/Documents/2009/06/Financial_stability_1st_2009Eweb.pdf</w:t>
        </w:r>
      </w:hyperlink>
      <w:r w:rsidRPr="00A429AA">
        <w:rPr>
          <w:rFonts w:ascii="Times New Roman" w:hAnsi="Times New Roman" w:cs="Times New Roman"/>
          <w:u w:val="single"/>
        </w:rPr>
        <w:t>.</w:t>
      </w:r>
      <w:r w:rsidRPr="00A429AA">
        <w:rPr>
          <w:rFonts w:ascii="Times New Roman" w:hAnsi="Times New Roman" w:cs="Times New Roman"/>
        </w:rPr>
        <w:t xml:space="preserve"> Accessed 10 January 2016</w:t>
      </w:r>
      <w:r w:rsidR="005761BB">
        <w:rPr>
          <w:rFonts w:ascii="Times New Roman" w:hAnsi="Times New Roman" w:cs="Times New Roman"/>
        </w:rPr>
        <w:t>.</w:t>
      </w:r>
    </w:p>
    <w:p w14:paraId="2131836A" w14:textId="77777777" w:rsidR="00D82FBD" w:rsidRPr="00A429AA" w:rsidRDefault="00D82FBD" w:rsidP="00F56B72">
      <w:pPr>
        <w:spacing w:line="360" w:lineRule="auto"/>
        <w:rPr>
          <w:rFonts w:ascii="Times New Roman" w:hAnsi="Times New Roman" w:cs="Times New Roman"/>
        </w:rPr>
      </w:pPr>
    </w:p>
    <w:p w14:paraId="13510D3A" w14:textId="33985D2E" w:rsidR="00657039" w:rsidRPr="00A429AA" w:rsidRDefault="00657039" w:rsidP="00657039">
      <w:pPr>
        <w:spacing w:line="360" w:lineRule="auto"/>
        <w:rPr>
          <w:rFonts w:ascii="Times New Roman" w:hAnsi="Times New Roman" w:cs="Times New Roman"/>
        </w:rPr>
      </w:pPr>
      <w:r w:rsidRPr="00492048">
        <w:rPr>
          <w:rFonts w:ascii="Times New Roman" w:hAnsi="Times New Roman" w:cs="Times New Roman"/>
          <w:i/>
        </w:rPr>
        <w:t>Deutsche Bundesbank</w:t>
      </w:r>
      <w:r w:rsidR="00492048">
        <w:rPr>
          <w:rFonts w:ascii="Times New Roman" w:hAnsi="Times New Roman" w:cs="Times New Roman"/>
          <w:i/>
        </w:rPr>
        <w:t>.</w:t>
      </w:r>
      <w:r w:rsidRPr="00A429AA">
        <w:rPr>
          <w:rFonts w:ascii="Times New Roman" w:hAnsi="Times New Roman" w:cs="Times New Roman"/>
        </w:rPr>
        <w:t xml:space="preserve"> (2008)</w:t>
      </w:r>
      <w:r w:rsidR="00492048">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Annual Report 2007</w:t>
      </w:r>
      <w:r w:rsidR="00492048">
        <w:rPr>
          <w:rFonts w:ascii="Times New Roman" w:hAnsi="Times New Roman" w:cs="Times New Roman"/>
          <w:iCs/>
        </w:rPr>
        <w:t>,</w:t>
      </w:r>
      <w:r w:rsidRPr="00A429AA">
        <w:rPr>
          <w:rFonts w:ascii="Times New Roman" w:hAnsi="Times New Roman" w:cs="Times New Roman"/>
          <w:i/>
          <w:iCs/>
        </w:rPr>
        <w:t xml:space="preserve"> </w:t>
      </w:r>
      <w:hyperlink r:id="rId29" w:history="1">
        <w:r w:rsidRPr="00A429AA">
          <w:rPr>
            <w:rStyle w:val="Hyperlink"/>
            <w:rFonts w:ascii="Times New Roman" w:hAnsi="Times New Roman" w:cs="Times New Roman"/>
            <w:color w:val="auto"/>
          </w:rPr>
          <w:t>https://www.bundesbank.de/Redaktion/EN/Downloads/Publications/Annual_Report/2007_annual_report.pdf?__blob=publicationFile</w:t>
        </w:r>
      </w:hyperlink>
      <w:r w:rsidRPr="00A429AA">
        <w:rPr>
          <w:rFonts w:ascii="Times New Roman" w:hAnsi="Times New Roman" w:cs="Times New Roman"/>
          <w:u w:val="single"/>
        </w:rPr>
        <w:t>.</w:t>
      </w:r>
      <w:r w:rsidRPr="00A429AA">
        <w:rPr>
          <w:rFonts w:ascii="Times New Roman" w:hAnsi="Times New Roman" w:cs="Times New Roman"/>
        </w:rPr>
        <w:t xml:space="preserve"> Accessed 11 January 2016</w:t>
      </w:r>
      <w:r w:rsidR="00801685">
        <w:rPr>
          <w:rFonts w:ascii="Times New Roman" w:hAnsi="Times New Roman" w:cs="Times New Roman"/>
        </w:rPr>
        <w:t>.</w:t>
      </w:r>
    </w:p>
    <w:p w14:paraId="25D5598F" w14:textId="1385E0AA" w:rsidR="00F56B72" w:rsidRPr="00A429AA" w:rsidRDefault="00F56B72" w:rsidP="00F56B72">
      <w:pPr>
        <w:spacing w:line="360" w:lineRule="auto"/>
        <w:rPr>
          <w:rFonts w:ascii="Times New Roman" w:hAnsi="Times New Roman" w:cs="Times New Roman"/>
        </w:rPr>
      </w:pPr>
    </w:p>
    <w:p w14:paraId="04D9790D" w14:textId="28573D93" w:rsidR="00F56B72" w:rsidRPr="00A429AA" w:rsidRDefault="00657039" w:rsidP="00F56B72">
      <w:pPr>
        <w:spacing w:line="360" w:lineRule="auto"/>
        <w:rPr>
          <w:rFonts w:ascii="Times New Roman" w:hAnsi="Times New Roman" w:cs="Times New Roman"/>
        </w:rPr>
      </w:pPr>
      <w:r w:rsidRPr="00454091">
        <w:rPr>
          <w:rFonts w:ascii="Times New Roman" w:hAnsi="Times New Roman" w:cs="Times New Roman"/>
          <w:i/>
        </w:rPr>
        <w:t>Deutsche Bundesbank</w:t>
      </w:r>
      <w:r w:rsidR="00454091">
        <w:rPr>
          <w:rFonts w:ascii="Times New Roman" w:hAnsi="Times New Roman" w:cs="Times New Roman"/>
          <w:i/>
        </w:rPr>
        <w:t>.</w:t>
      </w:r>
      <w:r w:rsidRPr="00A429AA">
        <w:rPr>
          <w:rFonts w:ascii="Times New Roman" w:hAnsi="Times New Roman" w:cs="Times New Roman"/>
        </w:rPr>
        <w:t xml:space="preserve"> (2009)</w:t>
      </w:r>
      <w:r w:rsidR="00454091">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Annual Report 2008</w:t>
      </w:r>
      <w:r w:rsidR="00454091">
        <w:rPr>
          <w:rFonts w:ascii="Times New Roman" w:hAnsi="Times New Roman" w:cs="Times New Roman"/>
          <w:iCs/>
        </w:rPr>
        <w:t>,</w:t>
      </w:r>
      <w:r w:rsidR="00F56B72" w:rsidRPr="00A429AA">
        <w:rPr>
          <w:rFonts w:ascii="Times New Roman" w:hAnsi="Times New Roman" w:cs="Times New Roman"/>
          <w:i/>
          <w:iCs/>
        </w:rPr>
        <w:t xml:space="preserve"> </w:t>
      </w:r>
      <w:hyperlink r:id="rId30" w:history="1">
        <w:r w:rsidRPr="00A429AA">
          <w:rPr>
            <w:rStyle w:val="Hyperlink"/>
            <w:rFonts w:ascii="Times New Roman" w:hAnsi="Times New Roman" w:cs="Times New Roman"/>
            <w:color w:val="auto"/>
          </w:rPr>
          <w:t>https://www.bundesbank.de/Redaktion/EN/Downloads/Publications/Annual_Report/2008_annual_report.pdf?__blob=publicationFile</w:t>
        </w:r>
      </w:hyperlink>
      <w:r w:rsidRPr="00A429AA">
        <w:rPr>
          <w:rFonts w:ascii="Times New Roman" w:hAnsi="Times New Roman" w:cs="Times New Roman"/>
          <w:u w:val="single"/>
        </w:rPr>
        <w:t>.</w:t>
      </w:r>
      <w:r w:rsidRPr="00A429AA">
        <w:rPr>
          <w:rFonts w:ascii="Times New Roman" w:hAnsi="Times New Roman" w:cs="Times New Roman"/>
        </w:rPr>
        <w:t xml:space="preserve"> Accessed 11 January 2016</w:t>
      </w:r>
      <w:r w:rsidR="005761BB">
        <w:rPr>
          <w:rFonts w:ascii="Times New Roman" w:hAnsi="Times New Roman" w:cs="Times New Roman"/>
        </w:rPr>
        <w:t>.</w:t>
      </w:r>
    </w:p>
    <w:p w14:paraId="3EB6F1D8" w14:textId="77777777" w:rsidR="00657039" w:rsidRPr="00A429AA" w:rsidRDefault="00657039" w:rsidP="00F56B72">
      <w:pPr>
        <w:spacing w:line="360" w:lineRule="auto"/>
        <w:rPr>
          <w:rFonts w:ascii="Times New Roman" w:hAnsi="Times New Roman" w:cs="Times New Roman"/>
        </w:rPr>
      </w:pPr>
    </w:p>
    <w:p w14:paraId="492DB338" w14:textId="1256935D" w:rsidR="00D80CAB" w:rsidRPr="00A429AA" w:rsidRDefault="00657039" w:rsidP="00D80CAB">
      <w:pPr>
        <w:spacing w:line="360" w:lineRule="auto"/>
        <w:rPr>
          <w:rFonts w:ascii="Times New Roman" w:hAnsi="Times New Roman" w:cs="Times New Roman"/>
        </w:rPr>
      </w:pPr>
      <w:r w:rsidRPr="00801685">
        <w:rPr>
          <w:rFonts w:ascii="Times New Roman" w:hAnsi="Times New Roman" w:cs="Times New Roman"/>
          <w:i/>
        </w:rPr>
        <w:t>ECB</w:t>
      </w:r>
      <w:r w:rsidR="00801685">
        <w:rPr>
          <w:rFonts w:ascii="Times New Roman" w:hAnsi="Times New Roman" w:cs="Times New Roman"/>
          <w:i/>
        </w:rPr>
        <w:t>.</w:t>
      </w:r>
      <w:r w:rsidRPr="00A429AA">
        <w:rPr>
          <w:rFonts w:ascii="Times New Roman" w:hAnsi="Times New Roman" w:cs="Times New Roman"/>
        </w:rPr>
        <w:t xml:space="preserve"> (</w:t>
      </w:r>
      <w:r w:rsidR="00F56B72" w:rsidRPr="00A429AA">
        <w:rPr>
          <w:rFonts w:ascii="Times New Roman" w:hAnsi="Times New Roman" w:cs="Times New Roman"/>
        </w:rPr>
        <w:t>2009</w:t>
      </w:r>
      <w:r w:rsidRPr="00A429AA">
        <w:rPr>
          <w:rFonts w:ascii="Times New Roman" w:hAnsi="Times New Roman" w:cs="Times New Roman"/>
        </w:rPr>
        <w:t>)</w:t>
      </w:r>
      <w:r w:rsidR="00801685">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review June 2009</w:t>
      </w:r>
      <w:r w:rsidR="00801685">
        <w:rPr>
          <w:rFonts w:ascii="Times New Roman" w:hAnsi="Times New Roman" w:cs="Times New Roman"/>
          <w:i/>
          <w:iCs/>
        </w:rPr>
        <w:t>,</w:t>
      </w:r>
      <w:r w:rsidR="00F56B72" w:rsidRPr="00A429AA">
        <w:rPr>
          <w:rFonts w:ascii="Times New Roman" w:hAnsi="Times New Roman" w:cs="Times New Roman"/>
          <w:i/>
          <w:iCs/>
        </w:rPr>
        <w:t xml:space="preserve"> </w:t>
      </w:r>
      <w:hyperlink r:id="rId31" w:history="1">
        <w:r w:rsidRPr="00A429AA">
          <w:rPr>
            <w:rStyle w:val="Hyperlink"/>
            <w:rFonts w:ascii="Times New Roman" w:hAnsi="Times New Roman" w:cs="Times New Roman"/>
            <w:color w:val="auto"/>
          </w:rPr>
          <w:t>https://www.ecb.europa.eu/pub/fsr/html/index.en.html</w:t>
        </w:r>
      </w:hyperlink>
      <w:r w:rsidRPr="00A429AA">
        <w:rPr>
          <w:rFonts w:ascii="Times New Roman" w:hAnsi="Times New Roman" w:cs="Times New Roman"/>
          <w:u w:val="single"/>
        </w:rPr>
        <w:t>.</w:t>
      </w:r>
      <w:r w:rsidRPr="00A429AA">
        <w:rPr>
          <w:rFonts w:ascii="Times New Roman" w:hAnsi="Times New Roman" w:cs="Times New Roman"/>
        </w:rPr>
        <w:t xml:space="preserve"> </w:t>
      </w:r>
      <w:r w:rsidR="00D80CAB" w:rsidRPr="00A429AA">
        <w:rPr>
          <w:rFonts w:ascii="Times New Roman" w:hAnsi="Times New Roman" w:cs="Times New Roman"/>
        </w:rPr>
        <w:t xml:space="preserve"> Accessed 12 January 2016</w:t>
      </w:r>
      <w:r w:rsidR="00801685">
        <w:rPr>
          <w:rFonts w:ascii="Times New Roman" w:hAnsi="Times New Roman" w:cs="Times New Roman"/>
        </w:rPr>
        <w:t>.</w:t>
      </w:r>
    </w:p>
    <w:p w14:paraId="0124A17B" w14:textId="77777777" w:rsidR="00657039" w:rsidRDefault="00657039" w:rsidP="00F56B72">
      <w:pPr>
        <w:spacing w:line="360" w:lineRule="auto"/>
        <w:rPr>
          <w:rFonts w:ascii="Times New Roman" w:hAnsi="Times New Roman" w:cs="Times New Roman"/>
        </w:rPr>
      </w:pPr>
    </w:p>
    <w:p w14:paraId="371D8B48" w14:textId="77777777" w:rsidR="002E725F" w:rsidRDefault="002E725F" w:rsidP="00F56B72">
      <w:pPr>
        <w:spacing w:line="360" w:lineRule="auto"/>
        <w:rPr>
          <w:rFonts w:ascii="Times New Roman" w:hAnsi="Times New Roman" w:cs="Times New Roman"/>
        </w:rPr>
      </w:pPr>
    </w:p>
    <w:p w14:paraId="03752180" w14:textId="77777777" w:rsidR="002E725F" w:rsidRPr="00A429AA" w:rsidRDefault="002E725F" w:rsidP="00F56B72">
      <w:pPr>
        <w:spacing w:line="360" w:lineRule="auto"/>
        <w:rPr>
          <w:rFonts w:ascii="Times New Roman" w:hAnsi="Times New Roman" w:cs="Times New Roman"/>
        </w:rPr>
      </w:pPr>
    </w:p>
    <w:p w14:paraId="2D31ECBB" w14:textId="72E4304A" w:rsidR="00D80CAB" w:rsidRPr="00A429AA" w:rsidRDefault="00D80CAB" w:rsidP="00D80CAB">
      <w:pPr>
        <w:spacing w:line="360" w:lineRule="auto"/>
        <w:rPr>
          <w:rFonts w:ascii="Times New Roman" w:hAnsi="Times New Roman" w:cs="Times New Roman"/>
        </w:rPr>
      </w:pPr>
      <w:r w:rsidRPr="00801685">
        <w:rPr>
          <w:rFonts w:ascii="Times New Roman" w:hAnsi="Times New Roman" w:cs="Times New Roman"/>
          <w:i/>
        </w:rPr>
        <w:lastRenderedPageBreak/>
        <w:t>European Commission</w:t>
      </w:r>
      <w:r w:rsidR="00801685">
        <w:rPr>
          <w:rFonts w:ascii="Times New Roman" w:hAnsi="Times New Roman" w:cs="Times New Roman"/>
          <w:i/>
        </w:rPr>
        <w:t>.</w:t>
      </w:r>
      <w:r w:rsidRPr="00A429AA">
        <w:rPr>
          <w:rFonts w:ascii="Times New Roman" w:hAnsi="Times New Roman" w:cs="Times New Roman"/>
        </w:rPr>
        <w:t xml:space="preserve"> (2009)</w:t>
      </w:r>
      <w:r w:rsidR="00801685">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Economic crisis in Europe: causes, consequences and responses.</w:t>
      </w:r>
      <w:r w:rsidR="00F56B72" w:rsidRPr="00A429AA">
        <w:rPr>
          <w:rFonts w:ascii="Times New Roman" w:hAnsi="Times New Roman" w:cs="Times New Roman"/>
          <w:i/>
          <w:iCs/>
        </w:rPr>
        <w:t xml:space="preserve"> </w:t>
      </w:r>
      <w:hyperlink r:id="rId32" w:history="1">
        <w:r w:rsidRPr="00A429AA">
          <w:rPr>
            <w:rStyle w:val="Hyperlink"/>
            <w:rFonts w:ascii="Times New Roman" w:hAnsi="Times New Roman" w:cs="Times New Roman"/>
            <w:color w:val="auto"/>
          </w:rPr>
          <w:t>http://ec.europa.eu/economy_finance/publications/publication15887_en.pdf</w:t>
        </w:r>
      </w:hyperlink>
      <w:r w:rsidRPr="00A429AA">
        <w:rPr>
          <w:rFonts w:ascii="Times New Roman" w:hAnsi="Times New Roman" w:cs="Times New Roman"/>
          <w:u w:val="single"/>
        </w:rPr>
        <w:t>.</w:t>
      </w:r>
      <w:r w:rsidRPr="00A429AA">
        <w:rPr>
          <w:rFonts w:ascii="Times New Roman" w:hAnsi="Times New Roman" w:cs="Times New Roman"/>
        </w:rPr>
        <w:t xml:space="preserve"> Accessed 12 January 2016</w:t>
      </w:r>
      <w:r w:rsidR="002E725F">
        <w:rPr>
          <w:rFonts w:ascii="Times New Roman" w:hAnsi="Times New Roman" w:cs="Times New Roman"/>
        </w:rPr>
        <w:t>.</w:t>
      </w:r>
    </w:p>
    <w:p w14:paraId="1A202D33" w14:textId="77777777" w:rsidR="00DD2AD3" w:rsidRPr="00A429AA" w:rsidRDefault="00DD2AD3" w:rsidP="00D80CAB">
      <w:pPr>
        <w:spacing w:line="360" w:lineRule="auto"/>
        <w:rPr>
          <w:rFonts w:ascii="Times New Roman" w:hAnsi="Times New Roman" w:cs="Times New Roman"/>
        </w:rPr>
      </w:pPr>
    </w:p>
    <w:p w14:paraId="708B8B1C" w14:textId="5661B9A0" w:rsidR="005E5EC5" w:rsidRPr="00A429AA" w:rsidRDefault="005E5EC5" w:rsidP="005E5EC5">
      <w:pPr>
        <w:pStyle w:val="Bibliography"/>
        <w:spacing w:line="360" w:lineRule="auto"/>
        <w:rPr>
          <w:rFonts w:ascii="Times New Roman" w:hAnsi="Times New Roman"/>
          <w:noProof/>
        </w:rPr>
      </w:pPr>
      <w:r w:rsidRPr="000356D8">
        <w:rPr>
          <w:rFonts w:ascii="Times New Roman" w:hAnsi="Times New Roman"/>
          <w:i/>
          <w:noProof/>
        </w:rPr>
        <w:t>Festic</w:t>
      </w:r>
      <w:r w:rsidR="000356D8">
        <w:rPr>
          <w:rFonts w:ascii="Times New Roman" w:hAnsi="Times New Roman"/>
          <w:i/>
          <w:noProof/>
        </w:rPr>
        <w:t>,</w:t>
      </w:r>
      <w:r w:rsidR="000356D8">
        <w:rPr>
          <w:rFonts w:ascii="Times New Roman" w:hAnsi="Times New Roman"/>
          <w:noProof/>
        </w:rPr>
        <w:t xml:space="preserve"> M. /</w:t>
      </w:r>
      <w:r w:rsidRPr="00A429AA">
        <w:rPr>
          <w:rFonts w:ascii="Times New Roman" w:hAnsi="Times New Roman"/>
          <w:noProof/>
        </w:rPr>
        <w:t xml:space="preserve"> </w:t>
      </w:r>
      <w:r w:rsidRPr="000356D8">
        <w:rPr>
          <w:rFonts w:ascii="Times New Roman" w:hAnsi="Times New Roman"/>
          <w:i/>
          <w:noProof/>
        </w:rPr>
        <w:t>Kavkler</w:t>
      </w:r>
      <w:r w:rsidR="000356D8">
        <w:rPr>
          <w:rFonts w:ascii="Times New Roman" w:hAnsi="Times New Roman"/>
          <w:i/>
          <w:noProof/>
        </w:rPr>
        <w:t>,</w:t>
      </w:r>
      <w:r w:rsidR="000356D8">
        <w:rPr>
          <w:rFonts w:ascii="Times New Roman" w:hAnsi="Times New Roman"/>
          <w:noProof/>
        </w:rPr>
        <w:t xml:space="preserve"> A. /</w:t>
      </w:r>
      <w:r w:rsidRPr="00A429AA">
        <w:rPr>
          <w:rFonts w:ascii="Times New Roman" w:hAnsi="Times New Roman"/>
          <w:noProof/>
        </w:rPr>
        <w:t xml:space="preserve">  </w:t>
      </w:r>
      <w:r w:rsidRPr="000356D8">
        <w:rPr>
          <w:rFonts w:ascii="Times New Roman" w:hAnsi="Times New Roman"/>
          <w:i/>
          <w:noProof/>
        </w:rPr>
        <w:t>Repina</w:t>
      </w:r>
      <w:r w:rsidR="000356D8">
        <w:rPr>
          <w:rFonts w:ascii="Times New Roman" w:hAnsi="Times New Roman"/>
          <w:i/>
          <w:noProof/>
        </w:rPr>
        <w:t>,</w:t>
      </w:r>
      <w:r w:rsidRPr="00A429AA">
        <w:rPr>
          <w:rFonts w:ascii="Times New Roman" w:hAnsi="Times New Roman"/>
          <w:noProof/>
        </w:rPr>
        <w:t xml:space="preserve"> S</w:t>
      </w:r>
      <w:r w:rsidR="000356D8">
        <w:rPr>
          <w:rFonts w:ascii="Times New Roman" w:hAnsi="Times New Roman"/>
          <w:noProof/>
        </w:rPr>
        <w:t>.</w:t>
      </w:r>
      <w:r w:rsidRPr="00A429AA">
        <w:rPr>
          <w:rFonts w:ascii="Times New Roman" w:hAnsi="Times New Roman"/>
          <w:noProof/>
        </w:rPr>
        <w:t xml:space="preserve"> (2011)</w:t>
      </w:r>
      <w:r w:rsidR="000356D8">
        <w:rPr>
          <w:rFonts w:ascii="Times New Roman" w:hAnsi="Times New Roman"/>
          <w:noProof/>
        </w:rPr>
        <w:t>:</w:t>
      </w:r>
      <w:r w:rsidRPr="00A429AA">
        <w:rPr>
          <w:rFonts w:ascii="Times New Roman" w:hAnsi="Times New Roman"/>
          <w:noProof/>
        </w:rPr>
        <w:t xml:space="preserve"> </w:t>
      </w:r>
      <w:r w:rsidR="001A18ED">
        <w:rPr>
          <w:rFonts w:ascii="Times New Roman" w:hAnsi="Times New Roman"/>
          <w:noProof/>
        </w:rPr>
        <w:t>“</w:t>
      </w:r>
      <w:r w:rsidRPr="00A429AA">
        <w:rPr>
          <w:rFonts w:ascii="Times New Roman" w:hAnsi="Times New Roman"/>
          <w:noProof/>
        </w:rPr>
        <w:t>The macroeconomic sources of systemic risk in the banking secto</w:t>
      </w:r>
      <w:r w:rsidR="001A18ED">
        <w:rPr>
          <w:rFonts w:ascii="Times New Roman" w:hAnsi="Times New Roman"/>
          <w:noProof/>
        </w:rPr>
        <w:t xml:space="preserve">rs of five new EU member states,” </w:t>
      </w:r>
      <w:r w:rsidRPr="00A429AA">
        <w:rPr>
          <w:rFonts w:ascii="Times New Roman" w:hAnsi="Times New Roman"/>
          <w:noProof/>
        </w:rPr>
        <w:t xml:space="preserve"> </w:t>
      </w:r>
      <w:r w:rsidR="001A18ED">
        <w:rPr>
          <w:rFonts w:ascii="Times New Roman" w:hAnsi="Times New Roman"/>
          <w:iCs/>
          <w:noProof/>
        </w:rPr>
        <w:t>Journal of Banking and</w:t>
      </w:r>
      <w:r w:rsidRPr="00A429AA">
        <w:rPr>
          <w:rFonts w:ascii="Times New Roman" w:hAnsi="Times New Roman"/>
          <w:iCs/>
          <w:noProof/>
        </w:rPr>
        <w:t xml:space="preserve"> Finance</w:t>
      </w:r>
      <w:r w:rsidRPr="00A429AA">
        <w:rPr>
          <w:rFonts w:ascii="Times New Roman" w:hAnsi="Times New Roman"/>
          <w:noProof/>
        </w:rPr>
        <w:t xml:space="preserve"> </w:t>
      </w:r>
      <w:r w:rsidRPr="00A429AA">
        <w:rPr>
          <w:rFonts w:ascii="Times New Roman" w:hAnsi="Times New Roman"/>
          <w:iCs/>
          <w:noProof/>
        </w:rPr>
        <w:t xml:space="preserve"> 35</w:t>
      </w:r>
      <w:r w:rsidR="001A18ED">
        <w:rPr>
          <w:rFonts w:ascii="Times New Roman" w:hAnsi="Times New Roman"/>
          <w:noProof/>
        </w:rPr>
        <w:t>,</w:t>
      </w:r>
      <w:r w:rsidRPr="00A429AA">
        <w:rPr>
          <w:rFonts w:ascii="Times New Roman" w:hAnsi="Times New Roman"/>
          <w:noProof/>
        </w:rPr>
        <w:t xml:space="preserve"> 310–322</w:t>
      </w:r>
      <w:r w:rsidR="001A18ED">
        <w:rPr>
          <w:rFonts w:ascii="Times New Roman" w:hAnsi="Times New Roman"/>
          <w:noProof/>
        </w:rPr>
        <w:t>.</w:t>
      </w:r>
    </w:p>
    <w:p w14:paraId="0921CB93" w14:textId="77777777" w:rsidR="005E5EC5" w:rsidRPr="00A429AA" w:rsidRDefault="005E5EC5" w:rsidP="00F56B72">
      <w:pPr>
        <w:spacing w:line="360" w:lineRule="auto"/>
        <w:rPr>
          <w:rFonts w:ascii="Times New Roman" w:hAnsi="Times New Roman" w:cs="Times New Roman"/>
        </w:rPr>
      </w:pPr>
    </w:p>
    <w:p w14:paraId="7E37AAD3" w14:textId="51FCA8E9" w:rsidR="00F56B72" w:rsidRPr="00A429AA" w:rsidRDefault="00441A88" w:rsidP="00F56B72">
      <w:pPr>
        <w:spacing w:line="360" w:lineRule="auto"/>
        <w:rPr>
          <w:rFonts w:ascii="Times New Roman" w:hAnsi="Times New Roman" w:cs="Times New Roman"/>
        </w:rPr>
      </w:pPr>
      <w:proofErr w:type="spellStart"/>
      <w:r w:rsidRPr="00192C50">
        <w:rPr>
          <w:rFonts w:ascii="Times New Roman" w:hAnsi="Times New Roman" w:cs="Times New Roman"/>
          <w:i/>
        </w:rPr>
        <w:t>Fitoussi</w:t>
      </w:r>
      <w:proofErr w:type="spellEnd"/>
      <w:r w:rsidR="00192C50">
        <w:rPr>
          <w:rFonts w:ascii="Times New Roman" w:hAnsi="Times New Roman" w:cs="Times New Roman"/>
          <w:i/>
        </w:rPr>
        <w:t>,</w:t>
      </w:r>
      <w:r w:rsidRPr="00A429AA">
        <w:rPr>
          <w:rFonts w:ascii="Times New Roman" w:hAnsi="Times New Roman" w:cs="Times New Roman"/>
        </w:rPr>
        <w:t xml:space="preserve"> J</w:t>
      </w:r>
      <w:r w:rsidR="00192C50">
        <w:rPr>
          <w:rFonts w:ascii="Times New Roman" w:hAnsi="Times New Roman" w:cs="Times New Roman"/>
        </w:rPr>
        <w:t>.</w:t>
      </w:r>
      <w:r w:rsidR="008B5E71">
        <w:rPr>
          <w:rFonts w:ascii="Times New Roman" w:hAnsi="Times New Roman" w:cs="Times New Roman"/>
        </w:rPr>
        <w:t xml:space="preserve"> </w:t>
      </w:r>
      <w:r w:rsidR="00F56B72" w:rsidRPr="00A429AA">
        <w:rPr>
          <w:rFonts w:ascii="Times New Roman" w:hAnsi="Times New Roman" w:cs="Times New Roman"/>
        </w:rPr>
        <w:t>P</w:t>
      </w:r>
      <w:r w:rsidR="00192C50">
        <w:rPr>
          <w:rFonts w:ascii="Times New Roman" w:hAnsi="Times New Roman" w:cs="Times New Roman"/>
        </w:rPr>
        <w:t>. /</w:t>
      </w:r>
      <w:r w:rsidRPr="00A429AA">
        <w:rPr>
          <w:rFonts w:ascii="Times New Roman" w:hAnsi="Times New Roman" w:cs="Times New Roman"/>
        </w:rPr>
        <w:t xml:space="preserve"> </w:t>
      </w:r>
      <w:proofErr w:type="spellStart"/>
      <w:r w:rsidRPr="00192C50">
        <w:rPr>
          <w:rFonts w:ascii="Times New Roman" w:hAnsi="Times New Roman" w:cs="Times New Roman"/>
          <w:i/>
        </w:rPr>
        <w:t>Saraceno</w:t>
      </w:r>
      <w:proofErr w:type="spellEnd"/>
      <w:r w:rsidR="00192C50">
        <w:rPr>
          <w:rFonts w:ascii="Times New Roman" w:hAnsi="Times New Roman" w:cs="Times New Roman"/>
          <w:i/>
        </w:rPr>
        <w:t>,</w:t>
      </w:r>
      <w:r w:rsidRPr="00A429AA">
        <w:rPr>
          <w:rFonts w:ascii="Times New Roman" w:hAnsi="Times New Roman" w:cs="Times New Roman"/>
        </w:rPr>
        <w:t xml:space="preserve"> F</w:t>
      </w:r>
      <w:r w:rsidR="00192C50">
        <w:rPr>
          <w:rFonts w:ascii="Times New Roman" w:hAnsi="Times New Roman" w:cs="Times New Roman"/>
        </w:rPr>
        <w:t>.</w:t>
      </w:r>
      <w:r w:rsidRPr="00A429AA">
        <w:rPr>
          <w:rFonts w:ascii="Times New Roman" w:hAnsi="Times New Roman" w:cs="Times New Roman"/>
        </w:rPr>
        <w:t xml:space="preserve"> (2010)</w:t>
      </w:r>
      <w:r w:rsidR="00192C50">
        <w:rPr>
          <w:rFonts w:ascii="Times New Roman" w:hAnsi="Times New Roman" w:cs="Times New Roman"/>
        </w:rPr>
        <w:t>:</w:t>
      </w:r>
      <w:r w:rsidR="00F56B72" w:rsidRPr="00A429AA">
        <w:rPr>
          <w:rFonts w:ascii="Times New Roman" w:hAnsi="Times New Roman" w:cs="Times New Roman"/>
        </w:rPr>
        <w:t xml:space="preserve"> Europe: How deep is a crisis? Policy responses and structural factor</w:t>
      </w:r>
      <w:r w:rsidR="00D80CAB" w:rsidRPr="00A429AA">
        <w:rPr>
          <w:rFonts w:ascii="Times New Roman" w:hAnsi="Times New Roman" w:cs="Times New Roman"/>
        </w:rPr>
        <w:t>s behind diverging performances</w:t>
      </w:r>
      <w:r w:rsidR="00192C50">
        <w:rPr>
          <w:rFonts w:ascii="Times New Roman" w:hAnsi="Times New Roman" w:cs="Times New Roman"/>
        </w:rPr>
        <w:t>,</w:t>
      </w:r>
      <w:r w:rsidR="00D80CAB" w:rsidRPr="00A429AA">
        <w:rPr>
          <w:rFonts w:ascii="Times New Roman" w:hAnsi="Times New Roman" w:cs="Times New Roman"/>
        </w:rPr>
        <w:t xml:space="preserve"> </w:t>
      </w:r>
      <w:hyperlink r:id="rId33" w:history="1">
        <w:r w:rsidRPr="00A429AA">
          <w:rPr>
            <w:rStyle w:val="Hyperlink"/>
            <w:rFonts w:ascii="Times New Roman" w:hAnsi="Times New Roman" w:cs="Times New Roman"/>
            <w:color w:val="auto"/>
          </w:rPr>
          <w:t>www.ofce.sciences-po.fr</w:t>
        </w:r>
      </w:hyperlink>
      <w:r w:rsidRPr="00A429AA">
        <w:rPr>
          <w:rFonts w:ascii="Times New Roman" w:hAnsi="Times New Roman" w:cs="Times New Roman"/>
        </w:rPr>
        <w:t xml:space="preserve">. </w:t>
      </w:r>
      <w:hyperlink r:id="rId34" w:history="1">
        <w:r w:rsidRPr="00A429AA">
          <w:rPr>
            <w:rStyle w:val="Hyperlink"/>
            <w:rFonts w:ascii="Times New Roman" w:hAnsi="Times New Roman" w:cs="Times New Roman"/>
            <w:color w:val="auto"/>
          </w:rPr>
          <w:t>http://www.ofce.sciences-po.fr/pdf/dtravail/WP2009-31.pdf</w:t>
        </w:r>
      </w:hyperlink>
      <w:r w:rsidRPr="00A429AA">
        <w:rPr>
          <w:rFonts w:ascii="Times New Roman" w:hAnsi="Times New Roman" w:cs="Times New Roman"/>
        </w:rPr>
        <w:t>. Accessed 11 January 2016</w:t>
      </w:r>
      <w:r w:rsidR="00F8112C">
        <w:rPr>
          <w:rFonts w:ascii="Times New Roman" w:hAnsi="Times New Roman" w:cs="Times New Roman"/>
        </w:rPr>
        <w:t>.</w:t>
      </w:r>
    </w:p>
    <w:p w14:paraId="1938B050" w14:textId="77777777" w:rsidR="00D80CAB" w:rsidRPr="00A429AA" w:rsidRDefault="00D80CAB" w:rsidP="00F56B72">
      <w:pPr>
        <w:spacing w:line="360" w:lineRule="auto"/>
        <w:rPr>
          <w:rFonts w:ascii="Times New Roman" w:hAnsi="Times New Roman" w:cs="Times New Roman"/>
        </w:rPr>
      </w:pPr>
    </w:p>
    <w:p w14:paraId="78688807" w14:textId="13B0651F" w:rsidR="00DA4CF3" w:rsidRPr="00A429AA" w:rsidRDefault="00DA4CF3" w:rsidP="00DA4CF3">
      <w:pPr>
        <w:spacing w:line="360" w:lineRule="auto"/>
        <w:rPr>
          <w:rFonts w:ascii="Times New Roman" w:hAnsi="Times New Roman" w:cs="Times New Roman"/>
        </w:rPr>
      </w:pPr>
      <w:r w:rsidRPr="00F8112C">
        <w:rPr>
          <w:rFonts w:ascii="Times New Roman" w:hAnsi="Times New Roman" w:cs="Times New Roman"/>
          <w:i/>
        </w:rPr>
        <w:t>IMF</w:t>
      </w:r>
      <w:r w:rsidR="00F8112C">
        <w:rPr>
          <w:rFonts w:ascii="Times New Roman" w:hAnsi="Times New Roman" w:cs="Times New Roman"/>
          <w:i/>
        </w:rPr>
        <w:t>.</w:t>
      </w:r>
      <w:r w:rsidRPr="00A429AA">
        <w:rPr>
          <w:rFonts w:ascii="Times New Roman" w:hAnsi="Times New Roman" w:cs="Times New Roman"/>
        </w:rPr>
        <w:t xml:space="preserve"> (2008 April)</w:t>
      </w:r>
      <w:r w:rsidR="00F8112C">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World Economic Outlook: housing and the business cycle</w:t>
      </w:r>
      <w:r w:rsidR="000B47F7">
        <w:rPr>
          <w:rFonts w:ascii="Times New Roman" w:hAnsi="Times New Roman" w:cs="Times New Roman"/>
          <w:iCs/>
        </w:rPr>
        <w:t>,</w:t>
      </w:r>
      <w:r w:rsidR="00F56B72" w:rsidRPr="00A429AA">
        <w:rPr>
          <w:rFonts w:ascii="Times New Roman" w:hAnsi="Times New Roman" w:cs="Times New Roman"/>
          <w:i/>
          <w:iCs/>
        </w:rPr>
        <w:t xml:space="preserve"> </w:t>
      </w:r>
      <w:hyperlink r:id="rId35" w:history="1">
        <w:r w:rsidRPr="00A429AA">
          <w:rPr>
            <w:rStyle w:val="Hyperlink"/>
            <w:rFonts w:ascii="Times New Roman" w:hAnsi="Times New Roman" w:cs="Times New Roman"/>
            <w:color w:val="auto"/>
          </w:rPr>
          <w:t>https://www.imf.org/external/pubs/ft/weo/2008/01/pdf/text.pdf</w:t>
        </w:r>
      </w:hyperlink>
      <w:r w:rsidRPr="00A429AA">
        <w:rPr>
          <w:rFonts w:ascii="Times New Roman" w:hAnsi="Times New Roman" w:cs="Times New Roman"/>
          <w:u w:val="single"/>
        </w:rPr>
        <w:t>.</w:t>
      </w:r>
      <w:r w:rsidR="00CF5C23" w:rsidRPr="00A429AA">
        <w:rPr>
          <w:rFonts w:ascii="Times New Roman" w:hAnsi="Times New Roman" w:cs="Times New Roman"/>
        </w:rPr>
        <w:t xml:space="preserve"> </w:t>
      </w:r>
      <w:r w:rsidRPr="00A429AA">
        <w:rPr>
          <w:rFonts w:ascii="Times New Roman" w:hAnsi="Times New Roman" w:cs="Times New Roman"/>
        </w:rPr>
        <w:t>Accessed 23 January 2016</w:t>
      </w:r>
      <w:r w:rsidR="00F8112C">
        <w:rPr>
          <w:rFonts w:ascii="Times New Roman" w:hAnsi="Times New Roman" w:cs="Times New Roman"/>
        </w:rPr>
        <w:t>.</w:t>
      </w:r>
    </w:p>
    <w:p w14:paraId="2C38F0C1" w14:textId="77777777" w:rsidR="00DA4CF3" w:rsidRPr="00A429AA" w:rsidRDefault="00DA4CF3" w:rsidP="00F56B72">
      <w:pPr>
        <w:spacing w:line="360" w:lineRule="auto"/>
        <w:rPr>
          <w:rFonts w:ascii="Times New Roman" w:hAnsi="Times New Roman" w:cs="Times New Roman"/>
        </w:rPr>
      </w:pPr>
    </w:p>
    <w:p w14:paraId="48C016A7" w14:textId="5FB8959B" w:rsidR="00CF5C23" w:rsidRPr="00A429AA" w:rsidRDefault="00AF6062" w:rsidP="00CF5C23">
      <w:pPr>
        <w:spacing w:line="360" w:lineRule="auto"/>
        <w:rPr>
          <w:rFonts w:ascii="Times New Roman" w:hAnsi="Times New Roman" w:cs="Times New Roman"/>
        </w:rPr>
      </w:pPr>
      <w:r w:rsidRPr="00E178F6">
        <w:rPr>
          <w:rFonts w:ascii="Times New Roman" w:hAnsi="Times New Roman" w:cs="Times New Roman"/>
          <w:i/>
        </w:rPr>
        <w:t>IMF</w:t>
      </w:r>
      <w:r w:rsidR="00E178F6">
        <w:rPr>
          <w:rFonts w:ascii="Times New Roman" w:hAnsi="Times New Roman" w:cs="Times New Roman"/>
          <w:i/>
        </w:rPr>
        <w:t>.</w:t>
      </w:r>
      <w:r w:rsidRPr="00A429AA">
        <w:rPr>
          <w:rFonts w:ascii="Times New Roman" w:hAnsi="Times New Roman" w:cs="Times New Roman"/>
        </w:rPr>
        <w:t xml:space="preserve"> (2008 October)</w:t>
      </w:r>
      <w:r w:rsidR="00E178F6">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World economic outlook: financial stress, downturns, and recoveries</w:t>
      </w:r>
      <w:r w:rsidR="0026037B">
        <w:rPr>
          <w:rFonts w:ascii="Times New Roman" w:hAnsi="Times New Roman" w:cs="Times New Roman"/>
          <w:i/>
          <w:iCs/>
        </w:rPr>
        <w:t>,</w:t>
      </w:r>
      <w:r w:rsidR="00F56B72" w:rsidRPr="00A429AA">
        <w:rPr>
          <w:rFonts w:ascii="Times New Roman" w:hAnsi="Times New Roman" w:cs="Times New Roman"/>
          <w:i/>
          <w:iCs/>
        </w:rPr>
        <w:t xml:space="preserve"> </w:t>
      </w:r>
      <w:hyperlink r:id="rId36" w:history="1">
        <w:r w:rsidRPr="00A429AA">
          <w:rPr>
            <w:rStyle w:val="Hyperlink"/>
            <w:rFonts w:ascii="Times New Roman" w:hAnsi="Times New Roman" w:cs="Times New Roman"/>
            <w:color w:val="auto"/>
          </w:rPr>
          <w:t>https://www.imf.org/external/pubs/ft/weo/2008/02/pdf/text.pdf</w:t>
        </w:r>
      </w:hyperlink>
      <w:r w:rsidRPr="00A429AA">
        <w:rPr>
          <w:rFonts w:ascii="Times New Roman" w:hAnsi="Times New Roman" w:cs="Times New Roman"/>
          <w:u w:val="single"/>
        </w:rPr>
        <w:t>.</w:t>
      </w:r>
      <w:r w:rsidRPr="00A429AA">
        <w:rPr>
          <w:rFonts w:ascii="Times New Roman" w:hAnsi="Times New Roman" w:cs="Times New Roman"/>
        </w:rPr>
        <w:t xml:space="preserve"> </w:t>
      </w:r>
      <w:r w:rsidR="00CF5C23" w:rsidRPr="00A429AA">
        <w:rPr>
          <w:rFonts w:ascii="Times New Roman" w:hAnsi="Times New Roman" w:cs="Times New Roman"/>
        </w:rPr>
        <w:t xml:space="preserve"> Accessed 23 January 2016</w:t>
      </w:r>
      <w:r w:rsidR="00637E76">
        <w:rPr>
          <w:rFonts w:ascii="Times New Roman" w:hAnsi="Times New Roman" w:cs="Times New Roman"/>
        </w:rPr>
        <w:t>.</w:t>
      </w:r>
    </w:p>
    <w:p w14:paraId="6CFEB89E" w14:textId="77777777" w:rsidR="00AF6062" w:rsidRPr="00A429AA" w:rsidRDefault="00AF6062" w:rsidP="00F56B72">
      <w:pPr>
        <w:spacing w:line="360" w:lineRule="auto"/>
        <w:rPr>
          <w:rFonts w:ascii="Times New Roman" w:hAnsi="Times New Roman" w:cs="Times New Roman"/>
        </w:rPr>
      </w:pPr>
    </w:p>
    <w:p w14:paraId="01804F1F" w14:textId="78EAB898" w:rsidR="00CF5C23" w:rsidRPr="00A429AA" w:rsidRDefault="00CF5C23" w:rsidP="00CF5C23">
      <w:pPr>
        <w:spacing w:line="360" w:lineRule="auto"/>
        <w:rPr>
          <w:rFonts w:ascii="Times New Roman" w:hAnsi="Times New Roman" w:cs="Times New Roman"/>
        </w:rPr>
      </w:pPr>
      <w:r w:rsidRPr="0026037B">
        <w:rPr>
          <w:rFonts w:ascii="Times New Roman" w:hAnsi="Times New Roman" w:cs="Times New Roman"/>
          <w:i/>
        </w:rPr>
        <w:t>IMF</w:t>
      </w:r>
      <w:r w:rsidR="0026037B">
        <w:rPr>
          <w:rFonts w:ascii="Times New Roman" w:hAnsi="Times New Roman" w:cs="Times New Roman"/>
          <w:i/>
        </w:rPr>
        <w:t>.</w:t>
      </w:r>
      <w:r w:rsidRPr="00A429AA">
        <w:rPr>
          <w:rFonts w:ascii="Times New Roman" w:hAnsi="Times New Roman" w:cs="Times New Roman"/>
        </w:rPr>
        <w:t xml:space="preserve"> (2011 July)</w:t>
      </w:r>
      <w:r w:rsidR="0026037B">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Germany: Financial Sector Stability Assessment</w:t>
      </w:r>
      <w:r w:rsidR="0026037B">
        <w:rPr>
          <w:rFonts w:ascii="Times New Roman" w:hAnsi="Times New Roman" w:cs="Times New Roman"/>
          <w:i/>
          <w:iCs/>
        </w:rPr>
        <w:t>,</w:t>
      </w:r>
      <w:r w:rsidR="00F56B72" w:rsidRPr="00A429AA">
        <w:rPr>
          <w:rFonts w:ascii="Times New Roman" w:hAnsi="Times New Roman" w:cs="Times New Roman"/>
          <w:i/>
          <w:iCs/>
        </w:rPr>
        <w:t xml:space="preserve"> </w:t>
      </w:r>
      <w:hyperlink r:id="rId37" w:history="1">
        <w:r w:rsidR="00AF6062" w:rsidRPr="00A429AA">
          <w:rPr>
            <w:rStyle w:val="Hyperlink"/>
            <w:rFonts w:ascii="Times New Roman" w:hAnsi="Times New Roman" w:cs="Times New Roman"/>
            <w:color w:val="auto"/>
          </w:rPr>
          <w:t>https://www.imf.org/external/pubs/ft/scr/2011/cr11169.pdf</w:t>
        </w:r>
      </w:hyperlink>
      <w:r w:rsidRPr="00A429AA">
        <w:rPr>
          <w:rFonts w:ascii="Times New Roman" w:hAnsi="Times New Roman" w:cs="Times New Roman"/>
          <w:u w:val="single"/>
        </w:rPr>
        <w:t>.</w:t>
      </w:r>
      <w:r w:rsidRPr="00A429AA">
        <w:rPr>
          <w:rFonts w:ascii="Times New Roman" w:hAnsi="Times New Roman" w:cs="Times New Roman"/>
        </w:rPr>
        <w:t xml:space="preserve"> Accessed 24 January 2016</w:t>
      </w:r>
      <w:r w:rsidR="00637E76">
        <w:rPr>
          <w:rFonts w:ascii="Times New Roman" w:hAnsi="Times New Roman" w:cs="Times New Roman"/>
        </w:rPr>
        <w:t>.</w:t>
      </w:r>
    </w:p>
    <w:p w14:paraId="02FD7139" w14:textId="77777777" w:rsidR="00AF6062" w:rsidRPr="00A429AA" w:rsidRDefault="00AF6062" w:rsidP="00F56B72">
      <w:pPr>
        <w:spacing w:line="360" w:lineRule="auto"/>
        <w:rPr>
          <w:rFonts w:ascii="Times New Roman" w:hAnsi="Times New Roman" w:cs="Times New Roman"/>
        </w:rPr>
      </w:pPr>
    </w:p>
    <w:p w14:paraId="1AF9D8B5" w14:textId="078AF521" w:rsidR="009F7562" w:rsidRPr="00A429AA" w:rsidRDefault="00417140" w:rsidP="009F7562">
      <w:pPr>
        <w:spacing w:line="360" w:lineRule="auto"/>
        <w:rPr>
          <w:rFonts w:ascii="Times New Roman" w:hAnsi="Times New Roman" w:cs="Times New Roman"/>
        </w:rPr>
      </w:pPr>
      <w:r w:rsidRPr="002752C9">
        <w:rPr>
          <w:rFonts w:ascii="Times New Roman" w:hAnsi="Times New Roman" w:cs="Times New Roman"/>
          <w:i/>
        </w:rPr>
        <w:t>IMF</w:t>
      </w:r>
      <w:r w:rsidR="002752C9">
        <w:rPr>
          <w:rFonts w:ascii="Times New Roman" w:hAnsi="Times New Roman" w:cs="Times New Roman"/>
          <w:i/>
        </w:rPr>
        <w:t>.</w:t>
      </w:r>
      <w:r w:rsidRPr="00A429AA">
        <w:rPr>
          <w:rFonts w:ascii="Times New Roman" w:hAnsi="Times New Roman" w:cs="Times New Roman"/>
        </w:rPr>
        <w:t xml:space="preserve"> (2011 July)</w:t>
      </w:r>
      <w:r w:rsidR="002752C9">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Sweden: financial sector stability assessment</w:t>
      </w:r>
      <w:r w:rsidR="00F2301B">
        <w:rPr>
          <w:rFonts w:ascii="Times New Roman" w:hAnsi="Times New Roman" w:cs="Times New Roman"/>
          <w:iCs/>
        </w:rPr>
        <w:t>,</w:t>
      </w:r>
      <w:r w:rsidR="00F56B72" w:rsidRPr="00A429AA">
        <w:rPr>
          <w:rFonts w:ascii="Times New Roman" w:hAnsi="Times New Roman" w:cs="Times New Roman"/>
        </w:rPr>
        <w:t xml:space="preserve"> </w:t>
      </w:r>
      <w:hyperlink r:id="rId38" w:history="1">
        <w:r w:rsidR="00AF6062" w:rsidRPr="00A429AA">
          <w:rPr>
            <w:rStyle w:val="Hyperlink"/>
            <w:rFonts w:ascii="Times New Roman" w:hAnsi="Times New Roman" w:cs="Times New Roman"/>
            <w:color w:val="auto"/>
          </w:rPr>
          <w:t>https://www.imf.org/external/pubs/ft/scr/2011/cr11172.pdf</w:t>
        </w:r>
      </w:hyperlink>
      <w:r w:rsidR="00B8602B" w:rsidRPr="00A429AA">
        <w:rPr>
          <w:rFonts w:ascii="Times New Roman" w:hAnsi="Times New Roman" w:cs="Times New Roman"/>
          <w:u w:val="single"/>
        </w:rPr>
        <w:t>.</w:t>
      </w:r>
      <w:r w:rsidR="00B8602B" w:rsidRPr="00A429AA">
        <w:rPr>
          <w:rFonts w:ascii="Times New Roman" w:hAnsi="Times New Roman" w:cs="Times New Roman"/>
        </w:rPr>
        <w:t xml:space="preserve"> </w:t>
      </w:r>
      <w:r w:rsidR="009F7562" w:rsidRPr="00A429AA">
        <w:rPr>
          <w:rFonts w:ascii="Times New Roman" w:hAnsi="Times New Roman" w:cs="Times New Roman"/>
        </w:rPr>
        <w:t>Accessed 26 January 2016</w:t>
      </w:r>
      <w:r w:rsidR="00637E76">
        <w:rPr>
          <w:rFonts w:ascii="Times New Roman" w:hAnsi="Times New Roman" w:cs="Times New Roman"/>
        </w:rPr>
        <w:t>.</w:t>
      </w:r>
    </w:p>
    <w:p w14:paraId="6660F590" w14:textId="77777777" w:rsidR="00AF6062" w:rsidRPr="00A429AA" w:rsidRDefault="00AF6062" w:rsidP="00F56B72">
      <w:pPr>
        <w:spacing w:line="360" w:lineRule="auto"/>
        <w:rPr>
          <w:rFonts w:ascii="Times New Roman" w:hAnsi="Times New Roman" w:cs="Times New Roman"/>
        </w:rPr>
      </w:pPr>
    </w:p>
    <w:p w14:paraId="35FEFCD2" w14:textId="0EE87987" w:rsidR="005379C7" w:rsidRPr="00A429AA" w:rsidRDefault="009F7562" w:rsidP="005379C7">
      <w:pPr>
        <w:spacing w:line="360" w:lineRule="auto"/>
        <w:rPr>
          <w:rFonts w:ascii="Times New Roman" w:hAnsi="Times New Roman" w:cs="Times New Roman"/>
          <w:u w:val="single"/>
        </w:rPr>
      </w:pPr>
      <w:r w:rsidRPr="00C91034">
        <w:rPr>
          <w:rFonts w:ascii="Times New Roman" w:hAnsi="Times New Roman" w:cs="Times New Roman"/>
          <w:i/>
        </w:rPr>
        <w:t>IMF</w:t>
      </w:r>
      <w:r w:rsidR="00C91034">
        <w:rPr>
          <w:rFonts w:ascii="Times New Roman" w:hAnsi="Times New Roman" w:cs="Times New Roman"/>
          <w:i/>
        </w:rPr>
        <w:t>.</w:t>
      </w:r>
      <w:r w:rsidRPr="00A429AA">
        <w:rPr>
          <w:rFonts w:ascii="Times New Roman" w:hAnsi="Times New Roman" w:cs="Times New Roman"/>
        </w:rPr>
        <w:t xml:space="preserve"> (2011 June)</w:t>
      </w:r>
      <w:r w:rsidR="00C91034">
        <w:rPr>
          <w:rFonts w:ascii="Times New Roman" w:hAnsi="Times New Roman" w:cs="Times New Roman"/>
        </w:rPr>
        <w:t>:</w:t>
      </w:r>
      <w:r w:rsidR="00F56B72" w:rsidRPr="00A429AA">
        <w:rPr>
          <w:rFonts w:ascii="Times New Roman" w:hAnsi="Times New Roman" w:cs="Times New Roman"/>
        </w:rPr>
        <w:t xml:space="preserve"> </w:t>
      </w:r>
      <w:r w:rsidR="005614CC" w:rsidRPr="00A429AA">
        <w:rPr>
          <w:rFonts w:ascii="Times New Roman" w:hAnsi="Times New Roman" w:cs="Times New Roman"/>
          <w:iCs/>
        </w:rPr>
        <w:t>Kingdom of The Netherlands-</w:t>
      </w:r>
      <w:r w:rsidR="00F56B72" w:rsidRPr="00A429AA">
        <w:rPr>
          <w:rFonts w:ascii="Times New Roman" w:hAnsi="Times New Roman" w:cs="Times New Roman"/>
          <w:iCs/>
        </w:rPr>
        <w:t>Netherlands: Financial System Stability Assessment</w:t>
      </w:r>
      <w:r w:rsidR="00C91034">
        <w:rPr>
          <w:rFonts w:ascii="Times New Roman" w:hAnsi="Times New Roman" w:cs="Times New Roman"/>
          <w:iCs/>
        </w:rPr>
        <w:t>,</w:t>
      </w:r>
      <w:r w:rsidR="00F56B72" w:rsidRPr="00A429AA">
        <w:rPr>
          <w:rFonts w:ascii="Times New Roman" w:hAnsi="Times New Roman" w:cs="Times New Roman"/>
        </w:rPr>
        <w:t xml:space="preserve"> </w:t>
      </w:r>
      <w:hyperlink r:id="rId39" w:history="1">
        <w:r w:rsidR="00AF6062" w:rsidRPr="00A429AA">
          <w:rPr>
            <w:rStyle w:val="Hyperlink"/>
            <w:rFonts w:ascii="Times New Roman" w:hAnsi="Times New Roman" w:cs="Times New Roman"/>
            <w:color w:val="auto"/>
          </w:rPr>
          <w:t>https://www.imf.org/external/pubs/ft/scr/2011/cr11144.pdf</w:t>
        </w:r>
      </w:hyperlink>
      <w:r w:rsidRPr="00A429AA">
        <w:rPr>
          <w:rFonts w:ascii="Times New Roman" w:hAnsi="Times New Roman" w:cs="Times New Roman"/>
          <w:u w:val="single"/>
        </w:rPr>
        <w:t>.</w:t>
      </w:r>
      <w:r w:rsidRPr="00A429AA">
        <w:rPr>
          <w:rFonts w:ascii="Times New Roman" w:hAnsi="Times New Roman" w:cs="Times New Roman"/>
        </w:rPr>
        <w:t xml:space="preserve"> </w:t>
      </w:r>
      <w:r w:rsidR="005379C7" w:rsidRPr="00A429AA">
        <w:rPr>
          <w:rFonts w:ascii="Times New Roman" w:hAnsi="Times New Roman" w:cs="Times New Roman"/>
        </w:rPr>
        <w:t xml:space="preserve"> Accessed 10 January 2016</w:t>
      </w:r>
      <w:r w:rsidR="00637E76">
        <w:rPr>
          <w:rFonts w:ascii="Times New Roman" w:hAnsi="Times New Roman" w:cs="Times New Roman"/>
        </w:rPr>
        <w:t>.</w:t>
      </w:r>
    </w:p>
    <w:p w14:paraId="2434F0C6" w14:textId="77777777" w:rsidR="00AF6062" w:rsidRPr="00A429AA" w:rsidRDefault="00AF6062" w:rsidP="00F56B72">
      <w:pPr>
        <w:spacing w:line="360" w:lineRule="auto"/>
        <w:rPr>
          <w:rFonts w:ascii="Times New Roman" w:hAnsi="Times New Roman" w:cs="Times New Roman"/>
        </w:rPr>
      </w:pPr>
    </w:p>
    <w:p w14:paraId="000CDEEA" w14:textId="5034A69B" w:rsidR="0063736E" w:rsidRPr="00A429AA" w:rsidRDefault="0063736E" w:rsidP="0063736E">
      <w:pPr>
        <w:spacing w:line="360" w:lineRule="auto"/>
        <w:rPr>
          <w:rFonts w:ascii="Times New Roman" w:hAnsi="Times New Roman" w:cs="Times New Roman"/>
          <w:u w:val="single"/>
        </w:rPr>
      </w:pPr>
      <w:r w:rsidRPr="00637E76">
        <w:rPr>
          <w:rFonts w:ascii="Times New Roman" w:hAnsi="Times New Roman" w:cs="Times New Roman"/>
          <w:i/>
        </w:rPr>
        <w:lastRenderedPageBreak/>
        <w:t>IMF</w:t>
      </w:r>
      <w:r w:rsidR="00637E76">
        <w:rPr>
          <w:rFonts w:ascii="Times New Roman" w:hAnsi="Times New Roman" w:cs="Times New Roman"/>
          <w:i/>
        </w:rPr>
        <w:t>.</w:t>
      </w:r>
      <w:r w:rsidRPr="00A429AA">
        <w:rPr>
          <w:rFonts w:ascii="Times New Roman" w:hAnsi="Times New Roman" w:cs="Times New Roman"/>
        </w:rPr>
        <w:t xml:space="preserve"> (2011)</w:t>
      </w:r>
      <w:r w:rsidR="00637E76">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United Kingdom: financ</w:t>
      </w:r>
      <w:r w:rsidR="00637E76">
        <w:rPr>
          <w:rFonts w:ascii="Times New Roman" w:hAnsi="Times New Roman" w:cs="Times New Roman"/>
          <w:iCs/>
        </w:rPr>
        <w:t>ial System Stability Assessment,</w:t>
      </w:r>
      <w:r w:rsidR="00F56B72" w:rsidRPr="00A429AA">
        <w:rPr>
          <w:rFonts w:ascii="Times New Roman" w:hAnsi="Times New Roman" w:cs="Times New Roman"/>
        </w:rPr>
        <w:t xml:space="preserve"> </w:t>
      </w:r>
      <w:hyperlink r:id="rId40" w:history="1">
        <w:r w:rsidR="00AF6062" w:rsidRPr="00A429AA">
          <w:rPr>
            <w:rStyle w:val="Hyperlink"/>
            <w:rFonts w:ascii="Times New Roman" w:hAnsi="Times New Roman" w:cs="Times New Roman"/>
            <w:color w:val="auto"/>
          </w:rPr>
          <w:t>https://www.imf.org/external/pubs/ft/scr/2011/cr11222.pdf</w:t>
        </w:r>
      </w:hyperlink>
      <w:r w:rsidRPr="00A429AA">
        <w:rPr>
          <w:rFonts w:ascii="Times New Roman" w:hAnsi="Times New Roman" w:cs="Times New Roman"/>
          <w:u w:val="single"/>
        </w:rPr>
        <w:t>.</w:t>
      </w:r>
      <w:r w:rsidRPr="00A429AA">
        <w:rPr>
          <w:rFonts w:ascii="Times New Roman" w:hAnsi="Times New Roman" w:cs="Times New Roman"/>
        </w:rPr>
        <w:t xml:space="preserve"> Accessed 15 January 2016</w:t>
      </w:r>
      <w:r w:rsidR="00637E76">
        <w:rPr>
          <w:rFonts w:ascii="Times New Roman" w:hAnsi="Times New Roman" w:cs="Times New Roman"/>
        </w:rPr>
        <w:t>.</w:t>
      </w:r>
    </w:p>
    <w:p w14:paraId="09F95396" w14:textId="77777777" w:rsidR="00AF6062" w:rsidRPr="00A429AA" w:rsidRDefault="00AF6062" w:rsidP="00F56B72">
      <w:pPr>
        <w:spacing w:line="360" w:lineRule="auto"/>
        <w:rPr>
          <w:rFonts w:ascii="Times New Roman" w:hAnsi="Times New Roman" w:cs="Times New Roman"/>
        </w:rPr>
      </w:pPr>
    </w:p>
    <w:p w14:paraId="6D80885A" w14:textId="4B717F1E" w:rsidR="00C671E3" w:rsidRPr="00A429AA" w:rsidRDefault="00D2266D" w:rsidP="00C671E3">
      <w:pPr>
        <w:spacing w:line="360" w:lineRule="auto"/>
        <w:rPr>
          <w:rFonts w:ascii="Times New Roman" w:hAnsi="Times New Roman" w:cs="Times New Roman"/>
        </w:rPr>
      </w:pPr>
      <w:r w:rsidRPr="00637E76">
        <w:rPr>
          <w:rFonts w:ascii="Times New Roman" w:hAnsi="Times New Roman" w:cs="Times New Roman"/>
          <w:i/>
        </w:rPr>
        <w:t>IMF</w:t>
      </w:r>
      <w:r w:rsidR="00637E76">
        <w:rPr>
          <w:rFonts w:ascii="Times New Roman" w:hAnsi="Times New Roman" w:cs="Times New Roman"/>
          <w:i/>
        </w:rPr>
        <w:t>.</w:t>
      </w:r>
      <w:r w:rsidRPr="00A429AA">
        <w:rPr>
          <w:rFonts w:ascii="Times New Roman" w:hAnsi="Times New Roman" w:cs="Times New Roman"/>
        </w:rPr>
        <w:t xml:space="preserve"> (2012 June)</w:t>
      </w:r>
      <w:r w:rsidR="00637E76">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Spain: Financial Stability Assessment</w:t>
      </w:r>
      <w:r w:rsidR="00637E76">
        <w:rPr>
          <w:rFonts w:ascii="Times New Roman" w:hAnsi="Times New Roman" w:cs="Times New Roman"/>
          <w:i/>
          <w:iCs/>
        </w:rPr>
        <w:t>,</w:t>
      </w:r>
      <w:r w:rsidR="00F56B72" w:rsidRPr="00A429AA">
        <w:rPr>
          <w:rFonts w:ascii="Times New Roman" w:hAnsi="Times New Roman" w:cs="Times New Roman"/>
          <w:i/>
          <w:iCs/>
        </w:rPr>
        <w:t xml:space="preserve"> </w:t>
      </w:r>
      <w:hyperlink r:id="rId41" w:history="1">
        <w:r w:rsidRPr="00A429AA">
          <w:rPr>
            <w:rStyle w:val="Hyperlink"/>
            <w:rFonts w:ascii="Times New Roman" w:hAnsi="Times New Roman" w:cs="Times New Roman"/>
            <w:color w:val="auto"/>
          </w:rPr>
          <w:t>https://www.imf.org/external/pubs/ft/scr/2012/cr12137.pdf</w:t>
        </w:r>
      </w:hyperlink>
      <w:r w:rsidRPr="00A429AA">
        <w:rPr>
          <w:rFonts w:ascii="Times New Roman" w:hAnsi="Times New Roman" w:cs="Times New Roman"/>
          <w:u w:val="single"/>
        </w:rPr>
        <w:t>.</w:t>
      </w:r>
      <w:r w:rsidRPr="00A429AA">
        <w:rPr>
          <w:rFonts w:ascii="Times New Roman" w:hAnsi="Times New Roman" w:cs="Times New Roman"/>
        </w:rPr>
        <w:t xml:space="preserve"> </w:t>
      </w:r>
      <w:r w:rsidR="00C671E3" w:rsidRPr="00A429AA">
        <w:rPr>
          <w:rFonts w:ascii="Times New Roman" w:hAnsi="Times New Roman" w:cs="Times New Roman"/>
        </w:rPr>
        <w:t>Accessed 21 January 2016</w:t>
      </w:r>
      <w:r w:rsidR="00637E76">
        <w:rPr>
          <w:rFonts w:ascii="Times New Roman" w:hAnsi="Times New Roman" w:cs="Times New Roman"/>
        </w:rPr>
        <w:t>.</w:t>
      </w:r>
    </w:p>
    <w:p w14:paraId="1AFB0BFE" w14:textId="77777777" w:rsidR="00D2266D" w:rsidRPr="00A429AA" w:rsidRDefault="00D2266D" w:rsidP="00F56B72">
      <w:pPr>
        <w:spacing w:line="360" w:lineRule="auto"/>
        <w:rPr>
          <w:rFonts w:ascii="Times New Roman" w:hAnsi="Times New Roman" w:cs="Times New Roman"/>
        </w:rPr>
      </w:pPr>
    </w:p>
    <w:p w14:paraId="765F12F1" w14:textId="2A2427B9" w:rsidR="00C671E3" w:rsidRPr="00A429AA" w:rsidRDefault="00C671E3" w:rsidP="00C671E3">
      <w:pPr>
        <w:spacing w:line="360" w:lineRule="auto"/>
        <w:rPr>
          <w:rFonts w:ascii="Times New Roman" w:hAnsi="Times New Roman" w:cs="Times New Roman"/>
        </w:rPr>
      </w:pPr>
      <w:r w:rsidRPr="004C6F7C">
        <w:rPr>
          <w:rFonts w:ascii="Times New Roman" w:hAnsi="Times New Roman" w:cs="Times New Roman"/>
          <w:i/>
        </w:rPr>
        <w:t>IMF</w:t>
      </w:r>
      <w:r w:rsidR="004C6F7C">
        <w:rPr>
          <w:rFonts w:ascii="Times New Roman" w:hAnsi="Times New Roman" w:cs="Times New Roman"/>
          <w:i/>
        </w:rPr>
        <w:t>.</w:t>
      </w:r>
      <w:r w:rsidR="00F56B72" w:rsidRPr="00A429AA">
        <w:rPr>
          <w:rFonts w:ascii="Times New Roman" w:hAnsi="Times New Roman" w:cs="Times New Roman"/>
        </w:rPr>
        <w:t xml:space="preserve"> </w:t>
      </w:r>
      <w:r w:rsidRPr="00A429AA">
        <w:rPr>
          <w:rFonts w:ascii="Times New Roman" w:hAnsi="Times New Roman" w:cs="Times New Roman"/>
        </w:rPr>
        <w:t>(</w:t>
      </w:r>
      <w:r w:rsidR="00F56B72" w:rsidRPr="00A429AA">
        <w:rPr>
          <w:rFonts w:ascii="Times New Roman" w:hAnsi="Times New Roman" w:cs="Times New Roman"/>
        </w:rPr>
        <w:t>201</w:t>
      </w:r>
      <w:r w:rsidRPr="00A429AA">
        <w:rPr>
          <w:rFonts w:ascii="Times New Roman" w:hAnsi="Times New Roman" w:cs="Times New Roman"/>
        </w:rPr>
        <w:t>2)</w:t>
      </w:r>
      <w:r w:rsidR="004C6F7C">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France: Financial System Stability Assessment</w:t>
      </w:r>
      <w:r w:rsidR="004C6F7C">
        <w:rPr>
          <w:rFonts w:ascii="Times New Roman" w:hAnsi="Times New Roman" w:cs="Times New Roman"/>
          <w:i/>
          <w:iCs/>
        </w:rPr>
        <w:t>,</w:t>
      </w:r>
      <w:r w:rsidR="00F56B72" w:rsidRPr="00A429AA">
        <w:rPr>
          <w:rFonts w:ascii="Times New Roman" w:hAnsi="Times New Roman" w:cs="Times New Roman"/>
          <w:i/>
          <w:iCs/>
        </w:rPr>
        <w:t xml:space="preserve"> </w:t>
      </w:r>
      <w:hyperlink r:id="rId42" w:history="1">
        <w:r w:rsidR="00AF6062" w:rsidRPr="00A429AA">
          <w:rPr>
            <w:rStyle w:val="Hyperlink"/>
            <w:rFonts w:ascii="Times New Roman" w:hAnsi="Times New Roman" w:cs="Times New Roman"/>
            <w:color w:val="auto"/>
          </w:rPr>
          <w:t>https://www.imf.org/external/pubs/ft/scr/2012/cr12341.pdf</w:t>
        </w:r>
      </w:hyperlink>
      <w:r w:rsidRPr="00A429AA">
        <w:rPr>
          <w:rFonts w:ascii="Times New Roman" w:hAnsi="Times New Roman" w:cs="Times New Roman"/>
          <w:u w:val="single"/>
        </w:rPr>
        <w:t>.</w:t>
      </w:r>
      <w:r w:rsidRPr="00A429AA">
        <w:rPr>
          <w:rFonts w:ascii="Times New Roman" w:hAnsi="Times New Roman" w:cs="Times New Roman"/>
        </w:rPr>
        <w:t xml:space="preserve"> Accessed 16 January 2016</w:t>
      </w:r>
      <w:r w:rsidR="004C6F7C">
        <w:rPr>
          <w:rFonts w:ascii="Times New Roman" w:hAnsi="Times New Roman" w:cs="Times New Roman"/>
        </w:rPr>
        <w:t>.</w:t>
      </w:r>
    </w:p>
    <w:p w14:paraId="64923CE0" w14:textId="77777777" w:rsidR="00AF6062" w:rsidRPr="00A429AA" w:rsidRDefault="00AF6062" w:rsidP="00F56B72">
      <w:pPr>
        <w:spacing w:line="360" w:lineRule="auto"/>
        <w:rPr>
          <w:rFonts w:ascii="Times New Roman" w:hAnsi="Times New Roman" w:cs="Times New Roman"/>
        </w:rPr>
      </w:pPr>
    </w:p>
    <w:p w14:paraId="38BD361F" w14:textId="2604FA99" w:rsidR="00F56B72" w:rsidRPr="00A429AA" w:rsidRDefault="000A62CC" w:rsidP="00F56B72">
      <w:pPr>
        <w:spacing w:line="360" w:lineRule="auto"/>
        <w:rPr>
          <w:rFonts w:ascii="Times New Roman" w:hAnsi="Times New Roman" w:cs="Times New Roman"/>
          <w:u w:val="single"/>
        </w:rPr>
      </w:pPr>
      <w:r w:rsidRPr="005772F7">
        <w:rPr>
          <w:rFonts w:ascii="Times New Roman" w:hAnsi="Times New Roman" w:cs="Times New Roman"/>
          <w:i/>
        </w:rPr>
        <w:t>IMF</w:t>
      </w:r>
      <w:r w:rsidR="005772F7">
        <w:rPr>
          <w:rFonts w:ascii="Times New Roman" w:hAnsi="Times New Roman" w:cs="Times New Roman"/>
        </w:rPr>
        <w:t xml:space="preserve">. </w:t>
      </w:r>
      <w:r w:rsidRPr="00A429AA">
        <w:rPr>
          <w:rFonts w:ascii="Times New Roman" w:hAnsi="Times New Roman" w:cs="Times New Roman"/>
        </w:rPr>
        <w:t>(2013 September)</w:t>
      </w:r>
      <w:r w:rsidR="005772F7">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Italy: Financial System Stability Assessment</w:t>
      </w:r>
      <w:r w:rsidR="005772F7">
        <w:rPr>
          <w:rFonts w:ascii="Times New Roman" w:hAnsi="Times New Roman" w:cs="Times New Roman"/>
          <w:i/>
          <w:iCs/>
        </w:rPr>
        <w:t>,</w:t>
      </w:r>
      <w:r w:rsidR="00F56B72" w:rsidRPr="00A429AA">
        <w:rPr>
          <w:rFonts w:ascii="Times New Roman" w:hAnsi="Times New Roman" w:cs="Times New Roman"/>
          <w:i/>
          <w:iCs/>
        </w:rPr>
        <w:t xml:space="preserve"> </w:t>
      </w:r>
      <w:hyperlink r:id="rId43" w:history="1">
        <w:r w:rsidR="00AF6062" w:rsidRPr="00A429AA">
          <w:rPr>
            <w:rStyle w:val="Hyperlink"/>
            <w:rFonts w:ascii="Times New Roman" w:hAnsi="Times New Roman" w:cs="Times New Roman"/>
            <w:color w:val="auto"/>
          </w:rPr>
          <w:t>https://www.imf.org/external/pubs/ft/scr/2013/cr13300.pdf</w:t>
        </w:r>
      </w:hyperlink>
      <w:r w:rsidR="00FD6F51" w:rsidRPr="00A429AA">
        <w:rPr>
          <w:rFonts w:ascii="Times New Roman" w:hAnsi="Times New Roman" w:cs="Times New Roman"/>
        </w:rPr>
        <w:t>. Accessed 18 January 2016</w:t>
      </w:r>
      <w:r w:rsidR="00982048">
        <w:rPr>
          <w:rFonts w:ascii="Times New Roman" w:hAnsi="Times New Roman" w:cs="Times New Roman"/>
        </w:rPr>
        <w:t>.</w:t>
      </w:r>
    </w:p>
    <w:p w14:paraId="0202954F" w14:textId="77777777" w:rsidR="00AF6062" w:rsidRPr="00A429AA" w:rsidRDefault="00AF6062" w:rsidP="00F56B72">
      <w:pPr>
        <w:spacing w:line="360" w:lineRule="auto"/>
        <w:rPr>
          <w:rFonts w:ascii="Times New Roman" w:hAnsi="Times New Roman" w:cs="Times New Roman"/>
        </w:rPr>
      </w:pPr>
    </w:p>
    <w:p w14:paraId="33C8EE9F" w14:textId="349DD519" w:rsidR="00BE59CD" w:rsidRPr="00A429AA" w:rsidRDefault="00AD32D7" w:rsidP="00BE59CD">
      <w:pPr>
        <w:spacing w:line="360" w:lineRule="auto"/>
        <w:rPr>
          <w:rFonts w:ascii="Times New Roman" w:hAnsi="Times New Roman" w:cs="Times New Roman"/>
          <w:u w:val="single"/>
        </w:rPr>
      </w:pPr>
      <w:r w:rsidRPr="000C2E78">
        <w:rPr>
          <w:rFonts w:ascii="Times New Roman" w:hAnsi="Times New Roman" w:cs="Times New Roman"/>
          <w:i/>
        </w:rPr>
        <w:t>IMF</w:t>
      </w:r>
      <w:r w:rsidR="000C2E78">
        <w:rPr>
          <w:rFonts w:ascii="Times New Roman" w:hAnsi="Times New Roman" w:cs="Times New Roman"/>
          <w:i/>
        </w:rPr>
        <w:t>.</w:t>
      </w:r>
      <w:r w:rsidRPr="00A429AA">
        <w:rPr>
          <w:rFonts w:ascii="Times New Roman" w:hAnsi="Times New Roman" w:cs="Times New Roman"/>
        </w:rPr>
        <w:t xml:space="preserve"> (2013)</w:t>
      </w:r>
      <w:r w:rsidR="000C2E78">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European Union: Publication of Financial Sector Assessment Program Documentation-Technical Note on Progress with Bank Restruc</w:t>
      </w:r>
      <w:r w:rsidR="000661B1" w:rsidRPr="00A429AA">
        <w:rPr>
          <w:rFonts w:ascii="Times New Roman" w:hAnsi="Times New Roman" w:cs="Times New Roman"/>
          <w:iCs/>
        </w:rPr>
        <w:t>turing and Resolution in Europe</w:t>
      </w:r>
      <w:r w:rsidR="000C2E78">
        <w:rPr>
          <w:rFonts w:ascii="Times New Roman" w:hAnsi="Times New Roman" w:cs="Times New Roman"/>
          <w:i/>
          <w:iCs/>
        </w:rPr>
        <w:t>,</w:t>
      </w:r>
      <w:r w:rsidRPr="00A429AA">
        <w:rPr>
          <w:rFonts w:ascii="Times New Roman" w:hAnsi="Times New Roman" w:cs="Times New Roman"/>
          <w:i/>
          <w:iCs/>
        </w:rPr>
        <w:t xml:space="preserve"> </w:t>
      </w:r>
      <w:hyperlink r:id="rId44" w:history="1">
        <w:r w:rsidRPr="00A429AA">
          <w:rPr>
            <w:rStyle w:val="Hyperlink"/>
            <w:rFonts w:ascii="Times New Roman" w:hAnsi="Times New Roman" w:cs="Times New Roman"/>
            <w:iCs/>
            <w:color w:val="auto"/>
          </w:rPr>
          <w:t>https://www.imf.org/external/pubs/ft/scr/2013/cr1365.pdf</w:t>
        </w:r>
      </w:hyperlink>
      <w:r w:rsidRPr="00A429AA">
        <w:rPr>
          <w:rFonts w:ascii="Times New Roman" w:hAnsi="Times New Roman" w:cs="Times New Roman"/>
          <w:iCs/>
        </w:rPr>
        <w:t>.</w:t>
      </w:r>
      <w:r w:rsidRPr="00A429AA">
        <w:rPr>
          <w:rFonts w:ascii="Times New Roman" w:hAnsi="Times New Roman" w:cs="Times New Roman"/>
          <w:i/>
          <w:iCs/>
        </w:rPr>
        <w:t xml:space="preserve"> </w:t>
      </w:r>
      <w:r w:rsidR="00BE59CD" w:rsidRPr="00A429AA">
        <w:rPr>
          <w:rFonts w:ascii="Times New Roman" w:hAnsi="Times New Roman" w:cs="Times New Roman"/>
        </w:rPr>
        <w:t>Accessed 17 January 2016</w:t>
      </w:r>
      <w:r w:rsidR="00982048">
        <w:rPr>
          <w:rFonts w:ascii="Times New Roman" w:hAnsi="Times New Roman" w:cs="Times New Roman"/>
        </w:rPr>
        <w:t>.</w:t>
      </w:r>
    </w:p>
    <w:p w14:paraId="75CE2D91" w14:textId="77777777" w:rsidR="00AF6062" w:rsidRPr="00A429AA" w:rsidRDefault="00AF6062" w:rsidP="00F56B72">
      <w:pPr>
        <w:spacing w:line="360" w:lineRule="auto"/>
        <w:rPr>
          <w:rFonts w:ascii="Times New Roman" w:hAnsi="Times New Roman" w:cs="Times New Roman"/>
        </w:rPr>
      </w:pPr>
    </w:p>
    <w:p w14:paraId="1037A5AE" w14:textId="10FF7E52" w:rsidR="00F56B72" w:rsidRPr="00A429AA" w:rsidRDefault="00391CEA" w:rsidP="00F56B72">
      <w:pPr>
        <w:spacing w:line="360" w:lineRule="auto"/>
        <w:rPr>
          <w:rFonts w:ascii="Times New Roman" w:hAnsi="Times New Roman" w:cs="Times New Roman"/>
        </w:rPr>
      </w:pPr>
      <w:proofErr w:type="spellStart"/>
      <w:r w:rsidRPr="00C0377E">
        <w:rPr>
          <w:rFonts w:ascii="Times New Roman" w:hAnsi="Times New Roman" w:cs="Times New Roman"/>
          <w:i/>
        </w:rPr>
        <w:t>Laeven</w:t>
      </w:r>
      <w:proofErr w:type="spellEnd"/>
      <w:r w:rsidR="00C0377E">
        <w:rPr>
          <w:rFonts w:ascii="Times New Roman" w:hAnsi="Times New Roman" w:cs="Times New Roman"/>
          <w:i/>
        </w:rPr>
        <w:t>,</w:t>
      </w:r>
      <w:r w:rsidR="00C0377E">
        <w:rPr>
          <w:rFonts w:ascii="Times New Roman" w:hAnsi="Times New Roman" w:cs="Times New Roman"/>
        </w:rPr>
        <w:t xml:space="preserve"> L. /</w:t>
      </w:r>
      <w:r w:rsidRPr="00A429AA">
        <w:rPr>
          <w:rFonts w:ascii="Times New Roman" w:hAnsi="Times New Roman" w:cs="Times New Roman"/>
        </w:rPr>
        <w:t xml:space="preserve"> </w:t>
      </w:r>
      <w:r w:rsidRPr="00C0377E">
        <w:rPr>
          <w:rFonts w:ascii="Times New Roman" w:hAnsi="Times New Roman" w:cs="Times New Roman"/>
          <w:i/>
        </w:rPr>
        <w:t>Valencia</w:t>
      </w:r>
      <w:r w:rsidR="00C0377E">
        <w:rPr>
          <w:rFonts w:ascii="Times New Roman" w:hAnsi="Times New Roman" w:cs="Times New Roman"/>
          <w:i/>
        </w:rPr>
        <w:t>,</w:t>
      </w:r>
      <w:r w:rsidRPr="00A429AA">
        <w:rPr>
          <w:rFonts w:ascii="Times New Roman" w:hAnsi="Times New Roman" w:cs="Times New Roman"/>
        </w:rPr>
        <w:t xml:space="preserve"> F</w:t>
      </w:r>
      <w:r w:rsidR="00C0377E">
        <w:rPr>
          <w:rFonts w:ascii="Times New Roman" w:hAnsi="Times New Roman" w:cs="Times New Roman"/>
        </w:rPr>
        <w:t>.</w:t>
      </w:r>
      <w:r w:rsidRPr="00A429AA">
        <w:rPr>
          <w:rFonts w:ascii="Times New Roman" w:hAnsi="Times New Roman" w:cs="Times New Roman"/>
        </w:rPr>
        <w:t xml:space="preserve"> (2008)</w:t>
      </w:r>
      <w:r w:rsidR="00C0377E">
        <w:rPr>
          <w:rFonts w:ascii="Times New Roman" w:hAnsi="Times New Roman" w:cs="Times New Roman"/>
        </w:rPr>
        <w:t>:</w:t>
      </w:r>
      <w:r w:rsidR="00F56B72" w:rsidRPr="00A429AA">
        <w:rPr>
          <w:rFonts w:ascii="Times New Roman" w:hAnsi="Times New Roman" w:cs="Times New Roman"/>
        </w:rPr>
        <w:t xml:space="preserve"> </w:t>
      </w:r>
      <w:r w:rsidR="00C0377E">
        <w:rPr>
          <w:rFonts w:ascii="Times New Roman" w:hAnsi="Times New Roman" w:cs="Times New Roman"/>
        </w:rPr>
        <w:t>“</w:t>
      </w:r>
      <w:r w:rsidR="00F56B72" w:rsidRPr="00A429AA">
        <w:rPr>
          <w:rFonts w:ascii="Times New Roman" w:hAnsi="Times New Roman" w:cs="Times New Roman"/>
        </w:rPr>
        <w:t>Systematic</w:t>
      </w:r>
      <w:r w:rsidR="00C0377E">
        <w:rPr>
          <w:rFonts w:ascii="Times New Roman" w:hAnsi="Times New Roman" w:cs="Times New Roman"/>
        </w:rPr>
        <w:t xml:space="preserve"> banking crises: A new database,”</w:t>
      </w:r>
      <w:r w:rsidR="00F56B72" w:rsidRPr="00A429AA">
        <w:rPr>
          <w:rFonts w:ascii="Times New Roman" w:hAnsi="Times New Roman" w:cs="Times New Roman"/>
        </w:rPr>
        <w:t xml:space="preserve"> </w:t>
      </w:r>
      <w:r w:rsidR="00F56B72" w:rsidRPr="00A429AA">
        <w:rPr>
          <w:rFonts w:ascii="Times New Roman" w:hAnsi="Times New Roman" w:cs="Times New Roman"/>
          <w:iCs/>
        </w:rPr>
        <w:t xml:space="preserve">IMF Working Paper, </w:t>
      </w:r>
      <w:r w:rsidR="00E64B68" w:rsidRPr="00A429AA">
        <w:rPr>
          <w:rFonts w:ascii="Times New Roman" w:hAnsi="Times New Roman" w:cs="Times New Roman"/>
        </w:rPr>
        <w:t>Issue 08/224</w:t>
      </w:r>
      <w:r w:rsidR="00982048">
        <w:rPr>
          <w:rFonts w:ascii="Times New Roman" w:hAnsi="Times New Roman" w:cs="Times New Roman"/>
        </w:rPr>
        <w:t>.</w:t>
      </w:r>
    </w:p>
    <w:p w14:paraId="0D39A516" w14:textId="77777777" w:rsidR="0006686A" w:rsidRPr="00A429AA" w:rsidRDefault="0006686A" w:rsidP="00F56B72">
      <w:pPr>
        <w:spacing w:line="360" w:lineRule="auto"/>
        <w:rPr>
          <w:rFonts w:ascii="Times New Roman" w:hAnsi="Times New Roman" w:cs="Times New Roman"/>
        </w:rPr>
      </w:pPr>
    </w:p>
    <w:p w14:paraId="6F117EC8" w14:textId="79858D0E" w:rsidR="0006686A" w:rsidRPr="00A429AA" w:rsidRDefault="0006686A" w:rsidP="0006686A">
      <w:pPr>
        <w:autoSpaceDE w:val="0"/>
        <w:autoSpaceDN w:val="0"/>
        <w:adjustRightInd w:val="0"/>
        <w:spacing w:line="360" w:lineRule="auto"/>
        <w:rPr>
          <w:rFonts w:ascii="Times New Roman" w:hAnsi="Times New Roman" w:cs="Times New Roman"/>
          <w:lang w:val="en-US"/>
        </w:rPr>
      </w:pPr>
      <w:r w:rsidRPr="00B93A19">
        <w:rPr>
          <w:rFonts w:ascii="Times New Roman" w:hAnsi="Times New Roman" w:cs="Times New Roman"/>
          <w:i/>
          <w:lang w:val="en-US"/>
        </w:rPr>
        <w:t>Lane</w:t>
      </w:r>
      <w:r w:rsidR="00B93A19">
        <w:rPr>
          <w:rFonts w:ascii="Times New Roman" w:hAnsi="Times New Roman" w:cs="Times New Roman"/>
          <w:i/>
          <w:lang w:val="en-US"/>
        </w:rPr>
        <w:t>,</w:t>
      </w:r>
      <w:r w:rsidR="00B93A19">
        <w:rPr>
          <w:rFonts w:ascii="Times New Roman" w:hAnsi="Times New Roman" w:cs="Times New Roman"/>
          <w:lang w:val="en-US"/>
        </w:rPr>
        <w:t xml:space="preserve"> P. /</w:t>
      </w:r>
      <w:r w:rsidRPr="00A429AA">
        <w:rPr>
          <w:rFonts w:ascii="Times New Roman" w:hAnsi="Times New Roman" w:cs="Times New Roman"/>
          <w:lang w:val="en-US"/>
        </w:rPr>
        <w:t xml:space="preserve"> </w:t>
      </w:r>
      <w:proofErr w:type="spellStart"/>
      <w:r w:rsidRPr="00B93A19">
        <w:rPr>
          <w:rFonts w:ascii="Times New Roman" w:hAnsi="Times New Roman" w:cs="Times New Roman"/>
          <w:i/>
          <w:lang w:val="en-US"/>
        </w:rPr>
        <w:t>Milesi</w:t>
      </w:r>
      <w:proofErr w:type="spellEnd"/>
      <w:r w:rsidRPr="00B93A19">
        <w:rPr>
          <w:rFonts w:ascii="Times New Roman" w:hAnsi="Times New Roman" w:cs="Times New Roman"/>
          <w:i/>
          <w:lang w:val="en-US"/>
        </w:rPr>
        <w:t>-Ferretti</w:t>
      </w:r>
      <w:r w:rsidR="00B93A19">
        <w:rPr>
          <w:rFonts w:ascii="Times New Roman" w:hAnsi="Times New Roman" w:cs="Times New Roman"/>
          <w:i/>
          <w:lang w:val="en-US"/>
        </w:rPr>
        <w:t>,</w:t>
      </w:r>
      <w:r w:rsidRPr="00A429AA">
        <w:rPr>
          <w:rFonts w:ascii="Times New Roman" w:hAnsi="Times New Roman" w:cs="Times New Roman"/>
          <w:lang w:val="en-US"/>
        </w:rPr>
        <w:t xml:space="preserve"> G</w:t>
      </w:r>
      <w:r w:rsidR="00B93A19">
        <w:rPr>
          <w:rFonts w:ascii="Times New Roman" w:hAnsi="Times New Roman" w:cs="Times New Roman"/>
          <w:lang w:val="en-US"/>
        </w:rPr>
        <w:t>.</w:t>
      </w:r>
      <w:r w:rsidRPr="00A429AA">
        <w:rPr>
          <w:rFonts w:ascii="Times New Roman" w:hAnsi="Times New Roman" w:cs="Times New Roman"/>
          <w:lang w:val="en-US"/>
        </w:rPr>
        <w:t xml:space="preserve"> (2010)</w:t>
      </w:r>
      <w:r w:rsidR="00B93A19">
        <w:rPr>
          <w:rFonts w:ascii="Times New Roman" w:hAnsi="Times New Roman" w:cs="Times New Roman"/>
          <w:lang w:val="en-US"/>
        </w:rPr>
        <w:t>:</w:t>
      </w:r>
      <w:r w:rsidRPr="00A429AA">
        <w:rPr>
          <w:rFonts w:ascii="Times New Roman" w:hAnsi="Times New Roman" w:cs="Times New Roman"/>
          <w:lang w:val="en-US"/>
        </w:rPr>
        <w:t xml:space="preserve"> </w:t>
      </w:r>
      <w:r w:rsidR="00024A4A">
        <w:rPr>
          <w:rFonts w:ascii="Times New Roman" w:hAnsi="Times New Roman" w:cs="Times New Roman"/>
          <w:lang w:val="en-US"/>
        </w:rPr>
        <w:t>“</w:t>
      </w:r>
      <w:r w:rsidRPr="00A429AA">
        <w:rPr>
          <w:rFonts w:ascii="Times New Roman" w:hAnsi="Times New Roman" w:cs="Times New Roman"/>
          <w:lang w:val="en-US"/>
        </w:rPr>
        <w:t>The cross-country</w:t>
      </w:r>
      <w:r w:rsidR="00024A4A">
        <w:rPr>
          <w:rFonts w:ascii="Times New Roman" w:hAnsi="Times New Roman" w:cs="Times New Roman"/>
          <w:lang w:val="en-US"/>
        </w:rPr>
        <w:t xml:space="preserve"> incidence of the global crisis,”</w:t>
      </w:r>
      <w:r w:rsidRPr="00A429AA">
        <w:rPr>
          <w:rFonts w:ascii="Times New Roman" w:hAnsi="Times New Roman" w:cs="Times New Roman"/>
          <w:lang w:val="en-US"/>
        </w:rPr>
        <w:t xml:space="preserve"> IMF Working Paper 10/171</w:t>
      </w:r>
      <w:r w:rsidR="00024A4A">
        <w:rPr>
          <w:rFonts w:ascii="Times New Roman" w:hAnsi="Times New Roman" w:cs="Times New Roman"/>
          <w:lang w:val="en-US"/>
        </w:rPr>
        <w:t>.</w:t>
      </w:r>
    </w:p>
    <w:p w14:paraId="01B7196D" w14:textId="77777777" w:rsidR="00AF6062" w:rsidRPr="00A429AA" w:rsidRDefault="00AF6062" w:rsidP="00F56B72">
      <w:pPr>
        <w:spacing w:line="360" w:lineRule="auto"/>
        <w:rPr>
          <w:rFonts w:ascii="Times New Roman" w:hAnsi="Times New Roman" w:cs="Times New Roman"/>
        </w:rPr>
      </w:pPr>
    </w:p>
    <w:p w14:paraId="41DBCEFD" w14:textId="350913EB" w:rsidR="00F56B72" w:rsidRPr="00A429AA" w:rsidRDefault="00CE5A11" w:rsidP="00F56B72">
      <w:pPr>
        <w:spacing w:line="360" w:lineRule="auto"/>
        <w:rPr>
          <w:rFonts w:ascii="Times New Roman" w:hAnsi="Times New Roman" w:cs="Times New Roman"/>
        </w:rPr>
      </w:pPr>
      <w:proofErr w:type="spellStart"/>
      <w:r w:rsidRPr="00073E0F">
        <w:rPr>
          <w:rFonts w:ascii="Times New Roman" w:hAnsi="Times New Roman" w:cs="Times New Roman"/>
          <w:i/>
        </w:rPr>
        <w:t>Lindblom</w:t>
      </w:r>
      <w:proofErr w:type="spellEnd"/>
      <w:r w:rsidR="00073E0F">
        <w:rPr>
          <w:rFonts w:ascii="Times New Roman" w:hAnsi="Times New Roman" w:cs="Times New Roman"/>
          <w:i/>
        </w:rPr>
        <w:t>,</w:t>
      </w:r>
      <w:r w:rsidR="00073E0F">
        <w:rPr>
          <w:rFonts w:ascii="Times New Roman" w:hAnsi="Times New Roman" w:cs="Times New Roman"/>
        </w:rPr>
        <w:t xml:space="preserve"> T. </w:t>
      </w:r>
      <w:proofErr w:type="gramStart"/>
      <w:r w:rsidR="00073E0F">
        <w:rPr>
          <w:rFonts w:ascii="Times New Roman" w:hAnsi="Times New Roman" w:cs="Times New Roman"/>
        </w:rPr>
        <w:t>/</w:t>
      </w:r>
      <w:r w:rsidRPr="00A429AA">
        <w:rPr>
          <w:rFonts w:ascii="Times New Roman" w:hAnsi="Times New Roman" w:cs="Times New Roman"/>
        </w:rPr>
        <w:t xml:space="preserve">  </w:t>
      </w:r>
      <w:proofErr w:type="spellStart"/>
      <w:r w:rsidRPr="00073E0F">
        <w:rPr>
          <w:rFonts w:ascii="Times New Roman" w:hAnsi="Times New Roman" w:cs="Times New Roman"/>
          <w:i/>
        </w:rPr>
        <w:t>Willesson</w:t>
      </w:r>
      <w:proofErr w:type="spellEnd"/>
      <w:proofErr w:type="gramEnd"/>
      <w:r w:rsidR="00073E0F">
        <w:rPr>
          <w:rFonts w:ascii="Times New Roman" w:hAnsi="Times New Roman" w:cs="Times New Roman"/>
          <w:i/>
        </w:rPr>
        <w:t>,</w:t>
      </w:r>
      <w:r w:rsidRPr="00A429AA">
        <w:rPr>
          <w:rFonts w:ascii="Times New Roman" w:hAnsi="Times New Roman" w:cs="Times New Roman"/>
        </w:rPr>
        <w:t xml:space="preserve"> M</w:t>
      </w:r>
      <w:r w:rsidR="00073E0F">
        <w:rPr>
          <w:rFonts w:ascii="Times New Roman" w:hAnsi="Times New Roman" w:cs="Times New Roman"/>
        </w:rPr>
        <w:t>.</w:t>
      </w:r>
      <w:r w:rsidRPr="00A429AA">
        <w:rPr>
          <w:rFonts w:ascii="Times New Roman" w:hAnsi="Times New Roman" w:cs="Times New Roman"/>
        </w:rPr>
        <w:t xml:space="preserve"> (2012)</w:t>
      </w:r>
      <w:r w:rsidR="00073E0F">
        <w:rPr>
          <w:rFonts w:ascii="Times New Roman" w:hAnsi="Times New Roman" w:cs="Times New Roman"/>
        </w:rPr>
        <w:t>:</w:t>
      </w:r>
      <w:r w:rsidR="00010640" w:rsidRPr="00A429AA">
        <w:rPr>
          <w:rFonts w:ascii="Times New Roman" w:hAnsi="Times New Roman" w:cs="Times New Roman"/>
        </w:rPr>
        <w:t xml:space="preserve"> </w:t>
      </w:r>
      <w:r w:rsidR="00073E0F">
        <w:rPr>
          <w:rFonts w:ascii="Times New Roman" w:hAnsi="Times New Roman" w:cs="Times New Roman"/>
        </w:rPr>
        <w:t>“</w:t>
      </w:r>
      <w:r w:rsidR="00010640" w:rsidRPr="00A429AA">
        <w:rPr>
          <w:rFonts w:ascii="Times New Roman" w:hAnsi="Times New Roman" w:cs="Times New Roman"/>
        </w:rPr>
        <w:t>Financial crisis and EU</w:t>
      </w:r>
      <w:r w:rsidR="00F56B72" w:rsidRPr="00A429AA">
        <w:rPr>
          <w:rFonts w:ascii="Times New Roman" w:hAnsi="Times New Roman" w:cs="Times New Roman"/>
        </w:rPr>
        <w:t xml:space="preserve"> banks' performance. Crisis, risk and sta</w:t>
      </w:r>
      <w:r w:rsidR="00073E0F">
        <w:rPr>
          <w:rFonts w:ascii="Times New Roman" w:hAnsi="Times New Roman" w:cs="Times New Roman"/>
        </w:rPr>
        <w:t xml:space="preserve">bility,” in </w:t>
      </w:r>
      <w:proofErr w:type="gramStart"/>
      <w:r w:rsidR="00073E0F" w:rsidRPr="00A429AA">
        <w:rPr>
          <w:rFonts w:ascii="Times New Roman" w:hAnsi="Times New Roman" w:cs="Times New Roman"/>
          <w:iCs/>
        </w:rPr>
        <w:t>Financial</w:t>
      </w:r>
      <w:proofErr w:type="gramEnd"/>
      <w:r w:rsidR="00073E0F" w:rsidRPr="00A429AA">
        <w:rPr>
          <w:rFonts w:ascii="Times New Roman" w:hAnsi="Times New Roman" w:cs="Times New Roman"/>
          <w:iCs/>
        </w:rPr>
        <w:t xml:space="preserve"> markets</w:t>
      </w:r>
      <w:r w:rsidR="00D25FED">
        <w:rPr>
          <w:rFonts w:ascii="Times New Roman" w:hAnsi="Times New Roman" w:cs="Times New Roman"/>
          <w:iCs/>
        </w:rPr>
        <w:t xml:space="preserve">, edited by </w:t>
      </w:r>
      <w:r w:rsidR="00D25FED" w:rsidRPr="00A429AA">
        <w:rPr>
          <w:rFonts w:ascii="Times New Roman" w:hAnsi="Times New Roman" w:cs="Times New Roman"/>
        </w:rPr>
        <w:t>D</w:t>
      </w:r>
      <w:r w:rsidR="00D25FED">
        <w:rPr>
          <w:rFonts w:ascii="Times New Roman" w:hAnsi="Times New Roman" w:cs="Times New Roman"/>
        </w:rPr>
        <w:t xml:space="preserve">. </w:t>
      </w:r>
      <w:r w:rsidR="00D25FED" w:rsidRPr="00A429AA">
        <w:rPr>
          <w:rFonts w:ascii="Times New Roman" w:hAnsi="Times New Roman" w:cs="Times New Roman"/>
        </w:rPr>
        <w:t>G</w:t>
      </w:r>
      <w:r w:rsidR="00D25FED">
        <w:rPr>
          <w:rFonts w:ascii="Times New Roman" w:hAnsi="Times New Roman" w:cs="Times New Roman"/>
        </w:rPr>
        <w:t>.</w:t>
      </w:r>
      <w:r w:rsidR="00D25FED" w:rsidRPr="00A429AA">
        <w:rPr>
          <w:rFonts w:ascii="Times New Roman" w:hAnsi="Times New Roman" w:cs="Times New Roman"/>
        </w:rPr>
        <w:t xml:space="preserve"> </w:t>
      </w:r>
      <w:r w:rsidR="00D25FED">
        <w:rPr>
          <w:rFonts w:ascii="Times New Roman" w:hAnsi="Times New Roman" w:cs="Times New Roman"/>
        </w:rPr>
        <w:t xml:space="preserve"> </w:t>
      </w:r>
      <w:proofErr w:type="spellStart"/>
      <w:r w:rsidR="00E16E0F" w:rsidRPr="00A429AA">
        <w:rPr>
          <w:rFonts w:ascii="Times New Roman" w:hAnsi="Times New Roman" w:cs="Times New Roman"/>
        </w:rPr>
        <w:t>Radoselovics</w:t>
      </w:r>
      <w:proofErr w:type="spellEnd"/>
      <w:r w:rsidR="00E16E0F" w:rsidRPr="00A429AA">
        <w:rPr>
          <w:rFonts w:ascii="Times New Roman" w:hAnsi="Times New Roman" w:cs="Times New Roman"/>
        </w:rPr>
        <w:t>,</w:t>
      </w:r>
      <w:r w:rsidR="00F56B72" w:rsidRPr="00A429AA">
        <w:rPr>
          <w:rFonts w:ascii="Times New Roman" w:hAnsi="Times New Roman" w:cs="Times New Roman"/>
        </w:rPr>
        <w:t xml:space="preserve"> </w:t>
      </w:r>
      <w:r w:rsidR="00D25FED" w:rsidRPr="00A429AA">
        <w:rPr>
          <w:rFonts w:ascii="Times New Roman" w:hAnsi="Times New Roman" w:cs="Times New Roman"/>
        </w:rPr>
        <w:t>P</w:t>
      </w:r>
      <w:r w:rsidR="00D25FED">
        <w:rPr>
          <w:rFonts w:ascii="Times New Roman" w:hAnsi="Times New Roman" w:cs="Times New Roman"/>
        </w:rPr>
        <w:t>.</w:t>
      </w:r>
      <w:r w:rsidR="0053241A">
        <w:rPr>
          <w:rFonts w:ascii="Times New Roman" w:hAnsi="Times New Roman" w:cs="Times New Roman"/>
        </w:rPr>
        <w:t xml:space="preserve"> </w:t>
      </w:r>
      <w:r w:rsidR="00D25FED" w:rsidRPr="00A429AA">
        <w:rPr>
          <w:rFonts w:ascii="Times New Roman" w:hAnsi="Times New Roman" w:cs="Times New Roman"/>
        </w:rPr>
        <w:t>J</w:t>
      </w:r>
      <w:r w:rsidR="00D25FED">
        <w:rPr>
          <w:rFonts w:ascii="Times New Roman" w:hAnsi="Times New Roman" w:cs="Times New Roman"/>
        </w:rPr>
        <w:t>.</w:t>
      </w:r>
      <w:r w:rsidR="00D25FED" w:rsidRPr="00A429AA">
        <w:rPr>
          <w:rFonts w:ascii="Times New Roman" w:hAnsi="Times New Roman" w:cs="Times New Roman"/>
        </w:rPr>
        <w:t xml:space="preserve"> </w:t>
      </w:r>
      <w:proofErr w:type="spellStart"/>
      <w:r w:rsidR="00F56B72" w:rsidRPr="00A429AA">
        <w:rPr>
          <w:rFonts w:ascii="Times New Roman" w:hAnsi="Times New Roman" w:cs="Times New Roman"/>
        </w:rPr>
        <w:t>Monsalvez</w:t>
      </w:r>
      <w:proofErr w:type="spellEnd"/>
      <w:r w:rsidR="00D25FED">
        <w:rPr>
          <w:rFonts w:ascii="Times New Roman" w:hAnsi="Times New Roman" w:cs="Times New Roman"/>
          <w:iCs/>
        </w:rPr>
        <w:t>,</w:t>
      </w:r>
      <w:r w:rsidR="00F56B72" w:rsidRPr="00A429AA">
        <w:rPr>
          <w:rFonts w:ascii="Times New Roman" w:hAnsi="Times New Roman" w:cs="Times New Roman"/>
          <w:i/>
          <w:iCs/>
        </w:rPr>
        <w:t xml:space="preserve"> </w:t>
      </w:r>
      <w:r w:rsidR="00261FF6" w:rsidRPr="00A429AA">
        <w:rPr>
          <w:rFonts w:ascii="Times New Roman" w:hAnsi="Times New Roman" w:cs="Times New Roman"/>
        </w:rPr>
        <w:t>Palgrave Macmillan,</w:t>
      </w:r>
      <w:r w:rsidR="007A6FEF">
        <w:rPr>
          <w:rFonts w:ascii="Times New Roman" w:hAnsi="Times New Roman" w:cs="Times New Roman"/>
        </w:rPr>
        <w:t xml:space="preserve"> </w:t>
      </w:r>
      <w:r w:rsidR="007F2542" w:rsidRPr="00A429AA">
        <w:rPr>
          <w:rFonts w:ascii="Times New Roman" w:hAnsi="Times New Roman" w:cs="Times New Roman"/>
        </w:rPr>
        <w:t>24-48</w:t>
      </w:r>
      <w:r w:rsidR="00D25FED">
        <w:rPr>
          <w:rFonts w:ascii="Times New Roman" w:hAnsi="Times New Roman" w:cs="Times New Roman"/>
        </w:rPr>
        <w:t>.</w:t>
      </w:r>
    </w:p>
    <w:p w14:paraId="685726EA" w14:textId="77777777" w:rsidR="00AF6062" w:rsidRPr="00A429AA" w:rsidRDefault="00AF6062" w:rsidP="00F56B72">
      <w:pPr>
        <w:spacing w:line="360" w:lineRule="auto"/>
        <w:rPr>
          <w:rFonts w:ascii="Times New Roman" w:hAnsi="Times New Roman" w:cs="Times New Roman"/>
        </w:rPr>
      </w:pPr>
    </w:p>
    <w:p w14:paraId="77A67646" w14:textId="4FEBDDF0" w:rsidR="00EB3AF2" w:rsidRPr="00A429AA" w:rsidRDefault="00EB3AF2" w:rsidP="00EB3AF2">
      <w:pPr>
        <w:autoSpaceDE w:val="0"/>
        <w:autoSpaceDN w:val="0"/>
        <w:adjustRightInd w:val="0"/>
        <w:spacing w:line="360" w:lineRule="auto"/>
        <w:rPr>
          <w:rFonts w:ascii="Times New Roman" w:hAnsi="Times New Roman" w:cs="Times New Roman"/>
          <w:lang w:val="en-US"/>
        </w:rPr>
      </w:pPr>
      <w:proofErr w:type="spellStart"/>
      <w:r w:rsidRPr="00C55484">
        <w:rPr>
          <w:rFonts w:ascii="Times New Roman" w:hAnsi="Times New Roman" w:cs="Times New Roman"/>
          <w:i/>
          <w:lang w:val="en-US"/>
        </w:rPr>
        <w:t>Lindgreen</w:t>
      </w:r>
      <w:proofErr w:type="spellEnd"/>
      <w:r w:rsidR="00C55484">
        <w:rPr>
          <w:rFonts w:ascii="Times New Roman" w:hAnsi="Times New Roman" w:cs="Times New Roman"/>
          <w:i/>
          <w:lang w:val="en-US"/>
        </w:rPr>
        <w:t>,</w:t>
      </w:r>
      <w:r w:rsidRPr="00A429AA">
        <w:rPr>
          <w:rFonts w:ascii="Times New Roman" w:hAnsi="Times New Roman" w:cs="Times New Roman"/>
          <w:lang w:val="en-US"/>
        </w:rPr>
        <w:t xml:space="preserve"> C</w:t>
      </w:r>
      <w:r w:rsidR="00C55484">
        <w:rPr>
          <w:rFonts w:ascii="Times New Roman" w:hAnsi="Times New Roman" w:cs="Times New Roman"/>
          <w:lang w:val="en-US"/>
        </w:rPr>
        <w:t>.</w:t>
      </w:r>
      <w:r w:rsidRPr="00A429AA">
        <w:rPr>
          <w:rFonts w:ascii="Times New Roman" w:hAnsi="Times New Roman" w:cs="Times New Roman"/>
          <w:lang w:val="en-US"/>
        </w:rPr>
        <w:t xml:space="preserve"> J</w:t>
      </w:r>
      <w:r w:rsidR="00C55484">
        <w:rPr>
          <w:rFonts w:ascii="Times New Roman" w:hAnsi="Times New Roman" w:cs="Times New Roman"/>
          <w:lang w:val="en-US"/>
        </w:rPr>
        <w:t>. /</w:t>
      </w:r>
      <w:r w:rsidRPr="00A429AA">
        <w:rPr>
          <w:rFonts w:ascii="Times New Roman" w:hAnsi="Times New Roman" w:cs="Times New Roman"/>
          <w:lang w:val="en-US"/>
        </w:rPr>
        <w:t xml:space="preserve"> </w:t>
      </w:r>
      <w:proofErr w:type="spellStart"/>
      <w:r w:rsidRPr="00C55484">
        <w:rPr>
          <w:rFonts w:ascii="Times New Roman" w:hAnsi="Times New Roman" w:cs="Times New Roman"/>
          <w:i/>
          <w:lang w:val="en-US"/>
        </w:rPr>
        <w:t>García</w:t>
      </w:r>
      <w:proofErr w:type="spellEnd"/>
      <w:r w:rsidR="00C55484">
        <w:rPr>
          <w:rFonts w:ascii="Times New Roman" w:hAnsi="Times New Roman" w:cs="Times New Roman"/>
          <w:lang w:val="en-US"/>
        </w:rPr>
        <w:t>, G. /</w:t>
      </w:r>
      <w:r w:rsidRPr="00A429AA">
        <w:rPr>
          <w:rFonts w:ascii="Times New Roman" w:hAnsi="Times New Roman" w:cs="Times New Roman"/>
          <w:lang w:val="en-US"/>
        </w:rPr>
        <w:t xml:space="preserve"> </w:t>
      </w:r>
      <w:proofErr w:type="spellStart"/>
      <w:r w:rsidRPr="00C55484">
        <w:rPr>
          <w:rFonts w:ascii="Times New Roman" w:hAnsi="Times New Roman" w:cs="Times New Roman"/>
          <w:i/>
          <w:lang w:val="en-US"/>
        </w:rPr>
        <w:t>Saal</w:t>
      </w:r>
      <w:proofErr w:type="spellEnd"/>
      <w:r w:rsidRPr="00A429AA">
        <w:rPr>
          <w:rFonts w:ascii="Times New Roman" w:hAnsi="Times New Roman" w:cs="Times New Roman"/>
          <w:lang w:val="en-US"/>
        </w:rPr>
        <w:t>, M</w:t>
      </w:r>
      <w:r w:rsidR="00C55484">
        <w:rPr>
          <w:rFonts w:ascii="Times New Roman" w:hAnsi="Times New Roman" w:cs="Times New Roman"/>
          <w:lang w:val="en-US"/>
        </w:rPr>
        <w:t>.</w:t>
      </w:r>
      <w:r w:rsidRPr="00A429AA">
        <w:rPr>
          <w:rFonts w:ascii="Times New Roman" w:hAnsi="Times New Roman" w:cs="Times New Roman"/>
          <w:lang w:val="en-US"/>
        </w:rPr>
        <w:t xml:space="preserve"> I</w:t>
      </w:r>
      <w:r w:rsidR="00C55484">
        <w:rPr>
          <w:rFonts w:ascii="Times New Roman" w:hAnsi="Times New Roman" w:cs="Times New Roman"/>
          <w:lang w:val="en-US"/>
        </w:rPr>
        <w:t>.</w:t>
      </w:r>
      <w:r w:rsidRPr="00A429AA">
        <w:rPr>
          <w:rFonts w:ascii="Times New Roman" w:hAnsi="Times New Roman" w:cs="Times New Roman"/>
          <w:lang w:val="en-US"/>
        </w:rPr>
        <w:t xml:space="preserve"> (1996)</w:t>
      </w:r>
      <w:r w:rsidR="00C55484">
        <w:rPr>
          <w:rFonts w:ascii="Times New Roman" w:hAnsi="Times New Roman" w:cs="Times New Roman"/>
          <w:lang w:val="en-US"/>
        </w:rPr>
        <w:t>:</w:t>
      </w:r>
      <w:r w:rsidRPr="00A429AA">
        <w:rPr>
          <w:rFonts w:ascii="Times New Roman" w:hAnsi="Times New Roman" w:cs="Times New Roman"/>
          <w:lang w:val="en-US"/>
        </w:rPr>
        <w:t xml:space="preserve"> </w:t>
      </w:r>
      <w:r w:rsidR="00C55484">
        <w:rPr>
          <w:rFonts w:ascii="Times New Roman" w:hAnsi="Times New Roman" w:cs="Times New Roman"/>
          <w:lang w:val="en-US"/>
        </w:rPr>
        <w:t>“</w:t>
      </w:r>
      <w:r w:rsidRPr="00A429AA">
        <w:rPr>
          <w:rFonts w:ascii="Times New Roman" w:hAnsi="Times New Roman" w:cs="Times New Roman"/>
          <w:lang w:val="en-US"/>
        </w:rPr>
        <w:t>Bank sou</w:t>
      </w:r>
      <w:r w:rsidR="00C55484">
        <w:rPr>
          <w:rFonts w:ascii="Times New Roman" w:hAnsi="Times New Roman" w:cs="Times New Roman"/>
          <w:lang w:val="en-US"/>
        </w:rPr>
        <w:t>ndness and macroeconomic policy,”</w:t>
      </w:r>
      <w:r w:rsidRPr="00A429AA">
        <w:rPr>
          <w:rFonts w:ascii="Times New Roman" w:hAnsi="Times New Roman" w:cs="Times New Roman"/>
          <w:lang w:val="en-US"/>
        </w:rPr>
        <w:t xml:space="preserve"> International Monetary Fund</w:t>
      </w:r>
      <w:r w:rsidR="00C55484">
        <w:rPr>
          <w:rFonts w:ascii="Times New Roman" w:hAnsi="Times New Roman" w:cs="Times New Roman"/>
          <w:lang w:val="en-US"/>
        </w:rPr>
        <w:t>.</w:t>
      </w:r>
    </w:p>
    <w:p w14:paraId="03E4B2A7" w14:textId="77777777" w:rsidR="00EB3AF2" w:rsidRPr="00A429AA" w:rsidRDefault="00EB3AF2" w:rsidP="00F56B72">
      <w:pPr>
        <w:spacing w:line="360" w:lineRule="auto"/>
        <w:rPr>
          <w:rFonts w:ascii="Times New Roman" w:hAnsi="Times New Roman" w:cs="Times New Roman"/>
        </w:rPr>
      </w:pPr>
    </w:p>
    <w:p w14:paraId="5A662883" w14:textId="2450DB61" w:rsidR="009D69B3" w:rsidRPr="00A429AA" w:rsidRDefault="009D69B3" w:rsidP="009D69B3">
      <w:pPr>
        <w:autoSpaceDE w:val="0"/>
        <w:autoSpaceDN w:val="0"/>
        <w:adjustRightInd w:val="0"/>
        <w:spacing w:line="360" w:lineRule="auto"/>
        <w:rPr>
          <w:rFonts w:ascii="Times New Roman" w:hAnsi="Times New Roman" w:cs="Times New Roman"/>
          <w:lang w:val="en-US"/>
        </w:rPr>
      </w:pPr>
      <w:proofErr w:type="spellStart"/>
      <w:r w:rsidRPr="00C14172">
        <w:rPr>
          <w:rFonts w:ascii="Times New Roman" w:hAnsi="Times New Roman" w:cs="Times New Roman"/>
          <w:i/>
          <w:lang w:val="en-US"/>
        </w:rPr>
        <w:lastRenderedPageBreak/>
        <w:t>Llaudes</w:t>
      </w:r>
      <w:proofErr w:type="spellEnd"/>
      <w:r w:rsidR="00C14172">
        <w:rPr>
          <w:rFonts w:ascii="Times New Roman" w:hAnsi="Times New Roman" w:cs="Times New Roman"/>
          <w:i/>
          <w:lang w:val="en-US"/>
        </w:rPr>
        <w:t>,</w:t>
      </w:r>
      <w:r w:rsidR="00C14172">
        <w:rPr>
          <w:rFonts w:ascii="Times New Roman" w:hAnsi="Times New Roman" w:cs="Times New Roman"/>
          <w:lang w:val="en-US"/>
        </w:rPr>
        <w:t xml:space="preserve"> L. /</w:t>
      </w:r>
      <w:r w:rsidRPr="00A429AA">
        <w:rPr>
          <w:rFonts w:ascii="Times New Roman" w:hAnsi="Times New Roman" w:cs="Times New Roman"/>
          <w:lang w:val="en-US"/>
        </w:rPr>
        <w:t xml:space="preserve"> </w:t>
      </w:r>
      <w:r w:rsidRPr="00C14172">
        <w:rPr>
          <w:rFonts w:ascii="Times New Roman" w:hAnsi="Times New Roman" w:cs="Times New Roman"/>
          <w:i/>
          <w:lang w:val="en-US"/>
        </w:rPr>
        <w:t>Salman</w:t>
      </w:r>
      <w:r w:rsidR="00C14172">
        <w:rPr>
          <w:rFonts w:ascii="Times New Roman" w:hAnsi="Times New Roman" w:cs="Times New Roman"/>
          <w:i/>
          <w:lang w:val="en-US"/>
        </w:rPr>
        <w:t>,</w:t>
      </w:r>
      <w:r w:rsidR="00C14172">
        <w:rPr>
          <w:rFonts w:ascii="Times New Roman" w:hAnsi="Times New Roman" w:cs="Times New Roman"/>
          <w:lang w:val="en-US"/>
        </w:rPr>
        <w:t xml:space="preserve"> F. /</w:t>
      </w:r>
      <w:r w:rsidRPr="00A429AA">
        <w:rPr>
          <w:rFonts w:ascii="Times New Roman" w:hAnsi="Times New Roman" w:cs="Times New Roman"/>
          <w:lang w:val="en-US"/>
        </w:rPr>
        <w:t xml:space="preserve"> </w:t>
      </w:r>
      <w:proofErr w:type="spellStart"/>
      <w:r w:rsidRPr="00C14172">
        <w:rPr>
          <w:rFonts w:ascii="Times New Roman" w:hAnsi="Times New Roman" w:cs="Times New Roman"/>
          <w:i/>
          <w:lang w:val="en-US"/>
        </w:rPr>
        <w:t>Chivakul</w:t>
      </w:r>
      <w:proofErr w:type="spellEnd"/>
      <w:r w:rsidR="00C14172">
        <w:rPr>
          <w:rFonts w:ascii="Times New Roman" w:hAnsi="Times New Roman" w:cs="Times New Roman"/>
          <w:i/>
          <w:lang w:val="en-US"/>
        </w:rPr>
        <w:t>,</w:t>
      </w:r>
      <w:r w:rsidRPr="00A429AA">
        <w:rPr>
          <w:rFonts w:ascii="Times New Roman" w:hAnsi="Times New Roman" w:cs="Times New Roman"/>
          <w:lang w:val="en-US"/>
        </w:rPr>
        <w:t xml:space="preserve"> M</w:t>
      </w:r>
      <w:r w:rsidR="00C14172">
        <w:rPr>
          <w:rFonts w:ascii="Times New Roman" w:hAnsi="Times New Roman" w:cs="Times New Roman"/>
          <w:lang w:val="en-US"/>
        </w:rPr>
        <w:t>.</w:t>
      </w:r>
      <w:r w:rsidRPr="00A429AA">
        <w:rPr>
          <w:rFonts w:ascii="Times New Roman" w:hAnsi="Times New Roman" w:cs="Times New Roman"/>
          <w:lang w:val="en-US"/>
        </w:rPr>
        <w:t xml:space="preserve"> (2010)</w:t>
      </w:r>
      <w:r w:rsidR="00C14172">
        <w:rPr>
          <w:rFonts w:ascii="Times New Roman" w:hAnsi="Times New Roman" w:cs="Times New Roman"/>
          <w:lang w:val="en-US"/>
        </w:rPr>
        <w:t>:</w:t>
      </w:r>
      <w:r w:rsidRPr="00A429AA">
        <w:rPr>
          <w:rFonts w:ascii="Times New Roman" w:hAnsi="Times New Roman" w:cs="Times New Roman"/>
          <w:lang w:val="en-US"/>
        </w:rPr>
        <w:t xml:space="preserve"> </w:t>
      </w:r>
      <w:r w:rsidR="00C14172">
        <w:rPr>
          <w:rFonts w:ascii="Times New Roman" w:hAnsi="Times New Roman" w:cs="Times New Roman"/>
          <w:lang w:val="en-US"/>
        </w:rPr>
        <w:t>“</w:t>
      </w:r>
      <w:r w:rsidRPr="00A429AA">
        <w:rPr>
          <w:rFonts w:ascii="Times New Roman" w:hAnsi="Times New Roman" w:cs="Times New Roman"/>
          <w:lang w:val="en-US"/>
        </w:rPr>
        <w:t>The impact of the grea</w:t>
      </w:r>
      <w:r w:rsidR="00C14172">
        <w:rPr>
          <w:rFonts w:ascii="Times New Roman" w:hAnsi="Times New Roman" w:cs="Times New Roman"/>
          <w:lang w:val="en-US"/>
        </w:rPr>
        <w:t>t recession on emerging markets,”</w:t>
      </w:r>
      <w:r w:rsidRPr="00A429AA">
        <w:rPr>
          <w:rFonts w:ascii="Times New Roman" w:hAnsi="Times New Roman" w:cs="Times New Roman"/>
          <w:lang w:val="en-US"/>
        </w:rPr>
        <w:t xml:space="preserve"> IMF Working Paper 10/237</w:t>
      </w:r>
      <w:r w:rsidR="00C14172">
        <w:rPr>
          <w:rFonts w:ascii="Times New Roman" w:hAnsi="Times New Roman" w:cs="Times New Roman"/>
          <w:lang w:val="en-US"/>
        </w:rPr>
        <w:t>.</w:t>
      </w:r>
    </w:p>
    <w:p w14:paraId="3BC6F307" w14:textId="77777777" w:rsidR="009D69B3" w:rsidRPr="00A429AA" w:rsidRDefault="009D69B3" w:rsidP="00F56B72">
      <w:pPr>
        <w:spacing w:line="360" w:lineRule="auto"/>
        <w:rPr>
          <w:rFonts w:ascii="Times New Roman" w:hAnsi="Times New Roman" w:cs="Times New Roman"/>
        </w:rPr>
      </w:pPr>
    </w:p>
    <w:p w14:paraId="2E302CC9" w14:textId="779FB9FD" w:rsidR="0011642F" w:rsidRPr="00A429AA" w:rsidRDefault="00F56B72" w:rsidP="0011642F">
      <w:pPr>
        <w:spacing w:line="360" w:lineRule="auto"/>
        <w:rPr>
          <w:rFonts w:ascii="Times New Roman" w:hAnsi="Times New Roman" w:cs="Times New Roman"/>
          <w:u w:val="single"/>
        </w:rPr>
      </w:pPr>
      <w:r w:rsidRPr="004269A3">
        <w:rPr>
          <w:rFonts w:ascii="Times New Roman" w:hAnsi="Times New Roman" w:cs="Times New Roman"/>
          <w:i/>
        </w:rPr>
        <w:t>National Ban</w:t>
      </w:r>
      <w:r w:rsidR="0011642F" w:rsidRPr="004269A3">
        <w:rPr>
          <w:rFonts w:ascii="Times New Roman" w:hAnsi="Times New Roman" w:cs="Times New Roman"/>
          <w:i/>
        </w:rPr>
        <w:t>k of Belgium</w:t>
      </w:r>
      <w:r w:rsidR="004269A3">
        <w:rPr>
          <w:rFonts w:ascii="Times New Roman" w:hAnsi="Times New Roman" w:cs="Times New Roman"/>
          <w:i/>
        </w:rPr>
        <w:t>.</w:t>
      </w:r>
      <w:r w:rsidR="0011642F" w:rsidRPr="00A429AA">
        <w:rPr>
          <w:rFonts w:ascii="Times New Roman" w:hAnsi="Times New Roman" w:cs="Times New Roman"/>
        </w:rPr>
        <w:t xml:space="preserve"> (2008)</w:t>
      </w:r>
      <w:r w:rsidR="004269A3">
        <w:rPr>
          <w:rFonts w:ascii="Times New Roman" w:hAnsi="Times New Roman" w:cs="Times New Roman"/>
        </w:rPr>
        <w:t>:</w:t>
      </w:r>
      <w:r w:rsidRPr="00A429AA">
        <w:rPr>
          <w:rFonts w:ascii="Times New Roman" w:hAnsi="Times New Roman" w:cs="Times New Roman"/>
        </w:rPr>
        <w:t xml:space="preserve"> </w:t>
      </w:r>
      <w:r w:rsidRPr="00A429AA">
        <w:rPr>
          <w:rFonts w:ascii="Times New Roman" w:hAnsi="Times New Roman" w:cs="Times New Roman"/>
          <w:iCs/>
        </w:rPr>
        <w:t>Financial Stability Review 2008</w:t>
      </w:r>
      <w:r w:rsidR="004269A3">
        <w:rPr>
          <w:rFonts w:ascii="Times New Roman" w:hAnsi="Times New Roman" w:cs="Times New Roman"/>
          <w:i/>
          <w:iCs/>
        </w:rPr>
        <w:t>,</w:t>
      </w:r>
      <w:r w:rsidRPr="00A429AA">
        <w:rPr>
          <w:rFonts w:ascii="Times New Roman" w:hAnsi="Times New Roman" w:cs="Times New Roman"/>
          <w:i/>
          <w:iCs/>
        </w:rPr>
        <w:t xml:space="preserve"> </w:t>
      </w:r>
      <w:hyperlink r:id="rId45" w:history="1">
        <w:r w:rsidR="00AF6062" w:rsidRPr="00A429AA">
          <w:rPr>
            <w:rStyle w:val="Hyperlink"/>
            <w:rFonts w:ascii="Times New Roman" w:hAnsi="Times New Roman" w:cs="Times New Roman"/>
            <w:color w:val="auto"/>
          </w:rPr>
          <w:t>http://www.nbb.be/doc/ts/Publications/FSR/FSR2008EN.pdf</w:t>
        </w:r>
      </w:hyperlink>
      <w:r w:rsidR="0011642F" w:rsidRPr="00A429AA">
        <w:rPr>
          <w:rFonts w:ascii="Times New Roman" w:hAnsi="Times New Roman" w:cs="Times New Roman"/>
          <w:u w:val="single"/>
        </w:rPr>
        <w:t>.</w:t>
      </w:r>
      <w:r w:rsidR="0011642F" w:rsidRPr="00A429AA">
        <w:rPr>
          <w:rFonts w:ascii="Times New Roman" w:hAnsi="Times New Roman" w:cs="Times New Roman"/>
        </w:rPr>
        <w:t xml:space="preserve"> Accessed 17 January 2016</w:t>
      </w:r>
      <w:r w:rsidR="004269A3">
        <w:rPr>
          <w:rFonts w:ascii="Times New Roman" w:hAnsi="Times New Roman" w:cs="Times New Roman"/>
        </w:rPr>
        <w:t>.</w:t>
      </w:r>
    </w:p>
    <w:p w14:paraId="727CC150" w14:textId="77777777" w:rsidR="00AF6062" w:rsidRPr="00A429AA" w:rsidRDefault="00AF6062" w:rsidP="00F56B72">
      <w:pPr>
        <w:spacing w:line="360" w:lineRule="auto"/>
        <w:rPr>
          <w:rFonts w:ascii="Times New Roman" w:hAnsi="Times New Roman" w:cs="Times New Roman"/>
        </w:rPr>
      </w:pPr>
    </w:p>
    <w:p w14:paraId="4F48C0DC" w14:textId="1B892395" w:rsidR="0011642F" w:rsidRPr="00A429AA" w:rsidRDefault="0011642F" w:rsidP="0011642F">
      <w:pPr>
        <w:spacing w:line="360" w:lineRule="auto"/>
        <w:rPr>
          <w:rFonts w:ascii="Times New Roman" w:hAnsi="Times New Roman" w:cs="Times New Roman"/>
          <w:u w:val="single"/>
        </w:rPr>
      </w:pPr>
      <w:r w:rsidRPr="00624140">
        <w:rPr>
          <w:rFonts w:ascii="Times New Roman" w:hAnsi="Times New Roman" w:cs="Times New Roman"/>
          <w:i/>
        </w:rPr>
        <w:t>OECD</w:t>
      </w:r>
      <w:r w:rsidR="00624140">
        <w:rPr>
          <w:rFonts w:ascii="Times New Roman" w:hAnsi="Times New Roman" w:cs="Times New Roman"/>
          <w:i/>
        </w:rPr>
        <w:t>,</w:t>
      </w:r>
      <w:r w:rsidRPr="00A429AA">
        <w:rPr>
          <w:rFonts w:ascii="Times New Roman" w:hAnsi="Times New Roman" w:cs="Times New Roman"/>
        </w:rPr>
        <w:t xml:space="preserve"> (2009 June)</w:t>
      </w:r>
      <w:r w:rsidR="00624140">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OECD Economic Surveys. Italy</w:t>
      </w:r>
      <w:r w:rsidR="00624140">
        <w:rPr>
          <w:rFonts w:ascii="Times New Roman" w:hAnsi="Times New Roman" w:cs="Times New Roman"/>
          <w:iCs/>
        </w:rPr>
        <w:t>,</w:t>
      </w:r>
      <w:r w:rsidRPr="00A429AA">
        <w:rPr>
          <w:rFonts w:ascii="Times New Roman" w:hAnsi="Times New Roman" w:cs="Times New Roman"/>
          <w:iCs/>
        </w:rPr>
        <w:t xml:space="preserve"> </w:t>
      </w:r>
      <w:hyperlink r:id="rId46" w:anchor="page2" w:history="1">
        <w:r w:rsidR="00AF6062" w:rsidRPr="00A429AA">
          <w:rPr>
            <w:rStyle w:val="Hyperlink"/>
            <w:rFonts w:ascii="Times New Roman" w:hAnsi="Times New Roman" w:cs="Times New Roman"/>
            <w:color w:val="auto"/>
          </w:rPr>
          <w:t>http://www.keepeek.com/Digital-Asset-Management/oecd/economics/oecd-economic-surveys-italy-2009_eco_surveys-ita-2009-en#page2</w:t>
        </w:r>
      </w:hyperlink>
      <w:r w:rsidRPr="00A429AA">
        <w:rPr>
          <w:rFonts w:ascii="Times New Roman" w:hAnsi="Times New Roman" w:cs="Times New Roman"/>
          <w:u w:val="single"/>
        </w:rPr>
        <w:t>.</w:t>
      </w:r>
      <w:r w:rsidRPr="00A429AA">
        <w:rPr>
          <w:rFonts w:ascii="Times New Roman" w:hAnsi="Times New Roman" w:cs="Times New Roman"/>
        </w:rPr>
        <w:t xml:space="preserve"> Accessed 18 January 2016</w:t>
      </w:r>
      <w:r w:rsidR="00624140">
        <w:rPr>
          <w:rFonts w:ascii="Times New Roman" w:hAnsi="Times New Roman" w:cs="Times New Roman"/>
        </w:rPr>
        <w:t>.</w:t>
      </w:r>
    </w:p>
    <w:p w14:paraId="5D8EAC87" w14:textId="77777777" w:rsidR="00AF6062" w:rsidRPr="00A429AA" w:rsidRDefault="00AF6062" w:rsidP="00F56B72">
      <w:pPr>
        <w:spacing w:line="360" w:lineRule="auto"/>
        <w:rPr>
          <w:rFonts w:ascii="Times New Roman" w:hAnsi="Times New Roman" w:cs="Times New Roman"/>
        </w:rPr>
      </w:pPr>
    </w:p>
    <w:p w14:paraId="2E858AFF" w14:textId="2DA7141D" w:rsidR="00F56B72" w:rsidRPr="00A429AA" w:rsidRDefault="00981857" w:rsidP="00F56B72">
      <w:pPr>
        <w:spacing w:line="360" w:lineRule="auto"/>
        <w:rPr>
          <w:rFonts w:ascii="Times New Roman" w:hAnsi="Times New Roman" w:cs="Times New Roman"/>
          <w:u w:val="single"/>
        </w:rPr>
      </w:pPr>
      <w:r w:rsidRPr="00736E0B">
        <w:rPr>
          <w:rFonts w:ascii="Times New Roman" w:hAnsi="Times New Roman" w:cs="Times New Roman"/>
          <w:i/>
        </w:rPr>
        <w:t>OECD</w:t>
      </w:r>
      <w:r w:rsidR="00736E0B">
        <w:rPr>
          <w:rFonts w:ascii="Times New Roman" w:hAnsi="Times New Roman" w:cs="Times New Roman"/>
          <w:i/>
        </w:rPr>
        <w:t>.</w:t>
      </w:r>
      <w:r w:rsidRPr="00A429AA">
        <w:rPr>
          <w:rFonts w:ascii="Times New Roman" w:hAnsi="Times New Roman" w:cs="Times New Roman"/>
        </w:rPr>
        <w:t xml:space="preserve"> (2009 November)</w:t>
      </w:r>
      <w:r w:rsidR="00736E0B">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OECD Economic Surveys: Denmark 2009 Denmark: the crisis and beyond</w:t>
      </w:r>
      <w:r w:rsidR="00736E0B">
        <w:rPr>
          <w:rFonts w:ascii="Times New Roman" w:hAnsi="Times New Roman" w:cs="Times New Roman"/>
          <w:i/>
          <w:iCs/>
        </w:rPr>
        <w:t>,</w:t>
      </w:r>
      <w:r w:rsidR="00F56B72" w:rsidRPr="00A429AA">
        <w:rPr>
          <w:rFonts w:ascii="Times New Roman" w:hAnsi="Times New Roman" w:cs="Times New Roman"/>
          <w:i/>
          <w:iCs/>
        </w:rPr>
        <w:t xml:space="preserve"> </w:t>
      </w:r>
      <w:hyperlink r:id="rId47" w:history="1">
        <w:r w:rsidR="00AF6062" w:rsidRPr="00A429AA">
          <w:rPr>
            <w:rStyle w:val="Hyperlink"/>
            <w:rFonts w:ascii="Times New Roman" w:hAnsi="Times New Roman" w:cs="Times New Roman"/>
            <w:color w:val="auto"/>
          </w:rPr>
          <w:t>http://www.oecd-ilibrary.org/economics/oecd-economic-surveys-denmark-2009_eco_surveys-dnk-2009-en</w:t>
        </w:r>
      </w:hyperlink>
      <w:r w:rsidRPr="00A429AA">
        <w:rPr>
          <w:rFonts w:ascii="Times New Roman" w:hAnsi="Times New Roman" w:cs="Times New Roman"/>
          <w:u w:val="single"/>
        </w:rPr>
        <w:t>.</w:t>
      </w:r>
      <w:r w:rsidRPr="00A429AA">
        <w:rPr>
          <w:rFonts w:ascii="Times New Roman" w:hAnsi="Times New Roman" w:cs="Times New Roman"/>
        </w:rPr>
        <w:t xml:space="preserve"> Accessed 10 January 2016</w:t>
      </w:r>
      <w:r w:rsidR="00FD3B57">
        <w:rPr>
          <w:rFonts w:ascii="Times New Roman" w:hAnsi="Times New Roman" w:cs="Times New Roman"/>
        </w:rPr>
        <w:t>.</w:t>
      </w:r>
    </w:p>
    <w:p w14:paraId="7ADDFF56" w14:textId="77777777" w:rsidR="00AF6062" w:rsidRPr="00A429AA" w:rsidRDefault="00AF6062" w:rsidP="00F56B72">
      <w:pPr>
        <w:spacing w:line="360" w:lineRule="auto"/>
        <w:rPr>
          <w:rFonts w:ascii="Times New Roman" w:hAnsi="Times New Roman" w:cs="Times New Roman"/>
        </w:rPr>
      </w:pPr>
    </w:p>
    <w:p w14:paraId="54322836" w14:textId="035CCA78" w:rsidR="00F56B72" w:rsidRPr="00A429AA" w:rsidRDefault="0026151E" w:rsidP="00F56B72">
      <w:pPr>
        <w:spacing w:line="360" w:lineRule="auto"/>
        <w:rPr>
          <w:rFonts w:ascii="Times New Roman" w:hAnsi="Times New Roman" w:cs="Times New Roman"/>
          <w:u w:val="single"/>
        </w:rPr>
      </w:pPr>
      <w:r w:rsidRPr="004911DD">
        <w:rPr>
          <w:rFonts w:ascii="Times New Roman" w:hAnsi="Times New Roman" w:cs="Times New Roman"/>
          <w:i/>
        </w:rPr>
        <w:t>OECD</w:t>
      </w:r>
      <w:r w:rsidR="004911DD">
        <w:rPr>
          <w:rFonts w:ascii="Times New Roman" w:hAnsi="Times New Roman" w:cs="Times New Roman"/>
          <w:i/>
        </w:rPr>
        <w:t>.</w:t>
      </w:r>
      <w:r w:rsidRPr="00A429AA">
        <w:rPr>
          <w:rFonts w:ascii="Times New Roman" w:hAnsi="Times New Roman" w:cs="Times New Roman"/>
        </w:rPr>
        <w:t xml:space="preserve"> (2009)</w:t>
      </w:r>
      <w:r w:rsidR="00FD3B57">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OECD Economic Surveys United Kingdom</w:t>
      </w:r>
      <w:r w:rsidR="00FD3B57">
        <w:rPr>
          <w:rFonts w:ascii="Times New Roman" w:hAnsi="Times New Roman" w:cs="Times New Roman"/>
          <w:b/>
          <w:i/>
          <w:iCs/>
        </w:rPr>
        <w:t>,</w:t>
      </w:r>
      <w:r w:rsidR="00F56B72" w:rsidRPr="00A429AA">
        <w:rPr>
          <w:rFonts w:ascii="Times New Roman" w:hAnsi="Times New Roman" w:cs="Times New Roman"/>
          <w:b/>
          <w:i/>
          <w:iCs/>
        </w:rPr>
        <w:t xml:space="preserve"> </w:t>
      </w:r>
      <w:hyperlink r:id="rId48" w:history="1">
        <w:r w:rsidR="00AF6062" w:rsidRPr="00A429AA">
          <w:rPr>
            <w:rStyle w:val="Hyperlink"/>
            <w:rFonts w:ascii="Times New Roman" w:hAnsi="Times New Roman" w:cs="Times New Roman"/>
            <w:color w:val="auto"/>
          </w:rPr>
          <w:t>http://www.oecd-ilibrary.org/economics/oecd-economic-surveys-united-kingdom-2009_eco_surveys-gbr-2009-en</w:t>
        </w:r>
      </w:hyperlink>
      <w:r w:rsidRPr="00A429AA">
        <w:rPr>
          <w:rFonts w:ascii="Times New Roman" w:hAnsi="Times New Roman" w:cs="Times New Roman"/>
          <w:u w:val="single"/>
        </w:rPr>
        <w:t>.</w:t>
      </w:r>
      <w:r w:rsidRPr="00A429AA">
        <w:rPr>
          <w:rFonts w:ascii="Times New Roman" w:hAnsi="Times New Roman" w:cs="Times New Roman"/>
        </w:rPr>
        <w:t xml:space="preserve"> Accessed 15 January 2016</w:t>
      </w:r>
      <w:r w:rsidR="00FD3B57">
        <w:rPr>
          <w:rFonts w:ascii="Times New Roman" w:hAnsi="Times New Roman" w:cs="Times New Roman"/>
        </w:rPr>
        <w:t>.</w:t>
      </w:r>
    </w:p>
    <w:p w14:paraId="48AF4155" w14:textId="77777777" w:rsidR="00AF6062" w:rsidRPr="00A429AA" w:rsidRDefault="00AF6062" w:rsidP="00F56B72">
      <w:pPr>
        <w:spacing w:line="360" w:lineRule="auto"/>
        <w:rPr>
          <w:rFonts w:ascii="Times New Roman" w:hAnsi="Times New Roman" w:cs="Times New Roman"/>
        </w:rPr>
      </w:pPr>
    </w:p>
    <w:p w14:paraId="0C10496B" w14:textId="7497F6C7" w:rsidR="0026151E" w:rsidRPr="00A429AA" w:rsidRDefault="0026151E" w:rsidP="0026151E">
      <w:pPr>
        <w:spacing w:line="360" w:lineRule="auto"/>
        <w:rPr>
          <w:rFonts w:ascii="Times New Roman" w:hAnsi="Times New Roman" w:cs="Times New Roman"/>
          <w:u w:val="single"/>
        </w:rPr>
      </w:pPr>
      <w:r w:rsidRPr="004911DD">
        <w:rPr>
          <w:rFonts w:ascii="Times New Roman" w:hAnsi="Times New Roman" w:cs="Times New Roman"/>
          <w:i/>
        </w:rPr>
        <w:t>OECD</w:t>
      </w:r>
      <w:r w:rsidR="004911DD">
        <w:rPr>
          <w:rFonts w:ascii="Times New Roman" w:hAnsi="Times New Roman" w:cs="Times New Roman"/>
          <w:i/>
        </w:rPr>
        <w:t>.</w:t>
      </w:r>
      <w:r w:rsidRPr="00A429AA">
        <w:rPr>
          <w:rFonts w:ascii="Times New Roman" w:hAnsi="Times New Roman" w:cs="Times New Roman"/>
        </w:rPr>
        <w:t xml:space="preserve"> (2009)</w:t>
      </w:r>
      <w:r w:rsidR="004911DD">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OECD Economic Surveys: Belgium 2009. Coping with the crisis while pursuing structural reforms</w:t>
      </w:r>
      <w:r w:rsidR="004911DD">
        <w:rPr>
          <w:rFonts w:ascii="Times New Roman" w:hAnsi="Times New Roman" w:cs="Times New Roman"/>
          <w:i/>
          <w:iCs/>
        </w:rPr>
        <w:t>,</w:t>
      </w:r>
      <w:r w:rsidR="00F56B72" w:rsidRPr="00A429AA">
        <w:rPr>
          <w:rFonts w:ascii="Times New Roman" w:hAnsi="Times New Roman" w:cs="Times New Roman"/>
          <w:i/>
          <w:iCs/>
        </w:rPr>
        <w:t xml:space="preserve"> </w:t>
      </w:r>
      <w:hyperlink r:id="rId49" w:history="1">
        <w:r w:rsidRPr="00A429AA">
          <w:rPr>
            <w:rStyle w:val="Hyperlink"/>
            <w:rFonts w:ascii="Times New Roman" w:hAnsi="Times New Roman" w:cs="Times New Roman"/>
            <w:color w:val="auto"/>
          </w:rPr>
          <w:t>http://www.oecd-ilibrary.org/economics/oecd-economic-surveys-belgium-2009/coping-with-the-crisis-while-pursuing-structural-reforms_eco_surveys-bel-2009-3-en</w:t>
        </w:r>
      </w:hyperlink>
      <w:r w:rsidRPr="00A429AA">
        <w:rPr>
          <w:rFonts w:ascii="Times New Roman" w:hAnsi="Times New Roman" w:cs="Times New Roman"/>
          <w:u w:val="single"/>
        </w:rPr>
        <w:t>.</w:t>
      </w:r>
      <w:r w:rsidRPr="00A429AA">
        <w:rPr>
          <w:rFonts w:ascii="Times New Roman" w:hAnsi="Times New Roman" w:cs="Times New Roman"/>
        </w:rPr>
        <w:t xml:space="preserve"> Accessed 22 January 2016</w:t>
      </w:r>
      <w:r w:rsidR="004911DD">
        <w:rPr>
          <w:rFonts w:ascii="Times New Roman" w:hAnsi="Times New Roman" w:cs="Times New Roman"/>
        </w:rPr>
        <w:t>.</w:t>
      </w:r>
    </w:p>
    <w:p w14:paraId="3838A674" w14:textId="77777777" w:rsidR="00AF6062" w:rsidRPr="00A429AA" w:rsidRDefault="00AF6062" w:rsidP="00F56B72">
      <w:pPr>
        <w:spacing w:line="360" w:lineRule="auto"/>
        <w:rPr>
          <w:rFonts w:ascii="Times New Roman" w:hAnsi="Times New Roman" w:cs="Times New Roman"/>
        </w:rPr>
      </w:pPr>
    </w:p>
    <w:p w14:paraId="65DD32C4" w14:textId="62CA0402" w:rsidR="004C14A2" w:rsidRPr="00A429AA" w:rsidRDefault="004C14A2" w:rsidP="004C14A2">
      <w:pPr>
        <w:autoSpaceDE w:val="0"/>
        <w:autoSpaceDN w:val="0"/>
        <w:adjustRightInd w:val="0"/>
        <w:spacing w:line="360" w:lineRule="auto"/>
        <w:rPr>
          <w:rFonts w:ascii="Times New Roman" w:hAnsi="Times New Roman" w:cs="Times New Roman"/>
          <w:lang w:val="en-US"/>
        </w:rPr>
      </w:pPr>
      <w:proofErr w:type="spellStart"/>
      <w:r w:rsidRPr="00D07876">
        <w:rPr>
          <w:rFonts w:ascii="Times New Roman" w:hAnsi="Times New Roman" w:cs="Times New Roman"/>
          <w:i/>
          <w:lang w:val="en-US"/>
        </w:rPr>
        <w:t>Pericoli</w:t>
      </w:r>
      <w:proofErr w:type="spellEnd"/>
      <w:r w:rsidR="00D07876">
        <w:rPr>
          <w:rFonts w:ascii="Times New Roman" w:hAnsi="Times New Roman" w:cs="Times New Roman"/>
          <w:i/>
          <w:lang w:val="en-US"/>
        </w:rPr>
        <w:t>,</w:t>
      </w:r>
      <w:r w:rsidR="00D07876">
        <w:rPr>
          <w:rFonts w:ascii="Times New Roman" w:hAnsi="Times New Roman" w:cs="Times New Roman"/>
          <w:lang w:val="en-US"/>
        </w:rPr>
        <w:t xml:space="preserve"> M. /</w:t>
      </w:r>
      <w:r w:rsidRPr="00A429AA">
        <w:rPr>
          <w:rFonts w:ascii="Times New Roman" w:hAnsi="Times New Roman" w:cs="Times New Roman"/>
          <w:lang w:val="en-US"/>
        </w:rPr>
        <w:t xml:space="preserve"> </w:t>
      </w:r>
      <w:proofErr w:type="spellStart"/>
      <w:r w:rsidRPr="00D07876">
        <w:rPr>
          <w:rFonts w:ascii="Times New Roman" w:hAnsi="Times New Roman" w:cs="Times New Roman"/>
          <w:i/>
          <w:lang w:val="en-US"/>
        </w:rPr>
        <w:t>Sbracia</w:t>
      </w:r>
      <w:proofErr w:type="spellEnd"/>
      <w:r w:rsidR="00D07876">
        <w:rPr>
          <w:rFonts w:ascii="Times New Roman" w:hAnsi="Times New Roman" w:cs="Times New Roman"/>
          <w:i/>
          <w:lang w:val="en-US"/>
        </w:rPr>
        <w:t>,</w:t>
      </w:r>
      <w:r w:rsidRPr="00A429AA">
        <w:rPr>
          <w:rFonts w:ascii="Times New Roman" w:hAnsi="Times New Roman" w:cs="Times New Roman"/>
          <w:lang w:val="en-US"/>
        </w:rPr>
        <w:t xml:space="preserve"> M</w:t>
      </w:r>
      <w:r w:rsidR="00D07876">
        <w:rPr>
          <w:rFonts w:ascii="Times New Roman" w:hAnsi="Times New Roman" w:cs="Times New Roman"/>
          <w:lang w:val="en-US"/>
        </w:rPr>
        <w:t>.</w:t>
      </w:r>
      <w:r w:rsidRPr="00A429AA">
        <w:rPr>
          <w:rFonts w:ascii="Times New Roman" w:hAnsi="Times New Roman" w:cs="Times New Roman"/>
          <w:lang w:val="en-US"/>
        </w:rPr>
        <w:t xml:space="preserve"> (2003)</w:t>
      </w:r>
      <w:r w:rsidR="00D07876">
        <w:rPr>
          <w:rFonts w:ascii="Times New Roman" w:hAnsi="Times New Roman" w:cs="Times New Roman"/>
          <w:lang w:val="en-US"/>
        </w:rPr>
        <w:t>:</w:t>
      </w:r>
      <w:r w:rsidRPr="00A429AA">
        <w:rPr>
          <w:rFonts w:ascii="Times New Roman" w:hAnsi="Times New Roman" w:cs="Times New Roman"/>
          <w:lang w:val="en-US"/>
        </w:rPr>
        <w:t xml:space="preserve"> </w:t>
      </w:r>
      <w:r w:rsidR="00D07876">
        <w:rPr>
          <w:rFonts w:ascii="Times New Roman" w:hAnsi="Times New Roman" w:cs="Times New Roman"/>
          <w:lang w:val="en-US"/>
        </w:rPr>
        <w:t>“</w:t>
      </w:r>
      <w:r w:rsidRPr="00A429AA">
        <w:rPr>
          <w:rFonts w:ascii="Times New Roman" w:hAnsi="Times New Roman" w:cs="Times New Roman"/>
          <w:lang w:val="en-US"/>
        </w:rPr>
        <w:t>A primer on financial co</w:t>
      </w:r>
      <w:r w:rsidR="00D07876">
        <w:rPr>
          <w:rFonts w:ascii="Times New Roman" w:hAnsi="Times New Roman" w:cs="Times New Roman"/>
          <w:lang w:val="en-US"/>
        </w:rPr>
        <w:t>ntagion,”</w:t>
      </w:r>
      <w:r w:rsidRPr="00A429AA">
        <w:rPr>
          <w:rFonts w:ascii="Times New Roman" w:hAnsi="Times New Roman" w:cs="Times New Roman"/>
          <w:lang w:val="en-US"/>
        </w:rPr>
        <w:t xml:space="preserve"> Jo</w:t>
      </w:r>
      <w:r w:rsidR="00D07876">
        <w:rPr>
          <w:rFonts w:ascii="Times New Roman" w:hAnsi="Times New Roman" w:cs="Times New Roman"/>
          <w:lang w:val="en-US"/>
        </w:rPr>
        <w:t>urnal of Economic Survey 17,</w:t>
      </w:r>
      <w:r w:rsidRPr="00A429AA">
        <w:rPr>
          <w:rFonts w:ascii="Times New Roman" w:hAnsi="Times New Roman" w:cs="Times New Roman"/>
          <w:lang w:val="en-US"/>
        </w:rPr>
        <w:t xml:space="preserve"> 571–608</w:t>
      </w:r>
      <w:r w:rsidR="00D07876">
        <w:rPr>
          <w:rFonts w:ascii="Times New Roman" w:hAnsi="Times New Roman" w:cs="Times New Roman"/>
          <w:lang w:val="en-US"/>
        </w:rPr>
        <w:t>.</w:t>
      </w:r>
    </w:p>
    <w:p w14:paraId="6947853C" w14:textId="77777777" w:rsidR="004C14A2" w:rsidRPr="00A429AA" w:rsidRDefault="004C14A2" w:rsidP="008B4A2C">
      <w:pPr>
        <w:pStyle w:val="Bibliography"/>
        <w:spacing w:line="360" w:lineRule="auto"/>
        <w:rPr>
          <w:rFonts w:ascii="Times New Roman" w:hAnsi="Times New Roman"/>
          <w:noProof/>
        </w:rPr>
      </w:pPr>
    </w:p>
    <w:p w14:paraId="169734A0" w14:textId="406C7551" w:rsidR="008B4A2C" w:rsidRPr="00A429AA" w:rsidRDefault="0020595D" w:rsidP="008B4A2C">
      <w:pPr>
        <w:pStyle w:val="Bibliography"/>
        <w:spacing w:line="360" w:lineRule="auto"/>
        <w:rPr>
          <w:rFonts w:ascii="Times New Roman" w:hAnsi="Times New Roman"/>
          <w:noProof/>
        </w:rPr>
      </w:pPr>
      <w:r w:rsidRPr="006B2954">
        <w:rPr>
          <w:rFonts w:ascii="Times New Roman" w:hAnsi="Times New Roman"/>
          <w:i/>
          <w:noProof/>
        </w:rPr>
        <w:t>Popov</w:t>
      </w:r>
      <w:r w:rsidR="006B2954">
        <w:rPr>
          <w:rFonts w:ascii="Times New Roman" w:hAnsi="Times New Roman"/>
          <w:i/>
          <w:noProof/>
        </w:rPr>
        <w:t>,</w:t>
      </w:r>
      <w:r w:rsidR="006B2954">
        <w:rPr>
          <w:rFonts w:ascii="Times New Roman" w:hAnsi="Times New Roman"/>
          <w:noProof/>
        </w:rPr>
        <w:t xml:space="preserve"> A. /</w:t>
      </w:r>
      <w:r w:rsidRPr="00A429AA">
        <w:rPr>
          <w:rFonts w:ascii="Times New Roman" w:hAnsi="Times New Roman"/>
          <w:noProof/>
        </w:rPr>
        <w:t xml:space="preserve"> </w:t>
      </w:r>
      <w:r w:rsidRPr="006B2954">
        <w:rPr>
          <w:rFonts w:ascii="Times New Roman" w:hAnsi="Times New Roman"/>
          <w:i/>
          <w:noProof/>
        </w:rPr>
        <w:t>Udell</w:t>
      </w:r>
      <w:r w:rsidR="006B2954">
        <w:rPr>
          <w:rFonts w:ascii="Times New Roman" w:hAnsi="Times New Roman"/>
          <w:i/>
          <w:noProof/>
        </w:rPr>
        <w:t>,</w:t>
      </w:r>
      <w:r w:rsidR="009A0EA1">
        <w:rPr>
          <w:rFonts w:ascii="Times New Roman" w:hAnsi="Times New Roman"/>
          <w:noProof/>
        </w:rPr>
        <w:t xml:space="preserve"> </w:t>
      </w:r>
      <w:r w:rsidRPr="00A429AA">
        <w:rPr>
          <w:rFonts w:ascii="Times New Roman" w:hAnsi="Times New Roman"/>
          <w:noProof/>
        </w:rPr>
        <w:t>G</w:t>
      </w:r>
      <w:r w:rsidR="006B2954">
        <w:rPr>
          <w:rFonts w:ascii="Times New Roman" w:hAnsi="Times New Roman"/>
          <w:noProof/>
        </w:rPr>
        <w:t>.</w:t>
      </w:r>
      <w:r w:rsidRPr="00A429AA">
        <w:rPr>
          <w:rFonts w:ascii="Times New Roman" w:hAnsi="Times New Roman"/>
          <w:noProof/>
        </w:rPr>
        <w:t xml:space="preserve"> (2012)</w:t>
      </w:r>
      <w:r w:rsidR="006B2954">
        <w:rPr>
          <w:rFonts w:ascii="Times New Roman" w:hAnsi="Times New Roman"/>
          <w:noProof/>
        </w:rPr>
        <w:t>:</w:t>
      </w:r>
      <w:r w:rsidRPr="00A429AA">
        <w:rPr>
          <w:rFonts w:ascii="Times New Roman" w:hAnsi="Times New Roman"/>
          <w:noProof/>
        </w:rPr>
        <w:t xml:space="preserve"> </w:t>
      </w:r>
      <w:r w:rsidR="00094977">
        <w:rPr>
          <w:rFonts w:ascii="Times New Roman" w:hAnsi="Times New Roman"/>
          <w:noProof/>
        </w:rPr>
        <w:t>“</w:t>
      </w:r>
      <w:r w:rsidRPr="00A429AA">
        <w:rPr>
          <w:rFonts w:ascii="Times New Roman" w:hAnsi="Times New Roman"/>
          <w:noProof/>
        </w:rPr>
        <w:t>Cross-border banking, credit a</w:t>
      </w:r>
      <w:r w:rsidR="00094977">
        <w:rPr>
          <w:rFonts w:ascii="Times New Roman" w:hAnsi="Times New Roman"/>
          <w:noProof/>
        </w:rPr>
        <w:t>ccess, and the financial crisis,”</w:t>
      </w:r>
      <w:r w:rsidRPr="00A429AA">
        <w:rPr>
          <w:rFonts w:ascii="Times New Roman" w:hAnsi="Times New Roman"/>
          <w:noProof/>
        </w:rPr>
        <w:t xml:space="preserve"> </w:t>
      </w:r>
      <w:r w:rsidRPr="00A429AA">
        <w:rPr>
          <w:rFonts w:ascii="Times New Roman" w:hAnsi="Times New Roman"/>
          <w:iCs/>
          <w:noProof/>
        </w:rPr>
        <w:t>Journal of International Economics</w:t>
      </w:r>
      <w:r w:rsidRPr="00A429AA">
        <w:rPr>
          <w:rFonts w:ascii="Times New Roman" w:hAnsi="Times New Roman"/>
          <w:noProof/>
        </w:rPr>
        <w:t xml:space="preserve"> </w:t>
      </w:r>
      <w:r w:rsidRPr="00A429AA">
        <w:rPr>
          <w:rFonts w:ascii="Times New Roman" w:hAnsi="Times New Roman"/>
          <w:iCs/>
          <w:noProof/>
        </w:rPr>
        <w:t>87</w:t>
      </w:r>
      <w:r w:rsidR="00094977">
        <w:rPr>
          <w:rFonts w:ascii="Times New Roman" w:hAnsi="Times New Roman"/>
          <w:noProof/>
        </w:rPr>
        <w:t>,</w:t>
      </w:r>
      <w:r w:rsidRPr="00A429AA">
        <w:rPr>
          <w:rFonts w:ascii="Times New Roman" w:hAnsi="Times New Roman"/>
          <w:noProof/>
        </w:rPr>
        <w:t xml:space="preserve"> 147-161</w:t>
      </w:r>
      <w:r w:rsidR="00094977">
        <w:rPr>
          <w:rFonts w:ascii="Times New Roman" w:hAnsi="Times New Roman"/>
          <w:noProof/>
        </w:rPr>
        <w:t>.</w:t>
      </w:r>
    </w:p>
    <w:sdt>
      <w:sdtPr>
        <w:rPr>
          <w:rFonts w:ascii="Times New Roman" w:hAnsi="Times New Roman" w:cstheme="minorBidi"/>
        </w:rPr>
        <w:id w:val="111145805"/>
        <w:bibliography/>
      </w:sdtPr>
      <w:sdtEndPr/>
      <w:sdtContent>
        <w:p w14:paraId="7D7C18C5" w14:textId="77777777" w:rsidR="008B4A2C" w:rsidRPr="00A429AA" w:rsidRDefault="008B4A2C" w:rsidP="008B4A2C">
          <w:pPr>
            <w:pStyle w:val="Bibliography"/>
            <w:spacing w:line="360" w:lineRule="auto"/>
            <w:rPr>
              <w:rFonts w:ascii="Times New Roman" w:hAnsi="Times New Roman"/>
            </w:rPr>
          </w:pPr>
        </w:p>
        <w:p w14:paraId="54DEB450" w14:textId="5090B4CE" w:rsidR="008B4A2C" w:rsidRPr="00A429AA" w:rsidRDefault="008B4A2C" w:rsidP="008B4A2C">
          <w:pPr>
            <w:pStyle w:val="Bibliography"/>
            <w:spacing w:line="360" w:lineRule="auto"/>
            <w:rPr>
              <w:rFonts w:ascii="Times New Roman" w:hAnsi="Times New Roman"/>
              <w:noProof/>
            </w:rPr>
          </w:pPr>
          <w:r w:rsidRPr="00F640F6">
            <w:rPr>
              <w:rFonts w:ascii="Times New Roman" w:hAnsi="Times New Roman"/>
              <w:i/>
              <w:noProof/>
            </w:rPr>
            <w:t>Shehzada</w:t>
          </w:r>
          <w:r w:rsidR="00F640F6">
            <w:rPr>
              <w:rFonts w:ascii="Times New Roman" w:hAnsi="Times New Roman"/>
              <w:i/>
              <w:noProof/>
            </w:rPr>
            <w:t>,</w:t>
          </w:r>
          <w:r w:rsidR="00F640F6">
            <w:rPr>
              <w:rFonts w:ascii="Times New Roman" w:hAnsi="Times New Roman"/>
              <w:noProof/>
            </w:rPr>
            <w:t xml:space="preserve"> C. /</w:t>
          </w:r>
          <w:r w:rsidRPr="00A429AA">
            <w:rPr>
              <w:rFonts w:ascii="Times New Roman" w:hAnsi="Times New Roman"/>
              <w:noProof/>
            </w:rPr>
            <w:t xml:space="preserve"> </w:t>
          </w:r>
          <w:r w:rsidRPr="00F640F6">
            <w:rPr>
              <w:rFonts w:ascii="Times New Roman" w:hAnsi="Times New Roman"/>
              <w:i/>
              <w:noProof/>
            </w:rPr>
            <w:t>De Haan</w:t>
          </w:r>
          <w:r w:rsidR="00F640F6">
            <w:rPr>
              <w:rFonts w:ascii="Times New Roman" w:hAnsi="Times New Roman"/>
              <w:i/>
              <w:noProof/>
            </w:rPr>
            <w:t>,</w:t>
          </w:r>
          <w:r w:rsidRPr="00A429AA">
            <w:rPr>
              <w:rFonts w:ascii="Times New Roman" w:hAnsi="Times New Roman"/>
              <w:noProof/>
            </w:rPr>
            <w:t xml:space="preserve"> J</w:t>
          </w:r>
          <w:r w:rsidR="00F640F6">
            <w:rPr>
              <w:rFonts w:ascii="Times New Roman" w:hAnsi="Times New Roman"/>
              <w:noProof/>
            </w:rPr>
            <w:t>.</w:t>
          </w:r>
          <w:r w:rsidRPr="00A429AA">
            <w:rPr>
              <w:rFonts w:ascii="Times New Roman" w:hAnsi="Times New Roman"/>
              <w:noProof/>
            </w:rPr>
            <w:t xml:space="preserve"> (2013)</w:t>
          </w:r>
          <w:r w:rsidR="00F640F6">
            <w:rPr>
              <w:rFonts w:ascii="Times New Roman" w:hAnsi="Times New Roman"/>
              <w:noProof/>
            </w:rPr>
            <w:t>:</w:t>
          </w:r>
          <w:r w:rsidRPr="00A429AA">
            <w:rPr>
              <w:rFonts w:ascii="Times New Roman" w:hAnsi="Times New Roman"/>
              <w:noProof/>
            </w:rPr>
            <w:t xml:space="preserve"> </w:t>
          </w:r>
          <w:r w:rsidR="00C01AA7">
            <w:rPr>
              <w:rFonts w:ascii="Times New Roman" w:hAnsi="Times New Roman"/>
              <w:noProof/>
            </w:rPr>
            <w:t>“</w:t>
          </w:r>
          <w:r w:rsidRPr="00A429AA">
            <w:rPr>
              <w:rFonts w:ascii="Times New Roman" w:hAnsi="Times New Roman"/>
              <w:noProof/>
            </w:rPr>
            <w:t>Was the 2007 crisis really a global banking crisis?</w:t>
          </w:r>
          <w:r w:rsidR="00C01AA7">
            <w:rPr>
              <w:rFonts w:ascii="Times New Roman" w:hAnsi="Times New Roman"/>
              <w:noProof/>
            </w:rPr>
            <w:t>,”</w:t>
          </w:r>
          <w:r w:rsidRPr="00A429AA">
            <w:rPr>
              <w:rFonts w:ascii="Times New Roman" w:hAnsi="Times New Roman"/>
              <w:noProof/>
            </w:rPr>
            <w:t xml:space="preserve"> </w:t>
          </w:r>
          <w:r w:rsidRPr="00A429AA">
            <w:rPr>
              <w:rFonts w:ascii="Times New Roman" w:hAnsi="Times New Roman"/>
              <w:iCs/>
              <w:noProof/>
            </w:rPr>
            <w:t>The North American Journal of Economics and Finance</w:t>
          </w:r>
          <w:r w:rsidRPr="00A429AA">
            <w:rPr>
              <w:rFonts w:ascii="Times New Roman" w:hAnsi="Times New Roman"/>
              <w:noProof/>
            </w:rPr>
            <w:t xml:space="preserve"> </w:t>
          </w:r>
          <w:r w:rsidRPr="00A429AA">
            <w:rPr>
              <w:rFonts w:ascii="Times New Roman" w:hAnsi="Times New Roman"/>
              <w:iCs/>
              <w:noProof/>
            </w:rPr>
            <w:t xml:space="preserve"> 24</w:t>
          </w:r>
          <w:r w:rsidR="00C01AA7">
            <w:rPr>
              <w:rFonts w:ascii="Times New Roman" w:hAnsi="Times New Roman"/>
              <w:noProof/>
            </w:rPr>
            <w:t>,</w:t>
          </w:r>
          <w:r w:rsidRPr="00A429AA">
            <w:rPr>
              <w:rFonts w:ascii="Times New Roman" w:hAnsi="Times New Roman"/>
              <w:noProof/>
            </w:rPr>
            <w:t xml:space="preserve"> 113–124</w:t>
          </w:r>
          <w:r w:rsidR="00C01AA7">
            <w:rPr>
              <w:rFonts w:ascii="Times New Roman" w:hAnsi="Times New Roman"/>
              <w:noProof/>
            </w:rPr>
            <w:t>.</w:t>
          </w:r>
        </w:p>
        <w:p w14:paraId="6F1BFC66" w14:textId="544DEE13" w:rsidR="0020595D" w:rsidRPr="00A429AA" w:rsidRDefault="0052221D" w:rsidP="008B4A2C">
          <w:pPr>
            <w:rPr>
              <w:rFonts w:ascii="Times New Roman" w:hAnsi="Times New Roman" w:cs="Times New Roman"/>
            </w:rPr>
          </w:pPr>
        </w:p>
      </w:sdtContent>
    </w:sdt>
    <w:p w14:paraId="7056778B" w14:textId="18A40395" w:rsidR="00AF6062" w:rsidRDefault="0026151E" w:rsidP="00F56B72">
      <w:pPr>
        <w:spacing w:line="360" w:lineRule="auto"/>
        <w:rPr>
          <w:rFonts w:ascii="Times New Roman" w:hAnsi="Times New Roman" w:cs="Times New Roman"/>
          <w:iCs/>
        </w:rPr>
      </w:pPr>
      <w:proofErr w:type="spellStart"/>
      <w:r w:rsidRPr="009C27A1">
        <w:rPr>
          <w:rFonts w:ascii="Times New Roman" w:hAnsi="Times New Roman" w:cs="Times New Roman"/>
          <w:i/>
        </w:rPr>
        <w:lastRenderedPageBreak/>
        <w:t>Stolz</w:t>
      </w:r>
      <w:proofErr w:type="spellEnd"/>
      <w:r w:rsidR="009C27A1">
        <w:rPr>
          <w:rFonts w:ascii="Times New Roman" w:hAnsi="Times New Roman" w:cs="Times New Roman"/>
          <w:i/>
        </w:rPr>
        <w:t>,</w:t>
      </w:r>
      <w:r w:rsidRPr="00A429AA">
        <w:rPr>
          <w:rFonts w:ascii="Times New Roman" w:hAnsi="Times New Roman" w:cs="Times New Roman"/>
        </w:rPr>
        <w:t xml:space="preserve"> S</w:t>
      </w:r>
      <w:r w:rsidR="009C27A1">
        <w:rPr>
          <w:rFonts w:ascii="Times New Roman" w:hAnsi="Times New Roman" w:cs="Times New Roman"/>
        </w:rPr>
        <w:t>. M. /</w:t>
      </w:r>
      <w:r w:rsidRPr="00A429AA">
        <w:rPr>
          <w:rFonts w:ascii="Times New Roman" w:hAnsi="Times New Roman" w:cs="Times New Roman"/>
        </w:rPr>
        <w:t xml:space="preserve"> </w:t>
      </w:r>
      <w:proofErr w:type="spellStart"/>
      <w:r w:rsidRPr="009C27A1">
        <w:rPr>
          <w:rFonts w:ascii="Times New Roman" w:hAnsi="Times New Roman" w:cs="Times New Roman"/>
          <w:i/>
        </w:rPr>
        <w:t>Wedow</w:t>
      </w:r>
      <w:proofErr w:type="spellEnd"/>
      <w:r w:rsidR="009C27A1">
        <w:rPr>
          <w:rFonts w:ascii="Times New Roman" w:hAnsi="Times New Roman" w:cs="Times New Roman"/>
          <w:i/>
        </w:rPr>
        <w:t>,</w:t>
      </w:r>
      <w:r w:rsidRPr="00A429AA">
        <w:rPr>
          <w:rFonts w:ascii="Times New Roman" w:hAnsi="Times New Roman" w:cs="Times New Roman"/>
        </w:rPr>
        <w:t xml:space="preserve"> M</w:t>
      </w:r>
      <w:r w:rsidR="009C27A1">
        <w:rPr>
          <w:rFonts w:ascii="Times New Roman" w:hAnsi="Times New Roman" w:cs="Times New Roman"/>
        </w:rPr>
        <w:t>.</w:t>
      </w:r>
      <w:r w:rsidRPr="00A429AA">
        <w:rPr>
          <w:rFonts w:ascii="Times New Roman" w:hAnsi="Times New Roman" w:cs="Times New Roman"/>
        </w:rPr>
        <w:t xml:space="preserve"> (2010)</w:t>
      </w:r>
      <w:r w:rsidR="009C27A1">
        <w:rPr>
          <w:rFonts w:ascii="Times New Roman" w:hAnsi="Times New Roman" w:cs="Times New Roman"/>
        </w:rPr>
        <w:t>:</w:t>
      </w:r>
      <w:r w:rsidR="00F56B72" w:rsidRPr="00A429AA">
        <w:rPr>
          <w:rFonts w:ascii="Times New Roman" w:hAnsi="Times New Roman" w:cs="Times New Roman"/>
        </w:rPr>
        <w:t xml:space="preserve"> </w:t>
      </w:r>
      <w:r w:rsidR="009C27A1">
        <w:rPr>
          <w:rFonts w:ascii="Times New Roman" w:hAnsi="Times New Roman" w:cs="Times New Roman"/>
        </w:rPr>
        <w:t>“</w:t>
      </w:r>
      <w:r w:rsidR="00F56B72" w:rsidRPr="00A429AA">
        <w:rPr>
          <w:rFonts w:ascii="Times New Roman" w:hAnsi="Times New Roman" w:cs="Times New Roman"/>
        </w:rPr>
        <w:t>Extraordinary me</w:t>
      </w:r>
      <w:r w:rsidRPr="00A429AA">
        <w:rPr>
          <w:rFonts w:ascii="Times New Roman" w:hAnsi="Times New Roman" w:cs="Times New Roman"/>
        </w:rPr>
        <w:t>asures in extraordinary times -</w:t>
      </w:r>
      <w:r w:rsidR="00F56B72" w:rsidRPr="00A429AA">
        <w:rPr>
          <w:rFonts w:ascii="Times New Roman" w:hAnsi="Times New Roman" w:cs="Times New Roman"/>
        </w:rPr>
        <w:t xml:space="preserve"> public measures in support of the financial sector </w:t>
      </w:r>
      <w:r w:rsidR="004970A4">
        <w:rPr>
          <w:rFonts w:ascii="Times New Roman" w:hAnsi="Times New Roman" w:cs="Times New Roman"/>
        </w:rPr>
        <w:t>in the EU and the United States,”</w:t>
      </w:r>
      <w:r w:rsidR="00F56B72" w:rsidRPr="00A429AA">
        <w:rPr>
          <w:rFonts w:ascii="Times New Roman" w:hAnsi="Times New Roman" w:cs="Times New Roman"/>
        </w:rPr>
        <w:t xml:space="preserve"> </w:t>
      </w:r>
      <w:r w:rsidR="00F56B72" w:rsidRPr="00A429AA">
        <w:rPr>
          <w:rFonts w:ascii="Times New Roman" w:hAnsi="Times New Roman" w:cs="Times New Roman"/>
          <w:iCs/>
        </w:rPr>
        <w:t>European Centra</w:t>
      </w:r>
      <w:r w:rsidR="00FB6B20" w:rsidRPr="00A429AA">
        <w:rPr>
          <w:rFonts w:ascii="Times New Roman" w:hAnsi="Times New Roman" w:cs="Times New Roman"/>
          <w:iCs/>
        </w:rPr>
        <w:t>l Bank Occasional Paper No. 117</w:t>
      </w:r>
      <w:r w:rsidR="004970A4">
        <w:rPr>
          <w:rFonts w:ascii="Times New Roman" w:hAnsi="Times New Roman" w:cs="Times New Roman"/>
          <w:iCs/>
        </w:rPr>
        <w:t>.</w:t>
      </w:r>
    </w:p>
    <w:p w14:paraId="25005405" w14:textId="77777777" w:rsidR="004970A4" w:rsidRPr="00DE7E48" w:rsidRDefault="004970A4" w:rsidP="00F56B72">
      <w:pPr>
        <w:spacing w:line="360" w:lineRule="auto"/>
        <w:rPr>
          <w:rFonts w:ascii="Times New Roman" w:hAnsi="Times New Roman" w:cs="Times New Roman"/>
          <w:iCs/>
        </w:rPr>
      </w:pPr>
    </w:p>
    <w:p w14:paraId="63602372" w14:textId="554A9A43" w:rsidR="008F466F" w:rsidRPr="00A429AA" w:rsidRDefault="008F466F" w:rsidP="008F466F">
      <w:pPr>
        <w:spacing w:line="360" w:lineRule="auto"/>
        <w:rPr>
          <w:rFonts w:ascii="Times New Roman" w:hAnsi="Times New Roman" w:cs="Times New Roman"/>
          <w:u w:val="single"/>
        </w:rPr>
      </w:pPr>
      <w:proofErr w:type="spellStart"/>
      <w:r w:rsidRPr="00470C9A">
        <w:rPr>
          <w:rFonts w:ascii="Times New Roman" w:hAnsi="Times New Roman" w:cs="Times New Roman"/>
          <w:i/>
        </w:rPr>
        <w:t>Sveriges</w:t>
      </w:r>
      <w:proofErr w:type="spellEnd"/>
      <w:r w:rsidRPr="00470C9A">
        <w:rPr>
          <w:rFonts w:ascii="Times New Roman" w:hAnsi="Times New Roman" w:cs="Times New Roman"/>
          <w:i/>
        </w:rPr>
        <w:t xml:space="preserve"> </w:t>
      </w:r>
      <w:proofErr w:type="spellStart"/>
      <w:r w:rsidRPr="00470C9A">
        <w:rPr>
          <w:rFonts w:ascii="Times New Roman" w:hAnsi="Times New Roman" w:cs="Times New Roman"/>
          <w:i/>
        </w:rPr>
        <w:t>Riksbank</w:t>
      </w:r>
      <w:proofErr w:type="spellEnd"/>
      <w:r w:rsidR="00470C9A">
        <w:rPr>
          <w:rFonts w:ascii="Times New Roman" w:hAnsi="Times New Roman" w:cs="Times New Roman"/>
          <w:i/>
        </w:rPr>
        <w:t>.</w:t>
      </w:r>
      <w:r w:rsidRPr="00A429AA">
        <w:rPr>
          <w:rFonts w:ascii="Times New Roman" w:hAnsi="Times New Roman" w:cs="Times New Roman"/>
        </w:rPr>
        <w:t xml:space="preserve"> (2007)</w:t>
      </w:r>
      <w:r w:rsidR="00470C9A">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w:t>
      </w:r>
      <w:r w:rsidR="00470C9A">
        <w:rPr>
          <w:rFonts w:ascii="Times New Roman" w:hAnsi="Times New Roman" w:cs="Times New Roman"/>
          <w:iCs/>
        </w:rPr>
        <w:t>nancial Stability Report 2007:2,</w:t>
      </w:r>
      <w:r w:rsidR="00F56B72" w:rsidRPr="00A429AA">
        <w:rPr>
          <w:rFonts w:ascii="Times New Roman" w:hAnsi="Times New Roman" w:cs="Times New Roman"/>
        </w:rPr>
        <w:t xml:space="preserve"> </w:t>
      </w:r>
      <w:hyperlink r:id="rId50" w:history="1">
        <w:r w:rsidRPr="00A429AA">
          <w:rPr>
            <w:rStyle w:val="Hyperlink"/>
            <w:rFonts w:ascii="Times New Roman" w:hAnsi="Times New Roman" w:cs="Times New Roman"/>
            <w:color w:val="auto"/>
          </w:rPr>
          <w:t>http://www.riksbank.se/Pagefolders/32386/fs2007_2_eng.pdf</w:t>
        </w:r>
      </w:hyperlink>
      <w:r w:rsidRPr="00A429AA">
        <w:rPr>
          <w:rFonts w:ascii="Times New Roman" w:hAnsi="Times New Roman" w:cs="Times New Roman"/>
        </w:rPr>
        <w:t>. Accessed 22 January 2016</w:t>
      </w:r>
      <w:r w:rsidR="00470C9A">
        <w:rPr>
          <w:rFonts w:ascii="Times New Roman" w:hAnsi="Times New Roman" w:cs="Times New Roman"/>
        </w:rPr>
        <w:t>.</w:t>
      </w:r>
    </w:p>
    <w:p w14:paraId="0D09485B" w14:textId="77777777" w:rsidR="008F466F" w:rsidRPr="00A429AA" w:rsidRDefault="008F466F" w:rsidP="00F56B72">
      <w:pPr>
        <w:spacing w:line="360" w:lineRule="auto"/>
        <w:rPr>
          <w:rFonts w:ascii="Times New Roman" w:hAnsi="Times New Roman" w:cs="Times New Roman"/>
        </w:rPr>
      </w:pPr>
    </w:p>
    <w:p w14:paraId="1E175C91" w14:textId="642B7FF5" w:rsidR="008F466F" w:rsidRPr="00A429AA" w:rsidRDefault="008F466F" w:rsidP="008F466F">
      <w:pPr>
        <w:spacing w:line="360" w:lineRule="auto"/>
        <w:rPr>
          <w:rFonts w:ascii="Times New Roman" w:hAnsi="Times New Roman" w:cs="Times New Roman"/>
          <w:u w:val="single"/>
        </w:rPr>
      </w:pPr>
      <w:proofErr w:type="spellStart"/>
      <w:r w:rsidRPr="00911971">
        <w:rPr>
          <w:rFonts w:ascii="Times New Roman" w:hAnsi="Times New Roman" w:cs="Times New Roman"/>
          <w:i/>
        </w:rPr>
        <w:t>Sveriges</w:t>
      </w:r>
      <w:proofErr w:type="spellEnd"/>
      <w:r w:rsidRPr="00911971">
        <w:rPr>
          <w:rFonts w:ascii="Times New Roman" w:hAnsi="Times New Roman" w:cs="Times New Roman"/>
          <w:i/>
        </w:rPr>
        <w:t xml:space="preserve"> </w:t>
      </w:r>
      <w:proofErr w:type="spellStart"/>
      <w:r w:rsidRPr="00911971">
        <w:rPr>
          <w:rFonts w:ascii="Times New Roman" w:hAnsi="Times New Roman" w:cs="Times New Roman"/>
          <w:i/>
        </w:rPr>
        <w:t>Riksbank</w:t>
      </w:r>
      <w:proofErr w:type="spellEnd"/>
      <w:r w:rsidR="00911971">
        <w:rPr>
          <w:rFonts w:ascii="Times New Roman" w:hAnsi="Times New Roman" w:cs="Times New Roman"/>
          <w:i/>
        </w:rPr>
        <w:t>.</w:t>
      </w:r>
      <w:r w:rsidR="00F56B72" w:rsidRPr="00A429AA">
        <w:rPr>
          <w:rFonts w:ascii="Times New Roman" w:hAnsi="Times New Roman" w:cs="Times New Roman"/>
        </w:rPr>
        <w:t xml:space="preserve"> </w:t>
      </w:r>
      <w:r w:rsidRPr="00A429AA">
        <w:rPr>
          <w:rFonts w:ascii="Times New Roman" w:hAnsi="Times New Roman" w:cs="Times New Roman"/>
        </w:rPr>
        <w:t>(</w:t>
      </w:r>
      <w:r w:rsidR="00F56B72" w:rsidRPr="00A429AA">
        <w:rPr>
          <w:rFonts w:ascii="Times New Roman" w:hAnsi="Times New Roman" w:cs="Times New Roman"/>
        </w:rPr>
        <w:t>2008</w:t>
      </w:r>
      <w:r w:rsidRPr="00A429AA">
        <w:rPr>
          <w:rFonts w:ascii="Times New Roman" w:hAnsi="Times New Roman" w:cs="Times New Roman"/>
        </w:rPr>
        <w:t>)</w:t>
      </w:r>
      <w:r w:rsidR="00911971">
        <w:rPr>
          <w:rFonts w:ascii="Times New Roman" w:hAnsi="Times New Roman" w:cs="Times New Roman"/>
        </w:rPr>
        <w:t>:</w:t>
      </w:r>
      <w:r w:rsidR="00F56B72" w:rsidRPr="00A429AA">
        <w:rPr>
          <w:rFonts w:ascii="Times New Roman" w:hAnsi="Times New Roman" w:cs="Times New Roman"/>
        </w:rPr>
        <w:t xml:space="preserve"> </w:t>
      </w:r>
      <w:r w:rsidR="00F56B72" w:rsidRPr="00A429AA">
        <w:rPr>
          <w:rFonts w:ascii="Times New Roman" w:hAnsi="Times New Roman" w:cs="Times New Roman"/>
          <w:iCs/>
        </w:rPr>
        <w:t>Financial Stability Report 2008:2</w:t>
      </w:r>
      <w:r w:rsidR="00911971">
        <w:rPr>
          <w:rFonts w:ascii="Times New Roman" w:hAnsi="Times New Roman" w:cs="Times New Roman"/>
          <w:iCs/>
        </w:rPr>
        <w:t>,</w:t>
      </w:r>
      <w:r w:rsidR="00DD07E0" w:rsidRPr="00A429AA">
        <w:rPr>
          <w:rFonts w:ascii="Times New Roman" w:hAnsi="Times New Roman" w:cs="Times New Roman"/>
          <w:iCs/>
        </w:rPr>
        <w:t xml:space="preserve"> </w:t>
      </w:r>
      <w:hyperlink r:id="rId51" w:history="1">
        <w:r w:rsidRPr="00A429AA">
          <w:rPr>
            <w:rStyle w:val="Hyperlink"/>
            <w:rFonts w:ascii="Times New Roman" w:hAnsi="Times New Roman" w:cs="Times New Roman"/>
            <w:color w:val="auto"/>
          </w:rPr>
          <w:t>http://www.riksbank.se/Upload/Dokument_riksbank/Kat_publicerat/Rapporter/2008/fs_08_2_en.pdf</w:t>
        </w:r>
      </w:hyperlink>
      <w:r w:rsidRPr="00A429AA">
        <w:rPr>
          <w:rFonts w:ascii="Times New Roman" w:hAnsi="Times New Roman" w:cs="Times New Roman"/>
        </w:rPr>
        <w:t>. Accessed 22 January 2016</w:t>
      </w:r>
    </w:p>
    <w:p w14:paraId="7FCB58BE" w14:textId="4A3CEB30" w:rsidR="00F56B72" w:rsidRPr="00A429AA" w:rsidRDefault="00F56B72" w:rsidP="00F56B72">
      <w:pPr>
        <w:spacing w:line="360" w:lineRule="auto"/>
        <w:rPr>
          <w:rFonts w:ascii="Times New Roman" w:hAnsi="Times New Roman" w:cs="Times New Roman"/>
        </w:rPr>
      </w:pPr>
    </w:p>
    <w:p w14:paraId="371879C5" w14:textId="77777777" w:rsidR="00F56B72" w:rsidRPr="00A429AA" w:rsidRDefault="00F56B72" w:rsidP="00F56B72">
      <w:pPr>
        <w:spacing w:line="360" w:lineRule="auto"/>
        <w:rPr>
          <w:rFonts w:ascii="Times New Roman" w:hAnsi="Times New Roman" w:cs="Times New Roman"/>
        </w:rPr>
      </w:pPr>
    </w:p>
    <w:p w14:paraId="77F5BEF0" w14:textId="77777777" w:rsidR="00F07B20" w:rsidRPr="00A429AA" w:rsidRDefault="00F07B20" w:rsidP="001D3ABF">
      <w:pPr>
        <w:autoSpaceDE w:val="0"/>
        <w:autoSpaceDN w:val="0"/>
        <w:adjustRightInd w:val="0"/>
        <w:rPr>
          <w:rFonts w:ascii="Times New Roman" w:hAnsi="Times New Roman" w:cs="Times New Roman"/>
          <w:lang w:val="en-US"/>
        </w:rPr>
      </w:pPr>
    </w:p>
    <w:p w14:paraId="60BE9334" w14:textId="77777777" w:rsidR="000F7273" w:rsidRPr="00A429AA" w:rsidRDefault="000F7273" w:rsidP="00F07B20">
      <w:pPr>
        <w:autoSpaceDE w:val="0"/>
        <w:autoSpaceDN w:val="0"/>
        <w:adjustRightInd w:val="0"/>
        <w:rPr>
          <w:rFonts w:ascii="Times New Roman" w:hAnsi="Times New Roman" w:cs="Times New Roman"/>
          <w:lang w:val="en-US"/>
        </w:rPr>
      </w:pPr>
    </w:p>
    <w:p w14:paraId="544585FB" w14:textId="77777777" w:rsidR="000E65E3" w:rsidRPr="00A429AA" w:rsidRDefault="000E65E3" w:rsidP="0006686A">
      <w:pPr>
        <w:autoSpaceDE w:val="0"/>
        <w:autoSpaceDN w:val="0"/>
        <w:adjustRightInd w:val="0"/>
        <w:rPr>
          <w:rFonts w:ascii="Times New Roman" w:hAnsi="Times New Roman" w:cs="Times New Roman"/>
          <w:lang w:val="en-US"/>
        </w:rPr>
      </w:pPr>
    </w:p>
    <w:sectPr w:rsidR="000E65E3" w:rsidRPr="00A429AA" w:rsidSect="002C366B">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6C92" w14:textId="77777777" w:rsidR="0052221D" w:rsidRDefault="0052221D" w:rsidP="00755D76">
      <w:r>
        <w:separator/>
      </w:r>
    </w:p>
  </w:endnote>
  <w:endnote w:type="continuationSeparator" w:id="0">
    <w:p w14:paraId="0AA9938E" w14:textId="77777777" w:rsidR="0052221D" w:rsidRDefault="0052221D" w:rsidP="0075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7C00" w14:textId="77777777" w:rsidR="009C27A1" w:rsidRDefault="009C27A1" w:rsidP="00D50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A3AEE" w14:textId="77777777" w:rsidR="009C27A1" w:rsidRDefault="009C27A1" w:rsidP="00755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05BEE" w14:textId="2857696C" w:rsidR="009C27A1" w:rsidRDefault="009C27A1" w:rsidP="00D50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9C0">
      <w:rPr>
        <w:rStyle w:val="PageNumber"/>
        <w:noProof/>
      </w:rPr>
      <w:t>21</w:t>
    </w:r>
    <w:r>
      <w:rPr>
        <w:rStyle w:val="PageNumber"/>
      </w:rPr>
      <w:fldChar w:fldCharType="end"/>
    </w:r>
  </w:p>
  <w:p w14:paraId="18F438B6" w14:textId="77777777" w:rsidR="009C27A1" w:rsidRDefault="009C27A1" w:rsidP="00755D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730BD" w14:textId="77777777" w:rsidR="0052221D" w:rsidRDefault="0052221D" w:rsidP="00755D76">
      <w:r>
        <w:separator/>
      </w:r>
    </w:p>
  </w:footnote>
  <w:footnote w:type="continuationSeparator" w:id="0">
    <w:p w14:paraId="53F00FED" w14:textId="77777777" w:rsidR="0052221D" w:rsidRDefault="0052221D" w:rsidP="0075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87"/>
    <w:multiLevelType w:val="multilevel"/>
    <w:tmpl w:val="B05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D2976"/>
    <w:multiLevelType w:val="multilevel"/>
    <w:tmpl w:val="991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C3F33"/>
    <w:multiLevelType w:val="multilevel"/>
    <w:tmpl w:val="AED4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B413A"/>
    <w:multiLevelType w:val="multilevel"/>
    <w:tmpl w:val="330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A1B84"/>
    <w:multiLevelType w:val="multilevel"/>
    <w:tmpl w:val="B69E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C6E5A"/>
    <w:multiLevelType w:val="multilevel"/>
    <w:tmpl w:val="7F2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3707C"/>
    <w:multiLevelType w:val="multilevel"/>
    <w:tmpl w:val="242E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76857"/>
    <w:multiLevelType w:val="multilevel"/>
    <w:tmpl w:val="31F0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00733"/>
    <w:multiLevelType w:val="multilevel"/>
    <w:tmpl w:val="CD50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649F7"/>
    <w:multiLevelType w:val="hybridMultilevel"/>
    <w:tmpl w:val="35706AF8"/>
    <w:lvl w:ilvl="0" w:tplc="8FB4615A">
      <w:start w:val="1"/>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82C31"/>
    <w:multiLevelType w:val="multilevel"/>
    <w:tmpl w:val="01B8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F3E0A"/>
    <w:multiLevelType w:val="multilevel"/>
    <w:tmpl w:val="A23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86CD4"/>
    <w:multiLevelType w:val="multilevel"/>
    <w:tmpl w:val="B20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65477"/>
    <w:multiLevelType w:val="multilevel"/>
    <w:tmpl w:val="519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1"/>
  </w:num>
  <w:num w:numId="4">
    <w:abstractNumId w:val="2"/>
  </w:num>
  <w:num w:numId="5">
    <w:abstractNumId w:val="1"/>
  </w:num>
  <w:num w:numId="6">
    <w:abstractNumId w:val="7"/>
  </w:num>
  <w:num w:numId="7">
    <w:abstractNumId w:val="6"/>
  </w:num>
  <w:num w:numId="8">
    <w:abstractNumId w:val="12"/>
  </w:num>
  <w:num w:numId="9">
    <w:abstractNumId w:val="4"/>
  </w:num>
  <w:num w:numId="10">
    <w:abstractNumId w:val="3"/>
  </w:num>
  <w:num w:numId="11">
    <w:abstractNumId w:val="10"/>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8A"/>
    <w:rsid w:val="00000EFA"/>
    <w:rsid w:val="000050AB"/>
    <w:rsid w:val="00007E57"/>
    <w:rsid w:val="00010640"/>
    <w:rsid w:val="00015B53"/>
    <w:rsid w:val="00016946"/>
    <w:rsid w:val="00016CC8"/>
    <w:rsid w:val="00017808"/>
    <w:rsid w:val="00017F56"/>
    <w:rsid w:val="0002333E"/>
    <w:rsid w:val="00024726"/>
    <w:rsid w:val="00024A4A"/>
    <w:rsid w:val="000276FD"/>
    <w:rsid w:val="00030E97"/>
    <w:rsid w:val="000356D8"/>
    <w:rsid w:val="00037996"/>
    <w:rsid w:val="00040E04"/>
    <w:rsid w:val="00052784"/>
    <w:rsid w:val="000534D2"/>
    <w:rsid w:val="00053FF4"/>
    <w:rsid w:val="0006006F"/>
    <w:rsid w:val="00060985"/>
    <w:rsid w:val="00060FA8"/>
    <w:rsid w:val="00062773"/>
    <w:rsid w:val="0006387A"/>
    <w:rsid w:val="0006463D"/>
    <w:rsid w:val="00064736"/>
    <w:rsid w:val="0006578F"/>
    <w:rsid w:val="000661B1"/>
    <w:rsid w:val="0006686A"/>
    <w:rsid w:val="00067644"/>
    <w:rsid w:val="00073E0F"/>
    <w:rsid w:val="00075F97"/>
    <w:rsid w:val="000849B6"/>
    <w:rsid w:val="000849E1"/>
    <w:rsid w:val="00090317"/>
    <w:rsid w:val="00091BE9"/>
    <w:rsid w:val="00094977"/>
    <w:rsid w:val="00095654"/>
    <w:rsid w:val="000965AF"/>
    <w:rsid w:val="00096A9C"/>
    <w:rsid w:val="00097E03"/>
    <w:rsid w:val="000A1341"/>
    <w:rsid w:val="000A1AE7"/>
    <w:rsid w:val="000A62CC"/>
    <w:rsid w:val="000B13E8"/>
    <w:rsid w:val="000B47F7"/>
    <w:rsid w:val="000B6326"/>
    <w:rsid w:val="000B6895"/>
    <w:rsid w:val="000C098A"/>
    <w:rsid w:val="000C1AFF"/>
    <w:rsid w:val="000C2E78"/>
    <w:rsid w:val="000C3E72"/>
    <w:rsid w:val="000C495A"/>
    <w:rsid w:val="000C4BC7"/>
    <w:rsid w:val="000C6421"/>
    <w:rsid w:val="000C655E"/>
    <w:rsid w:val="000D53A5"/>
    <w:rsid w:val="000D7266"/>
    <w:rsid w:val="000E2DFE"/>
    <w:rsid w:val="000E4547"/>
    <w:rsid w:val="000E65CE"/>
    <w:rsid w:val="000E65E3"/>
    <w:rsid w:val="000E7E97"/>
    <w:rsid w:val="000F0251"/>
    <w:rsid w:val="000F7218"/>
    <w:rsid w:val="000F7273"/>
    <w:rsid w:val="00101983"/>
    <w:rsid w:val="0010216B"/>
    <w:rsid w:val="00102BF6"/>
    <w:rsid w:val="00104EC2"/>
    <w:rsid w:val="001056A5"/>
    <w:rsid w:val="00106ED2"/>
    <w:rsid w:val="0011642F"/>
    <w:rsid w:val="00117099"/>
    <w:rsid w:val="0011786F"/>
    <w:rsid w:val="001223F8"/>
    <w:rsid w:val="00126A4D"/>
    <w:rsid w:val="0012738F"/>
    <w:rsid w:val="001303C6"/>
    <w:rsid w:val="00131C76"/>
    <w:rsid w:val="00133681"/>
    <w:rsid w:val="00137778"/>
    <w:rsid w:val="001379D0"/>
    <w:rsid w:val="00140927"/>
    <w:rsid w:val="00140CCA"/>
    <w:rsid w:val="00142760"/>
    <w:rsid w:val="001447C1"/>
    <w:rsid w:val="00151E44"/>
    <w:rsid w:val="001525C0"/>
    <w:rsid w:val="0015470F"/>
    <w:rsid w:val="00161A61"/>
    <w:rsid w:val="00164D78"/>
    <w:rsid w:val="00164F13"/>
    <w:rsid w:val="001667AC"/>
    <w:rsid w:val="00172189"/>
    <w:rsid w:val="00173733"/>
    <w:rsid w:val="001758AF"/>
    <w:rsid w:val="00180355"/>
    <w:rsid w:val="00184B2C"/>
    <w:rsid w:val="00186D78"/>
    <w:rsid w:val="00190BD3"/>
    <w:rsid w:val="0019274D"/>
    <w:rsid w:val="00192C50"/>
    <w:rsid w:val="00193390"/>
    <w:rsid w:val="00196984"/>
    <w:rsid w:val="001A18ED"/>
    <w:rsid w:val="001A364F"/>
    <w:rsid w:val="001A42A8"/>
    <w:rsid w:val="001A4667"/>
    <w:rsid w:val="001A53DB"/>
    <w:rsid w:val="001A54B7"/>
    <w:rsid w:val="001A55D7"/>
    <w:rsid w:val="001A701D"/>
    <w:rsid w:val="001B0077"/>
    <w:rsid w:val="001B4C47"/>
    <w:rsid w:val="001B58A5"/>
    <w:rsid w:val="001B792B"/>
    <w:rsid w:val="001B7BBA"/>
    <w:rsid w:val="001B7E18"/>
    <w:rsid w:val="001C34EE"/>
    <w:rsid w:val="001C5BD8"/>
    <w:rsid w:val="001C6EEA"/>
    <w:rsid w:val="001C7B53"/>
    <w:rsid w:val="001D3ABF"/>
    <w:rsid w:val="001D49B8"/>
    <w:rsid w:val="001D6B5A"/>
    <w:rsid w:val="001E4262"/>
    <w:rsid w:val="001F31CB"/>
    <w:rsid w:val="001F60E9"/>
    <w:rsid w:val="002002AB"/>
    <w:rsid w:val="00200DCF"/>
    <w:rsid w:val="0020433B"/>
    <w:rsid w:val="00204D66"/>
    <w:rsid w:val="0020595D"/>
    <w:rsid w:val="00207B70"/>
    <w:rsid w:val="002110FC"/>
    <w:rsid w:val="002138BA"/>
    <w:rsid w:val="00215A1D"/>
    <w:rsid w:val="00215AB6"/>
    <w:rsid w:val="00215BD5"/>
    <w:rsid w:val="00220C85"/>
    <w:rsid w:val="00221D42"/>
    <w:rsid w:val="00222E62"/>
    <w:rsid w:val="00223371"/>
    <w:rsid w:val="00226538"/>
    <w:rsid w:val="00227843"/>
    <w:rsid w:val="002307EE"/>
    <w:rsid w:val="00231B43"/>
    <w:rsid w:val="00235992"/>
    <w:rsid w:val="00237296"/>
    <w:rsid w:val="002435E4"/>
    <w:rsid w:val="00244455"/>
    <w:rsid w:val="0024799D"/>
    <w:rsid w:val="00250DFF"/>
    <w:rsid w:val="00255D31"/>
    <w:rsid w:val="0025661A"/>
    <w:rsid w:val="0026037B"/>
    <w:rsid w:val="0026151E"/>
    <w:rsid w:val="00261FF6"/>
    <w:rsid w:val="00262951"/>
    <w:rsid w:val="0026680D"/>
    <w:rsid w:val="0026775F"/>
    <w:rsid w:val="00267B40"/>
    <w:rsid w:val="002752C9"/>
    <w:rsid w:val="00275FA7"/>
    <w:rsid w:val="00277D7A"/>
    <w:rsid w:val="00282F3E"/>
    <w:rsid w:val="00284ED1"/>
    <w:rsid w:val="00285FEA"/>
    <w:rsid w:val="00290779"/>
    <w:rsid w:val="00291E36"/>
    <w:rsid w:val="00292596"/>
    <w:rsid w:val="002936A7"/>
    <w:rsid w:val="00293825"/>
    <w:rsid w:val="00293A50"/>
    <w:rsid w:val="0029442F"/>
    <w:rsid w:val="002A2A31"/>
    <w:rsid w:val="002A38A7"/>
    <w:rsid w:val="002A4A75"/>
    <w:rsid w:val="002A7461"/>
    <w:rsid w:val="002B11D5"/>
    <w:rsid w:val="002B27C0"/>
    <w:rsid w:val="002B3D66"/>
    <w:rsid w:val="002C2140"/>
    <w:rsid w:val="002C366B"/>
    <w:rsid w:val="002C3F05"/>
    <w:rsid w:val="002C405D"/>
    <w:rsid w:val="002C47A3"/>
    <w:rsid w:val="002C48DE"/>
    <w:rsid w:val="002C500D"/>
    <w:rsid w:val="002C5B47"/>
    <w:rsid w:val="002C78C8"/>
    <w:rsid w:val="002D018B"/>
    <w:rsid w:val="002D1B0B"/>
    <w:rsid w:val="002D361A"/>
    <w:rsid w:val="002D7105"/>
    <w:rsid w:val="002E01FD"/>
    <w:rsid w:val="002E33CE"/>
    <w:rsid w:val="002E4E9E"/>
    <w:rsid w:val="002E601F"/>
    <w:rsid w:val="002E725F"/>
    <w:rsid w:val="002F0207"/>
    <w:rsid w:val="002F0797"/>
    <w:rsid w:val="003040D8"/>
    <w:rsid w:val="00306A03"/>
    <w:rsid w:val="00306A2D"/>
    <w:rsid w:val="00307D93"/>
    <w:rsid w:val="003111DC"/>
    <w:rsid w:val="003128C1"/>
    <w:rsid w:val="003153D9"/>
    <w:rsid w:val="00317C73"/>
    <w:rsid w:val="00323F8B"/>
    <w:rsid w:val="003334CD"/>
    <w:rsid w:val="00333C19"/>
    <w:rsid w:val="00335C6A"/>
    <w:rsid w:val="00350291"/>
    <w:rsid w:val="003528B2"/>
    <w:rsid w:val="00352F3A"/>
    <w:rsid w:val="00353B69"/>
    <w:rsid w:val="00356BD2"/>
    <w:rsid w:val="003620E9"/>
    <w:rsid w:val="0036210B"/>
    <w:rsid w:val="00363F45"/>
    <w:rsid w:val="00365B94"/>
    <w:rsid w:val="003676F4"/>
    <w:rsid w:val="003747DC"/>
    <w:rsid w:val="0038180B"/>
    <w:rsid w:val="0038370D"/>
    <w:rsid w:val="00385222"/>
    <w:rsid w:val="00386C6D"/>
    <w:rsid w:val="00391525"/>
    <w:rsid w:val="00391CEA"/>
    <w:rsid w:val="0039518E"/>
    <w:rsid w:val="003A30E0"/>
    <w:rsid w:val="003A4737"/>
    <w:rsid w:val="003A65DD"/>
    <w:rsid w:val="003B1715"/>
    <w:rsid w:val="003B3E76"/>
    <w:rsid w:val="003B51E9"/>
    <w:rsid w:val="003C070E"/>
    <w:rsid w:val="003C12D1"/>
    <w:rsid w:val="003C14C4"/>
    <w:rsid w:val="003D3A9F"/>
    <w:rsid w:val="003D3FBD"/>
    <w:rsid w:val="003D6777"/>
    <w:rsid w:val="003D7772"/>
    <w:rsid w:val="003E1678"/>
    <w:rsid w:val="003E32A0"/>
    <w:rsid w:val="003E60CB"/>
    <w:rsid w:val="003F24D4"/>
    <w:rsid w:val="003F2773"/>
    <w:rsid w:val="003F2CC0"/>
    <w:rsid w:val="003F54E6"/>
    <w:rsid w:val="003F5F69"/>
    <w:rsid w:val="003F62D4"/>
    <w:rsid w:val="00400D18"/>
    <w:rsid w:val="004044AE"/>
    <w:rsid w:val="00405C6F"/>
    <w:rsid w:val="004066CD"/>
    <w:rsid w:val="0041054C"/>
    <w:rsid w:val="0041255A"/>
    <w:rsid w:val="00414CEA"/>
    <w:rsid w:val="004150E9"/>
    <w:rsid w:val="00416BD0"/>
    <w:rsid w:val="00417140"/>
    <w:rsid w:val="00420243"/>
    <w:rsid w:val="004269A3"/>
    <w:rsid w:val="00426B7E"/>
    <w:rsid w:val="0042720F"/>
    <w:rsid w:val="00427962"/>
    <w:rsid w:val="004323D9"/>
    <w:rsid w:val="00433C15"/>
    <w:rsid w:val="0043559F"/>
    <w:rsid w:val="0043583A"/>
    <w:rsid w:val="00437290"/>
    <w:rsid w:val="004408D8"/>
    <w:rsid w:val="00441628"/>
    <w:rsid w:val="00441A88"/>
    <w:rsid w:val="00442A1F"/>
    <w:rsid w:val="0044402C"/>
    <w:rsid w:val="00445263"/>
    <w:rsid w:val="00446463"/>
    <w:rsid w:val="00452B61"/>
    <w:rsid w:val="00454091"/>
    <w:rsid w:val="00454A2C"/>
    <w:rsid w:val="004556B2"/>
    <w:rsid w:val="004570A5"/>
    <w:rsid w:val="00457622"/>
    <w:rsid w:val="00457CA4"/>
    <w:rsid w:val="00460525"/>
    <w:rsid w:val="0046266A"/>
    <w:rsid w:val="00466F6E"/>
    <w:rsid w:val="004675EA"/>
    <w:rsid w:val="00470C9A"/>
    <w:rsid w:val="00470EE8"/>
    <w:rsid w:val="00474F11"/>
    <w:rsid w:val="00477A09"/>
    <w:rsid w:val="0048017E"/>
    <w:rsid w:val="004807F2"/>
    <w:rsid w:val="00481FCC"/>
    <w:rsid w:val="0048364E"/>
    <w:rsid w:val="00483FA9"/>
    <w:rsid w:val="004844F8"/>
    <w:rsid w:val="00485BC0"/>
    <w:rsid w:val="004860FB"/>
    <w:rsid w:val="00486CE5"/>
    <w:rsid w:val="00487DC4"/>
    <w:rsid w:val="0049030A"/>
    <w:rsid w:val="004911DD"/>
    <w:rsid w:val="00492048"/>
    <w:rsid w:val="00493647"/>
    <w:rsid w:val="00494D57"/>
    <w:rsid w:val="0049598A"/>
    <w:rsid w:val="004970A4"/>
    <w:rsid w:val="004A0C25"/>
    <w:rsid w:val="004A729A"/>
    <w:rsid w:val="004B37EE"/>
    <w:rsid w:val="004B4CD7"/>
    <w:rsid w:val="004C14A2"/>
    <w:rsid w:val="004C5641"/>
    <w:rsid w:val="004C6F7C"/>
    <w:rsid w:val="004C7E9B"/>
    <w:rsid w:val="004D7B03"/>
    <w:rsid w:val="004E2A3E"/>
    <w:rsid w:val="004E4DAD"/>
    <w:rsid w:val="004E6F22"/>
    <w:rsid w:val="004E7491"/>
    <w:rsid w:val="004E75BB"/>
    <w:rsid w:val="004F02A6"/>
    <w:rsid w:val="004F12F7"/>
    <w:rsid w:val="004F7870"/>
    <w:rsid w:val="004F7990"/>
    <w:rsid w:val="005000EB"/>
    <w:rsid w:val="0050097C"/>
    <w:rsid w:val="00503805"/>
    <w:rsid w:val="00505400"/>
    <w:rsid w:val="0050540D"/>
    <w:rsid w:val="005100C1"/>
    <w:rsid w:val="005126B3"/>
    <w:rsid w:val="00513CD6"/>
    <w:rsid w:val="005142D4"/>
    <w:rsid w:val="005167AA"/>
    <w:rsid w:val="0052103C"/>
    <w:rsid w:val="0052221D"/>
    <w:rsid w:val="005233A3"/>
    <w:rsid w:val="00530394"/>
    <w:rsid w:val="00530C5D"/>
    <w:rsid w:val="00531DD3"/>
    <w:rsid w:val="0053241A"/>
    <w:rsid w:val="00533940"/>
    <w:rsid w:val="0053678A"/>
    <w:rsid w:val="005379C7"/>
    <w:rsid w:val="00544AA2"/>
    <w:rsid w:val="00546025"/>
    <w:rsid w:val="00547C3D"/>
    <w:rsid w:val="005604EA"/>
    <w:rsid w:val="005614CC"/>
    <w:rsid w:val="00563904"/>
    <w:rsid w:val="005663C0"/>
    <w:rsid w:val="0057180C"/>
    <w:rsid w:val="0057424A"/>
    <w:rsid w:val="005744FA"/>
    <w:rsid w:val="00574F27"/>
    <w:rsid w:val="005761BB"/>
    <w:rsid w:val="00576736"/>
    <w:rsid w:val="005772F7"/>
    <w:rsid w:val="00580579"/>
    <w:rsid w:val="0058126A"/>
    <w:rsid w:val="0058148F"/>
    <w:rsid w:val="00581BA7"/>
    <w:rsid w:val="00591B31"/>
    <w:rsid w:val="00595DEB"/>
    <w:rsid w:val="005A0187"/>
    <w:rsid w:val="005A1BA2"/>
    <w:rsid w:val="005A4658"/>
    <w:rsid w:val="005A7347"/>
    <w:rsid w:val="005A7BCA"/>
    <w:rsid w:val="005B70CC"/>
    <w:rsid w:val="005C545F"/>
    <w:rsid w:val="005D2108"/>
    <w:rsid w:val="005D27E0"/>
    <w:rsid w:val="005D311D"/>
    <w:rsid w:val="005D3E02"/>
    <w:rsid w:val="005D4107"/>
    <w:rsid w:val="005E1022"/>
    <w:rsid w:val="005E27C8"/>
    <w:rsid w:val="005E4BC2"/>
    <w:rsid w:val="005E5AA2"/>
    <w:rsid w:val="005E5D65"/>
    <w:rsid w:val="005E5EC5"/>
    <w:rsid w:val="005E6994"/>
    <w:rsid w:val="005F19B1"/>
    <w:rsid w:val="005F4042"/>
    <w:rsid w:val="005F460E"/>
    <w:rsid w:val="005F4D3B"/>
    <w:rsid w:val="005F670F"/>
    <w:rsid w:val="005F684C"/>
    <w:rsid w:val="005F6B56"/>
    <w:rsid w:val="005F7ACE"/>
    <w:rsid w:val="0060044A"/>
    <w:rsid w:val="006013CB"/>
    <w:rsid w:val="00612E42"/>
    <w:rsid w:val="00614C41"/>
    <w:rsid w:val="006165F4"/>
    <w:rsid w:val="00624140"/>
    <w:rsid w:val="006243D5"/>
    <w:rsid w:val="006263DE"/>
    <w:rsid w:val="006264E4"/>
    <w:rsid w:val="0063162C"/>
    <w:rsid w:val="00631AB8"/>
    <w:rsid w:val="006362EA"/>
    <w:rsid w:val="0063736E"/>
    <w:rsid w:val="00637B01"/>
    <w:rsid w:val="00637E76"/>
    <w:rsid w:val="00641AD3"/>
    <w:rsid w:val="006440FE"/>
    <w:rsid w:val="00651439"/>
    <w:rsid w:val="0065443A"/>
    <w:rsid w:val="00656071"/>
    <w:rsid w:val="00657039"/>
    <w:rsid w:val="00665336"/>
    <w:rsid w:val="00666FD0"/>
    <w:rsid w:val="006754F1"/>
    <w:rsid w:val="00677D75"/>
    <w:rsid w:val="00677DFF"/>
    <w:rsid w:val="0068063C"/>
    <w:rsid w:val="00683E63"/>
    <w:rsid w:val="00683FFC"/>
    <w:rsid w:val="0068750D"/>
    <w:rsid w:val="006875EA"/>
    <w:rsid w:val="006923DA"/>
    <w:rsid w:val="0069398F"/>
    <w:rsid w:val="006A01D7"/>
    <w:rsid w:val="006A0DCB"/>
    <w:rsid w:val="006A6349"/>
    <w:rsid w:val="006A6A03"/>
    <w:rsid w:val="006B19C0"/>
    <w:rsid w:val="006B2954"/>
    <w:rsid w:val="006B39D1"/>
    <w:rsid w:val="006B3DBE"/>
    <w:rsid w:val="006B523B"/>
    <w:rsid w:val="006C7413"/>
    <w:rsid w:val="006C76EA"/>
    <w:rsid w:val="006D162A"/>
    <w:rsid w:val="006D3433"/>
    <w:rsid w:val="006D3585"/>
    <w:rsid w:val="006D557F"/>
    <w:rsid w:val="006D5DFC"/>
    <w:rsid w:val="006D653C"/>
    <w:rsid w:val="006D69C6"/>
    <w:rsid w:val="006D76CE"/>
    <w:rsid w:val="006D787A"/>
    <w:rsid w:val="006E0DC6"/>
    <w:rsid w:val="006E0ED9"/>
    <w:rsid w:val="006E1312"/>
    <w:rsid w:val="006E254C"/>
    <w:rsid w:val="006E7AFD"/>
    <w:rsid w:val="006F078E"/>
    <w:rsid w:val="006F4624"/>
    <w:rsid w:val="006F48C7"/>
    <w:rsid w:val="006F56F3"/>
    <w:rsid w:val="00701C39"/>
    <w:rsid w:val="00701F5B"/>
    <w:rsid w:val="007020CF"/>
    <w:rsid w:val="0070388A"/>
    <w:rsid w:val="007104C0"/>
    <w:rsid w:val="00710F9D"/>
    <w:rsid w:val="00714BAD"/>
    <w:rsid w:val="007203C9"/>
    <w:rsid w:val="00723C69"/>
    <w:rsid w:val="00731C61"/>
    <w:rsid w:val="00736E0B"/>
    <w:rsid w:val="00737905"/>
    <w:rsid w:val="007418AC"/>
    <w:rsid w:val="00741978"/>
    <w:rsid w:val="007426F9"/>
    <w:rsid w:val="00744AE9"/>
    <w:rsid w:val="0074751E"/>
    <w:rsid w:val="00753AF1"/>
    <w:rsid w:val="0075458A"/>
    <w:rsid w:val="00755D76"/>
    <w:rsid w:val="007562C8"/>
    <w:rsid w:val="0076757A"/>
    <w:rsid w:val="00772027"/>
    <w:rsid w:val="00772CF3"/>
    <w:rsid w:val="007748B6"/>
    <w:rsid w:val="00781517"/>
    <w:rsid w:val="00782AA3"/>
    <w:rsid w:val="007831FA"/>
    <w:rsid w:val="007877FB"/>
    <w:rsid w:val="00792196"/>
    <w:rsid w:val="00794DF5"/>
    <w:rsid w:val="007A3391"/>
    <w:rsid w:val="007A5B70"/>
    <w:rsid w:val="007A5E91"/>
    <w:rsid w:val="007A60C3"/>
    <w:rsid w:val="007A6FEF"/>
    <w:rsid w:val="007A7C41"/>
    <w:rsid w:val="007B60A8"/>
    <w:rsid w:val="007C17C4"/>
    <w:rsid w:val="007C42E8"/>
    <w:rsid w:val="007C4EAE"/>
    <w:rsid w:val="007C5F13"/>
    <w:rsid w:val="007C7907"/>
    <w:rsid w:val="007C79F2"/>
    <w:rsid w:val="007D0C8D"/>
    <w:rsid w:val="007D22BE"/>
    <w:rsid w:val="007D6F67"/>
    <w:rsid w:val="007D7510"/>
    <w:rsid w:val="007E160C"/>
    <w:rsid w:val="007E4048"/>
    <w:rsid w:val="007E6F27"/>
    <w:rsid w:val="007E764E"/>
    <w:rsid w:val="007F1068"/>
    <w:rsid w:val="007F13EF"/>
    <w:rsid w:val="007F2542"/>
    <w:rsid w:val="007F5984"/>
    <w:rsid w:val="007F60CB"/>
    <w:rsid w:val="007F6231"/>
    <w:rsid w:val="0080156B"/>
    <w:rsid w:val="00801685"/>
    <w:rsid w:val="00801F7B"/>
    <w:rsid w:val="00805E28"/>
    <w:rsid w:val="00806B42"/>
    <w:rsid w:val="00813320"/>
    <w:rsid w:val="0082033F"/>
    <w:rsid w:val="00821BD2"/>
    <w:rsid w:val="00822765"/>
    <w:rsid w:val="00823581"/>
    <w:rsid w:val="00825BCE"/>
    <w:rsid w:val="008267F4"/>
    <w:rsid w:val="008333E5"/>
    <w:rsid w:val="008336BD"/>
    <w:rsid w:val="00834A77"/>
    <w:rsid w:val="00835AAC"/>
    <w:rsid w:val="0083617E"/>
    <w:rsid w:val="00837595"/>
    <w:rsid w:val="00840F74"/>
    <w:rsid w:val="00844785"/>
    <w:rsid w:val="0084541E"/>
    <w:rsid w:val="0084614F"/>
    <w:rsid w:val="008468D6"/>
    <w:rsid w:val="00846AA4"/>
    <w:rsid w:val="00847EA3"/>
    <w:rsid w:val="00850248"/>
    <w:rsid w:val="008502FF"/>
    <w:rsid w:val="00854FD1"/>
    <w:rsid w:val="0085734C"/>
    <w:rsid w:val="00861E65"/>
    <w:rsid w:val="00862020"/>
    <w:rsid w:val="008621DB"/>
    <w:rsid w:val="00870745"/>
    <w:rsid w:val="00870CEE"/>
    <w:rsid w:val="00870EC7"/>
    <w:rsid w:val="00880849"/>
    <w:rsid w:val="00880A81"/>
    <w:rsid w:val="00880DC1"/>
    <w:rsid w:val="00881C9F"/>
    <w:rsid w:val="00883661"/>
    <w:rsid w:val="008858C6"/>
    <w:rsid w:val="00886469"/>
    <w:rsid w:val="0088791D"/>
    <w:rsid w:val="008931DE"/>
    <w:rsid w:val="00897A48"/>
    <w:rsid w:val="008A07A3"/>
    <w:rsid w:val="008A6138"/>
    <w:rsid w:val="008A792A"/>
    <w:rsid w:val="008B1AB0"/>
    <w:rsid w:val="008B4A2C"/>
    <w:rsid w:val="008B5E71"/>
    <w:rsid w:val="008C0668"/>
    <w:rsid w:val="008C197B"/>
    <w:rsid w:val="008C2DD1"/>
    <w:rsid w:val="008C316D"/>
    <w:rsid w:val="008C32A2"/>
    <w:rsid w:val="008C5C79"/>
    <w:rsid w:val="008C6403"/>
    <w:rsid w:val="008D1673"/>
    <w:rsid w:val="008D1C1A"/>
    <w:rsid w:val="008D1D29"/>
    <w:rsid w:val="008E630B"/>
    <w:rsid w:val="008F1B67"/>
    <w:rsid w:val="008F245F"/>
    <w:rsid w:val="008F466F"/>
    <w:rsid w:val="00906C73"/>
    <w:rsid w:val="00907E3A"/>
    <w:rsid w:val="00910C4B"/>
    <w:rsid w:val="00910D0D"/>
    <w:rsid w:val="00911971"/>
    <w:rsid w:val="00914FF4"/>
    <w:rsid w:val="00917537"/>
    <w:rsid w:val="009210F4"/>
    <w:rsid w:val="0092120D"/>
    <w:rsid w:val="009302A2"/>
    <w:rsid w:val="00937CBD"/>
    <w:rsid w:val="00942C1F"/>
    <w:rsid w:val="00942E3D"/>
    <w:rsid w:val="009449CF"/>
    <w:rsid w:val="009500B3"/>
    <w:rsid w:val="009547A3"/>
    <w:rsid w:val="00961C52"/>
    <w:rsid w:val="00965C71"/>
    <w:rsid w:val="00965DE3"/>
    <w:rsid w:val="00966D24"/>
    <w:rsid w:val="00972948"/>
    <w:rsid w:val="00973791"/>
    <w:rsid w:val="009752A0"/>
    <w:rsid w:val="0097699E"/>
    <w:rsid w:val="00981857"/>
    <w:rsid w:val="00982048"/>
    <w:rsid w:val="00986C34"/>
    <w:rsid w:val="00991622"/>
    <w:rsid w:val="009918B3"/>
    <w:rsid w:val="00991A94"/>
    <w:rsid w:val="0099756D"/>
    <w:rsid w:val="009A0AFE"/>
    <w:rsid w:val="009A0EA1"/>
    <w:rsid w:val="009A4015"/>
    <w:rsid w:val="009A6A33"/>
    <w:rsid w:val="009A7375"/>
    <w:rsid w:val="009A78C2"/>
    <w:rsid w:val="009B2054"/>
    <w:rsid w:val="009B5AE5"/>
    <w:rsid w:val="009C0B33"/>
    <w:rsid w:val="009C10EB"/>
    <w:rsid w:val="009C1DB5"/>
    <w:rsid w:val="009C27A1"/>
    <w:rsid w:val="009C2D9E"/>
    <w:rsid w:val="009C4540"/>
    <w:rsid w:val="009D659D"/>
    <w:rsid w:val="009D69B3"/>
    <w:rsid w:val="009D6F8F"/>
    <w:rsid w:val="009E7AF1"/>
    <w:rsid w:val="009F3B71"/>
    <w:rsid w:val="009F5960"/>
    <w:rsid w:val="009F7562"/>
    <w:rsid w:val="00A02536"/>
    <w:rsid w:val="00A06499"/>
    <w:rsid w:val="00A108E2"/>
    <w:rsid w:val="00A121FD"/>
    <w:rsid w:val="00A16109"/>
    <w:rsid w:val="00A21D2B"/>
    <w:rsid w:val="00A26C4C"/>
    <w:rsid w:val="00A273BA"/>
    <w:rsid w:val="00A3160F"/>
    <w:rsid w:val="00A33248"/>
    <w:rsid w:val="00A3557C"/>
    <w:rsid w:val="00A35EF1"/>
    <w:rsid w:val="00A410B9"/>
    <w:rsid w:val="00A429AA"/>
    <w:rsid w:val="00A43CE1"/>
    <w:rsid w:val="00A43DD2"/>
    <w:rsid w:val="00A446EB"/>
    <w:rsid w:val="00A456C3"/>
    <w:rsid w:val="00A47053"/>
    <w:rsid w:val="00A47247"/>
    <w:rsid w:val="00A50A13"/>
    <w:rsid w:val="00A54147"/>
    <w:rsid w:val="00A636AD"/>
    <w:rsid w:val="00A63C31"/>
    <w:rsid w:val="00A668A1"/>
    <w:rsid w:val="00A67609"/>
    <w:rsid w:val="00A678D7"/>
    <w:rsid w:val="00A714E1"/>
    <w:rsid w:val="00A72CC3"/>
    <w:rsid w:val="00A73250"/>
    <w:rsid w:val="00A73A80"/>
    <w:rsid w:val="00A7531E"/>
    <w:rsid w:val="00A804D0"/>
    <w:rsid w:val="00A84C78"/>
    <w:rsid w:val="00A86FAC"/>
    <w:rsid w:val="00A87E76"/>
    <w:rsid w:val="00AA1A49"/>
    <w:rsid w:val="00AA6F3A"/>
    <w:rsid w:val="00AB6658"/>
    <w:rsid w:val="00AB6EB1"/>
    <w:rsid w:val="00AC3769"/>
    <w:rsid w:val="00AC3B41"/>
    <w:rsid w:val="00AC5780"/>
    <w:rsid w:val="00AC76A6"/>
    <w:rsid w:val="00AC7C43"/>
    <w:rsid w:val="00AD0AEC"/>
    <w:rsid w:val="00AD1F7A"/>
    <w:rsid w:val="00AD2536"/>
    <w:rsid w:val="00AD32D7"/>
    <w:rsid w:val="00AD3335"/>
    <w:rsid w:val="00AD5A17"/>
    <w:rsid w:val="00AD654C"/>
    <w:rsid w:val="00AE143C"/>
    <w:rsid w:val="00AE189D"/>
    <w:rsid w:val="00AE1F67"/>
    <w:rsid w:val="00AE7E95"/>
    <w:rsid w:val="00AF211A"/>
    <w:rsid w:val="00AF27C8"/>
    <w:rsid w:val="00AF37C5"/>
    <w:rsid w:val="00AF40A5"/>
    <w:rsid w:val="00AF6062"/>
    <w:rsid w:val="00AF6ACF"/>
    <w:rsid w:val="00AF7E4F"/>
    <w:rsid w:val="00B01864"/>
    <w:rsid w:val="00B05E2D"/>
    <w:rsid w:val="00B061DE"/>
    <w:rsid w:val="00B133AE"/>
    <w:rsid w:val="00B140D7"/>
    <w:rsid w:val="00B1549B"/>
    <w:rsid w:val="00B2169E"/>
    <w:rsid w:val="00B2219D"/>
    <w:rsid w:val="00B22F35"/>
    <w:rsid w:val="00B2424A"/>
    <w:rsid w:val="00B250F2"/>
    <w:rsid w:val="00B3081E"/>
    <w:rsid w:val="00B314C6"/>
    <w:rsid w:val="00B320E8"/>
    <w:rsid w:val="00B329CC"/>
    <w:rsid w:val="00B32BB6"/>
    <w:rsid w:val="00B34216"/>
    <w:rsid w:val="00B36F48"/>
    <w:rsid w:val="00B40205"/>
    <w:rsid w:val="00B41953"/>
    <w:rsid w:val="00B42DB4"/>
    <w:rsid w:val="00B448B3"/>
    <w:rsid w:val="00B44B65"/>
    <w:rsid w:val="00B46110"/>
    <w:rsid w:val="00B521B7"/>
    <w:rsid w:val="00B521EE"/>
    <w:rsid w:val="00B53145"/>
    <w:rsid w:val="00B53F96"/>
    <w:rsid w:val="00B54C59"/>
    <w:rsid w:val="00B56F95"/>
    <w:rsid w:val="00B60448"/>
    <w:rsid w:val="00B65963"/>
    <w:rsid w:val="00B65EEF"/>
    <w:rsid w:val="00B715DE"/>
    <w:rsid w:val="00B73A05"/>
    <w:rsid w:val="00B73E67"/>
    <w:rsid w:val="00B763EC"/>
    <w:rsid w:val="00B77AB2"/>
    <w:rsid w:val="00B805E7"/>
    <w:rsid w:val="00B81CA3"/>
    <w:rsid w:val="00B824F6"/>
    <w:rsid w:val="00B83531"/>
    <w:rsid w:val="00B83FEA"/>
    <w:rsid w:val="00B8602B"/>
    <w:rsid w:val="00B90BC2"/>
    <w:rsid w:val="00B90BCC"/>
    <w:rsid w:val="00B916EB"/>
    <w:rsid w:val="00B9175A"/>
    <w:rsid w:val="00B93A19"/>
    <w:rsid w:val="00B93C92"/>
    <w:rsid w:val="00BA1DD3"/>
    <w:rsid w:val="00BA2562"/>
    <w:rsid w:val="00BA703B"/>
    <w:rsid w:val="00BB0D60"/>
    <w:rsid w:val="00BB7DED"/>
    <w:rsid w:val="00BC2887"/>
    <w:rsid w:val="00BC4A23"/>
    <w:rsid w:val="00BC63B9"/>
    <w:rsid w:val="00BC6FB3"/>
    <w:rsid w:val="00BC747E"/>
    <w:rsid w:val="00BC76D8"/>
    <w:rsid w:val="00BD03CE"/>
    <w:rsid w:val="00BD3141"/>
    <w:rsid w:val="00BD5537"/>
    <w:rsid w:val="00BD6B87"/>
    <w:rsid w:val="00BE0B57"/>
    <w:rsid w:val="00BE5864"/>
    <w:rsid w:val="00BE59CD"/>
    <w:rsid w:val="00BE5EDF"/>
    <w:rsid w:val="00BF1E3C"/>
    <w:rsid w:val="00BF70FA"/>
    <w:rsid w:val="00BF75E8"/>
    <w:rsid w:val="00C01AA7"/>
    <w:rsid w:val="00C03318"/>
    <w:rsid w:val="00C0377E"/>
    <w:rsid w:val="00C040CE"/>
    <w:rsid w:val="00C06C04"/>
    <w:rsid w:val="00C10090"/>
    <w:rsid w:val="00C11A1A"/>
    <w:rsid w:val="00C14172"/>
    <w:rsid w:val="00C152C9"/>
    <w:rsid w:val="00C159C9"/>
    <w:rsid w:val="00C2049E"/>
    <w:rsid w:val="00C20A28"/>
    <w:rsid w:val="00C22BC6"/>
    <w:rsid w:val="00C303DA"/>
    <w:rsid w:val="00C31A9B"/>
    <w:rsid w:val="00C35EF5"/>
    <w:rsid w:val="00C36156"/>
    <w:rsid w:val="00C3732C"/>
    <w:rsid w:val="00C41EBF"/>
    <w:rsid w:val="00C4258F"/>
    <w:rsid w:val="00C42FC4"/>
    <w:rsid w:val="00C43023"/>
    <w:rsid w:val="00C4440A"/>
    <w:rsid w:val="00C45E10"/>
    <w:rsid w:val="00C538E9"/>
    <w:rsid w:val="00C5492A"/>
    <w:rsid w:val="00C55484"/>
    <w:rsid w:val="00C621F5"/>
    <w:rsid w:val="00C671E3"/>
    <w:rsid w:val="00C71002"/>
    <w:rsid w:val="00C73C47"/>
    <w:rsid w:val="00C75B75"/>
    <w:rsid w:val="00C7605C"/>
    <w:rsid w:val="00C76DFD"/>
    <w:rsid w:val="00C776B5"/>
    <w:rsid w:val="00C817B5"/>
    <w:rsid w:val="00C81E5B"/>
    <w:rsid w:val="00C82F9D"/>
    <w:rsid w:val="00C84135"/>
    <w:rsid w:val="00C8453A"/>
    <w:rsid w:val="00C86539"/>
    <w:rsid w:val="00C86CE5"/>
    <w:rsid w:val="00C87A4D"/>
    <w:rsid w:val="00C90C52"/>
    <w:rsid w:val="00C90EC8"/>
    <w:rsid w:val="00C91034"/>
    <w:rsid w:val="00C926D5"/>
    <w:rsid w:val="00C955DC"/>
    <w:rsid w:val="00CA3F28"/>
    <w:rsid w:val="00CB48E1"/>
    <w:rsid w:val="00CB6889"/>
    <w:rsid w:val="00CB6BF0"/>
    <w:rsid w:val="00CC0C59"/>
    <w:rsid w:val="00CD0EF2"/>
    <w:rsid w:val="00CE1AAA"/>
    <w:rsid w:val="00CE43CD"/>
    <w:rsid w:val="00CE5A11"/>
    <w:rsid w:val="00CE5C37"/>
    <w:rsid w:val="00CE612C"/>
    <w:rsid w:val="00CE6570"/>
    <w:rsid w:val="00CE76D9"/>
    <w:rsid w:val="00CF2EFC"/>
    <w:rsid w:val="00CF5C23"/>
    <w:rsid w:val="00D0200B"/>
    <w:rsid w:val="00D02699"/>
    <w:rsid w:val="00D0398D"/>
    <w:rsid w:val="00D07876"/>
    <w:rsid w:val="00D07D2B"/>
    <w:rsid w:val="00D148A7"/>
    <w:rsid w:val="00D1730F"/>
    <w:rsid w:val="00D2266D"/>
    <w:rsid w:val="00D2286E"/>
    <w:rsid w:val="00D22C82"/>
    <w:rsid w:val="00D25FED"/>
    <w:rsid w:val="00D265B8"/>
    <w:rsid w:val="00D31BC1"/>
    <w:rsid w:val="00D3620A"/>
    <w:rsid w:val="00D3705D"/>
    <w:rsid w:val="00D37A6A"/>
    <w:rsid w:val="00D413AB"/>
    <w:rsid w:val="00D42F87"/>
    <w:rsid w:val="00D45366"/>
    <w:rsid w:val="00D4773B"/>
    <w:rsid w:val="00D50A06"/>
    <w:rsid w:val="00D50E8B"/>
    <w:rsid w:val="00D619EF"/>
    <w:rsid w:val="00D62DA0"/>
    <w:rsid w:val="00D65218"/>
    <w:rsid w:val="00D71772"/>
    <w:rsid w:val="00D720A2"/>
    <w:rsid w:val="00D72112"/>
    <w:rsid w:val="00D72616"/>
    <w:rsid w:val="00D72A65"/>
    <w:rsid w:val="00D76C97"/>
    <w:rsid w:val="00D77936"/>
    <w:rsid w:val="00D80CAB"/>
    <w:rsid w:val="00D815E8"/>
    <w:rsid w:val="00D81FA5"/>
    <w:rsid w:val="00D82A79"/>
    <w:rsid w:val="00D82FBD"/>
    <w:rsid w:val="00D839B5"/>
    <w:rsid w:val="00D84853"/>
    <w:rsid w:val="00D87B0C"/>
    <w:rsid w:val="00D900AA"/>
    <w:rsid w:val="00D9015D"/>
    <w:rsid w:val="00D912E8"/>
    <w:rsid w:val="00D9349B"/>
    <w:rsid w:val="00D94226"/>
    <w:rsid w:val="00D97AC5"/>
    <w:rsid w:val="00DA0BA6"/>
    <w:rsid w:val="00DA2D0C"/>
    <w:rsid w:val="00DA44E9"/>
    <w:rsid w:val="00DA4AEC"/>
    <w:rsid w:val="00DA4CF3"/>
    <w:rsid w:val="00DA4ECB"/>
    <w:rsid w:val="00DA6EFF"/>
    <w:rsid w:val="00DB05D2"/>
    <w:rsid w:val="00DB0774"/>
    <w:rsid w:val="00DB18D9"/>
    <w:rsid w:val="00DB1C8C"/>
    <w:rsid w:val="00DB24CC"/>
    <w:rsid w:val="00DB4085"/>
    <w:rsid w:val="00DB49A4"/>
    <w:rsid w:val="00DC1F55"/>
    <w:rsid w:val="00DC376C"/>
    <w:rsid w:val="00DC6B0A"/>
    <w:rsid w:val="00DC750E"/>
    <w:rsid w:val="00DD07E0"/>
    <w:rsid w:val="00DD16C0"/>
    <w:rsid w:val="00DD2103"/>
    <w:rsid w:val="00DD2AD3"/>
    <w:rsid w:val="00DD43A8"/>
    <w:rsid w:val="00DE3BC1"/>
    <w:rsid w:val="00DE4604"/>
    <w:rsid w:val="00DE68F1"/>
    <w:rsid w:val="00DE7E48"/>
    <w:rsid w:val="00DF2B9A"/>
    <w:rsid w:val="00DF72D2"/>
    <w:rsid w:val="00E02B93"/>
    <w:rsid w:val="00E048A1"/>
    <w:rsid w:val="00E05C66"/>
    <w:rsid w:val="00E068C8"/>
    <w:rsid w:val="00E10523"/>
    <w:rsid w:val="00E16E0F"/>
    <w:rsid w:val="00E171BE"/>
    <w:rsid w:val="00E178F6"/>
    <w:rsid w:val="00E17AE0"/>
    <w:rsid w:val="00E223C7"/>
    <w:rsid w:val="00E241B3"/>
    <w:rsid w:val="00E305E3"/>
    <w:rsid w:val="00E318AB"/>
    <w:rsid w:val="00E3280C"/>
    <w:rsid w:val="00E32CAB"/>
    <w:rsid w:val="00E33C13"/>
    <w:rsid w:val="00E34B24"/>
    <w:rsid w:val="00E417EF"/>
    <w:rsid w:val="00E43418"/>
    <w:rsid w:val="00E4346C"/>
    <w:rsid w:val="00E44992"/>
    <w:rsid w:val="00E53571"/>
    <w:rsid w:val="00E5374E"/>
    <w:rsid w:val="00E5406C"/>
    <w:rsid w:val="00E5643D"/>
    <w:rsid w:val="00E600FD"/>
    <w:rsid w:val="00E61D92"/>
    <w:rsid w:val="00E641E1"/>
    <w:rsid w:val="00E64B68"/>
    <w:rsid w:val="00E64F4F"/>
    <w:rsid w:val="00E6564A"/>
    <w:rsid w:val="00E66400"/>
    <w:rsid w:val="00E70304"/>
    <w:rsid w:val="00E72AEE"/>
    <w:rsid w:val="00E83F9C"/>
    <w:rsid w:val="00E84057"/>
    <w:rsid w:val="00E8632C"/>
    <w:rsid w:val="00E863CD"/>
    <w:rsid w:val="00E8753E"/>
    <w:rsid w:val="00E87F9C"/>
    <w:rsid w:val="00E91BDA"/>
    <w:rsid w:val="00E95942"/>
    <w:rsid w:val="00EA1546"/>
    <w:rsid w:val="00EB11BD"/>
    <w:rsid w:val="00EB1A7B"/>
    <w:rsid w:val="00EB3AF2"/>
    <w:rsid w:val="00EB5B30"/>
    <w:rsid w:val="00EB6BF6"/>
    <w:rsid w:val="00EB7792"/>
    <w:rsid w:val="00EB7B5F"/>
    <w:rsid w:val="00EC2743"/>
    <w:rsid w:val="00EC4A28"/>
    <w:rsid w:val="00EC5490"/>
    <w:rsid w:val="00EC74CB"/>
    <w:rsid w:val="00ED630D"/>
    <w:rsid w:val="00ED6DC6"/>
    <w:rsid w:val="00EE052C"/>
    <w:rsid w:val="00EE1EE4"/>
    <w:rsid w:val="00EE42C0"/>
    <w:rsid w:val="00EF1B3A"/>
    <w:rsid w:val="00EF35C4"/>
    <w:rsid w:val="00F02E39"/>
    <w:rsid w:val="00F02F34"/>
    <w:rsid w:val="00F044D1"/>
    <w:rsid w:val="00F06A0B"/>
    <w:rsid w:val="00F07B20"/>
    <w:rsid w:val="00F116BD"/>
    <w:rsid w:val="00F126EC"/>
    <w:rsid w:val="00F144F2"/>
    <w:rsid w:val="00F14DF7"/>
    <w:rsid w:val="00F22E35"/>
    <w:rsid w:val="00F2301B"/>
    <w:rsid w:val="00F24199"/>
    <w:rsid w:val="00F311F7"/>
    <w:rsid w:val="00F322FD"/>
    <w:rsid w:val="00F33EA2"/>
    <w:rsid w:val="00F35EF4"/>
    <w:rsid w:val="00F3625E"/>
    <w:rsid w:val="00F40984"/>
    <w:rsid w:val="00F42771"/>
    <w:rsid w:val="00F44201"/>
    <w:rsid w:val="00F44753"/>
    <w:rsid w:val="00F45233"/>
    <w:rsid w:val="00F50EB7"/>
    <w:rsid w:val="00F520A6"/>
    <w:rsid w:val="00F54170"/>
    <w:rsid w:val="00F546FE"/>
    <w:rsid w:val="00F563BD"/>
    <w:rsid w:val="00F56B72"/>
    <w:rsid w:val="00F61311"/>
    <w:rsid w:val="00F640F6"/>
    <w:rsid w:val="00F663CF"/>
    <w:rsid w:val="00F7043C"/>
    <w:rsid w:val="00F734AC"/>
    <w:rsid w:val="00F7781A"/>
    <w:rsid w:val="00F803DD"/>
    <w:rsid w:val="00F8112C"/>
    <w:rsid w:val="00F8192C"/>
    <w:rsid w:val="00F83E8C"/>
    <w:rsid w:val="00F86291"/>
    <w:rsid w:val="00F87DA8"/>
    <w:rsid w:val="00F906CF"/>
    <w:rsid w:val="00F9115E"/>
    <w:rsid w:val="00F96D24"/>
    <w:rsid w:val="00FA24F1"/>
    <w:rsid w:val="00FA301D"/>
    <w:rsid w:val="00FB288B"/>
    <w:rsid w:val="00FB2E33"/>
    <w:rsid w:val="00FB3CA2"/>
    <w:rsid w:val="00FB4C77"/>
    <w:rsid w:val="00FB6B20"/>
    <w:rsid w:val="00FC28A6"/>
    <w:rsid w:val="00FC384C"/>
    <w:rsid w:val="00FD01E1"/>
    <w:rsid w:val="00FD067D"/>
    <w:rsid w:val="00FD3B57"/>
    <w:rsid w:val="00FD4DBD"/>
    <w:rsid w:val="00FD6F51"/>
    <w:rsid w:val="00FE03C1"/>
    <w:rsid w:val="00FE0FE4"/>
    <w:rsid w:val="00FE39BF"/>
    <w:rsid w:val="00FE4F42"/>
    <w:rsid w:val="00FF0581"/>
    <w:rsid w:val="00FF3BC0"/>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0AEAB"/>
  <w14:defaultImageDpi w14:val="300"/>
  <w15:docId w15:val="{52E33F99-7964-44AC-B4FC-91417AFF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F7218"/>
    <w:pPr>
      <w:keepNext/>
      <w:keepLines/>
      <w:spacing w:before="240" w:line="259" w:lineRule="auto"/>
      <w:outlineLvl w:val="0"/>
    </w:pPr>
    <w:rPr>
      <w:rFonts w:asciiTheme="majorHAnsi" w:eastAsiaTheme="majorEastAsia" w:hAnsiTheme="majorHAnsi" w:cs="Times New Roman"/>
      <w:color w:val="365F91" w:themeColor="accent1" w:themeShade="BF"/>
      <w:sz w:val="32"/>
      <w:szCs w:val="32"/>
    </w:rPr>
  </w:style>
  <w:style w:type="paragraph" w:styleId="Heading2">
    <w:name w:val="heading 2"/>
    <w:basedOn w:val="Normal"/>
    <w:next w:val="Normal"/>
    <w:link w:val="Heading2Char"/>
    <w:uiPriority w:val="9"/>
    <w:semiHidden/>
    <w:unhideWhenUsed/>
    <w:qFormat/>
    <w:rsid w:val="00AE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2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3769"/>
  </w:style>
  <w:style w:type="paragraph" w:styleId="ListParagraph">
    <w:name w:val="List Paragraph"/>
    <w:basedOn w:val="Normal"/>
    <w:uiPriority w:val="34"/>
    <w:qFormat/>
    <w:rsid w:val="00353B69"/>
    <w:pPr>
      <w:ind w:left="720"/>
      <w:contextualSpacing/>
    </w:pPr>
  </w:style>
  <w:style w:type="character" w:styleId="Hyperlink">
    <w:name w:val="Hyperlink"/>
    <w:basedOn w:val="DefaultParagraphFont"/>
    <w:uiPriority w:val="99"/>
    <w:unhideWhenUsed/>
    <w:rsid w:val="00C41EBF"/>
    <w:rPr>
      <w:color w:val="0000FF"/>
      <w:u w:val="single"/>
    </w:rPr>
  </w:style>
  <w:style w:type="paragraph" w:customStyle="1" w:styleId="gwp58be9768msonormal">
    <w:name w:val="gwp58be9768_msonormal"/>
    <w:basedOn w:val="Normal"/>
    <w:rsid w:val="007F60CB"/>
    <w:pPr>
      <w:spacing w:before="100" w:beforeAutospacing="1" w:after="100" w:afterAutospacing="1"/>
    </w:pPr>
    <w:rPr>
      <w:rFonts w:ascii="Times" w:hAnsi="Times"/>
      <w:sz w:val="20"/>
      <w:szCs w:val="20"/>
    </w:rPr>
  </w:style>
  <w:style w:type="character" w:customStyle="1" w:styleId="gwp58be9768size">
    <w:name w:val="gwp58be9768_size"/>
    <w:basedOn w:val="DefaultParagraphFont"/>
    <w:rsid w:val="007F60CB"/>
  </w:style>
  <w:style w:type="character" w:customStyle="1" w:styleId="gwp58be9768highlight">
    <w:name w:val="gwp58be9768_highlight"/>
    <w:basedOn w:val="DefaultParagraphFont"/>
    <w:rsid w:val="007F60CB"/>
  </w:style>
  <w:style w:type="paragraph" w:styleId="Caption">
    <w:name w:val="caption"/>
    <w:basedOn w:val="Normal"/>
    <w:next w:val="Normal"/>
    <w:unhideWhenUsed/>
    <w:qFormat/>
    <w:rsid w:val="000F0251"/>
    <w:rPr>
      <w:rFonts w:ascii="Times New Roman" w:eastAsia="Times New Roman" w:hAnsi="Times New Roman" w:cs="Times New Roman"/>
      <w:b/>
      <w:bCs/>
      <w:szCs w:val="20"/>
      <w:lang w:eastAsia="pl-PL"/>
    </w:rPr>
  </w:style>
  <w:style w:type="paragraph" w:styleId="BalloonText">
    <w:name w:val="Balloon Text"/>
    <w:basedOn w:val="Normal"/>
    <w:link w:val="BalloonTextChar"/>
    <w:uiPriority w:val="99"/>
    <w:semiHidden/>
    <w:unhideWhenUsed/>
    <w:rsid w:val="00C75B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B75"/>
    <w:rPr>
      <w:rFonts w:ascii="Lucida Grande" w:hAnsi="Lucida Grande" w:cs="Lucida Grande"/>
      <w:sz w:val="18"/>
      <w:szCs w:val="18"/>
    </w:rPr>
  </w:style>
  <w:style w:type="table" w:customStyle="1" w:styleId="LightList1">
    <w:name w:val="Light List1"/>
    <w:basedOn w:val="TableNormal"/>
    <w:uiPriority w:val="61"/>
    <w:rsid w:val="0041054C"/>
    <w:rPr>
      <w:rFonts w:ascii="Calibri" w:eastAsia="Calibri" w:hAnsi="Calibri" w:cs="Times New Roman"/>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F044D1"/>
    <w:rPr>
      <w:color w:val="808080"/>
    </w:rPr>
  </w:style>
  <w:style w:type="paragraph" w:styleId="NormalWeb">
    <w:name w:val="Normal (Web)"/>
    <w:basedOn w:val="Normal"/>
    <w:uiPriority w:val="99"/>
    <w:semiHidden/>
    <w:unhideWhenUsed/>
    <w:rsid w:val="00B60448"/>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755D76"/>
    <w:pPr>
      <w:tabs>
        <w:tab w:val="center" w:pos="4320"/>
        <w:tab w:val="right" w:pos="8640"/>
      </w:tabs>
    </w:pPr>
  </w:style>
  <w:style w:type="character" w:customStyle="1" w:styleId="FooterChar">
    <w:name w:val="Footer Char"/>
    <w:basedOn w:val="DefaultParagraphFont"/>
    <w:link w:val="Footer"/>
    <w:uiPriority w:val="99"/>
    <w:rsid w:val="00755D76"/>
  </w:style>
  <w:style w:type="character" w:styleId="PageNumber">
    <w:name w:val="page number"/>
    <w:basedOn w:val="DefaultParagraphFont"/>
    <w:uiPriority w:val="99"/>
    <w:semiHidden/>
    <w:unhideWhenUsed/>
    <w:rsid w:val="00755D76"/>
  </w:style>
  <w:style w:type="table" w:styleId="TableGrid">
    <w:name w:val="Table Grid"/>
    <w:basedOn w:val="TableNormal"/>
    <w:uiPriority w:val="59"/>
    <w:rsid w:val="00A6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A678D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mphasis">
    <w:name w:val="Emphasis"/>
    <w:basedOn w:val="DefaultParagraphFont"/>
    <w:uiPriority w:val="20"/>
    <w:qFormat/>
    <w:rsid w:val="006F48C7"/>
    <w:rPr>
      <w:i/>
      <w:iCs/>
    </w:rPr>
  </w:style>
  <w:style w:type="character" w:customStyle="1" w:styleId="Heading1Char">
    <w:name w:val="Heading 1 Char"/>
    <w:basedOn w:val="DefaultParagraphFont"/>
    <w:link w:val="Heading1"/>
    <w:uiPriority w:val="9"/>
    <w:rsid w:val="000F7218"/>
    <w:rPr>
      <w:rFonts w:asciiTheme="majorHAnsi" w:eastAsiaTheme="majorEastAsia" w:hAnsiTheme="majorHAnsi" w:cs="Times New Roman"/>
      <w:color w:val="365F91" w:themeColor="accent1" w:themeShade="BF"/>
      <w:sz w:val="32"/>
      <w:szCs w:val="32"/>
    </w:rPr>
  </w:style>
  <w:style w:type="paragraph" w:styleId="Bibliography">
    <w:name w:val="Bibliography"/>
    <w:basedOn w:val="Normal"/>
    <w:next w:val="Normal"/>
    <w:uiPriority w:val="37"/>
    <w:unhideWhenUsed/>
    <w:rsid w:val="000F7218"/>
    <w:rPr>
      <w:rFonts w:cs="Times New Roman"/>
    </w:rPr>
  </w:style>
  <w:style w:type="character" w:styleId="FollowedHyperlink">
    <w:name w:val="FollowedHyperlink"/>
    <w:basedOn w:val="DefaultParagraphFont"/>
    <w:uiPriority w:val="99"/>
    <w:semiHidden/>
    <w:unhideWhenUsed/>
    <w:rsid w:val="00906C73"/>
    <w:rPr>
      <w:color w:val="800080" w:themeColor="followedHyperlink"/>
      <w:u w:val="single"/>
    </w:rPr>
  </w:style>
  <w:style w:type="character" w:customStyle="1" w:styleId="Heading2Char">
    <w:name w:val="Heading 2 Char"/>
    <w:basedOn w:val="DefaultParagraphFont"/>
    <w:link w:val="Heading2"/>
    <w:uiPriority w:val="9"/>
    <w:semiHidden/>
    <w:rsid w:val="00AE143C"/>
    <w:rPr>
      <w:rFonts w:asciiTheme="majorHAnsi" w:eastAsiaTheme="majorEastAsia" w:hAnsiTheme="majorHAnsi" w:cstheme="majorBidi"/>
      <w:b/>
      <w:bCs/>
      <w:color w:val="4F81BD" w:themeColor="accent1"/>
      <w:sz w:val="26"/>
      <w:szCs w:val="26"/>
    </w:rPr>
  </w:style>
  <w:style w:type="paragraph" w:customStyle="1" w:styleId="svarticle">
    <w:name w:val="svarticle"/>
    <w:basedOn w:val="Normal"/>
    <w:rsid w:val="00AE143C"/>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uiPriority w:val="9"/>
    <w:semiHidden/>
    <w:rsid w:val="009752A0"/>
    <w:rPr>
      <w:rFonts w:asciiTheme="majorHAnsi" w:eastAsiaTheme="majorEastAsia" w:hAnsiTheme="majorHAnsi" w:cstheme="majorBidi"/>
      <w:b/>
      <w:bCs/>
      <w:color w:val="4F81BD" w:themeColor="accent1"/>
    </w:rPr>
  </w:style>
  <w:style w:type="character" w:customStyle="1" w:styleId="collapsetext">
    <w:name w:val="collapsetext"/>
    <w:basedOn w:val="DefaultParagraphFont"/>
    <w:rsid w:val="009752A0"/>
  </w:style>
  <w:style w:type="character" w:customStyle="1" w:styleId="showinfo">
    <w:name w:val="showinfo"/>
    <w:basedOn w:val="DefaultParagraphFont"/>
    <w:rsid w:val="009752A0"/>
  </w:style>
  <w:style w:type="paragraph" w:customStyle="1" w:styleId="volissue">
    <w:name w:val="volissue"/>
    <w:basedOn w:val="Normal"/>
    <w:rsid w:val="009752A0"/>
    <w:pPr>
      <w:spacing w:before="100" w:beforeAutospacing="1" w:after="100" w:afterAutospacing="1"/>
    </w:pPr>
    <w:rPr>
      <w:rFonts w:ascii="Times" w:hAnsi="Times"/>
      <w:sz w:val="20"/>
      <w:szCs w:val="20"/>
    </w:rPr>
  </w:style>
  <w:style w:type="character" w:customStyle="1" w:styleId="journaltitle">
    <w:name w:val="journaltitle"/>
    <w:basedOn w:val="DefaultParagraphFont"/>
    <w:rsid w:val="00D97AC5"/>
  </w:style>
  <w:style w:type="paragraph" w:customStyle="1" w:styleId="icon--meta-keyline-before">
    <w:name w:val="icon--meta-keyline-before"/>
    <w:basedOn w:val="Normal"/>
    <w:rsid w:val="00D97AC5"/>
    <w:pPr>
      <w:spacing w:before="100" w:beforeAutospacing="1" w:after="100" w:afterAutospacing="1"/>
    </w:pPr>
    <w:rPr>
      <w:rFonts w:ascii="Times" w:hAnsi="Times"/>
      <w:sz w:val="20"/>
      <w:szCs w:val="20"/>
    </w:rPr>
  </w:style>
  <w:style w:type="character" w:customStyle="1" w:styleId="articlecitationyear">
    <w:name w:val="articlecitation_year"/>
    <w:basedOn w:val="DefaultParagraphFont"/>
    <w:rsid w:val="00D97AC5"/>
  </w:style>
  <w:style w:type="character" w:customStyle="1" w:styleId="articlecitationvolume">
    <w:name w:val="articlecitation_volume"/>
    <w:basedOn w:val="DefaultParagraphFont"/>
    <w:rsid w:val="00D97AC5"/>
  </w:style>
  <w:style w:type="character" w:customStyle="1" w:styleId="articlecitationpages">
    <w:name w:val="articlecitation_pages"/>
    <w:basedOn w:val="DefaultParagraphFont"/>
    <w:rsid w:val="00D97AC5"/>
  </w:style>
  <w:style w:type="character" w:customStyle="1" w:styleId="authorsname">
    <w:name w:val="authors__name"/>
    <w:basedOn w:val="DefaultParagraphFont"/>
    <w:rsid w:val="00D97AC5"/>
  </w:style>
  <w:style w:type="character" w:customStyle="1" w:styleId="authorscontact">
    <w:name w:val="authors__contact"/>
    <w:basedOn w:val="DefaultParagraphFont"/>
    <w:rsid w:val="00D97AC5"/>
  </w:style>
  <w:style w:type="paragraph" w:styleId="FootnoteText">
    <w:name w:val="footnote text"/>
    <w:basedOn w:val="Normal"/>
    <w:link w:val="FootnoteTextChar"/>
    <w:uiPriority w:val="99"/>
    <w:unhideWhenUsed/>
    <w:rsid w:val="002C366B"/>
  </w:style>
  <w:style w:type="character" w:customStyle="1" w:styleId="FootnoteTextChar">
    <w:name w:val="Footnote Text Char"/>
    <w:basedOn w:val="DefaultParagraphFont"/>
    <w:link w:val="FootnoteText"/>
    <w:uiPriority w:val="99"/>
    <w:rsid w:val="002C366B"/>
    <w:rPr>
      <w:lang w:val="en-GB"/>
    </w:rPr>
  </w:style>
  <w:style w:type="character" w:styleId="FootnoteReference">
    <w:name w:val="footnote reference"/>
    <w:basedOn w:val="DefaultParagraphFont"/>
    <w:uiPriority w:val="99"/>
    <w:unhideWhenUsed/>
    <w:rsid w:val="002C3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1875">
      <w:bodyDiv w:val="1"/>
      <w:marLeft w:val="0"/>
      <w:marRight w:val="0"/>
      <w:marTop w:val="0"/>
      <w:marBottom w:val="0"/>
      <w:divBdr>
        <w:top w:val="none" w:sz="0" w:space="0" w:color="auto"/>
        <w:left w:val="none" w:sz="0" w:space="0" w:color="auto"/>
        <w:bottom w:val="none" w:sz="0" w:space="0" w:color="auto"/>
        <w:right w:val="none" w:sz="0" w:space="0" w:color="auto"/>
      </w:divBdr>
    </w:div>
    <w:div w:id="53239352">
      <w:bodyDiv w:val="1"/>
      <w:marLeft w:val="0"/>
      <w:marRight w:val="0"/>
      <w:marTop w:val="0"/>
      <w:marBottom w:val="0"/>
      <w:divBdr>
        <w:top w:val="none" w:sz="0" w:space="0" w:color="auto"/>
        <w:left w:val="none" w:sz="0" w:space="0" w:color="auto"/>
        <w:bottom w:val="none" w:sz="0" w:space="0" w:color="auto"/>
        <w:right w:val="none" w:sz="0" w:space="0" w:color="auto"/>
      </w:divBdr>
      <w:divsChild>
        <w:div w:id="1635326608">
          <w:marLeft w:val="0"/>
          <w:marRight w:val="0"/>
          <w:marTop w:val="0"/>
          <w:marBottom w:val="240"/>
          <w:divBdr>
            <w:top w:val="none" w:sz="0" w:space="0" w:color="auto"/>
            <w:left w:val="none" w:sz="0" w:space="0" w:color="auto"/>
            <w:bottom w:val="none" w:sz="0" w:space="0" w:color="auto"/>
            <w:right w:val="none" w:sz="0" w:space="0" w:color="auto"/>
          </w:divBdr>
        </w:div>
      </w:divsChild>
    </w:div>
    <w:div w:id="76441904">
      <w:bodyDiv w:val="1"/>
      <w:marLeft w:val="0"/>
      <w:marRight w:val="0"/>
      <w:marTop w:val="0"/>
      <w:marBottom w:val="0"/>
      <w:divBdr>
        <w:top w:val="none" w:sz="0" w:space="0" w:color="auto"/>
        <w:left w:val="none" w:sz="0" w:space="0" w:color="auto"/>
        <w:bottom w:val="none" w:sz="0" w:space="0" w:color="auto"/>
        <w:right w:val="none" w:sz="0" w:space="0" w:color="auto"/>
      </w:divBdr>
    </w:div>
    <w:div w:id="112407076">
      <w:bodyDiv w:val="1"/>
      <w:marLeft w:val="0"/>
      <w:marRight w:val="0"/>
      <w:marTop w:val="0"/>
      <w:marBottom w:val="0"/>
      <w:divBdr>
        <w:top w:val="none" w:sz="0" w:space="0" w:color="auto"/>
        <w:left w:val="none" w:sz="0" w:space="0" w:color="auto"/>
        <w:bottom w:val="none" w:sz="0" w:space="0" w:color="auto"/>
        <w:right w:val="none" w:sz="0" w:space="0" w:color="auto"/>
      </w:divBdr>
      <w:divsChild>
        <w:div w:id="1177574443">
          <w:marLeft w:val="0"/>
          <w:marRight w:val="0"/>
          <w:marTop w:val="0"/>
          <w:marBottom w:val="240"/>
          <w:divBdr>
            <w:top w:val="none" w:sz="0" w:space="0" w:color="auto"/>
            <w:left w:val="none" w:sz="0" w:space="0" w:color="auto"/>
            <w:bottom w:val="none" w:sz="0" w:space="0" w:color="auto"/>
            <w:right w:val="none" w:sz="0" w:space="0" w:color="auto"/>
          </w:divBdr>
        </w:div>
      </w:divsChild>
    </w:div>
    <w:div w:id="155418013">
      <w:bodyDiv w:val="1"/>
      <w:marLeft w:val="0"/>
      <w:marRight w:val="0"/>
      <w:marTop w:val="0"/>
      <w:marBottom w:val="0"/>
      <w:divBdr>
        <w:top w:val="none" w:sz="0" w:space="0" w:color="auto"/>
        <w:left w:val="none" w:sz="0" w:space="0" w:color="auto"/>
        <w:bottom w:val="none" w:sz="0" w:space="0" w:color="auto"/>
        <w:right w:val="none" w:sz="0" w:space="0" w:color="auto"/>
      </w:divBdr>
    </w:div>
    <w:div w:id="158355614">
      <w:bodyDiv w:val="1"/>
      <w:marLeft w:val="0"/>
      <w:marRight w:val="0"/>
      <w:marTop w:val="0"/>
      <w:marBottom w:val="0"/>
      <w:divBdr>
        <w:top w:val="none" w:sz="0" w:space="0" w:color="auto"/>
        <w:left w:val="none" w:sz="0" w:space="0" w:color="auto"/>
        <w:bottom w:val="none" w:sz="0" w:space="0" w:color="auto"/>
        <w:right w:val="none" w:sz="0" w:space="0" w:color="auto"/>
      </w:divBdr>
    </w:div>
    <w:div w:id="194275936">
      <w:bodyDiv w:val="1"/>
      <w:marLeft w:val="0"/>
      <w:marRight w:val="0"/>
      <w:marTop w:val="0"/>
      <w:marBottom w:val="0"/>
      <w:divBdr>
        <w:top w:val="none" w:sz="0" w:space="0" w:color="auto"/>
        <w:left w:val="none" w:sz="0" w:space="0" w:color="auto"/>
        <w:bottom w:val="none" w:sz="0" w:space="0" w:color="auto"/>
        <w:right w:val="none" w:sz="0" w:space="0" w:color="auto"/>
      </w:divBdr>
    </w:div>
    <w:div w:id="224293065">
      <w:bodyDiv w:val="1"/>
      <w:marLeft w:val="0"/>
      <w:marRight w:val="0"/>
      <w:marTop w:val="0"/>
      <w:marBottom w:val="0"/>
      <w:divBdr>
        <w:top w:val="none" w:sz="0" w:space="0" w:color="auto"/>
        <w:left w:val="none" w:sz="0" w:space="0" w:color="auto"/>
        <w:bottom w:val="none" w:sz="0" w:space="0" w:color="auto"/>
        <w:right w:val="none" w:sz="0" w:space="0" w:color="auto"/>
      </w:divBdr>
    </w:div>
    <w:div w:id="237835163">
      <w:bodyDiv w:val="1"/>
      <w:marLeft w:val="0"/>
      <w:marRight w:val="0"/>
      <w:marTop w:val="0"/>
      <w:marBottom w:val="0"/>
      <w:divBdr>
        <w:top w:val="none" w:sz="0" w:space="0" w:color="auto"/>
        <w:left w:val="none" w:sz="0" w:space="0" w:color="auto"/>
        <w:bottom w:val="none" w:sz="0" w:space="0" w:color="auto"/>
        <w:right w:val="none" w:sz="0" w:space="0" w:color="auto"/>
      </w:divBdr>
      <w:divsChild>
        <w:div w:id="1168406003">
          <w:marLeft w:val="0"/>
          <w:marRight w:val="0"/>
          <w:marTop w:val="0"/>
          <w:marBottom w:val="0"/>
          <w:divBdr>
            <w:top w:val="none" w:sz="0" w:space="0" w:color="auto"/>
            <w:left w:val="none" w:sz="0" w:space="0" w:color="auto"/>
            <w:bottom w:val="none" w:sz="0" w:space="0" w:color="auto"/>
            <w:right w:val="none" w:sz="0" w:space="0" w:color="auto"/>
          </w:divBdr>
        </w:div>
        <w:div w:id="1183011934">
          <w:marLeft w:val="0"/>
          <w:marRight w:val="0"/>
          <w:marTop w:val="0"/>
          <w:marBottom w:val="0"/>
          <w:divBdr>
            <w:top w:val="none" w:sz="0" w:space="0" w:color="auto"/>
            <w:left w:val="none" w:sz="0" w:space="0" w:color="auto"/>
            <w:bottom w:val="none" w:sz="0" w:space="0" w:color="auto"/>
            <w:right w:val="none" w:sz="0" w:space="0" w:color="auto"/>
          </w:divBdr>
        </w:div>
      </w:divsChild>
    </w:div>
    <w:div w:id="243418427">
      <w:bodyDiv w:val="1"/>
      <w:marLeft w:val="0"/>
      <w:marRight w:val="0"/>
      <w:marTop w:val="0"/>
      <w:marBottom w:val="0"/>
      <w:divBdr>
        <w:top w:val="none" w:sz="0" w:space="0" w:color="auto"/>
        <w:left w:val="none" w:sz="0" w:space="0" w:color="auto"/>
        <w:bottom w:val="none" w:sz="0" w:space="0" w:color="auto"/>
        <w:right w:val="none" w:sz="0" w:space="0" w:color="auto"/>
      </w:divBdr>
    </w:div>
    <w:div w:id="265040963">
      <w:bodyDiv w:val="1"/>
      <w:marLeft w:val="0"/>
      <w:marRight w:val="0"/>
      <w:marTop w:val="0"/>
      <w:marBottom w:val="0"/>
      <w:divBdr>
        <w:top w:val="none" w:sz="0" w:space="0" w:color="auto"/>
        <w:left w:val="none" w:sz="0" w:space="0" w:color="auto"/>
        <w:bottom w:val="none" w:sz="0" w:space="0" w:color="auto"/>
        <w:right w:val="none" w:sz="0" w:space="0" w:color="auto"/>
      </w:divBdr>
      <w:divsChild>
        <w:div w:id="1346784398">
          <w:marLeft w:val="0"/>
          <w:marRight w:val="0"/>
          <w:marTop w:val="0"/>
          <w:marBottom w:val="240"/>
          <w:divBdr>
            <w:top w:val="none" w:sz="0" w:space="0" w:color="auto"/>
            <w:left w:val="none" w:sz="0" w:space="0" w:color="auto"/>
            <w:bottom w:val="none" w:sz="0" w:space="0" w:color="auto"/>
            <w:right w:val="none" w:sz="0" w:space="0" w:color="auto"/>
          </w:divBdr>
        </w:div>
      </w:divsChild>
    </w:div>
    <w:div w:id="296182722">
      <w:bodyDiv w:val="1"/>
      <w:marLeft w:val="0"/>
      <w:marRight w:val="0"/>
      <w:marTop w:val="0"/>
      <w:marBottom w:val="0"/>
      <w:divBdr>
        <w:top w:val="none" w:sz="0" w:space="0" w:color="auto"/>
        <w:left w:val="none" w:sz="0" w:space="0" w:color="auto"/>
        <w:bottom w:val="none" w:sz="0" w:space="0" w:color="auto"/>
        <w:right w:val="none" w:sz="0" w:space="0" w:color="auto"/>
      </w:divBdr>
      <w:divsChild>
        <w:div w:id="249432819">
          <w:marLeft w:val="0"/>
          <w:marRight w:val="0"/>
          <w:marTop w:val="0"/>
          <w:marBottom w:val="240"/>
          <w:divBdr>
            <w:top w:val="none" w:sz="0" w:space="0" w:color="auto"/>
            <w:left w:val="none" w:sz="0" w:space="0" w:color="auto"/>
            <w:bottom w:val="none" w:sz="0" w:space="0" w:color="auto"/>
            <w:right w:val="none" w:sz="0" w:space="0" w:color="auto"/>
          </w:divBdr>
        </w:div>
      </w:divsChild>
    </w:div>
    <w:div w:id="309486434">
      <w:bodyDiv w:val="1"/>
      <w:marLeft w:val="0"/>
      <w:marRight w:val="0"/>
      <w:marTop w:val="0"/>
      <w:marBottom w:val="0"/>
      <w:divBdr>
        <w:top w:val="none" w:sz="0" w:space="0" w:color="auto"/>
        <w:left w:val="none" w:sz="0" w:space="0" w:color="auto"/>
        <w:bottom w:val="none" w:sz="0" w:space="0" w:color="auto"/>
        <w:right w:val="none" w:sz="0" w:space="0" w:color="auto"/>
      </w:divBdr>
    </w:div>
    <w:div w:id="317076881">
      <w:bodyDiv w:val="1"/>
      <w:marLeft w:val="0"/>
      <w:marRight w:val="0"/>
      <w:marTop w:val="0"/>
      <w:marBottom w:val="0"/>
      <w:divBdr>
        <w:top w:val="none" w:sz="0" w:space="0" w:color="auto"/>
        <w:left w:val="none" w:sz="0" w:space="0" w:color="auto"/>
        <w:bottom w:val="none" w:sz="0" w:space="0" w:color="auto"/>
        <w:right w:val="none" w:sz="0" w:space="0" w:color="auto"/>
      </w:divBdr>
      <w:divsChild>
        <w:div w:id="458839664">
          <w:marLeft w:val="0"/>
          <w:marRight w:val="0"/>
          <w:marTop w:val="0"/>
          <w:marBottom w:val="240"/>
          <w:divBdr>
            <w:top w:val="none" w:sz="0" w:space="0" w:color="auto"/>
            <w:left w:val="none" w:sz="0" w:space="0" w:color="auto"/>
            <w:bottom w:val="none" w:sz="0" w:space="0" w:color="auto"/>
            <w:right w:val="none" w:sz="0" w:space="0" w:color="auto"/>
          </w:divBdr>
        </w:div>
        <w:div w:id="592781328">
          <w:marLeft w:val="0"/>
          <w:marRight w:val="0"/>
          <w:marTop w:val="0"/>
          <w:marBottom w:val="240"/>
          <w:divBdr>
            <w:top w:val="none" w:sz="0" w:space="0" w:color="auto"/>
            <w:left w:val="none" w:sz="0" w:space="0" w:color="auto"/>
            <w:bottom w:val="none" w:sz="0" w:space="0" w:color="auto"/>
            <w:right w:val="none" w:sz="0" w:space="0" w:color="auto"/>
          </w:divBdr>
        </w:div>
        <w:div w:id="1413892335">
          <w:marLeft w:val="0"/>
          <w:marRight w:val="0"/>
          <w:marTop w:val="0"/>
          <w:marBottom w:val="240"/>
          <w:divBdr>
            <w:top w:val="none" w:sz="0" w:space="0" w:color="auto"/>
            <w:left w:val="none" w:sz="0" w:space="0" w:color="auto"/>
            <w:bottom w:val="none" w:sz="0" w:space="0" w:color="auto"/>
            <w:right w:val="none" w:sz="0" w:space="0" w:color="auto"/>
          </w:divBdr>
        </w:div>
        <w:div w:id="2037458452">
          <w:marLeft w:val="0"/>
          <w:marRight w:val="0"/>
          <w:marTop w:val="0"/>
          <w:marBottom w:val="240"/>
          <w:divBdr>
            <w:top w:val="none" w:sz="0" w:space="0" w:color="auto"/>
            <w:left w:val="none" w:sz="0" w:space="0" w:color="auto"/>
            <w:bottom w:val="none" w:sz="0" w:space="0" w:color="auto"/>
            <w:right w:val="none" w:sz="0" w:space="0" w:color="auto"/>
          </w:divBdr>
        </w:div>
      </w:divsChild>
    </w:div>
    <w:div w:id="321469928">
      <w:bodyDiv w:val="1"/>
      <w:marLeft w:val="0"/>
      <w:marRight w:val="0"/>
      <w:marTop w:val="0"/>
      <w:marBottom w:val="0"/>
      <w:divBdr>
        <w:top w:val="none" w:sz="0" w:space="0" w:color="auto"/>
        <w:left w:val="none" w:sz="0" w:space="0" w:color="auto"/>
        <w:bottom w:val="none" w:sz="0" w:space="0" w:color="auto"/>
        <w:right w:val="none" w:sz="0" w:space="0" w:color="auto"/>
      </w:divBdr>
    </w:div>
    <w:div w:id="331302158">
      <w:bodyDiv w:val="1"/>
      <w:marLeft w:val="0"/>
      <w:marRight w:val="0"/>
      <w:marTop w:val="0"/>
      <w:marBottom w:val="0"/>
      <w:divBdr>
        <w:top w:val="none" w:sz="0" w:space="0" w:color="auto"/>
        <w:left w:val="none" w:sz="0" w:space="0" w:color="auto"/>
        <w:bottom w:val="none" w:sz="0" w:space="0" w:color="auto"/>
        <w:right w:val="none" w:sz="0" w:space="0" w:color="auto"/>
      </w:divBdr>
      <w:divsChild>
        <w:div w:id="559554340">
          <w:marLeft w:val="0"/>
          <w:marRight w:val="0"/>
          <w:marTop w:val="0"/>
          <w:marBottom w:val="120"/>
          <w:divBdr>
            <w:top w:val="none" w:sz="0" w:space="0" w:color="auto"/>
            <w:left w:val="none" w:sz="0" w:space="0" w:color="auto"/>
            <w:bottom w:val="none" w:sz="0" w:space="0" w:color="auto"/>
            <w:right w:val="none" w:sz="0" w:space="0" w:color="auto"/>
          </w:divBdr>
        </w:div>
        <w:div w:id="872110328">
          <w:marLeft w:val="0"/>
          <w:marRight w:val="0"/>
          <w:marTop w:val="0"/>
          <w:marBottom w:val="540"/>
          <w:divBdr>
            <w:top w:val="none" w:sz="0" w:space="0" w:color="auto"/>
            <w:left w:val="none" w:sz="0" w:space="0" w:color="auto"/>
            <w:bottom w:val="none" w:sz="0" w:space="0" w:color="auto"/>
            <w:right w:val="none" w:sz="0" w:space="0" w:color="auto"/>
          </w:divBdr>
        </w:div>
        <w:div w:id="2051218701">
          <w:marLeft w:val="0"/>
          <w:marRight w:val="0"/>
          <w:marTop w:val="0"/>
          <w:marBottom w:val="0"/>
          <w:divBdr>
            <w:top w:val="none" w:sz="0" w:space="0" w:color="auto"/>
            <w:left w:val="none" w:sz="0" w:space="0" w:color="auto"/>
            <w:bottom w:val="none" w:sz="0" w:space="0" w:color="auto"/>
            <w:right w:val="none" w:sz="0" w:space="0" w:color="auto"/>
          </w:divBdr>
          <w:divsChild>
            <w:div w:id="1456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3731">
      <w:bodyDiv w:val="1"/>
      <w:marLeft w:val="0"/>
      <w:marRight w:val="0"/>
      <w:marTop w:val="0"/>
      <w:marBottom w:val="0"/>
      <w:divBdr>
        <w:top w:val="none" w:sz="0" w:space="0" w:color="auto"/>
        <w:left w:val="none" w:sz="0" w:space="0" w:color="auto"/>
        <w:bottom w:val="none" w:sz="0" w:space="0" w:color="auto"/>
        <w:right w:val="none" w:sz="0" w:space="0" w:color="auto"/>
      </w:divBdr>
      <w:divsChild>
        <w:div w:id="1213153051">
          <w:marLeft w:val="0"/>
          <w:marRight w:val="0"/>
          <w:marTop w:val="0"/>
          <w:marBottom w:val="240"/>
          <w:divBdr>
            <w:top w:val="none" w:sz="0" w:space="0" w:color="auto"/>
            <w:left w:val="none" w:sz="0" w:space="0" w:color="auto"/>
            <w:bottom w:val="none" w:sz="0" w:space="0" w:color="auto"/>
            <w:right w:val="none" w:sz="0" w:space="0" w:color="auto"/>
          </w:divBdr>
        </w:div>
      </w:divsChild>
    </w:div>
    <w:div w:id="371030937">
      <w:bodyDiv w:val="1"/>
      <w:marLeft w:val="0"/>
      <w:marRight w:val="0"/>
      <w:marTop w:val="0"/>
      <w:marBottom w:val="0"/>
      <w:divBdr>
        <w:top w:val="none" w:sz="0" w:space="0" w:color="auto"/>
        <w:left w:val="none" w:sz="0" w:space="0" w:color="auto"/>
        <w:bottom w:val="none" w:sz="0" w:space="0" w:color="auto"/>
        <w:right w:val="none" w:sz="0" w:space="0" w:color="auto"/>
      </w:divBdr>
      <w:divsChild>
        <w:div w:id="4939008">
          <w:marLeft w:val="0"/>
          <w:marRight w:val="0"/>
          <w:marTop w:val="0"/>
          <w:marBottom w:val="240"/>
          <w:divBdr>
            <w:top w:val="none" w:sz="0" w:space="0" w:color="auto"/>
            <w:left w:val="none" w:sz="0" w:space="0" w:color="auto"/>
            <w:bottom w:val="none" w:sz="0" w:space="0" w:color="auto"/>
            <w:right w:val="none" w:sz="0" w:space="0" w:color="auto"/>
          </w:divBdr>
        </w:div>
        <w:div w:id="1709835534">
          <w:marLeft w:val="0"/>
          <w:marRight w:val="0"/>
          <w:marTop w:val="0"/>
          <w:marBottom w:val="240"/>
          <w:divBdr>
            <w:top w:val="none" w:sz="0" w:space="0" w:color="auto"/>
            <w:left w:val="none" w:sz="0" w:space="0" w:color="auto"/>
            <w:bottom w:val="none" w:sz="0" w:space="0" w:color="auto"/>
            <w:right w:val="none" w:sz="0" w:space="0" w:color="auto"/>
          </w:divBdr>
        </w:div>
        <w:div w:id="1769158153">
          <w:marLeft w:val="0"/>
          <w:marRight w:val="0"/>
          <w:marTop w:val="0"/>
          <w:marBottom w:val="240"/>
          <w:divBdr>
            <w:top w:val="none" w:sz="0" w:space="0" w:color="auto"/>
            <w:left w:val="none" w:sz="0" w:space="0" w:color="auto"/>
            <w:bottom w:val="none" w:sz="0" w:space="0" w:color="auto"/>
            <w:right w:val="none" w:sz="0" w:space="0" w:color="auto"/>
          </w:divBdr>
        </w:div>
        <w:div w:id="1775588091">
          <w:marLeft w:val="0"/>
          <w:marRight w:val="0"/>
          <w:marTop w:val="0"/>
          <w:marBottom w:val="240"/>
          <w:divBdr>
            <w:top w:val="none" w:sz="0" w:space="0" w:color="auto"/>
            <w:left w:val="none" w:sz="0" w:space="0" w:color="auto"/>
            <w:bottom w:val="none" w:sz="0" w:space="0" w:color="auto"/>
            <w:right w:val="none" w:sz="0" w:space="0" w:color="auto"/>
          </w:divBdr>
        </w:div>
        <w:div w:id="1981573046">
          <w:marLeft w:val="0"/>
          <w:marRight w:val="0"/>
          <w:marTop w:val="0"/>
          <w:marBottom w:val="240"/>
          <w:divBdr>
            <w:top w:val="none" w:sz="0" w:space="0" w:color="auto"/>
            <w:left w:val="none" w:sz="0" w:space="0" w:color="auto"/>
            <w:bottom w:val="none" w:sz="0" w:space="0" w:color="auto"/>
            <w:right w:val="none" w:sz="0" w:space="0" w:color="auto"/>
          </w:divBdr>
        </w:div>
      </w:divsChild>
    </w:div>
    <w:div w:id="371225328">
      <w:bodyDiv w:val="1"/>
      <w:marLeft w:val="0"/>
      <w:marRight w:val="0"/>
      <w:marTop w:val="0"/>
      <w:marBottom w:val="0"/>
      <w:divBdr>
        <w:top w:val="none" w:sz="0" w:space="0" w:color="auto"/>
        <w:left w:val="none" w:sz="0" w:space="0" w:color="auto"/>
        <w:bottom w:val="none" w:sz="0" w:space="0" w:color="auto"/>
        <w:right w:val="none" w:sz="0" w:space="0" w:color="auto"/>
      </w:divBdr>
      <w:divsChild>
        <w:div w:id="1091047931">
          <w:marLeft w:val="0"/>
          <w:marRight w:val="0"/>
          <w:marTop w:val="0"/>
          <w:marBottom w:val="240"/>
          <w:divBdr>
            <w:top w:val="none" w:sz="0" w:space="0" w:color="auto"/>
            <w:left w:val="none" w:sz="0" w:space="0" w:color="auto"/>
            <w:bottom w:val="none" w:sz="0" w:space="0" w:color="auto"/>
            <w:right w:val="none" w:sz="0" w:space="0" w:color="auto"/>
          </w:divBdr>
        </w:div>
        <w:div w:id="1698117973">
          <w:marLeft w:val="0"/>
          <w:marRight w:val="0"/>
          <w:marTop w:val="0"/>
          <w:marBottom w:val="240"/>
          <w:divBdr>
            <w:top w:val="none" w:sz="0" w:space="0" w:color="auto"/>
            <w:left w:val="none" w:sz="0" w:space="0" w:color="auto"/>
            <w:bottom w:val="none" w:sz="0" w:space="0" w:color="auto"/>
            <w:right w:val="none" w:sz="0" w:space="0" w:color="auto"/>
          </w:divBdr>
        </w:div>
      </w:divsChild>
    </w:div>
    <w:div w:id="392776095">
      <w:bodyDiv w:val="1"/>
      <w:marLeft w:val="0"/>
      <w:marRight w:val="0"/>
      <w:marTop w:val="0"/>
      <w:marBottom w:val="0"/>
      <w:divBdr>
        <w:top w:val="none" w:sz="0" w:space="0" w:color="auto"/>
        <w:left w:val="none" w:sz="0" w:space="0" w:color="auto"/>
        <w:bottom w:val="none" w:sz="0" w:space="0" w:color="auto"/>
        <w:right w:val="none" w:sz="0" w:space="0" w:color="auto"/>
      </w:divBdr>
    </w:div>
    <w:div w:id="432096426">
      <w:bodyDiv w:val="1"/>
      <w:marLeft w:val="0"/>
      <w:marRight w:val="0"/>
      <w:marTop w:val="0"/>
      <w:marBottom w:val="0"/>
      <w:divBdr>
        <w:top w:val="none" w:sz="0" w:space="0" w:color="auto"/>
        <w:left w:val="none" w:sz="0" w:space="0" w:color="auto"/>
        <w:bottom w:val="none" w:sz="0" w:space="0" w:color="auto"/>
        <w:right w:val="none" w:sz="0" w:space="0" w:color="auto"/>
      </w:divBdr>
      <w:divsChild>
        <w:div w:id="1532038814">
          <w:marLeft w:val="0"/>
          <w:marRight w:val="0"/>
          <w:marTop w:val="0"/>
          <w:marBottom w:val="240"/>
          <w:divBdr>
            <w:top w:val="none" w:sz="0" w:space="0" w:color="auto"/>
            <w:left w:val="none" w:sz="0" w:space="0" w:color="auto"/>
            <w:bottom w:val="none" w:sz="0" w:space="0" w:color="auto"/>
            <w:right w:val="none" w:sz="0" w:space="0" w:color="auto"/>
          </w:divBdr>
        </w:div>
        <w:div w:id="1580217038">
          <w:marLeft w:val="0"/>
          <w:marRight w:val="0"/>
          <w:marTop w:val="0"/>
          <w:marBottom w:val="240"/>
          <w:divBdr>
            <w:top w:val="none" w:sz="0" w:space="0" w:color="auto"/>
            <w:left w:val="none" w:sz="0" w:space="0" w:color="auto"/>
            <w:bottom w:val="none" w:sz="0" w:space="0" w:color="auto"/>
            <w:right w:val="none" w:sz="0" w:space="0" w:color="auto"/>
          </w:divBdr>
        </w:div>
        <w:div w:id="1753962911">
          <w:marLeft w:val="0"/>
          <w:marRight w:val="0"/>
          <w:marTop w:val="0"/>
          <w:marBottom w:val="240"/>
          <w:divBdr>
            <w:top w:val="none" w:sz="0" w:space="0" w:color="auto"/>
            <w:left w:val="none" w:sz="0" w:space="0" w:color="auto"/>
            <w:bottom w:val="none" w:sz="0" w:space="0" w:color="auto"/>
            <w:right w:val="none" w:sz="0" w:space="0" w:color="auto"/>
          </w:divBdr>
        </w:div>
      </w:divsChild>
    </w:div>
    <w:div w:id="496071802">
      <w:bodyDiv w:val="1"/>
      <w:marLeft w:val="0"/>
      <w:marRight w:val="0"/>
      <w:marTop w:val="0"/>
      <w:marBottom w:val="0"/>
      <w:divBdr>
        <w:top w:val="none" w:sz="0" w:space="0" w:color="auto"/>
        <w:left w:val="none" w:sz="0" w:space="0" w:color="auto"/>
        <w:bottom w:val="none" w:sz="0" w:space="0" w:color="auto"/>
        <w:right w:val="none" w:sz="0" w:space="0" w:color="auto"/>
      </w:divBdr>
    </w:div>
    <w:div w:id="599262060">
      <w:bodyDiv w:val="1"/>
      <w:marLeft w:val="0"/>
      <w:marRight w:val="0"/>
      <w:marTop w:val="0"/>
      <w:marBottom w:val="0"/>
      <w:divBdr>
        <w:top w:val="none" w:sz="0" w:space="0" w:color="auto"/>
        <w:left w:val="none" w:sz="0" w:space="0" w:color="auto"/>
        <w:bottom w:val="none" w:sz="0" w:space="0" w:color="auto"/>
        <w:right w:val="none" w:sz="0" w:space="0" w:color="auto"/>
      </w:divBdr>
      <w:divsChild>
        <w:div w:id="876814262">
          <w:marLeft w:val="0"/>
          <w:marRight w:val="0"/>
          <w:marTop w:val="0"/>
          <w:marBottom w:val="240"/>
          <w:divBdr>
            <w:top w:val="none" w:sz="0" w:space="0" w:color="auto"/>
            <w:left w:val="none" w:sz="0" w:space="0" w:color="auto"/>
            <w:bottom w:val="none" w:sz="0" w:space="0" w:color="auto"/>
            <w:right w:val="none" w:sz="0" w:space="0" w:color="auto"/>
          </w:divBdr>
        </w:div>
      </w:divsChild>
    </w:div>
    <w:div w:id="611284928">
      <w:bodyDiv w:val="1"/>
      <w:marLeft w:val="0"/>
      <w:marRight w:val="0"/>
      <w:marTop w:val="0"/>
      <w:marBottom w:val="0"/>
      <w:divBdr>
        <w:top w:val="none" w:sz="0" w:space="0" w:color="auto"/>
        <w:left w:val="none" w:sz="0" w:space="0" w:color="auto"/>
        <w:bottom w:val="none" w:sz="0" w:space="0" w:color="auto"/>
        <w:right w:val="none" w:sz="0" w:space="0" w:color="auto"/>
      </w:divBdr>
      <w:divsChild>
        <w:div w:id="1695886960">
          <w:marLeft w:val="0"/>
          <w:marRight w:val="0"/>
          <w:marTop w:val="0"/>
          <w:marBottom w:val="240"/>
          <w:divBdr>
            <w:top w:val="none" w:sz="0" w:space="0" w:color="auto"/>
            <w:left w:val="none" w:sz="0" w:space="0" w:color="auto"/>
            <w:bottom w:val="none" w:sz="0" w:space="0" w:color="auto"/>
            <w:right w:val="none" w:sz="0" w:space="0" w:color="auto"/>
          </w:divBdr>
        </w:div>
      </w:divsChild>
    </w:div>
    <w:div w:id="645940958">
      <w:bodyDiv w:val="1"/>
      <w:marLeft w:val="0"/>
      <w:marRight w:val="0"/>
      <w:marTop w:val="0"/>
      <w:marBottom w:val="0"/>
      <w:divBdr>
        <w:top w:val="none" w:sz="0" w:space="0" w:color="auto"/>
        <w:left w:val="none" w:sz="0" w:space="0" w:color="auto"/>
        <w:bottom w:val="none" w:sz="0" w:space="0" w:color="auto"/>
        <w:right w:val="none" w:sz="0" w:space="0" w:color="auto"/>
      </w:divBdr>
      <w:divsChild>
        <w:div w:id="494296972">
          <w:marLeft w:val="0"/>
          <w:marRight w:val="0"/>
          <w:marTop w:val="0"/>
          <w:marBottom w:val="240"/>
          <w:divBdr>
            <w:top w:val="none" w:sz="0" w:space="0" w:color="auto"/>
            <w:left w:val="none" w:sz="0" w:space="0" w:color="auto"/>
            <w:bottom w:val="none" w:sz="0" w:space="0" w:color="auto"/>
            <w:right w:val="none" w:sz="0" w:space="0" w:color="auto"/>
          </w:divBdr>
        </w:div>
      </w:divsChild>
    </w:div>
    <w:div w:id="679703865">
      <w:bodyDiv w:val="1"/>
      <w:marLeft w:val="0"/>
      <w:marRight w:val="0"/>
      <w:marTop w:val="0"/>
      <w:marBottom w:val="0"/>
      <w:divBdr>
        <w:top w:val="none" w:sz="0" w:space="0" w:color="auto"/>
        <w:left w:val="none" w:sz="0" w:space="0" w:color="auto"/>
        <w:bottom w:val="none" w:sz="0" w:space="0" w:color="auto"/>
        <w:right w:val="none" w:sz="0" w:space="0" w:color="auto"/>
      </w:divBdr>
    </w:div>
    <w:div w:id="699864540">
      <w:bodyDiv w:val="1"/>
      <w:marLeft w:val="0"/>
      <w:marRight w:val="0"/>
      <w:marTop w:val="0"/>
      <w:marBottom w:val="0"/>
      <w:divBdr>
        <w:top w:val="none" w:sz="0" w:space="0" w:color="auto"/>
        <w:left w:val="none" w:sz="0" w:space="0" w:color="auto"/>
        <w:bottom w:val="none" w:sz="0" w:space="0" w:color="auto"/>
        <w:right w:val="none" w:sz="0" w:space="0" w:color="auto"/>
      </w:divBdr>
    </w:div>
    <w:div w:id="724839850">
      <w:bodyDiv w:val="1"/>
      <w:marLeft w:val="0"/>
      <w:marRight w:val="0"/>
      <w:marTop w:val="0"/>
      <w:marBottom w:val="0"/>
      <w:divBdr>
        <w:top w:val="none" w:sz="0" w:space="0" w:color="auto"/>
        <w:left w:val="none" w:sz="0" w:space="0" w:color="auto"/>
        <w:bottom w:val="none" w:sz="0" w:space="0" w:color="auto"/>
        <w:right w:val="none" w:sz="0" w:space="0" w:color="auto"/>
      </w:divBdr>
    </w:div>
    <w:div w:id="755439724">
      <w:bodyDiv w:val="1"/>
      <w:marLeft w:val="0"/>
      <w:marRight w:val="0"/>
      <w:marTop w:val="0"/>
      <w:marBottom w:val="0"/>
      <w:divBdr>
        <w:top w:val="none" w:sz="0" w:space="0" w:color="auto"/>
        <w:left w:val="none" w:sz="0" w:space="0" w:color="auto"/>
        <w:bottom w:val="none" w:sz="0" w:space="0" w:color="auto"/>
        <w:right w:val="none" w:sz="0" w:space="0" w:color="auto"/>
      </w:divBdr>
      <w:divsChild>
        <w:div w:id="731513007">
          <w:marLeft w:val="0"/>
          <w:marRight w:val="0"/>
          <w:marTop w:val="0"/>
          <w:marBottom w:val="240"/>
          <w:divBdr>
            <w:top w:val="none" w:sz="0" w:space="0" w:color="auto"/>
            <w:left w:val="none" w:sz="0" w:space="0" w:color="auto"/>
            <w:bottom w:val="none" w:sz="0" w:space="0" w:color="auto"/>
            <w:right w:val="none" w:sz="0" w:space="0" w:color="auto"/>
          </w:divBdr>
        </w:div>
        <w:div w:id="1295135619">
          <w:marLeft w:val="0"/>
          <w:marRight w:val="0"/>
          <w:marTop w:val="0"/>
          <w:marBottom w:val="240"/>
          <w:divBdr>
            <w:top w:val="none" w:sz="0" w:space="0" w:color="auto"/>
            <w:left w:val="none" w:sz="0" w:space="0" w:color="auto"/>
            <w:bottom w:val="none" w:sz="0" w:space="0" w:color="auto"/>
            <w:right w:val="none" w:sz="0" w:space="0" w:color="auto"/>
          </w:divBdr>
        </w:div>
        <w:div w:id="1382166386">
          <w:marLeft w:val="0"/>
          <w:marRight w:val="0"/>
          <w:marTop w:val="0"/>
          <w:marBottom w:val="240"/>
          <w:divBdr>
            <w:top w:val="none" w:sz="0" w:space="0" w:color="auto"/>
            <w:left w:val="none" w:sz="0" w:space="0" w:color="auto"/>
            <w:bottom w:val="none" w:sz="0" w:space="0" w:color="auto"/>
            <w:right w:val="none" w:sz="0" w:space="0" w:color="auto"/>
          </w:divBdr>
        </w:div>
      </w:divsChild>
    </w:div>
    <w:div w:id="765421528">
      <w:bodyDiv w:val="1"/>
      <w:marLeft w:val="0"/>
      <w:marRight w:val="0"/>
      <w:marTop w:val="0"/>
      <w:marBottom w:val="0"/>
      <w:divBdr>
        <w:top w:val="none" w:sz="0" w:space="0" w:color="auto"/>
        <w:left w:val="none" w:sz="0" w:space="0" w:color="auto"/>
        <w:bottom w:val="none" w:sz="0" w:space="0" w:color="auto"/>
        <w:right w:val="none" w:sz="0" w:space="0" w:color="auto"/>
      </w:divBdr>
    </w:div>
    <w:div w:id="773524207">
      <w:bodyDiv w:val="1"/>
      <w:marLeft w:val="0"/>
      <w:marRight w:val="0"/>
      <w:marTop w:val="0"/>
      <w:marBottom w:val="0"/>
      <w:divBdr>
        <w:top w:val="none" w:sz="0" w:space="0" w:color="auto"/>
        <w:left w:val="none" w:sz="0" w:space="0" w:color="auto"/>
        <w:bottom w:val="none" w:sz="0" w:space="0" w:color="auto"/>
        <w:right w:val="none" w:sz="0" w:space="0" w:color="auto"/>
      </w:divBdr>
      <w:divsChild>
        <w:div w:id="826896173">
          <w:marLeft w:val="0"/>
          <w:marRight w:val="0"/>
          <w:marTop w:val="0"/>
          <w:marBottom w:val="240"/>
          <w:divBdr>
            <w:top w:val="none" w:sz="0" w:space="0" w:color="auto"/>
            <w:left w:val="none" w:sz="0" w:space="0" w:color="auto"/>
            <w:bottom w:val="none" w:sz="0" w:space="0" w:color="auto"/>
            <w:right w:val="none" w:sz="0" w:space="0" w:color="auto"/>
          </w:divBdr>
        </w:div>
      </w:divsChild>
    </w:div>
    <w:div w:id="782921314">
      <w:bodyDiv w:val="1"/>
      <w:marLeft w:val="0"/>
      <w:marRight w:val="0"/>
      <w:marTop w:val="0"/>
      <w:marBottom w:val="0"/>
      <w:divBdr>
        <w:top w:val="none" w:sz="0" w:space="0" w:color="auto"/>
        <w:left w:val="none" w:sz="0" w:space="0" w:color="auto"/>
        <w:bottom w:val="none" w:sz="0" w:space="0" w:color="auto"/>
        <w:right w:val="none" w:sz="0" w:space="0" w:color="auto"/>
      </w:divBdr>
    </w:div>
    <w:div w:id="794250017">
      <w:bodyDiv w:val="1"/>
      <w:marLeft w:val="0"/>
      <w:marRight w:val="0"/>
      <w:marTop w:val="0"/>
      <w:marBottom w:val="0"/>
      <w:divBdr>
        <w:top w:val="none" w:sz="0" w:space="0" w:color="auto"/>
        <w:left w:val="none" w:sz="0" w:space="0" w:color="auto"/>
        <w:bottom w:val="none" w:sz="0" w:space="0" w:color="auto"/>
        <w:right w:val="none" w:sz="0" w:space="0" w:color="auto"/>
      </w:divBdr>
    </w:div>
    <w:div w:id="817769203">
      <w:bodyDiv w:val="1"/>
      <w:marLeft w:val="0"/>
      <w:marRight w:val="0"/>
      <w:marTop w:val="0"/>
      <w:marBottom w:val="0"/>
      <w:divBdr>
        <w:top w:val="none" w:sz="0" w:space="0" w:color="auto"/>
        <w:left w:val="none" w:sz="0" w:space="0" w:color="auto"/>
        <w:bottom w:val="none" w:sz="0" w:space="0" w:color="auto"/>
        <w:right w:val="none" w:sz="0" w:space="0" w:color="auto"/>
      </w:divBdr>
      <w:divsChild>
        <w:div w:id="546181579">
          <w:marLeft w:val="0"/>
          <w:marRight w:val="0"/>
          <w:marTop w:val="0"/>
          <w:marBottom w:val="240"/>
          <w:divBdr>
            <w:top w:val="none" w:sz="0" w:space="0" w:color="auto"/>
            <w:left w:val="none" w:sz="0" w:space="0" w:color="auto"/>
            <w:bottom w:val="none" w:sz="0" w:space="0" w:color="auto"/>
            <w:right w:val="none" w:sz="0" w:space="0" w:color="auto"/>
          </w:divBdr>
        </w:div>
      </w:divsChild>
    </w:div>
    <w:div w:id="851145725">
      <w:bodyDiv w:val="1"/>
      <w:marLeft w:val="0"/>
      <w:marRight w:val="0"/>
      <w:marTop w:val="0"/>
      <w:marBottom w:val="0"/>
      <w:divBdr>
        <w:top w:val="none" w:sz="0" w:space="0" w:color="auto"/>
        <w:left w:val="none" w:sz="0" w:space="0" w:color="auto"/>
        <w:bottom w:val="none" w:sz="0" w:space="0" w:color="auto"/>
        <w:right w:val="none" w:sz="0" w:space="0" w:color="auto"/>
      </w:divBdr>
    </w:div>
    <w:div w:id="877543435">
      <w:bodyDiv w:val="1"/>
      <w:marLeft w:val="0"/>
      <w:marRight w:val="0"/>
      <w:marTop w:val="0"/>
      <w:marBottom w:val="0"/>
      <w:divBdr>
        <w:top w:val="none" w:sz="0" w:space="0" w:color="auto"/>
        <w:left w:val="none" w:sz="0" w:space="0" w:color="auto"/>
        <w:bottom w:val="none" w:sz="0" w:space="0" w:color="auto"/>
        <w:right w:val="none" w:sz="0" w:space="0" w:color="auto"/>
      </w:divBdr>
      <w:divsChild>
        <w:div w:id="1603799472">
          <w:marLeft w:val="0"/>
          <w:marRight w:val="0"/>
          <w:marTop w:val="0"/>
          <w:marBottom w:val="240"/>
          <w:divBdr>
            <w:top w:val="none" w:sz="0" w:space="0" w:color="auto"/>
            <w:left w:val="none" w:sz="0" w:space="0" w:color="auto"/>
            <w:bottom w:val="none" w:sz="0" w:space="0" w:color="auto"/>
            <w:right w:val="none" w:sz="0" w:space="0" w:color="auto"/>
          </w:divBdr>
        </w:div>
      </w:divsChild>
    </w:div>
    <w:div w:id="878591425">
      <w:bodyDiv w:val="1"/>
      <w:marLeft w:val="0"/>
      <w:marRight w:val="0"/>
      <w:marTop w:val="0"/>
      <w:marBottom w:val="0"/>
      <w:divBdr>
        <w:top w:val="none" w:sz="0" w:space="0" w:color="auto"/>
        <w:left w:val="none" w:sz="0" w:space="0" w:color="auto"/>
        <w:bottom w:val="none" w:sz="0" w:space="0" w:color="auto"/>
        <w:right w:val="none" w:sz="0" w:space="0" w:color="auto"/>
      </w:divBdr>
      <w:divsChild>
        <w:div w:id="1135679411">
          <w:marLeft w:val="0"/>
          <w:marRight w:val="0"/>
          <w:marTop w:val="0"/>
          <w:marBottom w:val="240"/>
          <w:divBdr>
            <w:top w:val="none" w:sz="0" w:space="0" w:color="auto"/>
            <w:left w:val="none" w:sz="0" w:space="0" w:color="auto"/>
            <w:bottom w:val="none" w:sz="0" w:space="0" w:color="auto"/>
            <w:right w:val="none" w:sz="0" w:space="0" w:color="auto"/>
          </w:divBdr>
        </w:div>
      </w:divsChild>
    </w:div>
    <w:div w:id="881673083">
      <w:bodyDiv w:val="1"/>
      <w:marLeft w:val="0"/>
      <w:marRight w:val="0"/>
      <w:marTop w:val="0"/>
      <w:marBottom w:val="0"/>
      <w:divBdr>
        <w:top w:val="none" w:sz="0" w:space="0" w:color="auto"/>
        <w:left w:val="none" w:sz="0" w:space="0" w:color="auto"/>
        <w:bottom w:val="none" w:sz="0" w:space="0" w:color="auto"/>
        <w:right w:val="none" w:sz="0" w:space="0" w:color="auto"/>
      </w:divBdr>
    </w:div>
    <w:div w:id="899441034">
      <w:bodyDiv w:val="1"/>
      <w:marLeft w:val="0"/>
      <w:marRight w:val="0"/>
      <w:marTop w:val="0"/>
      <w:marBottom w:val="0"/>
      <w:divBdr>
        <w:top w:val="none" w:sz="0" w:space="0" w:color="auto"/>
        <w:left w:val="none" w:sz="0" w:space="0" w:color="auto"/>
        <w:bottom w:val="none" w:sz="0" w:space="0" w:color="auto"/>
        <w:right w:val="none" w:sz="0" w:space="0" w:color="auto"/>
      </w:divBdr>
    </w:div>
    <w:div w:id="912544395">
      <w:bodyDiv w:val="1"/>
      <w:marLeft w:val="0"/>
      <w:marRight w:val="0"/>
      <w:marTop w:val="0"/>
      <w:marBottom w:val="0"/>
      <w:divBdr>
        <w:top w:val="none" w:sz="0" w:space="0" w:color="auto"/>
        <w:left w:val="none" w:sz="0" w:space="0" w:color="auto"/>
        <w:bottom w:val="none" w:sz="0" w:space="0" w:color="auto"/>
        <w:right w:val="none" w:sz="0" w:space="0" w:color="auto"/>
      </w:divBdr>
      <w:divsChild>
        <w:div w:id="1705523709">
          <w:marLeft w:val="0"/>
          <w:marRight w:val="0"/>
          <w:marTop w:val="0"/>
          <w:marBottom w:val="240"/>
          <w:divBdr>
            <w:top w:val="none" w:sz="0" w:space="0" w:color="auto"/>
            <w:left w:val="none" w:sz="0" w:space="0" w:color="auto"/>
            <w:bottom w:val="none" w:sz="0" w:space="0" w:color="auto"/>
            <w:right w:val="none" w:sz="0" w:space="0" w:color="auto"/>
          </w:divBdr>
        </w:div>
      </w:divsChild>
    </w:div>
    <w:div w:id="1073314121">
      <w:bodyDiv w:val="1"/>
      <w:marLeft w:val="0"/>
      <w:marRight w:val="0"/>
      <w:marTop w:val="0"/>
      <w:marBottom w:val="0"/>
      <w:divBdr>
        <w:top w:val="none" w:sz="0" w:space="0" w:color="auto"/>
        <w:left w:val="none" w:sz="0" w:space="0" w:color="auto"/>
        <w:bottom w:val="none" w:sz="0" w:space="0" w:color="auto"/>
        <w:right w:val="none" w:sz="0" w:space="0" w:color="auto"/>
      </w:divBdr>
    </w:div>
    <w:div w:id="1149782525">
      <w:bodyDiv w:val="1"/>
      <w:marLeft w:val="0"/>
      <w:marRight w:val="0"/>
      <w:marTop w:val="0"/>
      <w:marBottom w:val="0"/>
      <w:divBdr>
        <w:top w:val="none" w:sz="0" w:space="0" w:color="auto"/>
        <w:left w:val="none" w:sz="0" w:space="0" w:color="auto"/>
        <w:bottom w:val="none" w:sz="0" w:space="0" w:color="auto"/>
        <w:right w:val="none" w:sz="0" w:space="0" w:color="auto"/>
      </w:divBdr>
      <w:divsChild>
        <w:div w:id="1343313371">
          <w:marLeft w:val="0"/>
          <w:marRight w:val="0"/>
          <w:marTop w:val="225"/>
          <w:marBottom w:val="180"/>
          <w:divBdr>
            <w:top w:val="single" w:sz="6" w:space="0" w:color="D7D7D7"/>
            <w:left w:val="none" w:sz="0" w:space="0" w:color="auto"/>
            <w:bottom w:val="single" w:sz="6" w:space="0" w:color="D7D7D7"/>
            <w:right w:val="none" w:sz="0" w:space="0" w:color="auto"/>
          </w:divBdr>
          <w:divsChild>
            <w:div w:id="931090871">
              <w:marLeft w:val="0"/>
              <w:marRight w:val="0"/>
              <w:marTop w:val="0"/>
              <w:marBottom w:val="0"/>
              <w:divBdr>
                <w:top w:val="none" w:sz="0" w:space="0" w:color="auto"/>
                <w:left w:val="none" w:sz="0" w:space="0" w:color="auto"/>
                <w:bottom w:val="none" w:sz="0" w:space="0" w:color="auto"/>
                <w:right w:val="none" w:sz="0" w:space="0" w:color="auto"/>
              </w:divBdr>
            </w:div>
            <w:div w:id="1998800216">
              <w:marLeft w:val="0"/>
              <w:marRight w:val="0"/>
              <w:marTop w:val="0"/>
              <w:marBottom w:val="0"/>
              <w:divBdr>
                <w:top w:val="none" w:sz="0" w:space="0" w:color="auto"/>
                <w:left w:val="none" w:sz="0" w:space="0" w:color="auto"/>
                <w:bottom w:val="none" w:sz="0" w:space="0" w:color="auto"/>
                <w:right w:val="none" w:sz="0" w:space="0" w:color="auto"/>
              </w:divBdr>
            </w:div>
          </w:divsChild>
        </w:div>
        <w:div w:id="1567449730">
          <w:marLeft w:val="0"/>
          <w:marRight w:val="0"/>
          <w:marTop w:val="0"/>
          <w:marBottom w:val="0"/>
          <w:divBdr>
            <w:top w:val="none" w:sz="0" w:space="0" w:color="auto"/>
            <w:left w:val="none" w:sz="0" w:space="0" w:color="auto"/>
            <w:bottom w:val="none" w:sz="0" w:space="0" w:color="auto"/>
            <w:right w:val="none" w:sz="0" w:space="0" w:color="auto"/>
          </w:divBdr>
        </w:div>
      </w:divsChild>
    </w:div>
    <w:div w:id="1153789834">
      <w:bodyDiv w:val="1"/>
      <w:marLeft w:val="0"/>
      <w:marRight w:val="0"/>
      <w:marTop w:val="0"/>
      <w:marBottom w:val="0"/>
      <w:divBdr>
        <w:top w:val="none" w:sz="0" w:space="0" w:color="auto"/>
        <w:left w:val="none" w:sz="0" w:space="0" w:color="auto"/>
        <w:bottom w:val="none" w:sz="0" w:space="0" w:color="auto"/>
        <w:right w:val="none" w:sz="0" w:space="0" w:color="auto"/>
      </w:divBdr>
      <w:divsChild>
        <w:div w:id="957759079">
          <w:marLeft w:val="0"/>
          <w:marRight w:val="0"/>
          <w:marTop w:val="0"/>
          <w:marBottom w:val="0"/>
          <w:divBdr>
            <w:top w:val="none" w:sz="0" w:space="0" w:color="auto"/>
            <w:left w:val="none" w:sz="0" w:space="0" w:color="auto"/>
            <w:bottom w:val="none" w:sz="0" w:space="0" w:color="auto"/>
            <w:right w:val="none" w:sz="0" w:space="0" w:color="auto"/>
          </w:divBdr>
          <w:divsChild>
            <w:div w:id="1494417793">
              <w:marLeft w:val="0"/>
              <w:marRight w:val="0"/>
              <w:marTop w:val="0"/>
              <w:marBottom w:val="120"/>
              <w:divBdr>
                <w:top w:val="none" w:sz="0" w:space="0" w:color="auto"/>
                <w:left w:val="none" w:sz="0" w:space="0" w:color="auto"/>
                <w:bottom w:val="none" w:sz="0" w:space="0" w:color="auto"/>
                <w:right w:val="none" w:sz="0" w:space="0" w:color="auto"/>
              </w:divBdr>
              <w:divsChild>
                <w:div w:id="14751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2530">
          <w:marLeft w:val="0"/>
          <w:marRight w:val="0"/>
          <w:marTop w:val="0"/>
          <w:marBottom w:val="480"/>
          <w:divBdr>
            <w:top w:val="none" w:sz="0" w:space="0" w:color="auto"/>
            <w:left w:val="none" w:sz="0" w:space="0" w:color="auto"/>
            <w:bottom w:val="single" w:sz="12" w:space="24" w:color="EBEBEB"/>
            <w:right w:val="none" w:sz="0" w:space="0" w:color="auto"/>
          </w:divBdr>
          <w:divsChild>
            <w:div w:id="2565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8229">
      <w:bodyDiv w:val="1"/>
      <w:marLeft w:val="0"/>
      <w:marRight w:val="0"/>
      <w:marTop w:val="0"/>
      <w:marBottom w:val="0"/>
      <w:divBdr>
        <w:top w:val="none" w:sz="0" w:space="0" w:color="auto"/>
        <w:left w:val="none" w:sz="0" w:space="0" w:color="auto"/>
        <w:bottom w:val="none" w:sz="0" w:space="0" w:color="auto"/>
        <w:right w:val="none" w:sz="0" w:space="0" w:color="auto"/>
      </w:divBdr>
    </w:div>
    <w:div w:id="1191802354">
      <w:bodyDiv w:val="1"/>
      <w:marLeft w:val="0"/>
      <w:marRight w:val="0"/>
      <w:marTop w:val="0"/>
      <w:marBottom w:val="0"/>
      <w:divBdr>
        <w:top w:val="none" w:sz="0" w:space="0" w:color="auto"/>
        <w:left w:val="none" w:sz="0" w:space="0" w:color="auto"/>
        <w:bottom w:val="none" w:sz="0" w:space="0" w:color="auto"/>
        <w:right w:val="none" w:sz="0" w:space="0" w:color="auto"/>
      </w:divBdr>
      <w:divsChild>
        <w:div w:id="1740983623">
          <w:marLeft w:val="0"/>
          <w:marRight w:val="0"/>
          <w:marTop w:val="0"/>
          <w:marBottom w:val="0"/>
          <w:divBdr>
            <w:top w:val="none" w:sz="0" w:space="0" w:color="auto"/>
            <w:left w:val="none" w:sz="0" w:space="0" w:color="auto"/>
            <w:bottom w:val="none" w:sz="0" w:space="0" w:color="auto"/>
            <w:right w:val="none" w:sz="0" w:space="0" w:color="auto"/>
          </w:divBdr>
        </w:div>
      </w:divsChild>
    </w:div>
    <w:div w:id="1196693143">
      <w:bodyDiv w:val="1"/>
      <w:marLeft w:val="0"/>
      <w:marRight w:val="0"/>
      <w:marTop w:val="0"/>
      <w:marBottom w:val="0"/>
      <w:divBdr>
        <w:top w:val="none" w:sz="0" w:space="0" w:color="auto"/>
        <w:left w:val="none" w:sz="0" w:space="0" w:color="auto"/>
        <w:bottom w:val="none" w:sz="0" w:space="0" w:color="auto"/>
        <w:right w:val="none" w:sz="0" w:space="0" w:color="auto"/>
      </w:divBdr>
      <w:divsChild>
        <w:div w:id="646741236">
          <w:marLeft w:val="0"/>
          <w:marRight w:val="0"/>
          <w:marTop w:val="0"/>
          <w:marBottom w:val="240"/>
          <w:divBdr>
            <w:top w:val="none" w:sz="0" w:space="0" w:color="auto"/>
            <w:left w:val="none" w:sz="0" w:space="0" w:color="auto"/>
            <w:bottom w:val="none" w:sz="0" w:space="0" w:color="auto"/>
            <w:right w:val="none" w:sz="0" w:space="0" w:color="auto"/>
          </w:divBdr>
        </w:div>
      </w:divsChild>
    </w:div>
    <w:div w:id="1213351723">
      <w:bodyDiv w:val="1"/>
      <w:marLeft w:val="0"/>
      <w:marRight w:val="0"/>
      <w:marTop w:val="0"/>
      <w:marBottom w:val="0"/>
      <w:divBdr>
        <w:top w:val="none" w:sz="0" w:space="0" w:color="auto"/>
        <w:left w:val="none" w:sz="0" w:space="0" w:color="auto"/>
        <w:bottom w:val="none" w:sz="0" w:space="0" w:color="auto"/>
        <w:right w:val="none" w:sz="0" w:space="0" w:color="auto"/>
      </w:divBdr>
    </w:div>
    <w:div w:id="1238246363">
      <w:bodyDiv w:val="1"/>
      <w:marLeft w:val="0"/>
      <w:marRight w:val="0"/>
      <w:marTop w:val="0"/>
      <w:marBottom w:val="0"/>
      <w:divBdr>
        <w:top w:val="none" w:sz="0" w:space="0" w:color="auto"/>
        <w:left w:val="none" w:sz="0" w:space="0" w:color="auto"/>
        <w:bottom w:val="none" w:sz="0" w:space="0" w:color="auto"/>
        <w:right w:val="none" w:sz="0" w:space="0" w:color="auto"/>
      </w:divBdr>
    </w:div>
    <w:div w:id="1241136907">
      <w:bodyDiv w:val="1"/>
      <w:marLeft w:val="0"/>
      <w:marRight w:val="0"/>
      <w:marTop w:val="0"/>
      <w:marBottom w:val="0"/>
      <w:divBdr>
        <w:top w:val="none" w:sz="0" w:space="0" w:color="auto"/>
        <w:left w:val="none" w:sz="0" w:space="0" w:color="auto"/>
        <w:bottom w:val="none" w:sz="0" w:space="0" w:color="auto"/>
        <w:right w:val="none" w:sz="0" w:space="0" w:color="auto"/>
      </w:divBdr>
      <w:divsChild>
        <w:div w:id="1232698886">
          <w:marLeft w:val="0"/>
          <w:marRight w:val="0"/>
          <w:marTop w:val="0"/>
          <w:marBottom w:val="240"/>
          <w:divBdr>
            <w:top w:val="none" w:sz="0" w:space="0" w:color="auto"/>
            <w:left w:val="none" w:sz="0" w:space="0" w:color="auto"/>
            <w:bottom w:val="none" w:sz="0" w:space="0" w:color="auto"/>
            <w:right w:val="none" w:sz="0" w:space="0" w:color="auto"/>
          </w:divBdr>
        </w:div>
      </w:divsChild>
    </w:div>
    <w:div w:id="1246838922">
      <w:bodyDiv w:val="1"/>
      <w:marLeft w:val="0"/>
      <w:marRight w:val="0"/>
      <w:marTop w:val="0"/>
      <w:marBottom w:val="0"/>
      <w:divBdr>
        <w:top w:val="none" w:sz="0" w:space="0" w:color="auto"/>
        <w:left w:val="none" w:sz="0" w:space="0" w:color="auto"/>
        <w:bottom w:val="none" w:sz="0" w:space="0" w:color="auto"/>
        <w:right w:val="none" w:sz="0" w:space="0" w:color="auto"/>
      </w:divBdr>
    </w:div>
    <w:div w:id="1262492784">
      <w:bodyDiv w:val="1"/>
      <w:marLeft w:val="0"/>
      <w:marRight w:val="0"/>
      <w:marTop w:val="0"/>
      <w:marBottom w:val="0"/>
      <w:divBdr>
        <w:top w:val="none" w:sz="0" w:space="0" w:color="auto"/>
        <w:left w:val="none" w:sz="0" w:space="0" w:color="auto"/>
        <w:bottom w:val="none" w:sz="0" w:space="0" w:color="auto"/>
        <w:right w:val="none" w:sz="0" w:space="0" w:color="auto"/>
      </w:divBdr>
      <w:divsChild>
        <w:div w:id="1601599922">
          <w:marLeft w:val="0"/>
          <w:marRight w:val="0"/>
          <w:marTop w:val="0"/>
          <w:marBottom w:val="240"/>
          <w:divBdr>
            <w:top w:val="none" w:sz="0" w:space="0" w:color="auto"/>
            <w:left w:val="none" w:sz="0" w:space="0" w:color="auto"/>
            <w:bottom w:val="none" w:sz="0" w:space="0" w:color="auto"/>
            <w:right w:val="none" w:sz="0" w:space="0" w:color="auto"/>
          </w:divBdr>
        </w:div>
      </w:divsChild>
    </w:div>
    <w:div w:id="1268854314">
      <w:bodyDiv w:val="1"/>
      <w:marLeft w:val="0"/>
      <w:marRight w:val="0"/>
      <w:marTop w:val="0"/>
      <w:marBottom w:val="0"/>
      <w:divBdr>
        <w:top w:val="none" w:sz="0" w:space="0" w:color="auto"/>
        <w:left w:val="none" w:sz="0" w:space="0" w:color="auto"/>
        <w:bottom w:val="none" w:sz="0" w:space="0" w:color="auto"/>
        <w:right w:val="none" w:sz="0" w:space="0" w:color="auto"/>
      </w:divBdr>
      <w:divsChild>
        <w:div w:id="322440202">
          <w:marLeft w:val="0"/>
          <w:marRight w:val="0"/>
          <w:marTop w:val="225"/>
          <w:marBottom w:val="180"/>
          <w:divBdr>
            <w:top w:val="single" w:sz="6" w:space="0" w:color="D7D7D7"/>
            <w:left w:val="none" w:sz="0" w:space="0" w:color="auto"/>
            <w:bottom w:val="single" w:sz="6" w:space="0" w:color="D7D7D7"/>
            <w:right w:val="none" w:sz="0" w:space="0" w:color="auto"/>
          </w:divBdr>
          <w:divsChild>
            <w:div w:id="1144657538">
              <w:marLeft w:val="0"/>
              <w:marRight w:val="0"/>
              <w:marTop w:val="0"/>
              <w:marBottom w:val="0"/>
              <w:divBdr>
                <w:top w:val="none" w:sz="0" w:space="0" w:color="auto"/>
                <w:left w:val="none" w:sz="0" w:space="0" w:color="auto"/>
                <w:bottom w:val="none" w:sz="0" w:space="0" w:color="auto"/>
                <w:right w:val="none" w:sz="0" w:space="0" w:color="auto"/>
              </w:divBdr>
            </w:div>
            <w:div w:id="1159149156">
              <w:marLeft w:val="0"/>
              <w:marRight w:val="0"/>
              <w:marTop w:val="0"/>
              <w:marBottom w:val="0"/>
              <w:divBdr>
                <w:top w:val="none" w:sz="0" w:space="0" w:color="auto"/>
                <w:left w:val="none" w:sz="0" w:space="0" w:color="auto"/>
                <w:bottom w:val="none" w:sz="0" w:space="0" w:color="auto"/>
                <w:right w:val="none" w:sz="0" w:space="0" w:color="auto"/>
              </w:divBdr>
            </w:div>
          </w:divsChild>
        </w:div>
        <w:div w:id="1339885193">
          <w:marLeft w:val="0"/>
          <w:marRight w:val="0"/>
          <w:marTop w:val="0"/>
          <w:marBottom w:val="0"/>
          <w:divBdr>
            <w:top w:val="none" w:sz="0" w:space="0" w:color="auto"/>
            <w:left w:val="none" w:sz="0" w:space="0" w:color="auto"/>
            <w:bottom w:val="none" w:sz="0" w:space="0" w:color="auto"/>
            <w:right w:val="none" w:sz="0" w:space="0" w:color="auto"/>
          </w:divBdr>
        </w:div>
      </w:divsChild>
    </w:div>
    <w:div w:id="1281492929">
      <w:bodyDiv w:val="1"/>
      <w:marLeft w:val="0"/>
      <w:marRight w:val="0"/>
      <w:marTop w:val="0"/>
      <w:marBottom w:val="0"/>
      <w:divBdr>
        <w:top w:val="none" w:sz="0" w:space="0" w:color="auto"/>
        <w:left w:val="none" w:sz="0" w:space="0" w:color="auto"/>
        <w:bottom w:val="none" w:sz="0" w:space="0" w:color="auto"/>
        <w:right w:val="none" w:sz="0" w:space="0" w:color="auto"/>
      </w:divBdr>
      <w:divsChild>
        <w:div w:id="2140370984">
          <w:marLeft w:val="0"/>
          <w:marRight w:val="0"/>
          <w:marTop w:val="0"/>
          <w:marBottom w:val="240"/>
          <w:divBdr>
            <w:top w:val="none" w:sz="0" w:space="0" w:color="auto"/>
            <w:left w:val="none" w:sz="0" w:space="0" w:color="auto"/>
            <w:bottom w:val="none" w:sz="0" w:space="0" w:color="auto"/>
            <w:right w:val="none" w:sz="0" w:space="0" w:color="auto"/>
          </w:divBdr>
        </w:div>
      </w:divsChild>
    </w:div>
    <w:div w:id="1315911693">
      <w:bodyDiv w:val="1"/>
      <w:marLeft w:val="0"/>
      <w:marRight w:val="0"/>
      <w:marTop w:val="0"/>
      <w:marBottom w:val="0"/>
      <w:divBdr>
        <w:top w:val="none" w:sz="0" w:space="0" w:color="auto"/>
        <w:left w:val="none" w:sz="0" w:space="0" w:color="auto"/>
        <w:bottom w:val="none" w:sz="0" w:space="0" w:color="auto"/>
        <w:right w:val="none" w:sz="0" w:space="0" w:color="auto"/>
      </w:divBdr>
    </w:div>
    <w:div w:id="1316836617">
      <w:bodyDiv w:val="1"/>
      <w:marLeft w:val="0"/>
      <w:marRight w:val="0"/>
      <w:marTop w:val="0"/>
      <w:marBottom w:val="0"/>
      <w:divBdr>
        <w:top w:val="none" w:sz="0" w:space="0" w:color="auto"/>
        <w:left w:val="none" w:sz="0" w:space="0" w:color="auto"/>
        <w:bottom w:val="none" w:sz="0" w:space="0" w:color="auto"/>
        <w:right w:val="none" w:sz="0" w:space="0" w:color="auto"/>
      </w:divBdr>
    </w:div>
    <w:div w:id="1317304002">
      <w:bodyDiv w:val="1"/>
      <w:marLeft w:val="0"/>
      <w:marRight w:val="0"/>
      <w:marTop w:val="0"/>
      <w:marBottom w:val="0"/>
      <w:divBdr>
        <w:top w:val="none" w:sz="0" w:space="0" w:color="auto"/>
        <w:left w:val="none" w:sz="0" w:space="0" w:color="auto"/>
        <w:bottom w:val="none" w:sz="0" w:space="0" w:color="auto"/>
        <w:right w:val="none" w:sz="0" w:space="0" w:color="auto"/>
      </w:divBdr>
    </w:div>
    <w:div w:id="1328053457">
      <w:bodyDiv w:val="1"/>
      <w:marLeft w:val="0"/>
      <w:marRight w:val="0"/>
      <w:marTop w:val="0"/>
      <w:marBottom w:val="0"/>
      <w:divBdr>
        <w:top w:val="none" w:sz="0" w:space="0" w:color="auto"/>
        <w:left w:val="none" w:sz="0" w:space="0" w:color="auto"/>
        <w:bottom w:val="none" w:sz="0" w:space="0" w:color="auto"/>
        <w:right w:val="none" w:sz="0" w:space="0" w:color="auto"/>
      </w:divBdr>
      <w:divsChild>
        <w:div w:id="260917488">
          <w:marLeft w:val="0"/>
          <w:marRight w:val="0"/>
          <w:marTop w:val="0"/>
          <w:marBottom w:val="240"/>
          <w:divBdr>
            <w:top w:val="none" w:sz="0" w:space="0" w:color="auto"/>
            <w:left w:val="none" w:sz="0" w:space="0" w:color="auto"/>
            <w:bottom w:val="none" w:sz="0" w:space="0" w:color="auto"/>
            <w:right w:val="none" w:sz="0" w:space="0" w:color="auto"/>
          </w:divBdr>
        </w:div>
      </w:divsChild>
    </w:div>
    <w:div w:id="1354916945">
      <w:bodyDiv w:val="1"/>
      <w:marLeft w:val="0"/>
      <w:marRight w:val="0"/>
      <w:marTop w:val="0"/>
      <w:marBottom w:val="0"/>
      <w:divBdr>
        <w:top w:val="none" w:sz="0" w:space="0" w:color="auto"/>
        <w:left w:val="none" w:sz="0" w:space="0" w:color="auto"/>
        <w:bottom w:val="none" w:sz="0" w:space="0" w:color="auto"/>
        <w:right w:val="none" w:sz="0" w:space="0" w:color="auto"/>
      </w:divBdr>
      <w:divsChild>
        <w:div w:id="1578247623">
          <w:marLeft w:val="0"/>
          <w:marRight w:val="0"/>
          <w:marTop w:val="0"/>
          <w:marBottom w:val="240"/>
          <w:divBdr>
            <w:top w:val="none" w:sz="0" w:space="0" w:color="auto"/>
            <w:left w:val="none" w:sz="0" w:space="0" w:color="auto"/>
            <w:bottom w:val="none" w:sz="0" w:space="0" w:color="auto"/>
            <w:right w:val="none" w:sz="0" w:space="0" w:color="auto"/>
          </w:divBdr>
        </w:div>
      </w:divsChild>
    </w:div>
    <w:div w:id="1361080979">
      <w:bodyDiv w:val="1"/>
      <w:marLeft w:val="0"/>
      <w:marRight w:val="0"/>
      <w:marTop w:val="0"/>
      <w:marBottom w:val="0"/>
      <w:divBdr>
        <w:top w:val="none" w:sz="0" w:space="0" w:color="auto"/>
        <w:left w:val="none" w:sz="0" w:space="0" w:color="auto"/>
        <w:bottom w:val="none" w:sz="0" w:space="0" w:color="auto"/>
        <w:right w:val="none" w:sz="0" w:space="0" w:color="auto"/>
      </w:divBdr>
      <w:divsChild>
        <w:div w:id="524172021">
          <w:marLeft w:val="0"/>
          <w:marRight w:val="0"/>
          <w:marTop w:val="0"/>
          <w:marBottom w:val="240"/>
          <w:divBdr>
            <w:top w:val="none" w:sz="0" w:space="0" w:color="auto"/>
            <w:left w:val="none" w:sz="0" w:space="0" w:color="auto"/>
            <w:bottom w:val="none" w:sz="0" w:space="0" w:color="auto"/>
            <w:right w:val="none" w:sz="0" w:space="0" w:color="auto"/>
          </w:divBdr>
        </w:div>
        <w:div w:id="748575976">
          <w:marLeft w:val="0"/>
          <w:marRight w:val="0"/>
          <w:marTop w:val="0"/>
          <w:marBottom w:val="240"/>
          <w:divBdr>
            <w:top w:val="none" w:sz="0" w:space="0" w:color="auto"/>
            <w:left w:val="none" w:sz="0" w:space="0" w:color="auto"/>
            <w:bottom w:val="none" w:sz="0" w:space="0" w:color="auto"/>
            <w:right w:val="none" w:sz="0" w:space="0" w:color="auto"/>
          </w:divBdr>
        </w:div>
        <w:div w:id="1505633002">
          <w:marLeft w:val="0"/>
          <w:marRight w:val="0"/>
          <w:marTop w:val="0"/>
          <w:marBottom w:val="240"/>
          <w:divBdr>
            <w:top w:val="none" w:sz="0" w:space="0" w:color="auto"/>
            <w:left w:val="none" w:sz="0" w:space="0" w:color="auto"/>
            <w:bottom w:val="none" w:sz="0" w:space="0" w:color="auto"/>
            <w:right w:val="none" w:sz="0" w:space="0" w:color="auto"/>
          </w:divBdr>
        </w:div>
        <w:div w:id="1887987382">
          <w:marLeft w:val="0"/>
          <w:marRight w:val="0"/>
          <w:marTop w:val="0"/>
          <w:marBottom w:val="240"/>
          <w:divBdr>
            <w:top w:val="none" w:sz="0" w:space="0" w:color="auto"/>
            <w:left w:val="none" w:sz="0" w:space="0" w:color="auto"/>
            <w:bottom w:val="none" w:sz="0" w:space="0" w:color="auto"/>
            <w:right w:val="none" w:sz="0" w:space="0" w:color="auto"/>
          </w:divBdr>
        </w:div>
      </w:divsChild>
    </w:div>
    <w:div w:id="1401832182">
      <w:bodyDiv w:val="1"/>
      <w:marLeft w:val="0"/>
      <w:marRight w:val="0"/>
      <w:marTop w:val="0"/>
      <w:marBottom w:val="0"/>
      <w:divBdr>
        <w:top w:val="none" w:sz="0" w:space="0" w:color="auto"/>
        <w:left w:val="none" w:sz="0" w:space="0" w:color="auto"/>
        <w:bottom w:val="none" w:sz="0" w:space="0" w:color="auto"/>
        <w:right w:val="none" w:sz="0" w:space="0" w:color="auto"/>
      </w:divBdr>
    </w:div>
    <w:div w:id="1411536644">
      <w:bodyDiv w:val="1"/>
      <w:marLeft w:val="0"/>
      <w:marRight w:val="0"/>
      <w:marTop w:val="0"/>
      <w:marBottom w:val="0"/>
      <w:divBdr>
        <w:top w:val="none" w:sz="0" w:space="0" w:color="auto"/>
        <w:left w:val="none" w:sz="0" w:space="0" w:color="auto"/>
        <w:bottom w:val="none" w:sz="0" w:space="0" w:color="auto"/>
        <w:right w:val="none" w:sz="0" w:space="0" w:color="auto"/>
      </w:divBdr>
    </w:div>
    <w:div w:id="1421873245">
      <w:bodyDiv w:val="1"/>
      <w:marLeft w:val="0"/>
      <w:marRight w:val="0"/>
      <w:marTop w:val="0"/>
      <w:marBottom w:val="0"/>
      <w:divBdr>
        <w:top w:val="none" w:sz="0" w:space="0" w:color="auto"/>
        <w:left w:val="none" w:sz="0" w:space="0" w:color="auto"/>
        <w:bottom w:val="none" w:sz="0" w:space="0" w:color="auto"/>
        <w:right w:val="none" w:sz="0" w:space="0" w:color="auto"/>
      </w:divBdr>
    </w:div>
    <w:div w:id="1439445657">
      <w:bodyDiv w:val="1"/>
      <w:marLeft w:val="0"/>
      <w:marRight w:val="0"/>
      <w:marTop w:val="0"/>
      <w:marBottom w:val="0"/>
      <w:divBdr>
        <w:top w:val="none" w:sz="0" w:space="0" w:color="auto"/>
        <w:left w:val="none" w:sz="0" w:space="0" w:color="auto"/>
        <w:bottom w:val="none" w:sz="0" w:space="0" w:color="auto"/>
        <w:right w:val="none" w:sz="0" w:space="0" w:color="auto"/>
      </w:divBdr>
      <w:divsChild>
        <w:div w:id="1422794363">
          <w:marLeft w:val="0"/>
          <w:marRight w:val="0"/>
          <w:marTop w:val="0"/>
          <w:marBottom w:val="240"/>
          <w:divBdr>
            <w:top w:val="none" w:sz="0" w:space="0" w:color="auto"/>
            <w:left w:val="none" w:sz="0" w:space="0" w:color="auto"/>
            <w:bottom w:val="none" w:sz="0" w:space="0" w:color="auto"/>
            <w:right w:val="none" w:sz="0" w:space="0" w:color="auto"/>
          </w:divBdr>
        </w:div>
      </w:divsChild>
    </w:div>
    <w:div w:id="1452359089">
      <w:bodyDiv w:val="1"/>
      <w:marLeft w:val="0"/>
      <w:marRight w:val="0"/>
      <w:marTop w:val="0"/>
      <w:marBottom w:val="0"/>
      <w:divBdr>
        <w:top w:val="none" w:sz="0" w:space="0" w:color="auto"/>
        <w:left w:val="none" w:sz="0" w:space="0" w:color="auto"/>
        <w:bottom w:val="none" w:sz="0" w:space="0" w:color="auto"/>
        <w:right w:val="none" w:sz="0" w:space="0" w:color="auto"/>
      </w:divBdr>
    </w:div>
    <w:div w:id="1484199004">
      <w:bodyDiv w:val="1"/>
      <w:marLeft w:val="0"/>
      <w:marRight w:val="0"/>
      <w:marTop w:val="0"/>
      <w:marBottom w:val="0"/>
      <w:divBdr>
        <w:top w:val="none" w:sz="0" w:space="0" w:color="auto"/>
        <w:left w:val="none" w:sz="0" w:space="0" w:color="auto"/>
        <w:bottom w:val="none" w:sz="0" w:space="0" w:color="auto"/>
        <w:right w:val="none" w:sz="0" w:space="0" w:color="auto"/>
      </w:divBdr>
    </w:div>
    <w:div w:id="1509756127">
      <w:bodyDiv w:val="1"/>
      <w:marLeft w:val="0"/>
      <w:marRight w:val="0"/>
      <w:marTop w:val="0"/>
      <w:marBottom w:val="0"/>
      <w:divBdr>
        <w:top w:val="none" w:sz="0" w:space="0" w:color="auto"/>
        <w:left w:val="none" w:sz="0" w:space="0" w:color="auto"/>
        <w:bottom w:val="none" w:sz="0" w:space="0" w:color="auto"/>
        <w:right w:val="none" w:sz="0" w:space="0" w:color="auto"/>
      </w:divBdr>
      <w:divsChild>
        <w:div w:id="81992104">
          <w:marLeft w:val="0"/>
          <w:marRight w:val="0"/>
          <w:marTop w:val="0"/>
          <w:marBottom w:val="240"/>
          <w:divBdr>
            <w:top w:val="none" w:sz="0" w:space="0" w:color="auto"/>
            <w:left w:val="none" w:sz="0" w:space="0" w:color="auto"/>
            <w:bottom w:val="none" w:sz="0" w:space="0" w:color="auto"/>
            <w:right w:val="none" w:sz="0" w:space="0" w:color="auto"/>
          </w:divBdr>
        </w:div>
      </w:divsChild>
    </w:div>
    <w:div w:id="1510952352">
      <w:bodyDiv w:val="1"/>
      <w:marLeft w:val="0"/>
      <w:marRight w:val="0"/>
      <w:marTop w:val="0"/>
      <w:marBottom w:val="0"/>
      <w:divBdr>
        <w:top w:val="none" w:sz="0" w:space="0" w:color="auto"/>
        <w:left w:val="none" w:sz="0" w:space="0" w:color="auto"/>
        <w:bottom w:val="none" w:sz="0" w:space="0" w:color="auto"/>
        <w:right w:val="none" w:sz="0" w:space="0" w:color="auto"/>
      </w:divBdr>
      <w:divsChild>
        <w:div w:id="914321942">
          <w:marLeft w:val="0"/>
          <w:marRight w:val="0"/>
          <w:marTop w:val="0"/>
          <w:marBottom w:val="240"/>
          <w:divBdr>
            <w:top w:val="none" w:sz="0" w:space="0" w:color="auto"/>
            <w:left w:val="none" w:sz="0" w:space="0" w:color="auto"/>
            <w:bottom w:val="none" w:sz="0" w:space="0" w:color="auto"/>
            <w:right w:val="none" w:sz="0" w:space="0" w:color="auto"/>
          </w:divBdr>
        </w:div>
      </w:divsChild>
    </w:div>
    <w:div w:id="1533569056">
      <w:bodyDiv w:val="1"/>
      <w:marLeft w:val="0"/>
      <w:marRight w:val="0"/>
      <w:marTop w:val="0"/>
      <w:marBottom w:val="0"/>
      <w:divBdr>
        <w:top w:val="none" w:sz="0" w:space="0" w:color="auto"/>
        <w:left w:val="none" w:sz="0" w:space="0" w:color="auto"/>
        <w:bottom w:val="none" w:sz="0" w:space="0" w:color="auto"/>
        <w:right w:val="none" w:sz="0" w:space="0" w:color="auto"/>
      </w:divBdr>
      <w:divsChild>
        <w:div w:id="1034962988">
          <w:marLeft w:val="0"/>
          <w:marRight w:val="0"/>
          <w:marTop w:val="0"/>
          <w:marBottom w:val="240"/>
          <w:divBdr>
            <w:top w:val="none" w:sz="0" w:space="0" w:color="auto"/>
            <w:left w:val="none" w:sz="0" w:space="0" w:color="auto"/>
            <w:bottom w:val="none" w:sz="0" w:space="0" w:color="auto"/>
            <w:right w:val="none" w:sz="0" w:space="0" w:color="auto"/>
          </w:divBdr>
        </w:div>
        <w:div w:id="1578787612">
          <w:marLeft w:val="0"/>
          <w:marRight w:val="0"/>
          <w:marTop w:val="0"/>
          <w:marBottom w:val="240"/>
          <w:divBdr>
            <w:top w:val="none" w:sz="0" w:space="0" w:color="auto"/>
            <w:left w:val="none" w:sz="0" w:space="0" w:color="auto"/>
            <w:bottom w:val="none" w:sz="0" w:space="0" w:color="auto"/>
            <w:right w:val="none" w:sz="0" w:space="0" w:color="auto"/>
          </w:divBdr>
        </w:div>
      </w:divsChild>
    </w:div>
    <w:div w:id="1544318907">
      <w:bodyDiv w:val="1"/>
      <w:marLeft w:val="0"/>
      <w:marRight w:val="0"/>
      <w:marTop w:val="0"/>
      <w:marBottom w:val="0"/>
      <w:divBdr>
        <w:top w:val="none" w:sz="0" w:space="0" w:color="auto"/>
        <w:left w:val="none" w:sz="0" w:space="0" w:color="auto"/>
        <w:bottom w:val="none" w:sz="0" w:space="0" w:color="auto"/>
        <w:right w:val="none" w:sz="0" w:space="0" w:color="auto"/>
      </w:divBdr>
      <w:divsChild>
        <w:div w:id="1205871057">
          <w:marLeft w:val="0"/>
          <w:marRight w:val="0"/>
          <w:marTop w:val="0"/>
          <w:marBottom w:val="240"/>
          <w:divBdr>
            <w:top w:val="none" w:sz="0" w:space="0" w:color="auto"/>
            <w:left w:val="none" w:sz="0" w:space="0" w:color="auto"/>
            <w:bottom w:val="none" w:sz="0" w:space="0" w:color="auto"/>
            <w:right w:val="none" w:sz="0" w:space="0" w:color="auto"/>
          </w:divBdr>
        </w:div>
      </w:divsChild>
    </w:div>
    <w:div w:id="1548645867">
      <w:bodyDiv w:val="1"/>
      <w:marLeft w:val="0"/>
      <w:marRight w:val="0"/>
      <w:marTop w:val="0"/>
      <w:marBottom w:val="0"/>
      <w:divBdr>
        <w:top w:val="none" w:sz="0" w:space="0" w:color="auto"/>
        <w:left w:val="none" w:sz="0" w:space="0" w:color="auto"/>
        <w:bottom w:val="none" w:sz="0" w:space="0" w:color="auto"/>
        <w:right w:val="none" w:sz="0" w:space="0" w:color="auto"/>
      </w:divBdr>
    </w:div>
    <w:div w:id="1573546368">
      <w:bodyDiv w:val="1"/>
      <w:marLeft w:val="0"/>
      <w:marRight w:val="0"/>
      <w:marTop w:val="0"/>
      <w:marBottom w:val="0"/>
      <w:divBdr>
        <w:top w:val="none" w:sz="0" w:space="0" w:color="auto"/>
        <w:left w:val="none" w:sz="0" w:space="0" w:color="auto"/>
        <w:bottom w:val="none" w:sz="0" w:space="0" w:color="auto"/>
        <w:right w:val="none" w:sz="0" w:space="0" w:color="auto"/>
      </w:divBdr>
      <w:divsChild>
        <w:div w:id="734478103">
          <w:marLeft w:val="0"/>
          <w:marRight w:val="0"/>
          <w:marTop w:val="0"/>
          <w:marBottom w:val="240"/>
          <w:divBdr>
            <w:top w:val="none" w:sz="0" w:space="0" w:color="auto"/>
            <w:left w:val="none" w:sz="0" w:space="0" w:color="auto"/>
            <w:bottom w:val="none" w:sz="0" w:space="0" w:color="auto"/>
            <w:right w:val="none" w:sz="0" w:space="0" w:color="auto"/>
          </w:divBdr>
        </w:div>
      </w:divsChild>
    </w:div>
    <w:div w:id="1651977894">
      <w:bodyDiv w:val="1"/>
      <w:marLeft w:val="0"/>
      <w:marRight w:val="0"/>
      <w:marTop w:val="0"/>
      <w:marBottom w:val="0"/>
      <w:divBdr>
        <w:top w:val="none" w:sz="0" w:space="0" w:color="auto"/>
        <w:left w:val="none" w:sz="0" w:space="0" w:color="auto"/>
        <w:bottom w:val="none" w:sz="0" w:space="0" w:color="auto"/>
        <w:right w:val="none" w:sz="0" w:space="0" w:color="auto"/>
      </w:divBdr>
      <w:divsChild>
        <w:div w:id="262303946">
          <w:marLeft w:val="0"/>
          <w:marRight w:val="0"/>
          <w:marTop w:val="0"/>
          <w:marBottom w:val="240"/>
          <w:divBdr>
            <w:top w:val="none" w:sz="0" w:space="0" w:color="auto"/>
            <w:left w:val="none" w:sz="0" w:space="0" w:color="auto"/>
            <w:bottom w:val="none" w:sz="0" w:space="0" w:color="auto"/>
            <w:right w:val="none" w:sz="0" w:space="0" w:color="auto"/>
          </w:divBdr>
        </w:div>
        <w:div w:id="770511178">
          <w:marLeft w:val="0"/>
          <w:marRight w:val="0"/>
          <w:marTop w:val="0"/>
          <w:marBottom w:val="240"/>
          <w:divBdr>
            <w:top w:val="none" w:sz="0" w:space="0" w:color="auto"/>
            <w:left w:val="none" w:sz="0" w:space="0" w:color="auto"/>
            <w:bottom w:val="none" w:sz="0" w:space="0" w:color="auto"/>
            <w:right w:val="none" w:sz="0" w:space="0" w:color="auto"/>
          </w:divBdr>
        </w:div>
      </w:divsChild>
    </w:div>
    <w:div w:id="1696612939">
      <w:bodyDiv w:val="1"/>
      <w:marLeft w:val="0"/>
      <w:marRight w:val="0"/>
      <w:marTop w:val="0"/>
      <w:marBottom w:val="0"/>
      <w:divBdr>
        <w:top w:val="none" w:sz="0" w:space="0" w:color="auto"/>
        <w:left w:val="none" w:sz="0" w:space="0" w:color="auto"/>
        <w:bottom w:val="none" w:sz="0" w:space="0" w:color="auto"/>
        <w:right w:val="none" w:sz="0" w:space="0" w:color="auto"/>
      </w:divBdr>
      <w:divsChild>
        <w:div w:id="1277520436">
          <w:marLeft w:val="0"/>
          <w:marRight w:val="0"/>
          <w:marTop w:val="0"/>
          <w:marBottom w:val="240"/>
          <w:divBdr>
            <w:top w:val="none" w:sz="0" w:space="0" w:color="auto"/>
            <w:left w:val="none" w:sz="0" w:space="0" w:color="auto"/>
            <w:bottom w:val="none" w:sz="0" w:space="0" w:color="auto"/>
            <w:right w:val="none" w:sz="0" w:space="0" w:color="auto"/>
          </w:divBdr>
        </w:div>
      </w:divsChild>
    </w:div>
    <w:div w:id="1697003599">
      <w:bodyDiv w:val="1"/>
      <w:marLeft w:val="0"/>
      <w:marRight w:val="0"/>
      <w:marTop w:val="0"/>
      <w:marBottom w:val="0"/>
      <w:divBdr>
        <w:top w:val="none" w:sz="0" w:space="0" w:color="auto"/>
        <w:left w:val="none" w:sz="0" w:space="0" w:color="auto"/>
        <w:bottom w:val="none" w:sz="0" w:space="0" w:color="auto"/>
        <w:right w:val="none" w:sz="0" w:space="0" w:color="auto"/>
      </w:divBdr>
      <w:divsChild>
        <w:div w:id="1713381304">
          <w:marLeft w:val="0"/>
          <w:marRight w:val="0"/>
          <w:marTop w:val="0"/>
          <w:marBottom w:val="240"/>
          <w:divBdr>
            <w:top w:val="none" w:sz="0" w:space="0" w:color="auto"/>
            <w:left w:val="none" w:sz="0" w:space="0" w:color="auto"/>
            <w:bottom w:val="none" w:sz="0" w:space="0" w:color="auto"/>
            <w:right w:val="none" w:sz="0" w:space="0" w:color="auto"/>
          </w:divBdr>
        </w:div>
      </w:divsChild>
    </w:div>
    <w:div w:id="1744525945">
      <w:bodyDiv w:val="1"/>
      <w:marLeft w:val="0"/>
      <w:marRight w:val="0"/>
      <w:marTop w:val="0"/>
      <w:marBottom w:val="0"/>
      <w:divBdr>
        <w:top w:val="none" w:sz="0" w:space="0" w:color="auto"/>
        <w:left w:val="none" w:sz="0" w:space="0" w:color="auto"/>
        <w:bottom w:val="none" w:sz="0" w:space="0" w:color="auto"/>
        <w:right w:val="none" w:sz="0" w:space="0" w:color="auto"/>
      </w:divBdr>
      <w:divsChild>
        <w:div w:id="1332683771">
          <w:marLeft w:val="0"/>
          <w:marRight w:val="0"/>
          <w:marTop w:val="0"/>
          <w:marBottom w:val="240"/>
          <w:divBdr>
            <w:top w:val="none" w:sz="0" w:space="0" w:color="auto"/>
            <w:left w:val="none" w:sz="0" w:space="0" w:color="auto"/>
            <w:bottom w:val="none" w:sz="0" w:space="0" w:color="auto"/>
            <w:right w:val="none" w:sz="0" w:space="0" w:color="auto"/>
          </w:divBdr>
        </w:div>
      </w:divsChild>
    </w:div>
    <w:div w:id="1757750536">
      <w:bodyDiv w:val="1"/>
      <w:marLeft w:val="0"/>
      <w:marRight w:val="0"/>
      <w:marTop w:val="0"/>
      <w:marBottom w:val="0"/>
      <w:divBdr>
        <w:top w:val="none" w:sz="0" w:space="0" w:color="auto"/>
        <w:left w:val="none" w:sz="0" w:space="0" w:color="auto"/>
        <w:bottom w:val="none" w:sz="0" w:space="0" w:color="auto"/>
        <w:right w:val="none" w:sz="0" w:space="0" w:color="auto"/>
      </w:divBdr>
      <w:divsChild>
        <w:div w:id="544412339">
          <w:marLeft w:val="0"/>
          <w:marRight w:val="0"/>
          <w:marTop w:val="0"/>
          <w:marBottom w:val="0"/>
          <w:divBdr>
            <w:top w:val="none" w:sz="0" w:space="0" w:color="auto"/>
            <w:left w:val="none" w:sz="0" w:space="0" w:color="auto"/>
            <w:bottom w:val="none" w:sz="0" w:space="0" w:color="auto"/>
            <w:right w:val="none" w:sz="0" w:space="0" w:color="auto"/>
          </w:divBdr>
          <w:divsChild>
            <w:div w:id="1253663181">
              <w:marLeft w:val="0"/>
              <w:marRight w:val="0"/>
              <w:marTop w:val="0"/>
              <w:marBottom w:val="0"/>
              <w:divBdr>
                <w:top w:val="none" w:sz="0" w:space="0" w:color="auto"/>
                <w:left w:val="none" w:sz="0" w:space="0" w:color="auto"/>
                <w:bottom w:val="none" w:sz="0" w:space="0" w:color="auto"/>
                <w:right w:val="none" w:sz="0" w:space="0" w:color="auto"/>
              </w:divBdr>
            </w:div>
          </w:divsChild>
        </w:div>
        <w:div w:id="1857769407">
          <w:marLeft w:val="0"/>
          <w:marRight w:val="0"/>
          <w:marTop w:val="225"/>
          <w:marBottom w:val="180"/>
          <w:divBdr>
            <w:top w:val="single" w:sz="6" w:space="0" w:color="D7D7D7"/>
            <w:left w:val="none" w:sz="0" w:space="0" w:color="auto"/>
            <w:bottom w:val="single" w:sz="6" w:space="0" w:color="D7D7D7"/>
            <w:right w:val="none" w:sz="0" w:space="0" w:color="auto"/>
          </w:divBdr>
          <w:divsChild>
            <w:div w:id="1382941732">
              <w:marLeft w:val="0"/>
              <w:marRight w:val="0"/>
              <w:marTop w:val="0"/>
              <w:marBottom w:val="0"/>
              <w:divBdr>
                <w:top w:val="none" w:sz="0" w:space="0" w:color="auto"/>
                <w:left w:val="none" w:sz="0" w:space="0" w:color="auto"/>
                <w:bottom w:val="none" w:sz="0" w:space="0" w:color="auto"/>
                <w:right w:val="none" w:sz="0" w:space="0" w:color="auto"/>
              </w:divBdr>
            </w:div>
            <w:div w:id="16492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5935">
      <w:bodyDiv w:val="1"/>
      <w:marLeft w:val="0"/>
      <w:marRight w:val="0"/>
      <w:marTop w:val="0"/>
      <w:marBottom w:val="0"/>
      <w:divBdr>
        <w:top w:val="none" w:sz="0" w:space="0" w:color="auto"/>
        <w:left w:val="none" w:sz="0" w:space="0" w:color="auto"/>
        <w:bottom w:val="none" w:sz="0" w:space="0" w:color="auto"/>
        <w:right w:val="none" w:sz="0" w:space="0" w:color="auto"/>
      </w:divBdr>
      <w:divsChild>
        <w:div w:id="531958254">
          <w:marLeft w:val="0"/>
          <w:marRight w:val="0"/>
          <w:marTop w:val="0"/>
          <w:marBottom w:val="240"/>
          <w:divBdr>
            <w:top w:val="none" w:sz="0" w:space="0" w:color="auto"/>
            <w:left w:val="none" w:sz="0" w:space="0" w:color="auto"/>
            <w:bottom w:val="none" w:sz="0" w:space="0" w:color="auto"/>
            <w:right w:val="none" w:sz="0" w:space="0" w:color="auto"/>
          </w:divBdr>
        </w:div>
      </w:divsChild>
    </w:div>
    <w:div w:id="1804880523">
      <w:bodyDiv w:val="1"/>
      <w:marLeft w:val="0"/>
      <w:marRight w:val="0"/>
      <w:marTop w:val="0"/>
      <w:marBottom w:val="0"/>
      <w:divBdr>
        <w:top w:val="none" w:sz="0" w:space="0" w:color="auto"/>
        <w:left w:val="none" w:sz="0" w:space="0" w:color="auto"/>
        <w:bottom w:val="none" w:sz="0" w:space="0" w:color="auto"/>
        <w:right w:val="none" w:sz="0" w:space="0" w:color="auto"/>
      </w:divBdr>
    </w:div>
    <w:div w:id="1816987098">
      <w:bodyDiv w:val="1"/>
      <w:marLeft w:val="0"/>
      <w:marRight w:val="0"/>
      <w:marTop w:val="0"/>
      <w:marBottom w:val="0"/>
      <w:divBdr>
        <w:top w:val="none" w:sz="0" w:space="0" w:color="auto"/>
        <w:left w:val="none" w:sz="0" w:space="0" w:color="auto"/>
        <w:bottom w:val="none" w:sz="0" w:space="0" w:color="auto"/>
        <w:right w:val="none" w:sz="0" w:space="0" w:color="auto"/>
      </w:divBdr>
    </w:div>
    <w:div w:id="1831141785">
      <w:bodyDiv w:val="1"/>
      <w:marLeft w:val="0"/>
      <w:marRight w:val="0"/>
      <w:marTop w:val="0"/>
      <w:marBottom w:val="0"/>
      <w:divBdr>
        <w:top w:val="none" w:sz="0" w:space="0" w:color="auto"/>
        <w:left w:val="none" w:sz="0" w:space="0" w:color="auto"/>
        <w:bottom w:val="none" w:sz="0" w:space="0" w:color="auto"/>
        <w:right w:val="none" w:sz="0" w:space="0" w:color="auto"/>
      </w:divBdr>
    </w:div>
    <w:div w:id="1851019651">
      <w:bodyDiv w:val="1"/>
      <w:marLeft w:val="0"/>
      <w:marRight w:val="0"/>
      <w:marTop w:val="0"/>
      <w:marBottom w:val="0"/>
      <w:divBdr>
        <w:top w:val="none" w:sz="0" w:space="0" w:color="auto"/>
        <w:left w:val="none" w:sz="0" w:space="0" w:color="auto"/>
        <w:bottom w:val="none" w:sz="0" w:space="0" w:color="auto"/>
        <w:right w:val="none" w:sz="0" w:space="0" w:color="auto"/>
      </w:divBdr>
    </w:div>
    <w:div w:id="1863935553">
      <w:bodyDiv w:val="1"/>
      <w:marLeft w:val="0"/>
      <w:marRight w:val="0"/>
      <w:marTop w:val="0"/>
      <w:marBottom w:val="0"/>
      <w:divBdr>
        <w:top w:val="none" w:sz="0" w:space="0" w:color="auto"/>
        <w:left w:val="none" w:sz="0" w:space="0" w:color="auto"/>
        <w:bottom w:val="none" w:sz="0" w:space="0" w:color="auto"/>
        <w:right w:val="none" w:sz="0" w:space="0" w:color="auto"/>
      </w:divBdr>
      <w:divsChild>
        <w:div w:id="1810202172">
          <w:marLeft w:val="0"/>
          <w:marRight w:val="0"/>
          <w:marTop w:val="0"/>
          <w:marBottom w:val="240"/>
          <w:divBdr>
            <w:top w:val="none" w:sz="0" w:space="0" w:color="auto"/>
            <w:left w:val="none" w:sz="0" w:space="0" w:color="auto"/>
            <w:bottom w:val="none" w:sz="0" w:space="0" w:color="auto"/>
            <w:right w:val="none" w:sz="0" w:space="0" w:color="auto"/>
          </w:divBdr>
        </w:div>
      </w:divsChild>
    </w:div>
    <w:div w:id="1893426235">
      <w:bodyDiv w:val="1"/>
      <w:marLeft w:val="0"/>
      <w:marRight w:val="0"/>
      <w:marTop w:val="0"/>
      <w:marBottom w:val="0"/>
      <w:divBdr>
        <w:top w:val="none" w:sz="0" w:space="0" w:color="auto"/>
        <w:left w:val="none" w:sz="0" w:space="0" w:color="auto"/>
        <w:bottom w:val="none" w:sz="0" w:space="0" w:color="auto"/>
        <w:right w:val="none" w:sz="0" w:space="0" w:color="auto"/>
      </w:divBdr>
      <w:divsChild>
        <w:div w:id="862520833">
          <w:marLeft w:val="0"/>
          <w:marRight w:val="0"/>
          <w:marTop w:val="0"/>
          <w:marBottom w:val="0"/>
          <w:divBdr>
            <w:top w:val="none" w:sz="0" w:space="0" w:color="auto"/>
            <w:left w:val="none" w:sz="0" w:space="0" w:color="auto"/>
            <w:bottom w:val="none" w:sz="0" w:space="0" w:color="auto"/>
            <w:right w:val="none" w:sz="0" w:space="0" w:color="auto"/>
          </w:divBdr>
          <w:divsChild>
            <w:div w:id="129247940">
              <w:marLeft w:val="0"/>
              <w:marRight w:val="0"/>
              <w:marTop w:val="0"/>
              <w:marBottom w:val="0"/>
              <w:divBdr>
                <w:top w:val="none" w:sz="0" w:space="0" w:color="auto"/>
                <w:left w:val="none" w:sz="0" w:space="0" w:color="auto"/>
                <w:bottom w:val="none" w:sz="0" w:space="0" w:color="auto"/>
                <w:right w:val="none" w:sz="0" w:space="0" w:color="auto"/>
              </w:divBdr>
            </w:div>
          </w:divsChild>
        </w:div>
        <w:div w:id="1266620627">
          <w:marLeft w:val="0"/>
          <w:marRight w:val="0"/>
          <w:marTop w:val="225"/>
          <w:marBottom w:val="180"/>
          <w:divBdr>
            <w:top w:val="single" w:sz="6" w:space="0" w:color="D7D7D7"/>
            <w:left w:val="none" w:sz="0" w:space="0" w:color="auto"/>
            <w:bottom w:val="single" w:sz="6" w:space="0" w:color="D7D7D7"/>
            <w:right w:val="none" w:sz="0" w:space="0" w:color="auto"/>
          </w:divBdr>
          <w:divsChild>
            <w:div w:id="577322721">
              <w:marLeft w:val="0"/>
              <w:marRight w:val="0"/>
              <w:marTop w:val="0"/>
              <w:marBottom w:val="0"/>
              <w:divBdr>
                <w:top w:val="none" w:sz="0" w:space="0" w:color="auto"/>
                <w:left w:val="none" w:sz="0" w:space="0" w:color="auto"/>
                <w:bottom w:val="none" w:sz="0" w:space="0" w:color="auto"/>
                <w:right w:val="none" w:sz="0" w:space="0" w:color="auto"/>
              </w:divBdr>
            </w:div>
            <w:div w:id="20873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7374">
      <w:bodyDiv w:val="1"/>
      <w:marLeft w:val="0"/>
      <w:marRight w:val="0"/>
      <w:marTop w:val="0"/>
      <w:marBottom w:val="0"/>
      <w:divBdr>
        <w:top w:val="none" w:sz="0" w:space="0" w:color="auto"/>
        <w:left w:val="none" w:sz="0" w:space="0" w:color="auto"/>
        <w:bottom w:val="none" w:sz="0" w:space="0" w:color="auto"/>
        <w:right w:val="none" w:sz="0" w:space="0" w:color="auto"/>
      </w:divBdr>
      <w:divsChild>
        <w:div w:id="2031879561">
          <w:marLeft w:val="0"/>
          <w:marRight w:val="0"/>
          <w:marTop w:val="0"/>
          <w:marBottom w:val="240"/>
          <w:divBdr>
            <w:top w:val="none" w:sz="0" w:space="0" w:color="auto"/>
            <w:left w:val="none" w:sz="0" w:space="0" w:color="auto"/>
            <w:bottom w:val="none" w:sz="0" w:space="0" w:color="auto"/>
            <w:right w:val="none" w:sz="0" w:space="0" w:color="auto"/>
          </w:divBdr>
        </w:div>
      </w:divsChild>
    </w:div>
    <w:div w:id="1923877450">
      <w:bodyDiv w:val="1"/>
      <w:marLeft w:val="0"/>
      <w:marRight w:val="0"/>
      <w:marTop w:val="0"/>
      <w:marBottom w:val="0"/>
      <w:divBdr>
        <w:top w:val="none" w:sz="0" w:space="0" w:color="auto"/>
        <w:left w:val="none" w:sz="0" w:space="0" w:color="auto"/>
        <w:bottom w:val="none" w:sz="0" w:space="0" w:color="auto"/>
        <w:right w:val="none" w:sz="0" w:space="0" w:color="auto"/>
      </w:divBdr>
    </w:div>
    <w:div w:id="1930428597">
      <w:bodyDiv w:val="1"/>
      <w:marLeft w:val="0"/>
      <w:marRight w:val="0"/>
      <w:marTop w:val="0"/>
      <w:marBottom w:val="0"/>
      <w:divBdr>
        <w:top w:val="none" w:sz="0" w:space="0" w:color="auto"/>
        <w:left w:val="none" w:sz="0" w:space="0" w:color="auto"/>
        <w:bottom w:val="none" w:sz="0" w:space="0" w:color="auto"/>
        <w:right w:val="none" w:sz="0" w:space="0" w:color="auto"/>
      </w:divBdr>
      <w:divsChild>
        <w:div w:id="1369524766">
          <w:marLeft w:val="0"/>
          <w:marRight w:val="0"/>
          <w:marTop w:val="0"/>
          <w:marBottom w:val="240"/>
          <w:divBdr>
            <w:top w:val="none" w:sz="0" w:space="0" w:color="auto"/>
            <w:left w:val="none" w:sz="0" w:space="0" w:color="auto"/>
            <w:bottom w:val="none" w:sz="0" w:space="0" w:color="auto"/>
            <w:right w:val="none" w:sz="0" w:space="0" w:color="auto"/>
          </w:divBdr>
        </w:div>
      </w:divsChild>
    </w:div>
    <w:div w:id="1946644784">
      <w:bodyDiv w:val="1"/>
      <w:marLeft w:val="0"/>
      <w:marRight w:val="0"/>
      <w:marTop w:val="0"/>
      <w:marBottom w:val="0"/>
      <w:divBdr>
        <w:top w:val="none" w:sz="0" w:space="0" w:color="auto"/>
        <w:left w:val="none" w:sz="0" w:space="0" w:color="auto"/>
        <w:bottom w:val="none" w:sz="0" w:space="0" w:color="auto"/>
        <w:right w:val="none" w:sz="0" w:space="0" w:color="auto"/>
      </w:divBdr>
      <w:divsChild>
        <w:div w:id="1385718220">
          <w:marLeft w:val="0"/>
          <w:marRight w:val="0"/>
          <w:marTop w:val="0"/>
          <w:marBottom w:val="240"/>
          <w:divBdr>
            <w:top w:val="none" w:sz="0" w:space="0" w:color="auto"/>
            <w:left w:val="none" w:sz="0" w:space="0" w:color="auto"/>
            <w:bottom w:val="none" w:sz="0" w:space="0" w:color="auto"/>
            <w:right w:val="none" w:sz="0" w:space="0" w:color="auto"/>
          </w:divBdr>
        </w:div>
      </w:divsChild>
    </w:div>
    <w:div w:id="1987969641">
      <w:bodyDiv w:val="1"/>
      <w:marLeft w:val="0"/>
      <w:marRight w:val="0"/>
      <w:marTop w:val="0"/>
      <w:marBottom w:val="0"/>
      <w:divBdr>
        <w:top w:val="none" w:sz="0" w:space="0" w:color="auto"/>
        <w:left w:val="none" w:sz="0" w:space="0" w:color="auto"/>
        <w:bottom w:val="none" w:sz="0" w:space="0" w:color="auto"/>
        <w:right w:val="none" w:sz="0" w:space="0" w:color="auto"/>
      </w:divBdr>
    </w:div>
    <w:div w:id="2006325608">
      <w:bodyDiv w:val="1"/>
      <w:marLeft w:val="0"/>
      <w:marRight w:val="0"/>
      <w:marTop w:val="0"/>
      <w:marBottom w:val="0"/>
      <w:divBdr>
        <w:top w:val="none" w:sz="0" w:space="0" w:color="auto"/>
        <w:left w:val="none" w:sz="0" w:space="0" w:color="auto"/>
        <w:bottom w:val="none" w:sz="0" w:space="0" w:color="auto"/>
        <w:right w:val="none" w:sz="0" w:space="0" w:color="auto"/>
      </w:divBdr>
      <w:divsChild>
        <w:div w:id="852037956">
          <w:marLeft w:val="0"/>
          <w:marRight w:val="0"/>
          <w:marTop w:val="0"/>
          <w:marBottom w:val="240"/>
          <w:divBdr>
            <w:top w:val="none" w:sz="0" w:space="0" w:color="auto"/>
            <w:left w:val="none" w:sz="0" w:space="0" w:color="auto"/>
            <w:bottom w:val="none" w:sz="0" w:space="0" w:color="auto"/>
            <w:right w:val="none" w:sz="0" w:space="0" w:color="auto"/>
          </w:divBdr>
        </w:div>
      </w:divsChild>
    </w:div>
    <w:div w:id="2047875895">
      <w:bodyDiv w:val="1"/>
      <w:marLeft w:val="0"/>
      <w:marRight w:val="0"/>
      <w:marTop w:val="0"/>
      <w:marBottom w:val="0"/>
      <w:divBdr>
        <w:top w:val="none" w:sz="0" w:space="0" w:color="auto"/>
        <w:left w:val="none" w:sz="0" w:space="0" w:color="auto"/>
        <w:bottom w:val="none" w:sz="0" w:space="0" w:color="auto"/>
        <w:right w:val="none" w:sz="0" w:space="0" w:color="auto"/>
      </w:divBdr>
    </w:div>
    <w:div w:id="2067758900">
      <w:bodyDiv w:val="1"/>
      <w:marLeft w:val="0"/>
      <w:marRight w:val="0"/>
      <w:marTop w:val="0"/>
      <w:marBottom w:val="0"/>
      <w:divBdr>
        <w:top w:val="none" w:sz="0" w:space="0" w:color="auto"/>
        <w:left w:val="none" w:sz="0" w:space="0" w:color="auto"/>
        <w:bottom w:val="none" w:sz="0" w:space="0" w:color="auto"/>
        <w:right w:val="none" w:sz="0" w:space="0" w:color="auto"/>
      </w:divBdr>
      <w:divsChild>
        <w:div w:id="1699745119">
          <w:marLeft w:val="0"/>
          <w:marRight w:val="0"/>
          <w:marTop w:val="0"/>
          <w:marBottom w:val="240"/>
          <w:divBdr>
            <w:top w:val="none" w:sz="0" w:space="0" w:color="auto"/>
            <w:left w:val="none" w:sz="0" w:space="0" w:color="auto"/>
            <w:bottom w:val="none" w:sz="0" w:space="0" w:color="auto"/>
            <w:right w:val="none" w:sz="0" w:space="0" w:color="auto"/>
          </w:divBdr>
        </w:div>
      </w:divsChild>
    </w:div>
    <w:div w:id="2100786935">
      <w:bodyDiv w:val="1"/>
      <w:marLeft w:val="0"/>
      <w:marRight w:val="0"/>
      <w:marTop w:val="0"/>
      <w:marBottom w:val="0"/>
      <w:divBdr>
        <w:top w:val="none" w:sz="0" w:space="0" w:color="auto"/>
        <w:left w:val="none" w:sz="0" w:space="0" w:color="auto"/>
        <w:bottom w:val="none" w:sz="0" w:space="0" w:color="auto"/>
        <w:right w:val="none" w:sz="0" w:space="0" w:color="auto"/>
      </w:divBdr>
    </w:div>
    <w:div w:id="2107847454">
      <w:bodyDiv w:val="1"/>
      <w:marLeft w:val="0"/>
      <w:marRight w:val="0"/>
      <w:marTop w:val="0"/>
      <w:marBottom w:val="0"/>
      <w:divBdr>
        <w:top w:val="none" w:sz="0" w:space="0" w:color="auto"/>
        <w:left w:val="none" w:sz="0" w:space="0" w:color="auto"/>
        <w:bottom w:val="none" w:sz="0" w:space="0" w:color="auto"/>
        <w:right w:val="none" w:sz="0" w:space="0" w:color="auto"/>
      </w:divBdr>
      <w:divsChild>
        <w:div w:id="364796142">
          <w:marLeft w:val="0"/>
          <w:marRight w:val="0"/>
          <w:marTop w:val="225"/>
          <w:marBottom w:val="180"/>
          <w:divBdr>
            <w:top w:val="single" w:sz="6" w:space="0" w:color="D7D7D7"/>
            <w:left w:val="none" w:sz="0" w:space="0" w:color="auto"/>
            <w:bottom w:val="single" w:sz="6" w:space="0" w:color="D7D7D7"/>
            <w:right w:val="none" w:sz="0" w:space="0" w:color="auto"/>
          </w:divBdr>
          <w:divsChild>
            <w:div w:id="925312136">
              <w:marLeft w:val="0"/>
              <w:marRight w:val="0"/>
              <w:marTop w:val="0"/>
              <w:marBottom w:val="0"/>
              <w:divBdr>
                <w:top w:val="none" w:sz="0" w:space="0" w:color="auto"/>
                <w:left w:val="none" w:sz="0" w:space="0" w:color="auto"/>
                <w:bottom w:val="none" w:sz="0" w:space="0" w:color="auto"/>
                <w:right w:val="none" w:sz="0" w:space="0" w:color="auto"/>
              </w:divBdr>
            </w:div>
            <w:div w:id="1999727767">
              <w:marLeft w:val="0"/>
              <w:marRight w:val="0"/>
              <w:marTop w:val="0"/>
              <w:marBottom w:val="0"/>
              <w:divBdr>
                <w:top w:val="none" w:sz="0" w:space="0" w:color="auto"/>
                <w:left w:val="none" w:sz="0" w:space="0" w:color="auto"/>
                <w:bottom w:val="none" w:sz="0" w:space="0" w:color="auto"/>
                <w:right w:val="none" w:sz="0" w:space="0" w:color="auto"/>
              </w:divBdr>
            </w:div>
          </w:divsChild>
        </w:div>
        <w:div w:id="1204101993">
          <w:marLeft w:val="0"/>
          <w:marRight w:val="0"/>
          <w:marTop w:val="0"/>
          <w:marBottom w:val="0"/>
          <w:divBdr>
            <w:top w:val="none" w:sz="0" w:space="0" w:color="auto"/>
            <w:left w:val="none" w:sz="0" w:space="0" w:color="auto"/>
            <w:bottom w:val="none" w:sz="0" w:space="0" w:color="auto"/>
            <w:right w:val="none" w:sz="0" w:space="0" w:color="auto"/>
          </w:divBdr>
        </w:div>
      </w:divsChild>
    </w:div>
    <w:div w:id="2116048335">
      <w:bodyDiv w:val="1"/>
      <w:marLeft w:val="0"/>
      <w:marRight w:val="0"/>
      <w:marTop w:val="0"/>
      <w:marBottom w:val="0"/>
      <w:divBdr>
        <w:top w:val="none" w:sz="0" w:space="0" w:color="auto"/>
        <w:left w:val="none" w:sz="0" w:space="0" w:color="auto"/>
        <w:bottom w:val="none" w:sz="0" w:space="0" w:color="auto"/>
        <w:right w:val="none" w:sz="0" w:space="0" w:color="auto"/>
      </w:divBdr>
      <w:divsChild>
        <w:div w:id="362562434">
          <w:marLeft w:val="0"/>
          <w:marRight w:val="0"/>
          <w:marTop w:val="0"/>
          <w:marBottom w:val="240"/>
          <w:divBdr>
            <w:top w:val="none" w:sz="0" w:space="0" w:color="auto"/>
            <w:left w:val="none" w:sz="0" w:space="0" w:color="auto"/>
            <w:bottom w:val="none" w:sz="0" w:space="0" w:color="auto"/>
            <w:right w:val="none" w:sz="0" w:space="0" w:color="auto"/>
          </w:divBdr>
        </w:div>
        <w:div w:id="474496424">
          <w:marLeft w:val="0"/>
          <w:marRight w:val="0"/>
          <w:marTop w:val="0"/>
          <w:marBottom w:val="240"/>
          <w:divBdr>
            <w:top w:val="none" w:sz="0" w:space="0" w:color="auto"/>
            <w:left w:val="none" w:sz="0" w:space="0" w:color="auto"/>
            <w:bottom w:val="none" w:sz="0" w:space="0" w:color="auto"/>
            <w:right w:val="none" w:sz="0" w:space="0" w:color="auto"/>
          </w:divBdr>
        </w:div>
        <w:div w:id="1611205166">
          <w:marLeft w:val="0"/>
          <w:marRight w:val="0"/>
          <w:marTop w:val="0"/>
          <w:marBottom w:val="240"/>
          <w:divBdr>
            <w:top w:val="none" w:sz="0" w:space="0" w:color="auto"/>
            <w:left w:val="none" w:sz="0" w:space="0" w:color="auto"/>
            <w:bottom w:val="none" w:sz="0" w:space="0" w:color="auto"/>
            <w:right w:val="none" w:sz="0" w:space="0" w:color="auto"/>
          </w:divBdr>
        </w:div>
      </w:divsChild>
    </w:div>
    <w:div w:id="2123262820">
      <w:bodyDiv w:val="1"/>
      <w:marLeft w:val="0"/>
      <w:marRight w:val="0"/>
      <w:marTop w:val="0"/>
      <w:marBottom w:val="0"/>
      <w:divBdr>
        <w:top w:val="none" w:sz="0" w:space="0" w:color="auto"/>
        <w:left w:val="none" w:sz="0" w:space="0" w:color="auto"/>
        <w:bottom w:val="none" w:sz="0" w:space="0" w:color="auto"/>
        <w:right w:val="none" w:sz="0" w:space="0" w:color="auto"/>
      </w:divBdr>
    </w:div>
    <w:div w:id="2125685687">
      <w:bodyDiv w:val="1"/>
      <w:marLeft w:val="0"/>
      <w:marRight w:val="0"/>
      <w:marTop w:val="0"/>
      <w:marBottom w:val="0"/>
      <w:divBdr>
        <w:top w:val="none" w:sz="0" w:space="0" w:color="auto"/>
        <w:left w:val="none" w:sz="0" w:space="0" w:color="auto"/>
        <w:bottom w:val="none" w:sz="0" w:space="0" w:color="auto"/>
        <w:right w:val="none" w:sz="0" w:space="0" w:color="auto"/>
      </w:divBdr>
    </w:div>
    <w:div w:id="2135902166">
      <w:bodyDiv w:val="1"/>
      <w:marLeft w:val="0"/>
      <w:marRight w:val="0"/>
      <w:marTop w:val="0"/>
      <w:marBottom w:val="0"/>
      <w:divBdr>
        <w:top w:val="none" w:sz="0" w:space="0" w:color="auto"/>
        <w:left w:val="none" w:sz="0" w:space="0" w:color="auto"/>
        <w:bottom w:val="none" w:sz="0" w:space="0" w:color="auto"/>
        <w:right w:val="none" w:sz="0" w:space="0" w:color="auto"/>
      </w:divBdr>
      <w:divsChild>
        <w:div w:id="1369335441">
          <w:marLeft w:val="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bde.es/f/webbde/Secciones/Publicaciones/PublicacionesAnuales/inf2008e.pdf" TargetMode="External"/><Relationship Id="rId26" Type="http://schemas.openxmlformats.org/officeDocument/2006/relationships/hyperlink" Target="http://www.nationalbanken.dk/en/publications/Documents/2008/05/FinancialStability_2008.pdf" TargetMode="External"/><Relationship Id="rId39" Type="http://schemas.openxmlformats.org/officeDocument/2006/relationships/hyperlink" Target="https://www.imf.org/external/pubs/ft/scr/2011/cr11144.pdf" TargetMode="External"/><Relationship Id="rId3" Type="http://schemas.openxmlformats.org/officeDocument/2006/relationships/styles" Target="styles.xml"/><Relationship Id="rId21" Type="http://schemas.openxmlformats.org/officeDocument/2006/relationships/hyperlink" Target="http://www.bportugal.pt/en-US/EstabilidadeFinanceira/Publicacoes/RelatoriodeEstabilidadeFinanceira/REFAnteriores/Documents/ref_07_e.pdf" TargetMode="External"/><Relationship Id="rId34" Type="http://schemas.openxmlformats.org/officeDocument/2006/relationships/hyperlink" Target="http://www.ofce.sciences-po.fr/pdf/dtravail/WP2009-31.pdf" TargetMode="External"/><Relationship Id="rId42" Type="http://schemas.openxmlformats.org/officeDocument/2006/relationships/hyperlink" Target="https://www.imf.org/external/pubs/ft/scr/2012/cr12341.pdf" TargetMode="External"/><Relationship Id="rId47" Type="http://schemas.openxmlformats.org/officeDocument/2006/relationships/hyperlink" Target="http://www.oecd-ilibrary.org/economics/oecd-economic-surveys-denmark-2009_eco_surveys-dnk-2009-en" TargetMode="External"/><Relationship Id="rId50" Type="http://schemas.openxmlformats.org/officeDocument/2006/relationships/hyperlink" Target="http://www.riksbank.se/Pagefolders/32386/fs2007_2_eng.pdf"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bancaditalia.it/pubblicazioni/relann/rel08/rel08en/Text%20book_internet.pdf" TargetMode="External"/><Relationship Id="rId25" Type="http://schemas.openxmlformats.org/officeDocument/2006/relationships/hyperlink" Target="http://www.dnb.nl/en/binaries/OFSnr9_tcm47-218448.pdf" TargetMode="External"/><Relationship Id="rId33" Type="http://schemas.openxmlformats.org/officeDocument/2006/relationships/hyperlink" Target="http://www.ofce.sciences-po.fr" TargetMode="External"/><Relationship Id="rId38" Type="http://schemas.openxmlformats.org/officeDocument/2006/relationships/hyperlink" Target="https://www.imf.org/external/pubs/ft/scr/2011/cr11172.pdf" TargetMode="External"/><Relationship Id="rId46" Type="http://schemas.openxmlformats.org/officeDocument/2006/relationships/hyperlink" Target="http://www.keepeek.com/Digital-Asset-Management/oecd/economics/oecd-economic-surveys-italy-2009_eco_surveys-ita-2009-en" TargetMode="External"/><Relationship Id="rId2" Type="http://schemas.openxmlformats.org/officeDocument/2006/relationships/numbering" Target="numbering.xml"/><Relationship Id="rId16" Type="http://schemas.openxmlformats.org/officeDocument/2006/relationships/hyperlink" Target="https://www.bancaditalia.it/pubblicazioni/relann/rel07/encf07/rel_07_abr_anrep.pdf" TargetMode="External"/><Relationship Id="rId20" Type="http://schemas.openxmlformats.org/officeDocument/2006/relationships/hyperlink" Target="http://www.bde.es/f/webbde/Secciones/Publicaciones/PublicacionesAnuales/inf2008e.pdf" TargetMode="External"/><Relationship Id="rId29" Type="http://schemas.openxmlformats.org/officeDocument/2006/relationships/hyperlink" Target="https://www.bundesbank.de/Redaktion/EN/Downloads/Publications/Annual_Report/2007_annual_report.pdf?__blob=publicationFile" TargetMode="External"/><Relationship Id="rId41" Type="http://schemas.openxmlformats.org/officeDocument/2006/relationships/hyperlink" Target="https://www.imf.org/external/pubs/ft/scr/2012/cr1213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dnb.nl/en/binaries/OFSnr9_tcm47-218448.pdf" TargetMode="External"/><Relationship Id="rId32" Type="http://schemas.openxmlformats.org/officeDocument/2006/relationships/hyperlink" Target="http://ec.europa.eu/economy_finance/publications/publication15887_en.pdf" TargetMode="External"/><Relationship Id="rId37" Type="http://schemas.openxmlformats.org/officeDocument/2006/relationships/hyperlink" Target="https://www.imf.org/external/pubs/ft/scr/2011/cr11169.pdf" TargetMode="External"/><Relationship Id="rId40" Type="http://schemas.openxmlformats.org/officeDocument/2006/relationships/hyperlink" Target="https://www.imf.org/external/pubs/ft/scr/2011/cr11222.pdf" TargetMode="External"/><Relationship Id="rId45" Type="http://schemas.openxmlformats.org/officeDocument/2006/relationships/hyperlink" Target="http://www.nbb.be/doc/ts/Publications/FSR/FSR2008EN.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bankofengland.co.uk/publications/Documents/fsr/2007/fsrfull0710.pdf" TargetMode="External"/><Relationship Id="rId28" Type="http://schemas.openxmlformats.org/officeDocument/2006/relationships/hyperlink" Target="http://www.nationalbanken.dk/en/publications/Documents/2009/06/Financial_stability_1st_2009Eweb.pdf" TargetMode="External"/><Relationship Id="rId36" Type="http://schemas.openxmlformats.org/officeDocument/2006/relationships/hyperlink" Target="https://www.imf.org/external/pubs/ft/weo/2008/02/pdf/text.pdf" TargetMode="External"/><Relationship Id="rId49" Type="http://schemas.openxmlformats.org/officeDocument/2006/relationships/hyperlink" Target="http://www.oecd-ilibrary.org/economics/oecd-economic-surveys-belgium-2009/coping-with-the-crisis-while-pursuing-structural-reforms_eco_surveys-bel-2009-3-en" TargetMode="External"/><Relationship Id="rId10" Type="http://schemas.openxmlformats.org/officeDocument/2006/relationships/image" Target="media/image1.emf"/><Relationship Id="rId19" Type="http://schemas.openxmlformats.org/officeDocument/2006/relationships/hyperlink" Target="http://www.bde.es/f/webbde/Secciones/Publicaciones/InformesBoletinesRevistas/InformesEstabilidadFinancera/estfin16e.pdf" TargetMode="External"/><Relationship Id="rId31" Type="http://schemas.openxmlformats.org/officeDocument/2006/relationships/hyperlink" Target="https://www.ecb.europa.eu/pub/fsr/html/index.en.html" TargetMode="External"/><Relationship Id="rId44" Type="http://schemas.openxmlformats.org/officeDocument/2006/relationships/hyperlink" Target="https://www.imf.org/external/pubs/ft/scr/2013/cr1365.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hyperlink" Target="http://www.bportugal.pt/en-US/EstabilidadeFinanceira/Publicacoes\\/RelatoriodeEstabilidadeFinanceira/REFAnteriores/Documents/ref_08_e.pdf" TargetMode="External"/><Relationship Id="rId27" Type="http://schemas.openxmlformats.org/officeDocument/2006/relationships/hyperlink" Target="http://www.nationalbanken.dk/en/publications/Documents/2008/05/FinancialStability_2008.pdf" TargetMode="External"/><Relationship Id="rId30" Type="http://schemas.openxmlformats.org/officeDocument/2006/relationships/hyperlink" Target="https://www.bundesbank.de/Redaktion/EN/Downloads/Publications/Annual_Report/2008_annual_report.pdf?__blob=publicationFile" TargetMode="External"/><Relationship Id="rId35" Type="http://schemas.openxmlformats.org/officeDocument/2006/relationships/hyperlink" Target="https://www.imf.org/external/pubs/ft/weo/2008/01/pdf/text.pdf" TargetMode="External"/><Relationship Id="rId43" Type="http://schemas.openxmlformats.org/officeDocument/2006/relationships/hyperlink" Target="https://www.imf.org/external/pubs/ft/scr/2013/cr13300.pdf" TargetMode="External"/><Relationship Id="rId48" Type="http://schemas.openxmlformats.org/officeDocument/2006/relationships/hyperlink" Target="http://www.oecd-ilibrary.org/economics/oecd-economic-surveys-united-kingdom-2009_eco_surveys-gbr-2009-en" TargetMode="External"/><Relationship Id="rId8" Type="http://schemas.openxmlformats.org/officeDocument/2006/relationships/footer" Target="footer1.xml"/><Relationship Id="rId51" Type="http://schemas.openxmlformats.org/officeDocument/2006/relationships/hyperlink" Target="http://www.riksbank.se/Upload/Dokument_riksbank/Kat_publicerat/Rapporter/2008/fs_08_2_en.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am:Desktop:article%20Amsterdam:journal:EU%20fraph%20non%20performing%20loan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Ref>
              <c:f>'EU NEW '!$AU$5:$BI$5</c:f>
              <c:strCach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strCache>
            </c:strRef>
          </c:cat>
          <c:val>
            <c:numRef>
              <c:f>'EU NEW '!$AU$6:$BI$6</c:f>
              <c:numCache>
                <c:formatCode>General</c:formatCode>
                <c:ptCount val="15"/>
                <c:pt idx="0">
                  <c:v>2.9</c:v>
                </c:pt>
                <c:pt idx="1">
                  <c:v>2.6</c:v>
                </c:pt>
                <c:pt idx="2">
                  <c:v>2.25</c:v>
                </c:pt>
                <c:pt idx="3">
                  <c:v>2</c:v>
                </c:pt>
                <c:pt idx="4">
                  <c:v>1.8</c:v>
                </c:pt>
                <c:pt idx="5">
                  <c:v>2.1709999999999998</c:v>
                </c:pt>
                <c:pt idx="6">
                  <c:v>2.7759834417735751</c:v>
                </c:pt>
                <c:pt idx="7">
                  <c:v>4.7013091734210404</c:v>
                </c:pt>
                <c:pt idx="8">
                  <c:v>5.3807765343821501</c:v>
                </c:pt>
                <c:pt idx="9">
                  <c:v>5.8100756446970276</c:v>
                </c:pt>
                <c:pt idx="10">
                  <c:v>6.7172106813021841</c:v>
                </c:pt>
                <c:pt idx="11">
                  <c:v>6.4070404515205999</c:v>
                </c:pt>
                <c:pt idx="12">
                  <c:v>5.607417814111094</c:v>
                </c:pt>
                <c:pt idx="13">
                  <c:v>5.6353838786165067</c:v>
                </c:pt>
                <c:pt idx="14">
                  <c:v>5.1568061920787098</c:v>
                </c:pt>
              </c:numCache>
            </c:numRef>
          </c:val>
          <c:extLst>
            <c:ext xmlns:c16="http://schemas.microsoft.com/office/drawing/2014/chart" uri="{C3380CC4-5D6E-409C-BE32-E72D297353CC}">
              <c16:uniqueId val="{00000000-32EA-4B70-89F8-2DE6ED1292C3}"/>
            </c:ext>
          </c:extLst>
        </c:ser>
        <c:dLbls>
          <c:showLegendKey val="0"/>
          <c:showVal val="0"/>
          <c:showCatName val="0"/>
          <c:showSerName val="0"/>
          <c:showPercent val="0"/>
          <c:showBubbleSize val="0"/>
        </c:dLbls>
        <c:gapWidth val="150"/>
        <c:axId val="2056057080"/>
        <c:axId val="2100223016"/>
      </c:barChart>
      <c:catAx>
        <c:axId val="2056057080"/>
        <c:scaling>
          <c:orientation val="minMax"/>
        </c:scaling>
        <c:delete val="0"/>
        <c:axPos val="b"/>
        <c:numFmt formatCode="General" sourceLinked="0"/>
        <c:majorTickMark val="out"/>
        <c:minorTickMark val="none"/>
        <c:tickLblPos val="nextTo"/>
        <c:txPr>
          <a:bodyPr rot="2700000" vert="horz"/>
          <a:lstStyle/>
          <a:p>
            <a:pPr>
              <a:defRPr/>
            </a:pPr>
            <a:endParaRPr lang="en-US"/>
          </a:p>
        </c:txPr>
        <c:crossAx val="2100223016"/>
        <c:crosses val="autoZero"/>
        <c:auto val="1"/>
        <c:lblAlgn val="ctr"/>
        <c:lblOffset val="100"/>
        <c:noMultiLvlLbl val="0"/>
      </c:catAx>
      <c:valAx>
        <c:axId val="2100223016"/>
        <c:scaling>
          <c:orientation val="minMax"/>
        </c:scaling>
        <c:delete val="0"/>
        <c:axPos val="l"/>
        <c:majorGridlines/>
        <c:numFmt formatCode="General" sourceLinked="1"/>
        <c:majorTickMark val="out"/>
        <c:minorTickMark val="none"/>
        <c:tickLblPos val="nextTo"/>
        <c:crossAx val="2056057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Cho14</b:Tag>
    <b:SourceType>JournalArticle</b:SourceType>
    <b:Guid>{5998201C-1902-FF4C-91E4-B3B352F9B5FA}</b:Guid>
    <b:Title>Returns and volatility spillover in the European banking industry during global financial crisis: Flight to perceived quality or contagion?</b:Title>
    <b:JournalName>International Review of Financial Analysis</b:JournalName>
    <b:Year>2014</b:Year>
    <b:Volume>36</b:Volume>
    <b:Pages>36-45</b:Pages>
    <b:Author>
      <b:Author>
        <b:NameList>
          <b:Person>
            <b:Last>Choudhry</b:Last>
            <b:First>T.</b:First>
          </b:Person>
          <b:Person>
            <b:Last> Jayasekera</b:Last>
            <b:First>R.</b:First>
          </b:Person>
        </b:NameList>
      </b:Author>
    </b:Author>
    <b:RefOrder>1</b:RefOrder>
  </b:Source>
  <b:Source>
    <b:Tag>Con14</b:Tag>
    <b:SourceType>JournalArticle</b:SourceType>
    <b:Guid>{AA9BAF33-9657-024A-9CA7-68D8319B46AC}</b:Guid>
    <b:Title>The European Crisis and the Role of the Financial System</b:Title>
    <b:JournalName>Journal of Macroeconomics</b:JournalName>
    <b:Year>2014</b:Year>
    <b:Volume>39</b:Volume>
    <b:Pages>250-259</b:Pages>
    <b:Author>
      <b:Author>
        <b:NameList>
          <b:Person>
            <b:Last>Constâncio</b:Last>
            <b:First>V.</b:First>
          </b:Person>
        </b:NameList>
      </b:Author>
    </b:Author>
    <b:RefOrder>2</b:RefOrder>
  </b:Source>
  <b:Source>
    <b:Tag>Bel09</b:Tag>
    <b:SourceType>JournalArticle</b:SourceType>
    <b:Guid>{397A8F2D-A249-964B-8371-8458A85A0539}</b:Guid>
    <b:Title> WHY DID SOME BANKS PERFORM BETTER DURING THE CREDIT CRISIS? A CROSS-COUNTRY STUDY OF THE IMPACT OF GOVERNANCE AND REGULATION</b:Title>
    <b:JournalName>NBER  Working Paper 15180</b:JournalName>
    <b:Year>2009</b:Year>
    <b:Author>
      <b:Author>
        <b:NameList>
          <b:Person>
            <b:Last>Beltratti </b:Last>
            <b:First>A</b:First>
          </b:Person>
          <b:Person>
            <b:Last>Stulz</b:Last>
            <b:First>R. M. </b:First>
          </b:Person>
        </b:NameList>
      </b:Author>
    </b:Author>
    <b:RefOrder>3</b:RefOrder>
  </b:Source>
  <b:Source>
    <b:Tag>She13</b:Tag>
    <b:SourceType>JournalArticle</b:SourceType>
    <b:Guid>{702FDB91-4C60-D140-89B8-7F9566AFAB3F}</b:Guid>
    <b:Title>Was the 2007 crisis really a global banking crisis?</b:Title>
    <b:JournalName>The North American Journal of Economics and Finance</b:JournalName>
    <b:Year>2013</b:Year>
    <b:Volume>24</b:Volume>
    <b:Pages>113–124</b:Pages>
    <b:Author>
      <b:Author>
        <b:NameList>
          <b:Person>
            <b:Last>Shehzada</b:Last>
            <b:First>C.</b:First>
          </b:Person>
          <b:Person>
            <b:Last>De Haan</b:Last>
            <b:First>J.</b:First>
          </b:Person>
        </b:NameList>
      </b:Author>
    </b:Author>
    <b:RefOrder>4</b:RefOrder>
  </b:Source>
  <b:Source>
    <b:Tag>Pop12</b:Tag>
    <b:SourceType>JournalArticle</b:SourceType>
    <b:Guid>{6E79EBAC-3C58-CA49-BFBC-0748C4CE7EB8}</b:Guid>
    <b:Title>Cross-border banking, credit access, and the financial crisis</b:Title>
    <b:JournalName>Journal of International Economics</b:JournalName>
    <b:Year>2012</b:Year>
    <b:Volume>87</b:Volume>
    <b:Pages>147-161</b:Pages>
    <b:Author>
      <b:Author>
        <b:NameList>
          <b:Person>
            <b:Last>Popov </b:Last>
            <b:First>A.</b:First>
          </b:Person>
          <b:Person>
            <b:Last>Udell </b:Last>
            <b:First>G. F. </b:First>
          </b:Person>
        </b:NameList>
      </b:Author>
    </b:Author>
    <b:RefOrder>5</b:RefOrder>
  </b:Source>
  <b:Source>
    <b:Tag>Cla10</b:Tag>
    <b:SourceType>JournalArticle</b:SourceType>
    <b:Guid>{ABD7EF01-D787-1048-94BE-901FE39D99F9}</b:Guid>
    <b:Title>Cross-country experiences and policy implications from the global financial crisis</b:Title>
    <b:JournalName>Economic Policy </b:JournalName>
    <b:Year>2010</b:Year>
    <b:Volume>25</b:Volume>
    <b:Issue>62</b:Issue>
    <b:Pages>267-293</b:Pages>
    <b:Author>
      <b:Author>
        <b:NameList>
          <b:Person>
            <b:Last>Claessens</b:Last>
            <b:First>S.</b:First>
          </b:Person>
          <b:Person>
            <b:Last>Dell'Ariccia</b:Last>
            <b:First>G.</b:First>
          </b:Person>
          <b:Person>
            <b:Last>Igan</b:Last>
            <b:First>D.</b:First>
          </b:Person>
          <b:Person>
            <b:Last>Laeven </b:Last>
            <b:First>L.</b:First>
          </b:Person>
        </b:NameList>
      </b:Author>
    </b:Author>
    <b:RefOrder>6</b:RefOrder>
  </b:Source>
  <b:Source>
    <b:Tag>Fes11</b:Tag>
    <b:SourceType>JournalArticle</b:SourceType>
    <b:Guid>{C505B474-5B63-FC49-9F99-294C610DAB19}</b:Guid>
    <b:Title>The macroeconomic sources of systemic risk in the banking sectors of five new EU member states</b:Title>
    <b:JournalName>Journal of Banking &amp; Finance</b:JournalName>
    <b:Year>2011</b:Year>
    <b:Volume>35</b:Volume>
    <b:Issue>2</b:Issue>
    <b:Pages>310–322</b:Pages>
    <b:Author>
      <b:Author>
        <b:NameList>
          <b:Person>
            <b:Last>Festic</b:Last>
            <b:First>M.</b:First>
          </b:Person>
          <b:Person>
            <b:Last>Kavkler</b:Last>
            <b:First>A.</b:First>
          </b:Person>
          <b:Person>
            <b:Last>Repina</b:Last>
            <b:First>S.</b:First>
          </b:Person>
        </b:NameList>
      </b:Author>
    </b:Author>
    <b:RefOrder>7</b:RefOrder>
  </b:Source>
  <b:Source>
    <b:Tag>Deg17</b:Tag>
    <b:SourceType>JournalArticle</b:SourceType>
    <b:Guid>{28C1ECD7-E94F-004E-A8E5-DFC9A6F602B5}</b:Guid>
    <b:Title>Bank productivity growth and convergence in the European Union during the financial crisis </b:Title>
    <b:JournalName>Journal of Banking &amp; Finance </b:JournalName>
    <b:Year>2017</b:Year>
    <b:Volume>75</b:Volume>
    <b:Pages>184–199 </b:Pages>
    <b:Author>
      <b:Author>
        <b:NameList>
          <b:Person>
            <b:Last>Degl'Innocenti</b:Last>
            <b:First>M.</b:First>
          </b:Person>
          <b:Person>
            <b:Last>Kourtzidis</b:Last>
            <b:First>S. A.</b:First>
          </b:Person>
          <b:Person>
            <b:Last>Sevic</b:Last>
            <b:First>Z.</b:First>
          </b:Person>
          <b:Person>
            <b:Last>Tzeremes</b:Last>
            <b:First>N. G.</b:First>
          </b:Person>
        </b:NameList>
      </b:Author>
    </b:Author>
    <b:RefOrder>8</b:RefOrder>
  </b:Source>
</b:Sources>
</file>

<file path=customXml/itemProps1.xml><?xml version="1.0" encoding="utf-8"?>
<ds:datastoreItem xmlns:ds="http://schemas.openxmlformats.org/officeDocument/2006/customXml" ds:itemID="{D298F4CB-E201-4218-982C-65320DFA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Kamila Tomczak</cp:lastModifiedBy>
  <cp:revision>3</cp:revision>
  <cp:lastPrinted>2017-07-25T11:51:00Z</cp:lastPrinted>
  <dcterms:created xsi:type="dcterms:W3CDTF">2018-10-24T10:57:00Z</dcterms:created>
  <dcterms:modified xsi:type="dcterms:W3CDTF">2018-10-24T10:59:00Z</dcterms:modified>
</cp:coreProperties>
</file>