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1859" w:rsidR="00797358" w:rsidP="5B8CDCEB" w:rsidRDefault="5B8CDCEB" w14:paraId="470E6E35" w14:textId="59054AF3">
      <w:pPr>
        <w:spacing w:after="0" w:line="360" w:lineRule="auto"/>
        <w:rPr>
          <w:rFonts w:ascii="Georgia" w:hAnsi="Georgia" w:eastAsia="Georgia" w:cs="Georgia"/>
          <w:sz w:val="24"/>
          <w:szCs w:val="24"/>
        </w:rPr>
      </w:pPr>
      <w:r w:rsidRPr="5B8CDCEB">
        <w:rPr>
          <w:rFonts w:ascii="Georgia" w:hAnsi="Georgia" w:eastAsia="Georgia" w:cs="Georgia"/>
          <w:sz w:val="24"/>
          <w:szCs w:val="24"/>
        </w:rPr>
        <w:t>Introduction</w:t>
      </w:r>
    </w:p>
    <w:p w:rsidRPr="00241859" w:rsidR="00241859" w:rsidP="5B8CDCEB" w:rsidRDefault="5B8CDCEB" w14:paraId="4DAC3B11" w14:textId="1F773BA0">
      <w:pPr>
        <w:spacing w:after="0" w:line="360" w:lineRule="auto"/>
        <w:rPr>
          <w:rFonts w:ascii="Georgia" w:hAnsi="Georgia" w:eastAsia="Georgia" w:cs="Georgia"/>
          <w:sz w:val="24"/>
          <w:szCs w:val="24"/>
        </w:rPr>
      </w:pPr>
      <w:r w:rsidRPr="5B8CDCEB">
        <w:rPr>
          <w:rFonts w:ascii="Georgia" w:hAnsi="Georgia" w:eastAsia="Georgia" w:cs="Georgia"/>
          <w:sz w:val="24"/>
          <w:szCs w:val="24"/>
        </w:rPr>
        <w:t xml:space="preserve">European </w:t>
      </w:r>
      <w:r w:rsidR="00797358">
        <w:rPr>
          <w:rFonts w:ascii="Georgia" w:hAnsi="Georgia" w:eastAsia="Georgia" w:cs="Georgia"/>
          <w:sz w:val="24"/>
          <w:szCs w:val="24"/>
        </w:rPr>
        <w:t xml:space="preserve">Social Policy and </w:t>
      </w:r>
      <w:r w:rsidRPr="5B8CDCEB">
        <w:rPr>
          <w:rFonts w:ascii="Georgia" w:hAnsi="Georgia" w:eastAsia="Georgia" w:cs="Georgia"/>
          <w:sz w:val="24"/>
          <w:szCs w:val="24"/>
        </w:rPr>
        <w:t xml:space="preserve">Society </w:t>
      </w:r>
      <w:r w:rsidRPr="5B8CDCEB" w:rsidR="0011704A">
        <w:rPr>
          <w:rFonts w:ascii="Georgia" w:hAnsi="Georgia" w:eastAsia="Georgia" w:cs="Georgia"/>
          <w:sz w:val="24"/>
          <w:szCs w:val="24"/>
        </w:rPr>
        <w:t>after</w:t>
      </w:r>
      <w:r w:rsidRPr="5B8CDCEB">
        <w:rPr>
          <w:rFonts w:ascii="Georgia" w:hAnsi="Georgia" w:eastAsia="Georgia" w:cs="Georgia"/>
          <w:sz w:val="24"/>
          <w:szCs w:val="24"/>
        </w:rPr>
        <w:t xml:space="preserve"> </w:t>
      </w:r>
      <w:proofErr w:type="spellStart"/>
      <w:r w:rsidRPr="5B8CDCEB">
        <w:rPr>
          <w:rFonts w:ascii="Georgia" w:hAnsi="Georgia" w:eastAsia="Georgia" w:cs="Georgia"/>
          <w:sz w:val="24"/>
          <w:szCs w:val="24"/>
        </w:rPr>
        <w:t>Brexit</w:t>
      </w:r>
      <w:proofErr w:type="spellEnd"/>
      <w:r w:rsidRPr="5B8CDCEB">
        <w:rPr>
          <w:rFonts w:ascii="Georgia" w:hAnsi="Georgia" w:eastAsia="Georgia" w:cs="Georgia"/>
          <w:sz w:val="24"/>
          <w:szCs w:val="24"/>
        </w:rPr>
        <w:t>: Neoliberalism, Populism, and Social Quality</w:t>
      </w:r>
    </w:p>
    <w:p w:rsidRPr="00241859" w:rsidR="00241859" w:rsidP="00241859" w:rsidRDefault="00241859" w14:paraId="672A6659" w14:textId="77777777">
      <w:pPr>
        <w:spacing w:after="0"/>
        <w:rPr>
          <w:rFonts w:ascii="Georgia" w:hAnsi="Georgia"/>
          <w:sz w:val="24"/>
          <w:szCs w:val="24"/>
        </w:rPr>
      </w:pPr>
    </w:p>
    <w:p w:rsidR="00241859" w:rsidP="5B8CDCEB" w:rsidRDefault="5B8CDCEB" w14:paraId="2282C7F9" w14:textId="77777777">
      <w:pPr>
        <w:spacing w:line="276" w:lineRule="auto"/>
        <w:jc w:val="both"/>
        <w:rPr>
          <w:rFonts w:ascii="Georgia" w:hAnsi="Georgia" w:eastAsia="Georgia" w:cs="Georgia"/>
          <w:b/>
          <w:bCs/>
          <w:sz w:val="24"/>
          <w:szCs w:val="24"/>
        </w:rPr>
      </w:pPr>
      <w:r w:rsidRPr="5B8CDCEB">
        <w:rPr>
          <w:rFonts w:ascii="Georgia" w:hAnsi="Georgia" w:eastAsia="Georgia" w:cs="Georgia"/>
          <w:b/>
          <w:bCs/>
          <w:sz w:val="24"/>
          <w:szCs w:val="24"/>
        </w:rPr>
        <w:t>Steve Corbett</w:t>
      </w:r>
    </w:p>
    <w:p w:rsidRPr="00EA0C9E" w:rsidR="00241859" w:rsidP="5B8CDCEB" w:rsidRDefault="5B8CDCEB" w14:paraId="608FB6EC" w14:textId="77777777">
      <w:pPr>
        <w:spacing w:line="276" w:lineRule="auto"/>
        <w:jc w:val="both"/>
        <w:rPr>
          <w:rFonts w:ascii="Georgia" w:hAnsi="Georgia" w:eastAsia="Georgia" w:cs="Georgia"/>
          <w:sz w:val="24"/>
          <w:szCs w:val="24"/>
        </w:rPr>
      </w:pPr>
      <w:r w:rsidRPr="5B8CDCEB">
        <w:rPr>
          <w:rFonts w:ascii="Georgia" w:hAnsi="Georgia" w:eastAsia="Georgia" w:cs="Georgia"/>
          <w:sz w:val="24"/>
          <w:szCs w:val="24"/>
        </w:rPr>
        <w:t>School of Social Sciences</w:t>
      </w:r>
    </w:p>
    <w:p w:rsidRPr="00664524" w:rsidR="00241859" w:rsidP="5B8CDCEB" w:rsidRDefault="5B8CDCEB" w14:paraId="1844CEAE" w14:textId="77777777">
      <w:pPr>
        <w:spacing w:line="276" w:lineRule="auto"/>
        <w:jc w:val="both"/>
        <w:rPr>
          <w:rFonts w:ascii="Georgia" w:hAnsi="Georgia" w:eastAsia="Georgia" w:cs="Georgia"/>
          <w:i/>
          <w:iCs/>
          <w:sz w:val="24"/>
          <w:szCs w:val="24"/>
        </w:rPr>
      </w:pPr>
      <w:r w:rsidRPr="5B8CDCEB">
        <w:rPr>
          <w:rFonts w:ascii="Georgia" w:hAnsi="Georgia" w:eastAsia="Georgia" w:cs="Georgia"/>
          <w:i/>
          <w:iCs/>
          <w:sz w:val="24"/>
          <w:szCs w:val="24"/>
        </w:rPr>
        <w:t>Liverpool Hope University</w:t>
      </w:r>
    </w:p>
    <w:p w:rsidRPr="00664524" w:rsidR="00241859" w:rsidP="5B8CDCEB" w:rsidRDefault="5B8CDCEB" w14:paraId="79F76AC9" w14:textId="77777777">
      <w:pPr>
        <w:spacing w:line="276" w:lineRule="auto"/>
        <w:jc w:val="both"/>
        <w:rPr>
          <w:rFonts w:ascii="Georgia" w:hAnsi="Georgia" w:eastAsia="Georgia" w:cs="Georgia"/>
          <w:i/>
          <w:iCs/>
          <w:sz w:val="24"/>
          <w:szCs w:val="24"/>
        </w:rPr>
      </w:pPr>
      <w:r w:rsidRPr="5B8CDCEB">
        <w:rPr>
          <w:rFonts w:ascii="Georgia" w:hAnsi="Georgia" w:eastAsia="Georgia" w:cs="Georgia"/>
          <w:i/>
          <w:iCs/>
          <w:sz w:val="24"/>
          <w:szCs w:val="24"/>
        </w:rPr>
        <w:t xml:space="preserve">E-mail: </w:t>
      </w:r>
      <w:hyperlink r:id="rId5">
        <w:r w:rsidRPr="5B8CDCEB">
          <w:rPr>
            <w:rStyle w:val="Hyperlink"/>
            <w:rFonts w:ascii="Georgia" w:hAnsi="Georgia" w:eastAsia="Georgia" w:cs="Georgia"/>
            <w:i/>
            <w:iCs/>
            <w:sz w:val="24"/>
            <w:szCs w:val="24"/>
          </w:rPr>
          <w:t>corbets@hope.ac.uk</w:t>
        </w:r>
      </w:hyperlink>
    </w:p>
    <w:p w:rsidR="00241859" w:rsidP="5B8CDCEB" w:rsidRDefault="5B8CDCEB" w14:paraId="1CA258A7" w14:textId="77777777">
      <w:pPr>
        <w:spacing w:line="276" w:lineRule="auto"/>
        <w:jc w:val="both"/>
        <w:rPr>
          <w:rFonts w:ascii="Georgia" w:hAnsi="Georgia" w:eastAsia="Georgia" w:cs="Georgia"/>
          <w:b/>
          <w:bCs/>
          <w:sz w:val="24"/>
          <w:szCs w:val="24"/>
        </w:rPr>
      </w:pPr>
      <w:r w:rsidRPr="5B8CDCEB">
        <w:rPr>
          <w:rFonts w:ascii="Georgia" w:hAnsi="Georgia" w:eastAsia="Georgia" w:cs="Georgia"/>
          <w:b/>
          <w:bCs/>
          <w:sz w:val="24"/>
          <w:szCs w:val="24"/>
        </w:rPr>
        <w:t>Alan Walker</w:t>
      </w:r>
    </w:p>
    <w:p w:rsidR="00241859" w:rsidP="5B8CDCEB" w:rsidRDefault="5B8CDCEB" w14:paraId="58268B7A" w14:textId="77777777">
      <w:pPr>
        <w:spacing w:line="276" w:lineRule="auto"/>
        <w:jc w:val="both"/>
        <w:rPr>
          <w:rFonts w:ascii="Georgia" w:hAnsi="Georgia" w:eastAsia="Georgia" w:cs="Georgia"/>
          <w:sz w:val="24"/>
          <w:szCs w:val="24"/>
        </w:rPr>
      </w:pPr>
      <w:r w:rsidRPr="5B8CDCEB">
        <w:rPr>
          <w:rFonts w:ascii="Georgia" w:hAnsi="Georgia" w:eastAsia="Georgia" w:cs="Georgia"/>
          <w:sz w:val="24"/>
          <w:szCs w:val="24"/>
        </w:rPr>
        <w:t>Department of Sociological Studies</w:t>
      </w:r>
    </w:p>
    <w:p w:rsidR="00241859" w:rsidP="5B8CDCEB" w:rsidRDefault="5B8CDCEB" w14:paraId="5DB59BDC" w14:textId="77777777">
      <w:pPr>
        <w:spacing w:line="276" w:lineRule="auto"/>
        <w:jc w:val="both"/>
        <w:rPr>
          <w:rFonts w:ascii="Georgia" w:hAnsi="Georgia" w:eastAsia="Georgia" w:cs="Georgia"/>
          <w:i/>
          <w:iCs/>
          <w:sz w:val="24"/>
          <w:szCs w:val="24"/>
        </w:rPr>
      </w:pPr>
      <w:r w:rsidRPr="5B8CDCEB">
        <w:rPr>
          <w:rFonts w:ascii="Georgia" w:hAnsi="Georgia" w:eastAsia="Georgia" w:cs="Georgia"/>
          <w:i/>
          <w:iCs/>
          <w:sz w:val="24"/>
          <w:szCs w:val="24"/>
        </w:rPr>
        <w:t>University of Sheffield</w:t>
      </w:r>
    </w:p>
    <w:p w:rsidR="00241859" w:rsidP="5B8CDCEB" w:rsidRDefault="5B8CDCEB" w14:paraId="644C5CD8" w14:textId="77777777">
      <w:pPr>
        <w:spacing w:line="276" w:lineRule="auto"/>
        <w:jc w:val="both"/>
        <w:rPr>
          <w:rFonts w:ascii="Georgia" w:hAnsi="Georgia" w:eastAsia="Georgia" w:cs="Georgia"/>
          <w:sz w:val="24"/>
          <w:szCs w:val="24"/>
        </w:rPr>
      </w:pPr>
      <w:r w:rsidRPr="5B8CDCEB">
        <w:rPr>
          <w:rFonts w:ascii="Georgia" w:hAnsi="Georgia" w:eastAsia="Georgia" w:cs="Georgia"/>
          <w:i/>
          <w:iCs/>
          <w:sz w:val="24"/>
          <w:szCs w:val="24"/>
        </w:rPr>
        <w:t xml:space="preserve">E-mail: </w:t>
      </w:r>
      <w:hyperlink r:id="rId6">
        <w:r w:rsidRPr="5B8CDCEB">
          <w:rPr>
            <w:rStyle w:val="Hyperlink"/>
            <w:rFonts w:ascii="Georgia" w:hAnsi="Georgia" w:eastAsia="Georgia" w:cs="Georgia"/>
            <w:i/>
            <w:iCs/>
            <w:sz w:val="24"/>
            <w:szCs w:val="24"/>
          </w:rPr>
          <w:t>a.c.walker@sheffield.ac.uk</w:t>
        </w:r>
      </w:hyperlink>
      <w:r w:rsidRPr="5B8CDCEB">
        <w:rPr>
          <w:rFonts w:ascii="Georgia" w:hAnsi="Georgia" w:eastAsia="Georgia" w:cs="Georgia"/>
          <w:i/>
          <w:iCs/>
          <w:sz w:val="24"/>
          <w:szCs w:val="24"/>
        </w:rPr>
        <w:t xml:space="preserve"> </w:t>
      </w:r>
    </w:p>
    <w:p w:rsidR="00241859" w:rsidP="00241859" w:rsidRDefault="00241859" w14:paraId="0A37501D" w14:textId="77777777">
      <w:pPr>
        <w:spacing w:line="276" w:lineRule="auto"/>
        <w:jc w:val="both"/>
        <w:rPr>
          <w:rFonts w:ascii="Georgia" w:hAnsi="Georgia" w:eastAsia="Georgia" w:cs="Georgia"/>
          <w:bCs/>
          <w:sz w:val="24"/>
          <w:szCs w:val="24"/>
        </w:rPr>
      </w:pPr>
      <w:bookmarkStart w:name="_GoBack" w:id="0"/>
      <w:bookmarkEnd w:id="0"/>
    </w:p>
    <w:p w:rsidRPr="003E7BB4" w:rsidR="00241859" w:rsidP="6DFC17C8" w:rsidRDefault="6DFC17C8" w14:paraId="167BCC84" w14:textId="5EFA3A6C">
      <w:pPr>
        <w:spacing w:line="276" w:lineRule="auto"/>
        <w:jc w:val="both"/>
        <w:rPr>
          <w:rFonts w:ascii="Georgia" w:hAnsi="Georgia" w:eastAsia="Georgia" w:cs="Georgia"/>
          <w:sz w:val="24"/>
          <w:szCs w:val="24"/>
        </w:rPr>
      </w:pPr>
      <w:r w:rsidRPr="6DFC17C8">
        <w:rPr>
          <w:rFonts w:ascii="Georgia" w:hAnsi="Georgia" w:eastAsia="Georgia" w:cs="Georgia"/>
          <w:sz w:val="24"/>
          <w:szCs w:val="24"/>
        </w:rPr>
        <w:t>The narrow referendum decision for British exit from the European Union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and its explosive political consequences, has become a lens through which decades-long tensions in European society </w:t>
      </w:r>
      <w:proofErr w:type="gramStart"/>
      <w:r w:rsidRPr="6DFC17C8">
        <w:rPr>
          <w:rFonts w:ascii="Georgia" w:hAnsi="Georgia" w:eastAsia="Georgia" w:cs="Georgia"/>
          <w:sz w:val="24"/>
          <w:szCs w:val="24"/>
        </w:rPr>
        <w:t>can be viewed</w:t>
      </w:r>
      <w:proofErr w:type="gramEnd"/>
      <w:r w:rsidRPr="6DFC17C8">
        <w:rPr>
          <w:rFonts w:ascii="Georgia" w:hAnsi="Georgia" w:eastAsia="Georgia" w:cs="Georgia"/>
          <w:sz w:val="24"/>
          <w:szCs w:val="24"/>
        </w:rPr>
        <w:t xml:space="preserve">. </w:t>
      </w:r>
      <w:proofErr w:type="gramStart"/>
      <w:r w:rsidRPr="6DFC17C8">
        <w:rPr>
          <w:rFonts w:ascii="Georgia" w:hAnsi="Georgia" w:eastAsia="Georgia" w:cs="Georgia"/>
          <w:sz w:val="24"/>
          <w:szCs w:val="24"/>
        </w:rPr>
        <w:t>The result, which was expected to be a clear Remain victory, has been interpreted as various combinations of the unleashing of xenophobic and r</w:t>
      </w:r>
      <w:r w:rsidR="005C135C">
        <w:rPr>
          <w:rFonts w:ascii="Georgia" w:hAnsi="Georgia" w:eastAsia="Georgia" w:cs="Georgia"/>
          <w:sz w:val="24"/>
          <w:szCs w:val="24"/>
        </w:rPr>
        <w:t>acist anti-immigrant sentiment;</w:t>
      </w:r>
      <w:r w:rsidRPr="6DFC17C8">
        <w:rPr>
          <w:rFonts w:ascii="Georgia" w:hAnsi="Georgia" w:eastAsia="Georgia" w:cs="Georgia"/>
          <w:sz w:val="24"/>
          <w:szCs w:val="24"/>
        </w:rPr>
        <w:t xml:space="preserve"> a kick back against disinterested elites by ‘left behind’ </w:t>
      </w:r>
      <w:r w:rsidR="005C135C">
        <w:rPr>
          <w:rFonts w:ascii="Georgia" w:hAnsi="Georgia" w:eastAsia="Georgia" w:cs="Georgia"/>
          <w:sz w:val="24"/>
          <w:szCs w:val="24"/>
        </w:rPr>
        <w:t>people;</w:t>
      </w:r>
      <w:r w:rsidRPr="6DFC17C8">
        <w:rPr>
          <w:rFonts w:ascii="Georgia" w:hAnsi="Georgia" w:eastAsia="Georgia" w:cs="Georgia"/>
          <w:sz w:val="24"/>
          <w:szCs w:val="24"/>
        </w:rPr>
        <w:t xml:space="preserve"> the fermenting of nationalist populis</w:t>
      </w:r>
      <w:r w:rsidR="005C135C">
        <w:rPr>
          <w:rFonts w:ascii="Georgia" w:hAnsi="Georgia" w:eastAsia="Georgia" w:cs="Georgia"/>
          <w:sz w:val="24"/>
          <w:szCs w:val="24"/>
        </w:rPr>
        <w:t>m by political and media actors;</w:t>
      </w:r>
      <w:r w:rsidRPr="6DFC17C8">
        <w:rPr>
          <w:rFonts w:ascii="Georgia" w:hAnsi="Georgia" w:eastAsia="Georgia" w:cs="Georgia"/>
          <w:sz w:val="24"/>
          <w:szCs w:val="24"/>
        </w:rPr>
        <w:t xml:space="preserve"> a clash of </w:t>
      </w:r>
      <w:r w:rsidR="005C135C">
        <w:rPr>
          <w:rFonts w:ascii="Georgia" w:hAnsi="Georgia" w:eastAsia="Georgia" w:cs="Georgia"/>
          <w:sz w:val="24"/>
          <w:szCs w:val="24"/>
        </w:rPr>
        <w:t>cultural values; a rejection of</w:t>
      </w:r>
      <w:r w:rsidRPr="6DFC17C8">
        <w:rPr>
          <w:rFonts w:ascii="Georgia" w:hAnsi="Georgia" w:eastAsia="Georgia" w:cs="Georgia"/>
          <w:sz w:val="24"/>
          <w:szCs w:val="24"/>
        </w:rPr>
        <w:t xml:space="preserve"> ‘market is all’ </w:t>
      </w:r>
      <w:proofErr w:type="spellStart"/>
      <w:r w:rsidR="005C135C">
        <w:rPr>
          <w:rFonts w:ascii="Georgia" w:hAnsi="Georgia" w:eastAsia="Georgia" w:cs="Georgia"/>
          <w:sz w:val="24"/>
          <w:szCs w:val="24"/>
        </w:rPr>
        <w:t>gloablisation</w:t>
      </w:r>
      <w:proofErr w:type="spellEnd"/>
      <w:r w:rsidR="005C135C">
        <w:rPr>
          <w:rFonts w:ascii="Georgia" w:hAnsi="Georgia" w:eastAsia="Georgia" w:cs="Georgia"/>
          <w:sz w:val="24"/>
          <w:szCs w:val="24"/>
        </w:rPr>
        <w:t xml:space="preserve"> in favour of national borders; or as a reaction against</w:t>
      </w:r>
      <w:r w:rsidRPr="6DFC17C8">
        <w:rPr>
          <w:rFonts w:ascii="Georgia" w:hAnsi="Georgia" w:eastAsia="Georgia" w:cs="Georgia"/>
          <w:sz w:val="24"/>
          <w:szCs w:val="24"/>
        </w:rPr>
        <w:t xml:space="preserve"> austerity, inequality and insecurity (Corbett, 2016; Goodwin and Heath, 2016; </w:t>
      </w:r>
      <w:proofErr w:type="spellStart"/>
      <w:r w:rsidRPr="6DFC17C8">
        <w:rPr>
          <w:rFonts w:ascii="Georgia" w:hAnsi="Georgia" w:eastAsia="Georgia" w:cs="Georgia"/>
          <w:sz w:val="24"/>
          <w:szCs w:val="24"/>
        </w:rPr>
        <w:t>Hobolt</w:t>
      </w:r>
      <w:proofErr w:type="spellEnd"/>
      <w:r w:rsidRPr="6DFC17C8">
        <w:rPr>
          <w:rFonts w:ascii="Georgia" w:hAnsi="Georgia" w:eastAsia="Georgia" w:cs="Georgia"/>
          <w:sz w:val="24"/>
          <w:szCs w:val="24"/>
        </w:rPr>
        <w:t xml:space="preserve">, 2016; </w:t>
      </w:r>
      <w:proofErr w:type="spellStart"/>
      <w:r w:rsidRPr="6DFC17C8">
        <w:rPr>
          <w:rFonts w:ascii="Georgia" w:hAnsi="Georgia" w:eastAsia="Georgia" w:cs="Georgia"/>
          <w:sz w:val="24"/>
          <w:szCs w:val="24"/>
        </w:rPr>
        <w:t>Inlgehart</w:t>
      </w:r>
      <w:proofErr w:type="spellEnd"/>
      <w:r w:rsidRPr="6DFC17C8">
        <w:rPr>
          <w:rFonts w:ascii="Georgia" w:hAnsi="Georgia" w:eastAsia="Georgia" w:cs="Georgia"/>
          <w:sz w:val="24"/>
          <w:szCs w:val="24"/>
        </w:rPr>
        <w:t xml:space="preserve"> and Norris, 2016; Kaufman, 2016; </w:t>
      </w:r>
      <w:proofErr w:type="spellStart"/>
      <w:r w:rsidRPr="6DFC17C8">
        <w:rPr>
          <w:rFonts w:ascii="Georgia" w:hAnsi="Georgia" w:eastAsia="Georgia" w:cs="Georgia"/>
          <w:sz w:val="24"/>
          <w:szCs w:val="24"/>
        </w:rPr>
        <w:t>Pettifor</w:t>
      </w:r>
      <w:proofErr w:type="spellEnd"/>
      <w:r w:rsidRPr="6DFC17C8">
        <w:rPr>
          <w:rFonts w:ascii="Georgia" w:hAnsi="Georgia" w:eastAsia="Georgia" w:cs="Georgia"/>
          <w:sz w:val="24"/>
          <w:szCs w:val="24"/>
        </w:rPr>
        <w:t xml:space="preserve">, 2016; Room, 2016; </w:t>
      </w:r>
      <w:proofErr w:type="spellStart"/>
      <w:r w:rsidRPr="6DFC17C8">
        <w:rPr>
          <w:rFonts w:ascii="Georgia" w:hAnsi="Georgia" w:eastAsia="Georgia" w:cs="Georgia"/>
          <w:sz w:val="24"/>
          <w:szCs w:val="24"/>
        </w:rPr>
        <w:t>Seidler</w:t>
      </w:r>
      <w:proofErr w:type="spellEnd"/>
      <w:r w:rsidRPr="6DFC17C8">
        <w:rPr>
          <w:rFonts w:ascii="Georgia" w:hAnsi="Georgia" w:eastAsia="Georgia" w:cs="Georgia"/>
          <w:sz w:val="24"/>
          <w:szCs w:val="24"/>
        </w:rPr>
        <w:t>, 2018; Taylor-</w:t>
      </w:r>
      <w:proofErr w:type="spellStart"/>
      <w:r w:rsidRPr="6DFC17C8">
        <w:rPr>
          <w:rFonts w:ascii="Georgia" w:hAnsi="Georgia" w:eastAsia="Georgia" w:cs="Georgia"/>
          <w:sz w:val="24"/>
          <w:szCs w:val="24"/>
        </w:rPr>
        <w:t>Gooby</w:t>
      </w:r>
      <w:proofErr w:type="spellEnd"/>
      <w:r w:rsidRPr="6DFC17C8">
        <w:rPr>
          <w:rFonts w:ascii="Georgia" w:hAnsi="Georgia" w:eastAsia="Georgia" w:cs="Georgia"/>
          <w:sz w:val="24"/>
          <w:szCs w:val="24"/>
        </w:rPr>
        <w:t>, 2017).</w:t>
      </w:r>
      <w:proofErr w:type="gramEnd"/>
      <w:r w:rsidRPr="6DFC17C8">
        <w:rPr>
          <w:rFonts w:ascii="Georgia" w:hAnsi="Georgia" w:eastAsia="Georgia" w:cs="Georgia"/>
          <w:sz w:val="24"/>
          <w:szCs w:val="24"/>
        </w:rPr>
        <w:t xml:space="preserve"> This </w:t>
      </w:r>
      <w:r w:rsidR="00797358">
        <w:rPr>
          <w:rFonts w:ascii="Georgia" w:hAnsi="Georgia" w:eastAsia="Georgia" w:cs="Georgia"/>
          <w:sz w:val="24"/>
          <w:szCs w:val="24"/>
        </w:rPr>
        <w:t xml:space="preserve">British made </w:t>
      </w:r>
      <w:r w:rsidRPr="6DFC17C8">
        <w:rPr>
          <w:rFonts w:ascii="Georgia" w:hAnsi="Georgia" w:eastAsia="Georgia" w:cs="Georgia"/>
          <w:sz w:val="24"/>
          <w:szCs w:val="24"/>
        </w:rPr>
        <w:t xml:space="preserve">shock has parallels in and consequences for wider European society. In the Referendum, the EU became an emblematic representation of the distrusted, remote, technocratic elites, who </w:t>
      </w:r>
      <w:proofErr w:type="gramStart"/>
      <w:r w:rsidRPr="6DFC17C8">
        <w:rPr>
          <w:rFonts w:ascii="Georgia" w:hAnsi="Georgia" w:eastAsia="Georgia" w:cs="Georgia"/>
          <w:sz w:val="24"/>
          <w:szCs w:val="24"/>
        </w:rPr>
        <w:t>are said</w:t>
      </w:r>
      <w:proofErr w:type="gramEnd"/>
      <w:r w:rsidRPr="6DFC17C8">
        <w:rPr>
          <w:rFonts w:ascii="Georgia" w:hAnsi="Georgia" w:eastAsia="Georgia" w:cs="Georgia"/>
          <w:sz w:val="24"/>
          <w:szCs w:val="24"/>
        </w:rPr>
        <w:t xml:space="preserve"> to be responsible for an unbelievably large number of societal ills. While across Europe there are varieties of Eurosceptic populism and distrust of elites on both the right and left (</w:t>
      </w:r>
      <w:proofErr w:type="spellStart"/>
      <w:r w:rsidRPr="6DFC17C8">
        <w:rPr>
          <w:rFonts w:ascii="Georgia" w:hAnsi="Georgia" w:eastAsia="Georgia" w:cs="Georgia"/>
          <w:sz w:val="24"/>
          <w:szCs w:val="24"/>
        </w:rPr>
        <w:t>Ivaldi</w:t>
      </w:r>
      <w:proofErr w:type="spellEnd"/>
      <w:r w:rsidRPr="6DFC17C8">
        <w:rPr>
          <w:rFonts w:ascii="Georgia" w:hAnsi="Georgia" w:eastAsia="Georgia" w:cs="Georgia"/>
          <w:sz w:val="24"/>
          <w:szCs w:val="24"/>
        </w:rPr>
        <w:t xml:space="preserve"> et al., 2017). </w:t>
      </w:r>
    </w:p>
    <w:p w:rsidR="004F677D" w:rsidP="6DFC17C8" w:rsidRDefault="6DFC17C8" w14:paraId="3F4EB392" w14:textId="554A4E13">
      <w:pPr>
        <w:spacing w:line="276" w:lineRule="auto"/>
        <w:ind w:firstLine="720"/>
        <w:jc w:val="both"/>
        <w:rPr>
          <w:rFonts w:ascii="Georgia" w:hAnsi="Georgia" w:eastAsia="Georgia" w:cs="Georgia"/>
          <w:sz w:val="24"/>
          <w:szCs w:val="24"/>
        </w:rPr>
      </w:pPr>
      <w:r w:rsidRPr="6DFC17C8">
        <w:rPr>
          <w:rFonts w:ascii="Georgia" w:hAnsi="Georgia" w:eastAsia="Georgia" w:cs="Georgia"/>
          <w:sz w:val="24"/>
          <w:szCs w:val="24"/>
        </w:rPr>
        <w:t xml:space="preserve">Populism refers to a ‘thin ideology’ which, combined with ‘fuller’ ideologies, allows </w:t>
      </w:r>
      <w:proofErr w:type="gramStart"/>
      <w:r w:rsidRPr="6DFC17C8">
        <w:rPr>
          <w:rFonts w:ascii="Georgia" w:hAnsi="Georgia" w:eastAsia="Georgia" w:cs="Georgia"/>
          <w:sz w:val="24"/>
          <w:szCs w:val="24"/>
        </w:rPr>
        <w:t>for some</w:t>
      </w:r>
      <w:proofErr w:type="gramEnd"/>
      <w:r w:rsidRPr="6DFC17C8">
        <w:rPr>
          <w:rFonts w:ascii="Georgia" w:hAnsi="Georgia" w:eastAsia="Georgia" w:cs="Georgia"/>
          <w:sz w:val="24"/>
          <w:szCs w:val="24"/>
        </w:rPr>
        <w:t xml:space="preserve"> to speak on behalf of ‘the people’ against a perceived minority elite or group (Stanley, 2008). Populist discourses take on an anti-establishmentarian character and reflect, in Taggart’s (2004) view, an opposition to liberal democracy and veneration of charismatic leaders, who are able to simplify complex issues. Moreover, populism draws on a</w:t>
      </w:r>
      <w:r w:rsidR="005C135C">
        <w:rPr>
          <w:rFonts w:ascii="Georgia" w:hAnsi="Georgia" w:eastAsia="Georgia" w:cs="Georgia"/>
          <w:sz w:val="24"/>
          <w:szCs w:val="24"/>
        </w:rPr>
        <w:t>n</w:t>
      </w:r>
      <w:r w:rsidRPr="6DFC17C8">
        <w:rPr>
          <w:rFonts w:ascii="Georgia" w:hAnsi="Georgia" w:eastAsia="Georgia" w:cs="Georgia"/>
          <w:sz w:val="24"/>
          <w:szCs w:val="24"/>
        </w:rPr>
        <w:t xml:space="preserve"> idealised ‘heartland’, which is threatened by some other</w:t>
      </w:r>
      <w:r w:rsidR="005C135C">
        <w:rPr>
          <w:rFonts w:ascii="Georgia" w:hAnsi="Georgia" w:eastAsia="Georgia" w:cs="Georgia"/>
          <w:sz w:val="24"/>
          <w:szCs w:val="24"/>
        </w:rPr>
        <w:t xml:space="preserve"> group or groups, and</w:t>
      </w:r>
      <w:r w:rsidRPr="6DFC17C8">
        <w:rPr>
          <w:rFonts w:ascii="Georgia" w:hAnsi="Georgia" w:eastAsia="Georgia" w:cs="Georgia"/>
          <w:sz w:val="24"/>
          <w:szCs w:val="24"/>
        </w:rPr>
        <w:t xml:space="preserve"> provides the values that underpin the populist discourse (Taggart, 2004). Crucially, right-wing variants of p</w:t>
      </w:r>
      <w:r w:rsidR="005C135C">
        <w:rPr>
          <w:rFonts w:ascii="Georgia" w:hAnsi="Georgia" w:eastAsia="Georgia" w:cs="Georgia"/>
          <w:sz w:val="24"/>
          <w:szCs w:val="24"/>
        </w:rPr>
        <w:t xml:space="preserve">opulism identify ‘others’, </w:t>
      </w:r>
      <w:r w:rsidRPr="6DFC17C8">
        <w:rPr>
          <w:rFonts w:ascii="Georgia" w:hAnsi="Georgia" w:eastAsia="Georgia" w:cs="Georgia"/>
          <w:sz w:val="24"/>
          <w:szCs w:val="24"/>
        </w:rPr>
        <w:t xml:space="preserve">as (political, economic, cultural) elites at the top of society (like left-wing populism), but </w:t>
      </w:r>
      <w:r w:rsidRPr="6DFC17C8">
        <w:rPr>
          <w:rFonts w:ascii="Georgia" w:hAnsi="Georgia" w:eastAsia="Georgia" w:cs="Georgia"/>
          <w:sz w:val="24"/>
          <w:szCs w:val="24"/>
        </w:rPr>
        <w:lastRenderedPageBreak/>
        <w:t xml:space="preserve">are especially antagonistic towards those at the bottom of society, such as </w:t>
      </w:r>
      <w:r w:rsidR="00797358">
        <w:rPr>
          <w:rFonts w:ascii="Georgia" w:hAnsi="Georgia" w:eastAsia="Georgia" w:cs="Georgia"/>
          <w:sz w:val="24"/>
          <w:szCs w:val="24"/>
        </w:rPr>
        <w:t>migrants</w:t>
      </w:r>
      <w:r w:rsidRPr="6DFC17C8">
        <w:rPr>
          <w:rFonts w:ascii="Georgia" w:hAnsi="Georgia" w:eastAsia="Georgia" w:cs="Georgia"/>
          <w:sz w:val="24"/>
          <w:szCs w:val="24"/>
        </w:rPr>
        <w:t>, criminals, unemployed people and so on (</w:t>
      </w:r>
      <w:proofErr w:type="spellStart"/>
      <w:r w:rsidRPr="6DFC17C8">
        <w:rPr>
          <w:rFonts w:ascii="Georgia" w:hAnsi="Georgia" w:eastAsia="Georgia" w:cs="Georgia"/>
          <w:sz w:val="24"/>
          <w:szCs w:val="24"/>
        </w:rPr>
        <w:t>Abts</w:t>
      </w:r>
      <w:proofErr w:type="spellEnd"/>
      <w:r w:rsidRPr="6DFC17C8">
        <w:rPr>
          <w:rFonts w:ascii="Georgia" w:hAnsi="Georgia" w:eastAsia="Georgia" w:cs="Georgia"/>
          <w:sz w:val="24"/>
          <w:szCs w:val="24"/>
        </w:rPr>
        <w:t xml:space="preserve"> and </w:t>
      </w:r>
      <w:proofErr w:type="spellStart"/>
      <w:r w:rsidRPr="6DFC17C8">
        <w:rPr>
          <w:rFonts w:ascii="Georgia" w:hAnsi="Georgia" w:eastAsia="Georgia" w:cs="Georgia"/>
          <w:sz w:val="24"/>
          <w:szCs w:val="24"/>
        </w:rPr>
        <w:t>Rummens</w:t>
      </w:r>
      <w:proofErr w:type="spellEnd"/>
      <w:r w:rsidRPr="6DFC17C8">
        <w:rPr>
          <w:rFonts w:ascii="Georgia" w:hAnsi="Georgia" w:eastAsia="Georgia" w:cs="Georgia"/>
          <w:sz w:val="24"/>
          <w:szCs w:val="24"/>
        </w:rPr>
        <w:t>, 2007). Moreover, populists often favour referenda as a means to confirm th</w:t>
      </w:r>
      <w:r w:rsidR="005C135C">
        <w:rPr>
          <w:rFonts w:ascii="Georgia" w:hAnsi="Georgia" w:eastAsia="Georgia" w:cs="Georgia"/>
          <w:sz w:val="24"/>
          <w:szCs w:val="24"/>
        </w:rPr>
        <w:t xml:space="preserve">eir preferences, rather than </w:t>
      </w:r>
      <w:r w:rsidRPr="6DFC17C8">
        <w:rPr>
          <w:rFonts w:ascii="Georgia" w:hAnsi="Georgia" w:eastAsia="Georgia" w:cs="Georgia"/>
          <w:sz w:val="24"/>
          <w:szCs w:val="24"/>
        </w:rPr>
        <w:t>open-ended democratic process</w:t>
      </w:r>
      <w:r w:rsidR="005C135C">
        <w:rPr>
          <w:rFonts w:ascii="Georgia" w:hAnsi="Georgia" w:eastAsia="Georgia" w:cs="Georgia"/>
          <w:sz w:val="24"/>
          <w:szCs w:val="24"/>
        </w:rPr>
        <w:t>es</w:t>
      </w:r>
      <w:r w:rsidRPr="6DFC17C8">
        <w:rPr>
          <w:rFonts w:ascii="Georgia" w:hAnsi="Georgia" w:eastAsia="Georgia" w:cs="Georgia"/>
          <w:sz w:val="24"/>
          <w:szCs w:val="24"/>
        </w:rPr>
        <w:t xml:space="preserve"> (Müller, 2016). In the EU Referendum, </w:t>
      </w:r>
      <w:r w:rsidR="005C135C">
        <w:rPr>
          <w:rFonts w:ascii="Georgia" w:hAnsi="Georgia" w:eastAsia="Georgia" w:cs="Georgia"/>
          <w:sz w:val="24"/>
          <w:szCs w:val="24"/>
        </w:rPr>
        <w:t xml:space="preserve">English </w:t>
      </w:r>
      <w:r w:rsidRPr="6DFC17C8">
        <w:rPr>
          <w:rFonts w:ascii="Georgia" w:hAnsi="Georgia" w:eastAsia="Georgia" w:cs="Georgia"/>
          <w:sz w:val="24"/>
          <w:szCs w:val="24"/>
        </w:rPr>
        <w:t xml:space="preserve">nationalist right-wing populism </w:t>
      </w:r>
      <w:proofErr w:type="gramStart"/>
      <w:r w:rsidRPr="6DFC17C8">
        <w:rPr>
          <w:rFonts w:ascii="Georgia" w:hAnsi="Georgia" w:eastAsia="Georgia" w:cs="Georgia"/>
          <w:sz w:val="24"/>
          <w:szCs w:val="24"/>
        </w:rPr>
        <w:t xml:space="preserve">was </w:t>
      </w:r>
      <w:r w:rsidR="005C135C">
        <w:rPr>
          <w:rFonts w:ascii="Georgia" w:hAnsi="Georgia" w:eastAsia="Georgia" w:cs="Georgia"/>
          <w:sz w:val="24"/>
          <w:szCs w:val="24"/>
        </w:rPr>
        <w:t>used</w:t>
      </w:r>
      <w:proofErr w:type="gramEnd"/>
      <w:r w:rsidRPr="6DFC17C8">
        <w:rPr>
          <w:rFonts w:ascii="Georgia" w:hAnsi="Georgia" w:eastAsia="Georgia" w:cs="Georgia"/>
          <w:sz w:val="24"/>
          <w:szCs w:val="24"/>
        </w:rPr>
        <w:t xml:space="preserve"> to garner much of the support for the Leave campaign (the left-wing ‘</w:t>
      </w:r>
      <w:proofErr w:type="spellStart"/>
      <w:r w:rsidRPr="6DFC17C8">
        <w:rPr>
          <w:rFonts w:ascii="Georgia" w:hAnsi="Georgia" w:eastAsia="Georgia" w:cs="Georgia"/>
          <w:sz w:val="24"/>
          <w:szCs w:val="24"/>
        </w:rPr>
        <w:t>lexit</w:t>
      </w:r>
      <w:proofErr w:type="spellEnd"/>
      <w:r w:rsidRPr="6DFC17C8">
        <w:rPr>
          <w:rFonts w:ascii="Georgia" w:hAnsi="Georgia" w:eastAsia="Georgia" w:cs="Georgia"/>
          <w:sz w:val="24"/>
          <w:szCs w:val="24"/>
        </w:rPr>
        <w:t xml:space="preserve">’ perspective notwithstanding) (Corbett, 2016). </w:t>
      </w:r>
    </w:p>
    <w:p w:rsidR="20A8CD33" w:rsidP="6DFC17C8" w:rsidRDefault="6DFC17C8" w14:paraId="60731BCC" w14:textId="4BBCF599">
      <w:pPr>
        <w:spacing w:line="276" w:lineRule="auto"/>
        <w:ind w:firstLine="720"/>
        <w:jc w:val="both"/>
        <w:rPr>
          <w:rFonts w:ascii="Georgia" w:hAnsi="Georgia" w:eastAsia="Georgia" w:cs="Georgia"/>
          <w:sz w:val="24"/>
          <w:szCs w:val="24"/>
        </w:rPr>
      </w:pPr>
      <w:proofErr w:type="gramStart"/>
      <w:r w:rsidRPr="6DFC17C8">
        <w:rPr>
          <w:rFonts w:ascii="Georgia" w:hAnsi="Georgia" w:eastAsia="Georgia" w:cs="Georgia"/>
          <w:sz w:val="24"/>
          <w:szCs w:val="24"/>
        </w:rPr>
        <w:t>Th</w:t>
      </w:r>
      <w:r w:rsidR="00797358">
        <w:rPr>
          <w:rFonts w:ascii="Georgia" w:hAnsi="Georgia" w:eastAsia="Georgia" w:cs="Georgia"/>
          <w:sz w:val="24"/>
          <w:szCs w:val="24"/>
        </w:rPr>
        <w:t>ere is</w:t>
      </w:r>
      <w:r w:rsidRPr="6DFC17C8">
        <w:rPr>
          <w:rFonts w:ascii="Georgia" w:hAnsi="Georgia" w:eastAsia="Georgia" w:cs="Georgia"/>
          <w:sz w:val="24"/>
          <w:szCs w:val="24"/>
        </w:rPr>
        <w:t xml:space="preserve"> a critical tension in UK society, and potentially, wider European society, between </w:t>
      </w:r>
      <w:r w:rsidR="00797358">
        <w:rPr>
          <w:rFonts w:ascii="Georgia" w:hAnsi="Georgia" w:eastAsia="Georgia" w:cs="Georgia"/>
          <w:sz w:val="24"/>
          <w:szCs w:val="24"/>
        </w:rPr>
        <w:t xml:space="preserve">the </w:t>
      </w:r>
      <w:r w:rsidRPr="6DFC17C8">
        <w:rPr>
          <w:rFonts w:ascii="Georgia" w:hAnsi="Georgia" w:eastAsia="Georgia" w:cs="Georgia"/>
          <w:sz w:val="24"/>
          <w:szCs w:val="24"/>
        </w:rPr>
        <w:t xml:space="preserve">technocratic elitism </w:t>
      </w:r>
      <w:r w:rsidR="00797358">
        <w:rPr>
          <w:rFonts w:ascii="Georgia" w:hAnsi="Georgia" w:eastAsia="Georgia" w:cs="Georgia"/>
          <w:sz w:val="24"/>
          <w:szCs w:val="24"/>
        </w:rPr>
        <w:t>of</w:t>
      </w:r>
      <w:r w:rsidRPr="6DFC17C8">
        <w:rPr>
          <w:rFonts w:ascii="Georgia" w:hAnsi="Georgia" w:eastAsia="Georgia" w:cs="Georgia"/>
          <w:sz w:val="24"/>
          <w:szCs w:val="24"/>
        </w:rPr>
        <w:t xml:space="preserve"> the neoliberal model that has dominated politics and society for the past 40 years, and a regressive nationalist populism, evident in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but also in Trump’s political project in the US, the Front National in France, and various far right governments and movements in Europe.</w:t>
      </w:r>
      <w:proofErr w:type="gramEnd"/>
      <w:r w:rsidRPr="6DFC17C8">
        <w:rPr>
          <w:rFonts w:ascii="Georgia" w:hAnsi="Georgia" w:eastAsia="Georgia" w:cs="Georgia"/>
          <w:sz w:val="24"/>
          <w:szCs w:val="24"/>
        </w:rPr>
        <w:t xml:space="preserve"> The </w:t>
      </w:r>
      <w:r w:rsidR="00797358">
        <w:rPr>
          <w:rFonts w:ascii="Georgia" w:hAnsi="Georgia" w:eastAsia="Georgia" w:cs="Georgia"/>
          <w:sz w:val="24"/>
          <w:szCs w:val="24"/>
        </w:rPr>
        <w:t xml:space="preserve">first </w:t>
      </w:r>
      <w:r w:rsidRPr="6DFC17C8">
        <w:rPr>
          <w:rFonts w:ascii="Georgia" w:hAnsi="Georgia" w:eastAsia="Georgia" w:cs="Georgia"/>
          <w:sz w:val="24"/>
          <w:szCs w:val="24"/>
        </w:rPr>
        <w:t xml:space="preserve">purpose of this themed section is to look at the implications of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for both the UK and Europe, by drawing on analys</w:t>
      </w:r>
      <w:r w:rsidR="00797358">
        <w:rPr>
          <w:rFonts w:ascii="Georgia" w:hAnsi="Georgia" w:eastAsia="Georgia" w:cs="Georgia"/>
          <w:sz w:val="24"/>
          <w:szCs w:val="24"/>
        </w:rPr>
        <w:t>e</w:t>
      </w:r>
      <w:r w:rsidRPr="6DFC17C8">
        <w:rPr>
          <w:rFonts w:ascii="Georgia" w:hAnsi="Georgia" w:eastAsia="Georgia" w:cs="Georgia"/>
          <w:sz w:val="24"/>
          <w:szCs w:val="24"/>
        </w:rPr>
        <w:t>s of broader tendencies towards technocratic policy-making, nationalist populist politics, and the potential contained in social movements. A</w:t>
      </w:r>
      <w:r w:rsidR="00797358">
        <w:rPr>
          <w:rFonts w:ascii="Georgia" w:hAnsi="Georgia" w:eastAsia="Georgia" w:cs="Georgia"/>
          <w:sz w:val="24"/>
          <w:szCs w:val="24"/>
        </w:rPr>
        <w:t xml:space="preserve"> second</w:t>
      </w:r>
      <w:r w:rsidRPr="6DFC17C8">
        <w:rPr>
          <w:rFonts w:ascii="Georgia" w:hAnsi="Georgia" w:eastAsia="Georgia" w:cs="Georgia"/>
          <w:sz w:val="24"/>
          <w:szCs w:val="24"/>
        </w:rPr>
        <w:t xml:space="preserve"> aim is to highlight the potential that the social quality idea contains for moving beyond the </w:t>
      </w:r>
      <w:r w:rsidR="00797358">
        <w:rPr>
          <w:rFonts w:ascii="Georgia" w:hAnsi="Georgia" w:eastAsia="Georgia" w:cs="Georgia"/>
          <w:sz w:val="24"/>
          <w:szCs w:val="24"/>
        </w:rPr>
        <w:t xml:space="preserve">narrow </w:t>
      </w:r>
      <w:proofErr w:type="spellStart"/>
      <w:r w:rsidRPr="6DFC17C8">
        <w:rPr>
          <w:rFonts w:ascii="Georgia" w:hAnsi="Georgia" w:eastAsia="Georgia" w:cs="Georgia"/>
          <w:sz w:val="24"/>
          <w:szCs w:val="24"/>
        </w:rPr>
        <w:t>economism</w:t>
      </w:r>
      <w:proofErr w:type="spellEnd"/>
      <w:r w:rsidRPr="6DFC17C8">
        <w:rPr>
          <w:rFonts w:ascii="Georgia" w:hAnsi="Georgia" w:eastAsia="Georgia" w:cs="Georgia"/>
          <w:sz w:val="24"/>
          <w:szCs w:val="24"/>
        </w:rPr>
        <w:t xml:space="preserve"> of the neoliberal period. ‘Remain and reform’ from the left is a broad position that the editors of this </w:t>
      </w:r>
      <w:r w:rsidR="00797358">
        <w:rPr>
          <w:rFonts w:ascii="Georgia" w:hAnsi="Georgia" w:eastAsia="Georgia" w:cs="Georgia"/>
          <w:sz w:val="24"/>
          <w:szCs w:val="24"/>
        </w:rPr>
        <w:t>t</w:t>
      </w:r>
      <w:r w:rsidRPr="6DFC17C8">
        <w:rPr>
          <w:rFonts w:ascii="Georgia" w:hAnsi="Georgia" w:eastAsia="Georgia" w:cs="Georgia"/>
          <w:sz w:val="24"/>
          <w:szCs w:val="24"/>
        </w:rPr>
        <w:t xml:space="preserve">hemed </w:t>
      </w:r>
      <w:r w:rsidR="00797358">
        <w:rPr>
          <w:rFonts w:ascii="Georgia" w:hAnsi="Georgia" w:eastAsia="Georgia" w:cs="Georgia"/>
          <w:sz w:val="24"/>
          <w:szCs w:val="24"/>
        </w:rPr>
        <w:t>s</w:t>
      </w:r>
      <w:r w:rsidRPr="6DFC17C8">
        <w:rPr>
          <w:rFonts w:ascii="Georgia" w:hAnsi="Georgia" w:eastAsia="Georgia" w:cs="Georgia"/>
          <w:sz w:val="24"/>
          <w:szCs w:val="24"/>
        </w:rPr>
        <w:t xml:space="preserve">ection share. However, this social democratic and socialist perspective was not an option in the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Referendum. What was on offer was remaining on terms negotiated by then Prime Minister Cameron (Corbett and Walker in this issue), or leaving (with no planning for what would happen</w:t>
      </w:r>
      <w:r w:rsidR="00797358">
        <w:rPr>
          <w:rFonts w:ascii="Georgia" w:hAnsi="Georgia" w:eastAsia="Georgia" w:cs="Georgia"/>
          <w:sz w:val="24"/>
          <w:szCs w:val="24"/>
        </w:rPr>
        <w:t xml:space="preserve"> afterwards</w:t>
      </w:r>
      <w:r w:rsidRPr="6DFC17C8">
        <w:rPr>
          <w:rFonts w:ascii="Georgia" w:hAnsi="Georgia" w:eastAsia="Georgia" w:cs="Georgia"/>
          <w:sz w:val="24"/>
          <w:szCs w:val="24"/>
        </w:rPr>
        <w:t xml:space="preserve">, or </w:t>
      </w:r>
      <w:r w:rsidR="00797358">
        <w:rPr>
          <w:rFonts w:ascii="Georgia" w:hAnsi="Georgia" w:eastAsia="Georgia" w:cs="Georgia"/>
          <w:sz w:val="24"/>
          <w:szCs w:val="24"/>
        </w:rPr>
        <w:t>indeed that</w:t>
      </w:r>
      <w:r w:rsidRPr="6DFC17C8">
        <w:rPr>
          <w:rFonts w:ascii="Georgia" w:hAnsi="Georgia" w:eastAsia="Georgia" w:cs="Georgia"/>
          <w:sz w:val="24"/>
          <w:szCs w:val="24"/>
        </w:rPr>
        <w:t xml:space="preserve"> a successful leave vote would </w:t>
      </w:r>
      <w:r w:rsidR="00797358">
        <w:rPr>
          <w:rFonts w:ascii="Georgia" w:hAnsi="Georgia" w:eastAsia="Georgia" w:cs="Georgia"/>
          <w:sz w:val="24"/>
          <w:szCs w:val="24"/>
        </w:rPr>
        <w:t>address the underlying grievances of the majority of leave voters</w:t>
      </w:r>
      <w:r w:rsidRPr="6DFC17C8">
        <w:rPr>
          <w:rFonts w:ascii="Georgia" w:hAnsi="Georgia" w:eastAsia="Georgia" w:cs="Georgia"/>
          <w:sz w:val="24"/>
          <w:szCs w:val="24"/>
        </w:rPr>
        <w:t>).</w:t>
      </w:r>
    </w:p>
    <w:p w:rsidR="20A8CD33" w:rsidP="6DFC17C8" w:rsidRDefault="6DFC17C8" w14:paraId="6BF9D479" w14:textId="08D854F0">
      <w:pPr>
        <w:spacing w:line="276" w:lineRule="auto"/>
        <w:ind w:firstLine="720"/>
        <w:jc w:val="both"/>
        <w:rPr>
          <w:rFonts w:ascii="Georgia" w:hAnsi="Georgia" w:eastAsia="Georgia" w:cs="Georgia"/>
          <w:sz w:val="24"/>
          <w:szCs w:val="24"/>
        </w:rPr>
      </w:pPr>
      <w:r w:rsidRPr="6DFC17C8">
        <w:rPr>
          <w:rFonts w:ascii="Georgia" w:hAnsi="Georgia" w:eastAsia="Georgia" w:cs="Georgia"/>
          <w:sz w:val="24"/>
          <w:szCs w:val="24"/>
        </w:rPr>
        <w:t>All contributors to this themed section highlight</w:t>
      </w:r>
      <w:r w:rsidR="00797358">
        <w:rPr>
          <w:rFonts w:ascii="Georgia" w:hAnsi="Georgia" w:eastAsia="Georgia" w:cs="Georgia"/>
          <w:sz w:val="24"/>
          <w:szCs w:val="24"/>
        </w:rPr>
        <w:t xml:space="preserve"> </w:t>
      </w:r>
      <w:r w:rsidRPr="6DFC17C8">
        <w:rPr>
          <w:rFonts w:ascii="Georgia" w:hAnsi="Georgia" w:eastAsia="Georgia" w:cs="Georgia"/>
          <w:sz w:val="24"/>
          <w:szCs w:val="24"/>
        </w:rPr>
        <w:t xml:space="preserve">significant problems that Europe faces today. </w:t>
      </w:r>
      <w:proofErr w:type="gramStart"/>
      <w:r w:rsidRPr="6DFC17C8">
        <w:rPr>
          <w:rFonts w:ascii="Georgia" w:hAnsi="Georgia" w:eastAsia="Georgia" w:cs="Georgia"/>
          <w:sz w:val="24"/>
          <w:szCs w:val="24"/>
        </w:rPr>
        <w:t xml:space="preserve">Common threads in the five original articles presented here </w:t>
      </w:r>
      <w:r w:rsidR="00797358">
        <w:rPr>
          <w:rFonts w:ascii="Georgia" w:hAnsi="Georgia" w:eastAsia="Georgia" w:cs="Georgia"/>
          <w:sz w:val="24"/>
          <w:szCs w:val="24"/>
        </w:rPr>
        <w:t>include the</w:t>
      </w:r>
      <w:r w:rsidRPr="6DFC17C8">
        <w:rPr>
          <w:rFonts w:ascii="Georgia" w:hAnsi="Georgia" w:eastAsia="Georgia" w:cs="Georgia"/>
          <w:sz w:val="24"/>
          <w:szCs w:val="24"/>
        </w:rPr>
        <w:t xml:space="preserve"> lack of genuinely democratic and responsive EU (and national) institutions</w:t>
      </w:r>
      <w:r w:rsidR="00797358">
        <w:rPr>
          <w:rFonts w:ascii="Georgia" w:hAnsi="Georgia" w:eastAsia="Georgia" w:cs="Georgia"/>
          <w:sz w:val="24"/>
          <w:szCs w:val="24"/>
        </w:rPr>
        <w:t>;</w:t>
      </w:r>
      <w:r w:rsidRPr="6DFC17C8">
        <w:rPr>
          <w:rFonts w:ascii="Georgia" w:hAnsi="Georgia" w:eastAsia="Georgia" w:cs="Georgia"/>
          <w:sz w:val="24"/>
          <w:szCs w:val="24"/>
        </w:rPr>
        <w:t xml:space="preserve"> the </w:t>
      </w:r>
      <w:r w:rsidR="00797358">
        <w:rPr>
          <w:rFonts w:ascii="Georgia" w:hAnsi="Georgia" w:eastAsia="Georgia" w:cs="Georgia"/>
          <w:sz w:val="24"/>
          <w:szCs w:val="24"/>
        </w:rPr>
        <w:t xml:space="preserve">elitist </w:t>
      </w:r>
      <w:r w:rsidRPr="6DFC17C8">
        <w:rPr>
          <w:rFonts w:ascii="Georgia" w:hAnsi="Georgia" w:eastAsia="Georgia" w:cs="Georgia"/>
          <w:sz w:val="24"/>
          <w:szCs w:val="24"/>
        </w:rPr>
        <w:t xml:space="preserve">political choices made </w:t>
      </w:r>
      <w:r w:rsidR="00797358">
        <w:rPr>
          <w:rFonts w:ascii="Georgia" w:hAnsi="Georgia" w:eastAsia="Georgia" w:cs="Georgia"/>
          <w:sz w:val="24"/>
          <w:szCs w:val="24"/>
        </w:rPr>
        <w:t>in response to</w:t>
      </w:r>
      <w:r w:rsidRPr="6DFC17C8">
        <w:rPr>
          <w:rFonts w:ascii="Georgia" w:hAnsi="Georgia" w:eastAsia="Georgia" w:cs="Georgia"/>
          <w:sz w:val="24"/>
          <w:szCs w:val="24"/>
        </w:rPr>
        <w:t xml:space="preserve"> the various economic crises </w:t>
      </w:r>
      <w:r w:rsidR="00797358">
        <w:rPr>
          <w:rFonts w:ascii="Georgia" w:hAnsi="Georgia" w:eastAsia="Georgia" w:cs="Georgia"/>
          <w:sz w:val="24"/>
          <w:szCs w:val="24"/>
        </w:rPr>
        <w:t>over</w:t>
      </w:r>
      <w:r w:rsidRPr="6DFC17C8">
        <w:rPr>
          <w:rFonts w:ascii="Georgia" w:hAnsi="Georgia" w:eastAsia="Georgia" w:cs="Georgia"/>
          <w:sz w:val="24"/>
          <w:szCs w:val="24"/>
        </w:rPr>
        <w:t xml:space="preserve"> the </w:t>
      </w:r>
      <w:r w:rsidR="00797358">
        <w:rPr>
          <w:rFonts w:ascii="Georgia" w:hAnsi="Georgia" w:eastAsia="Georgia" w:cs="Georgia"/>
          <w:sz w:val="24"/>
          <w:szCs w:val="24"/>
        </w:rPr>
        <w:t>past decade</w:t>
      </w:r>
      <w:r w:rsidRPr="6DFC17C8">
        <w:rPr>
          <w:rFonts w:ascii="Georgia" w:hAnsi="Georgia" w:eastAsia="Georgia" w:cs="Georgia"/>
          <w:sz w:val="24"/>
          <w:szCs w:val="24"/>
        </w:rPr>
        <w:t xml:space="preserve"> at EU and national levels (and </w:t>
      </w:r>
      <w:r w:rsidR="00797358">
        <w:rPr>
          <w:rFonts w:ascii="Georgia" w:hAnsi="Georgia" w:eastAsia="Georgia" w:cs="Georgia"/>
          <w:sz w:val="24"/>
          <w:szCs w:val="24"/>
        </w:rPr>
        <w:t>especially</w:t>
      </w:r>
      <w:r w:rsidRPr="6DFC17C8">
        <w:rPr>
          <w:rFonts w:ascii="Georgia" w:hAnsi="Georgia" w:eastAsia="Georgia" w:cs="Georgia"/>
          <w:sz w:val="24"/>
          <w:szCs w:val="24"/>
        </w:rPr>
        <w:t xml:space="preserve">, the </w:t>
      </w:r>
      <w:r w:rsidR="00797358">
        <w:rPr>
          <w:rFonts w:ascii="Georgia" w:hAnsi="Georgia" w:eastAsia="Georgia" w:cs="Georgia"/>
          <w:sz w:val="24"/>
          <w:szCs w:val="24"/>
        </w:rPr>
        <w:t xml:space="preserve">continuing </w:t>
      </w:r>
      <w:r w:rsidRPr="6DFC17C8">
        <w:rPr>
          <w:rFonts w:ascii="Georgia" w:hAnsi="Georgia" w:eastAsia="Georgia" w:cs="Georgia"/>
          <w:sz w:val="24"/>
          <w:szCs w:val="24"/>
        </w:rPr>
        <w:t xml:space="preserve">neoliberal </w:t>
      </w:r>
      <w:r w:rsidR="00797358">
        <w:rPr>
          <w:rFonts w:ascii="Georgia" w:hAnsi="Georgia" w:eastAsia="Georgia" w:cs="Georgia"/>
          <w:sz w:val="24"/>
          <w:szCs w:val="24"/>
        </w:rPr>
        <w:t xml:space="preserve">policy </w:t>
      </w:r>
      <w:r w:rsidRPr="6DFC17C8">
        <w:rPr>
          <w:rFonts w:ascii="Georgia" w:hAnsi="Georgia" w:eastAsia="Georgia" w:cs="Georgia"/>
          <w:sz w:val="24"/>
          <w:szCs w:val="24"/>
        </w:rPr>
        <w:t xml:space="preserve">consensus </w:t>
      </w:r>
      <w:r w:rsidR="00797358">
        <w:rPr>
          <w:rFonts w:ascii="Georgia" w:hAnsi="Georgia" w:eastAsia="Georgia" w:cs="Georgia"/>
          <w:sz w:val="24"/>
          <w:szCs w:val="24"/>
        </w:rPr>
        <w:t>and its dire</w:t>
      </w:r>
      <w:r w:rsidRPr="6DFC17C8">
        <w:rPr>
          <w:rFonts w:ascii="Georgia" w:hAnsi="Georgia" w:eastAsia="Georgia" w:cs="Georgia"/>
          <w:sz w:val="24"/>
          <w:szCs w:val="24"/>
        </w:rPr>
        <w:t xml:space="preserve"> consequences for  many European citizens)</w:t>
      </w:r>
      <w:r w:rsidR="00380E9A">
        <w:rPr>
          <w:rFonts w:ascii="Georgia" w:hAnsi="Georgia" w:eastAsia="Georgia" w:cs="Georgia"/>
          <w:sz w:val="24"/>
          <w:szCs w:val="24"/>
        </w:rPr>
        <w:t xml:space="preserve">; </w:t>
      </w:r>
      <w:r w:rsidRPr="6DFC17C8">
        <w:rPr>
          <w:rFonts w:ascii="Georgia" w:hAnsi="Georgia" w:eastAsia="Georgia" w:cs="Georgia"/>
          <w:sz w:val="24"/>
          <w:szCs w:val="24"/>
        </w:rPr>
        <w:t xml:space="preserve">and the emergent threat on the far right from nationalist populism, with economic protectionism, social control, and xenophobia at the heart of various movements and </w:t>
      </w:r>
      <w:r w:rsidR="00380E9A">
        <w:rPr>
          <w:rFonts w:ascii="Georgia" w:hAnsi="Georgia" w:eastAsia="Georgia" w:cs="Georgia"/>
          <w:sz w:val="24"/>
          <w:szCs w:val="24"/>
        </w:rPr>
        <w:t xml:space="preserve">now influential in a few European </w:t>
      </w:r>
      <w:r w:rsidRPr="6DFC17C8">
        <w:rPr>
          <w:rFonts w:ascii="Georgia" w:hAnsi="Georgia" w:eastAsia="Georgia" w:cs="Georgia"/>
          <w:sz w:val="24"/>
          <w:szCs w:val="24"/>
        </w:rPr>
        <w:t>governments.</w:t>
      </w:r>
      <w:proofErr w:type="gramEnd"/>
      <w:r w:rsidRPr="6DFC17C8">
        <w:rPr>
          <w:rFonts w:ascii="Georgia" w:hAnsi="Georgia" w:eastAsia="Georgia" w:cs="Georgia"/>
          <w:sz w:val="24"/>
          <w:szCs w:val="24"/>
        </w:rPr>
        <w:t xml:space="preserve"> Without serious re-appraisal of </w:t>
      </w:r>
      <w:proofErr w:type="gramStart"/>
      <w:r w:rsidRPr="6DFC17C8">
        <w:rPr>
          <w:rFonts w:ascii="Georgia" w:hAnsi="Georgia" w:eastAsia="Georgia" w:cs="Georgia"/>
          <w:sz w:val="24"/>
          <w:szCs w:val="24"/>
        </w:rPr>
        <w:t xml:space="preserve">the </w:t>
      </w:r>
      <w:r w:rsidR="00380E9A">
        <w:rPr>
          <w:rFonts w:ascii="Georgia" w:hAnsi="Georgia" w:eastAsia="Georgia" w:cs="Georgia"/>
          <w:sz w:val="24"/>
          <w:szCs w:val="24"/>
        </w:rPr>
        <w:t xml:space="preserve"> consequences</w:t>
      </w:r>
      <w:proofErr w:type="gramEnd"/>
      <w:r w:rsidR="00380E9A">
        <w:rPr>
          <w:rFonts w:ascii="Georgia" w:hAnsi="Georgia" w:eastAsia="Georgia" w:cs="Georgia"/>
          <w:sz w:val="24"/>
          <w:szCs w:val="24"/>
        </w:rPr>
        <w:t xml:space="preserve"> of the </w:t>
      </w:r>
      <w:r w:rsidRPr="6DFC17C8">
        <w:rPr>
          <w:rFonts w:ascii="Georgia" w:hAnsi="Georgia" w:eastAsia="Georgia" w:cs="Georgia"/>
          <w:sz w:val="24"/>
          <w:szCs w:val="24"/>
        </w:rPr>
        <w:t>neoliberal period in Europe, the</w:t>
      </w:r>
      <w:r w:rsidR="00380E9A">
        <w:rPr>
          <w:rFonts w:ascii="Georgia" w:hAnsi="Georgia" w:eastAsia="Georgia" w:cs="Georgia"/>
          <w:sz w:val="24"/>
          <w:szCs w:val="24"/>
        </w:rPr>
        <w:t>se</w:t>
      </w:r>
      <w:r w:rsidRPr="6DFC17C8">
        <w:rPr>
          <w:rFonts w:ascii="Georgia" w:hAnsi="Georgia" w:eastAsia="Georgia" w:cs="Georgia"/>
          <w:sz w:val="24"/>
          <w:szCs w:val="24"/>
        </w:rPr>
        <w:t xml:space="preserve"> problems will </w:t>
      </w:r>
      <w:r w:rsidR="00380E9A">
        <w:rPr>
          <w:rFonts w:ascii="Georgia" w:hAnsi="Georgia" w:eastAsia="Georgia" w:cs="Georgia"/>
          <w:sz w:val="24"/>
          <w:szCs w:val="24"/>
        </w:rPr>
        <w:t>remain</w:t>
      </w:r>
      <w:r w:rsidRPr="6DFC17C8">
        <w:rPr>
          <w:rFonts w:ascii="Georgia" w:hAnsi="Georgia" w:eastAsia="Georgia" w:cs="Georgia"/>
          <w:sz w:val="24"/>
          <w:szCs w:val="24"/>
        </w:rPr>
        <w:t xml:space="preserve"> unaddressed by EU institutions, </w:t>
      </w:r>
      <w:r w:rsidR="00380E9A">
        <w:rPr>
          <w:rFonts w:ascii="Georgia" w:hAnsi="Georgia" w:eastAsia="Georgia" w:cs="Georgia"/>
          <w:sz w:val="24"/>
          <w:szCs w:val="24"/>
        </w:rPr>
        <w:t xml:space="preserve">individual </w:t>
      </w:r>
      <w:r w:rsidRPr="6DFC17C8">
        <w:rPr>
          <w:rFonts w:ascii="Georgia" w:hAnsi="Georgia" w:eastAsia="Georgia" w:cs="Georgia"/>
          <w:sz w:val="24"/>
          <w:szCs w:val="24"/>
        </w:rPr>
        <w:t>member states, and other European countries.</w:t>
      </w:r>
      <w:r w:rsidR="00380E9A">
        <w:rPr>
          <w:rFonts w:ascii="Georgia" w:hAnsi="Georgia" w:eastAsia="Georgia" w:cs="Georgia"/>
          <w:sz w:val="24"/>
          <w:szCs w:val="24"/>
        </w:rPr>
        <w:t xml:space="preserve"> Any such examination should emphasise the need to revitalise both social policy and democracy in Europe.</w:t>
      </w:r>
      <w:r w:rsidR="005E23E8">
        <w:rPr>
          <w:rFonts w:ascii="Georgia" w:hAnsi="Georgia" w:eastAsia="Georgia" w:cs="Georgia"/>
          <w:sz w:val="24"/>
          <w:szCs w:val="24"/>
        </w:rPr>
        <w:t xml:space="preserve"> The concept of social quality offers a focal point for this endeavour.</w:t>
      </w:r>
    </w:p>
    <w:p w:rsidR="00A27DB0" w:rsidP="6DFC17C8" w:rsidRDefault="6DFC17C8" w14:paraId="6A05A809" w14:textId="70968A38">
      <w:pPr>
        <w:spacing w:line="276" w:lineRule="auto"/>
        <w:ind w:firstLine="720"/>
        <w:jc w:val="both"/>
        <w:rPr>
          <w:rFonts w:ascii="Georgia" w:hAnsi="Georgia" w:eastAsia="Georgia" w:cs="Georgia"/>
          <w:sz w:val="24"/>
          <w:szCs w:val="24"/>
        </w:rPr>
      </w:pPr>
      <w:r w:rsidRPr="6DFC17C8">
        <w:rPr>
          <w:rFonts w:ascii="Georgia" w:hAnsi="Georgia" w:eastAsia="Georgia" w:cs="Georgia"/>
          <w:sz w:val="24"/>
          <w:szCs w:val="24"/>
        </w:rPr>
        <w:t xml:space="preserve">Steve Corbett and Alan Walker’s review article addresses the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referendum from the perspective of ‘the social’. It </w:t>
      </w:r>
      <w:r w:rsidR="005C135C">
        <w:rPr>
          <w:rFonts w:ascii="Georgia" w:hAnsi="Georgia" w:eastAsia="Georgia" w:cs="Georgia"/>
          <w:sz w:val="24"/>
          <w:szCs w:val="24"/>
        </w:rPr>
        <w:t>considers</w:t>
      </w:r>
      <w:r w:rsidRPr="6DFC17C8">
        <w:rPr>
          <w:rFonts w:ascii="Georgia" w:hAnsi="Georgia" w:eastAsia="Georgia" w:cs="Georgia"/>
          <w:sz w:val="24"/>
          <w:szCs w:val="24"/>
        </w:rPr>
        <w:t xml:space="preserve"> the idea of the European social model, which was supposed to delineate a specifically European concern with both economic success and social progress. </w:t>
      </w:r>
      <w:proofErr w:type="gramStart"/>
      <w:r w:rsidR="005C135C">
        <w:rPr>
          <w:rFonts w:ascii="Georgia" w:hAnsi="Georgia" w:eastAsia="Georgia" w:cs="Georgia"/>
          <w:sz w:val="24"/>
          <w:szCs w:val="24"/>
        </w:rPr>
        <w:t>But</w:t>
      </w:r>
      <w:proofErr w:type="gramEnd"/>
      <w:r w:rsidR="005C135C">
        <w:rPr>
          <w:rFonts w:ascii="Georgia" w:hAnsi="Georgia" w:eastAsia="Georgia" w:cs="Georgia"/>
          <w:sz w:val="24"/>
          <w:szCs w:val="24"/>
        </w:rPr>
        <w:t xml:space="preserve"> while</w:t>
      </w:r>
      <w:r w:rsidRPr="6DFC17C8">
        <w:rPr>
          <w:rFonts w:ascii="Georgia" w:hAnsi="Georgia" w:eastAsia="Georgia" w:cs="Georgia"/>
          <w:sz w:val="24"/>
          <w:szCs w:val="24"/>
        </w:rPr>
        <w:t xml:space="preserve"> the EU has long been an economic project concerned with building markets and providing mobile labour, the European social model (o</w:t>
      </w:r>
      <w:r w:rsidR="005E23E8">
        <w:rPr>
          <w:rFonts w:ascii="Georgia" w:hAnsi="Georgia" w:eastAsia="Georgia" w:cs="Georgia"/>
          <w:sz w:val="24"/>
          <w:szCs w:val="24"/>
        </w:rPr>
        <w:t xml:space="preserve">r </w:t>
      </w:r>
      <w:r w:rsidRPr="6DFC17C8">
        <w:rPr>
          <w:rFonts w:ascii="Georgia" w:hAnsi="Georgia" w:eastAsia="Georgia" w:cs="Georgia"/>
          <w:sz w:val="24"/>
          <w:szCs w:val="24"/>
        </w:rPr>
        <w:t>the social dimension,</w:t>
      </w:r>
      <w:r w:rsidR="005E23E8">
        <w:rPr>
          <w:rFonts w:ascii="Georgia" w:hAnsi="Georgia" w:eastAsia="Georgia" w:cs="Georgia"/>
          <w:sz w:val="24"/>
          <w:szCs w:val="24"/>
        </w:rPr>
        <w:t xml:space="preserve"> </w:t>
      </w:r>
      <w:r w:rsidRPr="6DFC17C8">
        <w:rPr>
          <w:rFonts w:ascii="Georgia" w:hAnsi="Georgia" w:eastAsia="Georgia" w:cs="Georgia"/>
          <w:sz w:val="24"/>
          <w:szCs w:val="24"/>
        </w:rPr>
        <w:t xml:space="preserve">social Europe), at least rhetorically, granted some sense of European exceptionalism to the liberal capitalism of </w:t>
      </w:r>
      <w:proofErr w:type="spellStart"/>
      <w:r w:rsidRPr="6DFC17C8">
        <w:rPr>
          <w:rFonts w:ascii="Georgia" w:hAnsi="Georgia" w:eastAsia="Georgia" w:cs="Georgia"/>
          <w:sz w:val="24"/>
          <w:szCs w:val="24"/>
        </w:rPr>
        <w:t>Anglo-</w:t>
      </w:r>
      <w:r w:rsidRPr="6DFC17C8">
        <w:rPr>
          <w:rFonts w:ascii="Georgia" w:hAnsi="Georgia" w:eastAsia="Georgia" w:cs="Georgia"/>
          <w:sz w:val="24"/>
          <w:szCs w:val="24"/>
        </w:rPr>
        <w:lastRenderedPageBreak/>
        <w:t>saxon</w:t>
      </w:r>
      <w:proofErr w:type="spellEnd"/>
      <w:r w:rsidRPr="6DFC17C8">
        <w:rPr>
          <w:rFonts w:ascii="Georgia" w:hAnsi="Georgia" w:eastAsia="Georgia" w:cs="Georgia"/>
          <w:sz w:val="24"/>
          <w:szCs w:val="24"/>
        </w:rPr>
        <w:t xml:space="preserve"> countries. However, Corbett and Walker argue that the under-theorisation of ‘the social’ is a central weakness in the articulation of the concept. </w:t>
      </w:r>
      <w:proofErr w:type="gramStart"/>
      <w:r w:rsidRPr="6DFC17C8">
        <w:rPr>
          <w:rFonts w:ascii="Georgia" w:hAnsi="Georgia" w:eastAsia="Georgia" w:cs="Georgia"/>
          <w:sz w:val="24"/>
          <w:szCs w:val="24"/>
        </w:rPr>
        <w:t>Instead</w:t>
      </w:r>
      <w:proofErr w:type="gramEnd"/>
      <w:r w:rsidRPr="6DFC17C8">
        <w:rPr>
          <w:rFonts w:ascii="Georgia" w:hAnsi="Georgia" w:eastAsia="Georgia" w:cs="Georgia"/>
          <w:sz w:val="24"/>
          <w:szCs w:val="24"/>
        </w:rPr>
        <w:t xml:space="preserve"> social quality is proposed as an approach </w:t>
      </w:r>
      <w:r w:rsidR="005C135C">
        <w:rPr>
          <w:rFonts w:ascii="Georgia" w:hAnsi="Georgia" w:eastAsia="Georgia" w:cs="Georgia"/>
          <w:sz w:val="24"/>
          <w:szCs w:val="24"/>
        </w:rPr>
        <w:t>with a</w:t>
      </w:r>
      <w:r w:rsidRPr="6DFC17C8">
        <w:rPr>
          <w:rFonts w:ascii="Georgia" w:hAnsi="Georgia" w:eastAsia="Georgia" w:cs="Georgia"/>
          <w:sz w:val="24"/>
          <w:szCs w:val="24"/>
        </w:rPr>
        <w:t xml:space="preserve"> strong theoretical basis in ‘the social’ as a distinct entity within which politics, economics, and culture take place. This implies that ‘social concerns’ should always take precedent over economic ones. It also challenges the EU and European countries to rethink what is meant by ‘social </w:t>
      </w:r>
      <w:proofErr w:type="gramStart"/>
      <w:r w:rsidRPr="6DFC17C8">
        <w:rPr>
          <w:rFonts w:ascii="Georgia" w:hAnsi="Georgia" w:eastAsia="Georgia" w:cs="Georgia"/>
          <w:sz w:val="24"/>
          <w:szCs w:val="24"/>
        </w:rPr>
        <w:t>progress’</w:t>
      </w:r>
      <w:proofErr w:type="gramEnd"/>
      <w:r w:rsidRPr="6DFC17C8">
        <w:rPr>
          <w:rFonts w:ascii="Georgia" w:hAnsi="Georgia" w:eastAsia="Georgia" w:cs="Georgia"/>
          <w:sz w:val="24"/>
          <w:szCs w:val="24"/>
        </w:rPr>
        <w:t xml:space="preserve">. By applying a social quality perspective </w:t>
      </w:r>
      <w:r w:rsidR="005E23E8">
        <w:rPr>
          <w:rFonts w:ascii="Georgia" w:hAnsi="Georgia" w:eastAsia="Georgia" w:cs="Georgia"/>
          <w:sz w:val="24"/>
          <w:szCs w:val="24"/>
        </w:rPr>
        <w:t>to</w:t>
      </w:r>
      <w:r w:rsidRPr="6DFC17C8">
        <w:rPr>
          <w:rFonts w:ascii="Georgia" w:hAnsi="Georgia" w:eastAsia="Georgia" w:cs="Georgia"/>
          <w:sz w:val="24"/>
          <w:szCs w:val="24"/>
        </w:rPr>
        <w:t xml:space="preserve"> the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referendum, we see that the campaigns took place between a technocratic neoliberal perspective on the one hand (</w:t>
      </w:r>
      <w:proofErr w:type="spellStart"/>
      <w:r w:rsidRPr="6DFC17C8">
        <w:rPr>
          <w:rFonts w:ascii="Georgia" w:hAnsi="Georgia" w:eastAsia="Georgia" w:cs="Georgia"/>
          <w:sz w:val="24"/>
          <w:szCs w:val="24"/>
        </w:rPr>
        <w:t>Remain’s</w:t>
      </w:r>
      <w:proofErr w:type="spellEnd"/>
      <w:r w:rsidRPr="6DFC17C8">
        <w:rPr>
          <w:rFonts w:ascii="Georgia" w:hAnsi="Georgia" w:eastAsia="Georgia" w:cs="Georgia"/>
          <w:sz w:val="24"/>
          <w:szCs w:val="24"/>
        </w:rPr>
        <w:t xml:space="preserve"> ‘project fear’), and a right-wing nationalist populist one on the other (Leave’s ‘take back control’). As Fraser (2017) has pointed out with regard to the US, neither of these offer solutions to the problems that the post-financial crisis world faces. </w:t>
      </w:r>
      <w:proofErr w:type="gramStart"/>
      <w:r w:rsidRPr="6DFC17C8">
        <w:rPr>
          <w:rFonts w:ascii="Georgia" w:hAnsi="Georgia" w:eastAsia="Georgia" w:cs="Georgia"/>
          <w:sz w:val="24"/>
          <w:szCs w:val="24"/>
        </w:rPr>
        <w:t xml:space="preserve">Instead, Corbett and Walker propose social quality as expressly opposed to the neoliberal imperative within the EU, and as a means to realise a more social Europe (not least to also recognise the migrant crisis on Europe’s borders, and promote social quality as a global concept), which encourages more sustained participatory democracy and meaningful participatory social policy, which should begin to address the roots of the anger and discontent manifested in the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vote.</w:t>
      </w:r>
      <w:proofErr w:type="gramEnd"/>
      <w:r w:rsidRPr="6DFC17C8">
        <w:rPr>
          <w:rFonts w:ascii="Georgia" w:hAnsi="Georgia" w:eastAsia="Georgia" w:cs="Georgia"/>
          <w:sz w:val="24"/>
          <w:szCs w:val="24"/>
        </w:rPr>
        <w:t xml:space="preserve"> The first steps towards this are set out in the </w:t>
      </w:r>
      <w:r w:rsidR="005E23E8">
        <w:rPr>
          <w:rFonts w:ascii="Georgia" w:hAnsi="Georgia" w:eastAsia="Georgia" w:cs="Georgia"/>
          <w:sz w:val="24"/>
          <w:szCs w:val="24"/>
        </w:rPr>
        <w:t>A</w:t>
      </w:r>
      <w:r w:rsidRPr="6DFC17C8">
        <w:rPr>
          <w:rFonts w:ascii="Georgia" w:hAnsi="Georgia" w:eastAsia="Georgia" w:cs="Georgia"/>
          <w:sz w:val="24"/>
          <w:szCs w:val="24"/>
        </w:rPr>
        <w:t xml:space="preserve">ppendix to this themed section, in a </w:t>
      </w:r>
      <w:r w:rsidR="005E23E8">
        <w:rPr>
          <w:rFonts w:ascii="Georgia" w:hAnsi="Georgia" w:eastAsia="Georgia" w:cs="Georgia"/>
          <w:sz w:val="24"/>
          <w:szCs w:val="24"/>
        </w:rPr>
        <w:t>revised version of the 1997 Amsterdam Declaration on the Social Quality of Europe, tailored for</w:t>
      </w:r>
      <w:r w:rsidRPr="6DFC17C8">
        <w:rPr>
          <w:rFonts w:ascii="Georgia" w:hAnsi="Georgia" w:eastAsia="Georgia" w:cs="Georgia"/>
          <w:sz w:val="24"/>
          <w:szCs w:val="24"/>
        </w:rPr>
        <w:t xml:space="preserve"> post-</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Europe.</w:t>
      </w:r>
    </w:p>
    <w:p w:rsidR="00A27DB0" w:rsidP="6DFC17C8" w:rsidRDefault="6DFC17C8" w14:paraId="70A7143A" w14:textId="33005277">
      <w:pPr>
        <w:spacing w:line="276" w:lineRule="auto"/>
        <w:ind w:firstLine="720"/>
        <w:jc w:val="both"/>
        <w:rPr>
          <w:rFonts w:ascii="Georgia" w:hAnsi="Georgia" w:eastAsia="Georgia" w:cs="Georgia"/>
          <w:sz w:val="24"/>
          <w:szCs w:val="24"/>
        </w:rPr>
      </w:pPr>
      <w:r w:rsidRPr="6DFC17C8">
        <w:rPr>
          <w:rFonts w:ascii="Georgia" w:hAnsi="Georgia" w:eastAsia="Georgia" w:cs="Georgia"/>
          <w:sz w:val="24"/>
          <w:szCs w:val="24"/>
        </w:rPr>
        <w:t xml:space="preserve">In the second article, Mary Daly analyses the possible future directions for EU-level social policy in relation to member states after the UK leaves, with reference the UK’s role in the development of the EU. </w:t>
      </w:r>
      <w:r w:rsidR="005E23E8">
        <w:rPr>
          <w:rFonts w:ascii="Georgia" w:hAnsi="Georgia" w:eastAsia="Georgia" w:cs="Georgia"/>
          <w:sz w:val="24"/>
          <w:szCs w:val="24"/>
        </w:rPr>
        <w:t>She</w:t>
      </w:r>
      <w:r w:rsidRPr="6DFC17C8">
        <w:rPr>
          <w:rFonts w:ascii="Georgia" w:hAnsi="Georgia" w:eastAsia="Georgia" w:cs="Georgia"/>
          <w:sz w:val="24"/>
          <w:szCs w:val="24"/>
        </w:rPr>
        <w:t xml:space="preserve"> draws on a three-part analytical </w:t>
      </w:r>
      <w:proofErr w:type="gramStart"/>
      <w:r w:rsidRPr="6DFC17C8">
        <w:rPr>
          <w:rFonts w:ascii="Georgia" w:hAnsi="Georgia" w:eastAsia="Georgia" w:cs="Georgia"/>
          <w:sz w:val="24"/>
          <w:szCs w:val="24"/>
        </w:rPr>
        <w:t>framework which</w:t>
      </w:r>
      <w:proofErr w:type="gramEnd"/>
      <w:r w:rsidRPr="6DFC17C8">
        <w:rPr>
          <w:rFonts w:ascii="Georgia" w:hAnsi="Georgia" w:eastAsia="Georgia" w:cs="Georgia"/>
          <w:sz w:val="24"/>
          <w:szCs w:val="24"/>
        </w:rPr>
        <w:t xml:space="preserve"> considers the primacy of economic concerns within the EU, the role of institutions and the agency of political actors, and recognises that welfare states have largely been seen as national level concerns</w:t>
      </w:r>
      <w:r w:rsidR="005C135C">
        <w:rPr>
          <w:rFonts w:ascii="Georgia" w:hAnsi="Georgia" w:eastAsia="Georgia" w:cs="Georgia"/>
          <w:sz w:val="24"/>
          <w:szCs w:val="24"/>
        </w:rPr>
        <w:t>.</w:t>
      </w:r>
      <w:r w:rsidRPr="6DFC17C8">
        <w:rPr>
          <w:rFonts w:ascii="Georgia" w:hAnsi="Georgia" w:eastAsia="Georgia" w:cs="Georgia"/>
          <w:sz w:val="24"/>
          <w:szCs w:val="24"/>
        </w:rPr>
        <w:t xml:space="preserve"> Like Corbett and Walker, Daly sees the ‘market-building' economistic imperative in the EU as dominant over the ‘market-correcting' or social policy dimension. This </w:t>
      </w:r>
      <w:proofErr w:type="gramStart"/>
      <w:r w:rsidRPr="6DFC17C8">
        <w:rPr>
          <w:rFonts w:ascii="Georgia" w:hAnsi="Georgia" w:eastAsia="Georgia" w:cs="Georgia"/>
          <w:sz w:val="24"/>
          <w:szCs w:val="24"/>
        </w:rPr>
        <w:t>is reflected</w:t>
      </w:r>
      <w:proofErr w:type="gramEnd"/>
      <w:r w:rsidRPr="6DFC17C8">
        <w:rPr>
          <w:rFonts w:ascii="Georgia" w:hAnsi="Georgia" w:eastAsia="Georgia" w:cs="Georgia"/>
          <w:sz w:val="24"/>
          <w:szCs w:val="24"/>
        </w:rPr>
        <w:t xml:space="preserve"> in Thatcher’s enthusiasm for building the common</w:t>
      </w:r>
      <w:r w:rsidR="005C135C">
        <w:rPr>
          <w:rFonts w:ascii="Georgia" w:hAnsi="Georgia" w:eastAsia="Georgia" w:cs="Georgia"/>
          <w:sz w:val="24"/>
          <w:szCs w:val="24"/>
        </w:rPr>
        <w:t xml:space="preserve"> market in the 1980s</w:t>
      </w:r>
      <w:r w:rsidRPr="6DFC17C8">
        <w:rPr>
          <w:rFonts w:ascii="Georgia" w:hAnsi="Georgia" w:eastAsia="Georgia" w:cs="Georgia"/>
          <w:sz w:val="24"/>
          <w:szCs w:val="24"/>
        </w:rPr>
        <w:t xml:space="preserve">, but with opposition to pooling political power within EU institutions, and especially, vehement ideological opposition to an active, interventionist social policy – the European social model. Indeed, this pro-market but anti-social policy </w:t>
      </w:r>
      <w:r w:rsidR="005E23E8">
        <w:rPr>
          <w:rFonts w:ascii="Georgia" w:hAnsi="Georgia" w:eastAsia="Georgia" w:cs="Georgia"/>
          <w:sz w:val="24"/>
          <w:szCs w:val="24"/>
        </w:rPr>
        <w:t>strategy</w:t>
      </w:r>
      <w:r w:rsidRPr="6DFC17C8">
        <w:rPr>
          <w:rFonts w:ascii="Georgia" w:hAnsi="Georgia" w:eastAsia="Georgia" w:cs="Georgia"/>
          <w:sz w:val="24"/>
          <w:szCs w:val="24"/>
        </w:rPr>
        <w:t xml:space="preserve"> has characterised </w:t>
      </w:r>
      <w:r w:rsidR="005E23E8">
        <w:rPr>
          <w:rFonts w:ascii="Georgia" w:hAnsi="Georgia" w:eastAsia="Georgia" w:cs="Georgia"/>
          <w:sz w:val="24"/>
          <w:szCs w:val="24"/>
        </w:rPr>
        <w:t xml:space="preserve">the approach of </w:t>
      </w:r>
      <w:r w:rsidRPr="6DFC17C8">
        <w:rPr>
          <w:rFonts w:ascii="Georgia" w:hAnsi="Georgia" w:eastAsia="Georgia" w:cs="Georgia"/>
          <w:sz w:val="24"/>
          <w:szCs w:val="24"/>
        </w:rPr>
        <w:t>successive British governments to the EU, including the supposedly social democratic ‘New Labour’ governments of Blair and Brown.</w:t>
      </w:r>
      <w:r w:rsidR="005C135C">
        <w:rPr>
          <w:rFonts w:ascii="Georgia" w:hAnsi="Georgia" w:eastAsia="Georgia" w:cs="Georgia"/>
          <w:sz w:val="24"/>
          <w:szCs w:val="24"/>
        </w:rPr>
        <w:t xml:space="preserve"> </w:t>
      </w:r>
      <w:r w:rsidRPr="6DFC17C8">
        <w:rPr>
          <w:rFonts w:ascii="Georgia" w:hAnsi="Georgia" w:eastAsia="Georgia" w:cs="Georgia"/>
          <w:sz w:val="24"/>
          <w:szCs w:val="24"/>
        </w:rPr>
        <w:t xml:space="preserve">It is interesting to note that the UK is set to leave, despite having been largely able to ‘have </w:t>
      </w:r>
      <w:proofErr w:type="spellStart"/>
      <w:r w:rsidRPr="6DFC17C8">
        <w:rPr>
          <w:rFonts w:ascii="Georgia" w:hAnsi="Georgia" w:eastAsia="Georgia" w:cs="Georgia"/>
          <w:sz w:val="24"/>
          <w:szCs w:val="24"/>
        </w:rPr>
        <w:t>it’s</w:t>
      </w:r>
      <w:proofErr w:type="spellEnd"/>
      <w:r w:rsidRPr="6DFC17C8">
        <w:rPr>
          <w:rFonts w:ascii="Georgia" w:hAnsi="Georgia" w:eastAsia="Georgia" w:cs="Georgia"/>
          <w:sz w:val="24"/>
          <w:szCs w:val="24"/>
        </w:rPr>
        <w:t xml:space="preserve"> cake and eat it’ in its time as a member of the EU, with the most </w:t>
      </w:r>
      <w:proofErr w:type="spellStart"/>
      <w:r w:rsidRPr="6DFC17C8">
        <w:rPr>
          <w:rFonts w:ascii="Georgia" w:hAnsi="Georgia" w:eastAsia="Georgia" w:cs="Georgia"/>
          <w:sz w:val="24"/>
          <w:szCs w:val="24"/>
        </w:rPr>
        <w:t>optouts</w:t>
      </w:r>
      <w:proofErr w:type="spellEnd"/>
      <w:r w:rsidRPr="6DFC17C8">
        <w:rPr>
          <w:rFonts w:ascii="Georgia" w:hAnsi="Georgia" w:eastAsia="Georgia" w:cs="Georgia"/>
          <w:sz w:val="24"/>
          <w:szCs w:val="24"/>
        </w:rPr>
        <w:t xml:space="preserve"> from legislation secured, minimising the social policy dimension, and promoting the neoliberal direction of EU policy. This shows the flexibility of the EU in being able to incorporate nation states with specific preferences (Denmark, Ireland, Poland, and Sweden are other cases in point). </w:t>
      </w:r>
      <w:r w:rsidRPr="6DFC17C8" w:rsidR="005C135C">
        <w:rPr>
          <w:rFonts w:ascii="Georgia" w:hAnsi="Georgia" w:eastAsia="Georgia" w:cs="Georgia"/>
          <w:sz w:val="24"/>
          <w:szCs w:val="24"/>
        </w:rPr>
        <w:t>Daly suggests a mix</w:t>
      </w:r>
      <w:r w:rsidR="005C135C">
        <w:rPr>
          <w:rFonts w:ascii="Georgia" w:hAnsi="Georgia" w:eastAsia="Georgia" w:cs="Georgia"/>
          <w:sz w:val="24"/>
          <w:szCs w:val="24"/>
        </w:rPr>
        <w:t>ed picture for post-</w:t>
      </w:r>
      <w:proofErr w:type="spellStart"/>
      <w:r w:rsidR="005C135C">
        <w:rPr>
          <w:rFonts w:ascii="Georgia" w:hAnsi="Georgia" w:eastAsia="Georgia" w:cs="Georgia"/>
          <w:sz w:val="24"/>
          <w:szCs w:val="24"/>
        </w:rPr>
        <w:t>Brexit</w:t>
      </w:r>
      <w:proofErr w:type="spellEnd"/>
      <w:r w:rsidR="005C135C">
        <w:rPr>
          <w:rFonts w:ascii="Georgia" w:hAnsi="Georgia" w:eastAsia="Georgia" w:cs="Georgia"/>
          <w:sz w:val="24"/>
          <w:szCs w:val="24"/>
        </w:rPr>
        <w:t xml:space="preserve"> </w:t>
      </w:r>
      <w:r w:rsidRPr="6DFC17C8" w:rsidR="005C135C">
        <w:rPr>
          <w:rFonts w:ascii="Georgia" w:hAnsi="Georgia" w:eastAsia="Georgia" w:cs="Georgia"/>
          <w:sz w:val="24"/>
          <w:szCs w:val="24"/>
        </w:rPr>
        <w:t>EU social policy, with several possible directions</w:t>
      </w:r>
      <w:r w:rsidR="005C135C">
        <w:rPr>
          <w:rFonts w:ascii="Georgia" w:hAnsi="Georgia" w:eastAsia="Georgia" w:cs="Georgia"/>
          <w:sz w:val="24"/>
          <w:szCs w:val="24"/>
        </w:rPr>
        <w:t xml:space="preserve">. </w:t>
      </w:r>
      <w:r w:rsidRPr="6DFC17C8">
        <w:rPr>
          <w:rFonts w:ascii="Georgia" w:hAnsi="Georgia" w:eastAsia="Georgia" w:cs="Georgia"/>
          <w:sz w:val="24"/>
          <w:szCs w:val="24"/>
        </w:rPr>
        <w:t xml:space="preserve">While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may allow for a more ‘social Europe’ direction with a key obstacle to this imperative removed from the Union, for Daly, there appears to be an acceptance of a lack of political will for deepening EU-level social policy, with much more diverse interrelations and </w:t>
      </w:r>
      <w:r w:rsidRPr="6DFC17C8">
        <w:rPr>
          <w:rFonts w:ascii="Georgia" w:hAnsi="Georgia" w:eastAsia="Georgia" w:cs="Georgia"/>
          <w:sz w:val="24"/>
          <w:szCs w:val="24"/>
        </w:rPr>
        <w:lastRenderedPageBreak/>
        <w:t>‘muddling through’ between integrating and dis-integrating countries, and further differentiation across the EU-27.</w:t>
      </w:r>
    </w:p>
    <w:p w:rsidR="5B8CDCEB" w:rsidP="5B8CDCEB" w:rsidRDefault="5B8CDCEB" w14:paraId="3FC66FAA" w14:textId="6523793D">
      <w:pPr>
        <w:spacing w:line="276" w:lineRule="auto"/>
        <w:ind w:firstLine="720"/>
        <w:jc w:val="both"/>
        <w:rPr>
          <w:rFonts w:ascii="Georgia" w:hAnsi="Georgia" w:eastAsia="Georgia" w:cs="Georgia"/>
          <w:sz w:val="24"/>
          <w:szCs w:val="24"/>
        </w:rPr>
      </w:pPr>
      <w:r w:rsidRPr="5B8CDCEB">
        <w:rPr>
          <w:rFonts w:ascii="Georgia" w:hAnsi="Georgia" w:eastAsia="Georgia" w:cs="Georgia"/>
          <w:sz w:val="24"/>
          <w:szCs w:val="24"/>
        </w:rPr>
        <w:t>The third article</w:t>
      </w:r>
      <w:r w:rsidR="005E23E8">
        <w:rPr>
          <w:rFonts w:ascii="Georgia" w:hAnsi="Georgia" w:eastAsia="Georgia" w:cs="Georgia"/>
          <w:sz w:val="24"/>
          <w:szCs w:val="24"/>
        </w:rPr>
        <w:t>,</w:t>
      </w:r>
      <w:r w:rsidRPr="5B8CDCEB">
        <w:rPr>
          <w:rFonts w:ascii="Georgia" w:hAnsi="Georgia" w:eastAsia="Georgia" w:cs="Georgia"/>
          <w:sz w:val="24"/>
          <w:szCs w:val="24"/>
        </w:rPr>
        <w:t xml:space="preserve"> by Julia Lux</w:t>
      </w:r>
      <w:r w:rsidR="005E23E8">
        <w:rPr>
          <w:rFonts w:ascii="Georgia" w:hAnsi="Georgia" w:eastAsia="Georgia" w:cs="Georgia"/>
          <w:sz w:val="24"/>
          <w:szCs w:val="24"/>
        </w:rPr>
        <w:t>,</w:t>
      </w:r>
      <w:r w:rsidRPr="5B8CDCEB">
        <w:rPr>
          <w:rFonts w:ascii="Georgia" w:hAnsi="Georgia" w:eastAsia="Georgia" w:cs="Georgia"/>
          <w:sz w:val="24"/>
          <w:szCs w:val="24"/>
        </w:rPr>
        <w:t xml:space="preserve"> applies discourse theory to the contention that the EU’s technocratic and neoliberal approach to economic and social policy has invoked a crisis for both representative democracy and the legitimacy of EU institutions (in particular after the 2008 financial crisis and Eurozone crisis). For Lux, the de-politicisation of European integration – a form of defusing dissent and contestation – combined with the limits to liberal democracy have produce</w:t>
      </w:r>
      <w:r w:rsidR="005C135C">
        <w:rPr>
          <w:rFonts w:ascii="Georgia" w:hAnsi="Georgia" w:eastAsia="Georgia" w:cs="Georgia"/>
          <w:sz w:val="24"/>
          <w:szCs w:val="24"/>
        </w:rPr>
        <w:t xml:space="preserve">d </w:t>
      </w:r>
      <w:r w:rsidRPr="5B8CDCEB">
        <w:rPr>
          <w:rFonts w:ascii="Georgia" w:hAnsi="Georgia" w:eastAsia="Georgia" w:cs="Georgia"/>
          <w:sz w:val="24"/>
          <w:szCs w:val="24"/>
        </w:rPr>
        <w:t>disinterest</w:t>
      </w:r>
      <w:r w:rsidR="005C135C">
        <w:rPr>
          <w:rFonts w:ascii="Georgia" w:hAnsi="Georgia" w:eastAsia="Georgia" w:cs="Georgia"/>
          <w:sz w:val="24"/>
          <w:szCs w:val="24"/>
        </w:rPr>
        <w:t>ed</w:t>
      </w:r>
      <w:r w:rsidRPr="5B8CDCEB">
        <w:rPr>
          <w:rFonts w:ascii="Georgia" w:hAnsi="Georgia" w:eastAsia="Georgia" w:cs="Georgia"/>
          <w:sz w:val="24"/>
          <w:szCs w:val="24"/>
        </w:rPr>
        <w:t xml:space="preserve">, elite-led EU institutions. This period of ‘new economic governance’ is characterised by a technocratic neoliberal approach that opposes the social policy concerns of ‘social Europe’ by directly weakening unions and workers’ wages, and maintains the focus on fiscal consolidation over societal problems such as poverty and inequality. In this </w:t>
      </w:r>
      <w:proofErr w:type="gramStart"/>
      <w:r w:rsidRPr="5B8CDCEB">
        <w:rPr>
          <w:rFonts w:ascii="Georgia" w:hAnsi="Georgia" w:eastAsia="Georgia" w:cs="Georgia"/>
          <w:sz w:val="24"/>
          <w:szCs w:val="24"/>
        </w:rPr>
        <w:t>context</w:t>
      </w:r>
      <w:proofErr w:type="gramEnd"/>
      <w:r w:rsidR="005E23E8">
        <w:rPr>
          <w:rFonts w:ascii="Georgia" w:hAnsi="Georgia" w:eastAsia="Georgia" w:cs="Georgia"/>
          <w:sz w:val="24"/>
          <w:szCs w:val="24"/>
        </w:rPr>
        <w:t xml:space="preserve"> </w:t>
      </w:r>
      <w:r w:rsidRPr="5B8CDCEB">
        <w:rPr>
          <w:rFonts w:ascii="Georgia" w:hAnsi="Georgia" w:eastAsia="Georgia" w:cs="Georgia"/>
          <w:sz w:val="24"/>
          <w:szCs w:val="24"/>
        </w:rPr>
        <w:t>Lux argues that</w:t>
      </w:r>
      <w:r w:rsidR="005E23E8">
        <w:rPr>
          <w:rFonts w:ascii="Georgia" w:hAnsi="Georgia" w:eastAsia="Georgia" w:cs="Georgia"/>
          <w:sz w:val="24"/>
          <w:szCs w:val="24"/>
        </w:rPr>
        <w:t>, in France,</w:t>
      </w:r>
      <w:r w:rsidRPr="5B8CDCEB">
        <w:rPr>
          <w:rFonts w:ascii="Georgia" w:hAnsi="Georgia" w:eastAsia="Georgia" w:cs="Georgia"/>
          <w:sz w:val="24"/>
          <w:szCs w:val="24"/>
        </w:rPr>
        <w:t xml:space="preserve"> this has opened up space for the far-right Front National to articulate a form of populist politics that seeks to colonise traditionally left-wing issues of socio-economic security, anti-poverty strategies, and housing</w:t>
      </w:r>
      <w:r w:rsidR="005C135C">
        <w:rPr>
          <w:rFonts w:ascii="Georgia" w:hAnsi="Georgia" w:eastAsia="Georgia" w:cs="Georgia"/>
          <w:sz w:val="24"/>
          <w:szCs w:val="24"/>
        </w:rPr>
        <w:t xml:space="preserve"> provision</w:t>
      </w:r>
      <w:r w:rsidRPr="5B8CDCEB">
        <w:rPr>
          <w:rFonts w:ascii="Georgia" w:hAnsi="Georgia" w:eastAsia="Georgia" w:cs="Georgia"/>
          <w:sz w:val="24"/>
          <w:szCs w:val="24"/>
        </w:rPr>
        <w:t xml:space="preserve">, albeit with nationalist protectionist and racist solutions. In order to usefully counter the rise of the </w:t>
      </w:r>
      <w:proofErr w:type="gramStart"/>
      <w:r w:rsidRPr="5B8CDCEB">
        <w:rPr>
          <w:rFonts w:ascii="Georgia" w:hAnsi="Georgia" w:eastAsia="Georgia" w:cs="Georgia"/>
          <w:sz w:val="24"/>
          <w:szCs w:val="24"/>
        </w:rPr>
        <w:t>far-right</w:t>
      </w:r>
      <w:proofErr w:type="gramEnd"/>
      <w:r w:rsidRPr="5B8CDCEB">
        <w:rPr>
          <w:rFonts w:ascii="Georgia" w:hAnsi="Georgia" w:eastAsia="Georgia" w:cs="Georgia"/>
          <w:sz w:val="24"/>
          <w:szCs w:val="24"/>
        </w:rPr>
        <w:t>, Lux argues</w:t>
      </w:r>
      <w:r w:rsidR="005E23E8">
        <w:rPr>
          <w:rFonts w:ascii="Georgia" w:hAnsi="Georgia" w:eastAsia="Georgia" w:cs="Georgia"/>
          <w:sz w:val="24"/>
          <w:szCs w:val="24"/>
        </w:rPr>
        <w:t xml:space="preserve"> for</w:t>
      </w:r>
      <w:r w:rsidRPr="5B8CDCEB">
        <w:rPr>
          <w:rFonts w:ascii="Georgia" w:hAnsi="Georgia" w:eastAsia="Georgia" w:cs="Georgia"/>
          <w:sz w:val="24"/>
          <w:szCs w:val="24"/>
        </w:rPr>
        <w:t xml:space="preserve"> a transformation within EU institutions towards more participatory and deliberative processes that enhance the quality of democracy.</w:t>
      </w:r>
    </w:p>
    <w:p w:rsidR="004903FD" w:rsidP="59556787" w:rsidRDefault="6DFC17C8" w14:paraId="62280070" w14:textId="60072EF4">
      <w:pPr>
        <w:spacing w:line="276" w:lineRule="auto"/>
        <w:ind w:firstLine="720"/>
        <w:jc w:val="both"/>
        <w:rPr>
          <w:rFonts w:ascii="Georgia" w:hAnsi="Georgia" w:eastAsia="Georgia" w:cs="Georgia"/>
          <w:sz w:val="24"/>
          <w:szCs w:val="24"/>
        </w:rPr>
      </w:pPr>
      <w:r w:rsidRPr="59556787" w:rsidR="59556787">
        <w:rPr>
          <w:rFonts w:ascii="Georgia" w:hAnsi="Georgia" w:eastAsia="Georgia" w:cs="Georgia"/>
          <w:sz w:val="24"/>
          <w:szCs w:val="24"/>
        </w:rPr>
        <w:t xml:space="preserve">Next, Jasna </w:t>
      </w:r>
      <w:proofErr w:type="spellStart"/>
      <w:r w:rsidRPr="59556787" w:rsidR="59556787">
        <w:rPr>
          <w:rFonts w:ascii="Georgia" w:hAnsi="Georgia" w:eastAsia="Georgia" w:cs="Georgia"/>
          <w:sz w:val="24"/>
          <w:szCs w:val="24"/>
        </w:rPr>
        <w:t>Balorda</w:t>
      </w:r>
      <w:proofErr w:type="spellEnd"/>
      <w:r w:rsidRPr="59556787" w:rsidR="59556787">
        <w:rPr>
          <w:rFonts w:ascii="Georgia" w:hAnsi="Georgia" w:eastAsia="Georgia" w:cs="Georgia"/>
          <w:sz w:val="24"/>
          <w:szCs w:val="24"/>
        </w:rPr>
        <w:t xml:space="preserve"> assesses how the neoliberal transformation of the Danish welfare state has provided the conditions for the rise of the far-right Danish People’s Party </w:t>
      </w:r>
      <w:r w:rsidRPr="59556787" w:rsidR="59556787">
        <w:rPr>
          <w:rFonts w:ascii="Georgia" w:hAnsi="Georgia" w:eastAsia="Georgia" w:cs="Georgia"/>
          <w:sz w:val="24"/>
          <w:szCs w:val="24"/>
        </w:rPr>
        <w:t xml:space="preserve">(DPP) </w:t>
      </w:r>
      <w:r w:rsidRPr="59556787" w:rsidR="59556787">
        <w:rPr>
          <w:rFonts w:ascii="Georgia" w:hAnsi="Georgia" w:eastAsia="Georgia" w:cs="Georgia"/>
          <w:sz w:val="24"/>
          <w:szCs w:val="24"/>
        </w:rPr>
        <w:t xml:space="preserve">in the current period of post-financial crisis turbulence. Again, in this country we see the market imperative coming to dominate over societal concerns, which has produced a vacuum that is increasingly filled by nationalist populists and fascists. In place of Denmark’s widely-viewed reputation as a highly successful social democracy, a more mixed picture emerges of contestation, rupture and change. The previously strong levels of decommodification, universal provision and solidarity in the Danish welfare state have been in decline since the 1980s. The weakening of organised labour, along with shifts towards global production processes, and </w:t>
      </w:r>
      <w:proofErr w:type="spellStart"/>
      <w:r w:rsidRPr="59556787" w:rsidR="59556787">
        <w:rPr>
          <w:rFonts w:ascii="Georgia" w:hAnsi="Georgia" w:eastAsia="Georgia" w:cs="Georgia"/>
          <w:sz w:val="24"/>
          <w:szCs w:val="24"/>
        </w:rPr>
        <w:t>financialisation</w:t>
      </w:r>
      <w:proofErr w:type="spellEnd"/>
      <w:r w:rsidRPr="59556787" w:rsidR="59556787">
        <w:rPr>
          <w:rFonts w:ascii="Georgia" w:hAnsi="Georgia" w:eastAsia="Georgia" w:cs="Georgia"/>
          <w:sz w:val="24"/>
          <w:szCs w:val="24"/>
        </w:rPr>
        <w:t xml:space="preserve"> of the economy, have undermined </w:t>
      </w:r>
      <w:proofErr w:type="spellStart"/>
      <w:r w:rsidRPr="59556787" w:rsidR="59556787">
        <w:rPr>
          <w:rFonts w:ascii="Georgia" w:hAnsi="Georgia" w:eastAsia="Georgia" w:cs="Georgia"/>
          <w:sz w:val="24"/>
          <w:szCs w:val="24"/>
        </w:rPr>
        <w:t>solidaristic</w:t>
      </w:r>
      <w:proofErr w:type="spellEnd"/>
      <w:r w:rsidRPr="59556787" w:rsidR="59556787">
        <w:rPr>
          <w:rFonts w:ascii="Georgia" w:hAnsi="Georgia" w:eastAsia="Georgia" w:cs="Georgia"/>
          <w:sz w:val="24"/>
          <w:szCs w:val="24"/>
        </w:rPr>
        <w:t xml:space="preserve"> values and promoted in their place neoliberal ones. In fact, the strongly social democratic commitment to public ownership of industry has enabled a more rapid and societally damaging process of </w:t>
      </w:r>
      <w:proofErr w:type="spellStart"/>
      <w:r w:rsidRPr="59556787" w:rsidR="59556787">
        <w:rPr>
          <w:rFonts w:ascii="Georgia" w:hAnsi="Georgia" w:eastAsia="Georgia" w:cs="Georgia"/>
          <w:sz w:val="24"/>
          <w:szCs w:val="24"/>
        </w:rPr>
        <w:t>neoliberalisation</w:t>
      </w:r>
      <w:proofErr w:type="spellEnd"/>
      <w:r w:rsidRPr="59556787" w:rsidR="59556787">
        <w:rPr>
          <w:rFonts w:ascii="Georgia" w:hAnsi="Georgia" w:eastAsia="Georgia" w:cs="Georgia"/>
          <w:sz w:val="24"/>
          <w:szCs w:val="24"/>
        </w:rPr>
        <w:t xml:space="preserve"> (including under the rubric of EU </w:t>
      </w:r>
      <w:proofErr w:type="spellStart"/>
      <w:r w:rsidRPr="59556787" w:rsidR="59556787">
        <w:rPr>
          <w:rFonts w:ascii="Georgia" w:hAnsi="Georgia" w:eastAsia="Georgia" w:cs="Georgia"/>
          <w:sz w:val="24"/>
          <w:szCs w:val="24"/>
        </w:rPr>
        <w:t>neoliberalisation</w:t>
      </w:r>
      <w:proofErr w:type="spellEnd"/>
      <w:r w:rsidRPr="59556787" w:rsidR="59556787">
        <w:rPr>
          <w:rFonts w:ascii="Georgia" w:hAnsi="Georgia" w:eastAsia="Georgia" w:cs="Georgia"/>
          <w:sz w:val="24"/>
          <w:szCs w:val="24"/>
        </w:rPr>
        <w:t>) as these monopolies have been broken up and sold to overseas investors, with the travails of utility company DONG as a case in point. The adoption of neoliberalism by mainstream political parties of the left and right, as in France, has opened up space for the fascist and populist far-right to use the previously social democratic territory of social welfare to push their political agendas. In Denmark, the DPP has adopted a position of ‘protecting’ the social democratic welfare state in the interests of the working class, who are experiencing precarity, insecurity and declining wages (while paradoxically not being averse to supporting neoliberal reforms in government). However, for the DPP this has been framed as a problem of immigration (in particular, Muslims) and decline in ‘</w:t>
      </w:r>
      <w:proofErr w:type="spellStart"/>
      <w:r w:rsidRPr="59556787" w:rsidR="59556787">
        <w:rPr>
          <w:rFonts w:ascii="Georgia" w:hAnsi="Georgia" w:eastAsia="Georgia" w:cs="Georgia"/>
          <w:sz w:val="24"/>
          <w:szCs w:val="24"/>
        </w:rPr>
        <w:t>Danishness</w:t>
      </w:r>
      <w:proofErr w:type="spellEnd"/>
      <w:r w:rsidRPr="59556787" w:rsidR="59556787">
        <w:rPr>
          <w:rFonts w:ascii="Georgia" w:hAnsi="Georgia" w:eastAsia="Georgia" w:cs="Georgia"/>
          <w:sz w:val="24"/>
          <w:szCs w:val="24"/>
        </w:rPr>
        <w:t xml:space="preserve">’, along with ‘socially liberal’ economic elites in finance. As </w:t>
      </w:r>
      <w:proofErr w:type="spellStart"/>
      <w:r w:rsidRPr="59556787" w:rsidR="59556787">
        <w:rPr>
          <w:rFonts w:ascii="Georgia" w:hAnsi="Georgia" w:eastAsia="Georgia" w:cs="Georgia"/>
          <w:sz w:val="24"/>
          <w:szCs w:val="24"/>
        </w:rPr>
        <w:t>Balorda</w:t>
      </w:r>
      <w:proofErr w:type="spellEnd"/>
      <w:r w:rsidRPr="59556787" w:rsidR="59556787">
        <w:rPr>
          <w:rFonts w:ascii="Georgia" w:hAnsi="Georgia" w:eastAsia="Georgia" w:cs="Georgia"/>
          <w:sz w:val="24"/>
          <w:szCs w:val="24"/>
        </w:rPr>
        <w:t xml:space="preserve"> argues, this populist strategy places fascist politics as something closer to state capitalism, opposed both to neoliberal </w:t>
      </w:r>
      <w:proofErr w:type="spellStart"/>
      <w:r w:rsidRPr="59556787" w:rsidR="59556787">
        <w:rPr>
          <w:rFonts w:ascii="Georgia" w:hAnsi="Georgia" w:eastAsia="Georgia" w:cs="Georgia"/>
          <w:sz w:val="24"/>
          <w:szCs w:val="24"/>
        </w:rPr>
        <w:t>financialisation</w:t>
      </w:r>
      <w:proofErr w:type="spellEnd"/>
      <w:r w:rsidRPr="59556787" w:rsidR="59556787">
        <w:rPr>
          <w:rFonts w:ascii="Georgia" w:hAnsi="Georgia" w:eastAsia="Georgia" w:cs="Georgia"/>
          <w:sz w:val="24"/>
          <w:szCs w:val="24"/>
        </w:rPr>
        <w:t xml:space="preserve"> and the EU. Without a significant left-wing approach that is distinguished from neoliberalism, this strategy offers a troubling alternative to the disenfranchised. </w:t>
      </w:r>
    </w:p>
    <w:p w:rsidR="004903FD" w:rsidP="6DFC17C8" w:rsidRDefault="6DFC17C8" w14:paraId="20A2D418" w14:textId="0FDFE36F">
      <w:pPr>
        <w:spacing w:line="276" w:lineRule="auto"/>
        <w:ind w:firstLine="720"/>
        <w:jc w:val="both"/>
        <w:rPr>
          <w:rFonts w:ascii="Georgia" w:hAnsi="Georgia" w:eastAsia="Georgia" w:cs="Georgia"/>
          <w:sz w:val="24"/>
          <w:szCs w:val="24"/>
        </w:rPr>
      </w:pPr>
      <w:r w:rsidRPr="6DFC17C8">
        <w:rPr>
          <w:rFonts w:ascii="Georgia" w:hAnsi="Georgia" w:eastAsia="Georgia" w:cs="Georgia"/>
          <w:sz w:val="24"/>
          <w:szCs w:val="24"/>
        </w:rPr>
        <w:t xml:space="preserve">The final </w:t>
      </w:r>
      <w:r w:rsidRPr="6DFC17C8" w:rsidR="005E23E8">
        <w:rPr>
          <w:rFonts w:ascii="Georgia" w:hAnsi="Georgia" w:eastAsia="Georgia" w:cs="Georgia"/>
          <w:sz w:val="24"/>
          <w:szCs w:val="24"/>
        </w:rPr>
        <w:t>article</w:t>
      </w:r>
      <w:r w:rsidR="005E23E8">
        <w:rPr>
          <w:rFonts w:ascii="Georgia" w:hAnsi="Georgia" w:eastAsia="Georgia" w:cs="Georgia"/>
          <w:sz w:val="24"/>
          <w:szCs w:val="24"/>
        </w:rPr>
        <w:t xml:space="preserve">, </w:t>
      </w:r>
      <w:r w:rsidRPr="6DFC17C8">
        <w:rPr>
          <w:rFonts w:ascii="Georgia" w:hAnsi="Georgia" w:eastAsia="Georgia" w:cs="Georgia"/>
          <w:sz w:val="24"/>
          <w:szCs w:val="24"/>
        </w:rPr>
        <w:t xml:space="preserve">by Armine </w:t>
      </w:r>
      <w:proofErr w:type="spellStart"/>
      <w:r w:rsidRPr="6DFC17C8">
        <w:rPr>
          <w:rFonts w:ascii="Georgia" w:hAnsi="Georgia" w:eastAsia="Georgia" w:cs="Georgia"/>
          <w:sz w:val="24"/>
          <w:szCs w:val="24"/>
        </w:rPr>
        <w:t>Ishkanian</w:t>
      </w:r>
      <w:proofErr w:type="spellEnd"/>
      <w:r w:rsidR="005E23E8">
        <w:rPr>
          <w:rFonts w:ascii="Georgia" w:hAnsi="Georgia" w:eastAsia="Georgia" w:cs="Georgia"/>
          <w:sz w:val="24"/>
          <w:szCs w:val="24"/>
        </w:rPr>
        <w:t>,</w:t>
      </w:r>
      <w:r w:rsidRPr="6DFC17C8">
        <w:rPr>
          <w:rFonts w:ascii="Georgia" w:hAnsi="Georgia" w:eastAsia="Georgia" w:cs="Georgia"/>
          <w:sz w:val="24"/>
          <w:szCs w:val="24"/>
        </w:rPr>
        <w:t xml:space="preserve"> draws on research into left-wing social movements in the UK following the Occupy protests in order to make some sense of the contrasting perspectives on Remain and Leave in the context of the 2008 financial crisis and ensuing austerity policies. For </w:t>
      </w:r>
      <w:proofErr w:type="spellStart"/>
      <w:r w:rsidRPr="6DFC17C8">
        <w:rPr>
          <w:rFonts w:ascii="Georgia" w:hAnsi="Georgia" w:eastAsia="Georgia" w:cs="Georgia"/>
          <w:sz w:val="24"/>
          <w:szCs w:val="24"/>
        </w:rPr>
        <w:t>Ishkanian</w:t>
      </w:r>
      <w:proofErr w:type="spellEnd"/>
      <w:r w:rsidRPr="6DFC17C8">
        <w:rPr>
          <w:rFonts w:ascii="Georgia" w:hAnsi="Georgia" w:eastAsia="Georgia" w:cs="Georgia"/>
          <w:sz w:val="24"/>
          <w:szCs w:val="24"/>
        </w:rPr>
        <w:t>, the tendency to stereotype Remain and Leave voters (especially</w:t>
      </w:r>
      <w:r w:rsidR="005E23E8">
        <w:rPr>
          <w:rFonts w:ascii="Georgia" w:hAnsi="Georgia" w:eastAsia="Georgia" w:cs="Georgia"/>
          <w:sz w:val="24"/>
          <w:szCs w:val="24"/>
        </w:rPr>
        <w:t xml:space="preserve"> by the</w:t>
      </w:r>
      <w:r w:rsidRPr="6DFC17C8">
        <w:rPr>
          <w:rFonts w:ascii="Georgia" w:hAnsi="Georgia" w:eastAsia="Georgia" w:cs="Georgia"/>
          <w:sz w:val="24"/>
          <w:szCs w:val="24"/>
        </w:rPr>
        <w:t xml:space="preserve"> media) is highly problematic, especially the notion of the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voting ‘left behind’ as the ‘losers’ </w:t>
      </w:r>
      <w:r w:rsidR="005E23E8">
        <w:rPr>
          <w:rFonts w:ascii="Georgia" w:hAnsi="Georgia" w:eastAsia="Georgia" w:cs="Georgia"/>
          <w:sz w:val="24"/>
          <w:szCs w:val="24"/>
        </w:rPr>
        <w:t>from</w:t>
      </w:r>
      <w:r w:rsidRPr="6DFC17C8">
        <w:rPr>
          <w:rFonts w:ascii="Georgia" w:hAnsi="Georgia" w:eastAsia="Georgia" w:cs="Georgia"/>
          <w:sz w:val="24"/>
          <w:szCs w:val="24"/>
        </w:rPr>
        <w:t xml:space="preserve"> neoliberal globalisation, and does little </w:t>
      </w:r>
      <w:r w:rsidR="00A14EC5">
        <w:rPr>
          <w:rFonts w:ascii="Georgia" w:hAnsi="Georgia" w:eastAsia="Georgia" w:cs="Georgia"/>
          <w:sz w:val="24"/>
          <w:szCs w:val="24"/>
        </w:rPr>
        <w:t>to</w:t>
      </w:r>
      <w:r w:rsidRPr="6DFC17C8">
        <w:rPr>
          <w:rFonts w:ascii="Georgia" w:hAnsi="Georgia" w:eastAsia="Georgia" w:cs="Georgia"/>
          <w:sz w:val="24"/>
          <w:szCs w:val="24"/>
        </w:rPr>
        <w:t xml:space="preserve"> explain the trajectories and grievances that led to the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vote and the consequences of it. Instead, the preference for and against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can be drawn from all sides of the political spectrum, across different age groups, from business, and through the lens of social class. Both the political and economic systems of rich countries were the target of the wave of global protests in the early-2010s, and deepening inequality, poverty, and decline in democracy are cited as fuel for these protests. While participants in left-leaning social movements are not representative of the country as a whole, </w:t>
      </w:r>
      <w:proofErr w:type="spellStart"/>
      <w:r w:rsidRPr="6DFC17C8">
        <w:rPr>
          <w:rFonts w:ascii="Georgia" w:hAnsi="Georgia" w:eastAsia="Georgia" w:cs="Georgia"/>
          <w:sz w:val="24"/>
          <w:szCs w:val="24"/>
        </w:rPr>
        <w:t>Ishkanian’s</w:t>
      </w:r>
      <w:proofErr w:type="spellEnd"/>
      <w:r w:rsidRPr="6DFC17C8">
        <w:rPr>
          <w:rFonts w:ascii="Georgia" w:hAnsi="Georgia" w:eastAsia="Georgia" w:cs="Georgia"/>
          <w:sz w:val="24"/>
          <w:szCs w:val="24"/>
        </w:rPr>
        <w:t xml:space="preserve"> research participants identify the lure of right-wing nationalism for those who feel disenfranchised in UK society. </w:t>
      </w:r>
      <w:r w:rsidR="00A14EC5">
        <w:rPr>
          <w:rFonts w:ascii="Georgia" w:hAnsi="Georgia" w:eastAsia="Georgia" w:cs="Georgia"/>
          <w:sz w:val="24"/>
          <w:szCs w:val="24"/>
        </w:rPr>
        <w:t>B</w:t>
      </w:r>
      <w:r w:rsidRPr="6DFC17C8">
        <w:rPr>
          <w:rFonts w:ascii="Georgia" w:hAnsi="Georgia" w:eastAsia="Georgia" w:cs="Georgia"/>
          <w:sz w:val="24"/>
          <w:szCs w:val="24"/>
        </w:rPr>
        <w:t xml:space="preserve">y the 2016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referendum, this anger had become colonised by right-wing nationalist populists, and more alarmingly, fascists. </w:t>
      </w:r>
      <w:proofErr w:type="gramStart"/>
      <w:r w:rsidRPr="6DFC17C8">
        <w:rPr>
          <w:rFonts w:ascii="Georgia" w:hAnsi="Georgia" w:eastAsia="Georgia" w:cs="Georgia"/>
          <w:sz w:val="24"/>
          <w:szCs w:val="24"/>
        </w:rPr>
        <w:t>But</w:t>
      </w:r>
      <w:proofErr w:type="gramEnd"/>
      <w:r w:rsidRPr="6DFC17C8">
        <w:rPr>
          <w:rFonts w:ascii="Georgia" w:hAnsi="Georgia" w:eastAsia="Georgia" w:cs="Georgia"/>
          <w:sz w:val="24"/>
          <w:szCs w:val="24"/>
        </w:rPr>
        <w:t xml:space="preserve"> the point remains that, without a concerted social policy response, the continuing path of ‘market is all’ neoliberalism or nationalist populist protectionism remain dangerous threats in this ‘interregnum’ period after the financial crisis.</w:t>
      </w:r>
    </w:p>
    <w:p w:rsidR="00A27DB0" w:rsidP="6DFC17C8" w:rsidRDefault="6DFC17C8" w14:paraId="0D0B940D" w14:textId="0BD9F6FF">
      <w:pPr>
        <w:spacing w:line="276" w:lineRule="auto"/>
        <w:ind w:firstLine="720"/>
        <w:jc w:val="both"/>
        <w:rPr>
          <w:rFonts w:ascii="Georgia" w:hAnsi="Georgia" w:eastAsia="Georgia" w:cs="Georgia"/>
          <w:sz w:val="24"/>
          <w:szCs w:val="24"/>
        </w:rPr>
      </w:pPr>
      <w:r w:rsidRPr="6DFC17C8">
        <w:rPr>
          <w:rFonts w:ascii="Georgia" w:hAnsi="Georgia" w:eastAsia="Georgia" w:cs="Georgia"/>
          <w:sz w:val="24"/>
          <w:szCs w:val="24"/>
        </w:rPr>
        <w:t xml:space="preserve">This is the tragedy of the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vote, that a Referendum </w:t>
      </w:r>
      <w:r w:rsidR="00A14EC5">
        <w:rPr>
          <w:rFonts w:ascii="Georgia" w:hAnsi="Georgia" w:eastAsia="Georgia" w:cs="Georgia"/>
          <w:sz w:val="24"/>
          <w:szCs w:val="24"/>
        </w:rPr>
        <w:t>intended to silence</w:t>
      </w:r>
      <w:r w:rsidRPr="6DFC17C8">
        <w:rPr>
          <w:rFonts w:ascii="Georgia" w:hAnsi="Georgia" w:eastAsia="Georgia" w:cs="Georgia"/>
          <w:sz w:val="24"/>
          <w:szCs w:val="24"/>
        </w:rPr>
        <w:t xml:space="preserve"> competing factions of the governing Conservative party has unleashed a great deal of anger and sense of injustice from </w:t>
      </w:r>
      <w:r w:rsidR="00A14EC5">
        <w:rPr>
          <w:rFonts w:ascii="Georgia" w:hAnsi="Georgia" w:eastAsia="Georgia" w:cs="Georgia"/>
          <w:sz w:val="24"/>
          <w:szCs w:val="24"/>
        </w:rPr>
        <w:t>many quarters</w:t>
      </w:r>
      <w:r w:rsidRPr="6DFC17C8">
        <w:rPr>
          <w:rFonts w:ascii="Georgia" w:hAnsi="Georgia" w:eastAsia="Georgia" w:cs="Georgia"/>
          <w:sz w:val="24"/>
          <w:szCs w:val="24"/>
        </w:rPr>
        <w:t xml:space="preserve"> about British society and the </w:t>
      </w:r>
      <w:r w:rsidR="00A14EC5">
        <w:rPr>
          <w:rFonts w:ascii="Georgia" w:hAnsi="Georgia" w:eastAsia="Georgia" w:cs="Georgia"/>
          <w:sz w:val="24"/>
          <w:szCs w:val="24"/>
        </w:rPr>
        <w:t xml:space="preserve">(largely mythical) </w:t>
      </w:r>
      <w:r w:rsidRPr="6DFC17C8">
        <w:rPr>
          <w:rFonts w:ascii="Georgia" w:hAnsi="Georgia" w:eastAsia="Georgia" w:cs="Georgia"/>
          <w:sz w:val="24"/>
          <w:szCs w:val="24"/>
        </w:rPr>
        <w:t>role that the EU plays</w:t>
      </w:r>
      <w:r w:rsidR="00A14EC5">
        <w:rPr>
          <w:rFonts w:ascii="Georgia" w:hAnsi="Georgia" w:eastAsia="Georgia" w:cs="Georgia"/>
          <w:sz w:val="24"/>
          <w:szCs w:val="24"/>
        </w:rPr>
        <w:t xml:space="preserve"> in it</w:t>
      </w:r>
      <w:r w:rsidRPr="6DFC17C8">
        <w:rPr>
          <w:rFonts w:ascii="Georgia" w:hAnsi="Georgia" w:eastAsia="Georgia" w:cs="Georgia"/>
          <w:sz w:val="24"/>
          <w:szCs w:val="24"/>
        </w:rPr>
        <w:t xml:space="preserve">. </w:t>
      </w:r>
      <w:proofErr w:type="gramStart"/>
      <w:r w:rsidRPr="6DFC17C8">
        <w:rPr>
          <w:rFonts w:ascii="Georgia" w:hAnsi="Georgia" w:eastAsia="Georgia" w:cs="Georgia"/>
          <w:sz w:val="24"/>
          <w:szCs w:val="24"/>
        </w:rPr>
        <w:t>But</w:t>
      </w:r>
      <w:proofErr w:type="gramEnd"/>
      <w:r w:rsidRPr="6DFC17C8">
        <w:rPr>
          <w:rFonts w:ascii="Georgia" w:hAnsi="Georgia" w:eastAsia="Georgia" w:cs="Georgia"/>
          <w:sz w:val="24"/>
          <w:szCs w:val="24"/>
        </w:rPr>
        <w:t xml:space="preserve"> </w:t>
      </w:r>
      <w:r w:rsidR="00A14EC5">
        <w:rPr>
          <w:rFonts w:ascii="Georgia" w:hAnsi="Georgia" w:eastAsia="Georgia" w:cs="Georgia"/>
          <w:sz w:val="24"/>
          <w:szCs w:val="24"/>
        </w:rPr>
        <w:t>the engine</w:t>
      </w:r>
      <w:r w:rsidRPr="6DFC17C8">
        <w:rPr>
          <w:rFonts w:ascii="Georgia" w:hAnsi="Georgia" w:eastAsia="Georgia" w:cs="Georgia"/>
          <w:sz w:val="24"/>
          <w:szCs w:val="24"/>
        </w:rPr>
        <w:t xml:space="preserve"> driving Britain’s plans for exiting the EU is the same neoliberal </w:t>
      </w:r>
      <w:r w:rsidR="00A14EC5">
        <w:rPr>
          <w:rFonts w:ascii="Georgia" w:hAnsi="Georgia" w:eastAsia="Georgia" w:cs="Georgia"/>
          <w:sz w:val="24"/>
          <w:szCs w:val="24"/>
        </w:rPr>
        <w:t>one</w:t>
      </w:r>
      <w:r w:rsidRPr="6DFC17C8">
        <w:rPr>
          <w:rFonts w:ascii="Georgia" w:hAnsi="Georgia" w:eastAsia="Georgia" w:cs="Georgia"/>
          <w:sz w:val="24"/>
          <w:szCs w:val="24"/>
        </w:rPr>
        <w:t xml:space="preserve"> which has wrought destruction on communities, industries and people’s lives over the past 40 years. </w:t>
      </w:r>
      <w:r w:rsidR="00A14EC5">
        <w:rPr>
          <w:rFonts w:ascii="Georgia" w:hAnsi="Georgia" w:eastAsia="Georgia" w:cs="Georgia"/>
          <w:sz w:val="24"/>
          <w:szCs w:val="24"/>
        </w:rPr>
        <w:t xml:space="preserve">The same imperative that has hollowed out social policies and public institutions in many EU countries, especially </w:t>
      </w:r>
      <w:r w:rsidR="00391121">
        <w:rPr>
          <w:rFonts w:ascii="Georgia" w:hAnsi="Georgia" w:eastAsia="Georgia" w:cs="Georgia"/>
          <w:sz w:val="24"/>
          <w:szCs w:val="24"/>
        </w:rPr>
        <w:t>the UK</w:t>
      </w:r>
      <w:r w:rsidR="00A14EC5">
        <w:rPr>
          <w:rFonts w:ascii="Georgia" w:hAnsi="Georgia" w:eastAsia="Georgia" w:cs="Georgia"/>
          <w:sz w:val="24"/>
          <w:szCs w:val="24"/>
        </w:rPr>
        <w:t xml:space="preserve">, and undermined the social quality </w:t>
      </w:r>
      <w:r w:rsidR="00391121">
        <w:rPr>
          <w:rFonts w:ascii="Georgia" w:hAnsi="Georgia" w:eastAsia="Georgia" w:cs="Georgia"/>
          <w:sz w:val="24"/>
          <w:szCs w:val="24"/>
        </w:rPr>
        <w:t xml:space="preserve">of millions of Europeans, </w:t>
      </w:r>
      <w:r w:rsidR="00A14EC5">
        <w:rPr>
          <w:rFonts w:ascii="Georgia" w:hAnsi="Georgia" w:eastAsia="Georgia" w:cs="Georgia"/>
          <w:sz w:val="24"/>
          <w:szCs w:val="24"/>
        </w:rPr>
        <w:t xml:space="preserve">as well as those striving to become Europeans. If Europe is to learn any lesson from the </w:t>
      </w:r>
      <w:proofErr w:type="spellStart"/>
      <w:r w:rsidR="00A14EC5">
        <w:rPr>
          <w:rFonts w:ascii="Georgia" w:hAnsi="Georgia" w:eastAsia="Georgia" w:cs="Georgia"/>
          <w:sz w:val="24"/>
          <w:szCs w:val="24"/>
        </w:rPr>
        <w:t>Brexit</w:t>
      </w:r>
      <w:proofErr w:type="spellEnd"/>
      <w:r w:rsidR="00A14EC5">
        <w:rPr>
          <w:rFonts w:ascii="Georgia" w:hAnsi="Georgia" w:eastAsia="Georgia" w:cs="Georgia"/>
          <w:sz w:val="24"/>
          <w:szCs w:val="24"/>
        </w:rPr>
        <w:t xml:space="preserve"> </w:t>
      </w:r>
      <w:proofErr w:type="gramStart"/>
      <w:r w:rsidR="00A14EC5">
        <w:rPr>
          <w:rFonts w:ascii="Georgia" w:hAnsi="Georgia" w:eastAsia="Georgia" w:cs="Georgia"/>
          <w:sz w:val="24"/>
          <w:szCs w:val="24"/>
        </w:rPr>
        <w:t>debacle</w:t>
      </w:r>
      <w:proofErr w:type="gramEnd"/>
      <w:r w:rsidR="00A14EC5">
        <w:rPr>
          <w:rFonts w:ascii="Georgia" w:hAnsi="Georgia" w:eastAsia="Georgia" w:cs="Georgia"/>
          <w:sz w:val="24"/>
          <w:szCs w:val="24"/>
        </w:rPr>
        <w:t xml:space="preserve"> it is the pressing need for new imperatives: social quality and democracy.</w:t>
      </w:r>
    </w:p>
    <w:p w:rsidR="00A27DB0" w:rsidP="00241859" w:rsidRDefault="00A27DB0" w14:paraId="0E27B00A" w14:textId="77777777">
      <w:pPr>
        <w:spacing w:line="276" w:lineRule="auto"/>
        <w:jc w:val="both"/>
        <w:rPr>
          <w:rFonts w:ascii="Georgia" w:hAnsi="Georgia" w:eastAsia="Georgia" w:cs="Georgia"/>
          <w:bCs/>
          <w:sz w:val="24"/>
          <w:szCs w:val="24"/>
        </w:rPr>
      </w:pPr>
    </w:p>
    <w:p w:rsidR="6DFC17C8" w:rsidRDefault="6DFC17C8" w14:paraId="2F3FB7A2" w14:textId="1B6D4A2A">
      <w:r>
        <w:br w:type="page"/>
      </w:r>
    </w:p>
    <w:p w:rsidRPr="00241859" w:rsidR="00241859" w:rsidP="6DFC17C8" w:rsidRDefault="6DFC17C8" w14:paraId="071E4E01" w14:textId="25E03EC4">
      <w:pPr>
        <w:spacing w:line="276" w:lineRule="auto"/>
        <w:jc w:val="both"/>
        <w:rPr>
          <w:rFonts w:ascii="Georgia" w:hAnsi="Georgia" w:eastAsia="Georgia" w:cs="Georgia"/>
          <w:b/>
          <w:bCs/>
          <w:sz w:val="24"/>
          <w:szCs w:val="24"/>
        </w:rPr>
      </w:pPr>
      <w:r w:rsidRPr="6DFC17C8">
        <w:rPr>
          <w:rFonts w:ascii="Georgia" w:hAnsi="Georgia" w:eastAsia="Georgia" w:cs="Georgia"/>
          <w:b/>
          <w:bCs/>
          <w:sz w:val="24"/>
          <w:szCs w:val="24"/>
        </w:rPr>
        <w:lastRenderedPageBreak/>
        <w:t>References</w:t>
      </w:r>
    </w:p>
    <w:p w:rsidR="000C069D" w:rsidP="6DFC17C8" w:rsidRDefault="6DFC17C8" w14:paraId="7A936D38" w14:textId="77777777">
      <w:pPr>
        <w:spacing w:line="276" w:lineRule="auto"/>
        <w:jc w:val="both"/>
        <w:rPr>
          <w:rFonts w:ascii="Georgia" w:hAnsi="Georgia" w:eastAsia="Georgia" w:cs="Georgia"/>
          <w:sz w:val="24"/>
          <w:szCs w:val="24"/>
        </w:rPr>
      </w:pPr>
      <w:proofErr w:type="spellStart"/>
      <w:r w:rsidRPr="6DFC17C8">
        <w:rPr>
          <w:rFonts w:ascii="Georgia" w:hAnsi="Georgia" w:eastAsia="Georgia" w:cs="Georgia"/>
          <w:sz w:val="24"/>
          <w:szCs w:val="24"/>
        </w:rPr>
        <w:t>Abts</w:t>
      </w:r>
      <w:proofErr w:type="spellEnd"/>
      <w:r w:rsidRPr="6DFC17C8">
        <w:rPr>
          <w:rFonts w:ascii="Georgia" w:hAnsi="Georgia" w:eastAsia="Georgia" w:cs="Georgia"/>
          <w:sz w:val="24"/>
          <w:szCs w:val="24"/>
        </w:rPr>
        <w:t xml:space="preserve">, K., and </w:t>
      </w:r>
      <w:proofErr w:type="spellStart"/>
      <w:r w:rsidRPr="6DFC17C8">
        <w:rPr>
          <w:rFonts w:ascii="Georgia" w:hAnsi="Georgia" w:eastAsia="Georgia" w:cs="Georgia"/>
          <w:sz w:val="24"/>
          <w:szCs w:val="24"/>
        </w:rPr>
        <w:t>Rummens</w:t>
      </w:r>
      <w:proofErr w:type="spellEnd"/>
      <w:r w:rsidRPr="6DFC17C8">
        <w:rPr>
          <w:rFonts w:ascii="Georgia" w:hAnsi="Georgia" w:eastAsia="Georgia" w:cs="Georgia"/>
          <w:sz w:val="24"/>
          <w:szCs w:val="24"/>
        </w:rPr>
        <w:t xml:space="preserve">, S. (2007) ‘Populism versus Democracy’, </w:t>
      </w:r>
      <w:r w:rsidRPr="6DFC17C8">
        <w:rPr>
          <w:rFonts w:ascii="Georgia" w:hAnsi="Georgia" w:eastAsia="Georgia" w:cs="Georgia"/>
          <w:i/>
          <w:iCs/>
          <w:sz w:val="24"/>
          <w:szCs w:val="24"/>
        </w:rPr>
        <w:t>Political Studies</w:t>
      </w:r>
      <w:r w:rsidRPr="6DFC17C8">
        <w:rPr>
          <w:rFonts w:ascii="Georgia" w:hAnsi="Georgia" w:eastAsia="Georgia" w:cs="Georgia"/>
          <w:sz w:val="24"/>
          <w:szCs w:val="24"/>
        </w:rPr>
        <w:t>, 55(2): 405–424.</w:t>
      </w:r>
    </w:p>
    <w:p w:rsidR="000C069D" w:rsidP="5B8CDCEB" w:rsidRDefault="5B8CDCEB" w14:paraId="03B539D8" w14:textId="77777777">
      <w:pPr>
        <w:spacing w:line="276" w:lineRule="auto"/>
        <w:jc w:val="both"/>
        <w:rPr>
          <w:rFonts w:ascii="Georgia" w:hAnsi="Georgia" w:eastAsia="Georgia" w:cs="Georgia"/>
          <w:sz w:val="24"/>
          <w:szCs w:val="24"/>
        </w:rPr>
      </w:pPr>
      <w:r w:rsidRPr="5B8CDCEB">
        <w:rPr>
          <w:rFonts w:ascii="Georgia" w:hAnsi="Georgia" w:eastAsia="Georgia" w:cs="Georgia"/>
          <w:sz w:val="24"/>
          <w:szCs w:val="24"/>
        </w:rPr>
        <w:t xml:space="preserve">Corbett, S. (2016) ‘The Social Consequences of </w:t>
      </w:r>
      <w:proofErr w:type="spellStart"/>
      <w:r w:rsidRPr="5B8CDCEB">
        <w:rPr>
          <w:rFonts w:ascii="Georgia" w:hAnsi="Georgia" w:eastAsia="Georgia" w:cs="Georgia"/>
          <w:sz w:val="24"/>
          <w:szCs w:val="24"/>
        </w:rPr>
        <w:t>Brexit</w:t>
      </w:r>
      <w:proofErr w:type="spellEnd"/>
      <w:r w:rsidRPr="5B8CDCEB">
        <w:rPr>
          <w:rFonts w:ascii="Georgia" w:hAnsi="Georgia" w:eastAsia="Georgia" w:cs="Georgia"/>
          <w:sz w:val="24"/>
          <w:szCs w:val="24"/>
        </w:rPr>
        <w:t xml:space="preserve"> for the UK and Europe’, </w:t>
      </w:r>
      <w:r w:rsidRPr="5B8CDCEB">
        <w:rPr>
          <w:rFonts w:ascii="Georgia" w:hAnsi="Georgia" w:eastAsia="Georgia" w:cs="Georgia"/>
          <w:i/>
          <w:iCs/>
          <w:sz w:val="24"/>
          <w:szCs w:val="24"/>
        </w:rPr>
        <w:t>International Journal of Social Quality</w:t>
      </w:r>
      <w:r w:rsidRPr="5B8CDCEB">
        <w:rPr>
          <w:rFonts w:ascii="Georgia" w:hAnsi="Georgia" w:eastAsia="Georgia" w:cs="Georgia"/>
          <w:sz w:val="24"/>
          <w:szCs w:val="24"/>
        </w:rPr>
        <w:t>, 6(1) pp.11-31.</w:t>
      </w:r>
    </w:p>
    <w:p w:rsidR="005C135C" w:rsidP="5B8CDCEB" w:rsidRDefault="005C135C" w14:paraId="6CDB3947" w14:textId="3E3641A0">
      <w:pPr>
        <w:spacing w:line="276" w:lineRule="auto"/>
        <w:jc w:val="both"/>
        <w:rPr>
          <w:rFonts w:ascii="Georgia" w:hAnsi="Georgia" w:eastAsia="Georgia" w:cs="Georgia"/>
          <w:sz w:val="24"/>
          <w:szCs w:val="24"/>
        </w:rPr>
      </w:pPr>
      <w:r w:rsidRPr="005C135C">
        <w:rPr>
          <w:rFonts w:ascii="Georgia" w:hAnsi="Georgia" w:eastAsia="Georgia" w:cs="Georgia"/>
          <w:sz w:val="24"/>
          <w:szCs w:val="24"/>
        </w:rPr>
        <w:t xml:space="preserve">Fraser, N. (2017) ‘Progressive neoliberalism versus reactionary populism: a Hobson’s choice’, in H. </w:t>
      </w:r>
      <w:proofErr w:type="spellStart"/>
      <w:r w:rsidRPr="005C135C">
        <w:rPr>
          <w:rFonts w:ascii="Georgia" w:hAnsi="Georgia" w:eastAsia="Georgia" w:cs="Georgia"/>
          <w:sz w:val="24"/>
          <w:szCs w:val="24"/>
        </w:rPr>
        <w:t>Geiselberger</w:t>
      </w:r>
      <w:proofErr w:type="spellEnd"/>
      <w:r w:rsidRPr="005C135C">
        <w:rPr>
          <w:rFonts w:ascii="Georgia" w:hAnsi="Georgia" w:eastAsia="Georgia" w:cs="Georgia"/>
          <w:sz w:val="24"/>
          <w:szCs w:val="24"/>
        </w:rPr>
        <w:t xml:space="preserve"> (ed.), </w:t>
      </w:r>
      <w:r w:rsidRPr="005C135C">
        <w:rPr>
          <w:rFonts w:ascii="Georgia" w:hAnsi="Georgia" w:eastAsia="Georgia" w:cs="Georgia"/>
          <w:i/>
          <w:sz w:val="24"/>
          <w:szCs w:val="24"/>
        </w:rPr>
        <w:t>The Great Regression</w:t>
      </w:r>
      <w:r w:rsidRPr="005C135C">
        <w:rPr>
          <w:rFonts w:ascii="Georgia" w:hAnsi="Georgia" w:eastAsia="Georgia" w:cs="Georgia"/>
          <w:sz w:val="24"/>
          <w:szCs w:val="24"/>
        </w:rPr>
        <w:t>, Cambridge: Polity, 40-8.</w:t>
      </w:r>
    </w:p>
    <w:p w:rsidR="000C069D" w:rsidP="5B8CDCEB" w:rsidRDefault="5B8CDCEB" w14:paraId="04F50C52" w14:textId="770A9AA2">
      <w:pPr>
        <w:spacing w:line="276" w:lineRule="auto"/>
        <w:jc w:val="both"/>
        <w:rPr>
          <w:rFonts w:ascii="Georgia" w:hAnsi="Georgia" w:eastAsia="Georgia" w:cs="Georgia"/>
          <w:sz w:val="24"/>
          <w:szCs w:val="24"/>
        </w:rPr>
      </w:pPr>
      <w:r w:rsidRPr="5B8CDCEB">
        <w:rPr>
          <w:rFonts w:ascii="Georgia" w:hAnsi="Georgia" w:eastAsia="Georgia" w:cs="Georgia"/>
          <w:sz w:val="24"/>
          <w:szCs w:val="24"/>
        </w:rPr>
        <w:t>Goodwin, M. and Heath, O. (2016) ‘</w:t>
      </w:r>
      <w:proofErr w:type="spellStart"/>
      <w:r w:rsidRPr="5B8CDCEB">
        <w:rPr>
          <w:rFonts w:ascii="Georgia" w:hAnsi="Georgia" w:eastAsia="Georgia" w:cs="Georgia"/>
          <w:sz w:val="24"/>
          <w:szCs w:val="24"/>
        </w:rPr>
        <w:t>Brexit</w:t>
      </w:r>
      <w:proofErr w:type="spellEnd"/>
      <w:r w:rsidRPr="5B8CDCEB">
        <w:rPr>
          <w:rFonts w:ascii="Georgia" w:hAnsi="Georgia" w:eastAsia="Georgia" w:cs="Georgia"/>
          <w:sz w:val="24"/>
          <w:szCs w:val="24"/>
        </w:rPr>
        <w:t xml:space="preserve"> Vote Explained: Poverty, Low Skills and Lack of Opportunities’, </w:t>
      </w:r>
      <w:r w:rsidRPr="5B8CDCEB">
        <w:rPr>
          <w:rFonts w:ascii="Georgia" w:hAnsi="Georgia" w:eastAsia="Georgia" w:cs="Georgia"/>
          <w:i/>
          <w:iCs/>
          <w:sz w:val="24"/>
          <w:szCs w:val="24"/>
        </w:rPr>
        <w:t>Joseph Rowntree Foundation</w:t>
      </w:r>
      <w:r w:rsidRPr="5B8CDCEB">
        <w:rPr>
          <w:rFonts w:ascii="Georgia" w:hAnsi="Georgia" w:eastAsia="Georgia" w:cs="Georgia"/>
          <w:sz w:val="24"/>
          <w:szCs w:val="24"/>
        </w:rPr>
        <w:t xml:space="preserve">, </w:t>
      </w:r>
      <w:proofErr w:type="gramStart"/>
      <w:r w:rsidRPr="5B8CDCEB">
        <w:rPr>
          <w:rFonts w:ascii="Georgia" w:hAnsi="Georgia" w:eastAsia="Georgia" w:cs="Georgia"/>
          <w:sz w:val="24"/>
          <w:szCs w:val="24"/>
        </w:rPr>
        <w:t>31</w:t>
      </w:r>
      <w:proofErr w:type="gramEnd"/>
      <w:r w:rsidRPr="5B8CDCEB">
        <w:rPr>
          <w:rFonts w:ascii="Georgia" w:hAnsi="Georgia" w:eastAsia="Georgia" w:cs="Georgia"/>
          <w:sz w:val="24"/>
          <w:szCs w:val="24"/>
        </w:rPr>
        <w:t xml:space="preserve"> August. https://www.jrf.org.uk/report/brexit-vote-explained-poverty-low-skills-and-lack-opportunities (accessed 9 August 2018).</w:t>
      </w:r>
    </w:p>
    <w:p w:rsidRPr="003E7BB4" w:rsidR="000C069D" w:rsidP="6DFC17C8" w:rsidRDefault="6DFC17C8" w14:paraId="6C303646" w14:textId="77777777">
      <w:pPr>
        <w:spacing w:line="276" w:lineRule="auto"/>
        <w:jc w:val="both"/>
        <w:rPr>
          <w:rFonts w:ascii="Georgia" w:hAnsi="Georgia" w:eastAsia="Georgia" w:cs="Georgia"/>
          <w:sz w:val="24"/>
          <w:szCs w:val="24"/>
        </w:rPr>
      </w:pPr>
      <w:proofErr w:type="spellStart"/>
      <w:r w:rsidRPr="6DFC17C8">
        <w:rPr>
          <w:rFonts w:ascii="Georgia" w:hAnsi="Georgia" w:eastAsia="Georgia" w:cs="Georgia"/>
          <w:sz w:val="24"/>
          <w:szCs w:val="24"/>
        </w:rPr>
        <w:t>Hobolt</w:t>
      </w:r>
      <w:proofErr w:type="spellEnd"/>
      <w:r w:rsidRPr="6DFC17C8">
        <w:rPr>
          <w:rFonts w:ascii="Georgia" w:hAnsi="Georgia" w:eastAsia="Georgia" w:cs="Georgia"/>
          <w:sz w:val="24"/>
          <w:szCs w:val="24"/>
        </w:rPr>
        <w:t xml:space="preserve">, S.B. (2016) ‘The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vote: a divided nation, a divided continent’, </w:t>
      </w:r>
      <w:r w:rsidRPr="6DFC17C8">
        <w:rPr>
          <w:rFonts w:ascii="Georgia" w:hAnsi="Georgia" w:eastAsia="Georgia" w:cs="Georgia"/>
          <w:i/>
          <w:iCs/>
          <w:sz w:val="24"/>
          <w:szCs w:val="24"/>
        </w:rPr>
        <w:t>Journal of European Public Policy</w:t>
      </w:r>
      <w:r w:rsidRPr="6DFC17C8">
        <w:rPr>
          <w:rFonts w:ascii="Georgia" w:hAnsi="Georgia" w:eastAsia="Georgia" w:cs="Georgia"/>
          <w:sz w:val="24"/>
          <w:szCs w:val="24"/>
        </w:rPr>
        <w:t>, 23(9), pp.1259-1277.</w:t>
      </w:r>
    </w:p>
    <w:p w:rsidRPr="003E7BB4" w:rsidR="000C069D" w:rsidP="5B8CDCEB" w:rsidRDefault="5B8CDCEB" w14:paraId="55C65579" w14:textId="77777777">
      <w:pPr>
        <w:spacing w:line="276" w:lineRule="auto"/>
        <w:jc w:val="both"/>
        <w:rPr>
          <w:rFonts w:ascii="Georgia" w:hAnsi="Georgia" w:eastAsia="Georgia" w:cs="Georgia"/>
          <w:sz w:val="24"/>
          <w:szCs w:val="24"/>
        </w:rPr>
      </w:pPr>
      <w:proofErr w:type="spellStart"/>
      <w:r w:rsidRPr="5B8CDCEB">
        <w:rPr>
          <w:rFonts w:ascii="Georgia" w:hAnsi="Georgia" w:eastAsia="Georgia" w:cs="Georgia"/>
          <w:sz w:val="24"/>
          <w:szCs w:val="24"/>
        </w:rPr>
        <w:t>Inglehart</w:t>
      </w:r>
      <w:proofErr w:type="spellEnd"/>
      <w:r w:rsidRPr="5B8CDCEB">
        <w:rPr>
          <w:rFonts w:ascii="Georgia" w:hAnsi="Georgia" w:eastAsia="Georgia" w:cs="Georgia"/>
          <w:sz w:val="24"/>
          <w:szCs w:val="24"/>
        </w:rPr>
        <w:t xml:space="preserve">, R.F. and Norris, P. (2016) ‘Trump, </w:t>
      </w:r>
      <w:proofErr w:type="spellStart"/>
      <w:r w:rsidRPr="5B8CDCEB">
        <w:rPr>
          <w:rFonts w:ascii="Georgia" w:hAnsi="Georgia" w:eastAsia="Georgia" w:cs="Georgia"/>
          <w:sz w:val="24"/>
          <w:szCs w:val="24"/>
        </w:rPr>
        <w:t>Brexit</w:t>
      </w:r>
      <w:proofErr w:type="spellEnd"/>
      <w:r w:rsidRPr="5B8CDCEB">
        <w:rPr>
          <w:rFonts w:ascii="Georgia" w:hAnsi="Georgia" w:eastAsia="Georgia" w:cs="Georgia"/>
          <w:sz w:val="24"/>
          <w:szCs w:val="24"/>
        </w:rPr>
        <w:t xml:space="preserve">, and the rise of populism: economic have-nots and cultural backlash’, </w:t>
      </w:r>
      <w:r w:rsidRPr="5B8CDCEB">
        <w:rPr>
          <w:rFonts w:ascii="Georgia" w:hAnsi="Georgia" w:eastAsia="Georgia" w:cs="Georgia"/>
          <w:i/>
          <w:iCs/>
          <w:sz w:val="24"/>
          <w:szCs w:val="24"/>
        </w:rPr>
        <w:t>Faculty Research Working Paper Series: RWP16-026</w:t>
      </w:r>
      <w:r w:rsidRPr="5B8CDCEB">
        <w:rPr>
          <w:rFonts w:ascii="Georgia" w:hAnsi="Georgia" w:eastAsia="Georgia" w:cs="Georgia"/>
          <w:sz w:val="24"/>
          <w:szCs w:val="24"/>
        </w:rPr>
        <w:t xml:space="preserve">, Harvard University, available at: </w:t>
      </w:r>
      <w:hyperlink r:id="rId7">
        <w:r w:rsidRPr="5B8CDCEB">
          <w:rPr>
            <w:rStyle w:val="Hyperlink"/>
            <w:rFonts w:ascii="Georgia" w:hAnsi="Georgia" w:eastAsia="Georgia" w:cs="Georgia"/>
            <w:sz w:val="24"/>
            <w:szCs w:val="24"/>
          </w:rPr>
          <w:t>https://papers.ssrn.com/sol3/papers.cfm?abstract_id=2818659</w:t>
        </w:r>
      </w:hyperlink>
      <w:r w:rsidRPr="5B8CDCEB">
        <w:rPr>
          <w:rFonts w:ascii="Georgia" w:hAnsi="Georgia" w:eastAsia="Georgia" w:cs="Georgia"/>
          <w:sz w:val="24"/>
          <w:szCs w:val="24"/>
        </w:rPr>
        <w:t xml:space="preserve"> </w:t>
      </w:r>
    </w:p>
    <w:p w:rsidR="20A8CD33" w:rsidP="6DFC17C8" w:rsidRDefault="6DFC17C8" w14:paraId="0C599687" w14:textId="11CF588E">
      <w:pPr>
        <w:spacing w:line="276" w:lineRule="auto"/>
        <w:jc w:val="both"/>
        <w:rPr>
          <w:rFonts w:ascii="Georgia" w:hAnsi="Georgia" w:eastAsia="Georgia" w:cs="Georgia"/>
          <w:sz w:val="24"/>
          <w:szCs w:val="24"/>
        </w:rPr>
      </w:pPr>
      <w:proofErr w:type="spellStart"/>
      <w:r w:rsidRPr="6DFC17C8">
        <w:rPr>
          <w:rFonts w:ascii="Georgia" w:hAnsi="Georgia" w:eastAsia="Georgia" w:cs="Georgia"/>
          <w:sz w:val="24"/>
          <w:szCs w:val="24"/>
        </w:rPr>
        <w:t>Ivaldi</w:t>
      </w:r>
      <w:proofErr w:type="spellEnd"/>
      <w:r w:rsidRPr="6DFC17C8">
        <w:rPr>
          <w:rFonts w:ascii="Georgia" w:hAnsi="Georgia" w:eastAsia="Georgia" w:cs="Georgia"/>
          <w:sz w:val="24"/>
          <w:szCs w:val="24"/>
        </w:rPr>
        <w:t xml:space="preserve">, G., </w:t>
      </w:r>
      <w:proofErr w:type="spellStart"/>
      <w:r w:rsidRPr="6DFC17C8">
        <w:rPr>
          <w:rFonts w:ascii="Georgia" w:hAnsi="Georgia" w:eastAsia="Georgia" w:cs="Georgia"/>
          <w:sz w:val="24"/>
          <w:szCs w:val="24"/>
        </w:rPr>
        <w:t>Lanzone</w:t>
      </w:r>
      <w:proofErr w:type="spellEnd"/>
      <w:r w:rsidRPr="6DFC17C8">
        <w:rPr>
          <w:rFonts w:ascii="Georgia" w:hAnsi="Georgia" w:eastAsia="Georgia" w:cs="Georgia"/>
          <w:sz w:val="24"/>
          <w:szCs w:val="24"/>
        </w:rPr>
        <w:t xml:space="preserve">, M.E., and Woods, D. (2017) ‘Varieties of populism across a left-right spectrum: the case of the Front National, the Northern League, </w:t>
      </w:r>
      <w:proofErr w:type="spellStart"/>
      <w:r w:rsidRPr="6DFC17C8">
        <w:rPr>
          <w:rFonts w:ascii="Georgia" w:hAnsi="Georgia" w:eastAsia="Georgia" w:cs="Georgia"/>
          <w:sz w:val="24"/>
          <w:szCs w:val="24"/>
        </w:rPr>
        <w:t>Podemos</w:t>
      </w:r>
      <w:proofErr w:type="spellEnd"/>
      <w:r w:rsidRPr="6DFC17C8">
        <w:rPr>
          <w:rFonts w:ascii="Georgia" w:hAnsi="Georgia" w:eastAsia="Georgia" w:cs="Georgia"/>
          <w:sz w:val="24"/>
          <w:szCs w:val="24"/>
        </w:rPr>
        <w:t xml:space="preserve">, and Five Star Movement’, </w:t>
      </w:r>
      <w:r w:rsidRPr="6DFC17C8">
        <w:rPr>
          <w:rFonts w:ascii="Georgia" w:hAnsi="Georgia" w:eastAsia="Georgia" w:cs="Georgia"/>
          <w:i/>
          <w:iCs/>
          <w:sz w:val="24"/>
          <w:szCs w:val="24"/>
        </w:rPr>
        <w:t>Swiss Political Science Review</w:t>
      </w:r>
      <w:r w:rsidRPr="6DFC17C8">
        <w:rPr>
          <w:rFonts w:ascii="Georgia" w:hAnsi="Georgia" w:eastAsia="Georgia" w:cs="Georgia"/>
          <w:sz w:val="24"/>
          <w:szCs w:val="24"/>
        </w:rPr>
        <w:t>, 23(4), pp.354-376.</w:t>
      </w:r>
    </w:p>
    <w:p w:rsidR="000C069D" w:rsidP="5B8CDCEB" w:rsidRDefault="5B8CDCEB" w14:paraId="5898C036" w14:textId="77777777">
      <w:pPr>
        <w:spacing w:line="276" w:lineRule="auto"/>
        <w:rPr>
          <w:rFonts w:ascii="Georgia" w:hAnsi="Georgia" w:eastAsia="Georgia" w:cs="Georgia"/>
          <w:sz w:val="24"/>
          <w:szCs w:val="24"/>
        </w:rPr>
      </w:pPr>
      <w:r w:rsidRPr="5B8CDCEB">
        <w:rPr>
          <w:rFonts w:ascii="Georgia" w:hAnsi="Georgia" w:eastAsia="Georgia" w:cs="Georgia"/>
          <w:sz w:val="24"/>
          <w:szCs w:val="24"/>
        </w:rPr>
        <w:t>Kaufmann, E. (2016) ‘</w:t>
      </w:r>
      <w:proofErr w:type="gramStart"/>
      <w:r w:rsidRPr="5B8CDCEB">
        <w:rPr>
          <w:rFonts w:ascii="Georgia" w:hAnsi="Georgia" w:eastAsia="Georgia" w:cs="Georgia"/>
          <w:sz w:val="24"/>
          <w:szCs w:val="24"/>
        </w:rPr>
        <w:t>It’s</w:t>
      </w:r>
      <w:proofErr w:type="gramEnd"/>
      <w:r w:rsidRPr="5B8CDCEB">
        <w:rPr>
          <w:rFonts w:ascii="Georgia" w:hAnsi="Georgia" w:eastAsia="Georgia" w:cs="Georgia"/>
          <w:sz w:val="24"/>
          <w:szCs w:val="24"/>
        </w:rPr>
        <w:t xml:space="preserve"> NOT the Economy, Stupid: </w:t>
      </w:r>
      <w:proofErr w:type="spellStart"/>
      <w:r w:rsidRPr="5B8CDCEB">
        <w:rPr>
          <w:rFonts w:ascii="Georgia" w:hAnsi="Georgia" w:eastAsia="Georgia" w:cs="Georgia"/>
          <w:sz w:val="24"/>
          <w:szCs w:val="24"/>
        </w:rPr>
        <w:t>Brexit</w:t>
      </w:r>
      <w:proofErr w:type="spellEnd"/>
      <w:r w:rsidRPr="5B8CDCEB">
        <w:rPr>
          <w:rFonts w:ascii="Georgia" w:hAnsi="Georgia" w:eastAsia="Georgia" w:cs="Georgia"/>
          <w:sz w:val="24"/>
          <w:szCs w:val="24"/>
        </w:rPr>
        <w:t xml:space="preserve"> as a Story of Personal Values’, </w:t>
      </w:r>
      <w:r w:rsidRPr="5B8CDCEB">
        <w:rPr>
          <w:rFonts w:ascii="Georgia" w:hAnsi="Georgia" w:eastAsia="Georgia" w:cs="Georgia"/>
          <w:i/>
          <w:iCs/>
          <w:sz w:val="24"/>
          <w:szCs w:val="24"/>
        </w:rPr>
        <w:t>LSE British Politics and Policy Blog</w:t>
      </w:r>
      <w:r w:rsidRPr="5B8CDCEB">
        <w:rPr>
          <w:rFonts w:ascii="Georgia" w:hAnsi="Georgia" w:eastAsia="Georgia" w:cs="Georgia"/>
          <w:sz w:val="24"/>
          <w:szCs w:val="24"/>
        </w:rPr>
        <w:t>, 7 July. http://blogs.lse.ac.uk/politicsandpolicy/personal-values-brexit-vote/ (accessed 9 August 2018).</w:t>
      </w:r>
    </w:p>
    <w:p w:rsidR="00E7587C" w:rsidP="5B8CDCEB" w:rsidRDefault="5B8CDCEB" w14:paraId="48722635" w14:textId="77777777">
      <w:pPr>
        <w:spacing w:line="276" w:lineRule="auto"/>
        <w:rPr>
          <w:rFonts w:ascii="Georgia" w:hAnsi="Georgia" w:eastAsia="Georgia" w:cs="Georgia"/>
          <w:sz w:val="24"/>
          <w:szCs w:val="24"/>
        </w:rPr>
      </w:pPr>
      <w:r w:rsidRPr="5B8CDCEB">
        <w:rPr>
          <w:rFonts w:ascii="Georgia" w:hAnsi="Georgia" w:eastAsia="Georgia" w:cs="Georgia"/>
          <w:sz w:val="24"/>
          <w:szCs w:val="24"/>
        </w:rPr>
        <w:t xml:space="preserve">Müller, J-W. (2016) </w:t>
      </w:r>
      <w:proofErr w:type="gramStart"/>
      <w:r w:rsidRPr="5B8CDCEB">
        <w:rPr>
          <w:rFonts w:ascii="Georgia" w:hAnsi="Georgia" w:eastAsia="Georgia" w:cs="Georgia"/>
          <w:i/>
          <w:iCs/>
          <w:sz w:val="24"/>
          <w:szCs w:val="24"/>
        </w:rPr>
        <w:t>What</w:t>
      </w:r>
      <w:proofErr w:type="gramEnd"/>
      <w:r w:rsidRPr="5B8CDCEB">
        <w:rPr>
          <w:rFonts w:ascii="Georgia" w:hAnsi="Georgia" w:eastAsia="Georgia" w:cs="Georgia"/>
          <w:i/>
          <w:iCs/>
          <w:sz w:val="24"/>
          <w:szCs w:val="24"/>
        </w:rPr>
        <w:t xml:space="preserve"> is Populism?</w:t>
      </w:r>
      <w:r w:rsidRPr="5B8CDCEB">
        <w:rPr>
          <w:rFonts w:ascii="Georgia" w:hAnsi="Georgia" w:eastAsia="Georgia" w:cs="Georgia"/>
          <w:sz w:val="24"/>
          <w:szCs w:val="24"/>
        </w:rPr>
        <w:t xml:space="preserve"> Philadelphia: University of Philadelphia Press.</w:t>
      </w:r>
    </w:p>
    <w:p w:rsidRPr="003E7BB4" w:rsidR="000C069D" w:rsidP="6DFC17C8" w:rsidRDefault="6DFC17C8" w14:paraId="1CF88D05" w14:textId="77777777">
      <w:pPr>
        <w:spacing w:line="276" w:lineRule="auto"/>
        <w:jc w:val="both"/>
        <w:rPr>
          <w:rFonts w:ascii="Georgia" w:hAnsi="Georgia" w:eastAsia="Georgia" w:cs="Georgia"/>
          <w:sz w:val="24"/>
          <w:szCs w:val="24"/>
        </w:rPr>
      </w:pPr>
      <w:proofErr w:type="spellStart"/>
      <w:r w:rsidRPr="6DFC17C8">
        <w:rPr>
          <w:rFonts w:ascii="Georgia" w:hAnsi="Georgia" w:eastAsia="Georgia" w:cs="Georgia"/>
          <w:sz w:val="24"/>
          <w:szCs w:val="24"/>
        </w:rPr>
        <w:t>Pettifor</w:t>
      </w:r>
      <w:proofErr w:type="spellEnd"/>
      <w:r w:rsidRPr="6DFC17C8">
        <w:rPr>
          <w:rFonts w:ascii="Georgia" w:hAnsi="Georgia" w:eastAsia="Georgia" w:cs="Georgia"/>
          <w:sz w:val="24"/>
          <w:szCs w:val="24"/>
        </w:rPr>
        <w:t>, A. (2016)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and its consequences’, </w:t>
      </w:r>
      <w:r w:rsidRPr="6DFC17C8">
        <w:rPr>
          <w:rFonts w:ascii="Georgia" w:hAnsi="Georgia" w:eastAsia="Georgia" w:cs="Georgia"/>
          <w:i/>
          <w:iCs/>
          <w:sz w:val="24"/>
          <w:szCs w:val="24"/>
        </w:rPr>
        <w:t>Globalizations</w:t>
      </w:r>
      <w:r w:rsidRPr="6DFC17C8">
        <w:rPr>
          <w:rFonts w:ascii="Georgia" w:hAnsi="Georgia" w:eastAsia="Georgia" w:cs="Georgia"/>
          <w:sz w:val="24"/>
          <w:szCs w:val="24"/>
        </w:rPr>
        <w:t>, 14(1), pp.127-132.</w:t>
      </w:r>
    </w:p>
    <w:p w:rsidR="000C069D" w:rsidP="5B8CDCEB" w:rsidRDefault="5B8CDCEB" w14:paraId="05CD8D93" w14:textId="77777777">
      <w:pPr>
        <w:spacing w:line="276" w:lineRule="auto"/>
        <w:jc w:val="both"/>
        <w:rPr>
          <w:rFonts w:ascii="Georgia" w:hAnsi="Georgia" w:eastAsia="Georgia" w:cs="Georgia"/>
          <w:sz w:val="24"/>
          <w:szCs w:val="24"/>
        </w:rPr>
      </w:pPr>
      <w:r w:rsidRPr="5B8CDCEB">
        <w:rPr>
          <w:rFonts w:ascii="Georgia" w:hAnsi="Georgia" w:eastAsia="Georgia" w:cs="Georgia"/>
          <w:sz w:val="24"/>
          <w:szCs w:val="24"/>
        </w:rPr>
        <w:t>Room, G. (2016) '</w:t>
      </w:r>
      <w:proofErr w:type="gramStart"/>
      <w:r w:rsidRPr="5B8CDCEB">
        <w:rPr>
          <w:rFonts w:ascii="Georgia" w:hAnsi="Georgia" w:eastAsia="Georgia" w:cs="Georgia"/>
          <w:sz w:val="24"/>
          <w:szCs w:val="24"/>
        </w:rPr>
        <w:t>After</w:t>
      </w:r>
      <w:proofErr w:type="gramEnd"/>
      <w:r w:rsidRPr="5B8CDCEB">
        <w:rPr>
          <w:rFonts w:ascii="Georgia" w:hAnsi="Georgia" w:eastAsia="Georgia" w:cs="Georgia"/>
          <w:sz w:val="24"/>
          <w:szCs w:val="24"/>
        </w:rPr>
        <w:t xml:space="preserve"> the referendum: picking up the bits', IPR Blog, 4</w:t>
      </w:r>
      <w:r w:rsidRPr="5B8CDCEB">
        <w:rPr>
          <w:rFonts w:ascii="Georgia" w:hAnsi="Georgia" w:eastAsia="Georgia" w:cs="Georgia"/>
          <w:sz w:val="24"/>
          <w:szCs w:val="24"/>
          <w:vertAlign w:val="superscript"/>
        </w:rPr>
        <w:t>th</w:t>
      </w:r>
      <w:r w:rsidRPr="5B8CDCEB">
        <w:rPr>
          <w:rFonts w:ascii="Georgia" w:hAnsi="Georgia" w:eastAsia="Georgia" w:cs="Georgia"/>
          <w:sz w:val="24"/>
          <w:szCs w:val="24"/>
        </w:rPr>
        <w:t xml:space="preserve"> July 2016, University of Bath, available at: </w:t>
      </w:r>
      <w:hyperlink r:id="rId8">
        <w:r w:rsidRPr="5B8CDCEB">
          <w:rPr>
            <w:rStyle w:val="Hyperlink"/>
            <w:rFonts w:ascii="Georgia" w:hAnsi="Georgia" w:eastAsia="Georgia" w:cs="Georgia"/>
            <w:sz w:val="24"/>
            <w:szCs w:val="24"/>
          </w:rPr>
          <w:t>http://blogs.bath.ac.uk/iprblog/2016/07/04/after-the-referendum-picking-up-the-bits-by-professor-graham-room/</w:t>
        </w:r>
      </w:hyperlink>
      <w:r w:rsidRPr="5B8CDCEB">
        <w:rPr>
          <w:rFonts w:ascii="Georgia" w:hAnsi="Georgia" w:eastAsia="Georgia" w:cs="Georgia"/>
          <w:sz w:val="24"/>
          <w:szCs w:val="24"/>
        </w:rPr>
        <w:t xml:space="preserve"> (accessed 9 August 2018).</w:t>
      </w:r>
    </w:p>
    <w:p w:rsidR="006B5EE1" w:rsidP="5B8CDCEB" w:rsidRDefault="5B8CDCEB" w14:paraId="59267AF0" w14:textId="77777777">
      <w:pPr>
        <w:spacing w:line="276" w:lineRule="auto"/>
        <w:jc w:val="both"/>
        <w:rPr>
          <w:rFonts w:ascii="Georgia" w:hAnsi="Georgia" w:eastAsia="Georgia" w:cs="Georgia"/>
          <w:sz w:val="24"/>
          <w:szCs w:val="24"/>
        </w:rPr>
      </w:pPr>
      <w:proofErr w:type="spellStart"/>
      <w:r w:rsidRPr="5B8CDCEB">
        <w:rPr>
          <w:rFonts w:ascii="Georgia" w:hAnsi="Georgia" w:eastAsia="Georgia" w:cs="Georgia"/>
          <w:sz w:val="24"/>
          <w:szCs w:val="24"/>
        </w:rPr>
        <w:t>Seidler</w:t>
      </w:r>
      <w:proofErr w:type="spellEnd"/>
      <w:r w:rsidRPr="5B8CDCEB">
        <w:rPr>
          <w:rFonts w:ascii="Georgia" w:hAnsi="Georgia" w:eastAsia="Georgia" w:cs="Georgia"/>
          <w:sz w:val="24"/>
          <w:szCs w:val="24"/>
        </w:rPr>
        <w:t xml:space="preserve">, V. (2018) </w:t>
      </w:r>
      <w:r w:rsidRPr="5B8CDCEB">
        <w:rPr>
          <w:rFonts w:ascii="Georgia" w:hAnsi="Georgia" w:eastAsia="Georgia" w:cs="Georgia"/>
          <w:i/>
          <w:iCs/>
          <w:sz w:val="24"/>
          <w:szCs w:val="24"/>
        </w:rPr>
        <w:t xml:space="preserve">Making Sense of </w:t>
      </w:r>
      <w:proofErr w:type="spellStart"/>
      <w:r w:rsidRPr="5B8CDCEB">
        <w:rPr>
          <w:rFonts w:ascii="Georgia" w:hAnsi="Georgia" w:eastAsia="Georgia" w:cs="Georgia"/>
          <w:i/>
          <w:iCs/>
          <w:sz w:val="24"/>
          <w:szCs w:val="24"/>
        </w:rPr>
        <w:t>Brexit</w:t>
      </w:r>
      <w:proofErr w:type="spellEnd"/>
      <w:r w:rsidRPr="5B8CDCEB">
        <w:rPr>
          <w:rFonts w:ascii="Georgia" w:hAnsi="Georgia" w:eastAsia="Georgia" w:cs="Georgia"/>
          <w:sz w:val="24"/>
          <w:szCs w:val="24"/>
        </w:rPr>
        <w:t>. Bristol: Policy Press.</w:t>
      </w:r>
    </w:p>
    <w:p w:rsidR="006B5EE1" w:rsidP="5B8CDCEB" w:rsidRDefault="5B8CDCEB" w14:paraId="499EDC68" w14:textId="77777777">
      <w:pPr>
        <w:spacing w:line="276" w:lineRule="auto"/>
        <w:jc w:val="both"/>
        <w:rPr>
          <w:rFonts w:ascii="Georgia" w:hAnsi="Georgia" w:eastAsia="Georgia" w:cs="Georgia"/>
          <w:sz w:val="24"/>
          <w:szCs w:val="24"/>
        </w:rPr>
      </w:pPr>
      <w:r w:rsidRPr="5B8CDCEB">
        <w:rPr>
          <w:rFonts w:ascii="Georgia" w:hAnsi="Georgia" w:eastAsia="Georgia" w:cs="Georgia"/>
          <w:sz w:val="24"/>
          <w:szCs w:val="24"/>
        </w:rPr>
        <w:t xml:space="preserve">Stanley, B. (2008) ‘The Thin Ideology of Populism’, </w:t>
      </w:r>
      <w:r w:rsidRPr="5B8CDCEB">
        <w:rPr>
          <w:rFonts w:ascii="Georgia" w:hAnsi="Georgia" w:eastAsia="Georgia" w:cs="Georgia"/>
          <w:i/>
          <w:iCs/>
          <w:sz w:val="24"/>
          <w:szCs w:val="24"/>
        </w:rPr>
        <w:t>Journal of Political Ideologies</w:t>
      </w:r>
      <w:r w:rsidRPr="5B8CDCEB">
        <w:rPr>
          <w:rFonts w:ascii="Georgia" w:hAnsi="Georgia" w:eastAsia="Georgia" w:cs="Georgia"/>
          <w:sz w:val="24"/>
          <w:szCs w:val="24"/>
        </w:rPr>
        <w:t xml:space="preserve"> 13(1): 95–110.</w:t>
      </w:r>
    </w:p>
    <w:p w:rsidR="006B5EE1" w:rsidP="5B8CDCEB" w:rsidRDefault="5B8CDCEB" w14:paraId="5C329637" w14:textId="77777777">
      <w:pPr>
        <w:spacing w:line="276" w:lineRule="auto"/>
        <w:jc w:val="both"/>
        <w:rPr>
          <w:rFonts w:ascii="Georgia" w:hAnsi="Georgia" w:eastAsia="Georgia" w:cs="Georgia"/>
          <w:sz w:val="24"/>
          <w:szCs w:val="24"/>
        </w:rPr>
      </w:pPr>
      <w:r w:rsidRPr="5B8CDCEB">
        <w:rPr>
          <w:rFonts w:ascii="Georgia" w:hAnsi="Georgia" w:eastAsia="Georgia" w:cs="Georgia"/>
          <w:sz w:val="24"/>
          <w:szCs w:val="24"/>
        </w:rPr>
        <w:t xml:space="preserve">Taggart, P. (2004) ‘Populism and Representative Politics in Contemporary Europe’, </w:t>
      </w:r>
      <w:r w:rsidRPr="5B8CDCEB">
        <w:rPr>
          <w:rFonts w:ascii="Georgia" w:hAnsi="Georgia" w:eastAsia="Georgia" w:cs="Georgia"/>
          <w:i/>
          <w:iCs/>
          <w:sz w:val="24"/>
          <w:szCs w:val="24"/>
        </w:rPr>
        <w:t>Journal of Political Ideologies</w:t>
      </w:r>
      <w:r w:rsidRPr="5B8CDCEB">
        <w:rPr>
          <w:rFonts w:ascii="Georgia" w:hAnsi="Georgia" w:eastAsia="Georgia" w:cs="Georgia"/>
          <w:sz w:val="24"/>
          <w:szCs w:val="24"/>
        </w:rPr>
        <w:t xml:space="preserve"> 9(3): 269–288.</w:t>
      </w:r>
    </w:p>
    <w:p w:rsidRPr="00241859" w:rsidR="00241859" w:rsidP="00391121" w:rsidRDefault="6DFC17C8" w14:paraId="049F31CB" w14:textId="07D23011">
      <w:pPr>
        <w:spacing w:line="276" w:lineRule="auto"/>
        <w:jc w:val="both"/>
        <w:rPr>
          <w:rFonts w:ascii="Georgia" w:hAnsi="Georgia"/>
          <w:sz w:val="24"/>
          <w:szCs w:val="24"/>
        </w:rPr>
      </w:pPr>
      <w:r w:rsidRPr="6DFC17C8">
        <w:rPr>
          <w:rFonts w:ascii="Georgia" w:hAnsi="Georgia" w:eastAsia="Georgia" w:cs="Georgia"/>
          <w:sz w:val="24"/>
          <w:szCs w:val="24"/>
        </w:rPr>
        <w:lastRenderedPageBreak/>
        <w:t>Taylor-</w:t>
      </w:r>
      <w:proofErr w:type="spellStart"/>
      <w:r w:rsidRPr="6DFC17C8">
        <w:rPr>
          <w:rFonts w:ascii="Georgia" w:hAnsi="Georgia" w:eastAsia="Georgia" w:cs="Georgia"/>
          <w:sz w:val="24"/>
          <w:szCs w:val="24"/>
        </w:rPr>
        <w:t>Gooby</w:t>
      </w:r>
      <w:proofErr w:type="spellEnd"/>
      <w:r w:rsidRPr="6DFC17C8">
        <w:rPr>
          <w:rFonts w:ascii="Georgia" w:hAnsi="Georgia" w:eastAsia="Georgia" w:cs="Georgia"/>
          <w:sz w:val="24"/>
          <w:szCs w:val="24"/>
        </w:rPr>
        <w:t xml:space="preserve">, P. (2017) </w:t>
      </w:r>
      <w:proofErr w:type="spellStart"/>
      <w:r w:rsidRPr="6DFC17C8">
        <w:rPr>
          <w:rFonts w:ascii="Georgia" w:hAnsi="Georgia" w:eastAsia="Georgia" w:cs="Georgia"/>
          <w:sz w:val="24"/>
          <w:szCs w:val="24"/>
        </w:rPr>
        <w:t>'Re</w:t>
      </w:r>
      <w:proofErr w:type="spellEnd"/>
      <w:r w:rsidRPr="6DFC17C8">
        <w:rPr>
          <w:rFonts w:ascii="Georgia" w:hAnsi="Georgia" w:eastAsia="Georgia" w:cs="Georgia"/>
          <w:sz w:val="24"/>
          <w:szCs w:val="24"/>
        </w:rPr>
        <w:t xml:space="preserve">-doubling the crisis of the welfare state: the impact of </w:t>
      </w:r>
      <w:proofErr w:type="spellStart"/>
      <w:r w:rsidRPr="6DFC17C8">
        <w:rPr>
          <w:rFonts w:ascii="Georgia" w:hAnsi="Georgia" w:eastAsia="Georgia" w:cs="Georgia"/>
          <w:sz w:val="24"/>
          <w:szCs w:val="24"/>
        </w:rPr>
        <w:t>Brexit</w:t>
      </w:r>
      <w:proofErr w:type="spellEnd"/>
      <w:r w:rsidRPr="6DFC17C8">
        <w:rPr>
          <w:rFonts w:ascii="Georgia" w:hAnsi="Georgia" w:eastAsia="Georgia" w:cs="Georgia"/>
          <w:sz w:val="24"/>
          <w:szCs w:val="24"/>
        </w:rPr>
        <w:t xml:space="preserve"> on UK welfare state politics', </w:t>
      </w:r>
      <w:r w:rsidRPr="6DFC17C8">
        <w:rPr>
          <w:rFonts w:ascii="Georgia" w:hAnsi="Georgia" w:eastAsia="Georgia" w:cs="Georgia"/>
          <w:i/>
          <w:iCs/>
          <w:sz w:val="24"/>
          <w:szCs w:val="24"/>
        </w:rPr>
        <w:t>Journal of Social Policy</w:t>
      </w:r>
      <w:r w:rsidRPr="6DFC17C8">
        <w:rPr>
          <w:rFonts w:ascii="Georgia" w:hAnsi="Georgia" w:eastAsia="Georgia" w:cs="Georgia"/>
          <w:sz w:val="24"/>
          <w:szCs w:val="24"/>
        </w:rPr>
        <w:t>, 46, 4, 815-835.</w:t>
      </w:r>
    </w:p>
    <w:sectPr w:rsidRPr="00241859" w:rsidR="0024185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59"/>
    <w:rsid w:val="000C069D"/>
    <w:rsid w:val="0011704A"/>
    <w:rsid w:val="00174675"/>
    <w:rsid w:val="00241859"/>
    <w:rsid w:val="00380E9A"/>
    <w:rsid w:val="00391121"/>
    <w:rsid w:val="00480B32"/>
    <w:rsid w:val="004903FD"/>
    <w:rsid w:val="004F677D"/>
    <w:rsid w:val="005C135C"/>
    <w:rsid w:val="005E23E8"/>
    <w:rsid w:val="006B5EE1"/>
    <w:rsid w:val="006C7BE3"/>
    <w:rsid w:val="00797358"/>
    <w:rsid w:val="007B3F9D"/>
    <w:rsid w:val="00A14EC5"/>
    <w:rsid w:val="00A27DB0"/>
    <w:rsid w:val="00E7587C"/>
    <w:rsid w:val="00F37D5A"/>
    <w:rsid w:val="11266499"/>
    <w:rsid w:val="20A8CD33"/>
    <w:rsid w:val="59556787"/>
    <w:rsid w:val="5B8CDCEB"/>
    <w:rsid w:val="6DFC17C8"/>
    <w:rsid w:val="7654DC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AA97D"/>
  <w15:docId w15:val="{65FC0661-45A0-4AF9-92D2-B3FB381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41859"/>
    <w:rPr>
      <w:color w:val="0563C1" w:themeColor="hyperlink"/>
      <w:u w:val="single"/>
    </w:rPr>
  </w:style>
  <w:style w:type="paragraph" w:styleId="BalloonText">
    <w:name w:val="Balloon Text"/>
    <w:basedOn w:val="Normal"/>
    <w:link w:val="BalloonTextChar"/>
    <w:uiPriority w:val="99"/>
    <w:semiHidden/>
    <w:unhideWhenUsed/>
    <w:rsid w:val="00797358"/>
    <w:pPr>
      <w:spacing w:after="0"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797358"/>
    <w:rPr>
      <w:rFonts w:ascii="Lucida Grande" w:hAnsi="Lucida Grande"/>
      <w:sz w:val="18"/>
      <w:szCs w:val="18"/>
    </w:rPr>
  </w:style>
  <w:style w:type="character" w:styleId="CommentReference">
    <w:name w:val="annotation reference"/>
    <w:basedOn w:val="DefaultParagraphFont"/>
    <w:uiPriority w:val="99"/>
    <w:semiHidden/>
    <w:unhideWhenUsed/>
    <w:rsid w:val="00380E9A"/>
    <w:rPr>
      <w:sz w:val="18"/>
      <w:szCs w:val="18"/>
    </w:rPr>
  </w:style>
  <w:style w:type="paragraph" w:styleId="CommentText">
    <w:name w:val="annotation text"/>
    <w:basedOn w:val="Normal"/>
    <w:link w:val="CommentTextChar"/>
    <w:uiPriority w:val="99"/>
    <w:semiHidden/>
    <w:unhideWhenUsed/>
    <w:rsid w:val="00380E9A"/>
    <w:pPr>
      <w:spacing w:line="240" w:lineRule="auto"/>
    </w:pPr>
    <w:rPr>
      <w:sz w:val="24"/>
      <w:szCs w:val="24"/>
    </w:rPr>
  </w:style>
  <w:style w:type="character" w:styleId="CommentTextChar" w:customStyle="1">
    <w:name w:val="Comment Text Char"/>
    <w:basedOn w:val="DefaultParagraphFont"/>
    <w:link w:val="CommentText"/>
    <w:uiPriority w:val="99"/>
    <w:semiHidden/>
    <w:rsid w:val="00380E9A"/>
    <w:rPr>
      <w:sz w:val="24"/>
      <w:szCs w:val="24"/>
    </w:rPr>
  </w:style>
  <w:style w:type="paragraph" w:styleId="CommentSubject">
    <w:name w:val="annotation subject"/>
    <w:basedOn w:val="CommentText"/>
    <w:next w:val="CommentText"/>
    <w:link w:val="CommentSubjectChar"/>
    <w:uiPriority w:val="99"/>
    <w:semiHidden/>
    <w:unhideWhenUsed/>
    <w:rsid w:val="00380E9A"/>
    <w:rPr>
      <w:b/>
      <w:bCs/>
      <w:sz w:val="20"/>
      <w:szCs w:val="20"/>
    </w:rPr>
  </w:style>
  <w:style w:type="character" w:styleId="CommentSubjectChar" w:customStyle="1">
    <w:name w:val="Comment Subject Char"/>
    <w:basedOn w:val="CommentTextChar"/>
    <w:link w:val="CommentSubject"/>
    <w:uiPriority w:val="99"/>
    <w:semiHidden/>
    <w:rsid w:val="00380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ogs.bath.ac.uk/iprblog/2016/07/04/after-the-referendum-picking-up-the-bits-by-professor-graham-room/" TargetMode="External" Id="rId8" /><Relationship Type="http://schemas.openxmlformats.org/officeDocument/2006/relationships/settings" Target="settings.xml" Id="rId3" /><Relationship Type="http://schemas.openxmlformats.org/officeDocument/2006/relationships/hyperlink" Target="https://papers.ssrn.com/sol3/papers.cfm?abstract_id=2818659" TargetMode="Externa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mailto:a.c.walker@sheffield.ac.uk" TargetMode="External" Id="rId6" /><Relationship Type="http://schemas.openxmlformats.org/officeDocument/2006/relationships/hyperlink" Target="mailto:corbets@hope.ac.uk"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D80C-31B2-4FE4-B875-2F5CAC8E81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Liverpool Hope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Steven Corbett</dc:creator>
  <keywords/>
  <dc:description/>
  <lastModifiedBy>Steve Corbett</lastModifiedBy>
  <revision>14</revision>
  <lastPrinted>2018-08-16T11:53:00.0000000Z</lastPrinted>
  <dcterms:created xsi:type="dcterms:W3CDTF">2018-08-13T12:01:00.0000000Z</dcterms:created>
  <dcterms:modified xsi:type="dcterms:W3CDTF">2018-08-17T07:46:23.9480845Z</dcterms:modified>
</coreProperties>
</file>