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9D" w:rsidRPr="00A77CE6" w:rsidRDefault="0076549D" w:rsidP="0076549D">
      <w:pPr>
        <w:jc w:val="center"/>
        <w:rPr>
          <w:b/>
          <w:sz w:val="36"/>
          <w:szCs w:val="36"/>
          <w:u w:val="single"/>
          <w:lang w:val="en-US"/>
        </w:rPr>
      </w:pPr>
      <w:r>
        <w:rPr>
          <w:b/>
          <w:sz w:val="36"/>
          <w:szCs w:val="36"/>
          <w:u w:val="single"/>
          <w:lang w:val="en-US"/>
        </w:rPr>
        <w:t>Cognitive influences shaping grade decision making</w:t>
      </w:r>
    </w:p>
    <w:p w:rsidR="0076549D" w:rsidRDefault="0076549D" w:rsidP="0076549D">
      <w:pPr>
        <w:rPr>
          <w:sz w:val="24"/>
          <w:szCs w:val="24"/>
          <w:lang w:val="en-US"/>
        </w:rPr>
      </w:pPr>
    </w:p>
    <w:p w:rsidR="0076549D" w:rsidRDefault="0076549D" w:rsidP="0076549D">
      <w:pPr>
        <w:jc w:val="center"/>
        <w:rPr>
          <w:sz w:val="24"/>
          <w:szCs w:val="24"/>
          <w:lang w:val="en-US"/>
        </w:rPr>
      </w:pPr>
    </w:p>
    <w:p w:rsidR="0076549D" w:rsidRDefault="0076549D" w:rsidP="0076549D">
      <w:pPr>
        <w:jc w:val="center"/>
        <w:rPr>
          <w:sz w:val="24"/>
          <w:szCs w:val="24"/>
          <w:lang w:val="en-US"/>
        </w:rPr>
      </w:pPr>
      <w:r>
        <w:rPr>
          <w:sz w:val="24"/>
          <w:szCs w:val="24"/>
          <w:lang w:val="en-US"/>
        </w:rPr>
        <w:t>Dr. Ian Pownall with Dr. Victoria Kennedy</w:t>
      </w:r>
    </w:p>
    <w:p w:rsidR="0076549D" w:rsidRDefault="0076549D" w:rsidP="0076549D">
      <w:pPr>
        <w:rPr>
          <w:sz w:val="24"/>
          <w:szCs w:val="24"/>
          <w:lang w:val="en-US"/>
        </w:rPr>
      </w:pPr>
    </w:p>
    <w:p w:rsidR="0076549D" w:rsidRDefault="0076549D" w:rsidP="0076549D">
      <w:pPr>
        <w:rPr>
          <w:sz w:val="24"/>
          <w:szCs w:val="24"/>
          <w:lang w:val="en-US"/>
        </w:rPr>
      </w:pPr>
    </w:p>
    <w:p w:rsidR="0076549D" w:rsidRPr="009A7714" w:rsidRDefault="0076549D" w:rsidP="0076549D">
      <w:pPr>
        <w:jc w:val="center"/>
        <w:rPr>
          <w:sz w:val="32"/>
          <w:szCs w:val="32"/>
          <w:lang w:val="en-US"/>
        </w:rPr>
      </w:pPr>
      <w:r w:rsidRPr="009A7714">
        <w:rPr>
          <w:sz w:val="32"/>
          <w:szCs w:val="32"/>
          <w:lang w:val="en-US"/>
        </w:rPr>
        <w:t>Abstract</w:t>
      </w:r>
    </w:p>
    <w:p w:rsidR="0076549D" w:rsidRDefault="0076549D" w:rsidP="0076549D">
      <w:pPr>
        <w:rPr>
          <w:sz w:val="24"/>
          <w:szCs w:val="24"/>
          <w:lang w:val="en-US"/>
        </w:rPr>
      </w:pPr>
    </w:p>
    <w:p w:rsidR="0076549D" w:rsidRDefault="0076549D" w:rsidP="0076549D">
      <w:pPr>
        <w:jc w:val="both"/>
        <w:rPr>
          <w:sz w:val="24"/>
          <w:szCs w:val="24"/>
          <w:lang w:val="en-US"/>
        </w:rPr>
      </w:pPr>
      <w:r>
        <w:rPr>
          <w:sz w:val="24"/>
          <w:szCs w:val="24"/>
          <w:lang w:val="en-US"/>
        </w:rPr>
        <w:t>Whilst the marking process is a well explored area, there is limited analysis of the influences that shape the grading decision at the point at which it is made. This can be particularly important when those influences may vary during the marking process. We draw upon a small sample of assessed scripts from two UK HEIs and undertake a factor analysis of potentially important influences that shape the grading decision at the cognitive point it is made. Our findings indicate that for the sample analysed, the markers most important influences were those associated with the normative view of marking although they also suggest potential influences from when the script was graded and the fatigue of the marker concerned.</w:t>
      </w:r>
    </w:p>
    <w:p w:rsidR="0076549D" w:rsidRDefault="0076549D" w:rsidP="0076549D">
      <w:pPr>
        <w:rPr>
          <w:sz w:val="24"/>
          <w:szCs w:val="24"/>
          <w:lang w:val="en-US"/>
        </w:rPr>
      </w:pPr>
      <w:r>
        <w:rPr>
          <w:sz w:val="24"/>
          <w:szCs w:val="24"/>
          <w:lang w:val="en-US"/>
        </w:rPr>
        <w:t>Keywords: Grading, Marking, Bias, Influences, Theory of Planned Behaviour, Cognition, Decision Making</w:t>
      </w: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rPr>
          <w:sz w:val="24"/>
          <w:szCs w:val="24"/>
          <w:lang w:val="en-US"/>
        </w:rPr>
      </w:pPr>
    </w:p>
    <w:p w:rsidR="0076549D" w:rsidRDefault="0076549D" w:rsidP="0076549D">
      <w:pPr>
        <w:jc w:val="right"/>
        <w:rPr>
          <w:sz w:val="24"/>
          <w:szCs w:val="24"/>
          <w:lang w:val="en-US"/>
        </w:rPr>
      </w:pPr>
      <w:r>
        <w:rPr>
          <w:sz w:val="24"/>
          <w:szCs w:val="24"/>
          <w:lang w:val="en-US"/>
        </w:rPr>
        <w:t>Correspondence:</w:t>
      </w:r>
    </w:p>
    <w:p w:rsidR="0076549D" w:rsidRDefault="0076549D" w:rsidP="0076549D">
      <w:pPr>
        <w:jc w:val="right"/>
        <w:rPr>
          <w:sz w:val="24"/>
          <w:szCs w:val="24"/>
          <w:lang w:val="en-US"/>
        </w:rPr>
      </w:pPr>
    </w:p>
    <w:p w:rsidR="0076549D" w:rsidRDefault="0076549D" w:rsidP="0076549D">
      <w:pPr>
        <w:jc w:val="right"/>
        <w:rPr>
          <w:sz w:val="24"/>
          <w:szCs w:val="24"/>
          <w:lang w:val="en-US"/>
        </w:rPr>
      </w:pPr>
      <w:r>
        <w:rPr>
          <w:sz w:val="24"/>
          <w:szCs w:val="24"/>
          <w:lang w:val="en-US"/>
        </w:rPr>
        <w:t>Dr Ian Pownall</w:t>
      </w:r>
    </w:p>
    <w:p w:rsidR="0076549D" w:rsidRDefault="0076549D" w:rsidP="0076549D">
      <w:pPr>
        <w:jc w:val="right"/>
        <w:rPr>
          <w:sz w:val="24"/>
          <w:szCs w:val="24"/>
          <w:lang w:val="en-US"/>
        </w:rPr>
      </w:pPr>
      <w:r>
        <w:rPr>
          <w:sz w:val="24"/>
          <w:szCs w:val="24"/>
          <w:lang w:val="en-US"/>
        </w:rPr>
        <w:t>Room 210 – Queens Park Campus</w:t>
      </w:r>
    </w:p>
    <w:p w:rsidR="0076549D" w:rsidRDefault="0076549D" w:rsidP="0076549D">
      <w:pPr>
        <w:jc w:val="right"/>
        <w:rPr>
          <w:sz w:val="24"/>
          <w:szCs w:val="24"/>
          <w:lang w:val="en-US"/>
        </w:rPr>
      </w:pPr>
      <w:r>
        <w:rPr>
          <w:sz w:val="24"/>
          <w:szCs w:val="24"/>
          <w:lang w:val="en-US"/>
        </w:rPr>
        <w:t>Chester Business School</w:t>
      </w:r>
    </w:p>
    <w:p w:rsidR="0076549D" w:rsidRDefault="0076549D" w:rsidP="0076549D">
      <w:pPr>
        <w:jc w:val="right"/>
        <w:rPr>
          <w:sz w:val="24"/>
          <w:szCs w:val="24"/>
          <w:lang w:val="en-US"/>
        </w:rPr>
      </w:pPr>
      <w:r>
        <w:rPr>
          <w:sz w:val="24"/>
          <w:szCs w:val="24"/>
          <w:lang w:val="en-US"/>
        </w:rPr>
        <w:t>Chester University</w:t>
      </w:r>
    </w:p>
    <w:p w:rsidR="0076549D" w:rsidRDefault="0076549D" w:rsidP="0076549D">
      <w:pPr>
        <w:jc w:val="right"/>
        <w:rPr>
          <w:sz w:val="24"/>
          <w:szCs w:val="24"/>
          <w:lang w:val="en-US"/>
        </w:rPr>
      </w:pPr>
      <w:r>
        <w:rPr>
          <w:sz w:val="24"/>
          <w:szCs w:val="24"/>
          <w:lang w:val="en-US"/>
        </w:rPr>
        <w:t>T: 01244 511814</w:t>
      </w:r>
    </w:p>
    <w:p w:rsidR="0076549D" w:rsidRDefault="0076549D" w:rsidP="0076549D">
      <w:pPr>
        <w:jc w:val="right"/>
        <w:rPr>
          <w:sz w:val="24"/>
          <w:szCs w:val="24"/>
          <w:lang w:val="en-US"/>
        </w:rPr>
      </w:pPr>
      <w:r>
        <w:rPr>
          <w:sz w:val="24"/>
          <w:szCs w:val="24"/>
          <w:lang w:val="en-US"/>
        </w:rPr>
        <w:t xml:space="preserve">E: </w:t>
      </w:r>
      <w:hyperlink r:id="rId5" w:history="1">
        <w:r w:rsidRPr="00DB31C2">
          <w:rPr>
            <w:rStyle w:val="Hyperlink"/>
            <w:sz w:val="24"/>
            <w:szCs w:val="24"/>
            <w:lang w:val="en-US"/>
          </w:rPr>
          <w:t>i.pownall@chester.ac.uk</w:t>
        </w:r>
      </w:hyperlink>
    </w:p>
    <w:p w:rsidR="00616752" w:rsidRDefault="0076549D"/>
    <w:p w:rsidR="0076549D" w:rsidRPr="001A0E1D" w:rsidRDefault="0076549D" w:rsidP="0076549D">
      <w:pPr>
        <w:pStyle w:val="Heading1"/>
        <w:rPr>
          <w:b/>
          <w:lang w:val="en-US"/>
        </w:rPr>
      </w:pPr>
      <w:r w:rsidRPr="001A0E1D">
        <w:rPr>
          <w:b/>
          <w:lang w:val="en-US"/>
        </w:rPr>
        <w:lastRenderedPageBreak/>
        <w:t>Introduction</w:t>
      </w:r>
    </w:p>
    <w:p w:rsidR="0076549D" w:rsidRPr="00415383" w:rsidRDefault="0076549D" w:rsidP="0076549D">
      <w:pPr>
        <w:rPr>
          <w:lang w:val="en-US"/>
        </w:rPr>
      </w:pPr>
      <w:r>
        <w:rPr>
          <w:lang w:val="en-US"/>
        </w:rPr>
        <w:t xml:space="preserve"> </w:t>
      </w:r>
    </w:p>
    <w:p w:rsidR="0076549D" w:rsidRDefault="0076549D" w:rsidP="0076549D">
      <w:pPr>
        <w:jc w:val="both"/>
        <w:rPr>
          <w:rFonts w:ascii="Arial" w:hAnsi="Arial" w:cs="Arial"/>
          <w:bCs/>
        </w:rPr>
      </w:pPr>
      <w:r>
        <w:rPr>
          <w:rFonts w:ascii="Arial" w:hAnsi="Arial" w:cs="Arial"/>
          <w:lang w:val="en-US"/>
        </w:rPr>
        <w:t>As with many other tertiary level education processes and institutions, t</w:t>
      </w:r>
      <w:r w:rsidRPr="00437175">
        <w:rPr>
          <w:rFonts w:ascii="Arial" w:hAnsi="Arial" w:cs="Arial"/>
          <w:lang w:val="en-US"/>
        </w:rPr>
        <w:t xml:space="preserve">he </w:t>
      </w:r>
      <w:r>
        <w:rPr>
          <w:rFonts w:ascii="Arial" w:hAnsi="Arial" w:cs="Arial"/>
          <w:lang w:val="en-US"/>
        </w:rPr>
        <w:t xml:space="preserve">assessment and </w:t>
      </w:r>
      <w:r w:rsidRPr="00437175">
        <w:rPr>
          <w:rFonts w:ascii="Arial" w:hAnsi="Arial" w:cs="Arial"/>
          <w:lang w:val="en-US"/>
        </w:rPr>
        <w:t xml:space="preserve">marking process in </w:t>
      </w:r>
      <w:r>
        <w:rPr>
          <w:rFonts w:ascii="Arial" w:hAnsi="Arial" w:cs="Arial"/>
          <w:lang w:val="en-US"/>
        </w:rPr>
        <w:t>higher educational institutions (</w:t>
      </w:r>
      <w:r w:rsidRPr="00437175">
        <w:rPr>
          <w:rFonts w:ascii="Arial" w:hAnsi="Arial" w:cs="Arial"/>
          <w:lang w:val="en-US"/>
        </w:rPr>
        <w:t>HEI</w:t>
      </w:r>
      <w:r>
        <w:rPr>
          <w:rFonts w:ascii="Arial" w:hAnsi="Arial" w:cs="Arial"/>
          <w:lang w:val="en-US"/>
        </w:rPr>
        <w:t>)</w:t>
      </w:r>
      <w:r w:rsidRPr="00437175">
        <w:rPr>
          <w:rFonts w:ascii="Arial" w:hAnsi="Arial" w:cs="Arial"/>
          <w:lang w:val="en-US"/>
        </w:rPr>
        <w:t xml:space="preserve"> has come under increased scrutiny from an instrumental perspective of education</w:t>
      </w:r>
      <w:r>
        <w:rPr>
          <w:rFonts w:ascii="Arial" w:hAnsi="Arial" w:cs="Arial"/>
          <w:lang w:val="en-US"/>
        </w:rPr>
        <w:t xml:space="preserve"> (Olsen, 2007: Atwood, 2008)</w:t>
      </w:r>
      <w:r w:rsidRPr="00437175">
        <w:rPr>
          <w:rFonts w:ascii="Arial" w:hAnsi="Arial" w:cs="Arial"/>
          <w:lang w:val="en-US"/>
        </w:rPr>
        <w:t xml:space="preserve">. </w:t>
      </w:r>
      <w:r>
        <w:rPr>
          <w:rFonts w:ascii="Arial" w:hAnsi="Arial" w:cs="Arial"/>
          <w:bCs/>
        </w:rPr>
        <w:t xml:space="preserve">If as this view proposes, </w:t>
      </w:r>
      <w:r w:rsidRPr="00437175">
        <w:rPr>
          <w:rFonts w:ascii="Arial" w:hAnsi="Arial" w:cs="Arial"/>
          <w:bCs/>
        </w:rPr>
        <w:t xml:space="preserve">education’s role is to be </w:t>
      </w:r>
      <w:r>
        <w:rPr>
          <w:rFonts w:ascii="Arial" w:hAnsi="Arial" w:cs="Arial"/>
          <w:bCs/>
        </w:rPr>
        <w:t>an</w:t>
      </w:r>
      <w:r w:rsidRPr="00437175">
        <w:rPr>
          <w:rFonts w:ascii="Arial" w:hAnsi="Arial" w:cs="Arial"/>
          <w:bCs/>
        </w:rPr>
        <w:t xml:space="preserve"> engine of </w:t>
      </w:r>
      <w:r>
        <w:rPr>
          <w:rFonts w:ascii="Arial" w:hAnsi="Arial" w:cs="Arial"/>
          <w:bCs/>
        </w:rPr>
        <w:t xml:space="preserve">national economic </w:t>
      </w:r>
      <w:r w:rsidRPr="00437175">
        <w:rPr>
          <w:rFonts w:ascii="Arial" w:hAnsi="Arial" w:cs="Arial"/>
          <w:bCs/>
        </w:rPr>
        <w:t>growth then it needs to offer sufficient and appropriate skills, knowledge and competences to address</w:t>
      </w:r>
      <w:r>
        <w:rPr>
          <w:rFonts w:ascii="Arial" w:hAnsi="Arial" w:cs="Arial"/>
          <w:bCs/>
        </w:rPr>
        <w:t xml:space="preserve"> an assumed convergence between the goals of individuals and those of a post-industrial economy and society</w:t>
      </w:r>
      <w:r w:rsidRPr="00437175">
        <w:rPr>
          <w:rFonts w:ascii="Arial" w:hAnsi="Arial" w:cs="Arial"/>
          <w:bCs/>
        </w:rPr>
        <w:t xml:space="preserve"> (</w:t>
      </w:r>
      <w:r>
        <w:rPr>
          <w:rFonts w:ascii="Arial" w:hAnsi="Arial" w:cs="Arial"/>
          <w:bCs/>
        </w:rPr>
        <w:t xml:space="preserve">Johnston &amp; Watson, 2004: </w:t>
      </w:r>
      <w:r w:rsidRPr="00437175">
        <w:rPr>
          <w:rFonts w:ascii="Arial" w:hAnsi="Arial" w:cs="Arial"/>
          <w:bCs/>
        </w:rPr>
        <w:t xml:space="preserve">Williams, 2008). </w:t>
      </w:r>
      <w:r>
        <w:rPr>
          <w:rFonts w:ascii="Arial" w:hAnsi="Arial" w:cs="Arial"/>
          <w:bCs/>
        </w:rPr>
        <w:t xml:space="preserve">From this perspective, educational aims are focused upon competence acquisition by individuals. </w:t>
      </w:r>
    </w:p>
    <w:p w:rsidR="0076549D" w:rsidRDefault="0076549D" w:rsidP="0076549D">
      <w:pPr>
        <w:jc w:val="both"/>
        <w:rPr>
          <w:rFonts w:ascii="Arial" w:hAnsi="Arial" w:cs="Arial"/>
          <w:bCs/>
        </w:rPr>
      </w:pPr>
      <w:r>
        <w:rPr>
          <w:rFonts w:ascii="Arial" w:hAnsi="Arial" w:cs="Arial"/>
          <w:bCs/>
        </w:rPr>
        <w:t>However, this view can be in conflict with the aim of the ‘marking process’. As Sadler (2009:807) states “T</w:t>
      </w:r>
      <w:r w:rsidRPr="00B33D5A">
        <w:rPr>
          <w:rFonts w:ascii="Arial" w:hAnsi="Arial" w:cs="Arial"/>
          <w:bCs/>
        </w:rPr>
        <w:t>he integrity of grades has to do with</w:t>
      </w:r>
      <w:r>
        <w:rPr>
          <w:rFonts w:ascii="Arial" w:hAnsi="Arial" w:cs="Arial"/>
          <w:bCs/>
        </w:rPr>
        <w:t xml:space="preserve"> </w:t>
      </w:r>
      <w:r w:rsidRPr="00B33D5A">
        <w:rPr>
          <w:rFonts w:ascii="Arial" w:hAnsi="Arial" w:cs="Arial"/>
          <w:bCs/>
        </w:rPr>
        <w:t>their authenticity and provenance rather than their utility for various purposes</w:t>
      </w:r>
      <w:r>
        <w:rPr>
          <w:rFonts w:ascii="Arial" w:hAnsi="Arial" w:cs="Arial"/>
          <w:bCs/>
        </w:rPr>
        <w:t>…”</w:t>
      </w:r>
      <w:r w:rsidRPr="00B33D5A">
        <w:rPr>
          <w:rFonts w:ascii="Arial" w:hAnsi="Arial" w:cs="Arial"/>
          <w:bCs/>
        </w:rPr>
        <w:t>.</w:t>
      </w:r>
      <w:r>
        <w:rPr>
          <w:rFonts w:ascii="Arial" w:hAnsi="Arial" w:cs="Arial"/>
          <w:bCs/>
        </w:rPr>
        <w:t xml:space="preserve"> There is potential for significant disquiet with those tasked to grade assessed submissions as they seek to reconcile these two competing perspectives. As a result, in the UK a common normative metric of competency achievement is found in the award of ‘good quality degree’ marks, which are interpreted as comprising the proportional allocation of first and upper second class awards to work presented for undergraduate assessment or merit/distinction for postgraduate assessment (even though the determination of this volume is typically not undertaken by </w:t>
      </w:r>
      <w:r w:rsidRPr="00AA3478">
        <w:rPr>
          <w:rFonts w:ascii="Arial" w:hAnsi="Arial" w:cs="Arial"/>
          <w:bCs/>
          <w:i/>
        </w:rPr>
        <w:t>grading proportion</w:t>
      </w:r>
      <w:r>
        <w:rPr>
          <w:rFonts w:ascii="Arial" w:hAnsi="Arial" w:cs="Arial"/>
          <w:bCs/>
        </w:rPr>
        <w:t xml:space="preserve"> in the UK (Sadler, 2009)). When these are then included as part of comparative HEI measurements to generate ranking tables, there is inevitably a tension within the marking process to ensure that it remains both objectively and subjectively understood to be fair and robust yet contributes to the external confirmation of teaching and assessment quality. However, this view risks ignoring a range of other potential variables that may shape the outcome of the marking process. These variables can for example reflect the cognitive process of marking, learner diversity and the situational context of the learning (Illeris, 2012). </w:t>
      </w:r>
    </w:p>
    <w:p w:rsidR="0076549D" w:rsidRDefault="0076549D" w:rsidP="0076549D">
      <w:pPr>
        <w:jc w:val="both"/>
        <w:rPr>
          <w:rFonts w:ascii="Arial" w:hAnsi="Arial" w:cs="Arial"/>
          <w:bCs/>
        </w:rPr>
      </w:pPr>
      <w:r>
        <w:rPr>
          <w:rFonts w:ascii="Arial" w:hAnsi="Arial" w:cs="Arial"/>
          <w:bCs/>
        </w:rPr>
        <w:t>This paper develops a conceptual framework of the marking process by identifying potential influences that can combine in varying ways to generate an extrinsic measurement of achievement. We seek to understand this process in that context. It is one of the four threats to grade integrity identified by Sadler (2009). Through data gathered by HEI markers whilst marking submitted assessments, an analysis of that data is undertaken to identify the potential and comparative importance of those influences. This will help clarify understanding about the marking process and potentially instrumental influences. It contributes to both the ongoing debate about comparative institutional performances and grade inflation, as well as offering developmental opportunities for academic staff. We finally suggest areas for further research to build upon the emergent outcomes and opportunities of this work.</w:t>
      </w:r>
    </w:p>
    <w:p w:rsidR="0076549D" w:rsidRPr="001A0E1D" w:rsidRDefault="0076549D" w:rsidP="0076549D">
      <w:pPr>
        <w:pStyle w:val="Heading1"/>
        <w:rPr>
          <w:b/>
        </w:rPr>
      </w:pPr>
      <w:r w:rsidRPr="001A0E1D">
        <w:rPr>
          <w:b/>
        </w:rPr>
        <w:t>The intention to grade</w:t>
      </w:r>
    </w:p>
    <w:p w:rsidR="0076549D" w:rsidRDefault="0076549D" w:rsidP="0076549D">
      <w:pPr>
        <w:jc w:val="both"/>
        <w:rPr>
          <w:rFonts w:ascii="Arial" w:hAnsi="Arial" w:cs="Arial"/>
          <w:bCs/>
        </w:rPr>
      </w:pPr>
    </w:p>
    <w:p w:rsidR="0076549D" w:rsidRDefault="0076549D" w:rsidP="0076549D">
      <w:pPr>
        <w:jc w:val="both"/>
        <w:rPr>
          <w:rFonts w:ascii="Arial" w:hAnsi="Arial" w:cs="Arial"/>
          <w:bCs/>
        </w:rPr>
      </w:pPr>
      <w:r>
        <w:rPr>
          <w:rFonts w:ascii="Arial" w:hAnsi="Arial" w:cs="Arial"/>
          <w:bCs/>
        </w:rPr>
        <w:t xml:space="preserve">We firstly adopt a normative stance that HEI markers aim to undertake objective grading of submitted assessments. In other words, it is their intention to practice academic grade integrity. This is a very important assumption as it underpins a large scope of subsequent sector, policy and life decision outcomes that are built upon the premise of grade integrity (Sadler, 2009). For reasons outlined in subsequent sections of this paper however, actual behaviour may not deliver upon this intention, but intention is a good proximal measure of expected behaviour (Francis et al, 2004). An intention to act is arguably determined by the attitude of the actor, the social pressure upon the actor and the actor’s belief in how much control they have and the ease with which that intention can be delivered (Ajzen, 1991). We seek to determine the relative importance of these potentially influencing variables upon the intention to deliver an objective grade. Thus we undertake a principal component analysis (PCA) to seek to reduce the number of potential influencing variables to those which have significant impact upon the grading intention. Whilst behaviour is observable, intention is a cognitive construct. Intention is not directly measurable. Instead we next identify appropriate manifest variables that could illuminate a latent intention. </w:t>
      </w:r>
    </w:p>
    <w:p w:rsidR="0076549D" w:rsidRDefault="0076549D" w:rsidP="0076549D">
      <w:pPr>
        <w:jc w:val="both"/>
        <w:rPr>
          <w:rFonts w:ascii="Arial" w:hAnsi="Arial" w:cs="Arial"/>
        </w:rPr>
      </w:pPr>
      <w:r>
        <w:rPr>
          <w:rFonts w:ascii="Arial" w:hAnsi="Arial" w:cs="Arial"/>
          <w:bCs/>
        </w:rPr>
        <w:t>F</w:t>
      </w:r>
      <w:r w:rsidRPr="00C642EF">
        <w:rPr>
          <w:rFonts w:ascii="Arial" w:hAnsi="Arial" w:cs="Arial"/>
        </w:rPr>
        <w:t xml:space="preserve">or many </w:t>
      </w:r>
      <w:r>
        <w:rPr>
          <w:rFonts w:ascii="Arial" w:hAnsi="Arial" w:cs="Arial"/>
        </w:rPr>
        <w:t xml:space="preserve">students, an </w:t>
      </w:r>
      <w:r w:rsidRPr="00C642EF">
        <w:rPr>
          <w:rFonts w:ascii="Arial" w:hAnsi="Arial" w:cs="Arial"/>
        </w:rPr>
        <w:t xml:space="preserve">understanding </w:t>
      </w:r>
      <w:r>
        <w:rPr>
          <w:rFonts w:ascii="Arial" w:hAnsi="Arial" w:cs="Arial"/>
        </w:rPr>
        <w:t xml:space="preserve">of </w:t>
      </w:r>
      <w:r w:rsidRPr="00C642EF">
        <w:rPr>
          <w:rFonts w:ascii="Arial" w:hAnsi="Arial" w:cs="Arial"/>
        </w:rPr>
        <w:t xml:space="preserve">the UK </w:t>
      </w:r>
      <w:r>
        <w:rPr>
          <w:rFonts w:ascii="Arial" w:hAnsi="Arial" w:cs="Arial"/>
        </w:rPr>
        <w:t xml:space="preserve">HEI </w:t>
      </w:r>
      <w:r w:rsidRPr="00C642EF">
        <w:rPr>
          <w:rFonts w:ascii="Arial" w:hAnsi="Arial" w:cs="Arial"/>
        </w:rPr>
        <w:t xml:space="preserve">grading system can be something new and complex. HEI grading </w:t>
      </w:r>
      <w:r>
        <w:rPr>
          <w:rFonts w:ascii="Arial" w:hAnsi="Arial" w:cs="Arial"/>
        </w:rPr>
        <w:t xml:space="preserve">can be </w:t>
      </w:r>
      <w:r w:rsidRPr="00C642EF">
        <w:rPr>
          <w:rFonts w:ascii="Arial" w:hAnsi="Arial" w:cs="Arial"/>
        </w:rPr>
        <w:t>(although</w:t>
      </w:r>
      <w:r>
        <w:rPr>
          <w:rFonts w:ascii="Arial" w:hAnsi="Arial" w:cs="Arial"/>
        </w:rPr>
        <w:t xml:space="preserve"> is</w:t>
      </w:r>
      <w:r w:rsidRPr="00C642EF">
        <w:rPr>
          <w:rFonts w:ascii="Arial" w:hAnsi="Arial" w:cs="Arial"/>
        </w:rPr>
        <w:t xml:space="preserve"> not exclusively) based upon a class based system that reflects </w:t>
      </w:r>
      <w:r>
        <w:rPr>
          <w:rFonts w:ascii="Arial" w:hAnsi="Arial" w:cs="Arial"/>
        </w:rPr>
        <w:t xml:space="preserve">achievement </w:t>
      </w:r>
      <w:r>
        <w:rPr>
          <w:rFonts w:ascii="Arial" w:hAnsi="Arial" w:cs="Arial"/>
        </w:rPr>
        <w:lastRenderedPageBreak/>
        <w:t xml:space="preserve">with an attainment of evidence that addresses </w:t>
      </w:r>
      <w:r w:rsidRPr="00C642EF">
        <w:rPr>
          <w:rFonts w:ascii="Arial" w:hAnsi="Arial" w:cs="Arial"/>
        </w:rPr>
        <w:t xml:space="preserve">identified intended learning outcomes </w:t>
      </w:r>
      <w:r>
        <w:rPr>
          <w:rFonts w:ascii="Arial" w:hAnsi="Arial" w:cs="Arial"/>
        </w:rPr>
        <w:t xml:space="preserve">that are (typically) </w:t>
      </w:r>
      <w:r w:rsidRPr="00C642EF">
        <w:rPr>
          <w:rFonts w:ascii="Arial" w:hAnsi="Arial" w:cs="Arial"/>
        </w:rPr>
        <w:t xml:space="preserve">articulated through assessment criteria. </w:t>
      </w:r>
      <w:r>
        <w:rPr>
          <w:rFonts w:ascii="Arial" w:hAnsi="Arial" w:cs="Arial"/>
        </w:rPr>
        <w:t>It has become increasingly common</w:t>
      </w:r>
      <w:r w:rsidRPr="00C642EF">
        <w:rPr>
          <w:rFonts w:ascii="Arial" w:hAnsi="Arial" w:cs="Arial"/>
        </w:rPr>
        <w:t xml:space="preserve"> practice that UK HEIs are encouraged to adopt the full marking range (from 0 to 100%)</w:t>
      </w:r>
      <w:r>
        <w:rPr>
          <w:rFonts w:ascii="Arial" w:hAnsi="Arial" w:cs="Arial"/>
        </w:rPr>
        <w:t xml:space="preserve"> including the arts and humanities </w:t>
      </w:r>
      <w:r w:rsidRPr="00C642EF">
        <w:rPr>
          <w:rFonts w:ascii="Arial" w:hAnsi="Arial" w:cs="Arial"/>
        </w:rPr>
        <w:t>disciplines</w:t>
      </w:r>
      <w:r>
        <w:rPr>
          <w:rFonts w:ascii="Arial" w:hAnsi="Arial" w:cs="Arial"/>
        </w:rPr>
        <w:t>,</w:t>
      </w:r>
      <w:r w:rsidRPr="00C642EF">
        <w:rPr>
          <w:rFonts w:ascii="Arial" w:hAnsi="Arial" w:cs="Arial"/>
        </w:rPr>
        <w:t xml:space="preserve"> that have historically been presented as operating a narrower marking range (</w:t>
      </w:r>
      <w:r>
        <w:rPr>
          <w:rFonts w:ascii="Arial" w:hAnsi="Arial" w:cs="Arial"/>
        </w:rPr>
        <w:t xml:space="preserve">Barnes </w:t>
      </w:r>
      <w:r w:rsidRPr="004F3D5C">
        <w:rPr>
          <w:rFonts w:ascii="Arial" w:hAnsi="Arial" w:cs="Arial"/>
          <w:i/>
        </w:rPr>
        <w:t>et al</w:t>
      </w:r>
      <w:r>
        <w:rPr>
          <w:rFonts w:ascii="Arial" w:hAnsi="Arial" w:cs="Arial"/>
        </w:rPr>
        <w:t>, 2001</w:t>
      </w:r>
      <w:r w:rsidRPr="00C642EF">
        <w:rPr>
          <w:rFonts w:ascii="Arial" w:hAnsi="Arial" w:cs="Arial"/>
        </w:rPr>
        <w:t xml:space="preserve">). </w:t>
      </w:r>
      <w:r>
        <w:rPr>
          <w:rFonts w:ascii="Arial" w:hAnsi="Arial" w:cs="Arial"/>
        </w:rPr>
        <w:t xml:space="preserve">Sadler (2009:809) presents a robust view of the normative factors that contribute towards establishing a grade for an assessed submission. In this work we are concerned with the reality of that process, particularly items 1,2 and 3, where the individual marker seeks to resolve and balance </w:t>
      </w:r>
      <w:r w:rsidRPr="005B4CFC">
        <w:rPr>
          <w:rFonts w:ascii="Arial" w:hAnsi="Arial" w:cs="Arial"/>
          <w:i/>
        </w:rPr>
        <w:t xml:space="preserve">in real time </w:t>
      </w:r>
      <w:r>
        <w:rPr>
          <w:rFonts w:ascii="Arial" w:hAnsi="Arial" w:cs="Arial"/>
        </w:rPr>
        <w:t xml:space="preserve">influences that give rise to an allocated grade. </w:t>
      </w:r>
    </w:p>
    <w:p w:rsidR="0076549D" w:rsidRDefault="0076549D" w:rsidP="0076549D">
      <w:pPr>
        <w:ind w:left="720"/>
        <w:jc w:val="both"/>
      </w:pPr>
      <w:r>
        <w:t xml:space="preserve">“(1) Students deserve to have their work graded strictly according to its quality, without their responses on the same or similar tasks being compared with those of other students in their group, and without regard to the students’ individual histories of previous achievement. </w:t>
      </w:r>
    </w:p>
    <w:p w:rsidR="0076549D" w:rsidRDefault="0076549D" w:rsidP="0076549D">
      <w:pPr>
        <w:ind w:left="720"/>
        <w:jc w:val="both"/>
      </w:pPr>
      <w:r>
        <w:t xml:space="preserve">(2) Students deserve to know the bases on which judgments are made about the quality of their work. There should be few if any surprises. </w:t>
      </w:r>
    </w:p>
    <w:p w:rsidR="0076549D" w:rsidRDefault="0076549D" w:rsidP="0076549D">
      <w:pPr>
        <w:ind w:left="720"/>
        <w:jc w:val="both"/>
      </w:pPr>
      <w:r>
        <w:t xml:space="preserve">(3) Students deserve their grades to have comparable value across courses in the academic program in which they enrol, and across the institution. Courses should not exhibit characteristically tough or lenient grading. </w:t>
      </w:r>
    </w:p>
    <w:p w:rsidR="0076549D" w:rsidRDefault="0076549D" w:rsidP="0076549D">
      <w:pPr>
        <w:ind w:left="720"/>
        <w:jc w:val="both"/>
        <w:rPr>
          <w:rFonts w:ascii="Arial" w:hAnsi="Arial" w:cs="Arial"/>
        </w:rPr>
      </w:pPr>
      <w:r>
        <w:t xml:space="preserve">(4) Students deserve grades that are broadly comparable across institutions and maintain value over time, so that the standing of their educational qualifications is protected not only by the college or university in which they study but also by higher education as a social institution” </w:t>
      </w:r>
    </w:p>
    <w:p w:rsidR="0076549D" w:rsidRPr="009B17CF" w:rsidRDefault="0076549D" w:rsidP="0076549D">
      <w:pPr>
        <w:jc w:val="both"/>
        <w:rPr>
          <w:rFonts w:ascii="Arial" w:hAnsi="Arial" w:cs="Arial"/>
        </w:rPr>
      </w:pPr>
      <w:r w:rsidRPr="00677031">
        <w:rPr>
          <w:rFonts w:ascii="Arial" w:hAnsi="Arial" w:cs="Arial"/>
          <w:bCs/>
        </w:rPr>
        <w:t xml:space="preserve">Allen </w:t>
      </w:r>
      <w:r>
        <w:rPr>
          <w:rFonts w:ascii="Arial" w:hAnsi="Arial" w:cs="Arial"/>
        </w:rPr>
        <w:t>(2005), Sadler (2009) and Bloxham and</w:t>
      </w:r>
      <w:r w:rsidRPr="00C642EF">
        <w:rPr>
          <w:rFonts w:ascii="Arial" w:hAnsi="Arial" w:cs="Arial"/>
        </w:rPr>
        <w:t xml:space="preserve"> Boyd (2011) </w:t>
      </w:r>
      <w:r>
        <w:rPr>
          <w:rFonts w:ascii="Arial" w:hAnsi="Arial" w:cs="Arial"/>
        </w:rPr>
        <w:t xml:space="preserve">have </w:t>
      </w:r>
      <w:r w:rsidRPr="00C642EF">
        <w:rPr>
          <w:rFonts w:ascii="Arial" w:hAnsi="Arial" w:cs="Arial"/>
        </w:rPr>
        <w:t>argue</w:t>
      </w:r>
      <w:r>
        <w:rPr>
          <w:rFonts w:ascii="Arial" w:hAnsi="Arial" w:cs="Arial"/>
        </w:rPr>
        <w:t>d</w:t>
      </w:r>
      <w:r w:rsidRPr="00C642EF">
        <w:rPr>
          <w:rFonts w:ascii="Arial" w:hAnsi="Arial" w:cs="Arial"/>
        </w:rPr>
        <w:t xml:space="preserve"> tha</w:t>
      </w:r>
      <w:r>
        <w:rPr>
          <w:rFonts w:ascii="Arial" w:hAnsi="Arial" w:cs="Arial"/>
        </w:rPr>
        <w:t>t grading</w:t>
      </w:r>
      <w:r w:rsidRPr="00C642EF">
        <w:rPr>
          <w:rFonts w:ascii="Arial" w:hAnsi="Arial" w:cs="Arial"/>
        </w:rPr>
        <w:t xml:space="preserve"> can generate outcome marks which do not seem to follow a given marking methodology or practice, as </w:t>
      </w:r>
      <w:r>
        <w:rPr>
          <w:rFonts w:ascii="Arial" w:hAnsi="Arial" w:cs="Arial"/>
        </w:rPr>
        <w:t>markers</w:t>
      </w:r>
      <w:r w:rsidRPr="00C642EF">
        <w:rPr>
          <w:rFonts w:ascii="Arial" w:hAnsi="Arial" w:cs="Arial"/>
        </w:rPr>
        <w:t xml:space="preserve"> seek to justify an awarded mark and reward those students who live up to </w:t>
      </w:r>
      <w:r>
        <w:rPr>
          <w:rFonts w:ascii="Arial" w:hAnsi="Arial" w:cs="Arial"/>
        </w:rPr>
        <w:t>their</w:t>
      </w:r>
      <w:r w:rsidRPr="00C642EF">
        <w:rPr>
          <w:rFonts w:ascii="Arial" w:hAnsi="Arial" w:cs="Arial"/>
        </w:rPr>
        <w:t xml:space="preserve"> expectation of what a ‘good’ quality output is</w:t>
      </w:r>
      <w:r>
        <w:rPr>
          <w:rFonts w:ascii="Arial" w:hAnsi="Arial" w:cs="Arial"/>
        </w:rPr>
        <w:t xml:space="preserve"> (see (2) above)</w:t>
      </w:r>
      <w:r w:rsidRPr="00C642EF">
        <w:rPr>
          <w:rFonts w:ascii="Arial" w:hAnsi="Arial" w:cs="Arial"/>
        </w:rPr>
        <w:t xml:space="preserve">. </w:t>
      </w:r>
      <w:r>
        <w:rPr>
          <w:rFonts w:ascii="Arial" w:hAnsi="Arial" w:cs="Arial"/>
        </w:rPr>
        <w:t>There are tensions in grade allocation which have been labelled as</w:t>
      </w:r>
      <w:r w:rsidRPr="006C4EB2">
        <w:rPr>
          <w:rFonts w:ascii="Arial" w:hAnsi="Arial" w:cs="Arial"/>
        </w:rPr>
        <w:t xml:space="preserve"> cultural resistance to a</w:t>
      </w:r>
      <w:r>
        <w:rPr>
          <w:rFonts w:ascii="Arial" w:hAnsi="Arial" w:cs="Arial"/>
        </w:rPr>
        <w:t xml:space="preserve">bsolutes in an arts context for example, where absolutism conflicts with the inherent relativism of the arts </w:t>
      </w:r>
      <w:r w:rsidRPr="006C4EB2">
        <w:rPr>
          <w:rFonts w:ascii="Arial" w:hAnsi="Arial" w:cs="Arial"/>
        </w:rPr>
        <w:t>(</w:t>
      </w:r>
      <w:r>
        <w:rPr>
          <w:rFonts w:ascii="Arial" w:hAnsi="Arial" w:cs="Arial"/>
        </w:rPr>
        <w:t>Brown, 2004)</w:t>
      </w:r>
      <w:r w:rsidRPr="006C4EB2">
        <w:rPr>
          <w:rFonts w:ascii="Arial" w:hAnsi="Arial" w:cs="Arial"/>
        </w:rPr>
        <w:t>.</w:t>
      </w:r>
      <w:r>
        <w:rPr>
          <w:rFonts w:ascii="Arial" w:hAnsi="Arial" w:cs="Arial"/>
        </w:rPr>
        <w:t xml:space="preserve"> As a general guide, assessment and grade determination has moved towards being</w:t>
      </w:r>
      <w:r w:rsidRPr="00F30382">
        <w:rPr>
          <w:rFonts w:ascii="Arial" w:hAnsi="Arial" w:cs="Arial"/>
        </w:rPr>
        <w:t xml:space="preserve"> criterion based </w:t>
      </w:r>
      <w:r>
        <w:rPr>
          <w:rFonts w:ascii="Arial" w:hAnsi="Arial" w:cs="Arial"/>
        </w:rPr>
        <w:t>and away from a subjective</w:t>
      </w:r>
      <w:r w:rsidRPr="00F30382">
        <w:rPr>
          <w:rFonts w:ascii="Arial" w:hAnsi="Arial" w:cs="Arial"/>
        </w:rPr>
        <w:t xml:space="preserve"> sense of student achievement (</w:t>
      </w:r>
      <w:r w:rsidRPr="00677031">
        <w:rPr>
          <w:rFonts w:ascii="Arial" w:hAnsi="Arial" w:cs="Arial"/>
          <w:i/>
        </w:rPr>
        <w:t>gatekeeping</w:t>
      </w:r>
      <w:r>
        <w:rPr>
          <w:rFonts w:ascii="Arial" w:hAnsi="Arial" w:cs="Arial"/>
        </w:rPr>
        <w:t xml:space="preserve"> or</w:t>
      </w:r>
      <w:r w:rsidRPr="00F30382">
        <w:rPr>
          <w:rFonts w:ascii="Arial" w:hAnsi="Arial" w:cs="Arial"/>
        </w:rPr>
        <w:t xml:space="preserve"> </w:t>
      </w:r>
      <w:r w:rsidRPr="00677031">
        <w:rPr>
          <w:rFonts w:ascii="Arial" w:hAnsi="Arial" w:cs="Arial"/>
          <w:i/>
        </w:rPr>
        <w:t>norm assessment</w:t>
      </w:r>
      <w:r w:rsidRPr="00F30382">
        <w:rPr>
          <w:rFonts w:ascii="Arial" w:hAnsi="Arial" w:cs="Arial"/>
        </w:rPr>
        <w:t>)</w:t>
      </w:r>
      <w:r>
        <w:rPr>
          <w:rFonts w:ascii="Arial" w:hAnsi="Arial" w:cs="Arial"/>
        </w:rPr>
        <w:t xml:space="preserve">. </w:t>
      </w:r>
    </w:p>
    <w:p w:rsidR="0076549D" w:rsidRPr="00F91958" w:rsidRDefault="0076549D" w:rsidP="0076549D">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Sadler (2009) identifies heuristics as an influence upon grade integrity but from a post grading adjusting process in order to reflect a perception of cohort quality, rather than during the grading process. We focus upon the grading process. Such heuristics could include the need for </w:t>
      </w:r>
      <w:r w:rsidRPr="00807188">
        <w:rPr>
          <w:rFonts w:ascii="Arial" w:hAnsi="Arial" w:cs="Arial"/>
          <w:color w:val="000000"/>
        </w:rPr>
        <w:t>more distinctive differentiation between the classification thresholds</w:t>
      </w:r>
      <w:r>
        <w:rPr>
          <w:rFonts w:ascii="Arial" w:hAnsi="Arial" w:cs="Arial"/>
          <w:color w:val="000000"/>
        </w:rPr>
        <w:t xml:space="preserve"> which</w:t>
      </w:r>
      <w:r w:rsidRPr="00807188">
        <w:rPr>
          <w:rFonts w:ascii="Arial" w:hAnsi="Arial" w:cs="Arial"/>
          <w:color w:val="000000"/>
        </w:rPr>
        <w:t xml:space="preserve"> can be skewed by a </w:t>
      </w:r>
      <w:r w:rsidRPr="0096272A">
        <w:rPr>
          <w:rFonts w:ascii="Arial" w:hAnsi="Arial" w:cs="Arial"/>
          <w:bCs/>
          <w:i/>
          <w:color w:val="000000"/>
        </w:rPr>
        <w:t>symbolic comparison bias</w:t>
      </w:r>
      <w:r>
        <w:rPr>
          <w:rFonts w:ascii="Arial" w:hAnsi="Arial" w:cs="Arial"/>
          <w:bCs/>
          <w:i/>
          <w:color w:val="000000"/>
        </w:rPr>
        <w:t xml:space="preserve"> (SBHE)</w:t>
      </w:r>
      <w:r w:rsidRPr="0096272A">
        <w:rPr>
          <w:rFonts w:ascii="Arial" w:hAnsi="Arial" w:cs="Arial"/>
          <w:bCs/>
          <w:i/>
          <w:color w:val="000000"/>
        </w:rPr>
        <w:t xml:space="preserve"> </w:t>
      </w:r>
      <w:r w:rsidRPr="00807188">
        <w:rPr>
          <w:rFonts w:ascii="Arial" w:hAnsi="Arial" w:cs="Arial"/>
          <w:color w:val="000000"/>
        </w:rPr>
        <w:t>(i.e. it is easier to alloc</w:t>
      </w:r>
      <w:r>
        <w:rPr>
          <w:rFonts w:ascii="Arial" w:hAnsi="Arial" w:cs="Arial"/>
          <w:color w:val="000000"/>
        </w:rPr>
        <w:t xml:space="preserve">ate a 62% when compared with a 67% or a 68%)).  </w:t>
      </w:r>
      <w:r w:rsidRPr="0096272A">
        <w:rPr>
          <w:rFonts w:ascii="Arial" w:hAnsi="Arial" w:cs="Arial"/>
          <w:color w:val="000000"/>
        </w:rPr>
        <w:t>Crisp (2008) has also identified that markers may also evidence other heuristics during the assessment process</w:t>
      </w:r>
      <w:r>
        <w:rPr>
          <w:rFonts w:ascii="Arial" w:hAnsi="Arial" w:cs="Arial"/>
          <w:color w:val="000000"/>
        </w:rPr>
        <w:t xml:space="preserve">; the </w:t>
      </w:r>
      <w:r>
        <w:rPr>
          <w:rFonts w:ascii="Arial" w:hAnsi="Arial" w:cs="Arial"/>
          <w:i/>
          <w:color w:val="000000"/>
        </w:rPr>
        <w:t>affect heuristic (AFH1)</w:t>
      </w:r>
      <w:r w:rsidRPr="0096272A">
        <w:rPr>
          <w:rFonts w:ascii="Arial" w:hAnsi="Arial" w:cs="Arial"/>
          <w:color w:val="000000"/>
        </w:rPr>
        <w:t xml:space="preserve"> </w:t>
      </w:r>
      <w:r>
        <w:rPr>
          <w:rFonts w:ascii="Arial" w:hAnsi="Arial" w:cs="Arial"/>
          <w:color w:val="000000"/>
        </w:rPr>
        <w:t>is an</w:t>
      </w:r>
      <w:r w:rsidRPr="0096272A">
        <w:rPr>
          <w:rFonts w:ascii="Arial" w:hAnsi="Arial" w:cs="Arial"/>
          <w:color w:val="000000"/>
        </w:rPr>
        <w:t xml:space="preserve"> emotional response to a </w:t>
      </w:r>
      <w:r>
        <w:rPr>
          <w:rFonts w:ascii="Arial" w:hAnsi="Arial" w:cs="Arial"/>
          <w:color w:val="000000"/>
        </w:rPr>
        <w:t xml:space="preserve">submission and the </w:t>
      </w:r>
      <w:r w:rsidRPr="006C4EB2">
        <w:rPr>
          <w:rFonts w:ascii="Arial" w:hAnsi="Arial" w:cs="Arial"/>
          <w:i/>
          <w:color w:val="000000"/>
        </w:rPr>
        <w:t xml:space="preserve">availability </w:t>
      </w:r>
      <w:r>
        <w:rPr>
          <w:rFonts w:ascii="Arial" w:hAnsi="Arial" w:cs="Arial"/>
          <w:i/>
          <w:color w:val="000000"/>
        </w:rPr>
        <w:t>heuristic (AVHE)</w:t>
      </w:r>
      <w:r>
        <w:rPr>
          <w:rFonts w:ascii="Arial" w:hAnsi="Arial" w:cs="Arial"/>
          <w:color w:val="000000"/>
        </w:rPr>
        <w:t xml:space="preserve"> can</w:t>
      </w:r>
      <w:r w:rsidRPr="0096272A">
        <w:rPr>
          <w:rFonts w:ascii="Arial" w:hAnsi="Arial" w:cs="Arial"/>
          <w:color w:val="000000"/>
        </w:rPr>
        <w:t xml:space="preserve"> influence grade allocation </w:t>
      </w:r>
      <w:r>
        <w:rPr>
          <w:rFonts w:ascii="Arial" w:hAnsi="Arial" w:cs="Arial"/>
          <w:color w:val="000000"/>
        </w:rPr>
        <w:t>as</w:t>
      </w:r>
      <w:r w:rsidRPr="0096272A">
        <w:rPr>
          <w:rFonts w:ascii="Arial" w:hAnsi="Arial" w:cs="Arial"/>
          <w:color w:val="000000"/>
        </w:rPr>
        <w:t xml:space="preserve"> the information</w:t>
      </w:r>
      <w:r>
        <w:rPr>
          <w:rFonts w:ascii="Arial" w:hAnsi="Arial" w:cs="Arial"/>
          <w:color w:val="000000"/>
        </w:rPr>
        <w:t xml:space="preserve"> in an assessed response is not located where it is expected</w:t>
      </w:r>
      <w:r w:rsidRPr="0096272A">
        <w:rPr>
          <w:rFonts w:ascii="Arial" w:hAnsi="Arial" w:cs="Arial"/>
          <w:color w:val="000000"/>
        </w:rPr>
        <w:t xml:space="preserve"> but </w:t>
      </w:r>
      <w:r>
        <w:rPr>
          <w:rFonts w:ascii="Arial" w:hAnsi="Arial" w:cs="Arial"/>
          <w:color w:val="000000"/>
        </w:rPr>
        <w:t xml:space="preserve">found elsewhere. Other potential heuristics from the literature can include ego depletion </w:t>
      </w:r>
      <w:r w:rsidRPr="008F100D">
        <w:rPr>
          <w:rFonts w:ascii="Arial" w:hAnsi="Arial" w:cs="Arial"/>
          <w:i/>
          <w:color w:val="000000"/>
        </w:rPr>
        <w:t>(EGDP)</w:t>
      </w:r>
      <w:r>
        <w:rPr>
          <w:rFonts w:ascii="Arial" w:hAnsi="Arial" w:cs="Arial"/>
          <w:color w:val="000000"/>
        </w:rPr>
        <w:t xml:space="preserve"> where r</w:t>
      </w:r>
      <w:r w:rsidRPr="000A328A">
        <w:rPr>
          <w:rFonts w:ascii="Arial" w:hAnsi="Arial" w:cs="Arial"/>
          <w:lang w:val="en-US"/>
        </w:rPr>
        <w:t xml:space="preserve">epeated attention given to a single task, weakens </w:t>
      </w:r>
      <w:r>
        <w:rPr>
          <w:rFonts w:ascii="Arial" w:hAnsi="Arial" w:cs="Arial"/>
          <w:lang w:val="en-US"/>
        </w:rPr>
        <w:t xml:space="preserve">an individual’s decision making capacity </w:t>
      </w:r>
      <w:r w:rsidRPr="000A328A">
        <w:rPr>
          <w:rFonts w:ascii="Arial" w:hAnsi="Arial" w:cs="Arial"/>
          <w:lang w:val="en-US"/>
        </w:rPr>
        <w:t>(Kahneman, 2011)</w:t>
      </w:r>
      <w:r w:rsidRPr="008F100D">
        <w:rPr>
          <w:rFonts w:ascii="Arial" w:hAnsi="Arial" w:cs="Arial"/>
          <w:lang w:val="en-US"/>
        </w:rPr>
        <w:t xml:space="preserve"> and which might give rise </w:t>
      </w:r>
      <w:r>
        <w:rPr>
          <w:rFonts w:ascii="Arial" w:hAnsi="Arial" w:cs="Arial"/>
          <w:lang w:val="en-US"/>
        </w:rPr>
        <w:t xml:space="preserve">to an influence from when a given script is graded – whether it is near the start of the grading period </w:t>
      </w:r>
      <w:r w:rsidRPr="008F100D">
        <w:rPr>
          <w:rFonts w:ascii="Arial" w:hAnsi="Arial" w:cs="Arial"/>
          <w:i/>
          <w:lang w:val="en-US"/>
        </w:rPr>
        <w:t>(POW0)</w:t>
      </w:r>
      <w:r>
        <w:rPr>
          <w:rFonts w:ascii="Arial" w:hAnsi="Arial" w:cs="Arial"/>
          <w:lang w:val="en-US"/>
        </w:rPr>
        <w:t xml:space="preserve"> or the middle </w:t>
      </w:r>
      <w:r w:rsidRPr="008F100D">
        <w:rPr>
          <w:rFonts w:ascii="Arial" w:hAnsi="Arial" w:cs="Arial"/>
          <w:i/>
          <w:lang w:val="en-US"/>
        </w:rPr>
        <w:t>(POW1)</w:t>
      </w:r>
      <w:r>
        <w:rPr>
          <w:rFonts w:ascii="Arial" w:hAnsi="Arial" w:cs="Arial"/>
          <w:b/>
          <w:lang w:val="en-US"/>
        </w:rPr>
        <w:t xml:space="preserve"> </w:t>
      </w:r>
      <w:r w:rsidRPr="00EA3830">
        <w:rPr>
          <w:rFonts w:ascii="Arial" w:hAnsi="Arial" w:cs="Arial"/>
          <w:lang w:val="en-US"/>
        </w:rPr>
        <w:t>or the end</w:t>
      </w:r>
      <w:r>
        <w:rPr>
          <w:rFonts w:ascii="Arial" w:hAnsi="Arial" w:cs="Arial"/>
          <w:b/>
          <w:lang w:val="en-US"/>
        </w:rPr>
        <w:t xml:space="preserve"> </w:t>
      </w:r>
      <w:r w:rsidRPr="008F100D">
        <w:rPr>
          <w:rFonts w:ascii="Arial" w:hAnsi="Arial" w:cs="Arial"/>
          <w:i/>
          <w:lang w:val="en-US"/>
        </w:rPr>
        <w:t>(POW2)</w:t>
      </w:r>
      <w:r>
        <w:rPr>
          <w:rFonts w:ascii="Arial" w:hAnsi="Arial" w:cs="Arial"/>
          <w:b/>
          <w:lang w:val="en-US"/>
        </w:rPr>
        <w:t xml:space="preserve"> </w:t>
      </w:r>
      <w:r w:rsidRPr="004B04C5">
        <w:rPr>
          <w:rFonts w:ascii="Arial" w:hAnsi="Arial" w:cs="Arial"/>
          <w:lang w:val="en-US"/>
        </w:rPr>
        <w:t>of the marking period</w:t>
      </w:r>
      <w:r>
        <w:rPr>
          <w:rFonts w:ascii="Arial" w:hAnsi="Arial" w:cs="Arial"/>
          <w:lang w:val="en-US"/>
        </w:rPr>
        <w:t>.</w:t>
      </w:r>
    </w:p>
    <w:p w:rsidR="0076549D" w:rsidRDefault="0076549D" w:rsidP="0076549D">
      <w:pPr>
        <w:autoSpaceDE w:val="0"/>
        <w:autoSpaceDN w:val="0"/>
        <w:adjustRightInd w:val="0"/>
        <w:spacing w:after="0" w:line="240" w:lineRule="auto"/>
        <w:jc w:val="both"/>
        <w:rPr>
          <w:rFonts w:ascii="Arial" w:hAnsi="Arial" w:cs="Arial"/>
          <w:iCs/>
        </w:rPr>
      </w:pPr>
    </w:p>
    <w:p w:rsidR="0076549D" w:rsidRDefault="0076549D" w:rsidP="0076549D">
      <w:pPr>
        <w:autoSpaceDE w:val="0"/>
        <w:autoSpaceDN w:val="0"/>
        <w:adjustRightInd w:val="0"/>
        <w:spacing w:after="0" w:line="240" w:lineRule="auto"/>
        <w:jc w:val="both"/>
        <w:rPr>
          <w:rFonts w:ascii="Arial" w:hAnsi="Arial" w:cs="Arial"/>
          <w:color w:val="000000"/>
        </w:rPr>
      </w:pPr>
      <w:r w:rsidRPr="000A328A">
        <w:rPr>
          <w:rFonts w:ascii="Arial" w:hAnsi="Arial" w:cs="Arial"/>
        </w:rPr>
        <w:t xml:space="preserve">The flexibility of the marker towards the rigorous use of the academic </w:t>
      </w:r>
      <w:r>
        <w:rPr>
          <w:rFonts w:ascii="Arial" w:hAnsi="Arial" w:cs="Arial"/>
        </w:rPr>
        <w:t xml:space="preserve">register </w:t>
      </w:r>
      <w:r w:rsidRPr="008F100D">
        <w:rPr>
          <w:rFonts w:ascii="Arial" w:hAnsi="Arial" w:cs="Arial"/>
          <w:i/>
        </w:rPr>
        <w:t>(ACRE)</w:t>
      </w:r>
      <w:r w:rsidRPr="000A328A">
        <w:rPr>
          <w:rFonts w:ascii="Arial" w:hAnsi="Arial" w:cs="Arial"/>
        </w:rPr>
        <w:t xml:space="preserve"> </w:t>
      </w:r>
      <w:r w:rsidRPr="009C3871">
        <w:rPr>
          <w:rFonts w:ascii="Arial" w:hAnsi="Arial" w:cs="Arial"/>
        </w:rPr>
        <w:t>has also been identified by</w:t>
      </w:r>
      <w:r>
        <w:rPr>
          <w:rFonts w:ascii="Arial" w:hAnsi="Arial" w:cs="Arial"/>
          <w:b/>
        </w:rPr>
        <w:t xml:space="preserve"> </w:t>
      </w:r>
      <w:r w:rsidRPr="000A328A">
        <w:rPr>
          <w:rFonts w:ascii="Arial" w:hAnsi="Arial" w:cs="Arial"/>
          <w:iCs/>
        </w:rPr>
        <w:t xml:space="preserve">Cadman (1997) </w:t>
      </w:r>
      <w:r>
        <w:rPr>
          <w:rFonts w:ascii="Arial" w:hAnsi="Arial" w:cs="Arial"/>
          <w:iCs/>
        </w:rPr>
        <w:t xml:space="preserve">as potentially impacting upon the grade allocation.  Grade clustering </w:t>
      </w:r>
      <w:r>
        <w:rPr>
          <w:rFonts w:ascii="Arial" w:hAnsi="Arial" w:cs="Arial"/>
          <w:color w:val="000000"/>
        </w:rPr>
        <w:t>(</w:t>
      </w:r>
      <w:r w:rsidRPr="000A328A">
        <w:rPr>
          <w:rFonts w:ascii="Arial" w:hAnsi="Arial" w:cs="Arial"/>
          <w:color w:val="000000"/>
        </w:rPr>
        <w:t xml:space="preserve">which can arise for a number of reasons such as historical patterns, previous practice and the more discursive and subjective nature of the </w:t>
      </w:r>
      <w:r>
        <w:rPr>
          <w:rFonts w:ascii="Arial" w:hAnsi="Arial" w:cs="Arial"/>
          <w:color w:val="000000"/>
        </w:rPr>
        <w:t xml:space="preserve">arts and humanities </w:t>
      </w:r>
      <w:r w:rsidRPr="000A328A">
        <w:rPr>
          <w:rFonts w:ascii="Arial" w:hAnsi="Arial" w:cs="Arial"/>
          <w:color w:val="000000"/>
        </w:rPr>
        <w:t>disciplines</w:t>
      </w:r>
      <w:r>
        <w:rPr>
          <w:rFonts w:ascii="Arial" w:hAnsi="Arial" w:cs="Arial"/>
          <w:color w:val="000000"/>
        </w:rPr>
        <w:t xml:space="preserve">) is also a potential grade influence </w:t>
      </w:r>
      <w:r w:rsidRPr="008F100D">
        <w:rPr>
          <w:rFonts w:ascii="Arial" w:hAnsi="Arial" w:cs="Arial"/>
          <w:i/>
          <w:color w:val="000000"/>
        </w:rPr>
        <w:t>(DIDI)</w:t>
      </w:r>
      <w:r>
        <w:rPr>
          <w:rFonts w:ascii="Arial" w:hAnsi="Arial" w:cs="Arial"/>
          <w:i/>
          <w:color w:val="000000"/>
        </w:rPr>
        <w:t xml:space="preserve"> </w:t>
      </w:r>
      <w:r w:rsidRPr="008F100D">
        <w:rPr>
          <w:rFonts w:ascii="Arial" w:hAnsi="Arial" w:cs="Arial"/>
          <w:color w:val="000000"/>
        </w:rPr>
        <w:t>although this may be</w:t>
      </w:r>
      <w:r>
        <w:rPr>
          <w:rFonts w:ascii="Arial" w:hAnsi="Arial" w:cs="Arial"/>
          <w:color w:val="000000"/>
        </w:rPr>
        <w:t xml:space="preserve"> mitigated by the use of </w:t>
      </w:r>
      <w:r>
        <w:rPr>
          <w:rFonts w:ascii="Arial" w:hAnsi="Arial" w:cs="Arial"/>
          <w:lang w:val="en-US"/>
        </w:rPr>
        <w:t>c</w:t>
      </w:r>
      <w:r w:rsidRPr="003F3C02">
        <w:rPr>
          <w:rFonts w:ascii="Arial" w:hAnsi="Arial" w:cs="Arial"/>
          <w:lang w:val="en-US"/>
        </w:rPr>
        <w:t>riterion based marking</w:t>
      </w:r>
      <w:r>
        <w:rPr>
          <w:rFonts w:ascii="Arial" w:hAnsi="Arial" w:cs="Arial"/>
          <w:lang w:val="en-US"/>
        </w:rPr>
        <w:t xml:space="preserve"> </w:t>
      </w:r>
      <w:r w:rsidRPr="008F100D">
        <w:rPr>
          <w:rFonts w:ascii="Arial" w:hAnsi="Arial" w:cs="Arial"/>
          <w:i/>
          <w:lang w:val="en-US"/>
        </w:rPr>
        <w:t>(ACRU)</w:t>
      </w:r>
      <w:r w:rsidRPr="003F3C02">
        <w:rPr>
          <w:rFonts w:ascii="Arial" w:hAnsi="Arial" w:cs="Arial"/>
          <w:lang w:val="en-US"/>
        </w:rPr>
        <w:t xml:space="preserve"> (</w:t>
      </w:r>
      <w:r>
        <w:rPr>
          <w:rFonts w:ascii="Arial" w:hAnsi="Arial" w:cs="Arial"/>
          <w:lang w:val="en-US"/>
        </w:rPr>
        <w:t xml:space="preserve">Brown, </w:t>
      </w:r>
      <w:r w:rsidRPr="003F3C02">
        <w:rPr>
          <w:rFonts w:ascii="Arial" w:hAnsi="Arial" w:cs="Arial"/>
          <w:lang w:val="en-US"/>
        </w:rPr>
        <w:t xml:space="preserve">2004). </w:t>
      </w:r>
      <w:r>
        <w:rPr>
          <w:rFonts w:ascii="Arial" w:hAnsi="Arial" w:cs="Arial"/>
          <w:lang w:val="en-US"/>
        </w:rPr>
        <w:t>In a similar vein, t</w:t>
      </w:r>
      <w:r>
        <w:rPr>
          <w:rFonts w:ascii="Arial" w:hAnsi="Arial" w:cs="Arial"/>
          <w:color w:val="000000"/>
        </w:rPr>
        <w:t xml:space="preserve">he disaggregation of marks by multiple small overall assessment tasks can further exacerbate grade clustering </w:t>
      </w:r>
      <w:r w:rsidRPr="008F100D">
        <w:rPr>
          <w:rFonts w:ascii="Arial" w:hAnsi="Arial" w:cs="Arial"/>
          <w:i/>
          <w:color w:val="000000"/>
        </w:rPr>
        <w:t>(ASDI)</w:t>
      </w:r>
      <w:r>
        <w:rPr>
          <w:rFonts w:ascii="Arial" w:hAnsi="Arial" w:cs="Arial"/>
          <w:i/>
          <w:color w:val="000000"/>
        </w:rPr>
        <w:t xml:space="preserve"> </w:t>
      </w:r>
      <w:r w:rsidRPr="00800444">
        <w:rPr>
          <w:rFonts w:ascii="Arial" w:hAnsi="Arial" w:cs="Arial"/>
          <w:color w:val="000000"/>
        </w:rPr>
        <w:t>(Brown, 2004).</w:t>
      </w:r>
      <w:r>
        <w:rPr>
          <w:rFonts w:ascii="Arial" w:hAnsi="Arial" w:cs="Arial"/>
          <w:color w:val="000000"/>
        </w:rPr>
        <w:t xml:space="preserve"> </w:t>
      </w:r>
    </w:p>
    <w:p w:rsidR="0076549D" w:rsidRDefault="0076549D" w:rsidP="0076549D">
      <w:pPr>
        <w:autoSpaceDE w:val="0"/>
        <w:autoSpaceDN w:val="0"/>
        <w:adjustRightInd w:val="0"/>
        <w:spacing w:after="0" w:line="240" w:lineRule="auto"/>
        <w:jc w:val="both"/>
        <w:rPr>
          <w:rFonts w:ascii="Arial" w:hAnsi="Arial" w:cs="Arial"/>
          <w:color w:val="000000"/>
        </w:rPr>
      </w:pPr>
    </w:p>
    <w:p w:rsidR="0076549D" w:rsidRDefault="0076549D" w:rsidP="0076549D">
      <w:pPr>
        <w:autoSpaceDE w:val="0"/>
        <w:autoSpaceDN w:val="0"/>
        <w:adjustRightInd w:val="0"/>
        <w:spacing w:after="0" w:line="240" w:lineRule="auto"/>
        <w:jc w:val="both"/>
        <w:rPr>
          <w:rFonts w:ascii="Arial" w:hAnsi="Arial" w:cs="Arial"/>
          <w:lang w:val="en-US"/>
        </w:rPr>
      </w:pPr>
      <w:r>
        <w:rPr>
          <w:rFonts w:ascii="Arial" w:hAnsi="Arial" w:cs="Arial"/>
          <w:color w:val="000000"/>
        </w:rPr>
        <w:t xml:space="preserve">Brown (2004) further suggests that </w:t>
      </w:r>
      <w:r>
        <w:rPr>
          <w:rFonts w:ascii="Arial" w:hAnsi="Arial" w:cs="Arial"/>
          <w:lang w:val="en-US"/>
        </w:rPr>
        <w:t xml:space="preserve">the third class degree </w:t>
      </w:r>
      <w:r w:rsidRPr="003F3C02">
        <w:rPr>
          <w:rFonts w:ascii="Arial" w:hAnsi="Arial" w:cs="Arial"/>
          <w:lang w:val="en-US"/>
        </w:rPr>
        <w:t>is disappearing in UK HE</w:t>
      </w:r>
      <w:r>
        <w:rPr>
          <w:rFonts w:ascii="Arial" w:hAnsi="Arial" w:cs="Arial"/>
          <w:lang w:val="en-US"/>
        </w:rPr>
        <w:t>Is</w:t>
      </w:r>
      <w:r w:rsidRPr="003F3C02">
        <w:rPr>
          <w:rFonts w:ascii="Arial" w:hAnsi="Arial" w:cs="Arial"/>
          <w:lang w:val="en-US"/>
        </w:rPr>
        <w:t xml:space="preserve"> </w:t>
      </w:r>
      <w:r>
        <w:rPr>
          <w:rFonts w:ascii="Arial" w:hAnsi="Arial" w:cs="Arial"/>
          <w:lang w:val="en-US"/>
        </w:rPr>
        <w:t xml:space="preserve">and markers may be institutionally influenced to reduce the use of this classification range </w:t>
      </w:r>
      <w:r w:rsidRPr="00800444">
        <w:rPr>
          <w:rFonts w:ascii="Arial" w:hAnsi="Arial" w:cs="Arial"/>
          <w:i/>
          <w:lang w:val="en-US"/>
        </w:rPr>
        <w:t>(COPI)</w:t>
      </w:r>
      <w:r w:rsidRPr="003F3C02">
        <w:rPr>
          <w:rFonts w:ascii="Arial" w:hAnsi="Arial" w:cs="Arial"/>
          <w:lang w:val="en-US"/>
        </w:rPr>
        <w:t xml:space="preserve">. </w:t>
      </w:r>
      <w:r>
        <w:rPr>
          <w:rFonts w:ascii="Arial" w:hAnsi="Arial" w:cs="Arial"/>
          <w:lang w:val="en-US"/>
        </w:rPr>
        <w:t xml:space="preserve"> Finally, from both a review of available literature, considerations with colleagues and the variables that could arise from an examination of learning styles and the situation context of learning (Illeris, 2012), o</w:t>
      </w:r>
      <w:r w:rsidRPr="000A328A">
        <w:rPr>
          <w:rFonts w:ascii="Arial" w:hAnsi="Arial" w:cs="Arial"/>
          <w:lang w:val="en-US"/>
        </w:rPr>
        <w:t>ther potential variables</w:t>
      </w:r>
      <w:r>
        <w:rPr>
          <w:rFonts w:ascii="Arial" w:hAnsi="Arial" w:cs="Arial"/>
          <w:lang w:val="en-US"/>
        </w:rPr>
        <w:t xml:space="preserve"> were</w:t>
      </w:r>
      <w:r w:rsidRPr="000A328A">
        <w:rPr>
          <w:rFonts w:ascii="Arial" w:hAnsi="Arial" w:cs="Arial"/>
          <w:lang w:val="en-US"/>
        </w:rPr>
        <w:t xml:space="preserve"> identified </w:t>
      </w:r>
      <w:r>
        <w:rPr>
          <w:rFonts w:ascii="Arial" w:hAnsi="Arial" w:cs="Arial"/>
          <w:lang w:val="en-US"/>
        </w:rPr>
        <w:t>with colleagues that may impact upon the marking process</w:t>
      </w:r>
      <w:r w:rsidRPr="000A328A">
        <w:rPr>
          <w:rFonts w:ascii="Arial" w:hAnsi="Arial" w:cs="Arial"/>
          <w:lang w:val="en-US"/>
        </w:rPr>
        <w:t xml:space="preserve"> </w:t>
      </w:r>
      <w:r>
        <w:rPr>
          <w:rFonts w:ascii="Arial" w:hAnsi="Arial" w:cs="Arial"/>
          <w:lang w:val="en-US"/>
        </w:rPr>
        <w:t>are proposed as</w:t>
      </w:r>
      <w:r w:rsidRPr="000A328A">
        <w:rPr>
          <w:rFonts w:ascii="Arial" w:hAnsi="Arial" w:cs="Arial"/>
          <w:lang w:val="en-US"/>
        </w:rPr>
        <w:t>:</w:t>
      </w:r>
    </w:p>
    <w:p w:rsidR="0076549D" w:rsidRDefault="0076549D" w:rsidP="0076549D">
      <w:pPr>
        <w:autoSpaceDE w:val="0"/>
        <w:autoSpaceDN w:val="0"/>
        <w:adjustRightInd w:val="0"/>
        <w:spacing w:after="0" w:line="240" w:lineRule="auto"/>
        <w:jc w:val="both"/>
        <w:rPr>
          <w:rFonts w:ascii="Arial" w:hAnsi="Arial" w:cs="Arial"/>
          <w:lang w:val="en-US"/>
        </w:rPr>
      </w:pPr>
    </w:p>
    <w:p w:rsidR="0076549D" w:rsidRPr="000A328A" w:rsidRDefault="0076549D" w:rsidP="0076549D">
      <w:pPr>
        <w:autoSpaceDE w:val="0"/>
        <w:autoSpaceDN w:val="0"/>
        <w:adjustRightInd w:val="0"/>
        <w:spacing w:after="0" w:line="240" w:lineRule="auto"/>
        <w:jc w:val="both"/>
        <w:rPr>
          <w:rFonts w:ascii="Arial" w:hAnsi="Arial" w:cs="Arial"/>
          <w:lang w:val="en-US"/>
        </w:rPr>
      </w:pPr>
    </w:p>
    <w:p w:rsidR="0076549D" w:rsidRPr="00D13ACD" w:rsidRDefault="0076549D" w:rsidP="0076549D">
      <w:pPr>
        <w:pStyle w:val="ListParagraph"/>
        <w:numPr>
          <w:ilvl w:val="0"/>
          <w:numId w:val="4"/>
        </w:numPr>
        <w:spacing w:line="240" w:lineRule="auto"/>
        <w:rPr>
          <w:rFonts w:ascii="Arial" w:hAnsi="Arial" w:cs="Arial"/>
          <w:lang w:val="en-US"/>
        </w:rPr>
      </w:pPr>
      <w:r>
        <w:rPr>
          <w:rFonts w:ascii="Arial" w:hAnsi="Arial" w:cs="Arial"/>
          <w:color w:val="000000"/>
        </w:rPr>
        <w:t xml:space="preserve">Previous formative comments upon drafts </w:t>
      </w:r>
      <w:r w:rsidRPr="006F7295">
        <w:rPr>
          <w:rFonts w:ascii="Arial" w:hAnsi="Arial" w:cs="Arial"/>
          <w:i/>
          <w:color w:val="000000"/>
        </w:rPr>
        <w:t>(FORM).</w:t>
      </w:r>
    </w:p>
    <w:p w:rsidR="0076549D" w:rsidRPr="00447093" w:rsidRDefault="0076549D" w:rsidP="0076549D">
      <w:pPr>
        <w:pStyle w:val="ListParagraph"/>
        <w:numPr>
          <w:ilvl w:val="0"/>
          <w:numId w:val="4"/>
        </w:numPr>
        <w:autoSpaceDE w:val="0"/>
        <w:autoSpaceDN w:val="0"/>
        <w:adjustRightInd w:val="0"/>
        <w:spacing w:after="0" w:line="240" w:lineRule="auto"/>
        <w:rPr>
          <w:rFonts w:ascii="Arial" w:hAnsi="Arial" w:cs="Arial"/>
        </w:rPr>
      </w:pPr>
      <w:r w:rsidRPr="00447093">
        <w:rPr>
          <w:rFonts w:ascii="Arial" w:hAnsi="Arial" w:cs="Arial"/>
        </w:rPr>
        <w:t>The measured ‘quality’ of incoming students to programmes of study (as determined by input tariff)</w:t>
      </w:r>
      <w:r>
        <w:rPr>
          <w:rFonts w:ascii="Arial" w:hAnsi="Arial" w:cs="Arial"/>
        </w:rPr>
        <w:t xml:space="preserve"> </w:t>
      </w:r>
      <w:r w:rsidRPr="00800444">
        <w:rPr>
          <w:rFonts w:ascii="Arial" w:hAnsi="Arial" w:cs="Arial"/>
          <w:i/>
        </w:rPr>
        <w:t>(INPR)</w:t>
      </w:r>
      <w:r w:rsidRPr="00447093">
        <w:rPr>
          <w:rFonts w:ascii="Arial" w:hAnsi="Arial" w:cs="Arial"/>
        </w:rPr>
        <w:t xml:space="preserve"> </w:t>
      </w:r>
    </w:p>
    <w:p w:rsidR="0076549D" w:rsidRPr="000A328A" w:rsidRDefault="0076549D" w:rsidP="0076549D">
      <w:pPr>
        <w:pStyle w:val="ListParagraph"/>
        <w:numPr>
          <w:ilvl w:val="0"/>
          <w:numId w:val="4"/>
        </w:numPr>
        <w:spacing w:line="240" w:lineRule="auto"/>
        <w:rPr>
          <w:rFonts w:ascii="Arial" w:hAnsi="Arial" w:cs="Arial"/>
        </w:rPr>
      </w:pPr>
      <w:r w:rsidRPr="000A328A">
        <w:rPr>
          <w:rFonts w:ascii="Arial" w:hAnsi="Arial" w:cs="Arial"/>
        </w:rPr>
        <w:t>The volume of contact time with a student</w:t>
      </w:r>
      <w:r>
        <w:rPr>
          <w:rFonts w:ascii="Arial" w:hAnsi="Arial" w:cs="Arial"/>
        </w:rPr>
        <w:t xml:space="preserve"> pre assessment </w:t>
      </w:r>
      <w:r w:rsidRPr="00800444">
        <w:rPr>
          <w:rFonts w:ascii="Arial" w:hAnsi="Arial" w:cs="Arial"/>
          <w:i/>
        </w:rPr>
        <w:t>(VOCO)</w:t>
      </w:r>
    </w:p>
    <w:p w:rsidR="0076549D" w:rsidRPr="000A328A" w:rsidRDefault="0076549D" w:rsidP="0076549D">
      <w:pPr>
        <w:pStyle w:val="ListParagraph"/>
        <w:numPr>
          <w:ilvl w:val="0"/>
          <w:numId w:val="4"/>
        </w:numPr>
        <w:autoSpaceDE w:val="0"/>
        <w:autoSpaceDN w:val="0"/>
        <w:adjustRightInd w:val="0"/>
        <w:spacing w:after="0" w:line="240" w:lineRule="auto"/>
        <w:rPr>
          <w:rFonts w:ascii="Arial" w:hAnsi="Arial" w:cs="Arial"/>
        </w:rPr>
      </w:pPr>
      <w:r w:rsidRPr="000A328A">
        <w:rPr>
          <w:rFonts w:ascii="Arial" w:hAnsi="Arial" w:cs="Arial"/>
        </w:rPr>
        <w:t>The scope of c</w:t>
      </w:r>
      <w:r>
        <w:rPr>
          <w:rFonts w:ascii="Arial" w:hAnsi="Arial" w:cs="Arial"/>
        </w:rPr>
        <w:t xml:space="preserve">ontact time pre assessment </w:t>
      </w:r>
      <w:r w:rsidRPr="00800444">
        <w:rPr>
          <w:rFonts w:ascii="Arial" w:hAnsi="Arial" w:cs="Arial"/>
          <w:i/>
        </w:rPr>
        <w:t>(SCCO)</w:t>
      </w:r>
      <w:r>
        <w:rPr>
          <w:rFonts w:ascii="Arial" w:hAnsi="Arial" w:cs="Arial"/>
        </w:rPr>
        <w:t xml:space="preserve"> </w:t>
      </w:r>
    </w:p>
    <w:p w:rsidR="0076549D" w:rsidRPr="00800444" w:rsidRDefault="0076549D" w:rsidP="0076549D">
      <w:pPr>
        <w:pStyle w:val="ListParagraph"/>
        <w:numPr>
          <w:ilvl w:val="0"/>
          <w:numId w:val="4"/>
        </w:numPr>
        <w:spacing w:line="240" w:lineRule="auto"/>
        <w:rPr>
          <w:rFonts w:ascii="Arial" w:hAnsi="Arial" w:cs="Arial"/>
          <w:lang w:val="en-US"/>
        </w:rPr>
      </w:pPr>
      <w:r w:rsidRPr="00800444">
        <w:rPr>
          <w:rFonts w:ascii="Arial" w:hAnsi="Arial" w:cs="Arial"/>
          <w:lang w:val="en-US"/>
        </w:rPr>
        <w:t xml:space="preserve">The type and validity of second marking / moderating practices </w:t>
      </w:r>
      <w:r w:rsidRPr="00800444">
        <w:rPr>
          <w:rFonts w:ascii="Arial" w:hAnsi="Arial" w:cs="Arial"/>
          <w:i/>
          <w:lang w:val="en-US"/>
        </w:rPr>
        <w:t>(SMMP)</w:t>
      </w:r>
      <w:r w:rsidRPr="00800444">
        <w:rPr>
          <w:rFonts w:ascii="Arial" w:hAnsi="Arial" w:cs="Arial"/>
          <w:lang w:val="en-US"/>
        </w:rPr>
        <w:t xml:space="preserve"> </w:t>
      </w:r>
    </w:p>
    <w:p w:rsidR="0076549D" w:rsidRPr="00800444" w:rsidRDefault="0076549D" w:rsidP="0076549D">
      <w:pPr>
        <w:pStyle w:val="ListParagraph"/>
        <w:numPr>
          <w:ilvl w:val="0"/>
          <w:numId w:val="4"/>
        </w:numPr>
        <w:spacing w:line="240" w:lineRule="auto"/>
        <w:rPr>
          <w:rFonts w:ascii="Arial" w:hAnsi="Arial" w:cs="Arial"/>
          <w:lang w:val="en-US"/>
        </w:rPr>
      </w:pPr>
      <w:r w:rsidRPr="00800444">
        <w:rPr>
          <w:rFonts w:ascii="Arial" w:hAnsi="Arial" w:cs="Arial"/>
          <w:lang w:val="en-US"/>
        </w:rPr>
        <w:t>The extent of supportive training and development for staff of the marking process</w:t>
      </w:r>
      <w:r>
        <w:rPr>
          <w:rFonts w:ascii="Arial" w:hAnsi="Arial" w:cs="Arial"/>
          <w:lang w:val="en-US"/>
        </w:rPr>
        <w:t xml:space="preserve"> </w:t>
      </w:r>
      <w:r w:rsidRPr="00800444">
        <w:rPr>
          <w:rFonts w:ascii="Arial" w:hAnsi="Arial" w:cs="Arial"/>
          <w:i/>
          <w:lang w:val="en-US"/>
        </w:rPr>
        <w:t>(INTR)</w:t>
      </w:r>
      <w:r w:rsidRPr="00800444">
        <w:rPr>
          <w:rFonts w:ascii="Arial" w:hAnsi="Arial" w:cs="Arial"/>
          <w:lang w:val="en-US"/>
        </w:rPr>
        <w:t xml:space="preserve"> </w:t>
      </w:r>
    </w:p>
    <w:p w:rsidR="0076549D" w:rsidRPr="000A328A" w:rsidRDefault="0076549D" w:rsidP="0076549D">
      <w:pPr>
        <w:pStyle w:val="ListParagraph"/>
        <w:numPr>
          <w:ilvl w:val="0"/>
          <w:numId w:val="4"/>
        </w:numPr>
        <w:spacing w:line="240" w:lineRule="auto"/>
        <w:rPr>
          <w:rFonts w:ascii="Arial" w:hAnsi="Arial" w:cs="Arial"/>
          <w:lang w:val="en-US"/>
        </w:rPr>
      </w:pPr>
      <w:r w:rsidRPr="000A328A">
        <w:rPr>
          <w:rFonts w:ascii="Arial" w:hAnsi="Arial" w:cs="Arial"/>
          <w:lang w:val="en-US"/>
        </w:rPr>
        <w:t xml:space="preserve">The actual length and duration of the process of assessment </w:t>
      </w:r>
      <w:r>
        <w:rPr>
          <w:rFonts w:ascii="Arial" w:hAnsi="Arial" w:cs="Arial"/>
          <w:lang w:val="en-US"/>
        </w:rPr>
        <w:t xml:space="preserve">grading </w:t>
      </w:r>
      <w:r w:rsidRPr="000A328A">
        <w:rPr>
          <w:rFonts w:ascii="Arial" w:hAnsi="Arial" w:cs="Arial"/>
          <w:lang w:val="en-US"/>
        </w:rPr>
        <w:t xml:space="preserve">for a staff member </w:t>
      </w:r>
      <w:r w:rsidRPr="006F7295">
        <w:rPr>
          <w:rFonts w:ascii="Arial" w:hAnsi="Arial" w:cs="Arial"/>
          <w:i/>
          <w:lang w:val="en-US"/>
        </w:rPr>
        <w:t>(APST)</w:t>
      </w:r>
    </w:p>
    <w:p w:rsidR="0076549D" w:rsidRDefault="0076549D" w:rsidP="0076549D">
      <w:pPr>
        <w:pStyle w:val="ListParagraph"/>
        <w:numPr>
          <w:ilvl w:val="0"/>
          <w:numId w:val="4"/>
        </w:numPr>
        <w:spacing w:line="240" w:lineRule="auto"/>
        <w:rPr>
          <w:rFonts w:ascii="Arial" w:hAnsi="Arial" w:cs="Arial"/>
          <w:lang w:val="en-US"/>
        </w:rPr>
      </w:pPr>
      <w:r w:rsidRPr="000A328A">
        <w:rPr>
          <w:rFonts w:ascii="Arial" w:hAnsi="Arial" w:cs="Arial"/>
          <w:lang w:val="en-US"/>
        </w:rPr>
        <w:t xml:space="preserve">The allocation of a grade from a tutor </w:t>
      </w:r>
      <w:r>
        <w:rPr>
          <w:rFonts w:ascii="Arial" w:hAnsi="Arial" w:cs="Arial"/>
          <w:lang w:val="en-US"/>
        </w:rPr>
        <w:t xml:space="preserve">incorporating developmental aims </w:t>
      </w:r>
      <w:r w:rsidRPr="000A328A">
        <w:rPr>
          <w:rFonts w:ascii="Arial" w:hAnsi="Arial" w:cs="Arial"/>
          <w:lang w:val="en-US"/>
        </w:rPr>
        <w:t>(e.g. by awarding a generous mark or similarly through awarding a low mark)</w:t>
      </w:r>
      <w:r>
        <w:rPr>
          <w:rFonts w:ascii="Arial" w:hAnsi="Arial" w:cs="Arial"/>
          <w:lang w:val="en-US"/>
        </w:rPr>
        <w:t xml:space="preserve"> </w:t>
      </w:r>
      <w:r w:rsidRPr="006F7295">
        <w:rPr>
          <w:rFonts w:ascii="Arial" w:hAnsi="Arial" w:cs="Arial"/>
          <w:i/>
          <w:lang w:val="en-US"/>
        </w:rPr>
        <w:t>(DEAI)</w:t>
      </w:r>
    </w:p>
    <w:p w:rsidR="0076549D" w:rsidRPr="00982E36" w:rsidRDefault="0076549D" w:rsidP="0076549D">
      <w:pPr>
        <w:pStyle w:val="ListParagraph"/>
        <w:numPr>
          <w:ilvl w:val="0"/>
          <w:numId w:val="4"/>
        </w:numPr>
        <w:spacing w:line="240" w:lineRule="auto"/>
        <w:rPr>
          <w:rFonts w:ascii="Arial" w:hAnsi="Arial" w:cs="Arial"/>
          <w:lang w:val="en-US"/>
        </w:rPr>
      </w:pPr>
      <w:r>
        <w:rPr>
          <w:rFonts w:ascii="Arial" w:hAnsi="Arial" w:cs="Arial"/>
          <w:color w:val="000000"/>
        </w:rPr>
        <w:t xml:space="preserve">The determination of a grade may be influenced by the volume of previously awarded ‘quality’ grades </w:t>
      </w:r>
      <w:r w:rsidRPr="00982E36">
        <w:rPr>
          <w:rFonts w:ascii="Arial" w:hAnsi="Arial" w:cs="Arial"/>
          <w:color w:val="000000"/>
        </w:rPr>
        <w:t>(&gt;60%) for example</w:t>
      </w:r>
      <w:r>
        <w:rPr>
          <w:rFonts w:ascii="Arial" w:hAnsi="Arial" w:cs="Arial"/>
          <w:color w:val="000000"/>
        </w:rPr>
        <w:t xml:space="preserve"> </w:t>
      </w:r>
      <w:r w:rsidRPr="006F7295">
        <w:rPr>
          <w:rFonts w:ascii="Arial" w:hAnsi="Arial" w:cs="Arial"/>
          <w:i/>
          <w:color w:val="000000"/>
        </w:rPr>
        <w:t>(ALRA)</w:t>
      </w:r>
      <w:r w:rsidRPr="00982E36">
        <w:rPr>
          <w:rFonts w:ascii="Arial" w:hAnsi="Arial" w:cs="Arial"/>
          <w:color w:val="000000"/>
        </w:rPr>
        <w:t xml:space="preserve"> </w:t>
      </w:r>
    </w:p>
    <w:p w:rsidR="0076549D" w:rsidRPr="006F7295" w:rsidRDefault="0076549D" w:rsidP="0076549D">
      <w:pPr>
        <w:pStyle w:val="ListParagraph"/>
        <w:numPr>
          <w:ilvl w:val="0"/>
          <w:numId w:val="4"/>
        </w:numPr>
        <w:spacing w:line="240" w:lineRule="auto"/>
        <w:rPr>
          <w:rFonts w:ascii="Arial" w:hAnsi="Arial" w:cs="Arial"/>
          <w:lang w:val="en-US"/>
        </w:rPr>
      </w:pPr>
      <w:r w:rsidRPr="00982E36">
        <w:rPr>
          <w:rFonts w:ascii="Arial" w:hAnsi="Arial" w:cs="Arial"/>
          <w:color w:val="000000"/>
        </w:rPr>
        <w:t xml:space="preserve">The grade allocated to a completed script </w:t>
      </w:r>
      <w:r>
        <w:rPr>
          <w:rFonts w:ascii="Arial" w:hAnsi="Arial" w:cs="Arial"/>
          <w:color w:val="000000"/>
        </w:rPr>
        <w:t xml:space="preserve">which </w:t>
      </w:r>
      <w:r w:rsidRPr="00982E36">
        <w:rPr>
          <w:rFonts w:ascii="Arial" w:hAnsi="Arial" w:cs="Arial"/>
          <w:color w:val="000000"/>
        </w:rPr>
        <w:t>follows on from a poorly graded script</w:t>
      </w:r>
      <w:r>
        <w:rPr>
          <w:rFonts w:ascii="Arial" w:hAnsi="Arial" w:cs="Arial"/>
          <w:color w:val="000000"/>
        </w:rPr>
        <w:t xml:space="preserve"> </w:t>
      </w:r>
      <w:r w:rsidRPr="006F7295">
        <w:rPr>
          <w:rFonts w:ascii="Arial" w:hAnsi="Arial" w:cs="Arial"/>
          <w:i/>
          <w:color w:val="000000"/>
        </w:rPr>
        <w:t>(POR1)</w:t>
      </w:r>
      <w:r w:rsidRPr="006F7295">
        <w:rPr>
          <w:rFonts w:ascii="Arial" w:hAnsi="Arial" w:cs="Arial"/>
          <w:b/>
          <w:i/>
          <w:color w:val="000000"/>
        </w:rPr>
        <w:t>,</w:t>
      </w:r>
      <w:r>
        <w:rPr>
          <w:rFonts w:ascii="Arial" w:hAnsi="Arial" w:cs="Arial"/>
          <w:b/>
          <w:color w:val="000000"/>
        </w:rPr>
        <w:t xml:space="preserve"> </w:t>
      </w:r>
      <w:r w:rsidRPr="00982E36">
        <w:rPr>
          <w:rFonts w:ascii="Arial" w:hAnsi="Arial" w:cs="Arial"/>
          <w:color w:val="000000"/>
        </w:rPr>
        <w:t>a highly graded script</w:t>
      </w:r>
      <w:r>
        <w:rPr>
          <w:rFonts w:ascii="Arial" w:hAnsi="Arial" w:cs="Arial"/>
          <w:color w:val="000000"/>
        </w:rPr>
        <w:t xml:space="preserve"> </w:t>
      </w:r>
      <w:r w:rsidRPr="006F7295">
        <w:rPr>
          <w:rFonts w:ascii="Arial" w:hAnsi="Arial" w:cs="Arial"/>
          <w:i/>
          <w:color w:val="000000"/>
        </w:rPr>
        <w:t>(POR2)</w:t>
      </w:r>
      <w:r>
        <w:rPr>
          <w:rFonts w:ascii="Arial" w:hAnsi="Arial" w:cs="Arial"/>
          <w:b/>
          <w:color w:val="000000"/>
        </w:rPr>
        <w:t xml:space="preserve"> </w:t>
      </w:r>
      <w:r w:rsidRPr="00982E36">
        <w:rPr>
          <w:rFonts w:ascii="Arial" w:hAnsi="Arial" w:cs="Arial"/>
          <w:color w:val="000000"/>
        </w:rPr>
        <w:t>or an averagely graded script</w:t>
      </w:r>
      <w:r>
        <w:rPr>
          <w:rFonts w:ascii="Arial" w:hAnsi="Arial" w:cs="Arial"/>
          <w:color w:val="000000"/>
        </w:rPr>
        <w:t xml:space="preserve"> </w:t>
      </w:r>
      <w:r w:rsidRPr="006F7295">
        <w:rPr>
          <w:rFonts w:ascii="Arial" w:hAnsi="Arial" w:cs="Arial"/>
          <w:i/>
          <w:color w:val="000000"/>
        </w:rPr>
        <w:t>(POR3)</w:t>
      </w:r>
    </w:p>
    <w:p w:rsidR="0076549D" w:rsidRPr="00EA3830" w:rsidRDefault="0076549D" w:rsidP="0076549D">
      <w:pPr>
        <w:pStyle w:val="ListParagraph"/>
        <w:numPr>
          <w:ilvl w:val="0"/>
          <w:numId w:val="4"/>
        </w:numPr>
        <w:spacing w:line="240" w:lineRule="auto"/>
        <w:rPr>
          <w:rFonts w:ascii="Arial" w:hAnsi="Arial" w:cs="Arial"/>
          <w:lang w:val="en-US"/>
        </w:rPr>
      </w:pPr>
      <w:r w:rsidRPr="003F3C02">
        <w:rPr>
          <w:rFonts w:ascii="Arial" w:hAnsi="Arial" w:cs="Arial"/>
          <w:color w:val="000000"/>
        </w:rPr>
        <w:t xml:space="preserve">The historic development of the </w:t>
      </w:r>
      <w:r>
        <w:rPr>
          <w:rFonts w:ascii="Arial" w:hAnsi="Arial" w:cs="Arial"/>
          <w:color w:val="000000"/>
        </w:rPr>
        <w:t>marker</w:t>
      </w:r>
      <w:r w:rsidRPr="003F3C02">
        <w:rPr>
          <w:rFonts w:ascii="Arial" w:hAnsi="Arial" w:cs="Arial"/>
          <w:color w:val="000000"/>
        </w:rPr>
        <w:t xml:space="preserve"> may have established disparate patterns of behaviou</w:t>
      </w:r>
      <w:r>
        <w:rPr>
          <w:rFonts w:ascii="Arial" w:hAnsi="Arial" w:cs="Arial"/>
          <w:color w:val="000000"/>
        </w:rPr>
        <w:t xml:space="preserve">r </w:t>
      </w:r>
      <w:r w:rsidRPr="006F7295">
        <w:rPr>
          <w:rFonts w:ascii="Arial" w:hAnsi="Arial" w:cs="Arial"/>
          <w:i/>
          <w:color w:val="000000"/>
        </w:rPr>
        <w:t>(CUPR)</w:t>
      </w:r>
      <w:r>
        <w:rPr>
          <w:rFonts w:ascii="Arial" w:hAnsi="Arial" w:cs="Arial"/>
          <w:color w:val="000000"/>
        </w:rPr>
        <w:t xml:space="preserve">  (Hand &amp; Clewes, 2000: Allen, 2005)</w:t>
      </w:r>
      <w:r w:rsidRPr="003F3C02">
        <w:rPr>
          <w:rFonts w:ascii="Arial" w:hAnsi="Arial" w:cs="Arial"/>
          <w:color w:val="000000"/>
        </w:rPr>
        <w:t xml:space="preserve">. </w:t>
      </w:r>
    </w:p>
    <w:p w:rsidR="0076549D" w:rsidRPr="006F7295" w:rsidRDefault="0076549D" w:rsidP="0076549D">
      <w:pPr>
        <w:pStyle w:val="ListParagraph"/>
        <w:spacing w:line="240" w:lineRule="auto"/>
        <w:rPr>
          <w:rFonts w:ascii="Arial" w:hAnsi="Arial" w:cs="Arial"/>
          <w:lang w:val="en-US"/>
        </w:rPr>
      </w:pPr>
    </w:p>
    <w:p w:rsidR="0076549D" w:rsidRPr="000A328A" w:rsidRDefault="0076549D" w:rsidP="0076549D">
      <w:pPr>
        <w:autoSpaceDE w:val="0"/>
        <w:autoSpaceDN w:val="0"/>
        <w:adjustRightInd w:val="0"/>
        <w:spacing w:after="0" w:line="240" w:lineRule="auto"/>
        <w:jc w:val="both"/>
        <w:rPr>
          <w:rFonts w:ascii="Arial" w:hAnsi="Arial" w:cs="Arial"/>
        </w:rPr>
      </w:pPr>
      <w:r w:rsidRPr="000A328A">
        <w:rPr>
          <w:rFonts w:ascii="Arial" w:hAnsi="Arial" w:cs="Arial"/>
        </w:rPr>
        <w:t xml:space="preserve">Crisp (2008) has </w:t>
      </w:r>
      <w:r>
        <w:rPr>
          <w:rFonts w:ascii="Arial" w:hAnsi="Arial" w:cs="Arial"/>
        </w:rPr>
        <w:t xml:space="preserve">also </w:t>
      </w:r>
      <w:r w:rsidRPr="000A328A">
        <w:rPr>
          <w:rFonts w:ascii="Arial" w:hAnsi="Arial" w:cs="Arial"/>
        </w:rPr>
        <w:t xml:space="preserve">explored some of the psychology of marking for University entry examinations </w:t>
      </w:r>
      <w:r>
        <w:rPr>
          <w:rFonts w:ascii="Arial" w:hAnsi="Arial" w:cs="Arial"/>
        </w:rPr>
        <w:t>and</w:t>
      </w:r>
      <w:r w:rsidRPr="000A328A">
        <w:rPr>
          <w:rFonts w:ascii="Arial" w:hAnsi="Arial" w:cs="Arial"/>
        </w:rPr>
        <w:t xml:space="preserve"> note</w:t>
      </w:r>
      <w:r>
        <w:rPr>
          <w:rFonts w:ascii="Arial" w:hAnsi="Arial" w:cs="Arial"/>
        </w:rPr>
        <w:t>d</w:t>
      </w:r>
      <w:r w:rsidRPr="000A328A">
        <w:rPr>
          <w:rFonts w:ascii="Arial" w:hAnsi="Arial" w:cs="Arial"/>
        </w:rPr>
        <w:t xml:space="preserve"> </w:t>
      </w:r>
      <w:r>
        <w:rPr>
          <w:rFonts w:ascii="Arial" w:hAnsi="Arial" w:cs="Arial"/>
        </w:rPr>
        <w:t>that</w:t>
      </w:r>
      <w:r w:rsidRPr="000A328A">
        <w:rPr>
          <w:rFonts w:ascii="Arial" w:hAnsi="Arial" w:cs="Arial"/>
        </w:rPr>
        <w:t xml:space="preserve"> </w:t>
      </w:r>
      <w:r>
        <w:rPr>
          <w:rFonts w:ascii="Arial" w:hAnsi="Arial" w:cs="Arial"/>
        </w:rPr>
        <w:t xml:space="preserve">some (but not all) </w:t>
      </w:r>
      <w:r w:rsidRPr="000A328A">
        <w:rPr>
          <w:rFonts w:ascii="Arial" w:hAnsi="Arial" w:cs="Arial"/>
        </w:rPr>
        <w:t xml:space="preserve">markers were observed </w:t>
      </w:r>
      <w:r>
        <w:rPr>
          <w:rFonts w:ascii="Arial" w:hAnsi="Arial" w:cs="Arial"/>
        </w:rPr>
        <w:t>to undertake a process of ‘self-</w:t>
      </w:r>
      <w:r w:rsidRPr="000A328A">
        <w:rPr>
          <w:rFonts w:ascii="Arial" w:hAnsi="Arial" w:cs="Arial"/>
        </w:rPr>
        <w:t>control focus’</w:t>
      </w:r>
      <w:r>
        <w:rPr>
          <w:rFonts w:ascii="Arial" w:hAnsi="Arial" w:cs="Arial"/>
        </w:rPr>
        <w:t>,</w:t>
      </w:r>
      <w:r w:rsidRPr="000A328A">
        <w:rPr>
          <w:rFonts w:ascii="Arial" w:hAnsi="Arial" w:cs="Arial"/>
        </w:rPr>
        <w:t xml:space="preserve"> whereby they consider the situation of writing and the writer</w:t>
      </w:r>
      <w:r>
        <w:rPr>
          <w:rFonts w:ascii="Arial" w:hAnsi="Arial" w:cs="Arial"/>
        </w:rPr>
        <w:t>,</w:t>
      </w:r>
      <w:r w:rsidRPr="000A328A">
        <w:rPr>
          <w:rFonts w:ascii="Arial" w:hAnsi="Arial" w:cs="Arial"/>
        </w:rPr>
        <w:t xml:space="preserve"> so as to establish a personal view of the qualities of the work being considered</w:t>
      </w:r>
      <w:r>
        <w:rPr>
          <w:rFonts w:ascii="Arial" w:hAnsi="Arial" w:cs="Arial"/>
        </w:rPr>
        <w:t>, but which may introduce differential grading practices</w:t>
      </w:r>
      <w:r w:rsidRPr="000A328A">
        <w:rPr>
          <w:rFonts w:ascii="Arial" w:hAnsi="Arial" w:cs="Arial"/>
        </w:rPr>
        <w:t xml:space="preserve">. </w:t>
      </w:r>
      <w:r>
        <w:rPr>
          <w:rFonts w:ascii="Arial" w:hAnsi="Arial" w:cs="Arial"/>
        </w:rPr>
        <w:t>Some</w:t>
      </w:r>
      <w:r w:rsidRPr="000A328A">
        <w:rPr>
          <w:rFonts w:ascii="Arial" w:hAnsi="Arial" w:cs="Arial"/>
        </w:rPr>
        <w:t xml:space="preserve"> markers </w:t>
      </w:r>
      <w:r>
        <w:rPr>
          <w:rFonts w:ascii="Arial" w:hAnsi="Arial" w:cs="Arial"/>
        </w:rPr>
        <w:t xml:space="preserve">therefore </w:t>
      </w:r>
      <w:r w:rsidRPr="000A328A">
        <w:rPr>
          <w:rFonts w:ascii="Arial" w:hAnsi="Arial" w:cs="Arial"/>
        </w:rPr>
        <w:t>did – to an extent</w:t>
      </w:r>
      <w:r>
        <w:rPr>
          <w:rFonts w:ascii="Arial" w:hAnsi="Arial" w:cs="Arial"/>
        </w:rPr>
        <w:t xml:space="preserve"> –</w:t>
      </w:r>
      <w:r w:rsidRPr="000A328A">
        <w:rPr>
          <w:rFonts w:ascii="Arial" w:hAnsi="Arial" w:cs="Arial"/>
        </w:rPr>
        <w:t xml:space="preserve"> try</w:t>
      </w:r>
      <w:r>
        <w:rPr>
          <w:rFonts w:ascii="Arial" w:hAnsi="Arial" w:cs="Arial"/>
        </w:rPr>
        <w:t xml:space="preserve"> </w:t>
      </w:r>
      <w:r w:rsidRPr="000A328A">
        <w:rPr>
          <w:rFonts w:ascii="Arial" w:hAnsi="Arial" w:cs="Arial"/>
        </w:rPr>
        <w:t>to reconstruct the intended meaning of a</w:t>
      </w:r>
      <w:r>
        <w:rPr>
          <w:rFonts w:ascii="Arial" w:hAnsi="Arial" w:cs="Arial"/>
        </w:rPr>
        <w:t xml:space="preserve"> submitted </w:t>
      </w:r>
      <w:r w:rsidRPr="000A328A">
        <w:rPr>
          <w:rFonts w:ascii="Arial" w:hAnsi="Arial" w:cs="Arial"/>
        </w:rPr>
        <w:t>assessment</w:t>
      </w:r>
      <w:r>
        <w:rPr>
          <w:rFonts w:ascii="Arial" w:hAnsi="Arial" w:cs="Arial"/>
        </w:rPr>
        <w:t xml:space="preserve"> task</w:t>
      </w:r>
      <w:r w:rsidRPr="000A328A">
        <w:rPr>
          <w:rFonts w:ascii="Arial" w:hAnsi="Arial" w:cs="Arial"/>
        </w:rPr>
        <w:t xml:space="preserve"> and saw that as an important part of the assessment process</w:t>
      </w:r>
      <w:r>
        <w:rPr>
          <w:rFonts w:ascii="Arial" w:hAnsi="Arial" w:cs="Arial"/>
        </w:rPr>
        <w:t xml:space="preserve"> </w:t>
      </w:r>
      <w:r w:rsidRPr="001D659F">
        <w:rPr>
          <w:rFonts w:ascii="Arial" w:hAnsi="Arial" w:cs="Arial"/>
          <w:i/>
        </w:rPr>
        <w:t>(ANCO)</w:t>
      </w:r>
      <w:r w:rsidRPr="001D659F">
        <w:rPr>
          <w:rFonts w:ascii="Arial" w:hAnsi="Arial" w:cs="Arial"/>
          <w:b/>
          <w:i/>
        </w:rPr>
        <w:t>.</w:t>
      </w:r>
      <w:r w:rsidRPr="000A328A">
        <w:rPr>
          <w:rFonts w:ascii="Arial" w:hAnsi="Arial" w:cs="Arial"/>
        </w:rPr>
        <w:t xml:space="preserve"> </w:t>
      </w:r>
      <w:r>
        <w:rPr>
          <w:rFonts w:ascii="Arial" w:hAnsi="Arial" w:cs="Arial"/>
        </w:rPr>
        <w:t>Th</w:t>
      </w:r>
      <w:r w:rsidRPr="000A328A">
        <w:rPr>
          <w:rFonts w:ascii="Arial" w:hAnsi="Arial" w:cs="Arial"/>
        </w:rPr>
        <w:t xml:space="preserve">e </w:t>
      </w:r>
      <w:r w:rsidRPr="000A328A">
        <w:rPr>
          <w:rFonts w:ascii="Arial" w:hAnsi="Arial" w:cs="Arial"/>
          <w:bCs/>
        </w:rPr>
        <w:t xml:space="preserve">extent of accommodation of variations in language competence </w:t>
      </w:r>
      <w:r>
        <w:rPr>
          <w:rFonts w:ascii="Arial" w:hAnsi="Arial" w:cs="Arial"/>
          <w:bCs/>
        </w:rPr>
        <w:t>was argued to be</w:t>
      </w:r>
      <w:r w:rsidRPr="000A328A">
        <w:rPr>
          <w:rFonts w:ascii="Arial" w:hAnsi="Arial" w:cs="Arial"/>
          <w:bCs/>
        </w:rPr>
        <w:t xml:space="preserve"> dependent primarily upon the marker and the discourse (knowledge base) they belong</w:t>
      </w:r>
      <w:r>
        <w:rPr>
          <w:rFonts w:ascii="Arial" w:hAnsi="Arial" w:cs="Arial"/>
          <w:bCs/>
        </w:rPr>
        <w:t>ed</w:t>
      </w:r>
      <w:r w:rsidRPr="000A328A">
        <w:rPr>
          <w:rFonts w:ascii="Arial" w:hAnsi="Arial" w:cs="Arial"/>
          <w:bCs/>
        </w:rPr>
        <w:t xml:space="preserve"> to</w:t>
      </w:r>
      <w:r>
        <w:rPr>
          <w:rFonts w:ascii="Arial" w:hAnsi="Arial" w:cs="Arial"/>
          <w:bCs/>
        </w:rPr>
        <w:t xml:space="preserve"> (Crisp, 2008)</w:t>
      </w:r>
      <w:r w:rsidRPr="000A328A">
        <w:rPr>
          <w:rFonts w:ascii="Arial" w:hAnsi="Arial" w:cs="Arial"/>
          <w:bCs/>
        </w:rPr>
        <w:t xml:space="preserve">. </w:t>
      </w:r>
    </w:p>
    <w:p w:rsidR="0076549D" w:rsidRPr="000A328A"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Available evidence</w:t>
      </w:r>
      <w:r w:rsidRPr="000A328A">
        <w:rPr>
          <w:rFonts w:ascii="Arial" w:hAnsi="Arial" w:cs="Arial"/>
        </w:rPr>
        <w:t xml:space="preserve"> also shows wide variation in mark achievements and methods of assessment by faculty and by institution (Yorke </w:t>
      </w:r>
      <w:r>
        <w:rPr>
          <w:rFonts w:ascii="Arial" w:hAnsi="Arial" w:cs="Arial"/>
          <w:i/>
          <w:iCs/>
        </w:rPr>
        <w:t xml:space="preserve">et al, </w:t>
      </w:r>
      <w:r>
        <w:rPr>
          <w:rFonts w:ascii="Arial" w:hAnsi="Arial" w:cs="Arial"/>
        </w:rPr>
        <w:t xml:space="preserve">2000: 2002). Barnes </w:t>
      </w:r>
      <w:r w:rsidRPr="001D659F">
        <w:rPr>
          <w:rFonts w:ascii="Arial" w:hAnsi="Arial" w:cs="Arial"/>
          <w:i/>
        </w:rPr>
        <w:t>et al</w:t>
      </w:r>
      <w:r>
        <w:rPr>
          <w:rFonts w:ascii="Arial" w:hAnsi="Arial" w:cs="Arial"/>
        </w:rPr>
        <w:t xml:space="preserve"> (2001) called this </w:t>
      </w:r>
      <w:r w:rsidRPr="00443B29">
        <w:rPr>
          <w:rFonts w:ascii="Arial" w:hAnsi="Arial" w:cs="Arial"/>
          <w:bCs/>
          <w:i/>
        </w:rPr>
        <w:t>adaptation level theory</w:t>
      </w:r>
      <w:r w:rsidRPr="000A328A">
        <w:rPr>
          <w:rFonts w:ascii="Arial" w:hAnsi="Arial" w:cs="Arial"/>
          <w:bCs/>
        </w:rPr>
        <w:t xml:space="preserve"> </w:t>
      </w:r>
      <w:r w:rsidRPr="000A328A">
        <w:rPr>
          <w:rFonts w:ascii="Arial" w:hAnsi="Arial" w:cs="Arial"/>
        </w:rPr>
        <w:t>where in different academic disciplines</w:t>
      </w:r>
      <w:r>
        <w:rPr>
          <w:rFonts w:ascii="Arial" w:hAnsi="Arial" w:cs="Arial"/>
        </w:rPr>
        <w:t>,</w:t>
      </w:r>
      <w:r w:rsidRPr="000A328A">
        <w:rPr>
          <w:rFonts w:ascii="Arial" w:hAnsi="Arial" w:cs="Arial"/>
        </w:rPr>
        <w:t xml:space="preserve"> students (and staff) that are </w:t>
      </w:r>
      <w:r>
        <w:rPr>
          <w:rFonts w:ascii="Arial" w:hAnsi="Arial" w:cs="Arial"/>
        </w:rPr>
        <w:t xml:space="preserve">perceived as </w:t>
      </w:r>
      <w:r w:rsidRPr="000A328A">
        <w:rPr>
          <w:rFonts w:ascii="Arial" w:hAnsi="Arial" w:cs="Arial"/>
        </w:rPr>
        <w:t>less academically competitive migrate to those degrees that are perceived as less demanding in order to secure higher exit awards</w:t>
      </w:r>
      <w:r>
        <w:rPr>
          <w:rFonts w:ascii="Arial" w:hAnsi="Arial" w:cs="Arial"/>
        </w:rPr>
        <w:t xml:space="preserve"> </w:t>
      </w:r>
      <w:r w:rsidRPr="001D659F">
        <w:rPr>
          <w:rFonts w:ascii="Arial" w:hAnsi="Arial" w:cs="Arial"/>
          <w:i/>
        </w:rPr>
        <w:t>(PEDE)</w:t>
      </w:r>
      <w:r>
        <w:rPr>
          <w:rFonts w:ascii="Arial" w:hAnsi="Arial" w:cs="Arial"/>
        </w:rPr>
        <w:t>.</w:t>
      </w:r>
    </w:p>
    <w:p w:rsidR="0076549D" w:rsidRPr="000A328A" w:rsidRDefault="0076549D" w:rsidP="0076549D">
      <w:pPr>
        <w:autoSpaceDE w:val="0"/>
        <w:autoSpaceDN w:val="0"/>
        <w:adjustRightInd w:val="0"/>
        <w:spacing w:after="0" w:line="240" w:lineRule="auto"/>
        <w:jc w:val="both"/>
        <w:rPr>
          <w:rFonts w:ascii="Arial" w:hAnsi="Arial" w:cs="Arial"/>
        </w:rPr>
      </w:pPr>
    </w:p>
    <w:p w:rsidR="0076549D" w:rsidRPr="000A328A" w:rsidRDefault="0076549D" w:rsidP="0076549D">
      <w:pPr>
        <w:autoSpaceDE w:val="0"/>
        <w:autoSpaceDN w:val="0"/>
        <w:adjustRightInd w:val="0"/>
        <w:spacing w:after="0" w:line="240" w:lineRule="auto"/>
        <w:jc w:val="both"/>
        <w:rPr>
          <w:rFonts w:ascii="Arial" w:hAnsi="Arial" w:cs="Arial"/>
        </w:rPr>
      </w:pPr>
      <w:r>
        <w:rPr>
          <w:rFonts w:ascii="Arial" w:hAnsi="Arial" w:cs="Arial"/>
          <w:lang w:val="en-US"/>
        </w:rPr>
        <w:t xml:space="preserve">All of the potential variables that are focused upon during the decision making stage of grading reflect (1) and (2) of Sadler’s concept of grade integrity. A number of the variables identified may influence the final grade allocation but are not captured at the point of initial decision making (see </w:t>
      </w:r>
      <w:r>
        <w:rPr>
          <w:rFonts w:ascii="Arial" w:hAnsi="Arial" w:cs="Arial"/>
          <w:b/>
          <w:lang w:val="en-US"/>
        </w:rPr>
        <w:t>table 1</w:t>
      </w:r>
      <w:r>
        <w:rPr>
          <w:rFonts w:ascii="Arial" w:hAnsi="Arial" w:cs="Arial"/>
          <w:lang w:val="en-US"/>
        </w:rPr>
        <w:t xml:space="preserve">). </w:t>
      </w:r>
      <w:r>
        <w:rPr>
          <w:rFonts w:ascii="Arial" w:hAnsi="Arial" w:cs="Arial"/>
        </w:rPr>
        <w:t>The next section outlines the methodological approach to the design of the research and the construction of the data collection tool that addresses the manifest variables used to reflect understanding about the factors identified in the literature.</w:t>
      </w:r>
    </w:p>
    <w:p w:rsidR="0076549D" w:rsidRPr="001A0E1D" w:rsidRDefault="0076549D" w:rsidP="0076549D">
      <w:pPr>
        <w:pStyle w:val="Heading1"/>
        <w:rPr>
          <w:b/>
        </w:rPr>
      </w:pPr>
      <w:r w:rsidRPr="001A0E1D">
        <w:rPr>
          <w:b/>
        </w:rPr>
        <w:t>Methodology</w:t>
      </w:r>
    </w:p>
    <w:p w:rsidR="0076549D" w:rsidRPr="000A328A" w:rsidRDefault="0076549D" w:rsidP="0076549D">
      <w:pPr>
        <w:autoSpaceDE w:val="0"/>
        <w:autoSpaceDN w:val="0"/>
        <w:adjustRightInd w:val="0"/>
        <w:spacing w:after="0" w:line="240" w:lineRule="auto"/>
        <w:jc w:val="both"/>
        <w:rPr>
          <w:rFonts w:ascii="Arial" w:hAnsi="Arial" w:cs="Arial"/>
        </w:rPr>
      </w:pPr>
    </w:p>
    <w:p w:rsidR="0076549D" w:rsidRPr="000A328A" w:rsidRDefault="0076549D" w:rsidP="0076549D">
      <w:pPr>
        <w:spacing w:line="240" w:lineRule="auto"/>
        <w:jc w:val="both"/>
        <w:rPr>
          <w:rFonts w:ascii="Arial" w:hAnsi="Arial" w:cs="Arial"/>
          <w:lang w:eastAsia="en-GB"/>
        </w:rPr>
      </w:pPr>
      <w:r>
        <w:rPr>
          <w:rFonts w:ascii="Arial" w:hAnsi="Arial" w:cs="Arial"/>
        </w:rPr>
        <w:t xml:space="preserve">This paper adopts the arguments and framework from </w:t>
      </w:r>
      <w:r w:rsidRPr="000A328A">
        <w:rPr>
          <w:rFonts w:ascii="Arial" w:hAnsi="Arial" w:cs="Arial"/>
        </w:rPr>
        <w:t>the The</w:t>
      </w:r>
      <w:r>
        <w:rPr>
          <w:rFonts w:ascii="Arial" w:hAnsi="Arial" w:cs="Arial"/>
        </w:rPr>
        <w:t>ory of Planned Behaviour (TPB) and considers</w:t>
      </w:r>
      <w:r w:rsidRPr="000A328A">
        <w:rPr>
          <w:rFonts w:ascii="Arial" w:hAnsi="Arial" w:cs="Arial"/>
        </w:rPr>
        <w:t xml:space="preserve"> the </w:t>
      </w:r>
      <w:r>
        <w:rPr>
          <w:rFonts w:ascii="Arial" w:hAnsi="Arial" w:cs="Arial"/>
        </w:rPr>
        <w:t xml:space="preserve">relationships between the markers, </w:t>
      </w:r>
      <w:r w:rsidRPr="000A328A">
        <w:rPr>
          <w:rFonts w:ascii="Arial" w:hAnsi="Arial" w:cs="Arial"/>
        </w:rPr>
        <w:t xml:space="preserve">their </w:t>
      </w:r>
      <w:r>
        <w:rPr>
          <w:rFonts w:ascii="Arial" w:hAnsi="Arial" w:cs="Arial"/>
        </w:rPr>
        <w:t>pressures, control</w:t>
      </w:r>
      <w:r w:rsidRPr="000A328A">
        <w:rPr>
          <w:rFonts w:ascii="Arial" w:hAnsi="Arial" w:cs="Arial"/>
        </w:rPr>
        <w:t xml:space="preserve"> and attitudes towards the intention to </w:t>
      </w:r>
      <w:r>
        <w:rPr>
          <w:rFonts w:ascii="Arial" w:hAnsi="Arial" w:cs="Arial"/>
        </w:rPr>
        <w:t xml:space="preserve">allocate an objective grade (Ajzen, 1991). We wish to determine the relative importance of identified manifest variables upon the intention to allocate a grade </w:t>
      </w:r>
      <w:r w:rsidRPr="000F7CE8">
        <w:rPr>
          <w:rFonts w:ascii="Arial" w:hAnsi="Arial" w:cs="Arial"/>
          <w:i/>
        </w:rPr>
        <w:t>during</w:t>
      </w:r>
      <w:r>
        <w:rPr>
          <w:rFonts w:ascii="Arial" w:hAnsi="Arial" w:cs="Arial"/>
        </w:rPr>
        <w:t xml:space="preserve"> the grading process.  </w:t>
      </w:r>
      <w:r w:rsidRPr="000A328A">
        <w:rPr>
          <w:rFonts w:ascii="Arial" w:hAnsi="Arial" w:cs="Arial"/>
          <w:lang w:eastAsia="en-GB"/>
        </w:rPr>
        <w:t>Hence</w:t>
      </w:r>
      <w:r>
        <w:rPr>
          <w:rFonts w:ascii="Arial" w:hAnsi="Arial" w:cs="Arial"/>
          <w:lang w:eastAsia="en-GB"/>
        </w:rPr>
        <w:t>,</w:t>
      </w:r>
      <w:r w:rsidRPr="000A328A">
        <w:rPr>
          <w:rFonts w:ascii="Arial" w:hAnsi="Arial" w:cs="Arial"/>
          <w:lang w:eastAsia="en-GB"/>
        </w:rPr>
        <w:t xml:space="preserve"> a</w:t>
      </w:r>
      <w:r>
        <w:rPr>
          <w:rFonts w:ascii="Arial" w:hAnsi="Arial" w:cs="Arial"/>
          <w:lang w:eastAsia="en-GB"/>
        </w:rPr>
        <w:t>n</w:t>
      </w:r>
      <w:r w:rsidRPr="000A328A">
        <w:rPr>
          <w:rFonts w:ascii="Arial" w:hAnsi="Arial" w:cs="Arial"/>
          <w:lang w:eastAsia="en-GB"/>
        </w:rPr>
        <w:t xml:space="preserve"> intention </w:t>
      </w:r>
      <w:r>
        <w:rPr>
          <w:rFonts w:ascii="Arial" w:hAnsi="Arial" w:cs="Arial"/>
          <w:lang w:eastAsia="en-GB"/>
        </w:rPr>
        <w:t>to allocate a grade is determined by the marker’s</w:t>
      </w:r>
      <w:r w:rsidRPr="000A328A">
        <w:rPr>
          <w:rFonts w:ascii="Arial" w:hAnsi="Arial" w:cs="Arial"/>
          <w:lang w:eastAsia="en-GB"/>
        </w:rPr>
        <w:t xml:space="preserve"> attitude and the prevailing subjective norms, behavioural and normative beliefs they recognise</w:t>
      </w:r>
      <w:r>
        <w:rPr>
          <w:rFonts w:ascii="Arial" w:hAnsi="Arial" w:cs="Arial"/>
          <w:lang w:eastAsia="en-GB"/>
        </w:rPr>
        <w:t xml:space="preserve"> and value</w:t>
      </w:r>
      <w:r w:rsidRPr="000A328A">
        <w:rPr>
          <w:rFonts w:ascii="Arial" w:hAnsi="Arial" w:cs="Arial"/>
          <w:lang w:eastAsia="en-GB"/>
        </w:rPr>
        <w:t xml:space="preserve">. </w:t>
      </w:r>
      <w:r>
        <w:rPr>
          <w:rFonts w:ascii="Arial" w:hAnsi="Arial" w:cs="Arial"/>
          <w:lang w:eastAsia="en-GB"/>
        </w:rPr>
        <w:t>Intention is then influenced by this</w:t>
      </w:r>
      <w:r w:rsidRPr="000A328A">
        <w:rPr>
          <w:rFonts w:ascii="Arial" w:hAnsi="Arial" w:cs="Arial"/>
          <w:lang w:eastAsia="en-GB"/>
        </w:rPr>
        <w:t xml:space="preserve"> ‘combined’ function of beliefs and norms. Attitude is </w:t>
      </w:r>
      <w:r>
        <w:rPr>
          <w:rFonts w:ascii="Arial" w:hAnsi="Arial" w:cs="Arial"/>
          <w:lang w:eastAsia="en-GB"/>
        </w:rPr>
        <w:t>a multidimensional</w:t>
      </w:r>
      <w:r w:rsidRPr="000A328A">
        <w:rPr>
          <w:rFonts w:ascii="Arial" w:hAnsi="Arial" w:cs="Arial"/>
          <w:lang w:eastAsia="en-GB"/>
        </w:rPr>
        <w:t xml:space="preserve"> factor shaping individual intentions and is described as a belief about how likely a given consequence of individual action is</w:t>
      </w:r>
      <w:r>
        <w:rPr>
          <w:rFonts w:ascii="Arial" w:hAnsi="Arial" w:cs="Arial"/>
          <w:lang w:eastAsia="en-GB"/>
        </w:rPr>
        <w:t>,</w:t>
      </w:r>
      <w:r w:rsidRPr="000A328A">
        <w:rPr>
          <w:rFonts w:ascii="Arial" w:hAnsi="Arial" w:cs="Arial"/>
          <w:lang w:eastAsia="en-GB"/>
        </w:rPr>
        <w:t xml:space="preserve"> plus whether that consequence is perceived to be good / bad by the individual. The subjective norm of an individual is the outcome of normative beliefs (in terms of what their referents would do in that same situation)</w:t>
      </w:r>
      <w:r>
        <w:rPr>
          <w:rFonts w:ascii="Arial" w:hAnsi="Arial" w:cs="Arial"/>
          <w:lang w:eastAsia="en-GB"/>
        </w:rPr>
        <w:t>,</w:t>
      </w:r>
      <w:r w:rsidRPr="000A328A">
        <w:rPr>
          <w:rFonts w:ascii="Arial" w:hAnsi="Arial" w:cs="Arial"/>
          <w:lang w:eastAsia="en-GB"/>
        </w:rPr>
        <w:t xml:space="preserve"> moderated by the desire of the individual to conform to that referent’s predicted actions.</w:t>
      </w:r>
      <w:r w:rsidRPr="000A328A">
        <w:rPr>
          <w:rFonts w:ascii="Arial" w:hAnsi="Arial" w:cs="Arial"/>
        </w:rPr>
        <w:t xml:space="preserve"> </w:t>
      </w:r>
    </w:p>
    <w:p w:rsidR="0076549D" w:rsidRDefault="0076549D" w:rsidP="0076549D">
      <w:pPr>
        <w:spacing w:line="240" w:lineRule="auto"/>
        <w:jc w:val="both"/>
        <w:rPr>
          <w:rFonts w:ascii="Arial" w:hAnsi="Arial" w:cs="Arial"/>
        </w:rPr>
      </w:pPr>
      <w:r w:rsidRPr="000A328A">
        <w:rPr>
          <w:rFonts w:ascii="Arial" w:hAnsi="Arial" w:cs="Arial"/>
          <w:lang w:eastAsia="en-GB"/>
        </w:rPr>
        <w:t xml:space="preserve">TPB acknowledges that there can be instances of </w:t>
      </w:r>
      <w:r>
        <w:rPr>
          <w:rFonts w:ascii="Arial" w:hAnsi="Arial" w:cs="Arial"/>
          <w:lang w:eastAsia="en-GB"/>
        </w:rPr>
        <w:t>a</w:t>
      </w:r>
      <w:r w:rsidRPr="000A328A">
        <w:rPr>
          <w:rFonts w:ascii="Arial" w:hAnsi="Arial" w:cs="Arial"/>
          <w:lang w:eastAsia="en-GB"/>
        </w:rPr>
        <w:t xml:space="preserve"> desire to act, but the</w:t>
      </w:r>
      <w:r>
        <w:rPr>
          <w:rFonts w:ascii="Arial" w:hAnsi="Arial" w:cs="Arial"/>
          <w:lang w:eastAsia="en-GB"/>
        </w:rPr>
        <w:t>n an</w:t>
      </w:r>
      <w:r w:rsidRPr="000A328A">
        <w:rPr>
          <w:rFonts w:ascii="Arial" w:hAnsi="Arial" w:cs="Arial"/>
          <w:lang w:eastAsia="en-GB"/>
        </w:rPr>
        <w:t xml:space="preserve"> inability to do so by the individual. </w:t>
      </w:r>
      <w:r>
        <w:rPr>
          <w:rFonts w:ascii="Arial" w:hAnsi="Arial" w:cs="Arial"/>
          <w:lang w:eastAsia="en-GB"/>
        </w:rPr>
        <w:t>Unpacking the PBC</w:t>
      </w:r>
      <w:r w:rsidRPr="000A328A">
        <w:rPr>
          <w:rFonts w:ascii="Arial" w:hAnsi="Arial" w:cs="Arial"/>
          <w:lang w:eastAsia="en-GB"/>
        </w:rPr>
        <w:t xml:space="preserve"> concept </w:t>
      </w:r>
      <w:r>
        <w:rPr>
          <w:rFonts w:ascii="Arial" w:hAnsi="Arial" w:cs="Arial"/>
          <w:lang w:eastAsia="en-GB"/>
        </w:rPr>
        <w:t xml:space="preserve">identifies </w:t>
      </w:r>
      <w:r w:rsidRPr="000A328A">
        <w:rPr>
          <w:rFonts w:ascii="Arial" w:hAnsi="Arial" w:cs="Arial"/>
          <w:lang w:eastAsia="en-GB"/>
        </w:rPr>
        <w:t>perspectives of perceived control (PC) over a task and perceived difficulty (PD) of undertaking the task</w:t>
      </w:r>
      <w:r>
        <w:rPr>
          <w:rFonts w:ascii="Arial" w:hAnsi="Arial" w:cs="Arial"/>
          <w:lang w:eastAsia="en-GB"/>
        </w:rPr>
        <w:t xml:space="preserve"> (Kraft et al, 2005)</w:t>
      </w:r>
      <w:r w:rsidRPr="000A328A">
        <w:rPr>
          <w:rFonts w:ascii="Arial" w:hAnsi="Arial" w:cs="Arial"/>
          <w:lang w:eastAsia="en-GB"/>
        </w:rPr>
        <w:t xml:space="preserve">. </w:t>
      </w:r>
      <w:r>
        <w:rPr>
          <w:rFonts w:ascii="Arial" w:hAnsi="Arial" w:cs="Arial"/>
          <w:lang w:eastAsia="en-GB"/>
        </w:rPr>
        <w:t xml:space="preserve"> </w:t>
      </w:r>
      <w:r>
        <w:rPr>
          <w:rFonts w:ascii="Arial" w:hAnsi="Arial" w:cs="Arial"/>
        </w:rPr>
        <w:t>T</w:t>
      </w:r>
      <w:r w:rsidRPr="000A328A">
        <w:rPr>
          <w:rFonts w:ascii="Arial" w:hAnsi="Arial" w:cs="Arial"/>
        </w:rPr>
        <w:t xml:space="preserve">he TPB </w:t>
      </w:r>
      <w:r>
        <w:rPr>
          <w:rFonts w:ascii="Arial" w:hAnsi="Arial" w:cs="Arial"/>
        </w:rPr>
        <w:t>framework</w:t>
      </w:r>
      <w:r w:rsidRPr="000A328A">
        <w:rPr>
          <w:rFonts w:ascii="Arial" w:hAnsi="Arial" w:cs="Arial"/>
        </w:rPr>
        <w:t xml:space="preserve"> therefore argues that an intention to perform a behaviour </w:t>
      </w:r>
      <w:r>
        <w:rPr>
          <w:rFonts w:ascii="Arial" w:hAnsi="Arial" w:cs="Arial"/>
        </w:rPr>
        <w:t>i</w:t>
      </w:r>
      <w:r w:rsidRPr="000A328A">
        <w:rPr>
          <w:rFonts w:ascii="Arial" w:hAnsi="Arial" w:cs="Arial"/>
        </w:rPr>
        <w:t xml:space="preserve">s determined by the </w:t>
      </w:r>
      <w:r>
        <w:rPr>
          <w:rFonts w:ascii="Arial" w:hAnsi="Arial" w:cs="Arial"/>
        </w:rPr>
        <w:t xml:space="preserve">following latent variables: </w:t>
      </w:r>
    </w:p>
    <w:p w:rsidR="0076549D" w:rsidRDefault="0076549D" w:rsidP="0076549D">
      <w:pPr>
        <w:spacing w:line="240" w:lineRule="auto"/>
        <w:ind w:left="720"/>
        <w:jc w:val="both"/>
        <w:rPr>
          <w:rFonts w:ascii="Arial" w:hAnsi="Arial" w:cs="Arial"/>
        </w:rPr>
      </w:pPr>
      <w:r w:rsidRPr="000A328A">
        <w:rPr>
          <w:rFonts w:ascii="Arial" w:hAnsi="Arial" w:cs="Arial"/>
        </w:rPr>
        <w:lastRenderedPageBreak/>
        <w:t>(1) subjective norm</w:t>
      </w:r>
      <w:r>
        <w:rPr>
          <w:rFonts w:ascii="Arial" w:hAnsi="Arial" w:cs="Arial"/>
        </w:rPr>
        <w:t>s (SN)</w:t>
      </w:r>
      <w:r w:rsidRPr="000A328A">
        <w:rPr>
          <w:rFonts w:ascii="Arial" w:hAnsi="Arial" w:cs="Arial"/>
        </w:rPr>
        <w:t xml:space="preserve"> of the individual which </w:t>
      </w:r>
      <w:r>
        <w:rPr>
          <w:rFonts w:ascii="Arial" w:hAnsi="Arial" w:cs="Arial"/>
        </w:rPr>
        <w:t>can be</w:t>
      </w:r>
      <w:r w:rsidRPr="000A328A">
        <w:rPr>
          <w:rFonts w:ascii="Arial" w:hAnsi="Arial" w:cs="Arial"/>
        </w:rPr>
        <w:t xml:space="preserve"> argued to be determined by a) the group norms of </w:t>
      </w:r>
      <w:r>
        <w:rPr>
          <w:rFonts w:ascii="Arial" w:hAnsi="Arial" w:cs="Arial"/>
        </w:rPr>
        <w:t>marking expectations</w:t>
      </w:r>
      <w:r w:rsidRPr="000A328A">
        <w:rPr>
          <w:rFonts w:ascii="Arial" w:hAnsi="Arial" w:cs="Arial"/>
        </w:rPr>
        <w:t xml:space="preserve"> (GN), b) the views of significant others and associated issues </w:t>
      </w:r>
      <w:r>
        <w:rPr>
          <w:rFonts w:ascii="Arial" w:hAnsi="Arial" w:cs="Arial"/>
        </w:rPr>
        <w:t xml:space="preserve">(SO) </w:t>
      </w:r>
      <w:r w:rsidRPr="000A328A">
        <w:rPr>
          <w:rFonts w:ascii="Arial" w:hAnsi="Arial" w:cs="Arial"/>
        </w:rPr>
        <w:t xml:space="preserve">and c) the social identity (SI) the individual derives from participation in the </w:t>
      </w:r>
      <w:r>
        <w:rPr>
          <w:rFonts w:ascii="Arial" w:hAnsi="Arial" w:cs="Arial"/>
        </w:rPr>
        <w:t>process and their standing in the academic community</w:t>
      </w:r>
    </w:p>
    <w:p w:rsidR="0076549D" w:rsidRDefault="0076549D" w:rsidP="0076549D">
      <w:pPr>
        <w:spacing w:line="240" w:lineRule="auto"/>
        <w:ind w:left="720"/>
        <w:jc w:val="both"/>
        <w:rPr>
          <w:rFonts w:ascii="Arial" w:hAnsi="Arial" w:cs="Arial"/>
        </w:rPr>
      </w:pPr>
      <w:r w:rsidRPr="000A328A">
        <w:rPr>
          <w:rFonts w:ascii="Arial" w:hAnsi="Arial" w:cs="Arial"/>
        </w:rPr>
        <w:t xml:space="preserve">(2) the emotional attitude </w:t>
      </w:r>
      <w:r>
        <w:rPr>
          <w:rFonts w:ascii="Arial" w:hAnsi="Arial" w:cs="Arial"/>
        </w:rPr>
        <w:t xml:space="preserve">and engagement </w:t>
      </w:r>
      <w:r w:rsidRPr="000A328A">
        <w:rPr>
          <w:rFonts w:ascii="Arial" w:hAnsi="Arial" w:cs="Arial"/>
        </w:rPr>
        <w:t>towards the behaviour</w:t>
      </w:r>
      <w:r>
        <w:rPr>
          <w:rFonts w:ascii="Arial" w:hAnsi="Arial" w:cs="Arial"/>
        </w:rPr>
        <w:t xml:space="preserve"> (AE)</w:t>
      </w:r>
    </w:p>
    <w:p w:rsidR="0076549D" w:rsidRPr="000A328A" w:rsidRDefault="0076549D" w:rsidP="0076549D">
      <w:pPr>
        <w:spacing w:line="240" w:lineRule="auto"/>
        <w:ind w:left="720"/>
        <w:jc w:val="both"/>
        <w:rPr>
          <w:rFonts w:ascii="Arial" w:hAnsi="Arial" w:cs="Arial"/>
        </w:rPr>
      </w:pPr>
      <w:r>
        <w:rPr>
          <w:rFonts w:ascii="Arial" w:hAnsi="Arial" w:cs="Arial"/>
        </w:rPr>
        <w:t xml:space="preserve">(3) </w:t>
      </w:r>
      <w:r w:rsidRPr="000A328A">
        <w:rPr>
          <w:rFonts w:ascii="Arial" w:hAnsi="Arial" w:cs="Arial"/>
        </w:rPr>
        <w:t xml:space="preserve">the perceived behavioural control (PBC) </w:t>
      </w:r>
      <w:r>
        <w:rPr>
          <w:rFonts w:ascii="Arial" w:hAnsi="Arial" w:cs="Arial"/>
        </w:rPr>
        <w:t>in the</w:t>
      </w:r>
      <w:r w:rsidRPr="000A328A">
        <w:rPr>
          <w:rFonts w:ascii="Arial" w:hAnsi="Arial" w:cs="Arial"/>
        </w:rPr>
        <w:t xml:space="preserve"> ability to perform the behaviour (perceived difficulty</w:t>
      </w:r>
      <w:r>
        <w:rPr>
          <w:rFonts w:ascii="Arial" w:hAnsi="Arial" w:cs="Arial"/>
        </w:rPr>
        <w:t xml:space="preserve"> </w:t>
      </w:r>
      <w:r w:rsidRPr="000A328A">
        <w:rPr>
          <w:rFonts w:ascii="Arial" w:hAnsi="Arial" w:cs="Arial"/>
        </w:rPr>
        <w:t xml:space="preserve">(PD)) and their opportunity to perform the behaviour (perceived control (PC)). </w:t>
      </w:r>
    </w:p>
    <w:p w:rsidR="0076549D" w:rsidRDefault="0076549D" w:rsidP="0076549D">
      <w:pPr>
        <w:spacing w:line="240" w:lineRule="auto"/>
        <w:jc w:val="both"/>
        <w:rPr>
          <w:rFonts w:ascii="Arial" w:hAnsi="Arial" w:cs="Arial"/>
        </w:rPr>
      </w:pPr>
      <w:r>
        <w:rPr>
          <w:rFonts w:ascii="Arial" w:hAnsi="Arial" w:cs="Arial"/>
        </w:rPr>
        <w:t>We will analyse the collected manifest data using Pr</w:t>
      </w:r>
      <w:r w:rsidRPr="000A328A">
        <w:rPr>
          <w:rFonts w:ascii="Arial" w:hAnsi="Arial" w:cs="Arial"/>
        </w:rPr>
        <w:t>inc</w:t>
      </w:r>
      <w:r>
        <w:rPr>
          <w:rFonts w:ascii="Arial" w:hAnsi="Arial" w:cs="Arial"/>
        </w:rPr>
        <w:t xml:space="preserve">ipal Component Analysis (PCA) to determine the </w:t>
      </w:r>
      <w:r w:rsidRPr="000A328A">
        <w:rPr>
          <w:rFonts w:ascii="Arial" w:hAnsi="Arial" w:cs="Arial"/>
        </w:rPr>
        <w:t xml:space="preserve">correlations between </w:t>
      </w:r>
      <w:r>
        <w:rPr>
          <w:rFonts w:ascii="Arial" w:hAnsi="Arial" w:cs="Arial"/>
        </w:rPr>
        <w:t>those variables and the resultant latent constructs with the aim of reducing them to generate a</w:t>
      </w:r>
      <w:r w:rsidRPr="000A328A">
        <w:rPr>
          <w:rFonts w:ascii="Arial" w:hAnsi="Arial" w:cs="Arial"/>
        </w:rPr>
        <w:t xml:space="preserve"> smaller prioritized selection of clustered factors</w:t>
      </w:r>
      <w:r>
        <w:rPr>
          <w:rFonts w:ascii="Arial" w:hAnsi="Arial" w:cs="Arial"/>
        </w:rPr>
        <w:t xml:space="preserve"> that reveal influential variance.</w:t>
      </w:r>
      <w:r w:rsidRPr="000A328A">
        <w:rPr>
          <w:rFonts w:ascii="Arial" w:hAnsi="Arial" w:cs="Arial"/>
        </w:rPr>
        <w:t xml:space="preserve"> SPSS</w:t>
      </w:r>
      <w:r>
        <w:rPr>
          <w:rFonts w:ascii="Arial" w:hAnsi="Arial" w:cs="Arial"/>
        </w:rPr>
        <w:t xml:space="preserve"> (v23)</w:t>
      </w:r>
      <w:r w:rsidRPr="000A328A">
        <w:rPr>
          <w:rFonts w:ascii="Arial" w:hAnsi="Arial" w:cs="Arial"/>
        </w:rPr>
        <w:t xml:space="preserve"> is used to evaluate the collected data.  </w:t>
      </w:r>
      <w:r>
        <w:rPr>
          <w:rFonts w:ascii="Arial" w:hAnsi="Arial" w:cs="Arial"/>
        </w:rPr>
        <w:t xml:space="preserve"> </w:t>
      </w: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In the table below the variables are presented and grouped. This paper is focused upon that period of time and cognition which generates an allocated grade to a submission and which therefore includes only those manifest variables relevant to that stage (2) in the marking process. </w:t>
      </w:r>
      <w:r w:rsidRPr="00C42BD5">
        <w:rPr>
          <w:rFonts w:ascii="Arial" w:hAnsi="Arial" w:cs="Arial"/>
          <w:b/>
        </w:rPr>
        <w:t xml:space="preserve">Table </w:t>
      </w:r>
      <w:r>
        <w:rPr>
          <w:rFonts w:ascii="Arial" w:hAnsi="Arial" w:cs="Arial"/>
          <w:b/>
        </w:rPr>
        <w:t>1</w:t>
      </w:r>
      <w:r>
        <w:rPr>
          <w:rFonts w:ascii="Arial" w:hAnsi="Arial" w:cs="Arial"/>
        </w:rPr>
        <w:t xml:space="preserve"> presents the conceptual relationships between the manifest variables and the factor headings presented for the TPB.</w:t>
      </w:r>
    </w:p>
    <w:p w:rsidR="0076549D" w:rsidRDefault="0076549D" w:rsidP="0076549D">
      <w:pPr>
        <w:spacing w:line="240" w:lineRule="auto"/>
        <w:rPr>
          <w:rFonts w:ascii="Arial" w:hAnsi="Arial" w:cs="Arial"/>
        </w:rPr>
      </w:pPr>
    </w:p>
    <w:p w:rsidR="0076549D" w:rsidRDefault="0076549D" w:rsidP="0076549D">
      <w:pPr>
        <w:spacing w:line="240" w:lineRule="auto"/>
        <w:jc w:val="center"/>
        <w:rPr>
          <w:rFonts w:ascii="Arial" w:hAnsi="Arial" w:cs="Arial"/>
        </w:rPr>
      </w:pPr>
      <w:r>
        <w:rPr>
          <w:rFonts w:ascii="Arial" w:hAnsi="Arial" w:cs="Arial"/>
          <w:b/>
        </w:rPr>
        <w:t>Table 1</w:t>
      </w:r>
      <w:r w:rsidRPr="009D0D15">
        <w:rPr>
          <w:rFonts w:ascii="Arial" w:hAnsi="Arial" w:cs="Arial"/>
          <w:b/>
        </w:rPr>
        <w:t>:</w:t>
      </w:r>
      <w:r>
        <w:rPr>
          <w:rFonts w:ascii="Arial" w:hAnsi="Arial" w:cs="Arial"/>
        </w:rPr>
        <w:t xml:space="preserve"> About here</w:t>
      </w:r>
    </w:p>
    <w:p w:rsidR="0076549D" w:rsidRDefault="0076549D" w:rsidP="0076549D">
      <w:pPr>
        <w:spacing w:line="240" w:lineRule="auto"/>
        <w:jc w:val="center"/>
        <w:rPr>
          <w:rFonts w:ascii="Arial" w:hAnsi="Arial" w:cs="Arial"/>
        </w:rPr>
      </w:pPr>
    </w:p>
    <w:p w:rsidR="0076549D" w:rsidRPr="001A0E1D" w:rsidRDefault="0076549D" w:rsidP="0076549D">
      <w:pPr>
        <w:pStyle w:val="Heading2"/>
        <w:rPr>
          <w:i/>
        </w:rPr>
      </w:pPr>
      <w:r w:rsidRPr="001A0E1D">
        <w:rPr>
          <w:i/>
        </w:rPr>
        <w:t>Development of the data collection tool</w:t>
      </w:r>
    </w:p>
    <w:p w:rsidR="0076549D" w:rsidRDefault="0076549D" w:rsidP="0076549D">
      <w:pPr>
        <w:spacing w:line="240" w:lineRule="auto"/>
        <w:jc w:val="both"/>
        <w:rPr>
          <w:rFonts w:ascii="Arial" w:hAnsi="Arial" w:cs="Arial"/>
          <w:bCs/>
        </w:rPr>
      </w:pPr>
    </w:p>
    <w:p w:rsidR="0076549D" w:rsidRDefault="0076549D" w:rsidP="0076549D">
      <w:pPr>
        <w:spacing w:line="240" w:lineRule="auto"/>
        <w:jc w:val="both"/>
        <w:rPr>
          <w:rFonts w:ascii="Arial" w:hAnsi="Arial" w:cs="Arial"/>
          <w:bCs/>
        </w:rPr>
      </w:pPr>
      <w:r>
        <w:rPr>
          <w:rFonts w:ascii="Arial" w:hAnsi="Arial" w:cs="Arial"/>
          <w:bCs/>
        </w:rPr>
        <w:t>The application of PCA requires a significantly sized sample to be gathered of manifest variable data to ensure sufficient overall validity and support reliability measures of the determined latent constructs.  It is also desirable practically to seek to engage a range of assessment activities. Initial aims to access wider cross institutional data collection met with limited enthusiasm (the pressures of a high marking workload was a major factor inhibiting participation), hence the sample is smaller than intended. Nonetheless, convenience undergraduate and postgraduate samples of anonymised work, were available from 2 HEIs in the North West of England. Grading policies were reviewed to ensure they were broadly similar across the units/modules being graded (i.e. by aggregate scores, stated ILOs and constructed assessment criteria (Sadler, 2009)):</w:t>
      </w:r>
    </w:p>
    <w:p w:rsidR="0076549D" w:rsidRDefault="0076549D" w:rsidP="0076549D">
      <w:pPr>
        <w:spacing w:line="240" w:lineRule="auto"/>
        <w:jc w:val="center"/>
        <w:rPr>
          <w:rFonts w:ascii="Arial" w:hAnsi="Arial" w:cs="Arial"/>
          <w:b/>
          <w:bCs/>
        </w:rPr>
      </w:pPr>
    </w:p>
    <w:p w:rsidR="0076549D" w:rsidRPr="005C775C" w:rsidRDefault="0076549D" w:rsidP="0076549D">
      <w:pPr>
        <w:spacing w:line="240" w:lineRule="auto"/>
        <w:jc w:val="center"/>
        <w:rPr>
          <w:rFonts w:ascii="Arial" w:hAnsi="Arial" w:cs="Arial"/>
          <w:b/>
          <w:bCs/>
        </w:rPr>
      </w:pPr>
      <w:r>
        <w:rPr>
          <w:rFonts w:ascii="Arial" w:hAnsi="Arial" w:cs="Arial"/>
          <w:b/>
          <w:bCs/>
        </w:rPr>
        <w:t>Table 2:</w:t>
      </w:r>
      <w:r w:rsidRPr="00135235">
        <w:rPr>
          <w:rFonts w:ascii="Arial" w:hAnsi="Arial" w:cs="Arial"/>
          <w:bCs/>
        </w:rPr>
        <w:t xml:space="preserve"> </w:t>
      </w:r>
      <w:r>
        <w:rPr>
          <w:rFonts w:ascii="Arial" w:hAnsi="Arial" w:cs="Arial"/>
          <w:bCs/>
        </w:rPr>
        <w:t>About here</w:t>
      </w:r>
    </w:p>
    <w:p w:rsidR="0076549D" w:rsidRDefault="0076549D" w:rsidP="0076549D">
      <w:pPr>
        <w:spacing w:line="240" w:lineRule="auto"/>
        <w:jc w:val="both"/>
        <w:rPr>
          <w:rFonts w:ascii="Arial" w:hAnsi="Arial" w:cs="Arial"/>
        </w:rPr>
      </w:pPr>
      <w:r w:rsidRPr="000A328A">
        <w:rPr>
          <w:rFonts w:ascii="Arial" w:hAnsi="Arial" w:cs="Arial"/>
        </w:rPr>
        <w:t>The development of the data collection tool, in keeping with the accepted techniques typically used in TPB applications</w:t>
      </w:r>
      <w:r>
        <w:rPr>
          <w:rFonts w:ascii="Arial" w:hAnsi="Arial" w:cs="Arial"/>
        </w:rPr>
        <w:t xml:space="preserve"> employs a self-administered </w:t>
      </w:r>
      <w:r w:rsidRPr="000A328A">
        <w:rPr>
          <w:rFonts w:ascii="Arial" w:hAnsi="Arial" w:cs="Arial"/>
        </w:rPr>
        <w:t xml:space="preserve">questionnaire </w:t>
      </w:r>
      <w:r>
        <w:rPr>
          <w:rFonts w:ascii="Arial" w:hAnsi="Arial" w:cs="Arial"/>
        </w:rPr>
        <w:t>(</w:t>
      </w:r>
      <w:r w:rsidRPr="000A328A">
        <w:rPr>
          <w:rFonts w:ascii="Arial" w:hAnsi="Arial" w:cs="Arial"/>
        </w:rPr>
        <w:t xml:space="preserve">Francis </w:t>
      </w:r>
      <w:r w:rsidRPr="000A328A">
        <w:rPr>
          <w:rFonts w:ascii="Arial" w:hAnsi="Arial" w:cs="Arial"/>
          <w:i/>
        </w:rPr>
        <w:t>et al</w:t>
      </w:r>
      <w:r>
        <w:rPr>
          <w:rFonts w:ascii="Arial" w:hAnsi="Arial" w:cs="Arial"/>
        </w:rPr>
        <w:t xml:space="preserve">., 2004; Blunch, 2008). </w:t>
      </w:r>
      <w:r w:rsidRPr="000A328A">
        <w:rPr>
          <w:rFonts w:ascii="Arial" w:hAnsi="Arial" w:cs="Arial"/>
        </w:rPr>
        <w:t xml:space="preserve">The </w:t>
      </w:r>
      <w:r>
        <w:rPr>
          <w:rFonts w:ascii="Arial" w:hAnsi="Arial" w:cs="Arial"/>
        </w:rPr>
        <w:t>data collection</w:t>
      </w:r>
      <w:r w:rsidRPr="000A328A">
        <w:rPr>
          <w:rFonts w:ascii="Arial" w:hAnsi="Arial" w:cs="Arial"/>
        </w:rPr>
        <w:t xml:space="preserve"> commenced at the start of Semester 2 (</w:t>
      </w:r>
      <w:r>
        <w:rPr>
          <w:rFonts w:ascii="Arial" w:hAnsi="Arial" w:cs="Arial"/>
        </w:rPr>
        <w:t>2016-2017</w:t>
      </w:r>
      <w:r w:rsidRPr="000A328A">
        <w:rPr>
          <w:rFonts w:ascii="Arial" w:hAnsi="Arial" w:cs="Arial"/>
        </w:rPr>
        <w:t xml:space="preserve">), using </w:t>
      </w:r>
      <w:r>
        <w:rPr>
          <w:rFonts w:ascii="Arial" w:hAnsi="Arial" w:cs="Arial"/>
        </w:rPr>
        <w:t>a three staged data capture tool. This was undertaken both pre, during and post the marking process by the participants</w:t>
      </w:r>
      <w:r w:rsidRPr="000A328A">
        <w:rPr>
          <w:rFonts w:ascii="Arial" w:hAnsi="Arial" w:cs="Arial"/>
        </w:rPr>
        <w:t xml:space="preserve">. </w:t>
      </w:r>
      <w:r>
        <w:rPr>
          <w:rFonts w:ascii="Arial" w:hAnsi="Arial" w:cs="Arial"/>
        </w:rPr>
        <w:t>Th</w:t>
      </w:r>
      <w:r w:rsidRPr="000A328A">
        <w:rPr>
          <w:rFonts w:ascii="Arial" w:hAnsi="Arial" w:cs="Arial"/>
        </w:rPr>
        <w:t>ere are no assumed (or argued for) expected co</w:t>
      </w:r>
      <w:r>
        <w:rPr>
          <w:rFonts w:ascii="Arial" w:hAnsi="Arial" w:cs="Arial"/>
        </w:rPr>
        <w:t>-</w:t>
      </w:r>
      <w:r w:rsidRPr="000A328A">
        <w:rPr>
          <w:rFonts w:ascii="Arial" w:hAnsi="Arial" w:cs="Arial"/>
        </w:rPr>
        <w:t>variances between the errors for each manifest variable in the model.</w:t>
      </w: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In order to reflect the dynamic of the marking process, data capture needed to be undertaken </w:t>
      </w:r>
      <w:r w:rsidRPr="00CA3D86">
        <w:rPr>
          <w:rFonts w:ascii="Arial" w:hAnsi="Arial" w:cs="Arial"/>
          <w:i/>
        </w:rPr>
        <w:t>at the point</w:t>
      </w:r>
      <w:r>
        <w:rPr>
          <w:rFonts w:ascii="Arial" w:hAnsi="Arial" w:cs="Arial"/>
        </w:rPr>
        <w:t xml:space="preserve"> of grade decision making. This is a challenging requirement for data capture, particularly when time is constrained. For this reason, we viewed data collection through three activity stages: </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 xml:space="preserve">Factual Information relating to pre - assessment </w:t>
      </w:r>
    </w:p>
    <w:p w:rsidR="0076549D" w:rsidRDefault="0076549D" w:rsidP="0076549D">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 xml:space="preserve">Cognitive Information relating to the actual assessment and grade decision   </w:t>
      </w:r>
    </w:p>
    <w:p w:rsidR="0076549D" w:rsidRDefault="0076549D" w:rsidP="0076549D">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Reflective Information relating to grade review and moderation of the assessment and cohort</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As this paper is focused upon (2) above, it was a priority to ensure that data collection should not be burdensome or disproportionate to the work commitment to undertake the marking by participants. We also rejected reflective methods that rely upon a post grading discussion of influential factors. This was to mitigate the influence of memory paradigm, where recollections of reasons for a behaviour may shift after the completion of that behaviour (the marking process) to be closer to what a marker believes would be objective practice (Fischhoff and Beyth, 1975 cited by Kim, 2017). Proposed data collection methods considered therefore included:</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pStyle w:val="ListParagraph"/>
        <w:numPr>
          <w:ilvl w:val="0"/>
          <w:numId w:val="11"/>
        </w:numPr>
        <w:autoSpaceDE w:val="0"/>
        <w:autoSpaceDN w:val="0"/>
        <w:adjustRightInd w:val="0"/>
        <w:spacing w:after="0" w:line="240" w:lineRule="auto"/>
        <w:jc w:val="both"/>
        <w:rPr>
          <w:rFonts w:ascii="Arial" w:hAnsi="Arial" w:cs="Arial"/>
        </w:rPr>
      </w:pPr>
      <w:r w:rsidRPr="00B625F9">
        <w:rPr>
          <w:rFonts w:ascii="Arial" w:hAnsi="Arial" w:cs="Arial"/>
        </w:rPr>
        <w:t>Thinking aloud</w:t>
      </w:r>
      <w:r>
        <w:rPr>
          <w:rFonts w:ascii="Arial" w:hAnsi="Arial" w:cs="Arial"/>
        </w:rPr>
        <w:t xml:space="preserve"> data capture through a short commentary on each assessment marking (Ljundberg et al, 2013). Whilst this data could be recorded for later coding, the potential volume of coding required especially if undertaken by a single individual to ensure consistency, is significant.</w:t>
      </w:r>
    </w:p>
    <w:p w:rsidR="0076549D" w:rsidRPr="00952E16" w:rsidRDefault="0076549D" w:rsidP="0076549D">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Development of a tool to allow a visual capture of the data that is fast to complete yet is sufficiently detailed to capture the views to the key questions.  This includes the translation of the Likert scales for specific questions into visual representations that can be quickly commented upon by the participant. </w:t>
      </w:r>
      <w:r>
        <w:rPr>
          <w:rFonts w:ascii="Arial" w:hAnsi="Arial" w:cs="Arial"/>
          <w:lang w:val="en-US"/>
        </w:rPr>
        <w:t xml:space="preserve">Onwuegbuzie et al (2010) offered scope and discussion to construct a visual material capture tool. </w:t>
      </w:r>
    </w:p>
    <w:p w:rsidR="0076549D" w:rsidRDefault="0076549D" w:rsidP="0076549D">
      <w:pPr>
        <w:spacing w:line="240" w:lineRule="auto"/>
        <w:jc w:val="both"/>
        <w:rPr>
          <w:rFonts w:ascii="Arial" w:hAnsi="Arial" w:cs="Arial"/>
        </w:rPr>
      </w:pPr>
    </w:p>
    <w:p w:rsidR="0076549D" w:rsidRPr="000A328A" w:rsidRDefault="0076549D" w:rsidP="0076549D">
      <w:pPr>
        <w:spacing w:line="240" w:lineRule="auto"/>
        <w:jc w:val="both"/>
        <w:rPr>
          <w:rFonts w:ascii="Arial" w:hAnsi="Arial" w:cs="Arial"/>
        </w:rPr>
      </w:pPr>
      <w:r>
        <w:rPr>
          <w:rFonts w:ascii="Arial" w:hAnsi="Arial" w:cs="Arial"/>
        </w:rPr>
        <w:t>During preliminary conversations with colleagues, option (2) was chosen with an e-questionnaire, mainly because of convenience. An excel workbook was therefore developed to capture data which through some visual basic programming, allowed repeated data entry for successive marked scripts. Data entered at that time, was subsequently stored and compiled to a hidden worksheet which was then used for analysis. Markers used a mix of Grademark via Turnitin and paper based marking and inevitably a small extra time burden was incurred capturing the decision making data. Pilot feedback suggested this was approx. 30 seconds/graded script. The questions and their construction are discussed shortly.</w:t>
      </w:r>
    </w:p>
    <w:p w:rsidR="0076549D" w:rsidRDefault="0076549D" w:rsidP="0076549D">
      <w:pPr>
        <w:spacing w:line="240" w:lineRule="auto"/>
        <w:jc w:val="both"/>
        <w:rPr>
          <w:rFonts w:ascii="Arial" w:hAnsi="Arial" w:cs="Arial"/>
        </w:rPr>
      </w:pPr>
      <w:r w:rsidRPr="000A328A">
        <w:rPr>
          <w:rFonts w:ascii="Arial" w:hAnsi="Arial" w:cs="Arial"/>
        </w:rPr>
        <w:t xml:space="preserve">Francis </w:t>
      </w:r>
      <w:r w:rsidRPr="000A328A">
        <w:rPr>
          <w:rFonts w:ascii="Arial" w:hAnsi="Arial" w:cs="Arial"/>
          <w:i/>
        </w:rPr>
        <w:t>et al</w:t>
      </w:r>
      <w:r w:rsidRPr="000A328A">
        <w:rPr>
          <w:rFonts w:ascii="Arial" w:hAnsi="Arial" w:cs="Arial"/>
        </w:rPr>
        <w:t xml:space="preserve">. (2004) note that for TPB questionnaires, questions regarding a particular intention can </w:t>
      </w:r>
      <w:r>
        <w:rPr>
          <w:rFonts w:ascii="Arial" w:hAnsi="Arial" w:cs="Arial"/>
        </w:rPr>
        <w:t>be asked directly or indirectly depending upon the confidence that can be exhibited by the marker in giving a manifest judgement regarding a latent variable.</w:t>
      </w:r>
    </w:p>
    <w:p w:rsidR="0076549D" w:rsidRPr="000A328A" w:rsidRDefault="0076549D" w:rsidP="0076549D">
      <w:pPr>
        <w:numPr>
          <w:ilvl w:val="0"/>
          <w:numId w:val="7"/>
        </w:numPr>
        <w:spacing w:after="0" w:line="240" w:lineRule="auto"/>
        <w:jc w:val="both"/>
        <w:rPr>
          <w:rFonts w:ascii="Arial" w:hAnsi="Arial" w:cs="Arial"/>
        </w:rPr>
      </w:pPr>
      <w:r w:rsidRPr="000A328A">
        <w:rPr>
          <w:rFonts w:ascii="Arial" w:hAnsi="Arial" w:cs="Arial"/>
        </w:rPr>
        <w:t xml:space="preserve">Direct questions </w:t>
      </w:r>
      <w:r>
        <w:rPr>
          <w:rFonts w:ascii="Arial" w:hAnsi="Arial" w:cs="Arial"/>
        </w:rPr>
        <w:t xml:space="preserve">can be asked where there is high </w:t>
      </w:r>
      <w:r w:rsidRPr="000A328A">
        <w:rPr>
          <w:rFonts w:ascii="Arial" w:hAnsi="Arial" w:cs="Arial"/>
        </w:rPr>
        <w:t xml:space="preserve">confidence that the </w:t>
      </w:r>
      <w:r>
        <w:rPr>
          <w:rFonts w:ascii="Arial" w:hAnsi="Arial" w:cs="Arial"/>
        </w:rPr>
        <w:t>marker</w:t>
      </w:r>
      <w:r w:rsidRPr="000A328A">
        <w:rPr>
          <w:rFonts w:ascii="Arial" w:hAnsi="Arial" w:cs="Arial"/>
        </w:rPr>
        <w:t xml:space="preserve"> is able to pass a judgement on the value of </w:t>
      </w:r>
      <w:r>
        <w:rPr>
          <w:rFonts w:ascii="Arial" w:hAnsi="Arial" w:cs="Arial"/>
        </w:rPr>
        <w:t xml:space="preserve">a given intention. For example </w:t>
      </w:r>
      <w:r w:rsidRPr="000A328A">
        <w:rPr>
          <w:rFonts w:ascii="Arial" w:hAnsi="Arial" w:cs="Arial"/>
        </w:rPr>
        <w:t>-</w:t>
      </w:r>
      <w:r w:rsidRPr="000A328A">
        <w:rPr>
          <w:rFonts w:ascii="Arial" w:hAnsi="Arial" w:cs="Arial"/>
          <w:i/>
        </w:rPr>
        <w:t xml:space="preserve"> </w:t>
      </w:r>
      <w:r>
        <w:rPr>
          <w:rFonts w:ascii="Arial" w:hAnsi="Arial" w:cs="Arial"/>
          <w:i/>
        </w:rPr>
        <w:t xml:space="preserve">The assessed work is (not) within the set word count limit and does (not) therefore incur an automatic penalty. </w:t>
      </w:r>
    </w:p>
    <w:p w:rsidR="0076549D" w:rsidRPr="000A328A" w:rsidRDefault="0076549D" w:rsidP="0076549D">
      <w:pPr>
        <w:numPr>
          <w:ilvl w:val="0"/>
          <w:numId w:val="7"/>
        </w:numPr>
        <w:spacing w:after="0" w:line="240" w:lineRule="auto"/>
        <w:jc w:val="both"/>
        <w:rPr>
          <w:rFonts w:ascii="Arial" w:hAnsi="Arial" w:cs="Arial"/>
        </w:rPr>
      </w:pPr>
      <w:r w:rsidRPr="000A328A">
        <w:rPr>
          <w:rFonts w:ascii="Arial" w:hAnsi="Arial" w:cs="Arial"/>
        </w:rPr>
        <w:t xml:space="preserve">Indirect questions are appropriate where it cannot be assumed that the </w:t>
      </w:r>
      <w:r>
        <w:rPr>
          <w:rFonts w:ascii="Arial" w:hAnsi="Arial" w:cs="Arial"/>
        </w:rPr>
        <w:t xml:space="preserve">marker will be able to pass an authoritative judgement on the outcome of a given grade allocation. For example – </w:t>
      </w:r>
      <w:r w:rsidRPr="00041135">
        <w:rPr>
          <w:rFonts w:ascii="Arial" w:hAnsi="Arial" w:cs="Arial"/>
          <w:i/>
        </w:rPr>
        <w:t>The</w:t>
      </w:r>
      <w:r>
        <w:rPr>
          <w:rFonts w:ascii="Arial" w:hAnsi="Arial" w:cs="Arial"/>
          <w:i/>
        </w:rPr>
        <w:t xml:space="preserve"> grade I allocate will result in a positive / negative stimulus for the student concerned. </w:t>
      </w:r>
      <w:r w:rsidRPr="00041135">
        <w:rPr>
          <w:rFonts w:ascii="Arial" w:hAnsi="Arial" w:cs="Arial"/>
          <w:i/>
        </w:rPr>
        <w:t xml:space="preserve"> </w:t>
      </w:r>
    </w:p>
    <w:p w:rsidR="0076549D" w:rsidRDefault="0076549D" w:rsidP="0076549D">
      <w:pPr>
        <w:spacing w:line="240" w:lineRule="auto"/>
        <w:jc w:val="both"/>
        <w:rPr>
          <w:rFonts w:ascii="Arial" w:hAnsi="Arial" w:cs="Arial"/>
        </w:rPr>
      </w:pPr>
    </w:p>
    <w:p w:rsidR="0076549D" w:rsidRPr="000A328A" w:rsidRDefault="0076549D" w:rsidP="0076549D">
      <w:pPr>
        <w:spacing w:line="240" w:lineRule="auto"/>
        <w:jc w:val="both"/>
        <w:rPr>
          <w:rFonts w:ascii="Arial" w:hAnsi="Arial" w:cs="Arial"/>
        </w:rPr>
      </w:pPr>
      <w:r>
        <w:rPr>
          <w:rFonts w:ascii="Arial" w:hAnsi="Arial" w:cs="Arial"/>
        </w:rPr>
        <w:t xml:space="preserve">We have assumed markers will be able to comment directly on all identified manifest variables. </w:t>
      </w:r>
      <w:r w:rsidRPr="000A328A">
        <w:rPr>
          <w:rFonts w:ascii="Arial" w:hAnsi="Arial" w:cs="Arial"/>
          <w:lang w:eastAsia="en-GB"/>
        </w:rPr>
        <w:t xml:space="preserve">Data capture of these beliefs and norms generally uses simple Likert based measurements of </w:t>
      </w:r>
      <w:r>
        <w:rPr>
          <w:rFonts w:ascii="Arial" w:hAnsi="Arial" w:cs="Arial"/>
          <w:lang w:eastAsia="en-GB"/>
        </w:rPr>
        <w:t xml:space="preserve">attitude and </w:t>
      </w:r>
      <w:r w:rsidRPr="000A328A">
        <w:rPr>
          <w:rFonts w:ascii="Arial" w:hAnsi="Arial" w:cs="Arial"/>
          <w:lang w:eastAsia="en-GB"/>
        </w:rPr>
        <w:t xml:space="preserve">how easy / difficult a behaviour would be to </w:t>
      </w:r>
      <w:r>
        <w:rPr>
          <w:rFonts w:ascii="Arial" w:hAnsi="Arial" w:cs="Arial"/>
          <w:lang w:eastAsia="en-GB"/>
        </w:rPr>
        <w:t>en</w:t>
      </w:r>
      <w:r w:rsidRPr="000A328A">
        <w:rPr>
          <w:rFonts w:ascii="Arial" w:hAnsi="Arial" w:cs="Arial"/>
          <w:lang w:eastAsia="en-GB"/>
        </w:rPr>
        <w:t>act</w:t>
      </w:r>
      <w:r>
        <w:rPr>
          <w:rFonts w:ascii="Arial" w:hAnsi="Arial" w:cs="Arial"/>
          <w:lang w:eastAsia="en-GB"/>
        </w:rPr>
        <w:t>.</w:t>
      </w:r>
      <w:r w:rsidRPr="000A328A">
        <w:rPr>
          <w:rFonts w:ascii="Arial" w:hAnsi="Arial" w:cs="Arial"/>
          <w:lang w:eastAsia="en-GB"/>
        </w:rPr>
        <w:t xml:space="preserve"> </w:t>
      </w:r>
      <w:r>
        <w:rPr>
          <w:rFonts w:ascii="Arial" w:hAnsi="Arial" w:cs="Arial"/>
          <w:lang w:eastAsia="en-GB"/>
        </w:rPr>
        <w:t>This paper adopts the decimal scale promoted by Brody and</w:t>
      </w:r>
      <w:r w:rsidRPr="000A328A">
        <w:rPr>
          <w:rFonts w:ascii="Arial" w:hAnsi="Arial" w:cs="Arial"/>
          <w:lang w:eastAsia="en-GB"/>
        </w:rPr>
        <w:t xml:space="preserve"> Dietz </w:t>
      </w:r>
      <w:r>
        <w:rPr>
          <w:rFonts w:ascii="Arial" w:hAnsi="Arial" w:cs="Arial"/>
          <w:lang w:eastAsia="en-GB"/>
        </w:rPr>
        <w:t>(</w:t>
      </w:r>
      <w:r w:rsidRPr="000A328A">
        <w:rPr>
          <w:rFonts w:ascii="Arial" w:hAnsi="Arial" w:cs="Arial"/>
          <w:lang w:eastAsia="en-GB"/>
        </w:rPr>
        <w:t>1997</w:t>
      </w:r>
      <w:r>
        <w:rPr>
          <w:rFonts w:ascii="Arial" w:hAnsi="Arial" w:cs="Arial"/>
          <w:lang w:eastAsia="en-GB"/>
        </w:rPr>
        <w:t xml:space="preserve">), </w:t>
      </w:r>
      <w:r w:rsidRPr="000A328A">
        <w:rPr>
          <w:rFonts w:ascii="Arial" w:hAnsi="Arial" w:cs="Arial"/>
          <w:lang w:eastAsia="en-GB"/>
        </w:rPr>
        <w:t xml:space="preserve">Shulruf </w:t>
      </w:r>
      <w:r w:rsidRPr="000A328A">
        <w:rPr>
          <w:rFonts w:ascii="Arial" w:hAnsi="Arial" w:cs="Arial"/>
          <w:i/>
        </w:rPr>
        <w:t>et al</w:t>
      </w:r>
      <w:r w:rsidRPr="000A328A">
        <w:rPr>
          <w:rFonts w:ascii="Arial" w:hAnsi="Arial" w:cs="Arial"/>
        </w:rPr>
        <w:t>.</w:t>
      </w:r>
      <w:r w:rsidRPr="000A328A">
        <w:rPr>
          <w:rFonts w:ascii="Arial" w:hAnsi="Arial" w:cs="Arial"/>
          <w:lang w:eastAsia="en-GB"/>
        </w:rPr>
        <w:t xml:space="preserve"> </w:t>
      </w:r>
      <w:r>
        <w:rPr>
          <w:rFonts w:ascii="Arial" w:hAnsi="Arial" w:cs="Arial"/>
          <w:lang w:eastAsia="en-GB"/>
        </w:rPr>
        <w:t>(</w:t>
      </w:r>
      <w:r w:rsidRPr="000A328A">
        <w:rPr>
          <w:rFonts w:ascii="Arial" w:hAnsi="Arial" w:cs="Arial"/>
          <w:lang w:eastAsia="en-GB"/>
        </w:rPr>
        <w:t>2008</w:t>
      </w:r>
      <w:r>
        <w:rPr>
          <w:rFonts w:ascii="Arial" w:hAnsi="Arial" w:cs="Arial"/>
          <w:lang w:eastAsia="en-GB"/>
        </w:rPr>
        <w:t>) and</w:t>
      </w:r>
      <w:r w:rsidRPr="000A328A">
        <w:rPr>
          <w:rFonts w:ascii="Arial" w:hAnsi="Arial" w:cs="Arial"/>
          <w:lang w:eastAsia="en-GB"/>
        </w:rPr>
        <w:t xml:space="preserve"> Carifio </w:t>
      </w:r>
      <w:r>
        <w:rPr>
          <w:rFonts w:ascii="Arial" w:hAnsi="Arial" w:cs="Arial"/>
          <w:lang w:eastAsia="en-GB"/>
        </w:rPr>
        <w:t>and</w:t>
      </w:r>
      <w:r w:rsidRPr="000A328A">
        <w:rPr>
          <w:rFonts w:ascii="Arial" w:hAnsi="Arial" w:cs="Arial"/>
          <w:lang w:eastAsia="en-GB"/>
        </w:rPr>
        <w:t xml:space="preserve"> Perla </w:t>
      </w:r>
      <w:r>
        <w:rPr>
          <w:rFonts w:ascii="Arial" w:hAnsi="Arial" w:cs="Arial"/>
          <w:lang w:eastAsia="en-GB"/>
        </w:rPr>
        <w:t>(2008), which helps to mitigate potential bias arising from the value perceptions in the standard application of 1-5 or 1-7 Likert scale.</w:t>
      </w:r>
    </w:p>
    <w:p w:rsidR="0076549D" w:rsidRDefault="0076549D" w:rsidP="0076549D">
      <w:pPr>
        <w:spacing w:line="240" w:lineRule="auto"/>
        <w:jc w:val="both"/>
        <w:rPr>
          <w:rFonts w:ascii="Arial" w:hAnsi="Arial" w:cs="Arial"/>
        </w:rPr>
      </w:pPr>
      <w:r>
        <w:rPr>
          <w:rFonts w:ascii="Arial" w:hAnsi="Arial" w:cs="Arial"/>
        </w:rPr>
        <w:t>In terms of co</w:t>
      </w:r>
      <w:r w:rsidRPr="000A328A">
        <w:rPr>
          <w:rFonts w:ascii="Arial" w:hAnsi="Arial" w:cs="Arial"/>
        </w:rPr>
        <w:t>llect</w:t>
      </w:r>
      <w:r>
        <w:rPr>
          <w:rFonts w:ascii="Arial" w:hAnsi="Arial" w:cs="Arial"/>
        </w:rPr>
        <w:t>ing and scaling</w:t>
      </w:r>
      <w:r w:rsidRPr="000A328A">
        <w:rPr>
          <w:rFonts w:ascii="Arial" w:hAnsi="Arial" w:cs="Arial"/>
        </w:rPr>
        <w:t xml:space="preserve"> the responses for direct </w:t>
      </w:r>
      <w:r>
        <w:rPr>
          <w:rFonts w:ascii="Arial" w:hAnsi="Arial" w:cs="Arial"/>
        </w:rPr>
        <w:t>(</w:t>
      </w:r>
      <w:r w:rsidRPr="000A328A">
        <w:rPr>
          <w:rFonts w:ascii="Arial" w:hAnsi="Arial" w:cs="Arial"/>
        </w:rPr>
        <w:t>and indirect</w:t>
      </w:r>
      <w:r>
        <w:rPr>
          <w:rFonts w:ascii="Arial" w:hAnsi="Arial" w:cs="Arial"/>
        </w:rPr>
        <w:t>)</w:t>
      </w:r>
      <w:r w:rsidRPr="000A328A">
        <w:rPr>
          <w:rFonts w:ascii="Arial" w:hAnsi="Arial" w:cs="Arial"/>
        </w:rPr>
        <w:t xml:space="preserve"> questions</w:t>
      </w:r>
      <w:r>
        <w:rPr>
          <w:rFonts w:ascii="Arial" w:hAnsi="Arial" w:cs="Arial"/>
        </w:rPr>
        <w:t xml:space="preserve">, the likelihood of a marker’s action </w:t>
      </w:r>
      <w:r w:rsidRPr="000A328A">
        <w:rPr>
          <w:rFonts w:ascii="Arial" w:hAnsi="Arial" w:cs="Arial"/>
        </w:rPr>
        <w:t xml:space="preserve">is </w:t>
      </w:r>
      <w:r>
        <w:rPr>
          <w:rFonts w:ascii="Arial" w:hAnsi="Arial" w:cs="Arial"/>
        </w:rPr>
        <w:t>scaled</w:t>
      </w:r>
      <w:r w:rsidRPr="000A328A">
        <w:rPr>
          <w:rFonts w:ascii="Arial" w:hAnsi="Arial" w:cs="Arial"/>
        </w:rPr>
        <w:t xml:space="preserve"> by the outcome’s desirability. Care must be taken in how this multiplication is achieved so as to correctly interpret the data.</w:t>
      </w:r>
    </w:p>
    <w:p w:rsidR="0076549D" w:rsidRPr="005F0A19" w:rsidRDefault="0076549D" w:rsidP="0076549D">
      <w:pPr>
        <w:pStyle w:val="ListParagraph"/>
        <w:numPr>
          <w:ilvl w:val="0"/>
          <w:numId w:val="13"/>
        </w:numPr>
        <w:spacing w:line="240" w:lineRule="auto"/>
        <w:jc w:val="both"/>
        <w:rPr>
          <w:rFonts w:ascii="Arial" w:hAnsi="Arial" w:cs="Arial"/>
        </w:rPr>
      </w:pPr>
      <w:r w:rsidRPr="00EA3830">
        <w:rPr>
          <w:rFonts w:ascii="Arial" w:hAnsi="Arial" w:cs="Arial"/>
        </w:rPr>
        <w:t xml:space="preserve">Francis </w:t>
      </w:r>
      <w:r w:rsidRPr="00EA3830">
        <w:rPr>
          <w:rFonts w:ascii="Arial" w:hAnsi="Arial" w:cs="Arial"/>
          <w:i/>
        </w:rPr>
        <w:t>et al</w:t>
      </w:r>
      <w:r w:rsidRPr="00EA3830">
        <w:rPr>
          <w:rFonts w:ascii="Arial" w:hAnsi="Arial" w:cs="Arial"/>
        </w:rPr>
        <w:t xml:space="preserve">. (2004) advocate that for the measurement of attitudes towards an intention, we need to calculate attitudinal antecedents towards an issue on a unipolar Likert scale (say +1 to +10), but for outcome evaluations (which can be viewed as negative, neutral or positive) we should adopt a bipolar Likert scale (say -3 to +3).  </w:t>
      </w:r>
      <w:r w:rsidRPr="005F0A19">
        <w:rPr>
          <w:rFonts w:ascii="Arial" w:hAnsi="Arial" w:cs="Arial"/>
          <w:b/>
        </w:rPr>
        <w:t>Table</w:t>
      </w:r>
      <w:r>
        <w:rPr>
          <w:rFonts w:ascii="Arial" w:hAnsi="Arial" w:cs="Arial"/>
          <w:b/>
        </w:rPr>
        <w:t xml:space="preserve">s 3 </w:t>
      </w:r>
      <w:r w:rsidRPr="005F0A19">
        <w:rPr>
          <w:rFonts w:ascii="Arial" w:hAnsi="Arial" w:cs="Arial"/>
          <w:b/>
        </w:rPr>
        <w:t xml:space="preserve">and </w:t>
      </w:r>
      <w:r>
        <w:rPr>
          <w:rFonts w:ascii="Arial" w:hAnsi="Arial" w:cs="Arial"/>
          <w:b/>
        </w:rPr>
        <w:t>4</w:t>
      </w:r>
      <w:r w:rsidRPr="005F0A19">
        <w:rPr>
          <w:rFonts w:ascii="Arial" w:hAnsi="Arial" w:cs="Arial"/>
        </w:rPr>
        <w:t xml:space="preserve"> summarises these scales and weights by latent construct.</w:t>
      </w:r>
    </w:p>
    <w:p w:rsidR="0076549D" w:rsidRPr="000A328A" w:rsidRDefault="0076549D" w:rsidP="0076549D">
      <w:pPr>
        <w:spacing w:line="240" w:lineRule="auto"/>
        <w:jc w:val="both"/>
        <w:rPr>
          <w:rFonts w:ascii="Arial" w:hAnsi="Arial" w:cs="Arial"/>
        </w:rPr>
      </w:pPr>
    </w:p>
    <w:p w:rsidR="0076549D" w:rsidRDefault="0076549D" w:rsidP="0076549D">
      <w:pPr>
        <w:spacing w:line="240" w:lineRule="auto"/>
        <w:jc w:val="center"/>
        <w:rPr>
          <w:rFonts w:ascii="Arial" w:hAnsi="Arial" w:cs="Arial"/>
        </w:rPr>
      </w:pPr>
      <w:r>
        <w:rPr>
          <w:rFonts w:ascii="Arial" w:hAnsi="Arial" w:cs="Arial"/>
          <w:b/>
        </w:rPr>
        <w:t>Table 3</w:t>
      </w:r>
      <w:r w:rsidRPr="00CA3D86">
        <w:rPr>
          <w:rFonts w:ascii="Arial" w:hAnsi="Arial" w:cs="Arial"/>
          <w:b/>
        </w:rPr>
        <w:t>:</w:t>
      </w:r>
      <w:r>
        <w:rPr>
          <w:rFonts w:ascii="Arial" w:hAnsi="Arial" w:cs="Arial"/>
        </w:rPr>
        <w:t xml:space="preserve"> About here</w:t>
      </w:r>
    </w:p>
    <w:p w:rsidR="0076549D" w:rsidRPr="000A328A" w:rsidRDefault="0076549D" w:rsidP="0076549D">
      <w:pPr>
        <w:spacing w:line="240" w:lineRule="auto"/>
        <w:jc w:val="center"/>
        <w:rPr>
          <w:rFonts w:ascii="Arial" w:hAnsi="Arial" w:cs="Arial"/>
          <w:lang w:val="fr-FR"/>
        </w:rPr>
      </w:pP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center"/>
        <w:rPr>
          <w:rFonts w:ascii="Arial" w:hAnsi="Arial" w:cs="Arial"/>
          <w:b/>
        </w:rPr>
      </w:pPr>
    </w:p>
    <w:p w:rsidR="0076549D" w:rsidRDefault="0076549D" w:rsidP="0076549D">
      <w:pPr>
        <w:autoSpaceDE w:val="0"/>
        <w:autoSpaceDN w:val="0"/>
        <w:adjustRightInd w:val="0"/>
        <w:spacing w:after="0" w:line="240" w:lineRule="auto"/>
        <w:jc w:val="center"/>
        <w:rPr>
          <w:rFonts w:ascii="Arial" w:hAnsi="Arial" w:cs="Arial"/>
        </w:rPr>
      </w:pPr>
      <w:r>
        <w:rPr>
          <w:rFonts w:ascii="Arial" w:hAnsi="Arial" w:cs="Arial"/>
          <w:b/>
        </w:rPr>
        <w:t>Table 4</w:t>
      </w:r>
      <w:r>
        <w:rPr>
          <w:rFonts w:ascii="Arial" w:hAnsi="Arial" w:cs="Arial"/>
        </w:rPr>
        <w:t>: About here</w:t>
      </w:r>
    </w:p>
    <w:p w:rsidR="0076549D" w:rsidRDefault="0076549D" w:rsidP="0076549D">
      <w:pPr>
        <w:autoSpaceDE w:val="0"/>
        <w:autoSpaceDN w:val="0"/>
        <w:adjustRightInd w:val="0"/>
        <w:spacing w:after="0" w:line="240" w:lineRule="auto"/>
        <w:jc w:val="both"/>
        <w:rPr>
          <w:rFonts w:ascii="Arial" w:hAnsi="Arial" w:cs="Arial"/>
        </w:rPr>
      </w:pPr>
    </w:p>
    <w:p w:rsidR="0076549D" w:rsidRPr="001A0E1D" w:rsidRDefault="0076549D" w:rsidP="0076549D">
      <w:pPr>
        <w:pStyle w:val="Heading1"/>
        <w:rPr>
          <w:rFonts w:ascii="Arial" w:hAnsi="Arial" w:cs="Arial"/>
          <w:b/>
        </w:rPr>
      </w:pPr>
      <w:r w:rsidRPr="001A0E1D">
        <w:rPr>
          <w:b/>
        </w:rPr>
        <w:t>PCA Analysis of the Marking Data</w:t>
      </w:r>
    </w:p>
    <w:p w:rsidR="0076549D" w:rsidRPr="00B263F5"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lastRenderedPageBreak/>
        <w:t>157</w:t>
      </w:r>
      <w:r w:rsidRPr="00B263F5">
        <w:rPr>
          <w:rFonts w:ascii="Arial" w:hAnsi="Arial" w:cs="Arial"/>
        </w:rPr>
        <w:t xml:space="preserve"> </w:t>
      </w:r>
      <w:r>
        <w:rPr>
          <w:rFonts w:ascii="Arial" w:hAnsi="Arial" w:cs="Arial"/>
        </w:rPr>
        <w:t xml:space="preserve">data </w:t>
      </w:r>
      <w:r w:rsidRPr="00B263F5">
        <w:rPr>
          <w:rFonts w:ascii="Arial" w:hAnsi="Arial" w:cs="Arial"/>
        </w:rPr>
        <w:t xml:space="preserve">responses is acceptable </w:t>
      </w:r>
      <w:r>
        <w:rPr>
          <w:rFonts w:ascii="Arial" w:hAnsi="Arial" w:cs="Arial"/>
        </w:rPr>
        <w:t>for undertaking PCA</w:t>
      </w:r>
      <w:r w:rsidRPr="00B263F5">
        <w:rPr>
          <w:rFonts w:ascii="Arial" w:hAnsi="Arial" w:cs="Arial"/>
        </w:rPr>
        <w:t xml:space="preserve"> sampling (Kline</w:t>
      </w:r>
      <w:r>
        <w:rPr>
          <w:rFonts w:ascii="Arial" w:hAnsi="Arial" w:cs="Arial"/>
        </w:rPr>
        <w:t>,</w:t>
      </w:r>
      <w:r w:rsidRPr="00B263F5">
        <w:rPr>
          <w:rFonts w:ascii="Arial" w:hAnsi="Arial" w:cs="Arial"/>
        </w:rPr>
        <w:t xml:space="preserve"> 2008)</w:t>
      </w:r>
      <w:r>
        <w:rPr>
          <w:rFonts w:ascii="Arial" w:hAnsi="Arial" w:cs="Arial"/>
        </w:rPr>
        <w:t>.</w:t>
      </w:r>
      <w:r w:rsidRPr="00B263F5">
        <w:rPr>
          <w:rFonts w:ascii="Arial" w:hAnsi="Arial" w:cs="Arial"/>
        </w:rPr>
        <w:t xml:space="preserve"> After data capture</w:t>
      </w:r>
      <w:r>
        <w:rPr>
          <w:rFonts w:ascii="Arial" w:hAnsi="Arial" w:cs="Arial"/>
        </w:rPr>
        <w:t xml:space="preserve">, manifest sub-construct tables </w:t>
      </w:r>
      <w:r w:rsidRPr="00B263F5">
        <w:rPr>
          <w:rFonts w:ascii="Arial" w:hAnsi="Arial" w:cs="Arial"/>
        </w:rPr>
        <w:t>were then c</w:t>
      </w:r>
      <w:r>
        <w:rPr>
          <w:rFonts w:ascii="Arial" w:hAnsi="Arial" w:cs="Arial"/>
        </w:rPr>
        <w:t>ompiled</w:t>
      </w:r>
      <w:r w:rsidRPr="00B263F5">
        <w:rPr>
          <w:rFonts w:ascii="Arial" w:hAnsi="Arial" w:cs="Arial"/>
        </w:rPr>
        <w:t xml:space="preserve"> </w:t>
      </w:r>
      <w:r>
        <w:rPr>
          <w:rFonts w:ascii="Arial" w:hAnsi="Arial" w:cs="Arial"/>
        </w:rPr>
        <w:t>as required</w:t>
      </w:r>
      <w:r w:rsidRPr="00B263F5">
        <w:rPr>
          <w:rFonts w:ascii="Arial" w:hAnsi="Arial" w:cs="Arial"/>
        </w:rPr>
        <w:t xml:space="preserve">. These formed the basis of the PCA </w:t>
      </w:r>
      <w:r>
        <w:rPr>
          <w:rFonts w:ascii="Arial" w:hAnsi="Arial" w:cs="Arial"/>
        </w:rPr>
        <w:t>extraction with</w:t>
      </w:r>
      <w:r w:rsidRPr="00B263F5">
        <w:rPr>
          <w:rFonts w:ascii="Arial" w:hAnsi="Arial" w:cs="Arial"/>
        </w:rPr>
        <w:t xml:space="preserve"> SPSS. PCA is recommended for behavioural research and follows from the narrative of Sparks (2007). Any item not correlating on any other item (at &lt;0.4) was ignored in the analysis. </w:t>
      </w:r>
      <w:r>
        <w:rPr>
          <w:rFonts w:ascii="Arial" w:hAnsi="Arial" w:cs="Arial"/>
        </w:rPr>
        <w:t xml:space="preserve">The parameters of the initial analysis were: Rotated Factor Solution (Varimax), Eigenvalues &gt;1, and convergence limited to 25 iterations. </w:t>
      </w:r>
      <w:r w:rsidRPr="00B263F5">
        <w:rPr>
          <w:rFonts w:ascii="Arial" w:hAnsi="Arial" w:cs="Arial"/>
        </w:rPr>
        <w:t>Bar</w:t>
      </w:r>
      <w:r>
        <w:rPr>
          <w:rFonts w:ascii="Arial" w:hAnsi="Arial" w:cs="Arial"/>
        </w:rPr>
        <w:t>t</w:t>
      </w:r>
      <w:r w:rsidRPr="00B263F5">
        <w:rPr>
          <w:rFonts w:ascii="Arial" w:hAnsi="Arial" w:cs="Arial"/>
        </w:rPr>
        <w:t>lett’s test of sphericity was significant</w:t>
      </w:r>
      <w:r>
        <w:rPr>
          <w:rFonts w:ascii="Arial" w:hAnsi="Arial" w:cs="Arial"/>
        </w:rPr>
        <w:t xml:space="preserve"> </w:t>
      </w:r>
      <w:r w:rsidRPr="00B263F5">
        <w:rPr>
          <w:rFonts w:ascii="Arial" w:hAnsi="Arial" w:cs="Arial"/>
        </w:rPr>
        <w:t>(p&lt;0.000) and the Keyser-Meyer-Olkin measur</w:t>
      </w:r>
      <w:r>
        <w:rPr>
          <w:rFonts w:ascii="Arial" w:hAnsi="Arial" w:cs="Arial"/>
        </w:rPr>
        <w:t>e of sampling adequacy was 0.559</w:t>
      </w:r>
      <w:r w:rsidRPr="00B263F5">
        <w:rPr>
          <w:rFonts w:ascii="Arial" w:hAnsi="Arial" w:cs="Arial"/>
        </w:rPr>
        <w:t>, exceeding the minimum standard required (0.5)</w:t>
      </w:r>
      <w:r>
        <w:rPr>
          <w:rFonts w:ascii="Arial" w:hAnsi="Arial" w:cs="Arial"/>
        </w:rPr>
        <w:t xml:space="preserve"> (Field, 2013)</w:t>
      </w:r>
      <w:r w:rsidRPr="00B263F5">
        <w:rPr>
          <w:rFonts w:ascii="Arial" w:hAnsi="Arial" w:cs="Arial"/>
        </w:rPr>
        <w:t xml:space="preserve">. </w:t>
      </w:r>
      <w:r>
        <w:rPr>
          <w:rFonts w:ascii="Arial" w:hAnsi="Arial" w:cs="Arial"/>
        </w:rPr>
        <w:t xml:space="preserve">Reliability measures (Cronbach’s Alpha) are provided for the latent constructs identified. </w:t>
      </w:r>
      <w:r w:rsidRPr="00B263F5">
        <w:rPr>
          <w:rFonts w:ascii="Arial" w:hAnsi="Arial" w:cs="Arial"/>
        </w:rPr>
        <w:t xml:space="preserve">The final solution identified </w:t>
      </w:r>
      <w:r>
        <w:rPr>
          <w:rFonts w:ascii="Arial" w:hAnsi="Arial" w:cs="Arial"/>
        </w:rPr>
        <w:t>5 components</w:t>
      </w:r>
      <w:r w:rsidRPr="00B263F5">
        <w:rPr>
          <w:rFonts w:ascii="Arial" w:hAnsi="Arial" w:cs="Arial"/>
        </w:rPr>
        <w:t xml:space="preserve"> that explained</w:t>
      </w:r>
      <w:r>
        <w:rPr>
          <w:rFonts w:ascii="Arial" w:hAnsi="Arial" w:cs="Arial"/>
        </w:rPr>
        <w:t xml:space="preserve"> a high 80% of observed variance shaping the allocation of a mark.</w:t>
      </w: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Default="0076549D" w:rsidP="0076549D">
      <w:pPr>
        <w:autoSpaceDE w:val="0"/>
        <w:autoSpaceDN w:val="0"/>
        <w:adjustRightInd w:val="0"/>
        <w:spacing w:after="0" w:line="400" w:lineRule="atLeast"/>
        <w:rPr>
          <w:rFonts w:ascii="Times New Roman" w:hAnsi="Times New Roman" w:cs="Times New Roman"/>
          <w:sz w:val="24"/>
          <w:szCs w:val="24"/>
        </w:rPr>
      </w:pPr>
    </w:p>
    <w:p w:rsidR="0076549D" w:rsidRDefault="0076549D" w:rsidP="0076549D">
      <w:pPr>
        <w:autoSpaceDE w:val="0"/>
        <w:autoSpaceDN w:val="0"/>
        <w:adjustRightInd w:val="0"/>
        <w:spacing w:after="0" w:line="400" w:lineRule="atLeast"/>
        <w:jc w:val="center"/>
        <w:rPr>
          <w:rFonts w:ascii="Arial" w:hAnsi="Arial" w:cs="Arial"/>
          <w:color w:val="000000"/>
        </w:rPr>
      </w:pPr>
      <w:r>
        <w:rPr>
          <w:rFonts w:ascii="Arial" w:hAnsi="Arial" w:cs="Arial"/>
          <w:b/>
        </w:rPr>
        <w:t xml:space="preserve">Table 5: </w:t>
      </w:r>
      <w:r w:rsidRPr="004F3D5C">
        <w:rPr>
          <w:rFonts w:ascii="Arial" w:hAnsi="Arial" w:cs="Arial"/>
        </w:rPr>
        <w:t>About here</w:t>
      </w:r>
    </w:p>
    <w:p w:rsidR="0076549D" w:rsidRDefault="0076549D" w:rsidP="0076549D">
      <w:pPr>
        <w:autoSpaceDE w:val="0"/>
        <w:autoSpaceDN w:val="0"/>
        <w:adjustRightInd w:val="0"/>
        <w:spacing w:after="0" w:line="400" w:lineRule="atLeast"/>
        <w:jc w:val="center"/>
        <w:rPr>
          <w:rFonts w:ascii="Arial" w:hAnsi="Arial" w:cs="Arial"/>
          <w:color w:val="000000"/>
        </w:rPr>
      </w:pPr>
    </w:p>
    <w:p w:rsidR="0076549D" w:rsidRPr="00581F2F" w:rsidRDefault="0076549D" w:rsidP="0076549D">
      <w:pPr>
        <w:autoSpaceDE w:val="0"/>
        <w:autoSpaceDN w:val="0"/>
        <w:adjustRightInd w:val="0"/>
        <w:spacing w:after="0" w:line="240" w:lineRule="auto"/>
        <w:jc w:val="center"/>
        <w:rPr>
          <w:rFonts w:ascii="Arial" w:hAnsi="Arial" w:cs="Arial"/>
        </w:rPr>
      </w:pPr>
      <w:r>
        <w:rPr>
          <w:rFonts w:ascii="Arial" w:hAnsi="Arial" w:cs="Arial"/>
          <w:b/>
        </w:rPr>
        <w:t>Table 6</w:t>
      </w:r>
      <w:r>
        <w:rPr>
          <w:rFonts w:ascii="Arial" w:hAnsi="Arial" w:cs="Arial"/>
        </w:rPr>
        <w:t xml:space="preserve"> : About here</w:t>
      </w: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Pr="00581F2F" w:rsidRDefault="0076549D" w:rsidP="0076549D">
      <w:pPr>
        <w:autoSpaceDE w:val="0"/>
        <w:autoSpaceDN w:val="0"/>
        <w:adjustRightInd w:val="0"/>
        <w:spacing w:after="0" w:line="240" w:lineRule="auto"/>
        <w:jc w:val="center"/>
        <w:rPr>
          <w:rFonts w:ascii="Arial" w:hAnsi="Arial" w:cs="Arial"/>
        </w:rPr>
      </w:pPr>
      <w:r>
        <w:rPr>
          <w:rFonts w:ascii="Arial" w:hAnsi="Arial" w:cs="Arial"/>
          <w:b/>
        </w:rPr>
        <w:t>Table 7</w:t>
      </w:r>
      <w:r>
        <w:rPr>
          <w:rFonts w:ascii="Arial" w:hAnsi="Arial" w:cs="Arial"/>
        </w:rPr>
        <w:t xml:space="preserve"> : About here</w:t>
      </w: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Pr="00BF73CA" w:rsidRDefault="0076549D" w:rsidP="0076549D">
      <w:pPr>
        <w:autoSpaceDE w:val="0"/>
        <w:autoSpaceDN w:val="0"/>
        <w:adjustRightInd w:val="0"/>
        <w:spacing w:after="0" w:line="240" w:lineRule="auto"/>
        <w:jc w:val="both"/>
        <w:rPr>
          <w:rFonts w:ascii="Arial" w:hAnsi="Arial" w:cs="Arial"/>
        </w:rPr>
      </w:pPr>
      <w:r>
        <w:rPr>
          <w:rFonts w:ascii="Arial" w:hAnsi="Arial" w:cs="Arial"/>
          <w:b/>
        </w:rPr>
        <w:t>Component</w:t>
      </w:r>
      <w:r w:rsidRPr="00BF73CA">
        <w:rPr>
          <w:rFonts w:ascii="Arial" w:hAnsi="Arial" w:cs="Arial"/>
          <w:b/>
        </w:rPr>
        <w:t xml:space="preserve"> 1</w:t>
      </w:r>
      <w:r w:rsidRPr="00BF73CA">
        <w:rPr>
          <w:rFonts w:ascii="Arial" w:hAnsi="Arial" w:cs="Arial"/>
        </w:rPr>
        <w:t xml:space="preserve"> – loads heavily on EGDP and FORM</w:t>
      </w:r>
      <w:r>
        <w:rPr>
          <w:rFonts w:ascii="Arial" w:hAnsi="Arial" w:cs="Arial"/>
        </w:rPr>
        <w:t>,</w:t>
      </w:r>
      <w:r w:rsidRPr="00BF73CA">
        <w:rPr>
          <w:rFonts w:ascii="Arial" w:hAnsi="Arial" w:cs="Arial"/>
        </w:rPr>
        <w:t xml:space="preserve"> as well as AVHE and ANCO. This cluster highlights the marker’s individual control and attitude towards the work.  We might describe</w:t>
      </w:r>
      <w:r>
        <w:rPr>
          <w:rFonts w:ascii="Arial" w:hAnsi="Arial" w:cs="Arial"/>
        </w:rPr>
        <w:t xml:space="preserve"> this cluster with the label of</w:t>
      </w:r>
      <w:r w:rsidRPr="00BF73CA">
        <w:rPr>
          <w:rFonts w:ascii="Arial" w:hAnsi="Arial" w:cs="Arial"/>
        </w:rPr>
        <w:t xml:space="preserve"> “</w:t>
      </w:r>
      <w:r w:rsidRPr="00BF73CA">
        <w:rPr>
          <w:rFonts w:ascii="Arial" w:hAnsi="Arial" w:cs="Arial"/>
          <w:b/>
        </w:rPr>
        <w:t xml:space="preserve">Active </w:t>
      </w:r>
      <w:r>
        <w:rPr>
          <w:rFonts w:ascii="Arial" w:hAnsi="Arial" w:cs="Arial"/>
          <w:b/>
        </w:rPr>
        <w:t>R</w:t>
      </w:r>
      <w:r w:rsidRPr="00BF73CA">
        <w:rPr>
          <w:rFonts w:ascii="Arial" w:hAnsi="Arial" w:cs="Arial"/>
          <w:b/>
        </w:rPr>
        <w:t>eview”</w:t>
      </w:r>
      <w:r w:rsidRPr="00780ABD">
        <w:rPr>
          <w:rFonts w:ascii="Arial" w:hAnsi="Arial" w:cs="Arial"/>
        </w:rPr>
        <w:t>,</w:t>
      </w:r>
      <w:r w:rsidRPr="00BF73CA">
        <w:rPr>
          <w:rFonts w:ascii="Arial" w:hAnsi="Arial" w:cs="Arial"/>
          <w:b/>
        </w:rPr>
        <w:t xml:space="preserve"> </w:t>
      </w:r>
      <w:r w:rsidRPr="00BF73CA">
        <w:rPr>
          <w:rFonts w:ascii="Arial" w:hAnsi="Arial" w:cs="Arial"/>
        </w:rPr>
        <w:t xml:space="preserve">in that the full scope of the work and its meaning is sought and considered </w:t>
      </w:r>
      <w:r>
        <w:rPr>
          <w:rFonts w:ascii="Arial" w:hAnsi="Arial" w:cs="Arial"/>
        </w:rPr>
        <w:t xml:space="preserve">in the same manner as the </w:t>
      </w:r>
      <w:r w:rsidRPr="00BF73CA">
        <w:rPr>
          <w:rFonts w:ascii="Arial" w:hAnsi="Arial" w:cs="Arial"/>
        </w:rPr>
        <w:t xml:space="preserve">preceding script. </w:t>
      </w:r>
      <w:r>
        <w:rPr>
          <w:rFonts w:ascii="Arial" w:hAnsi="Arial" w:cs="Arial"/>
        </w:rPr>
        <w:t xml:space="preserve">Whilst the mean of EGDP was 3.45 indicating a generally consistent allocation of time per script although there was also significant variation in this view (with a standard deviation of participants views of 3.11). </w:t>
      </w:r>
      <w:r w:rsidRPr="00BF73CA">
        <w:rPr>
          <w:rFonts w:ascii="Arial" w:hAnsi="Arial" w:cs="Arial"/>
        </w:rPr>
        <w:t>Prior engagement with the tutor to receive formative fe</w:t>
      </w:r>
      <w:r>
        <w:rPr>
          <w:rFonts w:ascii="Arial" w:hAnsi="Arial" w:cs="Arial"/>
        </w:rPr>
        <w:t>edback is also stressed.</w:t>
      </w:r>
    </w:p>
    <w:p w:rsidR="0076549D" w:rsidRDefault="0076549D" w:rsidP="0076549D">
      <w:pPr>
        <w:autoSpaceDE w:val="0"/>
        <w:autoSpaceDN w:val="0"/>
        <w:adjustRightInd w:val="0"/>
        <w:spacing w:after="0" w:line="240" w:lineRule="auto"/>
        <w:jc w:val="both"/>
        <w:rPr>
          <w:rFonts w:ascii="Times New Roman" w:hAnsi="Times New Roman" w:cs="Times New Roman"/>
          <w:sz w:val="24"/>
          <w:szCs w:val="24"/>
        </w:rPr>
      </w:pPr>
    </w:p>
    <w:p w:rsidR="0076549D" w:rsidRPr="008747BD" w:rsidRDefault="0076549D" w:rsidP="0076549D">
      <w:pPr>
        <w:autoSpaceDE w:val="0"/>
        <w:autoSpaceDN w:val="0"/>
        <w:adjustRightInd w:val="0"/>
        <w:spacing w:after="0" w:line="240" w:lineRule="auto"/>
        <w:jc w:val="both"/>
        <w:rPr>
          <w:rFonts w:ascii="Arial" w:hAnsi="Arial" w:cs="Arial"/>
        </w:rPr>
      </w:pPr>
      <w:r>
        <w:rPr>
          <w:rFonts w:ascii="Arial" w:hAnsi="Arial" w:cs="Arial"/>
          <w:b/>
        </w:rPr>
        <w:t>Component</w:t>
      </w:r>
      <w:r w:rsidRPr="008747BD">
        <w:rPr>
          <w:rFonts w:ascii="Arial" w:hAnsi="Arial" w:cs="Arial"/>
          <w:b/>
        </w:rPr>
        <w:t xml:space="preserve"> 2</w:t>
      </w:r>
      <w:r w:rsidRPr="008747BD">
        <w:rPr>
          <w:rFonts w:ascii="Arial" w:hAnsi="Arial" w:cs="Arial"/>
        </w:rPr>
        <w:t xml:space="preserve"> – loads heavily on ACRU, AFH1, AVHE and then ANCO. This cluster highlights</w:t>
      </w:r>
      <w:r>
        <w:rPr>
          <w:rFonts w:ascii="Arial" w:hAnsi="Arial" w:cs="Arial"/>
        </w:rPr>
        <w:t xml:space="preserve"> the marker’s individual control and </w:t>
      </w:r>
      <w:r w:rsidRPr="008747BD">
        <w:rPr>
          <w:rFonts w:ascii="Arial" w:hAnsi="Arial" w:cs="Arial"/>
        </w:rPr>
        <w:t>attitude towards the work through active use of assessment criteria for all the material in a submission of personal interest to the marker. We might describe this cluster with the label of “</w:t>
      </w:r>
      <w:r>
        <w:rPr>
          <w:rFonts w:ascii="Arial" w:hAnsi="Arial" w:cs="Arial"/>
          <w:b/>
        </w:rPr>
        <w:t>Interpretive A</w:t>
      </w:r>
      <w:r w:rsidRPr="008747BD">
        <w:rPr>
          <w:rFonts w:ascii="Arial" w:hAnsi="Arial" w:cs="Arial"/>
          <w:b/>
        </w:rPr>
        <w:t>lignment</w:t>
      </w:r>
      <w:r w:rsidRPr="008747BD">
        <w:rPr>
          <w:rFonts w:ascii="Arial" w:hAnsi="Arial" w:cs="Arial"/>
        </w:rPr>
        <w:t>”.</w:t>
      </w:r>
    </w:p>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b/>
        </w:rPr>
        <w:t xml:space="preserve">Component 3 – </w:t>
      </w:r>
      <w:r w:rsidRPr="008747BD">
        <w:rPr>
          <w:rFonts w:ascii="Arial" w:hAnsi="Arial" w:cs="Arial"/>
        </w:rPr>
        <w:t xml:space="preserve">loads heavily on </w:t>
      </w:r>
      <w:r>
        <w:rPr>
          <w:rFonts w:ascii="Arial" w:hAnsi="Arial" w:cs="Arial"/>
        </w:rPr>
        <w:t>SBHE and ALRA only. Whilst the reliability of this component construct is low, the combination of these two variables suggests markers have some difficulty in determining a grade for a script when it follows a similar preceding script and there is a consideration of the overall number of already allocated quality marks (&gt;60%). We might label this cluster as “</w:t>
      </w:r>
      <w:r w:rsidRPr="008747BD">
        <w:rPr>
          <w:rFonts w:ascii="Arial" w:hAnsi="Arial" w:cs="Arial"/>
          <w:b/>
        </w:rPr>
        <w:t>Similarity Quality</w:t>
      </w:r>
      <w:r>
        <w:rPr>
          <w:rFonts w:ascii="Arial" w:hAnsi="Arial" w:cs="Arial"/>
        </w:rPr>
        <w:t>”.</w:t>
      </w:r>
    </w:p>
    <w:p w:rsidR="0076549D" w:rsidRDefault="0076549D" w:rsidP="0076549D">
      <w:pPr>
        <w:autoSpaceDE w:val="0"/>
        <w:autoSpaceDN w:val="0"/>
        <w:adjustRightInd w:val="0"/>
        <w:spacing w:after="0" w:line="240" w:lineRule="auto"/>
        <w:jc w:val="both"/>
        <w:rPr>
          <w:rFonts w:ascii="Times New Roman" w:hAnsi="Times New Roman" w:cs="Times New Roman"/>
          <w:sz w:val="24"/>
          <w:szCs w:val="24"/>
        </w:rPr>
      </w:pPr>
    </w:p>
    <w:p w:rsidR="0076549D" w:rsidRDefault="0076549D" w:rsidP="0076549D">
      <w:pPr>
        <w:autoSpaceDE w:val="0"/>
        <w:autoSpaceDN w:val="0"/>
        <w:adjustRightInd w:val="0"/>
        <w:spacing w:after="0" w:line="240" w:lineRule="auto"/>
        <w:jc w:val="both"/>
        <w:rPr>
          <w:rFonts w:ascii="Times New Roman" w:hAnsi="Times New Roman" w:cs="Times New Roman"/>
          <w:sz w:val="24"/>
          <w:szCs w:val="24"/>
        </w:rPr>
      </w:pPr>
      <w:r>
        <w:rPr>
          <w:rFonts w:ascii="Arial" w:hAnsi="Arial" w:cs="Arial"/>
          <w:b/>
        </w:rPr>
        <w:t xml:space="preserve">Components 4 and 5 – </w:t>
      </w:r>
      <w:r w:rsidRPr="008747BD">
        <w:rPr>
          <w:rFonts w:ascii="Arial" w:hAnsi="Arial" w:cs="Arial"/>
        </w:rPr>
        <w:t xml:space="preserve">load </w:t>
      </w:r>
      <w:r>
        <w:rPr>
          <w:rFonts w:ascii="Arial" w:hAnsi="Arial" w:cs="Arial"/>
        </w:rPr>
        <w:t>only on single variables of POW1 and POW2 respectively.  Whilst reliability measures are not therefore applicable, these components suggest that the position of the script in the second half of a marking period are active inputs shaping the intention of allocating a mark.</w:t>
      </w:r>
    </w:p>
    <w:p w:rsidR="0076549D" w:rsidRDefault="0076549D" w:rsidP="0076549D">
      <w:pPr>
        <w:autoSpaceDE w:val="0"/>
        <w:autoSpaceDN w:val="0"/>
        <w:adjustRightInd w:val="0"/>
        <w:spacing w:after="0" w:line="240" w:lineRule="auto"/>
        <w:jc w:val="both"/>
        <w:rPr>
          <w:rFonts w:ascii="Arial" w:hAnsi="Arial" w:cs="Arial"/>
        </w:rPr>
      </w:pPr>
    </w:p>
    <w:p w:rsidR="0076549D" w:rsidRPr="001A0E1D" w:rsidRDefault="0076549D" w:rsidP="0076549D">
      <w:pPr>
        <w:pStyle w:val="Heading1"/>
        <w:rPr>
          <w:b/>
        </w:rPr>
      </w:pPr>
      <w:r w:rsidRPr="001A0E1D">
        <w:rPr>
          <w:b/>
        </w:rPr>
        <w:t>Discussion</w:t>
      </w:r>
    </w:p>
    <w:p w:rsidR="0076549D" w:rsidRPr="00B263F5"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The scope of potential variables shaping the decision to allocate a final grade potentially occurs at both pre and post that initial grading decision. Of the other variables concerned with the decision making point of grading, the normative assumption made of markers seeking objective grading of assessments has been supported in the identified factor </w:t>
      </w:r>
      <w:r w:rsidRPr="00C2702A">
        <w:rPr>
          <w:rFonts w:ascii="Arial" w:hAnsi="Arial" w:cs="Arial"/>
          <w:b/>
        </w:rPr>
        <w:t>components 1 and 2</w:t>
      </w:r>
      <w:r>
        <w:rPr>
          <w:rFonts w:ascii="Arial" w:hAnsi="Arial" w:cs="Arial"/>
        </w:rPr>
        <w:t xml:space="preserve"> (</w:t>
      </w:r>
      <w:r w:rsidRPr="005D1CE4">
        <w:rPr>
          <w:rFonts w:ascii="Arial" w:hAnsi="Arial" w:cs="Arial"/>
          <w:b/>
        </w:rPr>
        <w:t>Active Review</w:t>
      </w:r>
      <w:r>
        <w:rPr>
          <w:rFonts w:ascii="Arial" w:hAnsi="Arial" w:cs="Arial"/>
        </w:rPr>
        <w:t xml:space="preserve"> and </w:t>
      </w:r>
      <w:r w:rsidRPr="005D1CE4">
        <w:rPr>
          <w:rFonts w:ascii="Arial" w:hAnsi="Arial" w:cs="Arial"/>
          <w:b/>
        </w:rPr>
        <w:t>Interpretive Alignment</w:t>
      </w:r>
      <w:r>
        <w:rPr>
          <w:rFonts w:ascii="Arial" w:hAnsi="Arial" w:cs="Arial"/>
        </w:rPr>
        <w:t xml:space="preserve">). These manifested as recurrent use of assessment criteria, comparative allocations of time per script and using all available information in the presented script to support the construction of a grade. This is a positive affirmation of Grade Integrity reflecting the first and second items of Sadler’s (2009) definition. These components also stressed the input of personal interest by the marker and previous formative feedback already presented on earlier versions of the student work (Crisp, 2008). </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Factor components 3, 4 and 5 – are more problematic in both their reliability within the analysis but also interesting in the suggestion of other sources of influence upon the grading decision. In terms of the latter, </w:t>
      </w:r>
      <w:r>
        <w:rPr>
          <w:rFonts w:ascii="Arial" w:hAnsi="Arial" w:cs="Arial"/>
        </w:rPr>
        <w:lastRenderedPageBreak/>
        <w:t xml:space="preserve">the findings suggest that the allocation of a grade is exacerbated by script similarities and the overall recalled view of the number of quality marks already allocated (Kahneman, 2011). This could apply to an extent to a number of high/low/average perceived quality scripts being marked in sequence, although components 4 and 5 also suggest the position of the script in the second half of a batch of marking is a consideration. Thus these components suggest some input of expectation conformity in what the grades allocated would be, given the preceding perception of the marker on the overall number of quality grades already allocated, the immediate preceding script grade and position of the script in the marking period. </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Interestingly, no evidence emerged during the cognitive stage of grade allocation that reflected the determined quality of the preceding script (</w:t>
      </w:r>
      <w:r w:rsidRPr="000F7CE8">
        <w:rPr>
          <w:rFonts w:ascii="Arial" w:hAnsi="Arial" w:cs="Arial"/>
          <w:i/>
        </w:rPr>
        <w:t>POR1,2 or 3</w:t>
      </w:r>
      <w:r>
        <w:rPr>
          <w:rFonts w:ascii="Arial" w:hAnsi="Arial" w:cs="Arial"/>
        </w:rPr>
        <w:t>). Furthermore, from the discussed literature, cognitive heuristics emerged as the most important in shaping that grade allocation, whilst the potential influences derived from available marking time (</w:t>
      </w:r>
      <w:r w:rsidRPr="000F7CE8">
        <w:rPr>
          <w:rFonts w:ascii="Arial" w:hAnsi="Arial" w:cs="Arial"/>
          <w:i/>
        </w:rPr>
        <w:t>VOCO, APST</w:t>
      </w:r>
      <w:r>
        <w:rPr>
          <w:rFonts w:ascii="Arial" w:hAnsi="Arial" w:cs="Arial"/>
        </w:rPr>
        <w:t>), previous marker history (</w:t>
      </w:r>
      <w:r w:rsidRPr="000F7CE8">
        <w:rPr>
          <w:rFonts w:ascii="Arial" w:hAnsi="Arial" w:cs="Arial"/>
          <w:i/>
        </w:rPr>
        <w:t>INPR, COPR, PEDE</w:t>
      </w:r>
      <w:r>
        <w:rPr>
          <w:rFonts w:ascii="Arial" w:hAnsi="Arial" w:cs="Arial"/>
        </w:rPr>
        <w:t>) and the context of the marker (</w:t>
      </w:r>
      <w:r w:rsidRPr="000F7CE8">
        <w:rPr>
          <w:rFonts w:ascii="Arial" w:hAnsi="Arial" w:cs="Arial"/>
          <w:i/>
        </w:rPr>
        <w:t>ASDI, COPI, INPR</w:t>
      </w:r>
      <w:r>
        <w:rPr>
          <w:rFonts w:ascii="Arial" w:hAnsi="Arial" w:cs="Arial"/>
        </w:rPr>
        <w:t>) did not emerge as influential at the point of making the cognitive decision of a grade.</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pStyle w:val="Heading1"/>
      </w:pPr>
      <w:r>
        <w:t>Developmental Implications</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This work was undertaken within departments that deliver similar programmes from the same epistemological discipline (</w:t>
      </w:r>
      <w:r w:rsidRPr="000F7CE8">
        <w:rPr>
          <w:rFonts w:ascii="Arial" w:hAnsi="Arial" w:cs="Arial"/>
          <w:i/>
        </w:rPr>
        <w:t>DIDI</w:t>
      </w:r>
      <w:r>
        <w:rPr>
          <w:rFonts w:ascii="Arial" w:hAnsi="Arial" w:cs="Arial"/>
        </w:rPr>
        <w:t>). We might expect wider variations if we were to compare data from say the sciences with this humanities outcome. However, we believe there is scope for using the framework and data collection tool to be employed as a pedagogical template to help review and as required, identify areas for development within the marking process. Initial recommendations from this first report of work might be:</w:t>
      </w:r>
    </w:p>
    <w:p w:rsidR="0076549D" w:rsidRDefault="0076549D" w:rsidP="0076549D">
      <w:pPr>
        <w:autoSpaceDE w:val="0"/>
        <w:autoSpaceDN w:val="0"/>
        <w:adjustRightInd w:val="0"/>
        <w:spacing w:after="0" w:line="240" w:lineRule="auto"/>
        <w:jc w:val="both"/>
        <w:rPr>
          <w:rFonts w:ascii="Arial" w:hAnsi="Arial" w:cs="Arial"/>
        </w:rPr>
      </w:pPr>
    </w:p>
    <w:p w:rsidR="0076549D" w:rsidRPr="000F7CE8" w:rsidRDefault="0076549D" w:rsidP="0076549D">
      <w:pPr>
        <w:pStyle w:val="ListParagraph"/>
        <w:numPr>
          <w:ilvl w:val="0"/>
          <w:numId w:val="13"/>
        </w:numPr>
        <w:autoSpaceDE w:val="0"/>
        <w:autoSpaceDN w:val="0"/>
        <w:adjustRightInd w:val="0"/>
        <w:spacing w:after="0" w:line="240" w:lineRule="auto"/>
        <w:jc w:val="both"/>
        <w:rPr>
          <w:rFonts w:ascii="Arial" w:hAnsi="Arial" w:cs="Arial"/>
        </w:rPr>
      </w:pPr>
      <w:r w:rsidRPr="000F7CE8">
        <w:rPr>
          <w:rFonts w:ascii="Arial" w:hAnsi="Arial" w:cs="Arial"/>
        </w:rPr>
        <w:t>Break up marking into smaller periods of activity</w:t>
      </w:r>
      <w:r>
        <w:rPr>
          <w:rFonts w:ascii="Arial" w:hAnsi="Arial" w:cs="Arial"/>
        </w:rPr>
        <w:t xml:space="preserve"> without external distraction</w:t>
      </w:r>
    </w:p>
    <w:p w:rsidR="0076549D" w:rsidRPr="000F7CE8" w:rsidRDefault="0076549D" w:rsidP="0076549D">
      <w:pPr>
        <w:pStyle w:val="ListParagraph"/>
        <w:numPr>
          <w:ilvl w:val="0"/>
          <w:numId w:val="13"/>
        </w:numPr>
        <w:autoSpaceDE w:val="0"/>
        <w:autoSpaceDN w:val="0"/>
        <w:adjustRightInd w:val="0"/>
        <w:spacing w:after="0" w:line="240" w:lineRule="auto"/>
        <w:jc w:val="both"/>
        <w:rPr>
          <w:rFonts w:ascii="Arial" w:hAnsi="Arial" w:cs="Arial"/>
        </w:rPr>
      </w:pPr>
      <w:r w:rsidRPr="000F7CE8">
        <w:rPr>
          <w:rFonts w:ascii="Arial" w:hAnsi="Arial" w:cs="Arial"/>
        </w:rPr>
        <w:t xml:space="preserve">Avoid </w:t>
      </w:r>
      <w:r>
        <w:rPr>
          <w:rFonts w:ascii="Arial" w:hAnsi="Arial" w:cs="Arial"/>
        </w:rPr>
        <w:t>compiling</w:t>
      </w:r>
      <w:r w:rsidRPr="000F7CE8">
        <w:rPr>
          <w:rFonts w:ascii="Arial" w:hAnsi="Arial" w:cs="Arial"/>
        </w:rPr>
        <w:t xml:space="preserve"> cohort profile d</w:t>
      </w:r>
      <w:r w:rsidRPr="00D30EED">
        <w:rPr>
          <w:rFonts w:ascii="Arial" w:hAnsi="Arial" w:cs="Arial"/>
        </w:rPr>
        <w:t>ata until the marking process is</w:t>
      </w:r>
      <w:r w:rsidRPr="000F7CE8">
        <w:rPr>
          <w:rFonts w:ascii="Arial" w:hAnsi="Arial" w:cs="Arial"/>
        </w:rPr>
        <w:t xml:space="preserve"> complete for the cohort </w:t>
      </w:r>
    </w:p>
    <w:p w:rsidR="0076549D" w:rsidRDefault="0076549D" w:rsidP="0076549D">
      <w:pPr>
        <w:pStyle w:val="ListParagraph"/>
        <w:numPr>
          <w:ilvl w:val="0"/>
          <w:numId w:val="13"/>
        </w:numPr>
        <w:autoSpaceDE w:val="0"/>
        <w:autoSpaceDN w:val="0"/>
        <w:adjustRightInd w:val="0"/>
        <w:spacing w:after="0" w:line="240" w:lineRule="auto"/>
        <w:jc w:val="both"/>
        <w:rPr>
          <w:rFonts w:ascii="Arial" w:hAnsi="Arial" w:cs="Arial"/>
        </w:rPr>
      </w:pPr>
      <w:r w:rsidRPr="000F7CE8">
        <w:rPr>
          <w:rFonts w:ascii="Arial" w:hAnsi="Arial" w:cs="Arial"/>
        </w:rPr>
        <w:t>At the institutional level, ensure sufficient time is allocated to ensure the full scope of a submission can be considered by the marker</w:t>
      </w:r>
    </w:p>
    <w:p w:rsidR="0076549D" w:rsidRPr="000F7CE8" w:rsidRDefault="0076549D" w:rsidP="0076549D">
      <w:pPr>
        <w:pStyle w:val="ListParagraph"/>
        <w:numPr>
          <w:ilvl w:val="0"/>
          <w:numId w:val="13"/>
        </w:numPr>
        <w:autoSpaceDE w:val="0"/>
        <w:autoSpaceDN w:val="0"/>
        <w:adjustRightInd w:val="0"/>
        <w:spacing w:after="0" w:line="240" w:lineRule="auto"/>
        <w:jc w:val="both"/>
        <w:rPr>
          <w:rFonts w:ascii="Arial" w:hAnsi="Arial" w:cs="Arial"/>
        </w:rPr>
      </w:pPr>
      <w:r>
        <w:rPr>
          <w:rFonts w:ascii="Arial" w:hAnsi="Arial" w:cs="Arial"/>
        </w:rPr>
        <w:t>Ensure assessment criteria are robust and clear for all markers concerned</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We acknowledge that a number of discussed manifest variables were not directly considered in this analysis which was focused upon the cognitive stage of allocating a decision. Some of these omissions were also  for research design reasons. For example, all the assessed work was undertaken anonymously and therefore the scope for using a grade developmentally is discounted (</w:t>
      </w:r>
      <w:r w:rsidRPr="000F7CE8">
        <w:rPr>
          <w:rFonts w:ascii="Arial" w:hAnsi="Arial" w:cs="Arial"/>
          <w:i/>
        </w:rPr>
        <w:t>DEAI</w:t>
      </w:r>
      <w:r>
        <w:rPr>
          <w:rFonts w:ascii="Arial" w:hAnsi="Arial" w:cs="Arial"/>
        </w:rPr>
        <w:t>), the marker of an assessment may or may not be involved in the delivery of the unit’s materials and thus delivery issues were discounted (</w:t>
      </w:r>
      <w:r w:rsidRPr="000F7CE8">
        <w:rPr>
          <w:rFonts w:ascii="Arial" w:hAnsi="Arial" w:cs="Arial"/>
          <w:i/>
        </w:rPr>
        <w:t>VOCO, SCCO</w:t>
      </w:r>
      <w:r>
        <w:rPr>
          <w:rFonts w:ascii="Arial" w:hAnsi="Arial" w:cs="Arial"/>
        </w:rPr>
        <w:t xml:space="preserve">) and all the grade allocations made were first marks prior to any form of moderation (thus discounting </w:t>
      </w:r>
      <w:r w:rsidRPr="000F7CE8">
        <w:rPr>
          <w:rFonts w:ascii="Arial" w:hAnsi="Arial" w:cs="Arial"/>
          <w:i/>
        </w:rPr>
        <w:t>SMMP</w:t>
      </w:r>
      <w:r>
        <w:rPr>
          <w:rFonts w:ascii="Arial" w:hAnsi="Arial" w:cs="Arial"/>
        </w:rPr>
        <w:t xml:space="preserve">). </w:t>
      </w:r>
      <w:r w:rsidRPr="000F7CE8">
        <w:rPr>
          <w:rFonts w:ascii="Arial" w:hAnsi="Arial" w:cs="Arial"/>
          <w:i/>
        </w:rPr>
        <w:t>PEDE</w:t>
      </w:r>
      <w:r>
        <w:rPr>
          <w:rFonts w:ascii="Arial" w:hAnsi="Arial" w:cs="Arial"/>
        </w:rPr>
        <w:t xml:space="preserve"> is difficult to capture without a follow up activity with the markers and in particular the students concerned, which was not feasible for practical reasons. However, it is our intention to explore those variables in subsequent work drawing upon this data and outcomes</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This work also illuminates issues in the recurrent concern of grade inflation. </w:t>
      </w:r>
      <w:r w:rsidRPr="00C7695E">
        <w:rPr>
          <w:rFonts w:ascii="Arial" w:hAnsi="Arial" w:cs="Arial"/>
        </w:rPr>
        <w:t xml:space="preserve">Sadler (2009: 823) </w:t>
      </w:r>
      <w:r>
        <w:rPr>
          <w:rFonts w:ascii="Arial" w:hAnsi="Arial" w:cs="Arial"/>
        </w:rPr>
        <w:t xml:space="preserve">is clear that the important focus here should not be upon the grade but upon the alignment of the grade with the level of achievement. Markers could be expected to therefore construct their assessment criteria appropriate to accepted external standards (although the degree of customisation by the marker for an assessment is open to debate) and undertake frequent reflection upon them during the marking process. This was the core finding of this work. However, this work does not comment upon the construction of the assessment criteria per se, but </w:t>
      </w:r>
      <w:r w:rsidRPr="007B43AC">
        <w:rPr>
          <w:rFonts w:ascii="Arial" w:hAnsi="Arial" w:cs="Arial"/>
          <w:b/>
        </w:rPr>
        <w:t>Component 2</w:t>
      </w:r>
      <w:r>
        <w:rPr>
          <w:rFonts w:ascii="Arial" w:hAnsi="Arial" w:cs="Arial"/>
        </w:rPr>
        <w:t xml:space="preserve"> included a heavy weighting upon the active use of assessment criteria (</w:t>
      </w:r>
      <w:r w:rsidRPr="00146CD2">
        <w:rPr>
          <w:rFonts w:ascii="Arial" w:hAnsi="Arial" w:cs="Arial"/>
        </w:rPr>
        <w:t>ACRU</w:t>
      </w:r>
      <w:r>
        <w:rPr>
          <w:rFonts w:ascii="Arial" w:hAnsi="Arial" w:cs="Arial"/>
        </w:rPr>
        <w:t xml:space="preserve">) from the markers. This lends partial support that if grade inflation was perceived to be occurring, at least for the sample concerned, it is more likely to be a concern with the assessment criteria construction than with the decision making during grading.  We should not therefore conflate the marking process with grade inflation. Our work aligns with Sadler (2009) that these are different processes with different developmental implications. </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autoSpaceDE w:val="0"/>
        <w:autoSpaceDN w:val="0"/>
        <w:adjustRightInd w:val="0"/>
        <w:spacing w:after="0" w:line="240" w:lineRule="auto"/>
        <w:jc w:val="both"/>
        <w:rPr>
          <w:rFonts w:ascii="Arial" w:hAnsi="Arial" w:cs="Arial"/>
        </w:rPr>
      </w:pPr>
      <w:r>
        <w:rPr>
          <w:rFonts w:ascii="Arial" w:hAnsi="Arial" w:cs="Arial"/>
        </w:rPr>
        <w:t xml:space="preserve">Whilst this analysis opens a window onto the cognition of the grading decision, it also leaves a large number of questions unresolved and to be explored further. A larger sample with additional data on the actual grade allocated, reflective views of the overall marking experience (in a given period for a given cohort) and assessment task construction information – may further illuminate the full marking process with for example the exploration of relationships between those manifest variables and the actual grade allocated to a script, </w:t>
      </w:r>
      <w:r>
        <w:rPr>
          <w:rFonts w:ascii="Arial" w:hAnsi="Arial" w:cs="Arial"/>
        </w:rPr>
        <w:lastRenderedPageBreak/>
        <w:t xml:space="preserve">in other words, further work is required on the integration of the three outlined stages  of the marking process presented earlier.  </w:t>
      </w:r>
    </w:p>
    <w:p w:rsidR="0076549D" w:rsidRDefault="0076549D" w:rsidP="0076549D">
      <w:pPr>
        <w:autoSpaceDE w:val="0"/>
        <w:autoSpaceDN w:val="0"/>
        <w:adjustRightInd w:val="0"/>
        <w:spacing w:after="0" w:line="240" w:lineRule="auto"/>
        <w:jc w:val="both"/>
        <w:rPr>
          <w:rFonts w:ascii="Arial" w:hAnsi="Arial" w:cs="Arial"/>
        </w:rPr>
      </w:pPr>
    </w:p>
    <w:p w:rsidR="0076549D" w:rsidRDefault="0076549D" w:rsidP="0076549D">
      <w:pPr>
        <w:jc w:val="both"/>
      </w:pPr>
      <w:r>
        <w:rPr>
          <w:rFonts w:ascii="Arial" w:hAnsi="Arial" w:cs="Arial"/>
        </w:rPr>
        <w:t xml:space="preserve">Securing access to data that reflects how markers reach grade allocation decisions was not easy or without resource implications. We acknowledge that and are grateful for those who participated in this work. We believe that </w:t>
      </w:r>
      <w:r w:rsidRPr="009043CF">
        <w:rPr>
          <w:rFonts w:ascii="Arial" w:hAnsi="Arial" w:cs="Arial"/>
        </w:rPr>
        <w:t>this approach is scalable, offering further insights into this process. However, the emergent outcomes from this first focus</w:t>
      </w:r>
      <w:r>
        <w:rPr>
          <w:rFonts w:ascii="Arial" w:hAnsi="Arial" w:cs="Arial"/>
        </w:rPr>
        <w:t xml:space="preserve"> suggest </w:t>
      </w:r>
      <w:r w:rsidRPr="009043CF">
        <w:rPr>
          <w:rFonts w:ascii="Arial" w:hAnsi="Arial" w:cs="Arial"/>
        </w:rPr>
        <w:t xml:space="preserve"> that participants sought to maintain a normative view of the grading decision, </w:t>
      </w:r>
      <w:r>
        <w:rPr>
          <w:rFonts w:ascii="Arial" w:hAnsi="Arial" w:cs="Arial"/>
        </w:rPr>
        <w:t xml:space="preserve">is reassuring </w:t>
      </w:r>
      <w:r w:rsidRPr="009043CF">
        <w:rPr>
          <w:rFonts w:ascii="Arial" w:hAnsi="Arial" w:cs="Arial"/>
        </w:rPr>
        <w:t>although there was the potential for that position to be influenced by a number of other biases.</w:t>
      </w:r>
      <w:r>
        <w:t xml:space="preserve"> </w:t>
      </w:r>
    </w:p>
    <w:p w:rsidR="0076549D" w:rsidRDefault="0076549D" w:rsidP="0076549D">
      <w:pPr>
        <w:autoSpaceDE w:val="0"/>
        <w:autoSpaceDN w:val="0"/>
        <w:adjustRightInd w:val="0"/>
        <w:spacing w:after="0" w:line="240" w:lineRule="auto"/>
        <w:jc w:val="both"/>
        <w:rPr>
          <w:rFonts w:ascii="Arial" w:hAnsi="Arial" w:cs="Arial"/>
        </w:rPr>
      </w:pPr>
    </w:p>
    <w:p w:rsidR="0076549D" w:rsidRPr="001A0E1D" w:rsidRDefault="0076549D" w:rsidP="0076549D">
      <w:pPr>
        <w:pStyle w:val="Heading1"/>
        <w:rPr>
          <w:b/>
        </w:rPr>
      </w:pPr>
      <w:r w:rsidRPr="001A0E1D">
        <w:rPr>
          <w:b/>
        </w:rPr>
        <w:t>References</w:t>
      </w:r>
    </w:p>
    <w:p w:rsidR="0076549D" w:rsidRPr="000A328A" w:rsidRDefault="0076549D" w:rsidP="0076549D">
      <w:pPr>
        <w:autoSpaceDE w:val="0"/>
        <w:autoSpaceDN w:val="0"/>
        <w:adjustRightInd w:val="0"/>
        <w:spacing w:after="0" w:line="240" w:lineRule="auto"/>
        <w:jc w:val="both"/>
        <w:rPr>
          <w:rFonts w:ascii="Arial" w:hAnsi="Arial" w:cs="Arial"/>
        </w:rPr>
      </w:pPr>
    </w:p>
    <w:p w:rsidR="0076549D" w:rsidRPr="00614B70" w:rsidRDefault="0076549D" w:rsidP="0076549D">
      <w:pPr>
        <w:autoSpaceDE w:val="0"/>
        <w:autoSpaceDN w:val="0"/>
        <w:adjustRightInd w:val="0"/>
        <w:spacing w:line="360" w:lineRule="auto"/>
        <w:ind w:left="340"/>
        <w:jc w:val="both"/>
        <w:rPr>
          <w:rFonts w:ascii="Arial" w:hAnsi="Arial" w:cs="Arial"/>
          <w:lang w:val="en-US"/>
        </w:rPr>
      </w:pPr>
      <w:r>
        <w:rPr>
          <w:rFonts w:ascii="Arial" w:hAnsi="Arial" w:cs="Arial"/>
          <w:lang w:val="en-US"/>
        </w:rPr>
        <w:t>Ajz</w:t>
      </w:r>
      <w:r w:rsidRPr="00614B70">
        <w:rPr>
          <w:rFonts w:ascii="Arial" w:hAnsi="Arial" w:cs="Arial"/>
          <w:lang w:val="en-US"/>
        </w:rPr>
        <w:t xml:space="preserve">en, I., (1991), </w:t>
      </w:r>
      <w:r>
        <w:rPr>
          <w:rFonts w:ascii="Arial" w:hAnsi="Arial" w:cs="Arial"/>
          <w:lang w:val="en-US"/>
        </w:rPr>
        <w:t>“</w:t>
      </w:r>
      <w:r w:rsidRPr="00614B70">
        <w:rPr>
          <w:rFonts w:ascii="Arial" w:hAnsi="Arial" w:cs="Arial"/>
          <w:lang w:val="en-US"/>
        </w:rPr>
        <w:t>The Theory of Planned Behaviour</w:t>
      </w:r>
      <w:r>
        <w:rPr>
          <w:rFonts w:ascii="Arial" w:hAnsi="Arial" w:cs="Arial"/>
          <w:lang w:val="en-US"/>
        </w:rPr>
        <w:t>”</w:t>
      </w:r>
      <w:r w:rsidRPr="00614B70">
        <w:rPr>
          <w:rFonts w:ascii="Arial" w:hAnsi="Arial" w:cs="Arial"/>
          <w:lang w:val="en-US"/>
        </w:rPr>
        <w:t xml:space="preserve">, </w:t>
      </w:r>
      <w:r w:rsidRPr="00D274AF">
        <w:rPr>
          <w:rFonts w:ascii="Arial" w:hAnsi="Arial" w:cs="Arial"/>
          <w:i/>
          <w:lang w:val="en-US"/>
        </w:rPr>
        <w:t>Organizational Behavior and Human Decision Processes</w:t>
      </w:r>
      <w:r>
        <w:rPr>
          <w:rFonts w:ascii="Arial" w:hAnsi="Arial" w:cs="Arial"/>
          <w:lang w:val="en-US"/>
        </w:rPr>
        <w:t>, Volume 50, Issue 2, pp.</w:t>
      </w:r>
      <w:r w:rsidRPr="00614B70">
        <w:rPr>
          <w:rFonts w:ascii="Arial" w:hAnsi="Arial" w:cs="Arial"/>
          <w:lang w:val="en-US"/>
        </w:rPr>
        <w:t xml:space="preserve"> 179-211</w:t>
      </w:r>
      <w:r>
        <w:rPr>
          <w:rFonts w:ascii="Arial" w:hAnsi="Arial" w:cs="Arial"/>
          <w:lang w:val="en-US"/>
        </w:rPr>
        <w:t>.</w:t>
      </w:r>
    </w:p>
    <w:p w:rsidR="0076549D" w:rsidRPr="00C13D8E" w:rsidRDefault="0076549D" w:rsidP="0076549D">
      <w:pPr>
        <w:autoSpaceDE w:val="0"/>
        <w:autoSpaceDN w:val="0"/>
        <w:adjustRightInd w:val="0"/>
        <w:spacing w:line="360" w:lineRule="auto"/>
        <w:ind w:left="360"/>
        <w:rPr>
          <w:rFonts w:ascii="Arial" w:hAnsi="Arial" w:cs="Arial"/>
          <w:color w:val="000000"/>
        </w:rPr>
      </w:pPr>
      <w:r>
        <w:rPr>
          <w:rFonts w:ascii="Arial" w:hAnsi="Arial" w:cs="Arial"/>
          <w:color w:val="000000"/>
        </w:rPr>
        <w:t>Allen J.D., (2005), “</w:t>
      </w:r>
      <w:r w:rsidRPr="00614B70">
        <w:rPr>
          <w:rFonts w:ascii="Arial" w:hAnsi="Arial" w:cs="Arial"/>
          <w:color w:val="000000"/>
        </w:rPr>
        <w:t>Grades as valid measures of academic ac</w:t>
      </w:r>
      <w:r>
        <w:rPr>
          <w:rFonts w:ascii="Arial" w:hAnsi="Arial" w:cs="Arial"/>
          <w:color w:val="000000"/>
        </w:rPr>
        <w:t>hievement of classroom learning”</w:t>
      </w:r>
      <w:r w:rsidRPr="00614B70">
        <w:rPr>
          <w:rFonts w:ascii="Arial" w:hAnsi="Arial" w:cs="Arial"/>
          <w:color w:val="000000"/>
        </w:rPr>
        <w:t xml:space="preserve">, </w:t>
      </w:r>
      <w:r w:rsidRPr="00D274AF">
        <w:rPr>
          <w:rFonts w:ascii="Arial" w:hAnsi="Arial" w:cs="Arial"/>
          <w:i/>
          <w:color w:val="000000"/>
        </w:rPr>
        <w:t xml:space="preserve">The Clearing </w:t>
      </w:r>
      <w:r w:rsidRPr="00C13D8E">
        <w:rPr>
          <w:rFonts w:ascii="Arial" w:hAnsi="Arial" w:cs="Arial"/>
          <w:i/>
          <w:color w:val="000000"/>
        </w:rPr>
        <w:t>House</w:t>
      </w:r>
      <w:r w:rsidRPr="00C13D8E">
        <w:rPr>
          <w:rFonts w:ascii="Arial" w:hAnsi="Arial" w:cs="Arial"/>
          <w:color w:val="000000"/>
        </w:rPr>
        <w:t xml:space="preserve">, Volume 78, Issue 5, </w:t>
      </w:r>
      <w:r>
        <w:rPr>
          <w:rFonts w:ascii="Arial" w:hAnsi="Arial" w:cs="Arial"/>
          <w:color w:val="000000"/>
        </w:rPr>
        <w:t>pp.</w:t>
      </w:r>
      <w:r w:rsidRPr="00C13D8E">
        <w:rPr>
          <w:rFonts w:ascii="Arial" w:hAnsi="Arial" w:cs="Arial"/>
          <w:color w:val="000000"/>
        </w:rPr>
        <w:t xml:space="preserve"> 218–223.</w:t>
      </w:r>
    </w:p>
    <w:p w:rsidR="0076549D" w:rsidRPr="00C13D8E" w:rsidRDefault="0076549D" w:rsidP="0076549D">
      <w:pPr>
        <w:ind w:left="360"/>
        <w:rPr>
          <w:rFonts w:ascii="Arial" w:hAnsi="Arial" w:cs="Arial"/>
        </w:rPr>
      </w:pPr>
      <w:r w:rsidRPr="00C13D8E">
        <w:rPr>
          <w:rStyle w:val="hlfld-contribauthor"/>
          <w:rFonts w:ascii="Arial" w:hAnsi="Arial" w:cs="Arial"/>
          <w:color w:val="333333"/>
        </w:rPr>
        <w:t>Atwood,</w:t>
      </w:r>
      <w:r w:rsidRPr="00C13D8E">
        <w:rPr>
          <w:rStyle w:val="apple-converted-space"/>
          <w:rFonts w:ascii="Arial" w:hAnsi="Arial" w:cs="Arial"/>
          <w:color w:val="333333"/>
        </w:rPr>
        <w:t> </w:t>
      </w:r>
      <w:r w:rsidRPr="00C13D8E">
        <w:rPr>
          <w:rStyle w:val="nlmgiven-names"/>
          <w:rFonts w:ascii="Arial" w:hAnsi="Arial" w:cs="Arial"/>
          <w:color w:val="333333"/>
        </w:rPr>
        <w:t>R.</w:t>
      </w:r>
      <w:r w:rsidRPr="00C13D8E">
        <w:rPr>
          <w:rStyle w:val="apple-converted-space"/>
          <w:rFonts w:ascii="Arial" w:hAnsi="Arial" w:cs="Arial"/>
          <w:color w:val="333333"/>
        </w:rPr>
        <w:t> (</w:t>
      </w:r>
      <w:r w:rsidRPr="00C13D8E">
        <w:rPr>
          <w:rStyle w:val="nlmyear"/>
          <w:rFonts w:ascii="Arial" w:hAnsi="Arial" w:cs="Arial"/>
          <w:color w:val="333333"/>
        </w:rPr>
        <w:t>2008)</w:t>
      </w:r>
      <w:r w:rsidRPr="00C13D8E">
        <w:rPr>
          <w:rFonts w:ascii="Arial" w:hAnsi="Arial" w:cs="Arial"/>
          <w:color w:val="333333"/>
        </w:rPr>
        <w:t>, “</w:t>
      </w:r>
      <w:r w:rsidRPr="00C13D8E">
        <w:rPr>
          <w:rStyle w:val="nlmarticle-title"/>
          <w:rFonts w:ascii="Arial" w:hAnsi="Arial" w:cs="Arial"/>
          <w:color w:val="333333"/>
        </w:rPr>
        <w:t>Love of learning lost in ‘studying for jobs’ “,</w:t>
      </w:r>
      <w:r w:rsidRPr="00C13D8E">
        <w:rPr>
          <w:rStyle w:val="apple-converted-space"/>
          <w:rFonts w:ascii="Arial" w:hAnsi="Arial" w:cs="Arial"/>
          <w:color w:val="333333"/>
        </w:rPr>
        <w:t> </w:t>
      </w:r>
      <w:r w:rsidRPr="00C13D8E">
        <w:rPr>
          <w:rFonts w:ascii="Arial" w:hAnsi="Arial" w:cs="Arial"/>
          <w:i/>
          <w:iCs/>
          <w:color w:val="333333"/>
        </w:rPr>
        <w:t>Times Higher Education</w:t>
      </w:r>
      <w:r w:rsidRPr="00C13D8E">
        <w:rPr>
          <w:rFonts w:ascii="Arial" w:hAnsi="Arial" w:cs="Arial"/>
          <w:color w:val="333333"/>
        </w:rPr>
        <w:t xml:space="preserve">, available at  </w:t>
      </w:r>
      <w:hyperlink r:id="rId6" w:tgtFrame="_blank" w:history="1">
        <w:r w:rsidRPr="00C13D8E">
          <w:rPr>
            <w:rStyle w:val="Hyperlink"/>
            <w:rFonts w:ascii="Arial" w:hAnsi="Arial" w:cs="Arial"/>
            <w:color w:val="10147E"/>
          </w:rPr>
          <w:t>http://www.timeshighereducation.co.uk/story.asp?storycode=400676</w:t>
        </w:r>
      </w:hyperlink>
      <w:r w:rsidRPr="00C13D8E">
        <w:rPr>
          <w:rFonts w:ascii="Arial" w:hAnsi="Arial" w:cs="Arial"/>
        </w:rPr>
        <w:t xml:space="preserve"> (Accessed 14</w:t>
      </w:r>
      <w:r w:rsidRPr="00C13D8E">
        <w:rPr>
          <w:rFonts w:ascii="Arial" w:hAnsi="Arial" w:cs="Arial"/>
          <w:vertAlign w:val="superscript"/>
        </w:rPr>
        <w:t>th</w:t>
      </w:r>
      <w:r w:rsidRPr="00C13D8E">
        <w:rPr>
          <w:rFonts w:ascii="Arial" w:hAnsi="Arial" w:cs="Arial"/>
        </w:rPr>
        <w:t xml:space="preserve"> January 2017).</w:t>
      </w:r>
    </w:p>
    <w:p w:rsidR="0076549D" w:rsidRPr="00614B70" w:rsidRDefault="0076549D" w:rsidP="0076549D">
      <w:pPr>
        <w:ind w:left="360"/>
        <w:rPr>
          <w:rFonts w:ascii="Arial" w:hAnsi="Arial" w:cs="Arial"/>
          <w:color w:val="000000"/>
        </w:rPr>
      </w:pPr>
      <w:r w:rsidRPr="00614B70">
        <w:rPr>
          <w:rFonts w:ascii="Arial" w:hAnsi="Arial" w:cs="Arial"/>
          <w:color w:val="000000"/>
        </w:rPr>
        <w:t>Bagues</w:t>
      </w:r>
      <w:r>
        <w:rPr>
          <w:rFonts w:ascii="Arial" w:hAnsi="Arial" w:cs="Arial"/>
          <w:color w:val="000000"/>
        </w:rPr>
        <w:t xml:space="preserve">,, </w:t>
      </w:r>
      <w:r w:rsidRPr="00614B70">
        <w:rPr>
          <w:rFonts w:ascii="Arial" w:hAnsi="Arial" w:cs="Arial"/>
          <w:color w:val="000000"/>
        </w:rPr>
        <w:t xml:space="preserve"> M</w:t>
      </w:r>
      <w:r>
        <w:rPr>
          <w:rFonts w:ascii="Arial" w:hAnsi="Arial" w:cs="Arial"/>
          <w:color w:val="000000"/>
        </w:rPr>
        <w:t>.</w:t>
      </w:r>
      <w:r w:rsidRPr="00614B70">
        <w:rPr>
          <w:rFonts w:ascii="Arial" w:hAnsi="Arial" w:cs="Arial"/>
          <w:color w:val="000000"/>
        </w:rPr>
        <w:t>, Labini</w:t>
      </w:r>
      <w:r>
        <w:rPr>
          <w:rFonts w:ascii="Arial" w:hAnsi="Arial" w:cs="Arial"/>
          <w:color w:val="000000"/>
        </w:rPr>
        <w:t>,</w:t>
      </w:r>
      <w:r w:rsidRPr="00614B70">
        <w:rPr>
          <w:rFonts w:ascii="Arial" w:hAnsi="Arial" w:cs="Arial"/>
          <w:color w:val="000000"/>
        </w:rPr>
        <w:t xml:space="preserve"> </w:t>
      </w:r>
      <w:r>
        <w:rPr>
          <w:rFonts w:ascii="Arial" w:hAnsi="Arial" w:cs="Arial"/>
          <w:color w:val="000000"/>
        </w:rPr>
        <w:t>M.S. and Zinovyeva, N., (2008), “</w:t>
      </w:r>
      <w:r w:rsidRPr="00614B70">
        <w:rPr>
          <w:rFonts w:ascii="Arial" w:hAnsi="Arial" w:cs="Arial"/>
          <w:color w:val="000000"/>
        </w:rPr>
        <w:t>Differential Grading Standards and Universi</w:t>
      </w:r>
      <w:r>
        <w:rPr>
          <w:rFonts w:ascii="Arial" w:hAnsi="Arial" w:cs="Arial"/>
          <w:color w:val="000000"/>
        </w:rPr>
        <w:t>ty Funding: Evidence from Italy”</w:t>
      </w:r>
      <w:r w:rsidRPr="00614B70">
        <w:rPr>
          <w:rFonts w:ascii="Arial" w:hAnsi="Arial" w:cs="Arial"/>
          <w:color w:val="000000"/>
        </w:rPr>
        <w:t xml:space="preserve">, </w:t>
      </w:r>
      <w:r w:rsidRPr="00C13D8E">
        <w:rPr>
          <w:rFonts w:ascii="Arial" w:hAnsi="Arial" w:cs="Arial"/>
          <w:i/>
          <w:color w:val="000000"/>
        </w:rPr>
        <w:t>CESifo Economic Studies</w:t>
      </w:r>
      <w:r w:rsidRPr="00614B70">
        <w:rPr>
          <w:rFonts w:ascii="Arial" w:hAnsi="Arial" w:cs="Arial"/>
          <w:color w:val="000000"/>
        </w:rPr>
        <w:t xml:space="preserve">, </w:t>
      </w:r>
      <w:r>
        <w:rPr>
          <w:rFonts w:ascii="Arial" w:hAnsi="Arial" w:cs="Arial"/>
          <w:color w:val="000000"/>
        </w:rPr>
        <w:t xml:space="preserve">Volume </w:t>
      </w:r>
      <w:r w:rsidRPr="00614B70">
        <w:rPr>
          <w:rFonts w:ascii="Arial" w:hAnsi="Arial" w:cs="Arial"/>
          <w:color w:val="000000"/>
        </w:rPr>
        <w:t xml:space="preserve">54, </w:t>
      </w:r>
      <w:r>
        <w:rPr>
          <w:rFonts w:ascii="Arial" w:hAnsi="Arial" w:cs="Arial"/>
          <w:color w:val="000000"/>
        </w:rPr>
        <w:t>Number 2, pp.</w:t>
      </w:r>
      <w:r w:rsidRPr="00614B70">
        <w:rPr>
          <w:rFonts w:ascii="Arial" w:hAnsi="Arial" w:cs="Arial"/>
          <w:color w:val="000000"/>
        </w:rPr>
        <w:t xml:space="preserve"> 149–176.</w:t>
      </w:r>
    </w:p>
    <w:p w:rsidR="0076549D" w:rsidRPr="00614B70" w:rsidRDefault="0076549D" w:rsidP="0076549D">
      <w:pPr>
        <w:autoSpaceDE w:val="0"/>
        <w:autoSpaceDN w:val="0"/>
        <w:adjustRightInd w:val="0"/>
        <w:spacing w:line="360" w:lineRule="auto"/>
        <w:ind w:left="360"/>
        <w:rPr>
          <w:rFonts w:ascii="Arial" w:hAnsi="Arial" w:cs="Arial"/>
          <w:color w:val="000000"/>
        </w:rPr>
      </w:pPr>
      <w:r>
        <w:rPr>
          <w:rFonts w:ascii="Arial" w:hAnsi="Arial" w:cs="Arial"/>
          <w:color w:val="000000"/>
        </w:rPr>
        <w:t xml:space="preserve">Barnes, L.B., Bull, </w:t>
      </w:r>
      <w:r w:rsidRPr="00614B70">
        <w:rPr>
          <w:rFonts w:ascii="Arial" w:hAnsi="Arial" w:cs="Arial"/>
          <w:color w:val="000000"/>
        </w:rPr>
        <w:t>K.S., Campbell</w:t>
      </w:r>
      <w:r>
        <w:rPr>
          <w:rFonts w:ascii="Arial" w:hAnsi="Arial" w:cs="Arial"/>
          <w:color w:val="000000"/>
        </w:rPr>
        <w:t>,</w:t>
      </w:r>
      <w:r w:rsidRPr="00614B70">
        <w:rPr>
          <w:rFonts w:ascii="Arial" w:hAnsi="Arial" w:cs="Arial"/>
          <w:color w:val="000000"/>
        </w:rPr>
        <w:t xml:space="preserve"> N.J. and Perry</w:t>
      </w:r>
      <w:r>
        <w:rPr>
          <w:rFonts w:ascii="Arial" w:hAnsi="Arial" w:cs="Arial"/>
          <w:color w:val="000000"/>
        </w:rPr>
        <w:t>,</w:t>
      </w:r>
      <w:r w:rsidRPr="00614B70">
        <w:rPr>
          <w:rFonts w:ascii="Arial" w:hAnsi="Arial" w:cs="Arial"/>
          <w:color w:val="000000"/>
        </w:rPr>
        <w:t xml:space="preserve"> K.M., (</w:t>
      </w:r>
      <w:r>
        <w:rPr>
          <w:rFonts w:ascii="Arial" w:hAnsi="Arial" w:cs="Arial"/>
          <w:color w:val="000000"/>
        </w:rPr>
        <w:t>2001), “</w:t>
      </w:r>
      <w:r w:rsidRPr="00614B70">
        <w:rPr>
          <w:rFonts w:ascii="Arial" w:hAnsi="Arial" w:cs="Arial"/>
          <w:color w:val="000000"/>
        </w:rPr>
        <w:t>Effects of academic discipline and teaching goals in predicting grading beliefs among undergraduate teaching faculty</w:t>
      </w:r>
      <w:r>
        <w:rPr>
          <w:rFonts w:ascii="Arial" w:hAnsi="Arial" w:cs="Arial"/>
          <w:color w:val="000000"/>
        </w:rPr>
        <w:t>”</w:t>
      </w:r>
      <w:r w:rsidRPr="00614B70">
        <w:rPr>
          <w:rFonts w:ascii="Arial" w:hAnsi="Arial" w:cs="Arial"/>
          <w:color w:val="000000"/>
        </w:rPr>
        <w:t xml:space="preserve">, </w:t>
      </w:r>
      <w:r w:rsidRPr="00C13D8E">
        <w:rPr>
          <w:rFonts w:ascii="Arial" w:hAnsi="Arial" w:cs="Arial"/>
          <w:i/>
          <w:color w:val="000000"/>
        </w:rPr>
        <w:t>Research in Higher Education</w:t>
      </w:r>
      <w:r w:rsidRPr="00614B70">
        <w:rPr>
          <w:rFonts w:ascii="Arial" w:hAnsi="Arial" w:cs="Arial"/>
          <w:color w:val="000000"/>
        </w:rPr>
        <w:t xml:space="preserve">, </w:t>
      </w:r>
      <w:r>
        <w:rPr>
          <w:rFonts w:ascii="Arial" w:hAnsi="Arial" w:cs="Arial"/>
          <w:color w:val="000000"/>
        </w:rPr>
        <w:t xml:space="preserve">Volume </w:t>
      </w:r>
      <w:r w:rsidRPr="00614B70">
        <w:rPr>
          <w:rFonts w:ascii="Arial" w:hAnsi="Arial" w:cs="Arial"/>
          <w:color w:val="000000"/>
        </w:rPr>
        <w:t xml:space="preserve">42, </w:t>
      </w:r>
      <w:r>
        <w:rPr>
          <w:rFonts w:ascii="Arial" w:hAnsi="Arial" w:cs="Arial"/>
          <w:color w:val="000000"/>
        </w:rPr>
        <w:t>Issue 2, pp.</w:t>
      </w:r>
      <w:r w:rsidRPr="00614B70">
        <w:rPr>
          <w:rFonts w:ascii="Arial" w:hAnsi="Arial" w:cs="Arial"/>
          <w:color w:val="000000"/>
        </w:rPr>
        <w:t xml:space="preserve"> 455–467.</w:t>
      </w:r>
    </w:p>
    <w:p w:rsidR="0076549D" w:rsidRPr="00614B70" w:rsidRDefault="0076549D" w:rsidP="0076549D">
      <w:pPr>
        <w:autoSpaceDE w:val="0"/>
        <w:autoSpaceDN w:val="0"/>
        <w:adjustRightInd w:val="0"/>
        <w:spacing w:line="360" w:lineRule="auto"/>
        <w:ind w:left="360"/>
        <w:rPr>
          <w:rFonts w:ascii="Arial" w:hAnsi="Arial" w:cs="Arial"/>
          <w:color w:val="000000"/>
        </w:rPr>
      </w:pPr>
      <w:r w:rsidRPr="00614B70">
        <w:rPr>
          <w:rFonts w:ascii="Arial" w:hAnsi="Arial" w:cs="Arial"/>
          <w:color w:val="000000"/>
        </w:rPr>
        <w:t>Black</w:t>
      </w:r>
      <w:r>
        <w:rPr>
          <w:rFonts w:ascii="Arial" w:hAnsi="Arial" w:cs="Arial"/>
          <w:color w:val="000000"/>
        </w:rPr>
        <w:t>, D. and</w:t>
      </w:r>
      <w:r w:rsidRPr="00614B70">
        <w:rPr>
          <w:rFonts w:ascii="Arial" w:hAnsi="Arial" w:cs="Arial"/>
          <w:color w:val="000000"/>
        </w:rPr>
        <w:t xml:space="preserve"> Williams</w:t>
      </w:r>
      <w:r>
        <w:rPr>
          <w:rFonts w:ascii="Arial" w:hAnsi="Arial" w:cs="Arial"/>
          <w:color w:val="000000"/>
        </w:rPr>
        <w:t>,</w:t>
      </w:r>
      <w:r w:rsidRPr="00614B70">
        <w:rPr>
          <w:rFonts w:ascii="Arial" w:hAnsi="Arial" w:cs="Arial"/>
          <w:color w:val="000000"/>
        </w:rPr>
        <w:t xml:space="preserve"> P., (2009), </w:t>
      </w:r>
      <w:r>
        <w:rPr>
          <w:rFonts w:ascii="Arial" w:hAnsi="Arial" w:cs="Arial"/>
          <w:color w:val="000000"/>
        </w:rPr>
        <w:t>“</w:t>
      </w:r>
      <w:r w:rsidRPr="00614B70">
        <w:rPr>
          <w:rFonts w:ascii="Arial" w:hAnsi="Arial" w:cs="Arial"/>
          <w:color w:val="000000"/>
        </w:rPr>
        <w:t>Inside the Black Box: Raising standards through classroom assessment</w:t>
      </w:r>
      <w:r>
        <w:rPr>
          <w:rFonts w:ascii="Arial" w:hAnsi="Arial" w:cs="Arial"/>
          <w:color w:val="000000"/>
        </w:rPr>
        <w:t>”</w:t>
      </w:r>
      <w:r w:rsidRPr="00614B70">
        <w:rPr>
          <w:rFonts w:ascii="Arial" w:hAnsi="Arial" w:cs="Arial"/>
          <w:color w:val="000000"/>
        </w:rPr>
        <w:t>,</w:t>
      </w:r>
      <w:r>
        <w:rPr>
          <w:rFonts w:ascii="Arial" w:hAnsi="Arial" w:cs="Arial"/>
          <w:color w:val="000000"/>
        </w:rPr>
        <w:t>Phi Delta Kappa,</w:t>
      </w:r>
      <w:r w:rsidRPr="00614B70">
        <w:rPr>
          <w:rFonts w:ascii="Arial" w:hAnsi="Arial" w:cs="Arial"/>
          <w:color w:val="000000"/>
        </w:rPr>
        <w:t xml:space="preserve"> </w:t>
      </w:r>
      <w:r>
        <w:rPr>
          <w:rFonts w:ascii="Arial" w:hAnsi="Arial" w:cs="Arial"/>
          <w:color w:val="000000"/>
        </w:rPr>
        <w:t xml:space="preserve">available at </w:t>
      </w:r>
      <w:hyperlink r:id="rId7" w:history="1">
        <w:r w:rsidRPr="007535BD">
          <w:rPr>
            <w:rStyle w:val="Hyperlink"/>
            <w:rFonts w:ascii="Arial" w:hAnsi="Arial" w:cs="Arial"/>
          </w:rPr>
          <w:t>http://www.rdc.udel.edu/wp-content/uploads/2015/04/InsideBlackBox.pdf</w:t>
        </w:r>
      </w:hyperlink>
      <w:r>
        <w:rPr>
          <w:rFonts w:ascii="Arial" w:hAnsi="Arial" w:cs="Arial"/>
          <w:color w:val="000000"/>
        </w:rPr>
        <w:t xml:space="preserve"> (Accessed January 20</w:t>
      </w:r>
      <w:r w:rsidRPr="007F14B1">
        <w:rPr>
          <w:rFonts w:ascii="Arial" w:hAnsi="Arial" w:cs="Arial"/>
          <w:color w:val="000000"/>
          <w:vertAlign w:val="superscript"/>
        </w:rPr>
        <w:t>th</w:t>
      </w:r>
      <w:r>
        <w:rPr>
          <w:rFonts w:ascii="Arial" w:hAnsi="Arial" w:cs="Arial"/>
          <w:color w:val="000000"/>
        </w:rPr>
        <w:t xml:space="preserve"> 2017)</w:t>
      </w:r>
    </w:p>
    <w:p w:rsidR="0076549D" w:rsidRPr="00614B70" w:rsidRDefault="0076549D" w:rsidP="0076549D">
      <w:pPr>
        <w:autoSpaceDE w:val="0"/>
        <w:autoSpaceDN w:val="0"/>
        <w:adjustRightInd w:val="0"/>
        <w:spacing w:line="360" w:lineRule="auto"/>
        <w:ind w:left="360"/>
        <w:rPr>
          <w:rFonts w:ascii="Arial" w:hAnsi="Arial" w:cs="Arial"/>
          <w:color w:val="000000"/>
        </w:rPr>
      </w:pPr>
      <w:r w:rsidRPr="00614B70">
        <w:rPr>
          <w:rFonts w:ascii="Arial" w:hAnsi="Arial" w:cs="Arial"/>
          <w:color w:val="000000"/>
        </w:rPr>
        <w:t>Bloxham</w:t>
      </w:r>
      <w:r>
        <w:rPr>
          <w:rFonts w:ascii="Arial" w:hAnsi="Arial" w:cs="Arial"/>
          <w:color w:val="000000"/>
        </w:rPr>
        <w:t>,</w:t>
      </w:r>
      <w:r w:rsidRPr="00614B70">
        <w:rPr>
          <w:rFonts w:ascii="Arial" w:hAnsi="Arial" w:cs="Arial"/>
          <w:color w:val="000000"/>
        </w:rPr>
        <w:t xml:space="preserve"> S</w:t>
      </w:r>
      <w:r>
        <w:rPr>
          <w:rFonts w:ascii="Arial" w:hAnsi="Arial" w:cs="Arial"/>
          <w:color w:val="000000"/>
        </w:rPr>
        <w:t>.</w:t>
      </w:r>
      <w:r w:rsidRPr="00614B70">
        <w:rPr>
          <w:rFonts w:ascii="Arial" w:hAnsi="Arial" w:cs="Arial"/>
          <w:color w:val="000000"/>
        </w:rPr>
        <w:t xml:space="preserve"> and Boyd</w:t>
      </w:r>
      <w:r>
        <w:rPr>
          <w:rFonts w:ascii="Arial" w:hAnsi="Arial" w:cs="Arial"/>
          <w:color w:val="000000"/>
        </w:rPr>
        <w:t>, P. (2011), “</w:t>
      </w:r>
      <w:r w:rsidRPr="00614B70">
        <w:rPr>
          <w:rFonts w:ascii="Arial" w:hAnsi="Arial" w:cs="Arial"/>
          <w:color w:val="000000"/>
        </w:rPr>
        <w:t>Mark my words: the role of assessment criteria in UK hig</w:t>
      </w:r>
      <w:r>
        <w:rPr>
          <w:rFonts w:ascii="Arial" w:hAnsi="Arial" w:cs="Arial"/>
          <w:color w:val="000000"/>
        </w:rPr>
        <w:t>her education grading practices”</w:t>
      </w:r>
      <w:r w:rsidRPr="00614B70">
        <w:rPr>
          <w:rFonts w:ascii="Arial" w:hAnsi="Arial" w:cs="Arial"/>
          <w:color w:val="000000"/>
        </w:rPr>
        <w:t xml:space="preserve">, </w:t>
      </w:r>
      <w:r w:rsidRPr="007F14B1">
        <w:rPr>
          <w:rFonts w:ascii="Arial" w:hAnsi="Arial" w:cs="Arial"/>
          <w:i/>
          <w:color w:val="000000"/>
        </w:rPr>
        <w:t>Studies in Higher Education</w:t>
      </w:r>
      <w:r w:rsidRPr="00614B70">
        <w:rPr>
          <w:rFonts w:ascii="Arial" w:hAnsi="Arial" w:cs="Arial"/>
          <w:color w:val="000000"/>
        </w:rPr>
        <w:t xml:space="preserve">, </w:t>
      </w:r>
      <w:r>
        <w:rPr>
          <w:rFonts w:ascii="Arial" w:hAnsi="Arial" w:cs="Arial"/>
          <w:color w:val="000000"/>
        </w:rPr>
        <w:t xml:space="preserve">Volume </w:t>
      </w:r>
      <w:r w:rsidRPr="00614B70">
        <w:rPr>
          <w:rFonts w:ascii="Arial" w:hAnsi="Arial" w:cs="Arial"/>
          <w:color w:val="000000"/>
        </w:rPr>
        <w:t xml:space="preserve">36, </w:t>
      </w:r>
      <w:r>
        <w:rPr>
          <w:rFonts w:ascii="Arial" w:hAnsi="Arial" w:cs="Arial"/>
          <w:color w:val="000000"/>
        </w:rPr>
        <w:t>Issue 6, pp.</w:t>
      </w:r>
      <w:r w:rsidRPr="00614B70">
        <w:rPr>
          <w:rFonts w:ascii="Arial" w:hAnsi="Arial" w:cs="Arial"/>
          <w:color w:val="000000"/>
        </w:rPr>
        <w:t xml:space="preserve"> 655–670.</w:t>
      </w:r>
    </w:p>
    <w:p w:rsidR="0076549D" w:rsidRDefault="0076549D" w:rsidP="0076549D">
      <w:pPr>
        <w:spacing w:line="360" w:lineRule="auto"/>
        <w:ind w:left="340"/>
        <w:jc w:val="both"/>
        <w:rPr>
          <w:rFonts w:ascii="Arial" w:hAnsi="Arial" w:cs="Arial"/>
          <w:lang w:eastAsia="en-GB"/>
        </w:rPr>
      </w:pPr>
      <w:r>
        <w:rPr>
          <w:rFonts w:ascii="Arial" w:hAnsi="Arial" w:cs="Arial"/>
          <w:lang w:eastAsia="en-GB"/>
        </w:rPr>
        <w:t>Blunch, N.,(</w:t>
      </w:r>
      <w:r w:rsidRPr="00614B70">
        <w:rPr>
          <w:rFonts w:ascii="Arial" w:hAnsi="Arial" w:cs="Arial"/>
          <w:lang w:eastAsia="en-GB"/>
        </w:rPr>
        <w:t>2008</w:t>
      </w:r>
      <w:r>
        <w:rPr>
          <w:rFonts w:ascii="Arial" w:hAnsi="Arial" w:cs="Arial"/>
          <w:lang w:eastAsia="en-GB"/>
        </w:rPr>
        <w:t>),</w:t>
      </w:r>
      <w:r w:rsidRPr="00614B70">
        <w:rPr>
          <w:rFonts w:ascii="Arial" w:hAnsi="Arial" w:cs="Arial"/>
          <w:lang w:eastAsia="en-GB"/>
        </w:rPr>
        <w:t xml:space="preserve"> </w:t>
      </w:r>
      <w:r w:rsidRPr="00614B70">
        <w:rPr>
          <w:rFonts w:ascii="Arial" w:hAnsi="Arial" w:cs="Arial"/>
          <w:i/>
          <w:iCs/>
          <w:lang w:eastAsia="en-GB"/>
        </w:rPr>
        <w:t>Introduction to Structural Equation Modelling Using SPSS and AMOS</w:t>
      </w:r>
      <w:r w:rsidRPr="00614B70">
        <w:rPr>
          <w:rFonts w:ascii="Arial" w:hAnsi="Arial" w:cs="Arial"/>
          <w:i/>
          <w:lang w:eastAsia="en-GB"/>
        </w:rPr>
        <w:t>.</w:t>
      </w:r>
      <w:r w:rsidRPr="00614B70">
        <w:rPr>
          <w:rFonts w:ascii="Arial" w:hAnsi="Arial" w:cs="Arial"/>
          <w:lang w:eastAsia="en-GB"/>
        </w:rPr>
        <w:t xml:space="preserve"> </w:t>
      </w:r>
      <w:r>
        <w:rPr>
          <w:rFonts w:ascii="Arial" w:hAnsi="Arial" w:cs="Arial"/>
          <w:lang w:eastAsia="en-GB"/>
        </w:rPr>
        <w:t>Sage, London</w:t>
      </w:r>
      <w:r w:rsidRPr="00614B70">
        <w:rPr>
          <w:rFonts w:ascii="Arial" w:hAnsi="Arial" w:cs="Arial"/>
          <w:lang w:eastAsia="en-GB"/>
        </w:rPr>
        <w:t>.</w:t>
      </w:r>
    </w:p>
    <w:p w:rsidR="0076549D" w:rsidRPr="00562D6C" w:rsidRDefault="0076549D" w:rsidP="0076549D">
      <w:pPr>
        <w:spacing w:line="480" w:lineRule="auto"/>
        <w:ind w:left="340"/>
        <w:jc w:val="both"/>
        <w:rPr>
          <w:rFonts w:ascii="Arial" w:hAnsi="Arial" w:cs="Arial"/>
        </w:rPr>
      </w:pPr>
      <w:r>
        <w:rPr>
          <w:rFonts w:ascii="Arial" w:hAnsi="Arial" w:cs="Arial"/>
        </w:rPr>
        <w:t>Brody, J. and Dietz J., (1</w:t>
      </w:r>
      <w:r w:rsidRPr="00562D6C">
        <w:rPr>
          <w:rFonts w:ascii="Arial" w:hAnsi="Arial" w:cs="Arial"/>
        </w:rPr>
        <w:t>997</w:t>
      </w:r>
      <w:r>
        <w:rPr>
          <w:rFonts w:ascii="Arial" w:hAnsi="Arial" w:cs="Arial"/>
        </w:rPr>
        <w:t>),”</w:t>
      </w:r>
      <w:r w:rsidRPr="00562D6C">
        <w:rPr>
          <w:rFonts w:ascii="Arial" w:hAnsi="Arial" w:cs="Arial"/>
        </w:rPr>
        <w:t>On the dimensionality of two questio</w:t>
      </w:r>
      <w:r>
        <w:rPr>
          <w:rFonts w:ascii="Arial" w:hAnsi="Arial" w:cs="Arial"/>
        </w:rPr>
        <w:t xml:space="preserve">n format Likert Attitude scales”, </w:t>
      </w:r>
      <w:r w:rsidRPr="00562D6C">
        <w:rPr>
          <w:rFonts w:ascii="Arial" w:hAnsi="Arial" w:cs="Arial"/>
        </w:rPr>
        <w:t xml:space="preserve">  </w:t>
      </w:r>
      <w:r w:rsidRPr="00562D6C">
        <w:rPr>
          <w:rFonts w:ascii="Arial" w:hAnsi="Arial" w:cs="Arial"/>
          <w:i/>
        </w:rPr>
        <w:t>Social Science Research</w:t>
      </w:r>
      <w:r w:rsidRPr="00562D6C">
        <w:rPr>
          <w:rFonts w:ascii="Arial" w:hAnsi="Arial" w:cs="Arial"/>
        </w:rPr>
        <w:t xml:space="preserve">, </w:t>
      </w:r>
      <w:r>
        <w:rPr>
          <w:rFonts w:ascii="Arial" w:hAnsi="Arial" w:cs="Arial"/>
        </w:rPr>
        <w:t xml:space="preserve">Volume </w:t>
      </w:r>
      <w:r w:rsidRPr="00562D6C">
        <w:rPr>
          <w:rFonts w:ascii="Arial" w:hAnsi="Arial" w:cs="Arial"/>
        </w:rPr>
        <w:t>26</w:t>
      </w:r>
      <w:r>
        <w:rPr>
          <w:rFonts w:ascii="Arial" w:hAnsi="Arial" w:cs="Arial"/>
        </w:rPr>
        <w:t xml:space="preserve">, Issue 2, pp. </w:t>
      </w:r>
      <w:r w:rsidRPr="00562D6C">
        <w:rPr>
          <w:rFonts w:ascii="Arial" w:hAnsi="Arial" w:cs="Arial"/>
        </w:rPr>
        <w:t>197-204</w:t>
      </w:r>
    </w:p>
    <w:p w:rsidR="0076549D" w:rsidRPr="00EB5D3A" w:rsidRDefault="0076549D" w:rsidP="0076549D">
      <w:pPr>
        <w:autoSpaceDE w:val="0"/>
        <w:autoSpaceDN w:val="0"/>
        <w:adjustRightInd w:val="0"/>
        <w:spacing w:after="0" w:line="360" w:lineRule="auto"/>
        <w:ind w:firstLine="340"/>
        <w:rPr>
          <w:rFonts w:ascii="Arial" w:eastAsia="MinionPro-Regular" w:hAnsi="Arial" w:cs="Arial"/>
          <w:color w:val="25418F"/>
        </w:rPr>
      </w:pPr>
      <w:r w:rsidRPr="00EB5D3A">
        <w:rPr>
          <w:rFonts w:ascii="Arial" w:eastAsia="MinionPro-Regular" w:hAnsi="Arial" w:cs="Arial"/>
          <w:color w:val="000000"/>
        </w:rPr>
        <w:t xml:space="preserve">Brown, R., (2004), Out of range, </w:t>
      </w:r>
      <w:r>
        <w:rPr>
          <w:rFonts w:ascii="Arial" w:eastAsia="MinionPro-Regular" w:hAnsi="Arial" w:cs="Arial"/>
          <w:color w:val="000000"/>
        </w:rPr>
        <w:t xml:space="preserve">available at </w:t>
      </w:r>
      <w:r w:rsidRPr="00EB5D3A">
        <w:rPr>
          <w:rFonts w:ascii="Arial" w:eastAsia="MinionPro-Regular" w:hAnsi="Arial" w:cs="Arial"/>
          <w:color w:val="25418F"/>
        </w:rPr>
        <w:t>http://78.158.56.101/archive/palatine/files/1349.pdf</w:t>
      </w:r>
    </w:p>
    <w:p w:rsidR="0076549D" w:rsidRPr="00EB5D3A" w:rsidRDefault="0076549D" w:rsidP="0076549D">
      <w:pPr>
        <w:autoSpaceDE w:val="0"/>
        <w:autoSpaceDN w:val="0"/>
        <w:adjustRightInd w:val="0"/>
        <w:spacing w:line="360" w:lineRule="auto"/>
        <w:ind w:left="340"/>
        <w:rPr>
          <w:rFonts w:ascii="Arial" w:eastAsia="MinionPro-Regular" w:hAnsi="Arial" w:cs="Arial"/>
        </w:rPr>
      </w:pPr>
      <w:r>
        <w:rPr>
          <w:rFonts w:ascii="Arial" w:eastAsia="MinionPro-Regular" w:hAnsi="Arial" w:cs="Arial"/>
          <w:color w:val="000000"/>
        </w:rPr>
        <w:t>(Accessed 3</w:t>
      </w:r>
      <w:r w:rsidRPr="007F14B1">
        <w:rPr>
          <w:rFonts w:ascii="Arial" w:eastAsia="MinionPro-Regular" w:hAnsi="Arial" w:cs="Arial"/>
          <w:color w:val="000000"/>
          <w:vertAlign w:val="superscript"/>
        </w:rPr>
        <w:t>rd</w:t>
      </w:r>
      <w:r>
        <w:rPr>
          <w:rFonts w:ascii="Arial" w:eastAsia="MinionPro-Regular" w:hAnsi="Arial" w:cs="Arial"/>
          <w:color w:val="000000"/>
        </w:rPr>
        <w:t xml:space="preserve"> </w:t>
      </w:r>
      <w:r w:rsidRPr="00EB5D3A">
        <w:rPr>
          <w:rFonts w:ascii="Arial" w:eastAsia="MinionPro-Regular" w:hAnsi="Arial" w:cs="Arial"/>
          <w:color w:val="000000"/>
        </w:rPr>
        <w:t>April 2014</w:t>
      </w:r>
      <w:r>
        <w:rPr>
          <w:rFonts w:ascii="Arial" w:eastAsia="MinionPro-Regular" w:hAnsi="Arial" w:cs="Arial"/>
          <w:color w:val="000000"/>
        </w:rPr>
        <w:t>)</w:t>
      </w:r>
      <w:r w:rsidRPr="00EB5D3A">
        <w:rPr>
          <w:rFonts w:ascii="Arial" w:eastAsia="MinionPro-Regular" w:hAnsi="Arial" w:cs="Arial"/>
          <w:color w:val="000000"/>
        </w:rPr>
        <w:t>.</w:t>
      </w:r>
      <w:r w:rsidRPr="00EB5D3A">
        <w:rPr>
          <w:rFonts w:ascii="Arial" w:eastAsia="MinionPro-Regular" w:hAnsi="Arial" w:cs="Arial"/>
        </w:rPr>
        <w:t xml:space="preserve"> </w:t>
      </w:r>
    </w:p>
    <w:p w:rsidR="0076549D" w:rsidRPr="00614B70" w:rsidRDefault="0076549D" w:rsidP="0076549D">
      <w:pPr>
        <w:autoSpaceDE w:val="0"/>
        <w:autoSpaceDN w:val="0"/>
        <w:adjustRightInd w:val="0"/>
        <w:spacing w:line="360" w:lineRule="auto"/>
        <w:ind w:left="340"/>
        <w:rPr>
          <w:rFonts w:ascii="Arial" w:eastAsia="MinionPro-Regular" w:hAnsi="Arial" w:cs="Arial"/>
        </w:rPr>
      </w:pPr>
      <w:r w:rsidRPr="00614B70">
        <w:rPr>
          <w:rFonts w:ascii="Arial" w:eastAsia="MinionPro-Regular" w:hAnsi="Arial" w:cs="Arial"/>
        </w:rPr>
        <w:t xml:space="preserve">Cadman, K.(1997), </w:t>
      </w:r>
      <w:r>
        <w:rPr>
          <w:rFonts w:ascii="Arial" w:eastAsia="MinionPro-Regular" w:hAnsi="Arial" w:cs="Arial"/>
        </w:rPr>
        <w:t>“</w:t>
      </w:r>
      <w:r w:rsidRPr="00614B70">
        <w:rPr>
          <w:rFonts w:ascii="Arial" w:eastAsia="MinionPro-Regular" w:hAnsi="Arial" w:cs="Arial"/>
        </w:rPr>
        <w:t>Thesis writing for international students: A question of identity?</w:t>
      </w:r>
      <w:r>
        <w:rPr>
          <w:rFonts w:ascii="Arial" w:eastAsia="MinionPro-Regular" w:hAnsi="Arial" w:cs="Arial"/>
        </w:rPr>
        <w:t>”</w:t>
      </w:r>
      <w:r w:rsidRPr="00614B70">
        <w:rPr>
          <w:rFonts w:ascii="Arial" w:eastAsia="MinionPro-Regular" w:hAnsi="Arial" w:cs="Arial"/>
        </w:rPr>
        <w:t xml:space="preserve">, </w:t>
      </w:r>
      <w:r w:rsidRPr="007F14B1">
        <w:rPr>
          <w:rFonts w:ascii="Arial" w:eastAsia="MinionPro-Regular" w:hAnsi="Arial" w:cs="Arial"/>
          <w:i/>
        </w:rPr>
        <w:t>English for Specific Purposes</w:t>
      </w:r>
      <w:r>
        <w:rPr>
          <w:rFonts w:ascii="Arial" w:eastAsia="MinionPro-Regular" w:hAnsi="Arial" w:cs="Arial"/>
        </w:rPr>
        <w:t>, Volume 16, Issues 1, pp. 3-14</w:t>
      </w:r>
    </w:p>
    <w:p w:rsidR="0076549D" w:rsidRDefault="0076549D" w:rsidP="0076549D">
      <w:pPr>
        <w:spacing w:line="360" w:lineRule="auto"/>
        <w:ind w:left="340"/>
        <w:jc w:val="both"/>
        <w:rPr>
          <w:rFonts w:ascii="Arial" w:hAnsi="Arial" w:cs="Arial"/>
        </w:rPr>
      </w:pPr>
      <w:r>
        <w:rPr>
          <w:rFonts w:ascii="Arial" w:hAnsi="Arial" w:cs="Arial"/>
        </w:rPr>
        <w:t>Carifio, J. and Perla, R.,(</w:t>
      </w:r>
      <w:r w:rsidRPr="00614B70">
        <w:rPr>
          <w:rFonts w:ascii="Arial" w:hAnsi="Arial" w:cs="Arial"/>
        </w:rPr>
        <w:t>2008</w:t>
      </w:r>
      <w:r>
        <w:rPr>
          <w:rFonts w:ascii="Arial" w:hAnsi="Arial" w:cs="Arial"/>
        </w:rPr>
        <w:t>), “</w:t>
      </w:r>
      <w:r w:rsidRPr="00614B70">
        <w:rPr>
          <w:rFonts w:ascii="Arial" w:hAnsi="Arial" w:cs="Arial"/>
        </w:rPr>
        <w:t>Resolving the 50-year debate around using and misusing Likert scales</w:t>
      </w:r>
      <w:r>
        <w:rPr>
          <w:rFonts w:ascii="Arial" w:hAnsi="Arial" w:cs="Arial"/>
        </w:rPr>
        <w:t>”,</w:t>
      </w:r>
      <w:r w:rsidRPr="00614B70">
        <w:rPr>
          <w:rFonts w:ascii="Arial" w:hAnsi="Arial" w:cs="Arial"/>
        </w:rPr>
        <w:t xml:space="preserve"> </w:t>
      </w:r>
      <w:r w:rsidRPr="00614B70">
        <w:rPr>
          <w:rFonts w:ascii="Arial" w:hAnsi="Arial" w:cs="Arial"/>
          <w:i/>
        </w:rPr>
        <w:t>Medical Education</w:t>
      </w:r>
      <w:r w:rsidRPr="00614B70">
        <w:rPr>
          <w:rFonts w:ascii="Arial" w:hAnsi="Arial" w:cs="Arial"/>
        </w:rPr>
        <w:t xml:space="preserve">, </w:t>
      </w:r>
      <w:r>
        <w:rPr>
          <w:rFonts w:ascii="Arial" w:hAnsi="Arial" w:cs="Arial"/>
        </w:rPr>
        <w:t xml:space="preserve">Volume </w:t>
      </w:r>
      <w:r w:rsidRPr="00614B70">
        <w:rPr>
          <w:rFonts w:ascii="Arial" w:hAnsi="Arial" w:cs="Arial"/>
        </w:rPr>
        <w:t>42</w:t>
      </w:r>
      <w:r>
        <w:rPr>
          <w:rFonts w:ascii="Arial" w:hAnsi="Arial" w:cs="Arial"/>
        </w:rPr>
        <w:t xml:space="preserve">, Issue 12, pp. </w:t>
      </w:r>
      <w:r w:rsidRPr="00614B70">
        <w:rPr>
          <w:rFonts w:ascii="Arial" w:hAnsi="Arial" w:cs="Arial"/>
        </w:rPr>
        <w:t>1150-1152</w:t>
      </w:r>
    </w:p>
    <w:p w:rsidR="0076549D" w:rsidRDefault="0076549D" w:rsidP="0076549D">
      <w:pPr>
        <w:autoSpaceDE w:val="0"/>
        <w:autoSpaceDN w:val="0"/>
        <w:adjustRightInd w:val="0"/>
        <w:spacing w:line="360" w:lineRule="auto"/>
        <w:ind w:left="360"/>
        <w:rPr>
          <w:rFonts w:ascii="Arial" w:hAnsi="Arial" w:cs="Arial"/>
          <w:color w:val="000000"/>
        </w:rPr>
      </w:pPr>
      <w:r w:rsidRPr="00614B70">
        <w:rPr>
          <w:rFonts w:ascii="Arial" w:hAnsi="Arial" w:cs="Arial"/>
          <w:color w:val="000000"/>
        </w:rPr>
        <w:lastRenderedPageBreak/>
        <w:t xml:space="preserve">Crisp, V., (2008), </w:t>
      </w:r>
      <w:r>
        <w:rPr>
          <w:rFonts w:ascii="Arial" w:hAnsi="Arial" w:cs="Arial"/>
          <w:color w:val="000000"/>
        </w:rPr>
        <w:t>“</w:t>
      </w:r>
      <w:r w:rsidRPr="00614B70">
        <w:rPr>
          <w:rFonts w:ascii="Arial" w:hAnsi="Arial" w:cs="Arial"/>
          <w:color w:val="000000"/>
        </w:rPr>
        <w:t>Exploring the nature of examiner thinking during the</w:t>
      </w:r>
      <w:r>
        <w:rPr>
          <w:rFonts w:ascii="Arial" w:hAnsi="Arial" w:cs="Arial"/>
          <w:color w:val="000000"/>
        </w:rPr>
        <w:t xml:space="preserve"> process of examination marking”</w:t>
      </w:r>
      <w:r w:rsidRPr="00614B70">
        <w:rPr>
          <w:rFonts w:ascii="Arial" w:hAnsi="Arial" w:cs="Arial"/>
          <w:color w:val="000000"/>
        </w:rPr>
        <w:t xml:space="preserve">, </w:t>
      </w:r>
      <w:r w:rsidRPr="007F14B1">
        <w:rPr>
          <w:rFonts w:ascii="Arial" w:hAnsi="Arial" w:cs="Arial"/>
          <w:i/>
          <w:color w:val="000000"/>
        </w:rPr>
        <w:t>Cambridge Journal of Education</w:t>
      </w:r>
      <w:r w:rsidRPr="00614B70">
        <w:rPr>
          <w:rFonts w:ascii="Arial" w:hAnsi="Arial" w:cs="Arial"/>
          <w:color w:val="000000"/>
        </w:rPr>
        <w:t xml:space="preserve">, </w:t>
      </w:r>
      <w:r>
        <w:rPr>
          <w:rFonts w:ascii="Arial" w:hAnsi="Arial" w:cs="Arial"/>
          <w:color w:val="000000"/>
        </w:rPr>
        <w:t xml:space="preserve">Volume </w:t>
      </w:r>
      <w:r w:rsidRPr="00614B70">
        <w:rPr>
          <w:rFonts w:ascii="Arial" w:hAnsi="Arial" w:cs="Arial"/>
          <w:color w:val="000000"/>
        </w:rPr>
        <w:t>38,</w:t>
      </w:r>
      <w:r>
        <w:rPr>
          <w:rFonts w:ascii="Arial" w:hAnsi="Arial" w:cs="Arial"/>
          <w:color w:val="000000"/>
        </w:rPr>
        <w:t>Issue 3, pp.</w:t>
      </w:r>
      <w:r w:rsidRPr="00614B70">
        <w:rPr>
          <w:rFonts w:ascii="Arial" w:hAnsi="Arial" w:cs="Arial"/>
          <w:color w:val="000000"/>
        </w:rPr>
        <w:t xml:space="preserve"> 247–264.</w:t>
      </w:r>
    </w:p>
    <w:p w:rsidR="0076549D" w:rsidRDefault="0076549D" w:rsidP="0076549D">
      <w:pPr>
        <w:autoSpaceDE w:val="0"/>
        <w:autoSpaceDN w:val="0"/>
        <w:adjustRightInd w:val="0"/>
        <w:spacing w:line="360" w:lineRule="auto"/>
        <w:ind w:left="360"/>
        <w:rPr>
          <w:rFonts w:ascii="Arial" w:hAnsi="Arial" w:cs="Arial"/>
          <w:color w:val="000000"/>
        </w:rPr>
      </w:pPr>
      <w:r>
        <w:rPr>
          <w:rFonts w:ascii="Arial" w:hAnsi="Arial" w:cs="Arial"/>
          <w:color w:val="000000"/>
        </w:rPr>
        <w:t xml:space="preserve">Field, A. (2013) </w:t>
      </w:r>
      <w:r w:rsidRPr="002F07E0">
        <w:rPr>
          <w:rFonts w:ascii="Arial" w:hAnsi="Arial" w:cs="Arial"/>
          <w:i/>
          <w:color w:val="000000"/>
        </w:rPr>
        <w:t xml:space="preserve">Discovering Statistics using IBM SPSS Statistics </w:t>
      </w:r>
      <w:r>
        <w:rPr>
          <w:rFonts w:ascii="Arial" w:hAnsi="Arial" w:cs="Arial"/>
          <w:color w:val="000000"/>
        </w:rPr>
        <w:t xml:space="preserve">(fourth edition), Sage,  London. </w:t>
      </w:r>
    </w:p>
    <w:p w:rsidR="0076549D" w:rsidRPr="007F14B1" w:rsidRDefault="0076549D" w:rsidP="0076549D">
      <w:pPr>
        <w:autoSpaceDE w:val="0"/>
        <w:autoSpaceDN w:val="0"/>
        <w:adjustRightInd w:val="0"/>
        <w:spacing w:line="360" w:lineRule="auto"/>
        <w:ind w:left="340"/>
        <w:rPr>
          <w:rFonts w:ascii="Arial" w:hAnsi="Arial" w:cs="Arial"/>
          <w:bCs/>
          <w:color w:val="0563C1" w:themeColor="hyperlink"/>
          <w:u w:val="single"/>
          <w:lang w:eastAsia="en-GB"/>
        </w:rPr>
      </w:pPr>
      <w:r>
        <w:rPr>
          <w:rFonts w:ascii="Arial" w:hAnsi="Arial" w:cs="Arial"/>
        </w:rPr>
        <w:t xml:space="preserve">Francis J.J., Johnston M.,  </w:t>
      </w:r>
      <w:r w:rsidRPr="00614B70">
        <w:rPr>
          <w:rFonts w:ascii="Arial" w:hAnsi="Arial" w:cs="Arial"/>
        </w:rPr>
        <w:t>Eccles</w:t>
      </w:r>
      <w:r>
        <w:rPr>
          <w:rFonts w:ascii="Arial" w:hAnsi="Arial" w:cs="Arial"/>
        </w:rPr>
        <w:t xml:space="preserve"> M.P.,</w:t>
      </w:r>
      <w:r w:rsidRPr="00614B70">
        <w:rPr>
          <w:rFonts w:ascii="Arial" w:hAnsi="Arial" w:cs="Arial"/>
        </w:rPr>
        <w:t xml:space="preserve"> Grimshaw</w:t>
      </w:r>
      <w:r>
        <w:rPr>
          <w:rFonts w:ascii="Arial" w:hAnsi="Arial" w:cs="Arial"/>
        </w:rPr>
        <w:t xml:space="preserve"> J. </w:t>
      </w:r>
      <w:r w:rsidRPr="00614B70">
        <w:rPr>
          <w:rFonts w:ascii="Arial" w:hAnsi="Arial" w:cs="Arial"/>
        </w:rPr>
        <w:t>and Kaner</w:t>
      </w:r>
      <w:r>
        <w:rPr>
          <w:rFonts w:ascii="Arial" w:hAnsi="Arial" w:cs="Arial"/>
        </w:rPr>
        <w:t>, E.F.S., (</w:t>
      </w:r>
      <w:r w:rsidRPr="00614B70">
        <w:rPr>
          <w:rFonts w:ascii="Arial" w:hAnsi="Arial" w:cs="Arial"/>
        </w:rPr>
        <w:t>2004</w:t>
      </w:r>
      <w:r>
        <w:rPr>
          <w:rFonts w:ascii="Arial" w:hAnsi="Arial" w:cs="Arial"/>
        </w:rPr>
        <w:t>),</w:t>
      </w:r>
      <w:r w:rsidRPr="00614B70">
        <w:rPr>
          <w:rFonts w:ascii="Arial" w:hAnsi="Arial" w:cs="Arial"/>
          <w:bCs/>
          <w:lang w:eastAsia="en-GB"/>
        </w:rPr>
        <w:t xml:space="preserve"> </w:t>
      </w:r>
      <w:r>
        <w:rPr>
          <w:rFonts w:ascii="Arial" w:hAnsi="Arial" w:cs="Arial"/>
          <w:bCs/>
          <w:lang w:eastAsia="en-GB"/>
        </w:rPr>
        <w:t>“</w:t>
      </w:r>
      <w:r w:rsidRPr="00614B70">
        <w:rPr>
          <w:rFonts w:ascii="Arial" w:hAnsi="Arial" w:cs="Arial"/>
          <w:bCs/>
          <w:lang w:eastAsia="en-GB"/>
        </w:rPr>
        <w:t>Measurement issues in the theory of planned behaviour: A supplement to the Manual for constructing questionnaires based on the Theory of Planned Behaviour</w:t>
      </w:r>
      <w:r>
        <w:rPr>
          <w:rFonts w:ascii="Arial" w:hAnsi="Arial" w:cs="Arial"/>
          <w:bCs/>
          <w:lang w:eastAsia="en-GB"/>
        </w:rPr>
        <w:t xml:space="preserve">”, available at </w:t>
      </w:r>
      <w:hyperlink r:id="rId8" w:history="1">
        <w:r w:rsidRPr="00614B70">
          <w:rPr>
            <w:rStyle w:val="Hyperlink"/>
            <w:rFonts w:ascii="Arial" w:hAnsi="Arial" w:cs="Arial"/>
            <w:bCs/>
            <w:lang w:eastAsia="en-GB"/>
          </w:rPr>
          <w:t>http://www.rebeqi.org/ViewFile.aspx?itemID=212</w:t>
        </w:r>
      </w:hyperlink>
      <w:r>
        <w:rPr>
          <w:rStyle w:val="Hyperlink"/>
          <w:rFonts w:ascii="Arial" w:hAnsi="Arial" w:cs="Arial"/>
          <w:bCs/>
          <w:lang w:eastAsia="en-GB"/>
        </w:rPr>
        <w:t xml:space="preserve"> </w:t>
      </w:r>
      <w:r>
        <w:rPr>
          <w:rFonts w:ascii="Arial" w:hAnsi="Arial" w:cs="Arial"/>
        </w:rPr>
        <w:t>(Accessed 10</w:t>
      </w:r>
      <w:r w:rsidRPr="007F14B1">
        <w:rPr>
          <w:rFonts w:ascii="Arial" w:hAnsi="Arial" w:cs="Arial"/>
          <w:vertAlign w:val="superscript"/>
        </w:rPr>
        <w:t>th</w:t>
      </w:r>
      <w:r>
        <w:rPr>
          <w:rFonts w:ascii="Arial" w:hAnsi="Arial" w:cs="Arial"/>
        </w:rPr>
        <w:t xml:space="preserve"> September 2012). </w:t>
      </w:r>
    </w:p>
    <w:p w:rsidR="0076549D" w:rsidRDefault="0076549D" w:rsidP="0076549D">
      <w:pPr>
        <w:autoSpaceDE w:val="0"/>
        <w:autoSpaceDN w:val="0"/>
        <w:adjustRightInd w:val="0"/>
        <w:spacing w:line="360" w:lineRule="auto"/>
        <w:ind w:left="360"/>
        <w:rPr>
          <w:rFonts w:ascii="Arial" w:hAnsi="Arial" w:cs="Arial"/>
          <w:color w:val="000000"/>
        </w:rPr>
      </w:pPr>
      <w:r w:rsidRPr="00614B70">
        <w:rPr>
          <w:rFonts w:ascii="Arial" w:hAnsi="Arial" w:cs="Arial"/>
          <w:color w:val="000000"/>
        </w:rPr>
        <w:t>Hand, L. and Clewes, D.</w:t>
      </w:r>
      <w:r>
        <w:rPr>
          <w:rFonts w:ascii="Arial" w:hAnsi="Arial" w:cs="Arial"/>
          <w:color w:val="000000"/>
        </w:rPr>
        <w:t>, (2000), “</w:t>
      </w:r>
      <w:r w:rsidRPr="00614B70">
        <w:rPr>
          <w:rFonts w:ascii="Arial" w:hAnsi="Arial" w:cs="Arial"/>
          <w:color w:val="000000"/>
        </w:rPr>
        <w:t>Marking the difference: an investigation of the criteria used for assessing undergraduate dissertations in a business school</w:t>
      </w:r>
      <w:r>
        <w:rPr>
          <w:rFonts w:ascii="Arial" w:hAnsi="Arial" w:cs="Arial"/>
          <w:color w:val="000000"/>
        </w:rPr>
        <w:t>”</w:t>
      </w:r>
      <w:r w:rsidRPr="00614B70">
        <w:rPr>
          <w:rFonts w:ascii="Arial" w:hAnsi="Arial" w:cs="Arial"/>
          <w:color w:val="000000"/>
        </w:rPr>
        <w:t xml:space="preserve">, </w:t>
      </w:r>
      <w:r w:rsidRPr="007F14B1">
        <w:rPr>
          <w:rFonts w:ascii="Arial" w:hAnsi="Arial" w:cs="Arial"/>
          <w:i/>
          <w:color w:val="000000"/>
        </w:rPr>
        <w:t>Assessment and Evaluation in Higher Education</w:t>
      </w:r>
      <w:r w:rsidRPr="00614B70">
        <w:rPr>
          <w:rFonts w:ascii="Arial" w:hAnsi="Arial" w:cs="Arial"/>
          <w:color w:val="000000"/>
        </w:rPr>
        <w:t xml:space="preserve">, </w:t>
      </w:r>
      <w:r>
        <w:rPr>
          <w:rFonts w:ascii="Arial" w:hAnsi="Arial" w:cs="Arial"/>
          <w:color w:val="000000"/>
        </w:rPr>
        <w:t xml:space="preserve">Volume </w:t>
      </w:r>
      <w:r w:rsidRPr="00614B70">
        <w:rPr>
          <w:rFonts w:ascii="Arial" w:hAnsi="Arial" w:cs="Arial"/>
          <w:color w:val="000000"/>
        </w:rPr>
        <w:t>25,</w:t>
      </w:r>
      <w:r>
        <w:rPr>
          <w:rFonts w:ascii="Arial" w:hAnsi="Arial" w:cs="Arial"/>
          <w:color w:val="000000"/>
        </w:rPr>
        <w:t>Issue 1, pp.</w:t>
      </w:r>
      <w:r w:rsidRPr="00614B70">
        <w:rPr>
          <w:rFonts w:ascii="Arial" w:hAnsi="Arial" w:cs="Arial"/>
          <w:color w:val="000000"/>
        </w:rPr>
        <w:t xml:space="preserve"> 5–21.</w:t>
      </w:r>
    </w:p>
    <w:p w:rsidR="0076549D" w:rsidRDefault="0076549D" w:rsidP="0076549D">
      <w:pPr>
        <w:autoSpaceDE w:val="0"/>
        <w:autoSpaceDN w:val="0"/>
        <w:adjustRightInd w:val="0"/>
        <w:spacing w:line="360" w:lineRule="auto"/>
        <w:ind w:left="340"/>
        <w:rPr>
          <w:rFonts w:ascii="Arial" w:eastAsia="MinionPro-Regular" w:hAnsi="Arial" w:cs="Arial"/>
        </w:rPr>
      </w:pPr>
      <w:r w:rsidRPr="00614B70">
        <w:rPr>
          <w:rFonts w:ascii="Arial" w:eastAsia="MinionPro-Regular" w:hAnsi="Arial" w:cs="Arial"/>
        </w:rPr>
        <w:t xml:space="preserve">Illeris, K., (2012), A comprehensive understanding of human learning, </w:t>
      </w:r>
      <w:r>
        <w:rPr>
          <w:rFonts w:ascii="Arial" w:eastAsia="MinionPro-Regular" w:hAnsi="Arial" w:cs="Arial"/>
        </w:rPr>
        <w:t>Illeris K (E</w:t>
      </w:r>
      <w:r w:rsidRPr="00614B70">
        <w:rPr>
          <w:rFonts w:ascii="Arial" w:eastAsia="MinionPro-Regular" w:hAnsi="Arial" w:cs="Arial"/>
        </w:rPr>
        <w:t>d</w:t>
      </w:r>
      <w:r>
        <w:rPr>
          <w:rFonts w:ascii="Arial" w:eastAsia="MinionPro-Regular" w:hAnsi="Arial" w:cs="Arial"/>
        </w:rPr>
        <w:t>.</w:t>
      </w:r>
      <w:r w:rsidRPr="00614B70">
        <w:rPr>
          <w:rFonts w:ascii="Arial" w:eastAsia="MinionPro-Regular" w:hAnsi="Arial" w:cs="Arial"/>
        </w:rPr>
        <w:t>),</w:t>
      </w:r>
      <w:r>
        <w:rPr>
          <w:rFonts w:ascii="Arial" w:eastAsia="MinionPro-Regular" w:hAnsi="Arial" w:cs="Arial"/>
        </w:rPr>
        <w:t xml:space="preserve"> </w:t>
      </w:r>
      <w:r w:rsidRPr="005A758B">
        <w:rPr>
          <w:rFonts w:ascii="Arial" w:eastAsia="MinionPro-Regular" w:hAnsi="Arial" w:cs="Arial"/>
          <w:i/>
        </w:rPr>
        <w:t>Contemporary Theories of Learning</w:t>
      </w:r>
      <w:r>
        <w:rPr>
          <w:rFonts w:ascii="Arial" w:eastAsia="MinionPro-Regular" w:hAnsi="Arial" w:cs="Arial"/>
        </w:rPr>
        <w:t>, Routledge, London, pp.</w:t>
      </w:r>
      <w:r w:rsidRPr="005A758B">
        <w:rPr>
          <w:rFonts w:ascii="Arial" w:eastAsia="MinionPro-Regular" w:hAnsi="Arial" w:cs="Arial"/>
          <w:shd w:val="clear" w:color="auto" w:fill="FFFFFF" w:themeFill="background1"/>
        </w:rPr>
        <w:t>7-21</w:t>
      </w:r>
    </w:p>
    <w:p w:rsidR="0076549D" w:rsidRPr="00EE4667" w:rsidRDefault="0076549D" w:rsidP="0076549D">
      <w:pPr>
        <w:autoSpaceDE w:val="0"/>
        <w:autoSpaceDN w:val="0"/>
        <w:adjustRightInd w:val="0"/>
        <w:spacing w:after="0" w:line="360" w:lineRule="auto"/>
        <w:ind w:firstLine="340"/>
        <w:rPr>
          <w:rFonts w:ascii="Arial" w:hAnsi="Arial" w:cs="Arial"/>
        </w:rPr>
      </w:pPr>
      <w:r>
        <w:rPr>
          <w:rFonts w:ascii="Arial" w:hAnsi="Arial" w:cs="Arial"/>
        </w:rPr>
        <w:t>Johnston, B., Watson, A.,(2004), “</w:t>
      </w:r>
      <w:r w:rsidRPr="00EE4667">
        <w:rPr>
          <w:rFonts w:ascii="Arial" w:hAnsi="Arial" w:cs="Arial"/>
        </w:rPr>
        <w:t>Participation, reflection and integration for business and lifelong for</w:t>
      </w:r>
    </w:p>
    <w:p w:rsidR="0076549D" w:rsidRPr="00EE4667" w:rsidRDefault="0076549D" w:rsidP="0076549D">
      <w:pPr>
        <w:autoSpaceDE w:val="0"/>
        <w:autoSpaceDN w:val="0"/>
        <w:adjustRightInd w:val="0"/>
        <w:spacing w:after="0" w:line="360" w:lineRule="auto"/>
        <w:ind w:firstLine="340"/>
        <w:rPr>
          <w:rFonts w:ascii="Arial" w:hAnsi="Arial" w:cs="Arial"/>
        </w:rPr>
      </w:pPr>
      <w:r w:rsidRPr="00EE4667">
        <w:rPr>
          <w:rFonts w:ascii="Arial" w:hAnsi="Arial" w:cs="Arial"/>
        </w:rPr>
        <w:t>business and lifelong learning: Pedagogical challenges of the integrative studies programme at the</w:t>
      </w:r>
    </w:p>
    <w:p w:rsidR="0076549D" w:rsidRPr="00EE4667" w:rsidRDefault="0076549D" w:rsidP="0076549D">
      <w:pPr>
        <w:autoSpaceDE w:val="0"/>
        <w:autoSpaceDN w:val="0"/>
        <w:adjustRightInd w:val="0"/>
        <w:spacing w:line="360" w:lineRule="auto"/>
        <w:ind w:left="340"/>
        <w:jc w:val="both"/>
        <w:rPr>
          <w:rFonts w:ascii="Arial" w:hAnsi="Arial" w:cs="Arial"/>
        </w:rPr>
      </w:pPr>
      <w:r w:rsidRPr="00EE4667">
        <w:rPr>
          <w:rFonts w:ascii="Arial" w:hAnsi="Arial" w:cs="Arial"/>
        </w:rPr>
        <w:t>University of Strathclyde Business School</w:t>
      </w:r>
      <w:r>
        <w:rPr>
          <w:rFonts w:ascii="Arial" w:hAnsi="Arial" w:cs="Arial"/>
        </w:rPr>
        <w:t xml:space="preserve">”, </w:t>
      </w:r>
      <w:r w:rsidRPr="005A758B">
        <w:rPr>
          <w:rFonts w:ascii="Arial" w:hAnsi="Arial" w:cs="Arial"/>
          <w:i/>
        </w:rPr>
        <w:t>Journal of Workplace Learning</w:t>
      </w:r>
      <w:r w:rsidRPr="00EE4667">
        <w:rPr>
          <w:rFonts w:ascii="Arial" w:hAnsi="Arial" w:cs="Arial"/>
        </w:rPr>
        <w:t xml:space="preserve">, </w:t>
      </w:r>
      <w:r>
        <w:rPr>
          <w:rFonts w:ascii="Arial" w:hAnsi="Arial" w:cs="Arial"/>
        </w:rPr>
        <w:t xml:space="preserve">Volume </w:t>
      </w:r>
      <w:r w:rsidRPr="00EE4667">
        <w:rPr>
          <w:rFonts w:ascii="Arial" w:hAnsi="Arial" w:cs="Arial"/>
        </w:rPr>
        <w:t>16</w:t>
      </w:r>
      <w:r>
        <w:rPr>
          <w:rFonts w:ascii="Arial" w:hAnsi="Arial" w:cs="Arial"/>
        </w:rPr>
        <w:t>, Issue 1-2</w:t>
      </w:r>
      <w:r w:rsidRPr="00EE4667">
        <w:rPr>
          <w:rFonts w:ascii="Arial" w:hAnsi="Arial" w:cs="Arial"/>
        </w:rPr>
        <w:t>, pp. 53-63.</w:t>
      </w:r>
    </w:p>
    <w:p w:rsidR="0076549D" w:rsidRDefault="0076549D" w:rsidP="0076549D">
      <w:pPr>
        <w:autoSpaceDE w:val="0"/>
        <w:autoSpaceDN w:val="0"/>
        <w:adjustRightInd w:val="0"/>
        <w:spacing w:line="360" w:lineRule="auto"/>
        <w:ind w:left="340"/>
        <w:jc w:val="both"/>
        <w:rPr>
          <w:rFonts w:ascii="Arial" w:hAnsi="Arial" w:cs="Arial"/>
          <w:lang w:val="en-US"/>
        </w:rPr>
      </w:pPr>
      <w:r w:rsidRPr="00614B70">
        <w:rPr>
          <w:rFonts w:ascii="Arial" w:hAnsi="Arial" w:cs="Arial"/>
          <w:lang w:val="en-US"/>
        </w:rPr>
        <w:t>Kahneman</w:t>
      </w:r>
      <w:r>
        <w:rPr>
          <w:rFonts w:ascii="Arial" w:hAnsi="Arial" w:cs="Arial"/>
          <w:lang w:val="en-US"/>
        </w:rPr>
        <w:t>, D.,</w:t>
      </w:r>
      <w:r w:rsidRPr="00614B70">
        <w:rPr>
          <w:rFonts w:ascii="Arial" w:hAnsi="Arial" w:cs="Arial"/>
          <w:lang w:val="en-US"/>
        </w:rPr>
        <w:t xml:space="preserve"> (2011)</w:t>
      </w:r>
      <w:r>
        <w:rPr>
          <w:rFonts w:ascii="Arial" w:hAnsi="Arial" w:cs="Arial"/>
          <w:lang w:val="en-US"/>
        </w:rPr>
        <w:t xml:space="preserve">, </w:t>
      </w:r>
      <w:r w:rsidRPr="005A758B">
        <w:rPr>
          <w:rFonts w:ascii="Arial" w:hAnsi="Arial" w:cs="Arial"/>
          <w:i/>
          <w:lang w:val="en-US"/>
        </w:rPr>
        <w:t>Thinking Fast, Thinking Slow</w:t>
      </w:r>
      <w:r>
        <w:rPr>
          <w:rFonts w:ascii="Arial" w:hAnsi="Arial" w:cs="Arial"/>
          <w:i/>
          <w:lang w:val="en-US"/>
        </w:rPr>
        <w:t xml:space="preserve">, </w:t>
      </w:r>
      <w:r>
        <w:rPr>
          <w:rFonts w:ascii="Arial" w:hAnsi="Arial" w:cs="Arial"/>
          <w:lang w:val="en-US"/>
        </w:rPr>
        <w:t xml:space="preserve"> Penguin, London.</w:t>
      </w:r>
    </w:p>
    <w:p w:rsidR="0076549D" w:rsidRDefault="0076549D" w:rsidP="0076549D">
      <w:pPr>
        <w:autoSpaceDE w:val="0"/>
        <w:autoSpaceDN w:val="0"/>
        <w:adjustRightInd w:val="0"/>
        <w:spacing w:line="360" w:lineRule="auto"/>
        <w:ind w:left="340"/>
        <w:jc w:val="both"/>
        <w:rPr>
          <w:rFonts w:ascii="Arial" w:hAnsi="Arial" w:cs="Arial"/>
          <w:lang w:val="en-US"/>
        </w:rPr>
      </w:pPr>
      <w:r>
        <w:rPr>
          <w:rFonts w:ascii="Arial" w:hAnsi="Arial" w:cs="Arial"/>
          <w:lang w:val="en-US"/>
        </w:rPr>
        <w:t xml:space="preserve">Kim, N.S., (2018), </w:t>
      </w:r>
      <w:r w:rsidRPr="000F7CE8">
        <w:rPr>
          <w:rFonts w:ascii="Arial" w:hAnsi="Arial" w:cs="Arial"/>
          <w:i/>
          <w:lang w:val="en-US"/>
        </w:rPr>
        <w:t>Judgement and decision-making in the lab and the world</w:t>
      </w:r>
      <w:r>
        <w:rPr>
          <w:rFonts w:ascii="Arial" w:hAnsi="Arial" w:cs="Arial"/>
          <w:lang w:val="en-US"/>
        </w:rPr>
        <w:t>, Palgrave: London.</w:t>
      </w:r>
    </w:p>
    <w:p w:rsidR="0076549D" w:rsidRDefault="0076549D" w:rsidP="0076549D">
      <w:pPr>
        <w:autoSpaceDE w:val="0"/>
        <w:autoSpaceDN w:val="0"/>
        <w:adjustRightInd w:val="0"/>
        <w:spacing w:line="360" w:lineRule="auto"/>
        <w:ind w:left="340"/>
        <w:jc w:val="both"/>
        <w:rPr>
          <w:rFonts w:ascii="Arial" w:hAnsi="Arial" w:cs="Arial"/>
        </w:rPr>
      </w:pPr>
      <w:r>
        <w:rPr>
          <w:rFonts w:ascii="Arial" w:hAnsi="Arial" w:cs="Arial"/>
        </w:rPr>
        <w:t>Kline, P</w:t>
      </w:r>
      <w:r w:rsidRPr="00614B70">
        <w:rPr>
          <w:rFonts w:ascii="Arial" w:hAnsi="Arial" w:cs="Arial"/>
        </w:rPr>
        <w:t>.</w:t>
      </w:r>
      <w:r>
        <w:rPr>
          <w:rFonts w:ascii="Arial" w:hAnsi="Arial" w:cs="Arial"/>
        </w:rPr>
        <w:t>,(</w:t>
      </w:r>
      <w:r w:rsidRPr="00614B70">
        <w:rPr>
          <w:rFonts w:ascii="Arial" w:hAnsi="Arial" w:cs="Arial"/>
        </w:rPr>
        <w:t>2008</w:t>
      </w:r>
      <w:r>
        <w:rPr>
          <w:rFonts w:ascii="Arial" w:hAnsi="Arial" w:cs="Arial"/>
        </w:rPr>
        <w:t>),</w:t>
      </w:r>
      <w:r w:rsidRPr="005A758B">
        <w:rPr>
          <w:rFonts w:ascii="Arial" w:hAnsi="Arial" w:cs="Arial"/>
          <w:i/>
        </w:rPr>
        <w:t xml:space="preserve"> An Easy Guide to Factor Analysis</w:t>
      </w:r>
      <w:r>
        <w:rPr>
          <w:rFonts w:ascii="Arial" w:hAnsi="Arial" w:cs="Arial"/>
        </w:rPr>
        <w:t>, Routledge,  Hove.</w:t>
      </w:r>
    </w:p>
    <w:p w:rsidR="0076549D" w:rsidRDefault="0076549D" w:rsidP="0076549D">
      <w:pPr>
        <w:spacing w:line="360" w:lineRule="auto"/>
        <w:ind w:left="340"/>
        <w:jc w:val="both"/>
        <w:rPr>
          <w:rFonts w:ascii="Arial" w:hAnsi="Arial" w:cs="Arial"/>
        </w:rPr>
      </w:pPr>
      <w:r w:rsidRPr="00614B70">
        <w:rPr>
          <w:rStyle w:val="dohl"/>
          <w:rFonts w:ascii="Arial" w:hAnsi="Arial" w:cs="Arial"/>
        </w:rPr>
        <w:t>Kraft, P.R.</w:t>
      </w:r>
      <w:r>
        <w:rPr>
          <w:rStyle w:val="dohl"/>
          <w:rFonts w:ascii="Arial" w:hAnsi="Arial" w:cs="Arial"/>
        </w:rPr>
        <w:t xml:space="preserve">, </w:t>
      </w:r>
      <w:r w:rsidRPr="00614B70">
        <w:rPr>
          <w:rStyle w:val="dohl"/>
          <w:rFonts w:ascii="Arial" w:hAnsi="Arial" w:cs="Arial"/>
        </w:rPr>
        <w:t>Jostein</w:t>
      </w:r>
      <w:r>
        <w:rPr>
          <w:rStyle w:val="dohl"/>
          <w:rFonts w:ascii="Arial" w:hAnsi="Arial" w:cs="Arial"/>
        </w:rPr>
        <w:t xml:space="preserve"> S.</w:t>
      </w:r>
      <w:r w:rsidRPr="00614B70">
        <w:rPr>
          <w:rStyle w:val="dohl"/>
          <w:rFonts w:ascii="Arial" w:hAnsi="Arial" w:cs="Arial"/>
        </w:rPr>
        <w:t xml:space="preserve"> and Stephen-Røysamb</w:t>
      </w:r>
      <w:r>
        <w:rPr>
          <w:rStyle w:val="dohl"/>
          <w:rFonts w:ascii="Arial" w:hAnsi="Arial" w:cs="Arial"/>
        </w:rPr>
        <w:t>, E.,(</w:t>
      </w:r>
      <w:r w:rsidRPr="00614B70">
        <w:rPr>
          <w:rStyle w:val="dohl"/>
          <w:rFonts w:ascii="Arial" w:hAnsi="Arial" w:cs="Arial"/>
        </w:rPr>
        <w:t>2005</w:t>
      </w:r>
      <w:r>
        <w:rPr>
          <w:rStyle w:val="dohl"/>
          <w:rFonts w:ascii="Arial" w:hAnsi="Arial" w:cs="Arial"/>
        </w:rPr>
        <w:t>), “</w:t>
      </w:r>
      <w:r w:rsidRPr="00614B70">
        <w:rPr>
          <w:rStyle w:val="dohl"/>
          <w:rFonts w:ascii="Arial" w:hAnsi="Arial" w:cs="Arial"/>
          <w:bCs/>
        </w:rPr>
        <w:t>Perceived difficulty in the theory of planned behaviour: Perceived behavioural control or affective attitude?</w:t>
      </w:r>
      <w:r>
        <w:rPr>
          <w:rStyle w:val="dohl"/>
          <w:rFonts w:ascii="Arial" w:hAnsi="Arial" w:cs="Arial"/>
          <w:bCs/>
        </w:rPr>
        <w:t>”,</w:t>
      </w:r>
      <w:r w:rsidRPr="00614B70">
        <w:rPr>
          <w:rStyle w:val="dohl"/>
          <w:rFonts w:ascii="Arial" w:hAnsi="Arial" w:cs="Arial"/>
          <w:bCs/>
        </w:rPr>
        <w:t xml:space="preserve"> </w:t>
      </w:r>
      <w:r w:rsidRPr="00614B70">
        <w:rPr>
          <w:rStyle w:val="dohl"/>
          <w:rFonts w:ascii="Arial" w:hAnsi="Arial" w:cs="Arial"/>
          <w:bCs/>
          <w:i/>
        </w:rPr>
        <w:t>British Journal of Social Psychology</w:t>
      </w:r>
      <w:r w:rsidRPr="00614B70">
        <w:rPr>
          <w:rStyle w:val="dohl"/>
          <w:rFonts w:ascii="Arial" w:hAnsi="Arial" w:cs="Arial"/>
          <w:bCs/>
        </w:rPr>
        <w:t xml:space="preserve">, </w:t>
      </w:r>
      <w:r>
        <w:rPr>
          <w:rStyle w:val="dohl"/>
          <w:rFonts w:ascii="Arial" w:hAnsi="Arial" w:cs="Arial"/>
          <w:bCs/>
        </w:rPr>
        <w:t xml:space="preserve">Volume </w:t>
      </w:r>
      <w:r w:rsidRPr="00614B70">
        <w:rPr>
          <w:rFonts w:ascii="Arial" w:hAnsi="Arial" w:cs="Arial"/>
        </w:rPr>
        <w:t>44</w:t>
      </w:r>
      <w:r>
        <w:rPr>
          <w:rFonts w:ascii="Arial" w:hAnsi="Arial" w:cs="Arial"/>
        </w:rPr>
        <w:t>, Issue 3, pp.</w:t>
      </w:r>
      <w:r w:rsidRPr="00614B70">
        <w:rPr>
          <w:rFonts w:ascii="Arial" w:hAnsi="Arial" w:cs="Arial"/>
        </w:rPr>
        <w:t>479-496</w:t>
      </w:r>
    </w:p>
    <w:p w:rsidR="0076549D" w:rsidRDefault="0076549D" w:rsidP="0076549D">
      <w:pPr>
        <w:autoSpaceDE w:val="0"/>
        <w:autoSpaceDN w:val="0"/>
        <w:adjustRightInd w:val="0"/>
        <w:spacing w:line="360" w:lineRule="auto"/>
        <w:ind w:left="340"/>
        <w:jc w:val="both"/>
        <w:rPr>
          <w:rFonts w:ascii="Arial" w:hAnsi="Arial" w:cs="Arial"/>
          <w:lang w:val="en-US"/>
        </w:rPr>
      </w:pPr>
      <w:r w:rsidRPr="00614B70">
        <w:rPr>
          <w:rFonts w:ascii="Arial" w:hAnsi="Arial" w:cs="Arial"/>
          <w:lang w:val="en-US"/>
        </w:rPr>
        <w:t xml:space="preserve">Ljundberg, M.K., Douglas, E., McNeill, N., Therriault, D. and Malcom, Z., (2013), </w:t>
      </w:r>
      <w:r>
        <w:rPr>
          <w:rFonts w:ascii="Arial" w:hAnsi="Arial" w:cs="Arial"/>
          <w:lang w:val="en-US"/>
        </w:rPr>
        <w:t>“</w:t>
      </w:r>
      <w:r w:rsidRPr="00614B70">
        <w:rPr>
          <w:rFonts w:ascii="Arial" w:hAnsi="Arial" w:cs="Arial"/>
          <w:lang w:val="en-US"/>
        </w:rPr>
        <w:t>Re-conceptualizing and de-centering think-aloud methodology in qualitative research</w:t>
      </w:r>
      <w:r>
        <w:rPr>
          <w:rFonts w:ascii="Arial" w:hAnsi="Arial" w:cs="Arial"/>
          <w:lang w:val="en-US"/>
        </w:rPr>
        <w:t>”</w:t>
      </w:r>
      <w:r w:rsidRPr="00614B70">
        <w:rPr>
          <w:rFonts w:ascii="Arial" w:hAnsi="Arial" w:cs="Arial"/>
          <w:lang w:val="en-US"/>
        </w:rPr>
        <w:t xml:space="preserve">, </w:t>
      </w:r>
      <w:r w:rsidRPr="005A758B">
        <w:rPr>
          <w:rFonts w:ascii="Arial" w:hAnsi="Arial" w:cs="Arial"/>
          <w:i/>
          <w:lang w:val="en-US"/>
        </w:rPr>
        <w:t>Qualitative Research</w:t>
      </w:r>
      <w:r>
        <w:rPr>
          <w:rFonts w:ascii="Arial" w:hAnsi="Arial" w:cs="Arial"/>
          <w:lang w:val="en-US"/>
        </w:rPr>
        <w:t>, doi: 10.1177/1468794112455040 (Accessed 3rd February 2017)</w:t>
      </w:r>
    </w:p>
    <w:p w:rsidR="0076549D" w:rsidRDefault="0076549D" w:rsidP="0076549D">
      <w:pPr>
        <w:autoSpaceDE w:val="0"/>
        <w:autoSpaceDN w:val="0"/>
        <w:adjustRightInd w:val="0"/>
        <w:spacing w:line="360" w:lineRule="auto"/>
        <w:ind w:left="360"/>
        <w:jc w:val="both"/>
        <w:rPr>
          <w:rFonts w:ascii="Arial" w:hAnsi="Arial" w:cs="Arial"/>
          <w:lang w:val="en-US"/>
        </w:rPr>
      </w:pPr>
      <w:r>
        <w:rPr>
          <w:rFonts w:ascii="Arial" w:hAnsi="Arial" w:cs="Arial"/>
          <w:lang w:val="en-US"/>
        </w:rPr>
        <w:t xml:space="preserve">Olsen, J.P., (2007), </w:t>
      </w:r>
      <w:r w:rsidRPr="00614B70">
        <w:rPr>
          <w:rFonts w:ascii="Arial" w:hAnsi="Arial" w:cs="Arial"/>
          <w:lang w:val="en-US"/>
        </w:rPr>
        <w:t>The Institutional Dyna</w:t>
      </w:r>
      <w:r>
        <w:rPr>
          <w:rFonts w:ascii="Arial" w:hAnsi="Arial" w:cs="Arial"/>
          <w:lang w:val="en-US"/>
        </w:rPr>
        <w:t>mics of the European University</w:t>
      </w:r>
      <w:r w:rsidRPr="00614B70">
        <w:rPr>
          <w:rFonts w:ascii="Arial" w:hAnsi="Arial" w:cs="Arial"/>
          <w:lang w:val="en-US"/>
        </w:rPr>
        <w:t>, Maassen</w:t>
      </w:r>
      <w:r>
        <w:rPr>
          <w:rFonts w:ascii="Arial" w:hAnsi="Arial" w:cs="Arial"/>
          <w:lang w:val="en-US"/>
        </w:rPr>
        <w:t xml:space="preserve"> P. and Olsen, J.P. (E</w:t>
      </w:r>
      <w:r w:rsidRPr="00A5373F">
        <w:rPr>
          <w:rFonts w:ascii="Arial" w:hAnsi="Arial" w:cs="Arial"/>
          <w:lang w:val="en-US"/>
        </w:rPr>
        <w:t>ds</w:t>
      </w:r>
      <w:r>
        <w:rPr>
          <w:rFonts w:ascii="Arial" w:hAnsi="Arial" w:cs="Arial"/>
          <w:lang w:val="en-US"/>
        </w:rPr>
        <w:t xml:space="preserve">.), </w:t>
      </w:r>
      <w:r w:rsidRPr="005A758B">
        <w:rPr>
          <w:rFonts w:ascii="Arial" w:hAnsi="Arial" w:cs="Arial"/>
          <w:i/>
          <w:lang w:val="en-US"/>
        </w:rPr>
        <w:t>University Dynamics and European Integration</w:t>
      </w:r>
      <w:r>
        <w:rPr>
          <w:rFonts w:ascii="Arial" w:hAnsi="Arial" w:cs="Arial"/>
          <w:lang w:val="en-US"/>
        </w:rPr>
        <w:t>, Springer, Dordrecht, pp.25-54.</w:t>
      </w:r>
    </w:p>
    <w:p w:rsidR="0076549D" w:rsidRDefault="0076549D" w:rsidP="0076549D">
      <w:pPr>
        <w:autoSpaceDE w:val="0"/>
        <w:autoSpaceDN w:val="0"/>
        <w:adjustRightInd w:val="0"/>
        <w:spacing w:line="360" w:lineRule="auto"/>
        <w:ind w:left="340"/>
        <w:jc w:val="both"/>
        <w:rPr>
          <w:rFonts w:ascii="Arial" w:hAnsi="Arial" w:cs="Arial"/>
          <w:lang w:val="en-US"/>
        </w:rPr>
      </w:pPr>
      <w:r w:rsidRPr="00614B70">
        <w:rPr>
          <w:rFonts w:ascii="Arial" w:hAnsi="Arial" w:cs="Arial"/>
          <w:lang w:val="en-US"/>
        </w:rPr>
        <w:t>Onwuegbuzie, A. J., Leech, N. L., &amp; Collins, K. M.</w:t>
      </w:r>
      <w:r>
        <w:rPr>
          <w:rFonts w:ascii="Arial" w:hAnsi="Arial" w:cs="Arial"/>
          <w:lang w:val="en-US"/>
        </w:rPr>
        <w:t>, (2010),”</w:t>
      </w:r>
      <w:r w:rsidRPr="005A758B">
        <w:rPr>
          <w:rFonts w:ascii="Arial" w:hAnsi="Arial" w:cs="Arial"/>
          <w:lang w:val="en-US"/>
        </w:rPr>
        <w:t>Innovative Data Collection Strategies in Qualitative Research</w:t>
      </w:r>
      <w:r>
        <w:rPr>
          <w:rFonts w:ascii="Arial" w:hAnsi="Arial" w:cs="Arial"/>
          <w:lang w:val="en-US"/>
        </w:rPr>
        <w:t xml:space="preserve">”, </w:t>
      </w:r>
      <w:r w:rsidRPr="005A758B">
        <w:rPr>
          <w:rFonts w:ascii="Arial" w:hAnsi="Arial" w:cs="Arial"/>
          <w:i/>
          <w:lang w:val="en-US"/>
        </w:rPr>
        <w:t>The Qualitative Report</w:t>
      </w:r>
      <w:r w:rsidRPr="00614B70">
        <w:rPr>
          <w:rFonts w:ascii="Arial" w:hAnsi="Arial" w:cs="Arial"/>
          <w:lang w:val="en-US"/>
        </w:rPr>
        <w:t>,</w:t>
      </w:r>
      <w:r>
        <w:rPr>
          <w:rFonts w:ascii="Arial" w:hAnsi="Arial" w:cs="Arial"/>
          <w:lang w:val="en-US"/>
        </w:rPr>
        <w:t xml:space="preserve"> Volume </w:t>
      </w:r>
      <w:r w:rsidRPr="00614B70">
        <w:rPr>
          <w:rFonts w:ascii="Arial" w:hAnsi="Arial" w:cs="Arial"/>
          <w:lang w:val="en-US"/>
        </w:rPr>
        <w:t>15</w:t>
      </w:r>
      <w:r>
        <w:rPr>
          <w:rFonts w:ascii="Arial" w:hAnsi="Arial" w:cs="Arial"/>
          <w:lang w:val="en-US"/>
        </w:rPr>
        <w:t>, Issue 3</w:t>
      </w:r>
      <w:r w:rsidRPr="00614B70">
        <w:rPr>
          <w:rFonts w:ascii="Arial" w:hAnsi="Arial" w:cs="Arial"/>
          <w:lang w:val="en-US"/>
        </w:rPr>
        <w:t>,</w:t>
      </w:r>
      <w:r>
        <w:rPr>
          <w:rFonts w:ascii="Arial" w:hAnsi="Arial" w:cs="Arial"/>
          <w:lang w:val="en-US"/>
        </w:rPr>
        <w:t>pp.</w:t>
      </w:r>
      <w:r w:rsidRPr="00614B70">
        <w:rPr>
          <w:rFonts w:ascii="Arial" w:hAnsi="Arial" w:cs="Arial"/>
          <w:lang w:val="en-US"/>
        </w:rPr>
        <w:t xml:space="preserve"> 696-726. </w:t>
      </w:r>
    </w:p>
    <w:p w:rsidR="0076549D" w:rsidRDefault="0076549D" w:rsidP="0076549D">
      <w:pPr>
        <w:autoSpaceDE w:val="0"/>
        <w:autoSpaceDN w:val="0"/>
        <w:adjustRightInd w:val="0"/>
        <w:spacing w:line="360" w:lineRule="auto"/>
        <w:ind w:left="340"/>
        <w:jc w:val="both"/>
        <w:rPr>
          <w:rFonts w:ascii="Arial" w:hAnsi="Arial" w:cs="Arial"/>
          <w:lang w:val="en-US"/>
        </w:rPr>
      </w:pPr>
      <w:r w:rsidRPr="00614B70">
        <w:rPr>
          <w:rFonts w:ascii="Arial" w:hAnsi="Arial" w:cs="Arial"/>
          <w:lang w:val="en-US"/>
        </w:rPr>
        <w:t xml:space="preserve">Sadler, D.R., (2009), </w:t>
      </w:r>
      <w:r>
        <w:rPr>
          <w:rFonts w:ascii="Arial" w:hAnsi="Arial" w:cs="Arial"/>
          <w:lang w:val="en-US"/>
        </w:rPr>
        <w:t>“</w:t>
      </w:r>
      <w:r w:rsidRPr="00614B70">
        <w:rPr>
          <w:rFonts w:ascii="Arial" w:hAnsi="Arial" w:cs="Arial"/>
          <w:lang w:val="en-US"/>
        </w:rPr>
        <w:t>Grade integrity and the representation of academic achievement</w:t>
      </w:r>
      <w:r>
        <w:rPr>
          <w:rFonts w:ascii="Arial" w:hAnsi="Arial" w:cs="Arial"/>
          <w:lang w:val="en-US"/>
        </w:rPr>
        <w:t>”</w:t>
      </w:r>
      <w:r w:rsidRPr="00614B70">
        <w:rPr>
          <w:rFonts w:ascii="Arial" w:hAnsi="Arial" w:cs="Arial"/>
          <w:lang w:val="en-US"/>
        </w:rPr>
        <w:t xml:space="preserve">, </w:t>
      </w:r>
      <w:r w:rsidRPr="00D20D6B">
        <w:rPr>
          <w:rFonts w:ascii="Arial" w:hAnsi="Arial" w:cs="Arial"/>
          <w:i/>
          <w:lang w:val="en-US"/>
        </w:rPr>
        <w:t>Studies in Higher Education</w:t>
      </w:r>
      <w:r w:rsidRPr="00614B70">
        <w:rPr>
          <w:rFonts w:ascii="Arial" w:hAnsi="Arial" w:cs="Arial"/>
          <w:lang w:val="en-US"/>
        </w:rPr>
        <w:t>,</w:t>
      </w:r>
      <w:r>
        <w:rPr>
          <w:rFonts w:ascii="Arial" w:hAnsi="Arial" w:cs="Arial"/>
          <w:lang w:val="en-US"/>
        </w:rPr>
        <w:t xml:space="preserve"> </w:t>
      </w:r>
      <w:r w:rsidRPr="00614B70">
        <w:rPr>
          <w:rFonts w:ascii="Arial" w:hAnsi="Arial" w:cs="Arial"/>
          <w:lang w:val="en-US"/>
        </w:rPr>
        <w:t>Vol</w:t>
      </w:r>
      <w:r>
        <w:rPr>
          <w:rFonts w:ascii="Arial" w:hAnsi="Arial" w:cs="Arial"/>
          <w:lang w:val="en-US"/>
        </w:rPr>
        <w:t>ume. 34, Issue</w:t>
      </w:r>
      <w:r w:rsidRPr="00614B70">
        <w:rPr>
          <w:rFonts w:ascii="Arial" w:hAnsi="Arial" w:cs="Arial"/>
          <w:lang w:val="en-US"/>
        </w:rPr>
        <w:t xml:space="preserve"> 7, </w:t>
      </w:r>
      <w:r>
        <w:rPr>
          <w:rFonts w:ascii="Arial" w:hAnsi="Arial" w:cs="Arial"/>
          <w:lang w:val="en-US"/>
        </w:rPr>
        <w:t xml:space="preserve">pp. </w:t>
      </w:r>
      <w:r w:rsidRPr="00614B70">
        <w:rPr>
          <w:rFonts w:ascii="Arial" w:hAnsi="Arial" w:cs="Arial"/>
          <w:lang w:val="en-US"/>
        </w:rPr>
        <w:t>807–826</w:t>
      </w:r>
    </w:p>
    <w:p w:rsidR="0076549D" w:rsidRDefault="0076549D" w:rsidP="0076549D">
      <w:pPr>
        <w:autoSpaceDE w:val="0"/>
        <w:autoSpaceDN w:val="0"/>
        <w:adjustRightInd w:val="0"/>
        <w:spacing w:line="360" w:lineRule="auto"/>
        <w:ind w:left="340"/>
        <w:jc w:val="both"/>
        <w:rPr>
          <w:rFonts w:ascii="Arial" w:hAnsi="Arial" w:cs="Arial"/>
          <w:lang w:val="en-US"/>
        </w:rPr>
      </w:pPr>
      <w:r w:rsidRPr="00797F54">
        <w:rPr>
          <w:rFonts w:ascii="Arial" w:hAnsi="Arial" w:cs="Arial"/>
          <w:lang w:val="en-US"/>
        </w:rPr>
        <w:t xml:space="preserve">Sparks, </w:t>
      </w:r>
      <w:r>
        <w:rPr>
          <w:rFonts w:ascii="Arial" w:hAnsi="Arial" w:cs="Arial"/>
          <w:lang w:val="en-US"/>
        </w:rPr>
        <w:t>B. (</w:t>
      </w:r>
      <w:r w:rsidRPr="00797F54">
        <w:rPr>
          <w:rFonts w:ascii="Arial" w:hAnsi="Arial" w:cs="Arial"/>
          <w:lang w:val="en-US"/>
        </w:rPr>
        <w:t>2007</w:t>
      </w:r>
      <w:r>
        <w:rPr>
          <w:rFonts w:ascii="Arial" w:hAnsi="Arial" w:cs="Arial"/>
          <w:lang w:val="en-US"/>
        </w:rPr>
        <w:t>), “</w:t>
      </w:r>
      <w:r w:rsidRPr="00797F54">
        <w:rPr>
          <w:rFonts w:ascii="Arial" w:hAnsi="Arial" w:cs="Arial"/>
          <w:lang w:val="en-US"/>
        </w:rPr>
        <w:t>Planning a wine tourism vacation? Factors that help predict</w:t>
      </w:r>
      <w:r>
        <w:rPr>
          <w:rFonts w:ascii="Arial" w:hAnsi="Arial" w:cs="Arial"/>
          <w:lang w:val="en-US"/>
        </w:rPr>
        <w:t xml:space="preserve"> tourist behavioural intentions”,</w:t>
      </w:r>
      <w:r w:rsidRPr="000F7CE8">
        <w:rPr>
          <w:rFonts w:ascii="Arial" w:hAnsi="Arial" w:cs="Arial"/>
          <w:i/>
          <w:lang w:val="en-US"/>
        </w:rPr>
        <w:t>Tourism Management</w:t>
      </w:r>
      <w:r w:rsidRPr="00797F54">
        <w:rPr>
          <w:rFonts w:ascii="Arial" w:hAnsi="Arial" w:cs="Arial"/>
          <w:lang w:val="en-US"/>
        </w:rPr>
        <w:t>, 28 (5) (2007), pp. 1180-1192</w:t>
      </w:r>
    </w:p>
    <w:p w:rsidR="0076549D" w:rsidRDefault="0076549D" w:rsidP="0076549D">
      <w:pPr>
        <w:spacing w:line="360" w:lineRule="auto"/>
        <w:ind w:left="340"/>
        <w:jc w:val="both"/>
        <w:rPr>
          <w:rStyle w:val="dohl"/>
          <w:rFonts w:ascii="Arial" w:hAnsi="Arial" w:cs="Arial"/>
          <w:bCs/>
        </w:rPr>
      </w:pPr>
      <w:r w:rsidRPr="00614B70">
        <w:rPr>
          <w:rStyle w:val="dohl"/>
          <w:rFonts w:ascii="Arial" w:hAnsi="Arial" w:cs="Arial"/>
          <w:bCs/>
        </w:rPr>
        <w:lastRenderedPageBreak/>
        <w:t>Shul</w:t>
      </w:r>
      <w:r>
        <w:rPr>
          <w:rStyle w:val="dohl"/>
          <w:rFonts w:ascii="Arial" w:hAnsi="Arial" w:cs="Arial"/>
          <w:bCs/>
        </w:rPr>
        <w:t>ruf, B., Hattie J. and Dixon, R.,(</w:t>
      </w:r>
      <w:r w:rsidRPr="00614B70">
        <w:rPr>
          <w:rStyle w:val="dohl"/>
          <w:rFonts w:ascii="Arial" w:hAnsi="Arial" w:cs="Arial"/>
          <w:bCs/>
        </w:rPr>
        <w:t>2008</w:t>
      </w:r>
      <w:r>
        <w:rPr>
          <w:rStyle w:val="dohl"/>
          <w:rFonts w:ascii="Arial" w:hAnsi="Arial" w:cs="Arial"/>
          <w:bCs/>
        </w:rPr>
        <w:t>),</w:t>
      </w:r>
      <w:r w:rsidRPr="00614B70">
        <w:rPr>
          <w:rStyle w:val="dohl"/>
          <w:rFonts w:ascii="Arial" w:hAnsi="Arial" w:cs="Arial"/>
          <w:bCs/>
        </w:rPr>
        <w:t xml:space="preserve"> Factors affecting responses to Likert Type questionnaires: Introduction of the Im</w:t>
      </w:r>
      <w:r>
        <w:rPr>
          <w:rStyle w:val="dohl"/>
          <w:rFonts w:ascii="Arial" w:hAnsi="Arial" w:cs="Arial"/>
          <w:bCs/>
        </w:rPr>
        <w:t>pExp, a new comprehensive model,</w:t>
      </w:r>
      <w:r w:rsidRPr="00614B70">
        <w:rPr>
          <w:rStyle w:val="dohl"/>
          <w:rFonts w:ascii="Arial" w:hAnsi="Arial" w:cs="Arial"/>
          <w:bCs/>
        </w:rPr>
        <w:t xml:space="preserve"> </w:t>
      </w:r>
      <w:r w:rsidRPr="00614B70">
        <w:rPr>
          <w:rStyle w:val="dohl"/>
          <w:rFonts w:ascii="Arial" w:hAnsi="Arial" w:cs="Arial"/>
          <w:bCs/>
          <w:i/>
        </w:rPr>
        <w:t>Soc. Psychol Educ</w:t>
      </w:r>
      <w:r w:rsidRPr="00614B70">
        <w:rPr>
          <w:rStyle w:val="dohl"/>
          <w:rFonts w:ascii="Arial" w:hAnsi="Arial" w:cs="Arial"/>
          <w:bCs/>
        </w:rPr>
        <w:t xml:space="preserve">, </w:t>
      </w:r>
      <w:r>
        <w:rPr>
          <w:rStyle w:val="dohl"/>
          <w:rFonts w:ascii="Arial" w:hAnsi="Arial" w:cs="Arial"/>
          <w:bCs/>
        </w:rPr>
        <w:t xml:space="preserve">Volume </w:t>
      </w:r>
      <w:r w:rsidRPr="00614B70">
        <w:rPr>
          <w:rStyle w:val="dohl"/>
          <w:rFonts w:ascii="Arial" w:hAnsi="Arial" w:cs="Arial"/>
          <w:bCs/>
        </w:rPr>
        <w:t>11</w:t>
      </w:r>
      <w:r>
        <w:rPr>
          <w:rStyle w:val="dohl"/>
          <w:rFonts w:ascii="Arial" w:hAnsi="Arial" w:cs="Arial"/>
          <w:bCs/>
        </w:rPr>
        <w:t>, Issue 1, pp.</w:t>
      </w:r>
      <w:r w:rsidRPr="00614B70">
        <w:rPr>
          <w:rStyle w:val="dohl"/>
          <w:rFonts w:ascii="Arial" w:hAnsi="Arial" w:cs="Arial"/>
          <w:bCs/>
        </w:rPr>
        <w:t>59-78</w:t>
      </w:r>
    </w:p>
    <w:p w:rsidR="0076549D" w:rsidRPr="00614B70" w:rsidRDefault="0076549D" w:rsidP="0076549D">
      <w:pPr>
        <w:spacing w:line="360" w:lineRule="auto"/>
        <w:ind w:left="340"/>
        <w:jc w:val="both"/>
        <w:rPr>
          <w:rFonts w:ascii="Arial" w:hAnsi="Arial" w:cs="Arial"/>
        </w:rPr>
      </w:pPr>
      <w:r w:rsidRPr="00614B70">
        <w:rPr>
          <w:rFonts w:ascii="Arial" w:hAnsi="Arial" w:cs="Arial"/>
        </w:rPr>
        <w:t>Williams J.</w:t>
      </w:r>
      <w:r>
        <w:rPr>
          <w:rFonts w:ascii="Arial" w:hAnsi="Arial" w:cs="Arial"/>
        </w:rPr>
        <w:t>,(2008),”</w:t>
      </w:r>
      <w:r w:rsidRPr="00614B70">
        <w:rPr>
          <w:rFonts w:ascii="Arial" w:hAnsi="Arial" w:cs="Arial"/>
        </w:rPr>
        <w:t>Constructing social inclusion through further education –</w:t>
      </w:r>
      <w:r>
        <w:rPr>
          <w:rFonts w:ascii="Arial" w:hAnsi="Arial" w:cs="Arial"/>
        </w:rPr>
        <w:t xml:space="preserve"> the dangers of instrumentalism”, J</w:t>
      </w:r>
      <w:r w:rsidRPr="00614B70">
        <w:rPr>
          <w:rFonts w:ascii="Arial" w:hAnsi="Arial" w:cs="Arial"/>
          <w:i/>
        </w:rPr>
        <w:t>ournal of Further and Higher Education</w:t>
      </w:r>
      <w:r w:rsidRPr="00614B70">
        <w:rPr>
          <w:rFonts w:ascii="Arial" w:hAnsi="Arial" w:cs="Arial"/>
        </w:rPr>
        <w:t xml:space="preserve">, </w:t>
      </w:r>
      <w:r>
        <w:rPr>
          <w:rFonts w:ascii="Arial" w:hAnsi="Arial" w:cs="Arial"/>
        </w:rPr>
        <w:t xml:space="preserve">Volume </w:t>
      </w:r>
      <w:r w:rsidRPr="00614B70">
        <w:rPr>
          <w:rFonts w:ascii="Arial" w:hAnsi="Arial" w:cs="Arial"/>
        </w:rPr>
        <w:t>32,</w:t>
      </w:r>
      <w:r>
        <w:rPr>
          <w:rFonts w:ascii="Arial" w:hAnsi="Arial" w:cs="Arial"/>
        </w:rPr>
        <w:t>Issue 2,pp.</w:t>
      </w:r>
      <w:r w:rsidRPr="00614B70">
        <w:rPr>
          <w:rFonts w:ascii="Arial" w:hAnsi="Arial" w:cs="Arial"/>
        </w:rPr>
        <w:t>151-160</w:t>
      </w:r>
    </w:p>
    <w:p w:rsidR="0076549D" w:rsidRDefault="0076549D" w:rsidP="0076549D">
      <w:pPr>
        <w:autoSpaceDE w:val="0"/>
        <w:autoSpaceDN w:val="0"/>
        <w:adjustRightInd w:val="0"/>
        <w:spacing w:line="360" w:lineRule="auto"/>
        <w:ind w:left="340"/>
        <w:jc w:val="both"/>
        <w:rPr>
          <w:rFonts w:ascii="Arial" w:hAnsi="Arial" w:cs="Arial"/>
          <w:lang w:val="en-US"/>
        </w:rPr>
      </w:pPr>
      <w:r w:rsidRPr="00614B70">
        <w:rPr>
          <w:rFonts w:ascii="Arial" w:hAnsi="Arial" w:cs="Arial"/>
          <w:lang w:val="en-US"/>
        </w:rPr>
        <w:t>Yorke</w:t>
      </w:r>
      <w:r>
        <w:rPr>
          <w:rFonts w:ascii="Arial" w:hAnsi="Arial" w:cs="Arial"/>
          <w:lang w:val="en-US"/>
        </w:rPr>
        <w:t>, M.,(</w:t>
      </w:r>
      <w:r w:rsidRPr="00614B70">
        <w:rPr>
          <w:rFonts w:ascii="Arial" w:hAnsi="Arial" w:cs="Arial"/>
          <w:lang w:val="en-US"/>
        </w:rPr>
        <w:t>2002</w:t>
      </w:r>
      <w:r>
        <w:rPr>
          <w:rFonts w:ascii="Arial" w:hAnsi="Arial" w:cs="Arial"/>
          <w:lang w:val="en-US"/>
        </w:rPr>
        <w:t xml:space="preserve">), “Subject Benchmarking and the assessment of student learning”, </w:t>
      </w:r>
      <w:r w:rsidRPr="00D20D6B">
        <w:rPr>
          <w:rFonts w:ascii="Arial" w:hAnsi="Arial" w:cs="Arial"/>
          <w:i/>
          <w:lang w:val="en-US"/>
        </w:rPr>
        <w:t>Quality Assurance in Education</w:t>
      </w:r>
      <w:r>
        <w:rPr>
          <w:rFonts w:ascii="Arial" w:hAnsi="Arial" w:cs="Arial"/>
          <w:lang w:val="en-US"/>
        </w:rPr>
        <w:t>, Volume 10, Issue 3, pp.155-171</w:t>
      </w:r>
    </w:p>
    <w:p w:rsidR="0076549D" w:rsidRPr="00614B70" w:rsidRDefault="0076549D" w:rsidP="0076549D">
      <w:pPr>
        <w:pStyle w:val="ListParagraph"/>
        <w:autoSpaceDE w:val="0"/>
        <w:autoSpaceDN w:val="0"/>
        <w:adjustRightInd w:val="0"/>
        <w:spacing w:after="0" w:line="240" w:lineRule="auto"/>
        <w:ind w:left="340"/>
        <w:jc w:val="both"/>
        <w:rPr>
          <w:rFonts w:ascii="Arial" w:hAnsi="Arial" w:cs="Arial"/>
          <w:lang w:val="en-US"/>
        </w:rPr>
      </w:pPr>
      <w:r>
        <w:rPr>
          <w:rFonts w:ascii="Arial" w:hAnsi="Arial" w:cs="Arial"/>
          <w:lang w:val="en-US"/>
        </w:rPr>
        <w:t>Yorke, M., Bridges M. and Woolf, H.,</w:t>
      </w:r>
      <w:r w:rsidRPr="00EE1EEC">
        <w:rPr>
          <w:rFonts w:ascii="Arial" w:hAnsi="Arial" w:cs="Arial"/>
          <w:lang w:val="en-US"/>
        </w:rPr>
        <w:t>(2000)</w:t>
      </w:r>
      <w:r>
        <w:rPr>
          <w:rFonts w:ascii="Arial" w:hAnsi="Arial" w:cs="Arial"/>
          <w:lang w:val="en-US"/>
        </w:rPr>
        <w:t>, “</w:t>
      </w:r>
      <w:r w:rsidRPr="00EE1EEC">
        <w:rPr>
          <w:rFonts w:ascii="Arial" w:hAnsi="Arial" w:cs="Arial"/>
          <w:lang w:val="en-US"/>
        </w:rPr>
        <w:t>Mark distributions and marking practices in UK higher education: some challenging issues</w:t>
      </w:r>
      <w:r>
        <w:rPr>
          <w:rFonts w:ascii="Arial" w:hAnsi="Arial" w:cs="Arial"/>
          <w:lang w:val="en-US"/>
        </w:rPr>
        <w:t>”,</w:t>
      </w:r>
      <w:r w:rsidRPr="00EE1EEC">
        <w:rPr>
          <w:rFonts w:ascii="Arial" w:hAnsi="Arial" w:cs="Arial"/>
          <w:lang w:val="en-US"/>
        </w:rPr>
        <w:t xml:space="preserve"> Active Learning i</w:t>
      </w:r>
      <w:r>
        <w:rPr>
          <w:rFonts w:ascii="Arial" w:hAnsi="Arial" w:cs="Arial"/>
          <w:lang w:val="en-US"/>
        </w:rPr>
        <w:t>n Higher Education, Volume 1, Issue , pp. 7-27</w:t>
      </w:r>
    </w:p>
    <w:p w:rsidR="0076549D" w:rsidRDefault="0076549D">
      <w:r>
        <w:br w:type="page"/>
      </w:r>
    </w:p>
    <w:p w:rsidR="0076549D" w:rsidRDefault="0076549D" w:rsidP="0076549D"/>
    <w:p w:rsidR="0076549D" w:rsidRPr="00A77CE6" w:rsidRDefault="0076549D" w:rsidP="0076549D">
      <w:pPr>
        <w:jc w:val="center"/>
        <w:rPr>
          <w:b/>
          <w:sz w:val="36"/>
          <w:szCs w:val="36"/>
          <w:u w:val="single"/>
          <w:lang w:val="en-US"/>
        </w:rPr>
      </w:pPr>
      <w:r w:rsidRPr="002522D0">
        <w:rPr>
          <w:sz w:val="36"/>
          <w:szCs w:val="36"/>
        </w:rPr>
        <w:t>Tables for:</w:t>
      </w:r>
      <w:r w:rsidRPr="002522D0">
        <w:rPr>
          <w:b/>
          <w:sz w:val="36"/>
          <w:szCs w:val="36"/>
          <w:u w:val="single"/>
          <w:lang w:val="en-US"/>
        </w:rPr>
        <w:t xml:space="preserve">  </w:t>
      </w:r>
      <w:r>
        <w:rPr>
          <w:b/>
          <w:sz w:val="36"/>
          <w:szCs w:val="36"/>
          <w:u w:val="single"/>
          <w:lang w:val="en-US"/>
        </w:rPr>
        <w:t>Cognitive influences shaping grade decision making</w:t>
      </w:r>
    </w:p>
    <w:p w:rsidR="0076549D" w:rsidRDefault="0076549D" w:rsidP="0076549D"/>
    <w:p w:rsidR="0076549D" w:rsidRDefault="0076549D" w:rsidP="0076549D">
      <w:pPr>
        <w:spacing w:line="240" w:lineRule="auto"/>
        <w:rPr>
          <w:rFonts w:ascii="Arial" w:hAnsi="Arial" w:cs="Arial"/>
        </w:rPr>
      </w:pPr>
    </w:p>
    <w:tbl>
      <w:tblPr>
        <w:tblW w:w="9214" w:type="dxa"/>
        <w:tblInd w:w="274" w:type="dxa"/>
        <w:tblLook w:val="04A0" w:firstRow="1" w:lastRow="0" w:firstColumn="1" w:lastColumn="0" w:noHBand="0" w:noVBand="1"/>
      </w:tblPr>
      <w:tblGrid>
        <w:gridCol w:w="850"/>
        <w:gridCol w:w="1985"/>
        <w:gridCol w:w="4536"/>
        <w:gridCol w:w="1843"/>
      </w:tblGrid>
      <w:tr w:rsidR="0076549D" w:rsidRPr="006E55EA" w:rsidTr="000F26BE">
        <w:trPr>
          <w:trHeight w:val="1178"/>
        </w:trPr>
        <w:tc>
          <w:tcPr>
            <w:tcW w:w="850" w:type="dxa"/>
            <w:tcBorders>
              <w:top w:val="single" w:sz="8" w:space="0" w:color="auto"/>
              <w:left w:val="single" w:sz="8" w:space="0" w:color="auto"/>
              <w:bottom w:val="single" w:sz="8" w:space="0" w:color="auto"/>
              <w:right w:val="single" w:sz="8" w:space="0" w:color="auto"/>
            </w:tcBorders>
            <w:shd w:val="clear" w:color="auto" w:fill="auto"/>
            <w:textDirection w:val="btLr"/>
          </w:tcPr>
          <w:p w:rsidR="0076549D" w:rsidRPr="00581291" w:rsidRDefault="0076549D" w:rsidP="000F26BE">
            <w:pPr>
              <w:autoSpaceDE w:val="0"/>
              <w:autoSpaceDN w:val="0"/>
              <w:adjustRightInd w:val="0"/>
              <w:ind w:left="113" w:right="113"/>
              <w:jc w:val="center"/>
              <w:rPr>
                <w:rFonts w:ascii="Arial" w:hAnsi="Arial" w:cs="Arial"/>
                <w:sz w:val="20"/>
                <w:szCs w:val="20"/>
              </w:rPr>
            </w:pPr>
            <w:r w:rsidRPr="00581291">
              <w:rPr>
                <w:rFonts w:ascii="Arial" w:hAnsi="Arial" w:cs="Arial"/>
                <w:sz w:val="20"/>
                <w:szCs w:val="20"/>
              </w:rPr>
              <w:t>Variable number</w:t>
            </w:r>
          </w:p>
        </w:tc>
        <w:tc>
          <w:tcPr>
            <w:tcW w:w="1985" w:type="dxa"/>
            <w:tcBorders>
              <w:top w:val="single" w:sz="8" w:space="0" w:color="auto"/>
              <w:left w:val="nil"/>
              <w:bottom w:val="single" w:sz="8" w:space="0" w:color="auto"/>
              <w:right w:val="single" w:sz="8" w:space="0" w:color="auto"/>
            </w:tcBorders>
            <w:shd w:val="clear" w:color="auto" w:fill="auto"/>
          </w:tcPr>
          <w:p w:rsidR="0076549D" w:rsidRPr="00581291" w:rsidRDefault="0076549D" w:rsidP="000F26BE">
            <w:pPr>
              <w:autoSpaceDE w:val="0"/>
              <w:autoSpaceDN w:val="0"/>
              <w:adjustRightInd w:val="0"/>
              <w:jc w:val="center"/>
              <w:rPr>
                <w:rFonts w:ascii="Arial" w:hAnsi="Arial" w:cs="Arial"/>
                <w:sz w:val="20"/>
                <w:szCs w:val="20"/>
              </w:rPr>
            </w:pPr>
            <w:r w:rsidRPr="00581291">
              <w:rPr>
                <w:rFonts w:ascii="Arial" w:hAnsi="Arial" w:cs="Arial"/>
                <w:sz w:val="20"/>
                <w:szCs w:val="20"/>
              </w:rPr>
              <w:t xml:space="preserve">Variable </w:t>
            </w:r>
          </w:p>
        </w:tc>
        <w:tc>
          <w:tcPr>
            <w:tcW w:w="4536" w:type="dxa"/>
            <w:tcBorders>
              <w:top w:val="single" w:sz="8" w:space="0" w:color="auto"/>
              <w:left w:val="nil"/>
              <w:bottom w:val="single" w:sz="8" w:space="0" w:color="auto"/>
              <w:right w:val="single" w:sz="8" w:space="0" w:color="auto"/>
            </w:tcBorders>
            <w:shd w:val="clear" w:color="auto" w:fill="auto"/>
          </w:tcPr>
          <w:p w:rsidR="0076549D" w:rsidRPr="00581291" w:rsidRDefault="0076549D" w:rsidP="000F26BE">
            <w:pPr>
              <w:autoSpaceDE w:val="0"/>
              <w:autoSpaceDN w:val="0"/>
              <w:adjustRightInd w:val="0"/>
              <w:jc w:val="center"/>
              <w:rPr>
                <w:rFonts w:ascii="Arial" w:hAnsi="Arial" w:cs="Arial"/>
                <w:sz w:val="20"/>
                <w:szCs w:val="20"/>
              </w:rPr>
            </w:pPr>
            <w:r w:rsidRPr="00581291">
              <w:rPr>
                <w:rFonts w:ascii="Arial" w:hAnsi="Arial" w:cs="Arial"/>
                <w:sz w:val="20"/>
                <w:szCs w:val="20"/>
              </w:rPr>
              <w:t xml:space="preserve">Proposed </w:t>
            </w:r>
            <w:r>
              <w:rPr>
                <w:rFonts w:ascii="Arial" w:hAnsi="Arial" w:cs="Arial"/>
                <w:sz w:val="20"/>
                <w:szCs w:val="20"/>
              </w:rPr>
              <w:t>Decision Making Position</w:t>
            </w:r>
          </w:p>
        </w:tc>
        <w:tc>
          <w:tcPr>
            <w:tcW w:w="1843" w:type="dxa"/>
            <w:tcBorders>
              <w:top w:val="single" w:sz="8" w:space="0" w:color="auto"/>
              <w:left w:val="nil"/>
              <w:bottom w:val="single" w:sz="8" w:space="0" w:color="auto"/>
              <w:right w:val="single" w:sz="8" w:space="0" w:color="auto"/>
            </w:tcBorders>
            <w:shd w:val="clear" w:color="auto" w:fill="auto"/>
          </w:tcPr>
          <w:p w:rsidR="0076549D" w:rsidRPr="00581291" w:rsidRDefault="0076549D" w:rsidP="000F26BE">
            <w:pPr>
              <w:autoSpaceDE w:val="0"/>
              <w:autoSpaceDN w:val="0"/>
              <w:adjustRightInd w:val="0"/>
              <w:jc w:val="center"/>
              <w:rPr>
                <w:rFonts w:ascii="Arial" w:hAnsi="Arial" w:cs="Arial"/>
                <w:sz w:val="20"/>
                <w:szCs w:val="20"/>
              </w:rPr>
            </w:pPr>
            <w:r>
              <w:rPr>
                <w:rFonts w:ascii="Arial" w:hAnsi="Arial" w:cs="Arial"/>
                <w:sz w:val="20"/>
                <w:szCs w:val="20"/>
              </w:rPr>
              <w:t>Associated Latent Variable</w:t>
            </w:r>
          </w:p>
        </w:tc>
      </w:tr>
      <w:tr w:rsidR="0076549D" w:rsidRPr="006E55EA" w:rsidTr="000F26BE">
        <w:trPr>
          <w:trHeight w:val="404"/>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EGDP</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Pre-Assessment </w:t>
            </w:r>
            <w:r>
              <w:rPr>
                <w:rFonts w:ascii="Arial" w:eastAsia="Times New Roman" w:hAnsi="Arial" w:cs="Arial"/>
                <w:color w:val="000000"/>
                <w:sz w:val="20"/>
                <w:szCs w:val="20"/>
                <w:lang w:eastAsia="en-GB"/>
              </w:rPr>
              <w:t xml:space="preserve">Decision </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PD</w:t>
            </w:r>
          </w:p>
        </w:tc>
      </w:tr>
      <w:tr w:rsidR="0076549D" w:rsidRPr="006E55EA" w:rsidTr="000F26BE">
        <w:trPr>
          <w:trHeight w:val="410"/>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CUPR</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Pre-Assessment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GN</w:t>
            </w:r>
          </w:p>
        </w:tc>
      </w:tr>
      <w:tr w:rsidR="0076549D" w:rsidRPr="006E55EA" w:rsidTr="000F26BE">
        <w:trPr>
          <w:trHeight w:val="402"/>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POW0</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Pre-Assessment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PC</w:t>
            </w:r>
          </w:p>
        </w:tc>
      </w:tr>
      <w:tr w:rsidR="0076549D" w:rsidRPr="006E55EA" w:rsidTr="000F26BE">
        <w:trPr>
          <w:trHeight w:val="352"/>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POW1 and POW2</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Pre-Assessment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PD</w:t>
            </w:r>
          </w:p>
        </w:tc>
      </w:tr>
      <w:tr w:rsidR="0076549D" w:rsidRPr="006E55EA" w:rsidTr="000F26BE">
        <w:trPr>
          <w:trHeight w:val="272"/>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AFH1</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During - 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AE</w:t>
            </w:r>
          </w:p>
        </w:tc>
      </w:tr>
      <w:tr w:rsidR="0076549D" w:rsidRPr="006E55EA" w:rsidTr="000F26BE">
        <w:trPr>
          <w:trHeight w:val="404"/>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AVHE</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During - 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PD</w:t>
            </w:r>
          </w:p>
        </w:tc>
      </w:tr>
      <w:tr w:rsidR="0076549D" w:rsidRPr="006E55EA" w:rsidTr="000F26BE">
        <w:trPr>
          <w:trHeight w:val="410"/>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SBHE</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During - 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PD</w:t>
            </w:r>
          </w:p>
        </w:tc>
      </w:tr>
      <w:tr w:rsidR="0076549D" w:rsidRPr="006E55EA" w:rsidTr="000F26BE">
        <w:trPr>
          <w:trHeight w:val="389"/>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ACRE</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During – 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SN - SI</w:t>
            </w:r>
          </w:p>
        </w:tc>
      </w:tr>
      <w:tr w:rsidR="0076549D" w:rsidRPr="006E55EA" w:rsidTr="000F26BE">
        <w:trPr>
          <w:trHeight w:val="408"/>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ACRU</w:t>
            </w:r>
          </w:p>
        </w:tc>
        <w:tc>
          <w:tcPr>
            <w:tcW w:w="4536"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 xml:space="preserve">During – Assessment </w:t>
            </w:r>
            <w:r>
              <w:rPr>
                <w:rFonts w:ascii="Arial" w:eastAsia="Times New Roman" w:hAnsi="Arial" w:cs="Arial"/>
                <w:color w:val="000000"/>
                <w:sz w:val="20"/>
                <w:szCs w:val="20"/>
                <w:lang w:eastAsia="en-GB"/>
              </w:rPr>
              <w:t>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sidRPr="006E55EA">
              <w:rPr>
                <w:rFonts w:ascii="Arial" w:eastAsia="Times New Roman" w:hAnsi="Arial" w:cs="Arial"/>
                <w:color w:val="000000"/>
                <w:sz w:val="20"/>
                <w:szCs w:val="20"/>
                <w:lang w:eastAsia="en-GB"/>
              </w:rPr>
              <w:t>PC</w:t>
            </w:r>
          </w:p>
        </w:tc>
      </w:tr>
      <w:tr w:rsidR="0076549D" w:rsidRPr="006E55EA" w:rsidTr="000F26BE">
        <w:trPr>
          <w:trHeight w:val="400"/>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ASPT</w:t>
            </w:r>
          </w:p>
        </w:tc>
        <w:tc>
          <w:tcPr>
            <w:tcW w:w="4536"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During- Assessment 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PD</w:t>
            </w:r>
          </w:p>
        </w:tc>
      </w:tr>
      <w:tr w:rsidR="0076549D" w:rsidRPr="006E55EA" w:rsidTr="000F26BE">
        <w:trPr>
          <w:trHeight w:val="406"/>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SECO</w:t>
            </w:r>
          </w:p>
        </w:tc>
        <w:tc>
          <w:tcPr>
            <w:tcW w:w="4536"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During- Assessment 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PC</w:t>
            </w:r>
          </w:p>
        </w:tc>
      </w:tr>
      <w:tr w:rsidR="0076549D" w:rsidRPr="006E55EA" w:rsidTr="000F26BE">
        <w:trPr>
          <w:trHeight w:val="270"/>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ANCO</w:t>
            </w:r>
          </w:p>
        </w:tc>
        <w:tc>
          <w:tcPr>
            <w:tcW w:w="4536"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During - Assessment 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AE</w:t>
            </w:r>
          </w:p>
        </w:tc>
      </w:tr>
      <w:tr w:rsidR="0076549D" w:rsidRPr="006E55EA" w:rsidTr="000F26BE">
        <w:trPr>
          <w:trHeight w:val="416"/>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FORM</w:t>
            </w:r>
          </w:p>
        </w:tc>
        <w:tc>
          <w:tcPr>
            <w:tcW w:w="4536"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During- Assessment 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AE</w:t>
            </w:r>
          </w:p>
        </w:tc>
      </w:tr>
      <w:tr w:rsidR="0076549D" w:rsidRPr="006E55EA" w:rsidTr="000F26BE">
        <w:trPr>
          <w:trHeight w:val="408"/>
        </w:trPr>
        <w:tc>
          <w:tcPr>
            <w:tcW w:w="850" w:type="dxa"/>
            <w:tcBorders>
              <w:top w:val="nil"/>
              <w:left w:val="single" w:sz="8" w:space="0" w:color="auto"/>
              <w:bottom w:val="single" w:sz="8" w:space="0" w:color="auto"/>
              <w:right w:val="single" w:sz="8" w:space="0" w:color="auto"/>
            </w:tcBorders>
            <w:shd w:val="clear" w:color="auto" w:fill="auto"/>
            <w:vAlign w:val="center"/>
          </w:tcPr>
          <w:p w:rsidR="0076549D" w:rsidRPr="006E55EA" w:rsidRDefault="0076549D" w:rsidP="000F26BE">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ALRA</w:t>
            </w:r>
          </w:p>
        </w:tc>
        <w:tc>
          <w:tcPr>
            <w:tcW w:w="4536"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During- Assessment Decision</w:t>
            </w:r>
          </w:p>
        </w:tc>
        <w:tc>
          <w:tcPr>
            <w:tcW w:w="1843" w:type="dxa"/>
            <w:tcBorders>
              <w:top w:val="nil"/>
              <w:left w:val="nil"/>
              <w:bottom w:val="single" w:sz="8" w:space="0" w:color="auto"/>
              <w:right w:val="single" w:sz="8" w:space="0" w:color="auto"/>
            </w:tcBorders>
            <w:shd w:val="clear" w:color="auto" w:fill="auto"/>
            <w:vAlign w:val="center"/>
            <w:hideMark/>
          </w:tcPr>
          <w:p w:rsidR="0076549D" w:rsidRPr="00BA7822" w:rsidRDefault="0076549D" w:rsidP="000F26BE">
            <w:pPr>
              <w:spacing w:after="0" w:line="240" w:lineRule="auto"/>
              <w:jc w:val="center"/>
              <w:rPr>
                <w:rFonts w:ascii="Arial" w:eastAsia="Times New Roman" w:hAnsi="Arial" w:cs="Arial"/>
                <w:color w:val="000000"/>
                <w:sz w:val="20"/>
                <w:szCs w:val="20"/>
                <w:lang w:eastAsia="en-GB"/>
              </w:rPr>
            </w:pPr>
            <w:r w:rsidRPr="00BA7822">
              <w:rPr>
                <w:rFonts w:ascii="Arial" w:eastAsia="Times New Roman" w:hAnsi="Arial" w:cs="Arial"/>
                <w:color w:val="000000"/>
                <w:sz w:val="20"/>
                <w:szCs w:val="20"/>
                <w:lang w:eastAsia="en-GB"/>
              </w:rPr>
              <w:t>AE</w:t>
            </w:r>
          </w:p>
        </w:tc>
      </w:tr>
    </w:tbl>
    <w:p w:rsidR="0076549D" w:rsidRDefault="0076549D" w:rsidP="0076549D">
      <w:pPr>
        <w:spacing w:line="240" w:lineRule="auto"/>
        <w:jc w:val="center"/>
        <w:rPr>
          <w:rFonts w:ascii="Arial" w:hAnsi="Arial" w:cs="Arial"/>
        </w:rPr>
      </w:pPr>
      <w:r>
        <w:rPr>
          <w:rFonts w:ascii="Arial" w:hAnsi="Arial" w:cs="Arial"/>
          <w:b/>
        </w:rPr>
        <w:t>Table 1</w:t>
      </w:r>
      <w:r w:rsidRPr="009D0D15">
        <w:rPr>
          <w:rFonts w:ascii="Arial" w:hAnsi="Arial" w:cs="Arial"/>
          <w:b/>
        </w:rPr>
        <w:t>:</w:t>
      </w:r>
      <w:r>
        <w:rPr>
          <w:rFonts w:ascii="Arial" w:hAnsi="Arial" w:cs="Arial"/>
        </w:rPr>
        <w:t xml:space="preserve"> Proposed conceptual relationships between Table 1 manifest variables and the factors in TPB</w:t>
      </w:r>
    </w:p>
    <w:p w:rsidR="0076549D" w:rsidRDefault="0076549D" w:rsidP="0076549D"/>
    <w:p w:rsidR="0076549D" w:rsidRDefault="0076549D" w:rsidP="0076549D"/>
    <w:p w:rsidR="0076549D" w:rsidRDefault="0076549D" w:rsidP="0076549D"/>
    <w:tbl>
      <w:tblPr>
        <w:tblStyle w:val="TableGrid"/>
        <w:tblW w:w="0" w:type="auto"/>
        <w:jc w:val="center"/>
        <w:tblLook w:val="04A0" w:firstRow="1" w:lastRow="0" w:firstColumn="1" w:lastColumn="0" w:noHBand="0" w:noVBand="1"/>
      </w:tblPr>
      <w:tblGrid>
        <w:gridCol w:w="2200"/>
        <w:gridCol w:w="2696"/>
        <w:gridCol w:w="1701"/>
      </w:tblGrid>
      <w:tr w:rsidR="0076549D" w:rsidTr="000F26BE">
        <w:trPr>
          <w:jc w:val="center"/>
        </w:trPr>
        <w:tc>
          <w:tcPr>
            <w:tcW w:w="2200" w:type="dxa"/>
          </w:tcPr>
          <w:p w:rsidR="0076549D" w:rsidRDefault="0076549D" w:rsidP="000F26BE">
            <w:pPr>
              <w:jc w:val="center"/>
              <w:rPr>
                <w:rFonts w:ascii="Arial" w:hAnsi="Arial" w:cs="Arial"/>
                <w:bCs/>
              </w:rPr>
            </w:pPr>
            <w:r>
              <w:rPr>
                <w:rFonts w:ascii="Arial" w:hAnsi="Arial" w:cs="Arial"/>
                <w:bCs/>
              </w:rPr>
              <w:t>Institution</w:t>
            </w:r>
          </w:p>
        </w:tc>
        <w:tc>
          <w:tcPr>
            <w:tcW w:w="2696" w:type="dxa"/>
          </w:tcPr>
          <w:p w:rsidR="0076549D" w:rsidRDefault="0076549D" w:rsidP="000F26BE">
            <w:pPr>
              <w:jc w:val="center"/>
              <w:rPr>
                <w:rFonts w:ascii="Arial" w:hAnsi="Arial" w:cs="Arial"/>
                <w:bCs/>
              </w:rPr>
            </w:pPr>
            <w:r>
              <w:rPr>
                <w:rFonts w:ascii="Arial" w:hAnsi="Arial" w:cs="Arial"/>
                <w:bCs/>
              </w:rPr>
              <w:t>Level of data collection</w:t>
            </w:r>
          </w:p>
        </w:tc>
        <w:tc>
          <w:tcPr>
            <w:tcW w:w="1701" w:type="dxa"/>
          </w:tcPr>
          <w:p w:rsidR="0076549D" w:rsidRDefault="0076549D" w:rsidP="000F26BE">
            <w:pPr>
              <w:jc w:val="center"/>
              <w:rPr>
                <w:rFonts w:ascii="Arial" w:hAnsi="Arial" w:cs="Arial"/>
                <w:bCs/>
              </w:rPr>
            </w:pPr>
            <w:r>
              <w:rPr>
                <w:rFonts w:ascii="Arial" w:hAnsi="Arial" w:cs="Arial"/>
                <w:bCs/>
              </w:rPr>
              <w:t>Sample Size</w:t>
            </w:r>
          </w:p>
        </w:tc>
      </w:tr>
      <w:tr w:rsidR="0076549D" w:rsidTr="000F26BE">
        <w:trPr>
          <w:jc w:val="center"/>
        </w:trPr>
        <w:tc>
          <w:tcPr>
            <w:tcW w:w="2200" w:type="dxa"/>
          </w:tcPr>
          <w:p w:rsidR="0076549D" w:rsidRDefault="0076549D" w:rsidP="000F26BE">
            <w:pPr>
              <w:jc w:val="center"/>
              <w:rPr>
                <w:rFonts w:ascii="Arial" w:hAnsi="Arial" w:cs="Arial"/>
                <w:bCs/>
              </w:rPr>
            </w:pPr>
            <w:r>
              <w:rPr>
                <w:rFonts w:ascii="Arial" w:hAnsi="Arial" w:cs="Arial"/>
                <w:bCs/>
              </w:rPr>
              <w:t>A</w:t>
            </w:r>
          </w:p>
        </w:tc>
        <w:tc>
          <w:tcPr>
            <w:tcW w:w="2696" w:type="dxa"/>
          </w:tcPr>
          <w:p w:rsidR="0076549D" w:rsidRDefault="0076549D" w:rsidP="000F26BE">
            <w:pPr>
              <w:jc w:val="center"/>
              <w:rPr>
                <w:rFonts w:ascii="Arial" w:hAnsi="Arial" w:cs="Arial"/>
                <w:bCs/>
              </w:rPr>
            </w:pPr>
            <w:r>
              <w:rPr>
                <w:rFonts w:ascii="Arial" w:hAnsi="Arial" w:cs="Arial"/>
                <w:bCs/>
              </w:rPr>
              <w:t>4,5,6,7</w:t>
            </w:r>
          </w:p>
        </w:tc>
        <w:tc>
          <w:tcPr>
            <w:tcW w:w="1701" w:type="dxa"/>
          </w:tcPr>
          <w:p w:rsidR="0076549D" w:rsidRDefault="0076549D" w:rsidP="000F26BE">
            <w:pPr>
              <w:jc w:val="center"/>
              <w:rPr>
                <w:rFonts w:ascii="Arial" w:hAnsi="Arial" w:cs="Arial"/>
                <w:bCs/>
              </w:rPr>
            </w:pPr>
            <w:r>
              <w:rPr>
                <w:rFonts w:ascii="Arial" w:hAnsi="Arial" w:cs="Arial"/>
                <w:bCs/>
              </w:rPr>
              <w:t>126</w:t>
            </w:r>
          </w:p>
        </w:tc>
      </w:tr>
      <w:tr w:rsidR="0076549D" w:rsidTr="000F26BE">
        <w:trPr>
          <w:trHeight w:val="234"/>
          <w:jc w:val="center"/>
        </w:trPr>
        <w:tc>
          <w:tcPr>
            <w:tcW w:w="2200" w:type="dxa"/>
          </w:tcPr>
          <w:p w:rsidR="0076549D" w:rsidRDefault="0076549D" w:rsidP="000F26BE">
            <w:pPr>
              <w:jc w:val="center"/>
              <w:rPr>
                <w:rFonts w:ascii="Arial" w:hAnsi="Arial" w:cs="Arial"/>
                <w:bCs/>
              </w:rPr>
            </w:pPr>
            <w:r>
              <w:rPr>
                <w:rFonts w:ascii="Arial" w:hAnsi="Arial" w:cs="Arial"/>
                <w:bCs/>
              </w:rPr>
              <w:t>B</w:t>
            </w:r>
          </w:p>
        </w:tc>
        <w:tc>
          <w:tcPr>
            <w:tcW w:w="2696" w:type="dxa"/>
          </w:tcPr>
          <w:p w:rsidR="0076549D" w:rsidRDefault="0076549D" w:rsidP="000F26BE">
            <w:pPr>
              <w:jc w:val="center"/>
              <w:rPr>
                <w:rFonts w:ascii="Arial" w:hAnsi="Arial" w:cs="Arial"/>
                <w:bCs/>
              </w:rPr>
            </w:pPr>
            <w:r>
              <w:rPr>
                <w:rFonts w:ascii="Arial" w:hAnsi="Arial" w:cs="Arial"/>
                <w:bCs/>
              </w:rPr>
              <w:t>5,6</w:t>
            </w:r>
          </w:p>
        </w:tc>
        <w:tc>
          <w:tcPr>
            <w:tcW w:w="1701" w:type="dxa"/>
          </w:tcPr>
          <w:p w:rsidR="0076549D" w:rsidRDefault="0076549D" w:rsidP="000F26BE">
            <w:pPr>
              <w:jc w:val="center"/>
              <w:rPr>
                <w:rFonts w:ascii="Arial" w:hAnsi="Arial" w:cs="Arial"/>
                <w:bCs/>
              </w:rPr>
            </w:pPr>
            <w:r>
              <w:rPr>
                <w:rFonts w:ascii="Arial" w:hAnsi="Arial" w:cs="Arial"/>
                <w:bCs/>
              </w:rPr>
              <w:t>31</w:t>
            </w:r>
          </w:p>
        </w:tc>
      </w:tr>
      <w:tr w:rsidR="0076549D" w:rsidTr="000F26BE">
        <w:trPr>
          <w:trHeight w:val="234"/>
          <w:jc w:val="center"/>
        </w:trPr>
        <w:tc>
          <w:tcPr>
            <w:tcW w:w="2200" w:type="dxa"/>
          </w:tcPr>
          <w:p w:rsidR="0076549D" w:rsidRDefault="0076549D" w:rsidP="000F26BE">
            <w:pPr>
              <w:jc w:val="center"/>
              <w:rPr>
                <w:rFonts w:ascii="Arial" w:hAnsi="Arial" w:cs="Arial"/>
                <w:bCs/>
              </w:rPr>
            </w:pPr>
          </w:p>
        </w:tc>
        <w:tc>
          <w:tcPr>
            <w:tcW w:w="2696" w:type="dxa"/>
          </w:tcPr>
          <w:p w:rsidR="0076549D" w:rsidRDefault="0076549D" w:rsidP="000F26BE">
            <w:pPr>
              <w:jc w:val="center"/>
              <w:rPr>
                <w:rFonts w:ascii="Arial" w:hAnsi="Arial" w:cs="Arial"/>
                <w:bCs/>
              </w:rPr>
            </w:pPr>
            <w:r>
              <w:rPr>
                <w:rFonts w:ascii="Arial" w:hAnsi="Arial" w:cs="Arial"/>
                <w:bCs/>
              </w:rPr>
              <w:t>Total sample size (N)</w:t>
            </w:r>
          </w:p>
        </w:tc>
        <w:tc>
          <w:tcPr>
            <w:tcW w:w="1701" w:type="dxa"/>
          </w:tcPr>
          <w:p w:rsidR="0076549D" w:rsidRPr="009A4716" w:rsidRDefault="0076549D" w:rsidP="000F26BE">
            <w:pPr>
              <w:jc w:val="center"/>
              <w:rPr>
                <w:rFonts w:ascii="Arial" w:hAnsi="Arial" w:cs="Arial"/>
                <w:b/>
                <w:bCs/>
              </w:rPr>
            </w:pPr>
            <w:r w:rsidRPr="009A4716">
              <w:rPr>
                <w:rFonts w:ascii="Arial" w:hAnsi="Arial" w:cs="Arial"/>
                <w:b/>
                <w:bCs/>
              </w:rPr>
              <w:t>157</w:t>
            </w:r>
          </w:p>
        </w:tc>
      </w:tr>
    </w:tbl>
    <w:p w:rsidR="0076549D" w:rsidRDefault="0076549D" w:rsidP="0076549D">
      <w:pPr>
        <w:spacing w:line="240" w:lineRule="auto"/>
        <w:jc w:val="center"/>
        <w:rPr>
          <w:rFonts w:ascii="Arial" w:hAnsi="Arial" w:cs="Arial"/>
          <w:b/>
          <w:bCs/>
        </w:rPr>
      </w:pPr>
    </w:p>
    <w:p w:rsidR="0076549D" w:rsidRDefault="0076549D" w:rsidP="0076549D">
      <w:pPr>
        <w:spacing w:line="240" w:lineRule="auto"/>
        <w:jc w:val="center"/>
        <w:rPr>
          <w:rFonts w:ascii="Arial" w:hAnsi="Arial" w:cs="Arial"/>
          <w:bCs/>
        </w:rPr>
      </w:pPr>
      <w:r>
        <w:rPr>
          <w:rFonts w:ascii="Arial" w:hAnsi="Arial" w:cs="Arial"/>
          <w:b/>
          <w:bCs/>
        </w:rPr>
        <w:t>Table 2:</w:t>
      </w:r>
      <w:r w:rsidRPr="00135235">
        <w:rPr>
          <w:rFonts w:ascii="Arial" w:hAnsi="Arial" w:cs="Arial"/>
          <w:bCs/>
        </w:rPr>
        <w:t xml:space="preserve"> </w:t>
      </w:r>
      <w:r>
        <w:rPr>
          <w:rFonts w:ascii="Arial" w:hAnsi="Arial" w:cs="Arial"/>
          <w:bCs/>
        </w:rPr>
        <w:t>Details of the convenience sample</w:t>
      </w:r>
    </w:p>
    <w:p w:rsidR="0076549D" w:rsidRPr="005C775C" w:rsidRDefault="0076549D" w:rsidP="0076549D">
      <w:pPr>
        <w:spacing w:line="240" w:lineRule="auto"/>
        <w:jc w:val="center"/>
        <w:rPr>
          <w:rFonts w:ascii="Arial" w:hAnsi="Arial" w:cs="Arial"/>
          <w:b/>
          <w:bCs/>
        </w:rPr>
      </w:pPr>
    </w:p>
    <w:p w:rsidR="0076549D" w:rsidRDefault="0076549D" w:rsidP="007654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3474"/>
        <w:gridCol w:w="3474"/>
      </w:tblGrid>
      <w:tr w:rsidR="0076549D" w:rsidRPr="006441D3" w:rsidTr="000F26BE">
        <w:tc>
          <w:tcPr>
            <w:tcW w:w="3473" w:type="dxa"/>
          </w:tcPr>
          <w:p w:rsidR="0076549D" w:rsidRPr="00E55649" w:rsidRDefault="0076549D" w:rsidP="000F26BE">
            <w:pPr>
              <w:pStyle w:val="NoSpacing"/>
              <w:jc w:val="center"/>
              <w:rPr>
                <w:rFonts w:ascii="Arial" w:hAnsi="Arial" w:cs="Arial"/>
                <w:b/>
              </w:rPr>
            </w:pPr>
            <w:r w:rsidRPr="00E55649">
              <w:rPr>
                <w:rFonts w:ascii="Arial" w:hAnsi="Arial" w:cs="Arial"/>
                <w:b/>
              </w:rPr>
              <w:t>Latent Construct</w:t>
            </w:r>
          </w:p>
        </w:tc>
        <w:tc>
          <w:tcPr>
            <w:tcW w:w="3474" w:type="dxa"/>
          </w:tcPr>
          <w:p w:rsidR="0076549D" w:rsidRPr="00E55649" w:rsidRDefault="0076549D" w:rsidP="000F26BE">
            <w:pPr>
              <w:pStyle w:val="NoSpacing"/>
              <w:jc w:val="center"/>
              <w:rPr>
                <w:rFonts w:ascii="Arial" w:hAnsi="Arial" w:cs="Arial"/>
                <w:b/>
              </w:rPr>
            </w:pPr>
            <w:r w:rsidRPr="00E55649">
              <w:rPr>
                <w:rFonts w:ascii="Arial" w:hAnsi="Arial" w:cs="Arial"/>
                <w:b/>
              </w:rPr>
              <w:t>Beliefs in manifest variable</w:t>
            </w:r>
          </w:p>
        </w:tc>
        <w:tc>
          <w:tcPr>
            <w:tcW w:w="3474" w:type="dxa"/>
          </w:tcPr>
          <w:p w:rsidR="0076549D" w:rsidRPr="00E55649" w:rsidRDefault="0076549D" w:rsidP="000F26BE">
            <w:pPr>
              <w:pStyle w:val="NoSpacing"/>
              <w:jc w:val="center"/>
              <w:rPr>
                <w:rFonts w:ascii="Arial" w:hAnsi="Arial" w:cs="Arial"/>
                <w:b/>
              </w:rPr>
            </w:pPr>
            <w:r w:rsidRPr="00E55649">
              <w:rPr>
                <w:rFonts w:ascii="Arial" w:hAnsi="Arial" w:cs="Arial"/>
                <w:b/>
              </w:rPr>
              <w:t>Weights for manifest variable</w:t>
            </w:r>
          </w:p>
        </w:tc>
      </w:tr>
      <w:tr w:rsidR="0076549D" w:rsidRPr="001A0276" w:rsidTr="000F26BE">
        <w:tc>
          <w:tcPr>
            <w:tcW w:w="3473" w:type="dxa"/>
          </w:tcPr>
          <w:p w:rsidR="0076549D" w:rsidRPr="00E55649" w:rsidRDefault="0076549D" w:rsidP="000F26BE">
            <w:pPr>
              <w:pStyle w:val="NoSpacing"/>
              <w:rPr>
                <w:rFonts w:ascii="Arial" w:hAnsi="Arial" w:cs="Arial"/>
              </w:rPr>
            </w:pPr>
            <w:r w:rsidRPr="00E55649">
              <w:rPr>
                <w:rFonts w:ascii="Arial" w:hAnsi="Arial" w:cs="Arial"/>
              </w:rPr>
              <w:t>Attitude &amp; Engagement (AE)</w:t>
            </w:r>
          </w:p>
        </w:tc>
        <w:tc>
          <w:tcPr>
            <w:tcW w:w="3474" w:type="dxa"/>
          </w:tcPr>
          <w:p w:rsidR="0076549D" w:rsidRPr="00E55649" w:rsidRDefault="0076549D" w:rsidP="000F26BE">
            <w:pPr>
              <w:pStyle w:val="NoSpacing"/>
              <w:rPr>
                <w:rFonts w:ascii="Arial" w:hAnsi="Arial" w:cs="Arial"/>
              </w:rPr>
            </w:pPr>
            <w:r w:rsidRPr="00E55649">
              <w:rPr>
                <w:rFonts w:ascii="Arial" w:hAnsi="Arial" w:cs="Arial"/>
              </w:rPr>
              <w:t>Behavioural beliefs scored +1 to +10</w:t>
            </w:r>
          </w:p>
        </w:tc>
        <w:tc>
          <w:tcPr>
            <w:tcW w:w="3474" w:type="dxa"/>
          </w:tcPr>
          <w:p w:rsidR="0076549D" w:rsidRPr="00E55649" w:rsidRDefault="0076549D" w:rsidP="000F26BE">
            <w:pPr>
              <w:pStyle w:val="NoSpacing"/>
              <w:rPr>
                <w:rFonts w:ascii="Arial" w:hAnsi="Arial" w:cs="Arial"/>
              </w:rPr>
            </w:pPr>
            <w:r w:rsidRPr="00E55649">
              <w:rPr>
                <w:rFonts w:ascii="Arial" w:hAnsi="Arial" w:cs="Arial"/>
              </w:rPr>
              <w:t>Outcomes scored -3 to +3</w:t>
            </w:r>
          </w:p>
        </w:tc>
      </w:tr>
      <w:tr w:rsidR="0076549D" w:rsidRPr="001A0276" w:rsidTr="000F26BE">
        <w:tc>
          <w:tcPr>
            <w:tcW w:w="3473" w:type="dxa"/>
          </w:tcPr>
          <w:p w:rsidR="0076549D" w:rsidRPr="00E55649" w:rsidRDefault="0076549D" w:rsidP="000F26BE">
            <w:pPr>
              <w:pStyle w:val="NoSpacing"/>
              <w:rPr>
                <w:rFonts w:ascii="Arial" w:hAnsi="Arial" w:cs="Arial"/>
              </w:rPr>
            </w:pPr>
            <w:r w:rsidRPr="00E55649">
              <w:rPr>
                <w:rFonts w:ascii="Arial" w:hAnsi="Arial" w:cs="Arial"/>
              </w:rPr>
              <w:lastRenderedPageBreak/>
              <w:t>Subjective Norm (SN) including GN, SO, SI.</w:t>
            </w:r>
          </w:p>
        </w:tc>
        <w:tc>
          <w:tcPr>
            <w:tcW w:w="3474" w:type="dxa"/>
          </w:tcPr>
          <w:p w:rsidR="0076549D" w:rsidRPr="00E55649" w:rsidRDefault="0076549D" w:rsidP="000F26BE">
            <w:pPr>
              <w:pStyle w:val="NoSpacing"/>
              <w:rPr>
                <w:rFonts w:ascii="Arial" w:hAnsi="Arial" w:cs="Arial"/>
              </w:rPr>
            </w:pPr>
            <w:r w:rsidRPr="00E55649">
              <w:rPr>
                <w:rFonts w:ascii="Arial" w:hAnsi="Arial" w:cs="Arial"/>
              </w:rPr>
              <w:t>Normative beliefs scored -3 to +3</w:t>
            </w:r>
          </w:p>
        </w:tc>
        <w:tc>
          <w:tcPr>
            <w:tcW w:w="3474" w:type="dxa"/>
          </w:tcPr>
          <w:p w:rsidR="0076549D" w:rsidRPr="00E55649" w:rsidRDefault="0076549D" w:rsidP="000F26BE">
            <w:pPr>
              <w:pStyle w:val="NoSpacing"/>
              <w:rPr>
                <w:rFonts w:ascii="Arial" w:hAnsi="Arial" w:cs="Arial"/>
              </w:rPr>
            </w:pPr>
            <w:r w:rsidRPr="00E55649">
              <w:rPr>
                <w:rFonts w:ascii="Arial" w:hAnsi="Arial" w:cs="Arial"/>
              </w:rPr>
              <w:t>Motivation to comply scored +1 to +10</w:t>
            </w:r>
          </w:p>
        </w:tc>
      </w:tr>
      <w:tr w:rsidR="0076549D" w:rsidRPr="001A0276" w:rsidTr="000F26BE">
        <w:tc>
          <w:tcPr>
            <w:tcW w:w="3473" w:type="dxa"/>
          </w:tcPr>
          <w:p w:rsidR="0076549D" w:rsidRPr="00E55649" w:rsidRDefault="0076549D" w:rsidP="000F26BE">
            <w:pPr>
              <w:pStyle w:val="NoSpacing"/>
              <w:rPr>
                <w:rFonts w:ascii="Arial" w:hAnsi="Arial" w:cs="Arial"/>
              </w:rPr>
            </w:pPr>
            <w:r w:rsidRPr="00E55649">
              <w:rPr>
                <w:rFonts w:ascii="Arial" w:hAnsi="Arial" w:cs="Arial"/>
              </w:rPr>
              <w:t>PBC (PD and PC)</w:t>
            </w:r>
          </w:p>
        </w:tc>
        <w:tc>
          <w:tcPr>
            <w:tcW w:w="3474" w:type="dxa"/>
          </w:tcPr>
          <w:p w:rsidR="0076549D" w:rsidRPr="00E55649" w:rsidRDefault="0076549D" w:rsidP="000F26BE">
            <w:pPr>
              <w:pStyle w:val="NoSpacing"/>
              <w:rPr>
                <w:rFonts w:ascii="Arial" w:hAnsi="Arial" w:cs="Arial"/>
              </w:rPr>
            </w:pPr>
            <w:r w:rsidRPr="00E55649">
              <w:rPr>
                <w:rFonts w:ascii="Arial" w:hAnsi="Arial" w:cs="Arial"/>
              </w:rPr>
              <w:t>Control strength beliefs scored +1 to +10</w:t>
            </w:r>
          </w:p>
        </w:tc>
        <w:tc>
          <w:tcPr>
            <w:tcW w:w="3474" w:type="dxa"/>
          </w:tcPr>
          <w:p w:rsidR="0076549D" w:rsidRPr="00E55649" w:rsidRDefault="0076549D" w:rsidP="000F26BE">
            <w:pPr>
              <w:pStyle w:val="NoSpacing"/>
              <w:rPr>
                <w:rFonts w:ascii="Arial" w:hAnsi="Arial" w:cs="Arial"/>
              </w:rPr>
            </w:pPr>
            <w:r w:rsidRPr="00E55649">
              <w:rPr>
                <w:rFonts w:ascii="Arial" w:hAnsi="Arial" w:cs="Arial"/>
              </w:rPr>
              <w:t>Control power belief scored -3 to +3</w:t>
            </w:r>
          </w:p>
        </w:tc>
      </w:tr>
    </w:tbl>
    <w:p w:rsidR="0076549D" w:rsidRPr="000A328A" w:rsidRDefault="0076549D" w:rsidP="0076549D">
      <w:pPr>
        <w:spacing w:line="240" w:lineRule="auto"/>
        <w:jc w:val="both"/>
        <w:rPr>
          <w:rFonts w:ascii="Arial" w:hAnsi="Arial" w:cs="Arial"/>
        </w:rPr>
      </w:pPr>
    </w:p>
    <w:p w:rsidR="0076549D" w:rsidRDefault="0076549D" w:rsidP="0076549D">
      <w:pPr>
        <w:spacing w:line="240" w:lineRule="auto"/>
        <w:jc w:val="center"/>
        <w:rPr>
          <w:rFonts w:ascii="Arial" w:hAnsi="Arial" w:cs="Arial"/>
        </w:rPr>
      </w:pPr>
      <w:r>
        <w:rPr>
          <w:rFonts w:ascii="Arial" w:hAnsi="Arial" w:cs="Arial"/>
          <w:b/>
        </w:rPr>
        <w:t>Table 3</w:t>
      </w:r>
      <w:r w:rsidRPr="00CA3D86">
        <w:rPr>
          <w:rFonts w:ascii="Arial" w:hAnsi="Arial" w:cs="Arial"/>
          <w:b/>
        </w:rPr>
        <w:t>:</w:t>
      </w:r>
      <w:r>
        <w:rPr>
          <w:rFonts w:ascii="Arial" w:hAnsi="Arial" w:cs="Arial"/>
        </w:rPr>
        <w:t xml:space="preserve"> Weightings and scales used for different direct and indirect intentional questions.</w:t>
      </w:r>
    </w:p>
    <w:p w:rsidR="0076549D" w:rsidRDefault="0076549D" w:rsidP="0076549D"/>
    <w:p w:rsidR="0076549D" w:rsidRDefault="0076549D" w:rsidP="0076549D">
      <w:pPr>
        <w:autoSpaceDE w:val="0"/>
        <w:autoSpaceDN w:val="0"/>
        <w:adjustRightInd w:val="0"/>
        <w:spacing w:after="0" w:line="240" w:lineRule="auto"/>
        <w:jc w:val="both"/>
        <w:rPr>
          <w:rFonts w:ascii="Arial" w:hAnsi="Arial" w:cs="Arial"/>
        </w:rPr>
      </w:pPr>
    </w:p>
    <w:tbl>
      <w:tblPr>
        <w:tblStyle w:val="TableGrid"/>
        <w:tblW w:w="9634" w:type="dxa"/>
        <w:tblLayout w:type="fixed"/>
        <w:tblLook w:val="04A0" w:firstRow="1" w:lastRow="0" w:firstColumn="1" w:lastColumn="0" w:noHBand="0" w:noVBand="1"/>
      </w:tblPr>
      <w:tblGrid>
        <w:gridCol w:w="846"/>
        <w:gridCol w:w="5812"/>
        <w:gridCol w:w="992"/>
        <w:gridCol w:w="850"/>
        <w:gridCol w:w="1134"/>
      </w:tblGrid>
      <w:tr w:rsidR="0076549D" w:rsidRPr="00E1472A" w:rsidTr="000F26BE">
        <w:trPr>
          <w:cantSplit/>
          <w:trHeight w:val="1134"/>
        </w:trPr>
        <w:tc>
          <w:tcPr>
            <w:tcW w:w="846" w:type="dxa"/>
          </w:tcPr>
          <w:p w:rsidR="0076549D" w:rsidRPr="00E1472A" w:rsidRDefault="0076549D" w:rsidP="000F26BE">
            <w:pPr>
              <w:autoSpaceDE w:val="0"/>
              <w:autoSpaceDN w:val="0"/>
              <w:adjustRightInd w:val="0"/>
              <w:jc w:val="center"/>
              <w:rPr>
                <w:rFonts w:ascii="Arial" w:hAnsi="Arial" w:cs="Arial"/>
                <w:b/>
                <w:sz w:val="18"/>
                <w:szCs w:val="18"/>
              </w:rPr>
            </w:pPr>
            <w:r w:rsidRPr="00E1472A">
              <w:rPr>
                <w:rFonts w:ascii="Arial" w:hAnsi="Arial" w:cs="Arial"/>
                <w:b/>
                <w:sz w:val="18"/>
                <w:szCs w:val="18"/>
              </w:rPr>
              <w:t>Code</w:t>
            </w:r>
          </w:p>
        </w:tc>
        <w:tc>
          <w:tcPr>
            <w:tcW w:w="5812" w:type="dxa"/>
          </w:tcPr>
          <w:p w:rsidR="0076549D" w:rsidRPr="00E1472A" w:rsidRDefault="0076549D" w:rsidP="000F26BE">
            <w:pPr>
              <w:autoSpaceDE w:val="0"/>
              <w:autoSpaceDN w:val="0"/>
              <w:adjustRightInd w:val="0"/>
              <w:jc w:val="center"/>
              <w:rPr>
                <w:rFonts w:ascii="Arial" w:hAnsi="Arial" w:cs="Arial"/>
                <w:b/>
                <w:sz w:val="18"/>
                <w:szCs w:val="18"/>
              </w:rPr>
            </w:pPr>
            <w:r w:rsidRPr="00E1472A">
              <w:rPr>
                <w:rFonts w:ascii="Arial" w:hAnsi="Arial" w:cs="Arial"/>
                <w:b/>
                <w:sz w:val="18"/>
                <w:szCs w:val="18"/>
              </w:rPr>
              <w:t>Question</w:t>
            </w:r>
          </w:p>
        </w:tc>
        <w:tc>
          <w:tcPr>
            <w:tcW w:w="992" w:type="dxa"/>
            <w:textDirection w:val="btLr"/>
          </w:tcPr>
          <w:p w:rsidR="0076549D" w:rsidRPr="00E1472A" w:rsidRDefault="0076549D" w:rsidP="000F26BE">
            <w:pPr>
              <w:autoSpaceDE w:val="0"/>
              <w:autoSpaceDN w:val="0"/>
              <w:adjustRightInd w:val="0"/>
              <w:ind w:left="113" w:right="113"/>
              <w:rPr>
                <w:rFonts w:ascii="Arial" w:hAnsi="Arial" w:cs="Arial"/>
                <w:b/>
                <w:sz w:val="18"/>
                <w:szCs w:val="18"/>
              </w:rPr>
            </w:pPr>
            <w:r w:rsidRPr="00E1472A">
              <w:rPr>
                <w:rFonts w:ascii="Arial" w:hAnsi="Arial" w:cs="Arial"/>
                <w:b/>
                <w:sz w:val="18"/>
                <w:szCs w:val="18"/>
              </w:rPr>
              <w:t>Beliefs Scale</w:t>
            </w:r>
          </w:p>
        </w:tc>
        <w:tc>
          <w:tcPr>
            <w:tcW w:w="850" w:type="dxa"/>
            <w:textDirection w:val="btLr"/>
          </w:tcPr>
          <w:p w:rsidR="0076549D" w:rsidRPr="00E1472A" w:rsidRDefault="0076549D" w:rsidP="000F26BE">
            <w:pPr>
              <w:autoSpaceDE w:val="0"/>
              <w:autoSpaceDN w:val="0"/>
              <w:adjustRightInd w:val="0"/>
              <w:ind w:left="113" w:right="113"/>
              <w:rPr>
                <w:rFonts w:ascii="Arial" w:hAnsi="Arial" w:cs="Arial"/>
                <w:b/>
                <w:sz w:val="18"/>
                <w:szCs w:val="18"/>
              </w:rPr>
            </w:pPr>
            <w:r w:rsidRPr="00E1472A">
              <w:rPr>
                <w:rFonts w:ascii="Arial" w:hAnsi="Arial" w:cs="Arial"/>
                <w:b/>
                <w:sz w:val="18"/>
                <w:szCs w:val="18"/>
              </w:rPr>
              <w:t>Weighting Scale</w:t>
            </w:r>
          </w:p>
        </w:tc>
        <w:tc>
          <w:tcPr>
            <w:tcW w:w="1134" w:type="dxa"/>
            <w:textDirection w:val="btLr"/>
          </w:tcPr>
          <w:p w:rsidR="0076549D" w:rsidRPr="00E1472A" w:rsidRDefault="0076549D" w:rsidP="000F26BE">
            <w:pPr>
              <w:autoSpaceDE w:val="0"/>
              <w:autoSpaceDN w:val="0"/>
              <w:adjustRightInd w:val="0"/>
              <w:ind w:left="113" w:right="113"/>
              <w:rPr>
                <w:rFonts w:ascii="Arial" w:hAnsi="Arial" w:cs="Arial"/>
                <w:b/>
                <w:sz w:val="18"/>
                <w:szCs w:val="18"/>
              </w:rPr>
            </w:pPr>
            <w:r>
              <w:rPr>
                <w:rFonts w:ascii="Arial" w:hAnsi="Arial" w:cs="Arial"/>
                <w:b/>
                <w:sz w:val="18"/>
                <w:szCs w:val="18"/>
              </w:rPr>
              <w:t xml:space="preserve">Latent </w:t>
            </w:r>
            <w:r w:rsidRPr="00E1472A">
              <w:rPr>
                <w:rFonts w:ascii="Arial" w:hAnsi="Arial" w:cs="Arial"/>
                <w:b/>
                <w:sz w:val="18"/>
                <w:szCs w:val="18"/>
              </w:rPr>
              <w:t>Variable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EGDP</w:t>
            </w:r>
          </w:p>
        </w:tc>
        <w:tc>
          <w:tcPr>
            <w:tcW w:w="5812" w:type="dxa"/>
          </w:tcPr>
          <w:p w:rsidR="0076549D" w:rsidRDefault="0076549D" w:rsidP="000F26BE">
            <w:pPr>
              <w:autoSpaceDE w:val="0"/>
              <w:autoSpaceDN w:val="0"/>
              <w:adjustRightInd w:val="0"/>
              <w:jc w:val="both"/>
              <w:rPr>
                <w:rFonts w:ascii="Arial" w:hAnsi="Arial" w:cs="Arial"/>
              </w:rPr>
            </w:pPr>
            <w:r w:rsidRPr="005D459D">
              <w:rPr>
                <w:rFonts w:ascii="Arial" w:hAnsi="Arial" w:cs="Arial"/>
              </w:rPr>
              <w:t>I gave the assessed script the s</w:t>
            </w:r>
            <w:r>
              <w:rPr>
                <w:rFonts w:ascii="Arial" w:hAnsi="Arial" w:cs="Arial"/>
              </w:rPr>
              <w:t>ame amount of time as the prece</w:t>
            </w:r>
            <w:r w:rsidRPr="005D459D">
              <w:rPr>
                <w:rFonts w:ascii="Arial" w:hAnsi="Arial" w:cs="Arial"/>
              </w:rPr>
              <w:t>ding script</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POW0</w:t>
            </w:r>
          </w:p>
        </w:tc>
        <w:tc>
          <w:tcPr>
            <w:tcW w:w="5812" w:type="dxa"/>
          </w:tcPr>
          <w:p w:rsidR="0076549D" w:rsidRDefault="0076549D" w:rsidP="000F26BE">
            <w:pPr>
              <w:autoSpaceDE w:val="0"/>
              <w:autoSpaceDN w:val="0"/>
              <w:adjustRightInd w:val="0"/>
              <w:jc w:val="both"/>
              <w:rPr>
                <w:rFonts w:ascii="Arial" w:hAnsi="Arial" w:cs="Arial"/>
              </w:rPr>
            </w:pPr>
            <w:r w:rsidRPr="006F17A9">
              <w:rPr>
                <w:rFonts w:ascii="Arial" w:hAnsi="Arial" w:cs="Arial"/>
              </w:rPr>
              <w:t>The assessed script is towards the start of this assessment period</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jc w:val="center"/>
              <w:rPr>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POW1</w:t>
            </w:r>
          </w:p>
        </w:tc>
        <w:tc>
          <w:tcPr>
            <w:tcW w:w="5812" w:type="dxa"/>
          </w:tcPr>
          <w:p w:rsidR="0076549D" w:rsidRDefault="0076549D" w:rsidP="000F26BE">
            <w:pPr>
              <w:autoSpaceDE w:val="0"/>
              <w:autoSpaceDN w:val="0"/>
              <w:adjustRightInd w:val="0"/>
              <w:jc w:val="both"/>
              <w:rPr>
                <w:rFonts w:ascii="Arial" w:hAnsi="Arial" w:cs="Arial"/>
              </w:rPr>
            </w:pPr>
            <w:r w:rsidRPr="00FB4D84">
              <w:rPr>
                <w:rFonts w:ascii="Arial" w:hAnsi="Arial" w:cs="Arial"/>
              </w:rPr>
              <w:t>The assessed script is towards the middle</w:t>
            </w:r>
            <w:r>
              <w:rPr>
                <w:rFonts w:ascii="Arial" w:hAnsi="Arial" w:cs="Arial"/>
              </w:rPr>
              <w:t xml:space="preserve"> </w:t>
            </w:r>
            <w:r w:rsidRPr="00FB4D84">
              <w:rPr>
                <w:rFonts w:ascii="Arial" w:hAnsi="Arial" w:cs="Arial"/>
              </w:rPr>
              <w:t>of the assessment period</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jc w:val="center"/>
              <w:rPr>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POW2</w:t>
            </w:r>
          </w:p>
        </w:tc>
        <w:tc>
          <w:tcPr>
            <w:tcW w:w="5812" w:type="dxa"/>
          </w:tcPr>
          <w:p w:rsidR="0076549D" w:rsidRDefault="0076549D" w:rsidP="000F26BE">
            <w:pPr>
              <w:autoSpaceDE w:val="0"/>
              <w:autoSpaceDN w:val="0"/>
              <w:adjustRightInd w:val="0"/>
              <w:jc w:val="both"/>
              <w:rPr>
                <w:rFonts w:ascii="Arial" w:hAnsi="Arial" w:cs="Arial"/>
              </w:rPr>
            </w:pPr>
            <w:r w:rsidRPr="00FB4D84">
              <w:rPr>
                <w:rFonts w:ascii="Arial" w:hAnsi="Arial" w:cs="Arial"/>
              </w:rPr>
              <w:t xml:space="preserve">The assessed script is towards the </w:t>
            </w:r>
            <w:r>
              <w:rPr>
                <w:rFonts w:ascii="Arial" w:hAnsi="Arial" w:cs="Arial"/>
              </w:rPr>
              <w:t xml:space="preserve">end </w:t>
            </w:r>
            <w:r w:rsidRPr="00FB4D84">
              <w:rPr>
                <w:rFonts w:ascii="Arial" w:hAnsi="Arial" w:cs="Arial"/>
              </w:rPr>
              <w:t>of the assessment period</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jc w:val="center"/>
              <w:rPr>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AFH1</w:t>
            </w:r>
          </w:p>
        </w:tc>
        <w:tc>
          <w:tcPr>
            <w:tcW w:w="5812" w:type="dxa"/>
          </w:tcPr>
          <w:p w:rsidR="0076549D" w:rsidRDefault="0076549D" w:rsidP="000F26BE">
            <w:pPr>
              <w:autoSpaceDE w:val="0"/>
              <w:autoSpaceDN w:val="0"/>
              <w:adjustRightInd w:val="0"/>
              <w:jc w:val="both"/>
              <w:rPr>
                <w:rFonts w:ascii="Arial" w:hAnsi="Arial" w:cs="Arial"/>
              </w:rPr>
            </w:pPr>
            <w:r w:rsidRPr="00EA3830">
              <w:rPr>
                <w:rFonts w:ascii="Arial" w:hAnsi="Arial" w:cs="Arial"/>
              </w:rPr>
              <w:t>I personally engaged with the response of the assessed submission to the set task, finding it interesting.</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FORM</w:t>
            </w:r>
          </w:p>
        </w:tc>
        <w:tc>
          <w:tcPr>
            <w:tcW w:w="5812" w:type="dxa"/>
          </w:tcPr>
          <w:p w:rsidR="0076549D" w:rsidRDefault="0076549D" w:rsidP="000F26BE">
            <w:pPr>
              <w:autoSpaceDE w:val="0"/>
              <w:autoSpaceDN w:val="0"/>
              <w:adjustRightInd w:val="0"/>
              <w:jc w:val="both"/>
              <w:rPr>
                <w:rFonts w:ascii="Arial" w:hAnsi="Arial" w:cs="Arial"/>
              </w:rPr>
            </w:pPr>
            <w:r w:rsidRPr="00D74D8D">
              <w:rPr>
                <w:rFonts w:ascii="Arial" w:hAnsi="Arial" w:cs="Arial"/>
              </w:rPr>
              <w:t>I personally identified and have commented formatively upon this assessed response to the set task.</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AVHE</w:t>
            </w:r>
          </w:p>
        </w:tc>
        <w:tc>
          <w:tcPr>
            <w:tcW w:w="5812" w:type="dxa"/>
          </w:tcPr>
          <w:p w:rsidR="0076549D" w:rsidRDefault="0076549D" w:rsidP="000F26BE">
            <w:pPr>
              <w:autoSpaceDE w:val="0"/>
              <w:autoSpaceDN w:val="0"/>
              <w:adjustRightInd w:val="0"/>
              <w:jc w:val="both"/>
              <w:rPr>
                <w:rFonts w:ascii="Arial" w:hAnsi="Arial" w:cs="Arial"/>
              </w:rPr>
            </w:pPr>
            <w:r w:rsidRPr="00C13FB2">
              <w:rPr>
                <w:rFonts w:ascii="Arial" w:hAnsi="Arial" w:cs="Arial"/>
              </w:rPr>
              <w:t>In generating the assessment grade, I considered all the presented information and argument regardless of its layout.</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jc w:val="center"/>
              <w:rPr>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SBHE</w:t>
            </w:r>
          </w:p>
        </w:tc>
        <w:tc>
          <w:tcPr>
            <w:tcW w:w="5812" w:type="dxa"/>
          </w:tcPr>
          <w:p w:rsidR="0076549D" w:rsidRDefault="0076549D" w:rsidP="000F26BE">
            <w:pPr>
              <w:autoSpaceDE w:val="0"/>
              <w:autoSpaceDN w:val="0"/>
              <w:adjustRightInd w:val="0"/>
              <w:jc w:val="both"/>
              <w:rPr>
                <w:rFonts w:ascii="Arial" w:hAnsi="Arial" w:cs="Arial"/>
              </w:rPr>
            </w:pPr>
            <w:r w:rsidRPr="002127A9">
              <w:rPr>
                <w:rFonts w:ascii="Arial" w:hAnsi="Arial" w:cs="Arial"/>
              </w:rPr>
              <w:t>In generating the assessment grade I found it difficult to determine a grade as the previous submission was of very similar quality</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jc w:val="center"/>
              <w:rPr>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ACRU</w:t>
            </w:r>
          </w:p>
        </w:tc>
        <w:tc>
          <w:tcPr>
            <w:tcW w:w="5812" w:type="dxa"/>
          </w:tcPr>
          <w:p w:rsidR="0076549D" w:rsidRDefault="0076549D" w:rsidP="000F26BE">
            <w:pPr>
              <w:autoSpaceDE w:val="0"/>
              <w:autoSpaceDN w:val="0"/>
              <w:adjustRightInd w:val="0"/>
              <w:jc w:val="both"/>
              <w:rPr>
                <w:rFonts w:ascii="Arial" w:hAnsi="Arial" w:cs="Arial"/>
              </w:rPr>
            </w:pPr>
            <w:r>
              <w:rPr>
                <w:rFonts w:ascii="Arial" w:hAnsi="Arial" w:cs="Arial"/>
              </w:rPr>
              <w:t>During the assessment grading</w:t>
            </w:r>
            <w:r w:rsidRPr="002127A9">
              <w:rPr>
                <w:rFonts w:ascii="Arial" w:hAnsi="Arial" w:cs="Arial"/>
              </w:rPr>
              <w:t>, I actively reviewed the assessment criteria</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PBC</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ANCO</w:t>
            </w:r>
          </w:p>
        </w:tc>
        <w:tc>
          <w:tcPr>
            <w:tcW w:w="5812" w:type="dxa"/>
          </w:tcPr>
          <w:p w:rsidR="0076549D" w:rsidRDefault="0076549D" w:rsidP="000F26BE">
            <w:pPr>
              <w:autoSpaceDE w:val="0"/>
              <w:autoSpaceDN w:val="0"/>
              <w:adjustRightInd w:val="0"/>
              <w:jc w:val="both"/>
              <w:rPr>
                <w:rFonts w:ascii="Arial" w:hAnsi="Arial" w:cs="Arial"/>
              </w:rPr>
            </w:pPr>
            <w:r w:rsidRPr="0027337D">
              <w:rPr>
                <w:rFonts w:ascii="Arial" w:hAnsi="Arial" w:cs="Arial"/>
              </w:rPr>
              <w:t>In determin</w:t>
            </w:r>
            <w:r>
              <w:rPr>
                <w:rFonts w:ascii="Arial" w:hAnsi="Arial" w:cs="Arial"/>
              </w:rPr>
              <w:t>in</w:t>
            </w:r>
            <w:r w:rsidRPr="0027337D">
              <w:rPr>
                <w:rFonts w:ascii="Arial" w:hAnsi="Arial" w:cs="Arial"/>
              </w:rPr>
              <w:t>g the grade for the assessed script, I considered the meaning intended by the writer</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+1 to +10</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-3 to +3</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ALRA</w:t>
            </w:r>
          </w:p>
        </w:tc>
        <w:tc>
          <w:tcPr>
            <w:tcW w:w="5812" w:type="dxa"/>
          </w:tcPr>
          <w:p w:rsidR="0076549D" w:rsidRDefault="0076549D" w:rsidP="000F26BE">
            <w:pPr>
              <w:autoSpaceDE w:val="0"/>
              <w:autoSpaceDN w:val="0"/>
              <w:adjustRightInd w:val="0"/>
              <w:jc w:val="both"/>
              <w:rPr>
                <w:rFonts w:ascii="Arial" w:hAnsi="Arial" w:cs="Arial"/>
              </w:rPr>
            </w:pPr>
            <w:r w:rsidRPr="00D13ACD">
              <w:rPr>
                <w:rFonts w:ascii="Arial" w:hAnsi="Arial" w:cs="Arial"/>
              </w:rPr>
              <w:t>In allocating the mark for the assessed submission I reflected on the number of first class and upper second class marks already allocated</w:t>
            </w:r>
          </w:p>
        </w:tc>
        <w:tc>
          <w:tcPr>
            <w:tcW w:w="992" w:type="dxa"/>
          </w:tcPr>
          <w:p w:rsidR="0076549D" w:rsidRPr="00030E59" w:rsidRDefault="0076549D" w:rsidP="000F26BE">
            <w:pPr>
              <w:pStyle w:val="NoSpacing"/>
              <w:jc w:val="center"/>
              <w:rPr>
                <w:rFonts w:ascii="Arial" w:hAnsi="Arial" w:cs="Arial"/>
                <w:sz w:val="16"/>
                <w:szCs w:val="16"/>
              </w:rPr>
            </w:pPr>
            <w:r w:rsidRPr="00030E59">
              <w:rPr>
                <w:rFonts w:ascii="Arial" w:hAnsi="Arial" w:cs="Arial"/>
                <w:sz w:val="16"/>
                <w:szCs w:val="16"/>
              </w:rPr>
              <w:t>-3 to +3</w:t>
            </w:r>
          </w:p>
        </w:tc>
        <w:tc>
          <w:tcPr>
            <w:tcW w:w="850" w:type="dxa"/>
          </w:tcPr>
          <w:p w:rsidR="0076549D" w:rsidRPr="00030E59" w:rsidRDefault="0076549D" w:rsidP="000F26BE">
            <w:pPr>
              <w:pStyle w:val="NoSpacing"/>
              <w:jc w:val="center"/>
              <w:rPr>
                <w:rFonts w:ascii="Arial" w:hAnsi="Arial" w:cs="Arial"/>
                <w:sz w:val="16"/>
                <w:szCs w:val="16"/>
              </w:rPr>
            </w:pPr>
            <w:r w:rsidRPr="00030E59">
              <w:rPr>
                <w:rFonts w:ascii="Arial" w:hAnsi="Arial" w:cs="Arial"/>
                <w:sz w:val="16"/>
                <w:szCs w:val="16"/>
              </w:rPr>
              <w:t>+1 to +10</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SN</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POR1</w:t>
            </w:r>
          </w:p>
        </w:tc>
        <w:tc>
          <w:tcPr>
            <w:tcW w:w="5812" w:type="dxa"/>
          </w:tcPr>
          <w:p w:rsidR="0076549D" w:rsidRDefault="0076549D" w:rsidP="000F26BE">
            <w:pPr>
              <w:autoSpaceDE w:val="0"/>
              <w:autoSpaceDN w:val="0"/>
              <w:adjustRightInd w:val="0"/>
              <w:jc w:val="both"/>
              <w:rPr>
                <w:rFonts w:ascii="Arial" w:hAnsi="Arial" w:cs="Arial"/>
              </w:rPr>
            </w:pPr>
            <w:r w:rsidRPr="0098795C">
              <w:rPr>
                <w:rFonts w:ascii="Arial" w:hAnsi="Arial" w:cs="Arial"/>
              </w:rPr>
              <w:t>The assessed script ha</w:t>
            </w:r>
            <w:r>
              <w:rPr>
                <w:rFonts w:ascii="Arial" w:hAnsi="Arial" w:cs="Arial"/>
              </w:rPr>
              <w:t>s followed a poorly graded prec</w:t>
            </w:r>
            <w:r w:rsidRPr="0098795C">
              <w:rPr>
                <w:rFonts w:ascii="Arial" w:hAnsi="Arial" w:cs="Arial"/>
              </w:rPr>
              <w:t>eding script</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Yes or no</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NA</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POR2</w:t>
            </w:r>
          </w:p>
        </w:tc>
        <w:tc>
          <w:tcPr>
            <w:tcW w:w="5812" w:type="dxa"/>
          </w:tcPr>
          <w:p w:rsidR="0076549D" w:rsidRDefault="0076549D" w:rsidP="000F26BE">
            <w:pPr>
              <w:autoSpaceDE w:val="0"/>
              <w:autoSpaceDN w:val="0"/>
              <w:adjustRightInd w:val="0"/>
              <w:jc w:val="both"/>
              <w:rPr>
                <w:rFonts w:ascii="Arial" w:hAnsi="Arial" w:cs="Arial"/>
              </w:rPr>
            </w:pPr>
            <w:r w:rsidRPr="0098795C">
              <w:rPr>
                <w:rFonts w:ascii="Arial" w:hAnsi="Arial" w:cs="Arial"/>
              </w:rPr>
              <w:t>The assessed script ha</w:t>
            </w:r>
            <w:r>
              <w:rPr>
                <w:rFonts w:ascii="Arial" w:hAnsi="Arial" w:cs="Arial"/>
              </w:rPr>
              <w:t>s followed a highly graded prec</w:t>
            </w:r>
            <w:r w:rsidRPr="0098795C">
              <w:rPr>
                <w:rFonts w:ascii="Arial" w:hAnsi="Arial" w:cs="Arial"/>
              </w:rPr>
              <w:t>eding script</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Yes or no</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NA</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POR3</w:t>
            </w:r>
          </w:p>
        </w:tc>
        <w:tc>
          <w:tcPr>
            <w:tcW w:w="5812" w:type="dxa"/>
          </w:tcPr>
          <w:p w:rsidR="0076549D" w:rsidRDefault="0076549D" w:rsidP="000F26BE">
            <w:pPr>
              <w:autoSpaceDE w:val="0"/>
              <w:autoSpaceDN w:val="0"/>
              <w:adjustRightInd w:val="0"/>
              <w:jc w:val="both"/>
              <w:rPr>
                <w:rFonts w:ascii="Arial" w:hAnsi="Arial" w:cs="Arial"/>
              </w:rPr>
            </w:pPr>
            <w:r w:rsidRPr="0098795C">
              <w:rPr>
                <w:rFonts w:ascii="Arial" w:hAnsi="Arial" w:cs="Arial"/>
              </w:rPr>
              <w:t>The assessed script has followed an averagely graded script</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Yes or no</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NA</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AE</w:t>
            </w:r>
          </w:p>
        </w:tc>
      </w:tr>
      <w:tr w:rsidR="0076549D" w:rsidTr="000F26BE">
        <w:tc>
          <w:tcPr>
            <w:tcW w:w="846" w:type="dxa"/>
          </w:tcPr>
          <w:p w:rsidR="0076549D" w:rsidRPr="000F0DB6" w:rsidRDefault="0076549D" w:rsidP="000F26BE">
            <w:pPr>
              <w:autoSpaceDE w:val="0"/>
              <w:autoSpaceDN w:val="0"/>
              <w:adjustRightInd w:val="0"/>
              <w:jc w:val="center"/>
              <w:rPr>
                <w:rFonts w:ascii="Arial" w:hAnsi="Arial" w:cs="Arial"/>
                <w:sz w:val="16"/>
                <w:szCs w:val="16"/>
              </w:rPr>
            </w:pPr>
            <w:r w:rsidRPr="000F0DB6">
              <w:rPr>
                <w:rFonts w:ascii="Arial" w:hAnsi="Arial" w:cs="Arial"/>
                <w:sz w:val="16"/>
                <w:szCs w:val="16"/>
              </w:rPr>
              <w:t>ACRE</w:t>
            </w:r>
          </w:p>
        </w:tc>
        <w:tc>
          <w:tcPr>
            <w:tcW w:w="5812" w:type="dxa"/>
          </w:tcPr>
          <w:p w:rsidR="0076549D" w:rsidRDefault="0076549D" w:rsidP="000F26BE">
            <w:pPr>
              <w:autoSpaceDE w:val="0"/>
              <w:autoSpaceDN w:val="0"/>
              <w:adjustRightInd w:val="0"/>
              <w:jc w:val="both"/>
              <w:rPr>
                <w:rFonts w:ascii="Arial" w:hAnsi="Arial" w:cs="Arial"/>
              </w:rPr>
            </w:pPr>
            <w:r w:rsidRPr="00DB0F95">
              <w:rPr>
                <w:rFonts w:ascii="Arial" w:hAnsi="Arial" w:cs="Arial"/>
              </w:rPr>
              <w:t>I assessed the script for it use of  academic register and ensuring conventions were adhered to</w:t>
            </w:r>
          </w:p>
        </w:tc>
        <w:tc>
          <w:tcPr>
            <w:tcW w:w="992"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Yes or no</w:t>
            </w:r>
          </w:p>
        </w:tc>
        <w:tc>
          <w:tcPr>
            <w:tcW w:w="850"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NA</w:t>
            </w:r>
          </w:p>
        </w:tc>
        <w:tc>
          <w:tcPr>
            <w:tcW w:w="1134" w:type="dxa"/>
          </w:tcPr>
          <w:p w:rsidR="0076549D" w:rsidRPr="00030E59" w:rsidRDefault="0076549D" w:rsidP="000F26BE">
            <w:pPr>
              <w:autoSpaceDE w:val="0"/>
              <w:autoSpaceDN w:val="0"/>
              <w:adjustRightInd w:val="0"/>
              <w:jc w:val="center"/>
              <w:rPr>
                <w:rFonts w:ascii="Arial" w:hAnsi="Arial" w:cs="Arial"/>
                <w:sz w:val="16"/>
                <w:szCs w:val="16"/>
              </w:rPr>
            </w:pPr>
            <w:r w:rsidRPr="00030E59">
              <w:rPr>
                <w:rFonts w:ascii="Arial" w:hAnsi="Arial" w:cs="Arial"/>
                <w:sz w:val="16"/>
                <w:szCs w:val="16"/>
              </w:rPr>
              <w:t>SN</w:t>
            </w:r>
          </w:p>
        </w:tc>
      </w:tr>
    </w:tbl>
    <w:p w:rsidR="0076549D" w:rsidRDefault="0076549D" w:rsidP="0076549D">
      <w:pPr>
        <w:autoSpaceDE w:val="0"/>
        <w:autoSpaceDN w:val="0"/>
        <w:adjustRightInd w:val="0"/>
        <w:spacing w:after="0" w:line="240" w:lineRule="auto"/>
        <w:jc w:val="center"/>
        <w:rPr>
          <w:rFonts w:ascii="Arial" w:hAnsi="Arial" w:cs="Arial"/>
          <w:b/>
        </w:rPr>
      </w:pPr>
    </w:p>
    <w:p w:rsidR="0076549D" w:rsidRDefault="0076549D" w:rsidP="0076549D">
      <w:pPr>
        <w:autoSpaceDE w:val="0"/>
        <w:autoSpaceDN w:val="0"/>
        <w:adjustRightInd w:val="0"/>
        <w:spacing w:after="0" w:line="240" w:lineRule="auto"/>
        <w:jc w:val="center"/>
        <w:rPr>
          <w:rFonts w:ascii="Arial" w:hAnsi="Arial" w:cs="Arial"/>
        </w:rPr>
      </w:pPr>
      <w:r>
        <w:rPr>
          <w:rFonts w:ascii="Arial" w:hAnsi="Arial" w:cs="Arial"/>
          <w:b/>
        </w:rPr>
        <w:t>Table 4</w:t>
      </w:r>
      <w:r>
        <w:rPr>
          <w:rFonts w:ascii="Arial" w:hAnsi="Arial" w:cs="Arial"/>
        </w:rPr>
        <w:t xml:space="preserve"> – Coding constructs for data collection</w:t>
      </w:r>
    </w:p>
    <w:p w:rsidR="0076549D" w:rsidRDefault="0076549D" w:rsidP="0076549D">
      <w:pPr>
        <w:autoSpaceDE w:val="0"/>
        <w:autoSpaceDN w:val="0"/>
        <w:adjustRightInd w:val="0"/>
        <w:spacing w:after="0" w:line="240" w:lineRule="auto"/>
        <w:jc w:val="center"/>
        <w:rPr>
          <w:rFonts w:ascii="Arial" w:hAnsi="Arial" w:cs="Arial"/>
        </w:rPr>
      </w:pPr>
    </w:p>
    <w:p w:rsidR="0076549D" w:rsidRDefault="0076549D" w:rsidP="0076549D">
      <w:pPr>
        <w:autoSpaceDE w:val="0"/>
        <w:autoSpaceDN w:val="0"/>
        <w:adjustRightInd w:val="0"/>
        <w:spacing w:after="0" w:line="240" w:lineRule="auto"/>
        <w:rPr>
          <w:rFonts w:ascii="Arial" w:hAnsi="Arial" w:cs="Arial"/>
        </w:rPr>
      </w:pPr>
    </w:p>
    <w:tbl>
      <w:tblPr>
        <w:tblW w:w="9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6"/>
        <w:gridCol w:w="992"/>
        <w:gridCol w:w="992"/>
        <w:gridCol w:w="1134"/>
        <w:gridCol w:w="851"/>
        <w:gridCol w:w="1134"/>
        <w:gridCol w:w="1134"/>
        <w:gridCol w:w="850"/>
        <w:gridCol w:w="1134"/>
        <w:gridCol w:w="1134"/>
      </w:tblGrid>
      <w:tr w:rsidR="0076549D" w:rsidRPr="00F24B43" w:rsidTr="000F26BE">
        <w:trPr>
          <w:cantSplit/>
        </w:trPr>
        <w:tc>
          <w:tcPr>
            <w:tcW w:w="406" w:type="dxa"/>
            <w:vMerge w:val="restart"/>
            <w:tcBorders>
              <w:top w:val="single" w:sz="16" w:space="0" w:color="000000"/>
              <w:left w:val="single" w:sz="16" w:space="0" w:color="000000"/>
              <w:bottom w:val="nil"/>
              <w:right w:val="single" w:sz="16" w:space="0" w:color="000000"/>
            </w:tcBorders>
            <w:shd w:val="clear" w:color="auto" w:fill="FFFFFF"/>
            <w:textDirection w:val="btLr"/>
            <w:vAlign w:val="bottom"/>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20164D">
              <w:rPr>
                <w:rFonts w:ascii="Arial" w:hAnsi="Arial" w:cs="Arial"/>
                <w:i/>
                <w:color w:val="000000"/>
                <w:sz w:val="18"/>
                <w:szCs w:val="18"/>
              </w:rPr>
              <w:t>Componen</w:t>
            </w:r>
            <w:r w:rsidRPr="00F24B43">
              <w:rPr>
                <w:rFonts w:ascii="Arial" w:hAnsi="Arial" w:cs="Arial"/>
                <w:color w:val="000000"/>
                <w:sz w:val="18"/>
                <w:szCs w:val="18"/>
              </w:rPr>
              <w:t>t</w:t>
            </w:r>
          </w:p>
        </w:tc>
        <w:tc>
          <w:tcPr>
            <w:tcW w:w="3118" w:type="dxa"/>
            <w:gridSpan w:val="3"/>
            <w:tcBorders>
              <w:top w:val="single" w:sz="16" w:space="0" w:color="000000"/>
              <w:left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Initial Eigenvalues</w:t>
            </w:r>
          </w:p>
        </w:tc>
        <w:tc>
          <w:tcPr>
            <w:tcW w:w="3119" w:type="dxa"/>
            <w:gridSpan w:val="3"/>
            <w:tcBorders>
              <w:top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Extraction Sums of Squared Loadings</w:t>
            </w:r>
          </w:p>
        </w:tc>
        <w:tc>
          <w:tcPr>
            <w:tcW w:w="3118" w:type="dxa"/>
            <w:gridSpan w:val="3"/>
            <w:tcBorders>
              <w:top w:val="single" w:sz="16" w:space="0" w:color="000000"/>
              <w:right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Rotation Sums of Squared Loadings</w:t>
            </w:r>
          </w:p>
        </w:tc>
      </w:tr>
      <w:tr w:rsidR="0076549D" w:rsidRPr="00F24B43" w:rsidTr="000F26BE">
        <w:trPr>
          <w:cantSplit/>
          <w:trHeight w:val="710"/>
        </w:trPr>
        <w:tc>
          <w:tcPr>
            <w:tcW w:w="406" w:type="dxa"/>
            <w:vMerge/>
            <w:tcBorders>
              <w:top w:val="single" w:sz="16" w:space="0" w:color="000000"/>
              <w:left w:val="single" w:sz="16" w:space="0" w:color="000000"/>
              <w:bottom w:val="nil"/>
              <w:right w:val="single" w:sz="16" w:space="0" w:color="000000"/>
            </w:tcBorders>
            <w:shd w:val="clear" w:color="auto" w:fill="FFFFFF"/>
            <w:vAlign w:val="bottom"/>
          </w:tcPr>
          <w:p w:rsidR="0076549D" w:rsidRPr="00F24B43" w:rsidRDefault="0076549D" w:rsidP="000F26BE">
            <w:pPr>
              <w:autoSpaceDE w:val="0"/>
              <w:autoSpaceDN w:val="0"/>
              <w:adjustRightInd w:val="0"/>
              <w:spacing w:after="0" w:line="240" w:lineRule="auto"/>
              <w:rPr>
                <w:rFonts w:ascii="Arial" w:hAnsi="Arial" w:cs="Arial"/>
                <w:color w:val="000000"/>
                <w:sz w:val="18"/>
                <w:szCs w:val="18"/>
              </w:rPr>
            </w:pPr>
          </w:p>
        </w:tc>
        <w:tc>
          <w:tcPr>
            <w:tcW w:w="992" w:type="dxa"/>
            <w:tcBorders>
              <w:left w:val="single" w:sz="16" w:space="0" w:color="000000"/>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Total</w:t>
            </w:r>
          </w:p>
        </w:tc>
        <w:tc>
          <w:tcPr>
            <w:tcW w:w="992"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 of Variance</w:t>
            </w:r>
          </w:p>
        </w:tc>
        <w:tc>
          <w:tcPr>
            <w:tcW w:w="1134"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Cumulative %</w:t>
            </w:r>
          </w:p>
        </w:tc>
        <w:tc>
          <w:tcPr>
            <w:tcW w:w="851"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Total</w:t>
            </w:r>
          </w:p>
        </w:tc>
        <w:tc>
          <w:tcPr>
            <w:tcW w:w="1134"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 of Variance</w:t>
            </w:r>
          </w:p>
        </w:tc>
        <w:tc>
          <w:tcPr>
            <w:tcW w:w="1134"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Cumulative %</w:t>
            </w:r>
          </w:p>
        </w:tc>
        <w:tc>
          <w:tcPr>
            <w:tcW w:w="850"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Total</w:t>
            </w:r>
          </w:p>
        </w:tc>
        <w:tc>
          <w:tcPr>
            <w:tcW w:w="1134"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 of Variance</w:t>
            </w:r>
          </w:p>
        </w:tc>
        <w:tc>
          <w:tcPr>
            <w:tcW w:w="1134" w:type="dxa"/>
            <w:tcBorders>
              <w:bottom w:val="single" w:sz="16" w:space="0" w:color="000000"/>
              <w:right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Cumulative %</w:t>
            </w:r>
          </w:p>
        </w:tc>
      </w:tr>
      <w:tr w:rsidR="0076549D" w:rsidRPr="00F24B43" w:rsidTr="000F26BE">
        <w:trPr>
          <w:cantSplit/>
        </w:trPr>
        <w:tc>
          <w:tcPr>
            <w:tcW w:w="406" w:type="dxa"/>
            <w:tcBorders>
              <w:top w:val="single" w:sz="16" w:space="0" w:color="000000"/>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lastRenderedPageBreak/>
              <w:t>1</w:t>
            </w:r>
          </w:p>
        </w:tc>
        <w:tc>
          <w:tcPr>
            <w:tcW w:w="992" w:type="dxa"/>
            <w:tcBorders>
              <w:top w:val="single" w:sz="16" w:space="0" w:color="000000"/>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3.343</w:t>
            </w:r>
          </w:p>
        </w:tc>
        <w:tc>
          <w:tcPr>
            <w:tcW w:w="992"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30.390</w:t>
            </w:r>
          </w:p>
        </w:tc>
        <w:tc>
          <w:tcPr>
            <w:tcW w:w="1134"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30.390</w:t>
            </w:r>
          </w:p>
        </w:tc>
        <w:tc>
          <w:tcPr>
            <w:tcW w:w="851"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3.343</w:t>
            </w:r>
          </w:p>
        </w:tc>
        <w:tc>
          <w:tcPr>
            <w:tcW w:w="1134"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30.390</w:t>
            </w:r>
          </w:p>
        </w:tc>
        <w:tc>
          <w:tcPr>
            <w:tcW w:w="1134"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30.390</w:t>
            </w:r>
          </w:p>
        </w:tc>
        <w:tc>
          <w:tcPr>
            <w:tcW w:w="850"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2.435</w:t>
            </w:r>
          </w:p>
        </w:tc>
        <w:tc>
          <w:tcPr>
            <w:tcW w:w="1134"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22.133</w:t>
            </w:r>
          </w:p>
        </w:tc>
        <w:tc>
          <w:tcPr>
            <w:tcW w:w="1134" w:type="dxa"/>
            <w:tcBorders>
              <w:top w:val="single" w:sz="16" w:space="0" w:color="000000"/>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22.133</w:t>
            </w: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2</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1.826</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16.596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46.986</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1.826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16.596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46.986</w:t>
            </w: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2.303</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20.932</w:t>
            </w: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43.066</w:t>
            </w: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3</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1.380</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12.546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59.532</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1.380</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12.546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59.532</w:t>
            </w: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1.392</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12.652</w:t>
            </w: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55.718</w:t>
            </w: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4</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1.272</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11.562</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71.095</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1.272</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11.562</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71.095</w:t>
            </w: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1.387</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12.605</w:t>
            </w: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68.323</w:t>
            </w: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5</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1.060</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9.636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80.730</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1.060</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9.636</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80.730</w:t>
            </w: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1.365</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12.407</w:t>
            </w: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80.730</w:t>
            </w: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6</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.572</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5.198</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85.928</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7</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.556</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5.051</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90.979</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8</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.412</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3.749</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94.728</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9</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.261</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2.369</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97.097</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r w:rsidR="0076549D" w:rsidRPr="00F24B43" w:rsidTr="000F26BE">
        <w:trPr>
          <w:cantSplit/>
        </w:trPr>
        <w:tc>
          <w:tcPr>
            <w:tcW w:w="406"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10</w:t>
            </w:r>
          </w:p>
        </w:tc>
        <w:tc>
          <w:tcPr>
            <w:tcW w:w="992"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.182</w:t>
            </w:r>
          </w:p>
        </w:tc>
        <w:tc>
          <w:tcPr>
            <w:tcW w:w="992"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1.655</w:t>
            </w: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98.752</w:t>
            </w:r>
          </w:p>
        </w:tc>
        <w:tc>
          <w:tcPr>
            <w:tcW w:w="851"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r w:rsidR="0076549D" w:rsidRPr="00F24B43" w:rsidTr="000F26BE">
        <w:trPr>
          <w:cantSplit/>
        </w:trPr>
        <w:tc>
          <w:tcPr>
            <w:tcW w:w="406" w:type="dxa"/>
            <w:tcBorders>
              <w:top w:val="nil"/>
              <w:left w:val="single" w:sz="16" w:space="0" w:color="000000"/>
              <w:bottom w:val="single" w:sz="16" w:space="0" w:color="000000"/>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11</w:t>
            </w:r>
          </w:p>
        </w:tc>
        <w:tc>
          <w:tcPr>
            <w:tcW w:w="992" w:type="dxa"/>
            <w:tcBorders>
              <w:top w:val="nil"/>
              <w:left w:val="single" w:sz="16" w:space="0" w:color="000000"/>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.137</w:t>
            </w:r>
          </w:p>
        </w:tc>
        <w:tc>
          <w:tcPr>
            <w:tcW w:w="992"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1.248</w:t>
            </w:r>
          </w:p>
        </w:tc>
        <w:tc>
          <w:tcPr>
            <w:tcW w:w="1134"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100.000</w:t>
            </w:r>
          </w:p>
        </w:tc>
        <w:tc>
          <w:tcPr>
            <w:tcW w:w="851"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850"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1134" w:type="dxa"/>
            <w:tcBorders>
              <w:top w:val="nil"/>
              <w:bottom w:val="single" w:sz="16" w:space="0" w:color="000000"/>
              <w:right w:val="single" w:sz="16" w:space="0" w:color="000000"/>
            </w:tcBorders>
            <w:shd w:val="clear" w:color="auto" w:fill="FFFFFF"/>
            <w:vAlign w:val="center"/>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r>
    </w:tbl>
    <w:p w:rsidR="0076549D" w:rsidRDefault="0076549D" w:rsidP="0076549D">
      <w:pPr>
        <w:autoSpaceDE w:val="0"/>
        <w:autoSpaceDN w:val="0"/>
        <w:adjustRightInd w:val="0"/>
        <w:spacing w:after="0" w:line="400" w:lineRule="atLeast"/>
        <w:jc w:val="center"/>
        <w:rPr>
          <w:rFonts w:ascii="Arial" w:hAnsi="Arial" w:cs="Arial"/>
          <w:color w:val="000000"/>
        </w:rPr>
      </w:pPr>
      <w:r>
        <w:rPr>
          <w:rFonts w:ascii="Arial" w:hAnsi="Arial" w:cs="Arial"/>
          <w:b/>
        </w:rPr>
        <w:t>Table 5:</w:t>
      </w:r>
      <w:r w:rsidRPr="008747BD">
        <w:rPr>
          <w:rFonts w:ascii="Arial" w:hAnsi="Arial" w:cs="Arial"/>
        </w:rPr>
        <w:t xml:space="preserve"> </w:t>
      </w:r>
      <w:r w:rsidRPr="008747BD">
        <w:rPr>
          <w:rFonts w:ascii="Arial" w:hAnsi="Arial" w:cs="Arial"/>
          <w:color w:val="000000"/>
        </w:rPr>
        <w:t>– PCA Component Factor Analysis (limited to eigen</w:t>
      </w:r>
      <w:r>
        <w:rPr>
          <w:rFonts w:ascii="Arial" w:hAnsi="Arial" w:cs="Arial"/>
          <w:color w:val="000000"/>
        </w:rPr>
        <w:t xml:space="preserve">values </w:t>
      </w:r>
      <w:r w:rsidRPr="008747BD">
        <w:rPr>
          <w:rFonts w:ascii="Arial" w:hAnsi="Arial" w:cs="Arial"/>
          <w:color w:val="000000"/>
        </w:rPr>
        <w:t>&gt;1)</w:t>
      </w:r>
    </w:p>
    <w:p w:rsidR="0076549D" w:rsidRDefault="0076549D" w:rsidP="0076549D"/>
    <w:tbl>
      <w:tblPr>
        <w:tblW w:w="5979" w:type="dxa"/>
        <w:tblInd w:w="2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1030"/>
        <w:gridCol w:w="1030"/>
        <w:gridCol w:w="1030"/>
        <w:gridCol w:w="1030"/>
        <w:gridCol w:w="1030"/>
      </w:tblGrid>
      <w:tr w:rsidR="0076549D" w:rsidRPr="00F24B43" w:rsidTr="000F26BE">
        <w:trPr>
          <w:cantSplit/>
        </w:trPr>
        <w:tc>
          <w:tcPr>
            <w:tcW w:w="829" w:type="dxa"/>
            <w:vMerge w:val="restart"/>
            <w:tcBorders>
              <w:top w:val="single" w:sz="16" w:space="0" w:color="000000"/>
              <w:left w:val="single" w:sz="16" w:space="0" w:color="000000"/>
              <w:bottom w:val="nil"/>
              <w:right w:val="single" w:sz="16" w:space="0" w:color="000000"/>
            </w:tcBorders>
            <w:shd w:val="clear" w:color="auto" w:fill="FFFFFF"/>
            <w:vAlign w:val="bottom"/>
          </w:tcPr>
          <w:p w:rsidR="0076549D" w:rsidRPr="00F24B43" w:rsidRDefault="0076549D" w:rsidP="000F26BE">
            <w:pPr>
              <w:autoSpaceDE w:val="0"/>
              <w:autoSpaceDN w:val="0"/>
              <w:adjustRightInd w:val="0"/>
              <w:spacing w:after="0" w:line="240" w:lineRule="auto"/>
              <w:rPr>
                <w:rFonts w:ascii="Times New Roman" w:hAnsi="Times New Roman" w:cs="Times New Roman"/>
                <w:sz w:val="24"/>
                <w:szCs w:val="24"/>
              </w:rPr>
            </w:pPr>
          </w:p>
        </w:tc>
        <w:tc>
          <w:tcPr>
            <w:tcW w:w="5150" w:type="dxa"/>
            <w:gridSpan w:val="5"/>
            <w:tcBorders>
              <w:top w:val="single" w:sz="16" w:space="0" w:color="000000"/>
              <w:left w:val="single" w:sz="16" w:space="0" w:color="000000"/>
              <w:right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Component</w:t>
            </w:r>
          </w:p>
        </w:tc>
      </w:tr>
      <w:tr w:rsidR="0076549D" w:rsidRPr="00F24B43" w:rsidTr="000F26BE">
        <w:trPr>
          <w:cantSplit/>
        </w:trPr>
        <w:tc>
          <w:tcPr>
            <w:tcW w:w="829" w:type="dxa"/>
            <w:vMerge/>
            <w:tcBorders>
              <w:top w:val="single" w:sz="16" w:space="0" w:color="000000"/>
              <w:left w:val="single" w:sz="16" w:space="0" w:color="000000"/>
              <w:bottom w:val="nil"/>
              <w:right w:val="single" w:sz="16" w:space="0" w:color="000000"/>
            </w:tcBorders>
            <w:shd w:val="clear" w:color="auto" w:fill="FFFFFF"/>
            <w:vAlign w:val="bottom"/>
          </w:tcPr>
          <w:p w:rsidR="0076549D" w:rsidRPr="00F24B43" w:rsidRDefault="0076549D" w:rsidP="000F26BE">
            <w:pPr>
              <w:autoSpaceDE w:val="0"/>
              <w:autoSpaceDN w:val="0"/>
              <w:adjustRightInd w:val="0"/>
              <w:spacing w:after="0" w:line="240" w:lineRule="auto"/>
              <w:rPr>
                <w:rFonts w:ascii="Arial" w:hAnsi="Arial" w:cs="Arial"/>
                <w:color w:val="000000"/>
                <w:sz w:val="18"/>
                <w:szCs w:val="18"/>
              </w:rPr>
            </w:pPr>
          </w:p>
        </w:tc>
        <w:tc>
          <w:tcPr>
            <w:tcW w:w="1030" w:type="dxa"/>
            <w:tcBorders>
              <w:left w:val="single" w:sz="16" w:space="0" w:color="000000"/>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1</w:t>
            </w:r>
          </w:p>
        </w:tc>
        <w:tc>
          <w:tcPr>
            <w:tcW w:w="1030"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2</w:t>
            </w:r>
          </w:p>
        </w:tc>
        <w:tc>
          <w:tcPr>
            <w:tcW w:w="1030"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3</w:t>
            </w:r>
          </w:p>
        </w:tc>
        <w:tc>
          <w:tcPr>
            <w:tcW w:w="1030" w:type="dxa"/>
            <w:tcBorders>
              <w:bottom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4</w:t>
            </w:r>
          </w:p>
        </w:tc>
        <w:tc>
          <w:tcPr>
            <w:tcW w:w="1030" w:type="dxa"/>
            <w:tcBorders>
              <w:bottom w:val="single" w:sz="16" w:space="0" w:color="000000"/>
              <w:right w:val="single" w:sz="16" w:space="0" w:color="000000"/>
            </w:tcBorders>
            <w:shd w:val="clear" w:color="auto" w:fill="FFFFFF"/>
            <w:vAlign w:val="bottom"/>
          </w:tcPr>
          <w:p w:rsidR="0076549D" w:rsidRPr="00F24B43" w:rsidRDefault="0076549D" w:rsidP="000F26BE">
            <w:pPr>
              <w:autoSpaceDE w:val="0"/>
              <w:autoSpaceDN w:val="0"/>
              <w:adjustRightInd w:val="0"/>
              <w:spacing w:after="0" w:line="320" w:lineRule="atLeast"/>
              <w:ind w:left="60" w:right="60"/>
              <w:jc w:val="center"/>
              <w:rPr>
                <w:rFonts w:ascii="Arial" w:hAnsi="Arial" w:cs="Arial"/>
                <w:color w:val="000000"/>
                <w:sz w:val="18"/>
                <w:szCs w:val="18"/>
              </w:rPr>
            </w:pPr>
            <w:r w:rsidRPr="00F24B43">
              <w:rPr>
                <w:rFonts w:ascii="Arial" w:hAnsi="Arial" w:cs="Arial"/>
                <w:color w:val="000000"/>
                <w:sz w:val="18"/>
                <w:szCs w:val="18"/>
              </w:rPr>
              <w:t>5</w:t>
            </w:r>
          </w:p>
        </w:tc>
      </w:tr>
      <w:tr w:rsidR="0076549D" w:rsidRPr="00F24B43" w:rsidTr="000F26BE">
        <w:trPr>
          <w:cantSplit/>
        </w:trPr>
        <w:tc>
          <w:tcPr>
            <w:tcW w:w="829" w:type="dxa"/>
            <w:tcBorders>
              <w:top w:val="single" w:sz="16" w:space="0" w:color="000000"/>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EGDP</w:t>
            </w:r>
          </w:p>
        </w:tc>
        <w:tc>
          <w:tcPr>
            <w:tcW w:w="1030" w:type="dxa"/>
            <w:tcBorders>
              <w:top w:val="single" w:sz="16" w:space="0" w:color="000000"/>
              <w:left w:val="single" w:sz="16" w:space="0" w:color="000000"/>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.901</w:t>
            </w:r>
          </w:p>
        </w:tc>
        <w:tc>
          <w:tcPr>
            <w:tcW w:w="1030"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-.018</w:t>
            </w:r>
          </w:p>
        </w:tc>
        <w:tc>
          <w:tcPr>
            <w:tcW w:w="1030"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.134</w:t>
            </w:r>
          </w:p>
        </w:tc>
        <w:tc>
          <w:tcPr>
            <w:tcW w:w="1030" w:type="dxa"/>
            <w:tcBorders>
              <w:top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.009</w:t>
            </w:r>
          </w:p>
        </w:tc>
        <w:tc>
          <w:tcPr>
            <w:tcW w:w="1030" w:type="dxa"/>
            <w:tcBorders>
              <w:top w:val="single" w:sz="16" w:space="0" w:color="000000"/>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.056</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POW0</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-.056</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.339</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.274</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-.616</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-.564</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POW1</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.092</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.142</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.042</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.962</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-.088</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POW2</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.154</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.138</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.049</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-.061</w:t>
            </w:r>
          </w:p>
        </w:tc>
        <w:tc>
          <w:tcPr>
            <w:tcW w:w="1030" w:type="dxa"/>
            <w:tcBorders>
              <w:top w:val="nil"/>
              <w:bottom w:val="nil"/>
              <w:right w:val="single" w:sz="16" w:space="0" w:color="000000"/>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.941</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AFH1</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-.012</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.796</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-.020</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.071</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.140</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FORM</w:t>
            </w:r>
          </w:p>
        </w:tc>
        <w:tc>
          <w:tcPr>
            <w:tcW w:w="1030" w:type="dxa"/>
            <w:tcBorders>
              <w:top w:val="nil"/>
              <w:left w:val="single" w:sz="16" w:space="0" w:color="000000"/>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.865</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.214</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-.097</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.105</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.157</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AVHE</w:t>
            </w:r>
          </w:p>
        </w:tc>
        <w:tc>
          <w:tcPr>
            <w:tcW w:w="1030" w:type="dxa"/>
            <w:tcBorders>
              <w:top w:val="nil"/>
              <w:left w:val="single" w:sz="16" w:space="0" w:color="000000"/>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.596</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.635</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-.145</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.154</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.090</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ACRU</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.058</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.821</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.131</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-.071</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-.049</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SBHE</w:t>
            </w:r>
          </w:p>
        </w:tc>
        <w:tc>
          <w:tcPr>
            <w:tcW w:w="1030" w:type="dxa"/>
            <w:tcBorders>
              <w:top w:val="nil"/>
              <w:left w:val="single" w:sz="16" w:space="0" w:color="000000"/>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.353</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.016</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.760</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-.147</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-.206</w:t>
            </w:r>
          </w:p>
        </w:tc>
      </w:tr>
      <w:tr w:rsidR="0076549D" w:rsidRPr="00F24B43" w:rsidTr="000F26BE">
        <w:trPr>
          <w:cantSplit/>
        </w:trPr>
        <w:tc>
          <w:tcPr>
            <w:tcW w:w="829" w:type="dxa"/>
            <w:tcBorders>
              <w:top w:val="nil"/>
              <w:left w:val="single" w:sz="16" w:space="0" w:color="000000"/>
              <w:bottom w:val="nil"/>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ANCO</w:t>
            </w:r>
          </w:p>
        </w:tc>
        <w:tc>
          <w:tcPr>
            <w:tcW w:w="1030" w:type="dxa"/>
            <w:tcBorders>
              <w:top w:val="nil"/>
              <w:left w:val="single" w:sz="16" w:space="0" w:color="000000"/>
              <w:bottom w:val="nil"/>
            </w:tcBorders>
            <w:shd w:val="clear" w:color="auto" w:fill="D0CECE" w:themeFill="background2" w:themeFillShade="E6"/>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w:t>
            </w:r>
            <w:r w:rsidRPr="00F24B43">
              <w:rPr>
                <w:rFonts w:ascii="Arial" w:hAnsi="Arial" w:cs="Arial"/>
                <w:color w:val="000000"/>
                <w:sz w:val="18"/>
                <w:szCs w:val="18"/>
                <w:shd w:val="clear" w:color="auto" w:fill="D9D9D9" w:themeFill="background1" w:themeFillShade="D9"/>
              </w:rPr>
              <w:t>450</w:t>
            </w:r>
          </w:p>
        </w:tc>
        <w:tc>
          <w:tcPr>
            <w:tcW w:w="1030" w:type="dxa"/>
            <w:tcBorders>
              <w:top w:val="nil"/>
              <w:bottom w:val="nil"/>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.623</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-.237</w:t>
            </w:r>
          </w:p>
        </w:tc>
        <w:tc>
          <w:tcPr>
            <w:tcW w:w="1030" w:type="dxa"/>
            <w:tcBorders>
              <w:top w:val="nil"/>
              <w:bottom w:val="nil"/>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.023</w:t>
            </w:r>
          </w:p>
        </w:tc>
        <w:tc>
          <w:tcPr>
            <w:tcW w:w="1030" w:type="dxa"/>
            <w:tcBorders>
              <w:top w:val="nil"/>
              <w:bottom w:val="nil"/>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-.102</w:t>
            </w:r>
          </w:p>
        </w:tc>
      </w:tr>
      <w:tr w:rsidR="0076549D" w:rsidRPr="00F24B43" w:rsidTr="000F26BE">
        <w:trPr>
          <w:cantSplit/>
        </w:trPr>
        <w:tc>
          <w:tcPr>
            <w:tcW w:w="829" w:type="dxa"/>
            <w:tcBorders>
              <w:top w:val="nil"/>
              <w:left w:val="single" w:sz="16" w:space="0" w:color="000000"/>
              <w:bottom w:val="single" w:sz="16" w:space="0" w:color="000000"/>
              <w:right w:val="single" w:sz="16" w:space="0" w:color="000000"/>
            </w:tcBorders>
            <w:shd w:val="clear" w:color="auto" w:fill="FFFFFF"/>
          </w:tcPr>
          <w:p w:rsidR="0076549D" w:rsidRPr="00F24B43" w:rsidRDefault="0076549D" w:rsidP="000F26BE">
            <w:pPr>
              <w:autoSpaceDE w:val="0"/>
              <w:autoSpaceDN w:val="0"/>
              <w:adjustRightInd w:val="0"/>
              <w:spacing w:after="0" w:line="320" w:lineRule="atLeast"/>
              <w:ind w:left="60" w:right="60"/>
              <w:rPr>
                <w:rFonts w:ascii="Arial" w:hAnsi="Arial" w:cs="Arial"/>
                <w:color w:val="000000"/>
                <w:sz w:val="18"/>
                <w:szCs w:val="18"/>
              </w:rPr>
            </w:pPr>
            <w:r w:rsidRPr="00F24B43">
              <w:rPr>
                <w:rFonts w:ascii="Arial" w:hAnsi="Arial" w:cs="Arial"/>
                <w:color w:val="000000"/>
                <w:sz w:val="18"/>
                <w:szCs w:val="18"/>
              </w:rPr>
              <w:t>ALRA</w:t>
            </w:r>
          </w:p>
        </w:tc>
        <w:tc>
          <w:tcPr>
            <w:tcW w:w="1030" w:type="dxa"/>
            <w:tcBorders>
              <w:top w:val="nil"/>
              <w:left w:val="single" w:sz="16" w:space="0" w:color="000000"/>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-.392</w:t>
            </w:r>
          </w:p>
        </w:tc>
        <w:tc>
          <w:tcPr>
            <w:tcW w:w="1030"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-.049</w:t>
            </w:r>
          </w:p>
        </w:tc>
        <w:tc>
          <w:tcPr>
            <w:tcW w:w="1030" w:type="dxa"/>
            <w:tcBorders>
              <w:top w:val="nil"/>
              <w:bottom w:val="single" w:sz="16" w:space="0" w:color="000000"/>
            </w:tcBorders>
            <w:shd w:val="clear" w:color="auto" w:fill="D9D9D9" w:themeFill="background1" w:themeFillShade="D9"/>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.783</w:t>
            </w:r>
          </w:p>
        </w:tc>
        <w:tc>
          <w:tcPr>
            <w:tcW w:w="1030" w:type="dxa"/>
            <w:tcBorders>
              <w:top w:val="nil"/>
              <w:bottom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.110</w:t>
            </w:r>
          </w:p>
        </w:tc>
        <w:tc>
          <w:tcPr>
            <w:tcW w:w="1030" w:type="dxa"/>
            <w:tcBorders>
              <w:top w:val="nil"/>
              <w:bottom w:val="single" w:sz="16" w:space="0" w:color="000000"/>
              <w:right w:val="single" w:sz="16" w:space="0" w:color="000000"/>
            </w:tcBorders>
            <w:shd w:val="clear" w:color="auto" w:fill="FFFFFF"/>
            <w:vAlign w:val="center"/>
          </w:tcPr>
          <w:p w:rsidR="0076549D" w:rsidRPr="00F24B43" w:rsidRDefault="0076549D" w:rsidP="000F26BE">
            <w:pPr>
              <w:autoSpaceDE w:val="0"/>
              <w:autoSpaceDN w:val="0"/>
              <w:adjustRightInd w:val="0"/>
              <w:spacing w:after="0" w:line="320" w:lineRule="atLeast"/>
              <w:ind w:left="60" w:right="60"/>
              <w:jc w:val="right"/>
              <w:rPr>
                <w:rFonts w:ascii="Arial" w:hAnsi="Arial" w:cs="Arial"/>
                <w:color w:val="000000"/>
                <w:sz w:val="18"/>
                <w:szCs w:val="18"/>
              </w:rPr>
            </w:pPr>
            <w:r w:rsidRPr="00F24B43">
              <w:rPr>
                <w:rFonts w:ascii="Arial" w:hAnsi="Arial" w:cs="Arial"/>
                <w:color w:val="000000"/>
                <w:sz w:val="18"/>
                <w:szCs w:val="18"/>
              </w:rPr>
              <w:t>.206</w:t>
            </w:r>
          </w:p>
        </w:tc>
      </w:tr>
    </w:tbl>
    <w:p w:rsidR="0076549D" w:rsidRDefault="0076549D" w:rsidP="0076549D">
      <w:pPr>
        <w:autoSpaceDE w:val="0"/>
        <w:autoSpaceDN w:val="0"/>
        <w:adjustRightInd w:val="0"/>
        <w:spacing w:after="0" w:line="240" w:lineRule="auto"/>
        <w:jc w:val="center"/>
        <w:rPr>
          <w:rFonts w:ascii="Arial" w:hAnsi="Arial" w:cs="Arial"/>
        </w:rPr>
      </w:pPr>
      <w:r>
        <w:rPr>
          <w:rFonts w:ascii="Arial" w:hAnsi="Arial" w:cs="Arial"/>
          <w:b/>
        </w:rPr>
        <w:t>Table 6</w:t>
      </w:r>
      <w:r w:rsidRPr="00581F2F">
        <w:rPr>
          <w:rFonts w:ascii="Arial" w:hAnsi="Arial" w:cs="Arial"/>
        </w:rPr>
        <w:t xml:space="preserve"> – Component Analysis by manifest variable</w:t>
      </w:r>
    </w:p>
    <w:p w:rsidR="0076549D" w:rsidRDefault="0076549D" w:rsidP="0076549D">
      <w:pPr>
        <w:autoSpaceDE w:val="0"/>
        <w:autoSpaceDN w:val="0"/>
        <w:adjustRightInd w:val="0"/>
        <w:spacing w:after="0" w:line="240" w:lineRule="auto"/>
        <w:jc w:val="center"/>
        <w:rPr>
          <w:rFonts w:ascii="Arial" w:hAnsi="Arial" w:cs="Arial"/>
        </w:rPr>
      </w:pPr>
    </w:p>
    <w:tbl>
      <w:tblPr>
        <w:tblStyle w:val="TableGrid"/>
        <w:tblW w:w="0" w:type="auto"/>
        <w:tblInd w:w="1271" w:type="dxa"/>
        <w:tblLook w:val="04A0" w:firstRow="1" w:lastRow="0" w:firstColumn="1" w:lastColumn="0" w:noHBand="0" w:noVBand="1"/>
      </w:tblPr>
      <w:tblGrid>
        <w:gridCol w:w="2214"/>
        <w:gridCol w:w="3485"/>
        <w:gridCol w:w="2239"/>
      </w:tblGrid>
      <w:tr w:rsidR="0076549D" w:rsidTr="000F26BE">
        <w:tc>
          <w:tcPr>
            <w:tcW w:w="2214" w:type="dxa"/>
          </w:tcPr>
          <w:p w:rsidR="0076549D" w:rsidRPr="00E55649" w:rsidRDefault="0076549D" w:rsidP="000F26BE">
            <w:pPr>
              <w:autoSpaceDE w:val="0"/>
              <w:autoSpaceDN w:val="0"/>
              <w:adjustRightInd w:val="0"/>
              <w:jc w:val="center"/>
              <w:rPr>
                <w:rFonts w:ascii="Arial" w:hAnsi="Arial" w:cs="Arial"/>
                <w:b/>
              </w:rPr>
            </w:pPr>
            <w:r w:rsidRPr="00E55649">
              <w:rPr>
                <w:rFonts w:ascii="Arial" w:hAnsi="Arial" w:cs="Arial"/>
                <w:b/>
              </w:rPr>
              <w:t>Component</w:t>
            </w:r>
          </w:p>
        </w:tc>
        <w:tc>
          <w:tcPr>
            <w:tcW w:w="3485" w:type="dxa"/>
          </w:tcPr>
          <w:p w:rsidR="0076549D" w:rsidRPr="00E55649" w:rsidRDefault="0076549D" w:rsidP="000F26BE">
            <w:pPr>
              <w:autoSpaceDE w:val="0"/>
              <w:autoSpaceDN w:val="0"/>
              <w:adjustRightInd w:val="0"/>
              <w:jc w:val="center"/>
              <w:rPr>
                <w:rFonts w:ascii="Arial" w:hAnsi="Arial" w:cs="Arial"/>
                <w:b/>
              </w:rPr>
            </w:pPr>
            <w:r w:rsidRPr="00E55649">
              <w:rPr>
                <w:rFonts w:ascii="Arial" w:hAnsi="Arial" w:cs="Arial"/>
                <w:b/>
              </w:rPr>
              <w:t>Reliability (Cronbach’s Alpha)</w:t>
            </w:r>
          </w:p>
        </w:tc>
        <w:tc>
          <w:tcPr>
            <w:tcW w:w="2239" w:type="dxa"/>
          </w:tcPr>
          <w:p w:rsidR="0076549D" w:rsidRPr="00E55649" w:rsidRDefault="0076549D" w:rsidP="000F26BE">
            <w:pPr>
              <w:autoSpaceDE w:val="0"/>
              <w:autoSpaceDN w:val="0"/>
              <w:adjustRightInd w:val="0"/>
              <w:jc w:val="center"/>
              <w:rPr>
                <w:rFonts w:ascii="Arial" w:hAnsi="Arial" w:cs="Arial"/>
                <w:b/>
              </w:rPr>
            </w:pPr>
            <w:r w:rsidRPr="00E55649">
              <w:rPr>
                <w:rFonts w:ascii="Arial" w:hAnsi="Arial" w:cs="Arial"/>
                <w:b/>
              </w:rPr>
              <w:t>Outcome</w:t>
            </w:r>
          </w:p>
        </w:tc>
      </w:tr>
      <w:tr w:rsidR="0076549D" w:rsidTr="000F26BE">
        <w:tc>
          <w:tcPr>
            <w:tcW w:w="2214"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1</w:t>
            </w:r>
          </w:p>
        </w:tc>
        <w:tc>
          <w:tcPr>
            <w:tcW w:w="3485"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0.823</w:t>
            </w:r>
          </w:p>
        </w:tc>
        <w:tc>
          <w:tcPr>
            <w:tcW w:w="2239"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Acceptable</w:t>
            </w:r>
          </w:p>
        </w:tc>
      </w:tr>
      <w:tr w:rsidR="0076549D" w:rsidTr="000F26BE">
        <w:tc>
          <w:tcPr>
            <w:tcW w:w="2214"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2</w:t>
            </w:r>
          </w:p>
        </w:tc>
        <w:tc>
          <w:tcPr>
            <w:tcW w:w="3485"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0.765</w:t>
            </w:r>
          </w:p>
        </w:tc>
        <w:tc>
          <w:tcPr>
            <w:tcW w:w="2239"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Acceptable</w:t>
            </w:r>
          </w:p>
        </w:tc>
      </w:tr>
      <w:tr w:rsidR="0076549D" w:rsidTr="000F26BE">
        <w:tc>
          <w:tcPr>
            <w:tcW w:w="2214"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3</w:t>
            </w:r>
          </w:p>
        </w:tc>
        <w:tc>
          <w:tcPr>
            <w:tcW w:w="3485"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0.355</w:t>
            </w:r>
          </w:p>
        </w:tc>
        <w:tc>
          <w:tcPr>
            <w:tcW w:w="2239"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Not Acceptable</w:t>
            </w:r>
          </w:p>
        </w:tc>
      </w:tr>
      <w:tr w:rsidR="0076549D" w:rsidTr="000F26BE">
        <w:tc>
          <w:tcPr>
            <w:tcW w:w="2214"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4</w:t>
            </w:r>
          </w:p>
        </w:tc>
        <w:tc>
          <w:tcPr>
            <w:tcW w:w="3485"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NA</w:t>
            </w:r>
          </w:p>
        </w:tc>
        <w:tc>
          <w:tcPr>
            <w:tcW w:w="2239"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NA</w:t>
            </w:r>
          </w:p>
        </w:tc>
      </w:tr>
      <w:tr w:rsidR="0076549D" w:rsidTr="000F26BE">
        <w:tc>
          <w:tcPr>
            <w:tcW w:w="2214"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5</w:t>
            </w:r>
          </w:p>
        </w:tc>
        <w:tc>
          <w:tcPr>
            <w:tcW w:w="3485"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NA</w:t>
            </w:r>
          </w:p>
        </w:tc>
        <w:tc>
          <w:tcPr>
            <w:tcW w:w="2239" w:type="dxa"/>
          </w:tcPr>
          <w:p w:rsidR="0076549D" w:rsidRPr="00E55649" w:rsidRDefault="0076549D" w:rsidP="000F26BE">
            <w:pPr>
              <w:autoSpaceDE w:val="0"/>
              <w:autoSpaceDN w:val="0"/>
              <w:adjustRightInd w:val="0"/>
              <w:jc w:val="center"/>
              <w:rPr>
                <w:rFonts w:ascii="Arial" w:hAnsi="Arial" w:cs="Arial"/>
              </w:rPr>
            </w:pPr>
            <w:r w:rsidRPr="00E55649">
              <w:rPr>
                <w:rFonts w:ascii="Arial" w:hAnsi="Arial" w:cs="Arial"/>
              </w:rPr>
              <w:t>NA</w:t>
            </w:r>
          </w:p>
        </w:tc>
      </w:tr>
    </w:tbl>
    <w:p w:rsidR="0076549D" w:rsidRDefault="0076549D" w:rsidP="0076549D">
      <w:pPr>
        <w:autoSpaceDE w:val="0"/>
        <w:autoSpaceDN w:val="0"/>
        <w:adjustRightInd w:val="0"/>
        <w:spacing w:after="0" w:line="240" w:lineRule="auto"/>
        <w:rPr>
          <w:rFonts w:ascii="Times New Roman" w:hAnsi="Times New Roman" w:cs="Times New Roman"/>
          <w:sz w:val="24"/>
          <w:szCs w:val="24"/>
        </w:rPr>
      </w:pPr>
    </w:p>
    <w:p w:rsidR="0076549D" w:rsidRPr="00581F2F" w:rsidRDefault="0076549D" w:rsidP="0076549D">
      <w:pPr>
        <w:autoSpaceDE w:val="0"/>
        <w:autoSpaceDN w:val="0"/>
        <w:adjustRightInd w:val="0"/>
        <w:spacing w:after="0" w:line="240" w:lineRule="auto"/>
        <w:jc w:val="center"/>
        <w:rPr>
          <w:rFonts w:ascii="Arial" w:hAnsi="Arial" w:cs="Arial"/>
        </w:rPr>
      </w:pPr>
      <w:r>
        <w:rPr>
          <w:rFonts w:ascii="Arial" w:hAnsi="Arial" w:cs="Arial"/>
          <w:b/>
        </w:rPr>
        <w:t>Table 7</w:t>
      </w:r>
      <w:r w:rsidRPr="00581F2F">
        <w:rPr>
          <w:rFonts w:ascii="Arial" w:hAnsi="Arial" w:cs="Arial"/>
        </w:rPr>
        <w:t xml:space="preserve"> – Reliability measures for component construction by manifest variable</w:t>
      </w:r>
    </w:p>
    <w:p w:rsidR="0076549D" w:rsidRPr="00581F2F" w:rsidRDefault="0076549D" w:rsidP="0076549D">
      <w:pPr>
        <w:autoSpaceDE w:val="0"/>
        <w:autoSpaceDN w:val="0"/>
        <w:adjustRightInd w:val="0"/>
        <w:spacing w:after="0" w:line="240" w:lineRule="auto"/>
        <w:jc w:val="center"/>
        <w:rPr>
          <w:rFonts w:ascii="Arial" w:hAnsi="Arial" w:cs="Arial"/>
        </w:rPr>
      </w:pPr>
    </w:p>
    <w:p w:rsidR="0076549D" w:rsidRDefault="0076549D" w:rsidP="0076549D"/>
    <w:p w:rsidR="0076549D" w:rsidRDefault="0076549D">
      <w:bookmarkStart w:id="0" w:name="_GoBack"/>
      <w:bookmarkEnd w:id="0"/>
    </w:p>
    <w:sectPr w:rsidR="0076549D" w:rsidSect="00FE2262">
      <w:footerReference w:type="default" r:id="rI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68163"/>
      <w:docPartObj>
        <w:docPartGallery w:val="Page Numbers (Bottom of Page)"/>
        <w:docPartUnique/>
      </w:docPartObj>
    </w:sdtPr>
    <w:sdtEndPr>
      <w:rPr>
        <w:noProof/>
      </w:rPr>
    </w:sdtEndPr>
    <w:sdtContent>
      <w:p w:rsidR="00DE4110" w:rsidRDefault="0076549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DE4110" w:rsidRDefault="0076549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AA"/>
    <w:multiLevelType w:val="hybridMultilevel"/>
    <w:tmpl w:val="DBDA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C4A7D"/>
    <w:multiLevelType w:val="hybridMultilevel"/>
    <w:tmpl w:val="DDFEE6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E313D"/>
    <w:multiLevelType w:val="hybridMultilevel"/>
    <w:tmpl w:val="BC70B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35CD3"/>
    <w:multiLevelType w:val="hybridMultilevel"/>
    <w:tmpl w:val="887466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5774B"/>
    <w:multiLevelType w:val="hybridMultilevel"/>
    <w:tmpl w:val="ABC2B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63780"/>
    <w:multiLevelType w:val="hybridMultilevel"/>
    <w:tmpl w:val="E58A6B36"/>
    <w:lvl w:ilvl="0" w:tplc="A726C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D76BC"/>
    <w:multiLevelType w:val="hybridMultilevel"/>
    <w:tmpl w:val="A344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D6D1C"/>
    <w:multiLevelType w:val="hybridMultilevel"/>
    <w:tmpl w:val="4036E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394350"/>
    <w:multiLevelType w:val="hybridMultilevel"/>
    <w:tmpl w:val="FBBAB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900D2"/>
    <w:multiLevelType w:val="hybridMultilevel"/>
    <w:tmpl w:val="5918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121D7"/>
    <w:multiLevelType w:val="hybridMultilevel"/>
    <w:tmpl w:val="12104EF2"/>
    <w:lvl w:ilvl="0" w:tplc="A726C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E688D"/>
    <w:multiLevelType w:val="hybridMultilevel"/>
    <w:tmpl w:val="936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A7618"/>
    <w:multiLevelType w:val="hybridMultilevel"/>
    <w:tmpl w:val="FBBAB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736C78"/>
    <w:multiLevelType w:val="hybridMultilevel"/>
    <w:tmpl w:val="25F6C0D8"/>
    <w:lvl w:ilvl="0" w:tplc="08090001">
      <w:start w:val="1"/>
      <w:numFmt w:val="bullet"/>
      <w:lvlText w:val=""/>
      <w:lvlJc w:val="left"/>
      <w:pPr>
        <w:ind w:left="720" w:hanging="360"/>
      </w:pPr>
      <w:rPr>
        <w:rFonts w:ascii="Symbol" w:hAnsi="Symbol" w:hint="default"/>
      </w:rPr>
    </w:lvl>
    <w:lvl w:ilvl="1" w:tplc="D56C2DB4">
      <w:start w:val="5"/>
      <w:numFmt w:val="bullet"/>
      <w:lvlText w:val="•"/>
      <w:lvlJc w:val="left"/>
      <w:pPr>
        <w:ind w:left="1440" w:hanging="360"/>
      </w:pPr>
      <w:rPr>
        <w:rFonts w:ascii="Calibri" w:eastAsiaTheme="minorHAnsi" w:hAnsi="Calibri" w:cs="MinionPro-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33993"/>
    <w:multiLevelType w:val="hybridMultilevel"/>
    <w:tmpl w:val="0FA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04793"/>
    <w:multiLevelType w:val="hybridMultilevel"/>
    <w:tmpl w:val="435C8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A678D3"/>
    <w:multiLevelType w:val="hybridMultilevel"/>
    <w:tmpl w:val="FBBAB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E3123"/>
    <w:multiLevelType w:val="hybridMultilevel"/>
    <w:tmpl w:val="887466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B07C03"/>
    <w:multiLevelType w:val="hybridMultilevel"/>
    <w:tmpl w:val="AA56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14"/>
  </w:num>
  <w:num w:numId="5">
    <w:abstractNumId w:val="18"/>
  </w:num>
  <w:num w:numId="6">
    <w:abstractNumId w:val="4"/>
  </w:num>
  <w:num w:numId="7">
    <w:abstractNumId w:val="0"/>
  </w:num>
  <w:num w:numId="8">
    <w:abstractNumId w:val="11"/>
  </w:num>
  <w:num w:numId="9">
    <w:abstractNumId w:val="15"/>
  </w:num>
  <w:num w:numId="10">
    <w:abstractNumId w:val="2"/>
  </w:num>
  <w:num w:numId="11">
    <w:abstractNumId w:val="1"/>
  </w:num>
  <w:num w:numId="12">
    <w:abstractNumId w:val="17"/>
  </w:num>
  <w:num w:numId="13">
    <w:abstractNumId w:val="7"/>
  </w:num>
  <w:num w:numId="14">
    <w:abstractNumId w:val="3"/>
  </w:num>
  <w:num w:numId="15">
    <w:abstractNumId w:val="16"/>
  </w:num>
  <w:num w:numId="16">
    <w:abstractNumId w:val="5"/>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9D"/>
    <w:rsid w:val="00506968"/>
    <w:rsid w:val="0076549D"/>
    <w:rsid w:val="00CD4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9433"/>
  <w15:chartTrackingRefBased/>
  <w15:docId w15:val="{2C3CFC86-2D9E-4323-83C7-3F3FAE94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9D"/>
  </w:style>
  <w:style w:type="paragraph" w:styleId="Heading1">
    <w:name w:val="heading 1"/>
    <w:basedOn w:val="Normal"/>
    <w:next w:val="Normal"/>
    <w:link w:val="Heading1Char"/>
    <w:uiPriority w:val="9"/>
    <w:qFormat/>
    <w:rsid w:val="007654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4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5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9D"/>
  </w:style>
  <w:style w:type="character" w:styleId="Hyperlink">
    <w:name w:val="Hyperlink"/>
    <w:basedOn w:val="DefaultParagraphFont"/>
    <w:uiPriority w:val="99"/>
    <w:unhideWhenUsed/>
    <w:rsid w:val="0076549D"/>
    <w:rPr>
      <w:color w:val="0563C1" w:themeColor="hyperlink"/>
      <w:u w:val="single"/>
    </w:rPr>
  </w:style>
  <w:style w:type="character" w:customStyle="1" w:styleId="Heading1Char">
    <w:name w:val="Heading 1 Char"/>
    <w:basedOn w:val="DefaultParagraphFont"/>
    <w:link w:val="Heading1"/>
    <w:uiPriority w:val="9"/>
    <w:rsid w:val="007654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549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6549D"/>
    <w:pPr>
      <w:ind w:left="720"/>
      <w:contextualSpacing/>
    </w:pPr>
  </w:style>
  <w:style w:type="paragraph" w:styleId="BalloonText">
    <w:name w:val="Balloon Text"/>
    <w:basedOn w:val="Normal"/>
    <w:link w:val="BalloonTextChar"/>
    <w:uiPriority w:val="99"/>
    <w:semiHidden/>
    <w:unhideWhenUsed/>
    <w:rsid w:val="00765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49D"/>
    <w:rPr>
      <w:rFonts w:ascii="Segoe UI" w:hAnsi="Segoe UI" w:cs="Segoe UI"/>
      <w:sz w:val="18"/>
      <w:szCs w:val="18"/>
    </w:rPr>
  </w:style>
  <w:style w:type="table" w:styleId="TableGrid">
    <w:name w:val="Table Grid"/>
    <w:basedOn w:val="TableNormal"/>
    <w:uiPriority w:val="39"/>
    <w:rsid w:val="0076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65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49D"/>
    <w:rPr>
      <w:sz w:val="20"/>
      <w:szCs w:val="20"/>
    </w:rPr>
  </w:style>
  <w:style w:type="character" w:styleId="FootnoteReference">
    <w:name w:val="footnote reference"/>
    <w:basedOn w:val="DefaultParagraphFont"/>
    <w:uiPriority w:val="99"/>
    <w:semiHidden/>
    <w:unhideWhenUsed/>
    <w:rsid w:val="0076549D"/>
    <w:rPr>
      <w:vertAlign w:val="superscript"/>
    </w:rPr>
  </w:style>
  <w:style w:type="paragraph" w:styleId="NoSpacing">
    <w:name w:val="No Spacing"/>
    <w:uiPriority w:val="1"/>
    <w:qFormat/>
    <w:rsid w:val="0076549D"/>
    <w:pPr>
      <w:spacing w:after="0"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765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9D"/>
  </w:style>
  <w:style w:type="character" w:customStyle="1" w:styleId="dohl">
    <w:name w:val="dohl"/>
    <w:basedOn w:val="DefaultParagraphFont"/>
    <w:uiPriority w:val="99"/>
    <w:rsid w:val="0076549D"/>
    <w:rPr>
      <w:rFonts w:cs="Times New Roman"/>
    </w:rPr>
  </w:style>
  <w:style w:type="character" w:styleId="FollowedHyperlink">
    <w:name w:val="FollowedHyperlink"/>
    <w:basedOn w:val="DefaultParagraphFont"/>
    <w:uiPriority w:val="99"/>
    <w:semiHidden/>
    <w:unhideWhenUsed/>
    <w:rsid w:val="0076549D"/>
    <w:rPr>
      <w:color w:val="954F72" w:themeColor="followedHyperlink"/>
      <w:u w:val="single"/>
    </w:rPr>
  </w:style>
  <w:style w:type="character" w:customStyle="1" w:styleId="hlfld-contribauthor">
    <w:name w:val="hlfld-contribauthor"/>
    <w:basedOn w:val="DefaultParagraphFont"/>
    <w:rsid w:val="0076549D"/>
  </w:style>
  <w:style w:type="character" w:customStyle="1" w:styleId="apple-converted-space">
    <w:name w:val="apple-converted-space"/>
    <w:basedOn w:val="DefaultParagraphFont"/>
    <w:rsid w:val="0076549D"/>
  </w:style>
  <w:style w:type="character" w:customStyle="1" w:styleId="nlmgiven-names">
    <w:name w:val="nlm_given-names"/>
    <w:basedOn w:val="DefaultParagraphFont"/>
    <w:rsid w:val="0076549D"/>
  </w:style>
  <w:style w:type="character" w:customStyle="1" w:styleId="nlmyear">
    <w:name w:val="nlm_year"/>
    <w:basedOn w:val="DefaultParagraphFont"/>
    <w:rsid w:val="0076549D"/>
  </w:style>
  <w:style w:type="character" w:customStyle="1" w:styleId="nlmarticle-title">
    <w:name w:val="nlm_article-title"/>
    <w:basedOn w:val="DefaultParagraphFont"/>
    <w:rsid w:val="0076549D"/>
  </w:style>
  <w:style w:type="character" w:styleId="CommentReference">
    <w:name w:val="annotation reference"/>
    <w:basedOn w:val="DefaultParagraphFont"/>
    <w:uiPriority w:val="99"/>
    <w:semiHidden/>
    <w:unhideWhenUsed/>
    <w:rsid w:val="0076549D"/>
    <w:rPr>
      <w:sz w:val="16"/>
      <w:szCs w:val="16"/>
    </w:rPr>
  </w:style>
  <w:style w:type="paragraph" w:styleId="CommentText">
    <w:name w:val="annotation text"/>
    <w:basedOn w:val="Normal"/>
    <w:link w:val="CommentTextChar"/>
    <w:uiPriority w:val="99"/>
    <w:semiHidden/>
    <w:unhideWhenUsed/>
    <w:rsid w:val="0076549D"/>
    <w:pPr>
      <w:spacing w:line="240" w:lineRule="auto"/>
    </w:pPr>
    <w:rPr>
      <w:sz w:val="20"/>
      <w:szCs w:val="20"/>
    </w:rPr>
  </w:style>
  <w:style w:type="character" w:customStyle="1" w:styleId="CommentTextChar">
    <w:name w:val="Comment Text Char"/>
    <w:basedOn w:val="DefaultParagraphFont"/>
    <w:link w:val="CommentText"/>
    <w:uiPriority w:val="99"/>
    <w:semiHidden/>
    <w:rsid w:val="0076549D"/>
    <w:rPr>
      <w:sz w:val="20"/>
      <w:szCs w:val="20"/>
    </w:rPr>
  </w:style>
  <w:style w:type="paragraph" w:styleId="CommentSubject">
    <w:name w:val="annotation subject"/>
    <w:basedOn w:val="CommentText"/>
    <w:next w:val="CommentText"/>
    <w:link w:val="CommentSubjectChar"/>
    <w:uiPriority w:val="99"/>
    <w:semiHidden/>
    <w:unhideWhenUsed/>
    <w:rsid w:val="0076549D"/>
    <w:rPr>
      <w:b/>
      <w:bCs/>
    </w:rPr>
  </w:style>
  <w:style w:type="character" w:customStyle="1" w:styleId="CommentSubjectChar">
    <w:name w:val="Comment Subject Char"/>
    <w:basedOn w:val="CommentTextChar"/>
    <w:link w:val="CommentSubject"/>
    <w:uiPriority w:val="99"/>
    <w:semiHidden/>
    <w:rsid w:val="00765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eqi.org/ViewFile.aspx?itemID=212" TargetMode="External"/><Relationship Id="rId3" Type="http://schemas.openxmlformats.org/officeDocument/2006/relationships/settings" Target="settings.xml"/><Relationship Id="rId7" Type="http://schemas.openxmlformats.org/officeDocument/2006/relationships/hyperlink" Target="http://www.rdc.udel.edu/wp-content/uploads/2015/04/InsideBlackBo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meshighereducation.co.uk/story.asp?storycode=400676" TargetMode="External"/><Relationship Id="rId11" Type="http://schemas.openxmlformats.org/officeDocument/2006/relationships/theme" Target="theme/theme1.xml"/><Relationship Id="rId5" Type="http://schemas.openxmlformats.org/officeDocument/2006/relationships/hyperlink" Target="mailto:i.pownall@chester.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6303</Words>
  <Characters>35931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Kennedy</dc:creator>
  <cp:keywords/>
  <dc:description/>
  <cp:lastModifiedBy>Victoria Kennedy</cp:lastModifiedBy>
  <cp:revision>1</cp:revision>
  <dcterms:created xsi:type="dcterms:W3CDTF">2018-09-25T11:24:00Z</dcterms:created>
  <dcterms:modified xsi:type="dcterms:W3CDTF">2018-09-25T11:26:00Z</dcterms:modified>
</cp:coreProperties>
</file>