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4B" w:rsidRDefault="008F3F4B" w:rsidP="008F3F4B">
      <w:pPr>
        <w:rPr>
          <w:i/>
        </w:rPr>
      </w:pPr>
      <w:r w:rsidRPr="008F3F4B">
        <w:rPr>
          <w:i/>
        </w:rPr>
        <w:t>Child &amp; Family Social Work</w:t>
      </w:r>
    </w:p>
    <w:p w:rsidR="007A0FE3" w:rsidRPr="008F3F4B" w:rsidRDefault="007A0FE3" w:rsidP="008F3F4B">
      <w:pPr>
        <w:rPr>
          <w:i/>
        </w:rPr>
      </w:pPr>
      <w:r>
        <w:rPr>
          <w:i/>
        </w:rPr>
        <w:t xml:space="preserve">Accepted </w:t>
      </w:r>
      <w:r w:rsidR="001A5C1F">
        <w:rPr>
          <w:i/>
        </w:rPr>
        <w:t>11</w:t>
      </w:r>
      <w:r w:rsidR="001A5C1F" w:rsidRPr="001A5C1F">
        <w:rPr>
          <w:i/>
          <w:vertAlign w:val="superscript"/>
        </w:rPr>
        <w:t>th</w:t>
      </w:r>
      <w:r w:rsidR="001A5C1F">
        <w:rPr>
          <w:i/>
        </w:rPr>
        <w:t xml:space="preserve"> May 2018</w:t>
      </w:r>
      <w:bookmarkStart w:id="0" w:name="_GoBack"/>
      <w:bookmarkEnd w:id="0"/>
    </w:p>
    <w:p w:rsidR="008F3F4B" w:rsidRDefault="008F3F4B" w:rsidP="00E52212">
      <w:pPr>
        <w:rPr>
          <w:sz w:val="24"/>
          <w:szCs w:val="24"/>
        </w:rPr>
      </w:pPr>
    </w:p>
    <w:p w:rsidR="00E52212" w:rsidRPr="007179CB" w:rsidRDefault="00E52212" w:rsidP="00E52212">
      <w:pPr>
        <w:rPr>
          <w:sz w:val="24"/>
          <w:szCs w:val="24"/>
        </w:rPr>
      </w:pPr>
      <w:r w:rsidRPr="007179CB">
        <w:rPr>
          <w:sz w:val="24"/>
          <w:szCs w:val="24"/>
        </w:rPr>
        <w:t>Adoption and permanence planning in Scotland: Impact of the Adoption and Children (Scotland) Act 2007 on key processes and timescales.</w:t>
      </w:r>
    </w:p>
    <w:p w:rsidR="00E52212" w:rsidRPr="007179CB" w:rsidRDefault="00E52212" w:rsidP="00E52212">
      <w:pPr>
        <w:pStyle w:val="NoSpacing"/>
      </w:pPr>
      <w:r w:rsidRPr="007179CB">
        <w:t>Dr Lucy Hanson, Dr Gillian Henderson, </w:t>
      </w:r>
      <w:proofErr w:type="spellStart"/>
      <w:r w:rsidRPr="007179CB">
        <w:t>Indiya</w:t>
      </w:r>
      <w:proofErr w:type="spellEnd"/>
      <w:r w:rsidRPr="007179CB">
        <w:t xml:space="preserve"> </w:t>
      </w:r>
      <w:proofErr w:type="spellStart"/>
      <w:r w:rsidRPr="007179CB">
        <w:t>Kurlus</w:t>
      </w:r>
      <w:proofErr w:type="spellEnd"/>
      <w:r w:rsidRPr="007179CB">
        <w:t xml:space="preserve"> </w:t>
      </w:r>
    </w:p>
    <w:p w:rsidR="00E52212" w:rsidRPr="007179CB" w:rsidRDefault="00E52212" w:rsidP="00E52212">
      <w:pPr>
        <w:pStyle w:val="NoSpacing"/>
      </w:pPr>
    </w:p>
    <w:p w:rsidR="00E52212" w:rsidRPr="007179CB" w:rsidRDefault="00E52212" w:rsidP="00E52212">
      <w:pPr>
        <w:rPr>
          <w:sz w:val="24"/>
          <w:szCs w:val="24"/>
        </w:rPr>
      </w:pPr>
      <w:r w:rsidRPr="007179CB">
        <w:rPr>
          <w:b/>
          <w:sz w:val="24"/>
          <w:szCs w:val="24"/>
        </w:rPr>
        <w:t>Acknowledgments</w:t>
      </w:r>
    </w:p>
    <w:p w:rsidR="00E52212" w:rsidRPr="007179CB" w:rsidRDefault="00E52212" w:rsidP="00E52212">
      <w:pPr>
        <w:pStyle w:val="NoSpacing"/>
        <w:rPr>
          <w:sz w:val="24"/>
          <w:szCs w:val="24"/>
        </w:rPr>
      </w:pPr>
      <w:r w:rsidRPr="007179CB">
        <w:rPr>
          <w:sz w:val="24"/>
          <w:szCs w:val="24"/>
        </w:rPr>
        <w:t xml:space="preserve">The authors would like to acknowledge Gwen </w:t>
      </w:r>
      <w:proofErr w:type="spellStart"/>
      <w:r w:rsidRPr="007179CB">
        <w:rPr>
          <w:sz w:val="24"/>
          <w:szCs w:val="24"/>
        </w:rPr>
        <w:t>McNiven</w:t>
      </w:r>
      <w:proofErr w:type="spellEnd"/>
      <w:r w:rsidRPr="007179CB">
        <w:rPr>
          <w:sz w:val="24"/>
          <w:szCs w:val="24"/>
        </w:rPr>
        <w:t>, Melissa Hunt and Adele Laing in contributing to the data collection. This research was funded in part by the Scottish Government.</w:t>
      </w:r>
    </w:p>
    <w:p w:rsidR="00E52212" w:rsidRPr="007179CB" w:rsidRDefault="00E52212" w:rsidP="00E52212">
      <w:pPr>
        <w:pStyle w:val="NoSpacing"/>
      </w:pPr>
    </w:p>
    <w:p w:rsidR="000B2855" w:rsidRPr="007179CB" w:rsidRDefault="000B2855" w:rsidP="000B2855">
      <w:pPr>
        <w:rPr>
          <w:b/>
        </w:rPr>
      </w:pPr>
      <w:r w:rsidRPr="007179CB">
        <w:rPr>
          <w:b/>
        </w:rPr>
        <w:t>Abstract</w:t>
      </w:r>
    </w:p>
    <w:p w:rsidR="000B2855" w:rsidRPr="007179CB" w:rsidRDefault="000B2855" w:rsidP="000B2855">
      <w:r w:rsidRPr="007179CB">
        <w:t>Adoption and permanence planning has been a key feature of Scotland’s policy in relation to children and young people who are ‘looked after’. Whilst policy and law has significantly developed</w:t>
      </w:r>
      <w:r w:rsidR="001F2F10" w:rsidRPr="007179CB">
        <w:t xml:space="preserve"> in recent years</w:t>
      </w:r>
      <w:r w:rsidRPr="007179CB">
        <w:t xml:space="preserve">, there has been comparatively little research on permanence processes in Scotland. This paper </w:t>
      </w:r>
      <w:r w:rsidR="00AE100A" w:rsidRPr="007179CB">
        <w:t xml:space="preserve">outlines key findings from the first comprehensive study of permanence planning in Scotland. It </w:t>
      </w:r>
      <w:r w:rsidRPr="007179CB">
        <w:t xml:space="preserve">examines the process for two cohorts of children where Adoption or other types of Permanence Orders were made. The children were selected under the </w:t>
      </w:r>
      <w:proofErr w:type="gramStart"/>
      <w:r w:rsidRPr="007179CB">
        <w:t>long standing</w:t>
      </w:r>
      <w:proofErr w:type="gramEnd"/>
      <w:r w:rsidRPr="007179CB">
        <w:t xml:space="preserve"> Adoption (Scotland) Act 1978 and the more recent Adoption and Children (Scotland) Act 2007. In total 300 cases were examined, analysing data from the children’s first contact with services through to the Order made by the Scottish Courts. This paper pays particular attention to the timescales</w:t>
      </w:r>
      <w:r w:rsidR="00BE6B83" w:rsidRPr="007179CB">
        <w:t xml:space="preserve"> </w:t>
      </w:r>
      <w:r w:rsidR="009C55DA" w:rsidRPr="007179CB">
        <w:t>found at key stages un</w:t>
      </w:r>
      <w:r w:rsidR="0013383F" w:rsidRPr="007179CB">
        <w:t xml:space="preserve">der the two sets of legislation and asks what difference the </w:t>
      </w:r>
      <w:r w:rsidR="00446C27" w:rsidRPr="007179CB">
        <w:t>change in legislation has made</w:t>
      </w:r>
      <w:r w:rsidR="0013383F" w:rsidRPr="007179CB">
        <w:t>.</w:t>
      </w:r>
    </w:p>
    <w:p w:rsidR="000B2855" w:rsidRPr="007179CB" w:rsidRDefault="000B2855" w:rsidP="000B2855">
      <w:pPr>
        <w:rPr>
          <w:b/>
        </w:rPr>
      </w:pPr>
      <w:r w:rsidRPr="007179CB">
        <w:rPr>
          <w:b/>
        </w:rPr>
        <w:t>Key words</w:t>
      </w:r>
    </w:p>
    <w:p w:rsidR="000B2855" w:rsidRPr="007179CB" w:rsidRDefault="000B2855" w:rsidP="000B2855">
      <w:r w:rsidRPr="007179CB">
        <w:t>Adoption, permanence, Scotland, look</w:t>
      </w:r>
      <w:r w:rsidR="00A74194" w:rsidRPr="007179CB">
        <w:t>ed after</w:t>
      </w:r>
      <w:r w:rsidR="00B52335" w:rsidRPr="007179CB">
        <w:t xml:space="preserve"> children</w:t>
      </w:r>
      <w:r w:rsidR="00A74194" w:rsidRPr="007179CB">
        <w:t>, decision making, time</w:t>
      </w:r>
      <w:r w:rsidR="00B52335" w:rsidRPr="007179CB">
        <w:t>scales</w:t>
      </w:r>
    </w:p>
    <w:p w:rsidR="000B2855" w:rsidRPr="007179CB" w:rsidRDefault="000B2855" w:rsidP="000B2855"/>
    <w:p w:rsidR="000B2855" w:rsidRPr="007179CB" w:rsidRDefault="000B2855" w:rsidP="000B2855">
      <w:pPr>
        <w:rPr>
          <w:b/>
        </w:rPr>
      </w:pPr>
      <w:r w:rsidRPr="007179CB">
        <w:rPr>
          <w:b/>
        </w:rPr>
        <w:t>Introduction</w:t>
      </w:r>
    </w:p>
    <w:p w:rsidR="000B2855" w:rsidRPr="007179CB" w:rsidRDefault="000B2855" w:rsidP="000B2855">
      <w:pPr>
        <w:rPr>
          <w:i/>
        </w:rPr>
      </w:pPr>
      <w:r w:rsidRPr="007179CB">
        <w:rPr>
          <w:i/>
        </w:rPr>
        <w:t>Scottish context</w:t>
      </w:r>
    </w:p>
    <w:p w:rsidR="000B2855" w:rsidRPr="007179CB" w:rsidRDefault="000B2855" w:rsidP="000B2855">
      <w:r w:rsidRPr="007179CB">
        <w:t>In 2016 there were 15,317 looked after children in Scotland. This figure represents a decline of approximately a thousand children since a peak in 2012 (Scottish Government 2017). Up until then the number of look</w:t>
      </w:r>
      <w:r w:rsidR="00446C27" w:rsidRPr="007179CB">
        <w:t>ed</w:t>
      </w:r>
      <w:r w:rsidRPr="007179CB">
        <w:t xml:space="preserve"> after children had been increasing since </w:t>
      </w:r>
      <w:proofErr w:type="gramStart"/>
      <w:r w:rsidRPr="007179CB">
        <w:t>2001, and</w:t>
      </w:r>
      <w:proofErr w:type="gramEnd"/>
      <w:r w:rsidRPr="007179CB">
        <w:t xml:space="preserve"> was at its highest since 1983. There are a range of different legal reasons that a child is considered ‘looked after’ in Scotland. The majority are under a Compulsory Supervision Order (previously a Supervision Requirement</w:t>
      </w:r>
      <w:r w:rsidR="00446C27" w:rsidRPr="007179CB">
        <w:t xml:space="preserve"> (SR)</w:t>
      </w:r>
      <w:r w:rsidRPr="007179CB">
        <w:t>) which includes children living with a parent, family members, foster carers and different types of residential care</w:t>
      </w:r>
      <w:r w:rsidR="00350888" w:rsidRPr="007179CB">
        <w:t xml:space="preserve"> (under Children’s Hearings (Scotland) Act 2011 (the 2011 Act))</w:t>
      </w:r>
      <w:r w:rsidRPr="007179CB">
        <w:t>. Children are also considered look</w:t>
      </w:r>
      <w:r w:rsidR="00350888" w:rsidRPr="007179CB">
        <w:t>ed</w:t>
      </w:r>
      <w:r w:rsidRPr="007179CB">
        <w:t xml:space="preserve"> after when placed away from home on a voluntary basis under Section 25 of the Children (Scotland) Act 1995 (the 1995 Act) or under emergency measures such as a Child Protection Order </w:t>
      </w:r>
      <w:r w:rsidR="000D0264" w:rsidRPr="007179CB">
        <w:t>(CPO)</w:t>
      </w:r>
      <w:r w:rsidRPr="007179CB">
        <w:t xml:space="preserve">. </w:t>
      </w:r>
    </w:p>
    <w:p w:rsidR="000B2855" w:rsidRPr="007179CB" w:rsidRDefault="000B2855" w:rsidP="000B2855">
      <w:r w:rsidRPr="007179CB">
        <w:lastRenderedPageBreak/>
        <w:t xml:space="preserve">The number of children entering and leaving </w:t>
      </w:r>
      <w:r w:rsidR="00641CD0" w:rsidRPr="007179CB">
        <w:t>the care system</w:t>
      </w:r>
      <w:r w:rsidRPr="007179CB">
        <w:t xml:space="preserve"> can </w:t>
      </w:r>
      <w:r w:rsidR="00CE5C86" w:rsidRPr="007179CB">
        <w:t>change for a variety of reasons</w:t>
      </w:r>
      <w:r w:rsidR="00641CD0" w:rsidRPr="007179CB">
        <w:t xml:space="preserve"> but t</w:t>
      </w:r>
      <w:r w:rsidRPr="007179CB">
        <w:t>he idea of children ‘languishing’ or drifting in the system is not a new one (</w:t>
      </w:r>
      <w:r w:rsidR="000A6892" w:rsidRPr="007179CB">
        <w:t xml:space="preserve">Beckett and </w:t>
      </w:r>
      <w:proofErr w:type="spellStart"/>
      <w:r w:rsidR="000A6892" w:rsidRPr="007179CB">
        <w:t>McKeigue</w:t>
      </w:r>
      <w:proofErr w:type="spellEnd"/>
      <w:r w:rsidR="000A6892" w:rsidRPr="007179CB">
        <w:t xml:space="preserve"> 2003</w:t>
      </w:r>
      <w:r w:rsidRPr="007179CB">
        <w:t xml:space="preserve">). The previously increasing number of children on </w:t>
      </w:r>
      <w:r w:rsidR="00446C27" w:rsidRPr="007179CB">
        <w:t>SR</w:t>
      </w:r>
      <w:r w:rsidRPr="007179CB">
        <w:t>s in Scotland prompted research into children who had been under compulsory measures for at least five years (Henderson and Hanson 2012). The research showed that the proportion of children on an SR for this</w:t>
      </w:r>
      <w:r w:rsidR="00446C27" w:rsidRPr="007179CB">
        <w:t xml:space="preserve"> length of time</w:t>
      </w:r>
      <w:r w:rsidRPr="007179CB">
        <w:t xml:space="preserve"> was increasing at around 15</w:t>
      </w:r>
      <w:r w:rsidR="00E175A3" w:rsidRPr="007179CB">
        <w:t>% to</w:t>
      </w:r>
      <w:r w:rsidRPr="007179CB">
        <w:t>17%, and of the 90 children whose case files were analysed, 29% of them had permanence proceedings underway and a further 32% had lived in a stable placement, primarily kinship or foster care, for at least five years (ibid.)</w:t>
      </w:r>
      <w:r w:rsidR="00224B83" w:rsidRPr="007179CB">
        <w:t xml:space="preserve"> Therefore although the majority of these children had been under a </w:t>
      </w:r>
      <w:r w:rsidR="00446C27" w:rsidRPr="007179CB">
        <w:t>SR</w:t>
      </w:r>
      <w:r w:rsidR="00224B83" w:rsidRPr="007179CB">
        <w:t xml:space="preserve"> for some time, they appeared to be living in a long term placement or heading towards one. </w:t>
      </w:r>
    </w:p>
    <w:p w:rsidR="004C214C" w:rsidRPr="007179CB" w:rsidRDefault="004C214C" w:rsidP="000B2855">
      <w:r w:rsidRPr="007179CB">
        <w:t xml:space="preserve">The number of children adopted each year in Scotland is small in comparison to those who are looked after. In </w:t>
      </w:r>
      <w:r w:rsidR="005649EE" w:rsidRPr="007179CB">
        <w:t>2016,</w:t>
      </w:r>
      <w:r w:rsidRPr="007179CB">
        <w:t xml:space="preserve"> adoptions reached a new high of 523. This figure though includes </w:t>
      </w:r>
      <w:r w:rsidR="005649EE" w:rsidRPr="007179CB">
        <w:t>stepparent</w:t>
      </w:r>
      <w:r w:rsidRPr="007179CB">
        <w:t xml:space="preserve"> or partner adoptions, estimated to be the majority of the 131 single adult adoptions (</w:t>
      </w:r>
      <w:r w:rsidR="00446C27" w:rsidRPr="007179CB">
        <w:t>National Records of Scotland</w:t>
      </w:r>
      <w:r w:rsidRPr="007179CB">
        <w:t xml:space="preserve"> 2016). </w:t>
      </w:r>
    </w:p>
    <w:p w:rsidR="000A6892" w:rsidRPr="007179CB" w:rsidRDefault="00E21743" w:rsidP="000B2855">
      <w:pPr>
        <w:rPr>
          <w:i/>
        </w:rPr>
      </w:pPr>
      <w:r w:rsidRPr="007179CB">
        <w:rPr>
          <w:i/>
        </w:rPr>
        <w:t xml:space="preserve">Timeliness </w:t>
      </w:r>
    </w:p>
    <w:p w:rsidR="000B2855" w:rsidRPr="007179CB" w:rsidRDefault="00EB16D4" w:rsidP="000B2855">
      <w:r w:rsidRPr="007179CB">
        <w:t>Research has explored the challenges and many aspect</w:t>
      </w:r>
      <w:r w:rsidR="00C55427" w:rsidRPr="007179CB">
        <w:t>s to securing a stable and long-</w:t>
      </w:r>
      <w:r w:rsidRPr="007179CB">
        <w:t xml:space="preserve">term placement for children who can no longer live with their birth parent(s), including the possible effects of placement or carer type on child outcomes (Triseliotis 2002, Sinclair et al. 2007, </w:t>
      </w:r>
      <w:proofErr w:type="spellStart"/>
      <w:r w:rsidRPr="007179CB">
        <w:t>Biehal</w:t>
      </w:r>
      <w:proofErr w:type="spellEnd"/>
      <w:r w:rsidRPr="007179CB">
        <w:t xml:space="preserve"> et al. 2010</w:t>
      </w:r>
      <w:r w:rsidR="00E175A3" w:rsidRPr="007179CB">
        <w:t>;</w:t>
      </w:r>
      <w:r w:rsidRPr="007179CB">
        <w:t xml:space="preserve"> McSherry, </w:t>
      </w:r>
      <w:proofErr w:type="spellStart"/>
      <w:r w:rsidRPr="007179CB">
        <w:t>Fargas</w:t>
      </w:r>
      <w:proofErr w:type="spellEnd"/>
      <w:r w:rsidRPr="007179CB">
        <w:t xml:space="preserve"> and Weatherall 2016). </w:t>
      </w:r>
      <w:r w:rsidR="00C55427" w:rsidRPr="007179CB">
        <w:t>A core aspect in planning and</w:t>
      </w:r>
      <w:r w:rsidR="00F2652A" w:rsidRPr="007179CB">
        <w:t xml:space="preserve"> achieving long-</w:t>
      </w:r>
      <w:r w:rsidR="00C55427" w:rsidRPr="007179CB">
        <w:t xml:space="preserve">term placements is time. </w:t>
      </w:r>
      <w:r w:rsidR="00F2652A" w:rsidRPr="007179CB">
        <w:t>Delay can occur at any point throughout the permanence process. Across the United Kingdom, factors associated in causing delay are shown to be</w:t>
      </w:r>
      <w:r w:rsidR="00524EA6" w:rsidRPr="007179CB">
        <w:t>; the</w:t>
      </w:r>
      <w:r w:rsidR="00F2652A" w:rsidRPr="007179CB">
        <w:t xml:space="preserve"> </w:t>
      </w:r>
      <w:r w:rsidR="00524EA6" w:rsidRPr="007179CB">
        <w:t>length of time in initial care proceedings, including the difficulty in making decisions to move children (</w:t>
      </w:r>
      <w:proofErr w:type="spellStart"/>
      <w:r w:rsidR="00524EA6" w:rsidRPr="007179CB">
        <w:t>McKeigue</w:t>
      </w:r>
      <w:proofErr w:type="spellEnd"/>
      <w:r w:rsidR="00524EA6" w:rsidRPr="007179CB">
        <w:t xml:space="preserve"> and Beckett 2010, </w:t>
      </w:r>
      <w:proofErr w:type="spellStart"/>
      <w:r w:rsidR="00524EA6" w:rsidRPr="007179CB">
        <w:t>Biehal</w:t>
      </w:r>
      <w:proofErr w:type="spellEnd"/>
      <w:r w:rsidR="00524EA6" w:rsidRPr="007179CB">
        <w:t xml:space="preserve"> et al. 2010), the lack of resources in children’s services, including that to undertake professional assessments of parenting capacity (</w:t>
      </w:r>
      <w:proofErr w:type="spellStart"/>
      <w:r w:rsidR="00524EA6" w:rsidRPr="007179CB">
        <w:t>McKeigue</w:t>
      </w:r>
      <w:proofErr w:type="spellEnd"/>
      <w:r w:rsidR="00524EA6" w:rsidRPr="007179CB">
        <w:t xml:space="preserve"> and Beckett 2010, Kelly and McSherry 2002), the use of expert witnesses (Kelly and McSherry 2002, Ward</w:t>
      </w:r>
      <w:r w:rsidR="000B27F4" w:rsidRPr="007179CB">
        <w:t>, Brown and Westlake</w:t>
      </w:r>
      <w:r w:rsidR="00524EA6" w:rsidRPr="007179CB">
        <w:t xml:space="preserve"> 201</w:t>
      </w:r>
      <w:r w:rsidR="0089698B" w:rsidRPr="007179CB">
        <w:t>2) and a lack of understanding o</w:t>
      </w:r>
      <w:r w:rsidR="00524EA6" w:rsidRPr="007179CB">
        <w:t xml:space="preserve">f children’s developmental needs (Brown and Ward 2013). </w:t>
      </w:r>
    </w:p>
    <w:p w:rsidR="00524EA6" w:rsidRPr="007179CB" w:rsidRDefault="00524EA6" w:rsidP="000B2855">
      <w:r w:rsidRPr="007179CB">
        <w:t>Particular</w:t>
      </w:r>
      <w:r w:rsidR="0089698B" w:rsidRPr="007179CB">
        <w:t xml:space="preserve"> child characteristics </w:t>
      </w:r>
      <w:r w:rsidRPr="007179CB">
        <w:t xml:space="preserve">have also been found to </w:t>
      </w:r>
      <w:r w:rsidR="005649EE" w:rsidRPr="007179CB">
        <w:t>affect</w:t>
      </w:r>
      <w:r w:rsidRPr="007179CB">
        <w:t xml:space="preserve"> the time taken to progress permanence. </w:t>
      </w:r>
      <w:r w:rsidR="00AA1DE4" w:rsidRPr="007179CB">
        <w:t>A child’s ethnicity can impact the time taken to decide on permanence as well as the matching process (Selwyn et al. 2010,</w:t>
      </w:r>
      <w:r w:rsidR="002A6FDA" w:rsidRPr="007179CB">
        <w:t xml:space="preserve"> F</w:t>
      </w:r>
      <w:r w:rsidR="00A66A83" w:rsidRPr="007179CB">
        <w:t>armer and Dance 2016</w:t>
      </w:r>
      <w:r w:rsidR="00AA1DE4" w:rsidRPr="007179CB">
        <w:t xml:space="preserve">). </w:t>
      </w:r>
      <w:r w:rsidR="002A6FDA" w:rsidRPr="007179CB">
        <w:t xml:space="preserve">Children with disabilities, as well as developmental concerns, externalising behaviour and previous exposure to domestic abuse can also </w:t>
      </w:r>
      <w:r w:rsidR="005649EE" w:rsidRPr="007179CB">
        <w:t>influence</w:t>
      </w:r>
      <w:r w:rsidR="002A6FDA" w:rsidRPr="007179CB">
        <w:t xml:space="preserve"> placement opportunities (Anthony et al. </w:t>
      </w:r>
      <w:r w:rsidR="00446C27" w:rsidRPr="007179CB">
        <w:t>2016</w:t>
      </w:r>
      <w:r w:rsidR="002A6FDA" w:rsidRPr="007179CB">
        <w:t>). Children who are part of a sibling group can face further time de</w:t>
      </w:r>
      <w:r w:rsidR="003F5149" w:rsidRPr="007179CB">
        <w:t>lays (Sinclair, 2007; Saunders and</w:t>
      </w:r>
      <w:r w:rsidR="002A6FDA" w:rsidRPr="007179CB">
        <w:t xml:space="preserve"> Selwyn, 2011) with birth order influencing the likelihood of long term foster care or adoption (Henderson, Jones and Woods 2017). </w:t>
      </w:r>
    </w:p>
    <w:p w:rsidR="005649EE" w:rsidRPr="007179CB" w:rsidRDefault="005649EE" w:rsidP="000B2855">
      <w:r w:rsidRPr="007179CB">
        <w:t xml:space="preserve">In order to reduce delay in the adoption process in England the English Government introduced performance targets aimed at social work and the courts (Department of Education 2012). However, </w:t>
      </w:r>
      <w:r w:rsidR="002C4729" w:rsidRPr="007179CB">
        <w:t>the</w:t>
      </w:r>
      <w:r w:rsidR="007317A0" w:rsidRPr="007179CB">
        <w:t xml:space="preserve"> recent enquiry on behalf of the</w:t>
      </w:r>
      <w:r w:rsidR="002C4729" w:rsidRPr="007179CB">
        <w:t xml:space="preserve"> Britis</w:t>
      </w:r>
      <w:r w:rsidR="007317A0" w:rsidRPr="007179CB">
        <w:t>h Association of Social Workers</w:t>
      </w:r>
      <w:r w:rsidR="002C4729" w:rsidRPr="007179CB">
        <w:t xml:space="preserve"> raises</w:t>
      </w:r>
      <w:r w:rsidR="007317A0" w:rsidRPr="007179CB">
        <w:t xml:space="preserve"> serious</w:t>
      </w:r>
      <w:r w:rsidR="002C4729" w:rsidRPr="007179CB">
        <w:t xml:space="preserve"> questions about the</w:t>
      </w:r>
      <w:r w:rsidR="007317A0" w:rsidRPr="007179CB">
        <w:t xml:space="preserve"> current adoption process in England. Key issues raised include the impact of austerity on</w:t>
      </w:r>
      <w:r w:rsidR="002C4729" w:rsidRPr="007179CB">
        <w:t xml:space="preserve"> services both </w:t>
      </w:r>
      <w:r w:rsidR="007317A0" w:rsidRPr="007179CB">
        <w:t xml:space="preserve">before and after adoption. Furthermore, they found the current system also having a significant impact on </w:t>
      </w:r>
      <w:r w:rsidR="002C4729" w:rsidRPr="007179CB">
        <w:t xml:space="preserve">the ability of social workers to use their </w:t>
      </w:r>
      <w:r w:rsidR="007317A0" w:rsidRPr="007179CB">
        <w:t xml:space="preserve">professional </w:t>
      </w:r>
      <w:r w:rsidR="002C4729" w:rsidRPr="007179CB">
        <w:t xml:space="preserve">standards of ethics </w:t>
      </w:r>
      <w:r w:rsidR="007317A0" w:rsidRPr="007179CB">
        <w:rPr>
          <w:lang w:val="en"/>
        </w:rPr>
        <w:t xml:space="preserve">to inform adoption practice (Featherstone, Gupta and Mills 2018). </w:t>
      </w:r>
    </w:p>
    <w:p w:rsidR="000B2855" w:rsidRPr="007179CB" w:rsidRDefault="000B2855" w:rsidP="000B2855">
      <w:pPr>
        <w:rPr>
          <w:i/>
        </w:rPr>
      </w:pPr>
      <w:r w:rsidRPr="007179CB">
        <w:rPr>
          <w:i/>
        </w:rPr>
        <w:t>Scottish Policy</w:t>
      </w:r>
    </w:p>
    <w:p w:rsidR="009C55DA" w:rsidRPr="007179CB" w:rsidRDefault="000B2855" w:rsidP="000B2855">
      <w:r w:rsidRPr="007179CB">
        <w:t>Maclean and</w:t>
      </w:r>
      <w:r w:rsidR="00224B83" w:rsidRPr="007179CB">
        <w:t xml:space="preserve"> Hudson (2010) point out that</w:t>
      </w:r>
      <w:r w:rsidRPr="007179CB">
        <w:t xml:space="preserve"> academic study on fostering and adoption in Scotland was strong in the 1980s and 1990s, </w:t>
      </w:r>
      <w:r w:rsidR="00350888" w:rsidRPr="007179CB">
        <w:t xml:space="preserve">and </w:t>
      </w:r>
      <w:r w:rsidRPr="007179CB">
        <w:t>since then the Scottish Government and their funded agencies have</w:t>
      </w:r>
      <w:r w:rsidR="00224B83" w:rsidRPr="007179CB">
        <w:t xml:space="preserve"> primarily</w:t>
      </w:r>
      <w:r w:rsidRPr="007179CB">
        <w:t xml:space="preserve"> lead d</w:t>
      </w:r>
      <w:r w:rsidR="00224B83" w:rsidRPr="007179CB">
        <w:t>evelopments in this field. A key example of this i</w:t>
      </w:r>
      <w:r w:rsidRPr="007179CB">
        <w:t xml:space="preserve">s the introduction of </w:t>
      </w:r>
      <w:r w:rsidRPr="007179CB">
        <w:lastRenderedPageBreak/>
        <w:t xml:space="preserve">the </w:t>
      </w:r>
      <w:r w:rsidR="00224B83" w:rsidRPr="007179CB">
        <w:t xml:space="preserve">2007 Act. The </w:t>
      </w:r>
      <w:r w:rsidR="00350888" w:rsidRPr="007179CB">
        <w:t xml:space="preserve">2007 </w:t>
      </w:r>
      <w:r w:rsidR="00224B83" w:rsidRPr="007179CB">
        <w:t>Act</w:t>
      </w:r>
      <w:r w:rsidRPr="007179CB">
        <w:t xml:space="preserve"> followed the work done by th</w:t>
      </w:r>
      <w:r w:rsidR="00224B83" w:rsidRPr="007179CB">
        <w:t>e Adoption Policy Review Group (</w:t>
      </w:r>
      <w:r w:rsidRPr="007179CB">
        <w:t>2005) and brought about a number of changes designed to ‘improve, modernise and extend adoption in Scotland and to provide greater stability for children who cannot live with their original families’ (Scottish Parliamen</w:t>
      </w:r>
      <w:r w:rsidR="009C55DA" w:rsidRPr="007179CB">
        <w:t>t, 2006). A</w:t>
      </w:r>
      <w:r w:rsidR="0013383F" w:rsidRPr="007179CB">
        <w:t>mongst other matters, a</w:t>
      </w:r>
      <w:r w:rsidR="009C55DA" w:rsidRPr="007179CB">
        <w:t xml:space="preserve"> key development of the</w:t>
      </w:r>
      <w:r w:rsidRPr="007179CB">
        <w:t xml:space="preserve"> 2007 Act </w:t>
      </w:r>
      <w:r w:rsidR="009C55DA" w:rsidRPr="007179CB">
        <w:t>was to allow</w:t>
      </w:r>
      <w:r w:rsidRPr="007179CB">
        <w:t xml:space="preserve"> a wider range of people to adopt, such as same sex couples and couples who are not married or in a civil partnership</w:t>
      </w:r>
      <w:r w:rsidR="009C55DA" w:rsidRPr="007179CB">
        <w:t>.</w:t>
      </w:r>
      <w:r w:rsidRPr="007179CB">
        <w:t xml:space="preserve"> </w:t>
      </w:r>
    </w:p>
    <w:p w:rsidR="000B2855" w:rsidRPr="007179CB" w:rsidRDefault="00EA71F3" w:rsidP="000B2855">
      <w:r w:rsidRPr="007179CB">
        <w:t xml:space="preserve">The Act also made significant changes to the existing legal orders used in permanence and adoption. </w:t>
      </w:r>
      <w:r w:rsidR="000B2855" w:rsidRPr="007179CB">
        <w:t xml:space="preserve">Previous to the 2007 Act, children were granted an Adoption Order or Freeing Order under the 1978 Act. Under the 1978 Act, an Adoption Order placed parental rights and responsibilities to a child to their adoptive parents and the birth parents’ rights were removed. A Freeing Order also removed the rights of the birth parents, but the new rights were given to the adoption agency, that is, the local authority. This Order removed the birth parents’ rights without the prospective adoptive parents being involved in sometimes lengthy court process when birth parents opposed the adoption. It also allowed the local authority to begin the court process without a formal match having been made to prospective parents. In order for a child to be adopted though, a second court process was necessary where the prospective adoptive parents would lodge a petition for an Adoption Order after the Freeing Order was granted. </w:t>
      </w:r>
    </w:p>
    <w:p w:rsidR="000B2855" w:rsidRPr="007179CB" w:rsidRDefault="000B2855" w:rsidP="000B2855">
      <w:r w:rsidRPr="007179CB">
        <w:t>Recognising that not all children would be adopted, previous legislation also attempted to safeguard the long-term welfare of certain children through a Parental Responsibilities Order</w:t>
      </w:r>
      <w:r w:rsidR="00350888" w:rsidRPr="007179CB">
        <w:t xml:space="preserve"> (PRO)</w:t>
      </w:r>
      <w:r w:rsidRPr="007179CB">
        <w:t>. Under the 1995</w:t>
      </w:r>
      <w:r w:rsidR="00446C27" w:rsidRPr="007179CB">
        <w:t xml:space="preserve"> Act</w:t>
      </w:r>
      <w:r w:rsidRPr="007179CB">
        <w:t xml:space="preserve"> a PRO would grant the local authority all rights and responsibilities for a child, except agreeing (or not) to being freed for adoption or adopted. A PRO could only be applied for by a local authority where it was considered to be in the child’s best interests (Scottish Executive 2004). Like the other Orders, when making a PRO the child’s </w:t>
      </w:r>
      <w:r w:rsidR="00641CD0" w:rsidRPr="007179CB">
        <w:t>SR</w:t>
      </w:r>
      <w:r w:rsidRPr="007179CB">
        <w:t xml:space="preserve"> would be terminated by the Court, thus removing them from the Children’s Hearings System. Legally the child remained ‘looked after’ but it would no longer be necessary to return to Children’s Hearings for annual reviews or for such matters such as a change in </w:t>
      </w:r>
      <w:r w:rsidR="00202896" w:rsidRPr="007179CB">
        <w:t>placement</w:t>
      </w:r>
      <w:r w:rsidRPr="007179CB">
        <w:t xml:space="preserve">. </w:t>
      </w:r>
    </w:p>
    <w:p w:rsidR="000B2855" w:rsidRPr="007179CB" w:rsidRDefault="000B2855" w:rsidP="000B2855">
      <w:r w:rsidRPr="007179CB">
        <w:t>There were some recognisable drawbacks with the previous legislation. A Freeing Order, for example, whilst transferring parental rights and responsibilities to t</w:t>
      </w:r>
      <w:r w:rsidR="00EA71F3" w:rsidRPr="007179CB">
        <w:t>he local authority, still left</w:t>
      </w:r>
      <w:r w:rsidRPr="007179CB">
        <w:t xml:space="preserve"> a child in an interim stage or limbo unti</w:t>
      </w:r>
      <w:r w:rsidR="00EA71F3" w:rsidRPr="007179CB">
        <w:t>l a subsequent Adoption Order was</w:t>
      </w:r>
      <w:r w:rsidRPr="007179CB">
        <w:t xml:space="preserve"> made. </w:t>
      </w:r>
      <w:proofErr w:type="gramStart"/>
      <w:r w:rsidRPr="007179CB">
        <w:t>Also</w:t>
      </w:r>
      <w:proofErr w:type="gramEnd"/>
      <w:r w:rsidRPr="007179CB">
        <w:t xml:space="preserve"> where a local authority obtained a </w:t>
      </w:r>
      <w:r w:rsidR="00350888" w:rsidRPr="007179CB">
        <w:t>PRO</w:t>
      </w:r>
      <w:r w:rsidRPr="007179CB">
        <w:t>, this did not offer any security to a child as being a part of a particular family, nor allow birth parents or other family members to later apply for contact or a Residence Order (Scottish Executive 2006).</w:t>
      </w:r>
    </w:p>
    <w:p w:rsidR="000B2855" w:rsidRPr="007179CB" w:rsidRDefault="000B2855" w:rsidP="000B2855">
      <w:r w:rsidRPr="007179CB">
        <w:t>A significant change created by the 2007 Act was the introduction of Permanence Orders</w:t>
      </w:r>
      <w:r w:rsidR="00350888" w:rsidRPr="007179CB">
        <w:t xml:space="preserve"> (POs)</w:t>
      </w:r>
      <w:r w:rsidRPr="007179CB">
        <w:t xml:space="preserve">.  Permanence Orders replaced Freeing Orders and </w:t>
      </w:r>
      <w:proofErr w:type="spellStart"/>
      <w:r w:rsidRPr="007179CB">
        <w:t>PROs.</w:t>
      </w:r>
      <w:proofErr w:type="spellEnd"/>
      <w:r w:rsidRPr="007179CB">
        <w:t xml:space="preserve"> The intention of the PO is to increase stability for children who cannot live with their birth family, whilst being flexible enough to allow for needs of individual children. A key component of the PO is the ability of the court to</w:t>
      </w:r>
      <w:r w:rsidR="00202896" w:rsidRPr="007179CB">
        <w:t>:</w:t>
      </w:r>
    </w:p>
    <w:p w:rsidR="000B2855" w:rsidRPr="007179CB" w:rsidRDefault="000B2855" w:rsidP="000B2855">
      <w:r w:rsidRPr="007179CB">
        <w:t xml:space="preserve">‘allocate parental responsibilities and rights between a local authority, foster carers and birth parents, as it sees fit for the best interests of the child’ (ibid. p6). In effect foster carers, and in fact birth parents have greater recognition of their role in the lives of children who are permanently placed away from home. For </w:t>
      </w:r>
      <w:proofErr w:type="gramStart"/>
      <w:r w:rsidRPr="007179CB">
        <w:t>example</w:t>
      </w:r>
      <w:proofErr w:type="gramEnd"/>
      <w:r w:rsidRPr="007179CB">
        <w:t xml:space="preserve"> foster carers may be given specific authority to make decisions in relation to a child’s education, including choice of school or attending school excursions or given authority to apply for a passport for a child. Parents may also have contact conditions set where it is in the child’s interests. The rights are always shared with the local authority though who are the only ones who can apply for a PO and who maintain the right to regulate the child’s residence.</w:t>
      </w:r>
    </w:p>
    <w:p w:rsidR="000B2855" w:rsidRPr="007179CB" w:rsidRDefault="000B2855" w:rsidP="000B2855">
      <w:r w:rsidRPr="007179CB">
        <w:lastRenderedPageBreak/>
        <w:t xml:space="preserve">The </w:t>
      </w:r>
      <w:r w:rsidR="00350888" w:rsidRPr="007179CB">
        <w:t>PO</w:t>
      </w:r>
      <w:r w:rsidRPr="007179CB">
        <w:t xml:space="preserve"> can also be used as a route to adoption. A PO can be granted with an authority to adopt (POA). In effect</w:t>
      </w:r>
      <w:r w:rsidR="00EA71F3" w:rsidRPr="007179CB">
        <w:t>,</w:t>
      </w:r>
      <w:r w:rsidRPr="007179CB">
        <w:t xml:space="preserve"> this is similar to what was previously a Freeing Order but the intention of a POA is to offer greater security to a child</w:t>
      </w:r>
      <w:r w:rsidR="00EA71F3" w:rsidRPr="007179CB">
        <w:t>,</w:t>
      </w:r>
      <w:r w:rsidRPr="007179CB">
        <w:t xml:space="preserve"> for if a subsequent adoption does not occur, the Order can be </w:t>
      </w:r>
      <w:proofErr w:type="gramStart"/>
      <w:r w:rsidRPr="007179CB">
        <w:t>varied</w:t>
      </w:r>
      <w:proofErr w:type="gramEnd"/>
      <w:r w:rsidRPr="007179CB">
        <w:t xml:space="preserve"> and parental rights and responsibilities reallocated according to the interests of the child. In fact, variations can be applied for </w:t>
      </w:r>
      <w:r w:rsidR="00EA71F3" w:rsidRPr="007179CB">
        <w:t xml:space="preserve">with </w:t>
      </w:r>
      <w:r w:rsidRPr="007179CB">
        <w:t xml:space="preserve">any </w:t>
      </w:r>
      <w:r w:rsidR="00350888" w:rsidRPr="007179CB">
        <w:t>PO</w:t>
      </w:r>
      <w:r w:rsidRPr="007179CB">
        <w:t xml:space="preserve"> that is in force to reflect that the needs of a child can vary in the future. </w:t>
      </w:r>
      <w:r w:rsidR="00E220F9" w:rsidRPr="007179CB">
        <w:t xml:space="preserve">Permanence Orders have steadily increased since their introduction with 1,669 POs and 262 POAs made in 2016 (Scottish Government 2017). </w:t>
      </w:r>
    </w:p>
    <w:p w:rsidR="00852764" w:rsidRPr="007179CB" w:rsidRDefault="00852764" w:rsidP="000B2855">
      <w:r w:rsidRPr="007179CB">
        <w:t>Overall the Adoption and Review Group clearly debated the range of permanence options that children may follow, and politically did not consider adoption as the primary route, or what has become known in England as the ‘golden standard’</w:t>
      </w:r>
      <w:r w:rsidR="003F5149" w:rsidRPr="007179CB">
        <w:t>. More recently in fact, attention has returned to poor outcomes for children on a CSO</w:t>
      </w:r>
      <w:r w:rsidRPr="007179CB">
        <w:t xml:space="preserve"> at ho</w:t>
      </w:r>
      <w:r w:rsidR="003F5149" w:rsidRPr="007179CB">
        <w:t xml:space="preserve">me, as they continue to be at least a quarter of the looked after children population (Scottish Government 2015). </w:t>
      </w:r>
    </w:p>
    <w:p w:rsidR="000B2855" w:rsidRPr="007179CB" w:rsidRDefault="000B2855" w:rsidP="000B2855">
      <w:r w:rsidRPr="007179CB">
        <w:rPr>
          <w:i/>
        </w:rPr>
        <w:t>The studies</w:t>
      </w:r>
    </w:p>
    <w:p w:rsidR="000B2855" w:rsidRPr="007179CB" w:rsidRDefault="00EA71F3" w:rsidP="000B2855">
      <w:r w:rsidRPr="007179CB">
        <w:t>The basis of this paper is a</w:t>
      </w:r>
      <w:r w:rsidR="000B2855" w:rsidRPr="007179CB">
        <w:t>n examination of the</w:t>
      </w:r>
      <w:r w:rsidR="00350888" w:rsidRPr="007179CB">
        <w:t xml:space="preserve"> implementation of Scottish legislation </w:t>
      </w:r>
      <w:r w:rsidRPr="007179CB">
        <w:t xml:space="preserve">related to permanence and adoption. </w:t>
      </w:r>
      <w:r w:rsidR="00D63568" w:rsidRPr="007179CB">
        <w:t xml:space="preserve">In particular, the research focuses on the children dealt with under the </w:t>
      </w:r>
      <w:r w:rsidR="00350888" w:rsidRPr="007179CB">
        <w:t xml:space="preserve">1978 and 2007Acts </w:t>
      </w:r>
      <w:r w:rsidR="00D63568" w:rsidRPr="007179CB">
        <w:t xml:space="preserve">and the </w:t>
      </w:r>
      <w:r w:rsidR="00E01D1F" w:rsidRPr="007179CB">
        <w:t>timescales</w:t>
      </w:r>
      <w:r w:rsidR="00D63568" w:rsidRPr="007179CB">
        <w:t xml:space="preserve"> in </w:t>
      </w:r>
      <w:r w:rsidR="00350888" w:rsidRPr="007179CB">
        <w:t xml:space="preserve">progressing </w:t>
      </w:r>
      <w:r w:rsidR="00D63568" w:rsidRPr="007179CB">
        <w:t>children through the</w:t>
      </w:r>
      <w:r w:rsidR="00350888" w:rsidRPr="007179CB">
        <w:t>se</w:t>
      </w:r>
      <w:r w:rsidR="00D63568" w:rsidRPr="007179CB">
        <w:t xml:space="preserve"> </w:t>
      </w:r>
      <w:r w:rsidR="00E01D1F" w:rsidRPr="007179CB">
        <w:t xml:space="preserve">different </w:t>
      </w:r>
      <w:r w:rsidR="00D63568" w:rsidRPr="007179CB">
        <w:t xml:space="preserve">legal </w:t>
      </w:r>
      <w:r w:rsidR="00350888" w:rsidRPr="007179CB">
        <w:t>processes</w:t>
      </w:r>
      <w:r w:rsidR="00D63568" w:rsidRPr="007179CB">
        <w:t xml:space="preserve">. </w:t>
      </w:r>
      <w:r w:rsidR="003A018F" w:rsidRPr="007179CB">
        <w:t xml:space="preserve">The paper draws together research from two key studies. </w:t>
      </w:r>
      <w:r w:rsidR="000B2855" w:rsidRPr="007179CB">
        <w:t>The first study was conducted by the Scottish Children’s Reporter Administration</w:t>
      </w:r>
      <w:r w:rsidR="00786FCD" w:rsidRPr="007179CB">
        <w:t xml:space="preserve"> (SCRA)</w:t>
      </w:r>
      <w:r w:rsidR="000B2855" w:rsidRPr="007179CB">
        <w:t xml:space="preserve"> to understand the process of permanence planning and adoption for looked after children in Scotland </w:t>
      </w:r>
      <w:r w:rsidR="003A018F" w:rsidRPr="007179CB">
        <w:t>under the 1978</w:t>
      </w:r>
      <w:r w:rsidR="00786FCD" w:rsidRPr="007179CB">
        <w:t xml:space="preserve"> and </w:t>
      </w:r>
      <w:r w:rsidR="003A018F" w:rsidRPr="007179CB">
        <w:t xml:space="preserve">1995 Acts </w:t>
      </w:r>
      <w:r w:rsidR="000B2855" w:rsidRPr="007179CB">
        <w:t xml:space="preserve">(Henderson, Hanson </w:t>
      </w:r>
      <w:r w:rsidR="004072FE" w:rsidRPr="007179CB">
        <w:t>and Whitehead 2011</w:t>
      </w:r>
      <w:r w:rsidR="00786FCD" w:rsidRPr="007179CB">
        <w:t xml:space="preserve">; </w:t>
      </w:r>
      <w:r w:rsidR="004072FE" w:rsidRPr="007179CB">
        <w:t>Hanson 2011</w:t>
      </w:r>
      <w:r w:rsidR="000B2855" w:rsidRPr="007179CB">
        <w:t xml:space="preserve">). It examined the process according to </w:t>
      </w:r>
      <w:r w:rsidR="00786FCD" w:rsidRPr="007179CB">
        <w:t xml:space="preserve">the </w:t>
      </w:r>
      <w:r w:rsidR="000B2855" w:rsidRPr="007179CB">
        <w:t xml:space="preserve">key </w:t>
      </w:r>
      <w:proofErr w:type="gramStart"/>
      <w:r w:rsidR="000B2855" w:rsidRPr="007179CB">
        <w:t>decision making</w:t>
      </w:r>
      <w:proofErr w:type="gramEnd"/>
      <w:r w:rsidR="000B2855" w:rsidRPr="007179CB">
        <w:t xml:space="preserve"> moments along the child’s permanence plan and followed this process through the Children’s Hearings System and the Scottish Courts. </w:t>
      </w:r>
      <w:r w:rsidR="003A018F" w:rsidRPr="007179CB">
        <w:t xml:space="preserve"> </w:t>
      </w:r>
      <w:r w:rsidR="000B2855" w:rsidRPr="007179CB">
        <w:t xml:space="preserve">The Scottish Government responded to the initial research (Scottish Government 2011) and funding was given to the Centre for Excellence for Looked After Children in Scotland (CELCIS) to form a Permanence and Care </w:t>
      </w:r>
      <w:r w:rsidR="00786FCD" w:rsidRPr="007179CB">
        <w:t xml:space="preserve">Excellence </w:t>
      </w:r>
      <w:r w:rsidR="000B2855" w:rsidRPr="007179CB">
        <w:t>team that would take forward work in supporting Local Authorities to develop and disseminate good and impr</w:t>
      </w:r>
      <w:r w:rsidR="003A018F" w:rsidRPr="007179CB">
        <w:t>oved practice</w:t>
      </w:r>
      <w:r w:rsidR="00786FCD" w:rsidRPr="007179CB">
        <w:t xml:space="preserve"> (Mitchell &amp; Porter, 2016)</w:t>
      </w:r>
      <w:r w:rsidR="003A018F" w:rsidRPr="007179CB">
        <w:t>. As the new legislation</w:t>
      </w:r>
      <w:r w:rsidR="00786FCD" w:rsidRPr="007179CB">
        <w:t xml:space="preserve"> </w:t>
      </w:r>
      <w:r w:rsidR="003A018F" w:rsidRPr="007179CB">
        <w:t>became</w:t>
      </w:r>
      <w:r w:rsidR="000B2855" w:rsidRPr="007179CB">
        <w:t xml:space="preserve"> fully implemented, </w:t>
      </w:r>
      <w:r w:rsidR="00786FCD" w:rsidRPr="007179CB">
        <w:t xml:space="preserve">the </w:t>
      </w:r>
      <w:r w:rsidR="000B2855" w:rsidRPr="007179CB">
        <w:t xml:space="preserve">Scottish Government then commissioned SCRA to follow up on </w:t>
      </w:r>
      <w:r w:rsidR="00202896" w:rsidRPr="007179CB">
        <w:t xml:space="preserve">its </w:t>
      </w:r>
      <w:r w:rsidR="000B2855" w:rsidRPr="007179CB">
        <w:t>initial research to</w:t>
      </w:r>
      <w:r w:rsidR="008B1F3A" w:rsidRPr="007179CB">
        <w:t xml:space="preserve"> conduct the second study and</w:t>
      </w:r>
      <w:r w:rsidR="000B2855" w:rsidRPr="007179CB">
        <w:t xml:space="preserve"> assess progress in delivering permanence through the implementation of the 2007 Act</w:t>
      </w:r>
      <w:r w:rsidR="00534E2C" w:rsidRPr="007179CB">
        <w:t xml:space="preserve"> (Henderson et al. 2015</w:t>
      </w:r>
      <w:r w:rsidR="00D874D8" w:rsidRPr="007179CB">
        <w:t>)</w:t>
      </w:r>
    </w:p>
    <w:p w:rsidR="000B2855" w:rsidRPr="007179CB" w:rsidRDefault="000B2855" w:rsidP="000B2855">
      <w:pPr>
        <w:rPr>
          <w:b/>
        </w:rPr>
      </w:pPr>
      <w:r w:rsidRPr="007179CB">
        <w:rPr>
          <w:b/>
        </w:rPr>
        <w:t>Method</w:t>
      </w:r>
    </w:p>
    <w:p w:rsidR="000B2855" w:rsidRPr="007179CB" w:rsidRDefault="000B2855" w:rsidP="000B2855">
      <w:pPr>
        <w:rPr>
          <w:i/>
        </w:rPr>
      </w:pPr>
      <w:r w:rsidRPr="007179CB">
        <w:rPr>
          <w:i/>
        </w:rPr>
        <w:t>Ethical considerations and permissions</w:t>
      </w:r>
    </w:p>
    <w:p w:rsidR="000B2855" w:rsidRPr="007179CB" w:rsidRDefault="006F2516" w:rsidP="000B2855">
      <w:r w:rsidRPr="007179CB">
        <w:t>The studies required stringent</w:t>
      </w:r>
      <w:r w:rsidR="000B2855" w:rsidRPr="007179CB">
        <w:t xml:space="preserve"> ethical consideration due to the highly confidential nature of adoption proceedings. Once a</w:t>
      </w:r>
      <w:r w:rsidR="00202896" w:rsidRPr="007179CB">
        <w:t xml:space="preserve"> Scottish</w:t>
      </w:r>
      <w:r w:rsidR="000B2855" w:rsidRPr="007179CB">
        <w:t xml:space="preserve"> </w:t>
      </w:r>
      <w:r w:rsidR="00202896" w:rsidRPr="007179CB">
        <w:t xml:space="preserve">court </w:t>
      </w:r>
      <w:r w:rsidR="000B2855" w:rsidRPr="007179CB">
        <w:t xml:space="preserve">has granted an Adoption Order, a POA or Freeing Order the court process records are sealed for 100 years. They are then no longer accessible to any person except the person adopted once they are 16 years old. Only in exceptional circumstances can the sealed documents be accessed by anyone else. One circumstance is for research purposes if the research </w:t>
      </w:r>
      <w:r w:rsidR="00786FCD" w:rsidRPr="007179CB">
        <w:t xml:space="preserve">will </w:t>
      </w:r>
      <w:r w:rsidR="000B2855" w:rsidRPr="007179CB">
        <w:t>be used to improve adoption law and</w:t>
      </w:r>
      <w:r w:rsidR="00786FCD" w:rsidRPr="007179CB">
        <w:t>/or</w:t>
      </w:r>
      <w:r w:rsidR="000B2855" w:rsidRPr="007179CB">
        <w:t xml:space="preserve"> practice, but only where Scottish Ministers authorise the access. </w:t>
      </w:r>
      <w:proofErr w:type="gramStart"/>
      <w:r w:rsidR="000B2855" w:rsidRPr="007179CB">
        <w:t>Therefore</w:t>
      </w:r>
      <w:proofErr w:type="gramEnd"/>
      <w:r w:rsidR="000B2855" w:rsidRPr="007179CB">
        <w:t xml:space="preserve"> in both data collection periods, permission was gained from the </w:t>
      </w:r>
      <w:r w:rsidR="00786FCD" w:rsidRPr="007179CB">
        <w:t>Scottish Government</w:t>
      </w:r>
      <w:r w:rsidR="00D874D8" w:rsidRPr="007179CB">
        <w:t xml:space="preserve"> </w:t>
      </w:r>
      <w:r w:rsidR="000B2855" w:rsidRPr="007179CB">
        <w:t>Minister for Children and Young People, along with the Lord President and the six Sheriff</w:t>
      </w:r>
      <w:r w:rsidR="00D874D8" w:rsidRPr="007179CB">
        <w:t>s</w:t>
      </w:r>
      <w:r w:rsidR="000B2855" w:rsidRPr="007179CB">
        <w:t xml:space="preserve"> Principal before the data collection began.</w:t>
      </w:r>
    </w:p>
    <w:p w:rsidR="000B2855" w:rsidRPr="007179CB" w:rsidRDefault="000B2855" w:rsidP="000B2855">
      <w:pPr>
        <w:rPr>
          <w:i/>
        </w:rPr>
      </w:pPr>
      <w:r w:rsidRPr="007179CB">
        <w:rPr>
          <w:i/>
        </w:rPr>
        <w:t>Study samples</w:t>
      </w:r>
    </w:p>
    <w:p w:rsidR="000B2855" w:rsidRPr="007179CB" w:rsidRDefault="000B2855" w:rsidP="000B2855">
      <w:r w:rsidRPr="007179CB">
        <w:t xml:space="preserve">Identifying children for the research was a complicated process as no single organisation in Scotland centrally holds information on </w:t>
      </w:r>
      <w:r w:rsidR="00786FCD" w:rsidRPr="007179CB">
        <w:t xml:space="preserve">looked after </w:t>
      </w:r>
      <w:r w:rsidRPr="007179CB">
        <w:t xml:space="preserve">children who have been adopted or had a </w:t>
      </w:r>
      <w:r w:rsidR="00202896" w:rsidRPr="007179CB">
        <w:t>PO</w:t>
      </w:r>
      <w:r w:rsidRPr="007179CB">
        <w:t xml:space="preserve">/PRO. As </w:t>
      </w:r>
      <w:r w:rsidRPr="007179CB">
        <w:lastRenderedPageBreak/>
        <w:t xml:space="preserve">the research was to examine cases from across Scotland, it was not practical to approach the 32 local authorities to identify children relative to the research aims. The research team were able to identify a potential sample using records from the </w:t>
      </w:r>
      <w:r w:rsidR="00786FCD" w:rsidRPr="007179CB">
        <w:t>SCRA’s</w:t>
      </w:r>
      <w:r w:rsidRPr="007179CB">
        <w:t xml:space="preserve"> Data Warehouse and Case Management System. Identifying the children involved finding those whose </w:t>
      </w:r>
      <w:r w:rsidR="00202896" w:rsidRPr="007179CB">
        <w:t>SR</w:t>
      </w:r>
      <w:r w:rsidRPr="007179CB">
        <w:t xml:space="preserve"> had been terminated and where a Children’s Hearing had previously taken place in relation to adoption or permanence. Such Hearings are held to provide advice to the </w:t>
      </w:r>
      <w:r w:rsidR="00786FCD" w:rsidRPr="007179CB">
        <w:t>court</w:t>
      </w:r>
      <w:r w:rsidR="00202896" w:rsidRPr="007179CB">
        <w:t>s</w:t>
      </w:r>
      <w:r w:rsidR="00786FCD" w:rsidRPr="007179CB">
        <w:t xml:space="preserve"> </w:t>
      </w:r>
      <w:r w:rsidRPr="007179CB">
        <w:t xml:space="preserve">on permanence or adoption shortly before the </w:t>
      </w:r>
      <w:r w:rsidR="00202896" w:rsidRPr="007179CB">
        <w:t xml:space="preserve">court </w:t>
      </w:r>
      <w:r w:rsidRPr="007179CB">
        <w:t xml:space="preserve">process begins. Identifying the children towards the end of their involvement with the Children’s Hearings System allowed for the sample to include children of all ages and also with different lengths of time </w:t>
      </w:r>
      <w:r w:rsidR="00202896" w:rsidRPr="007179CB">
        <w:t xml:space="preserve">of </w:t>
      </w:r>
      <w:r w:rsidRPr="007179CB">
        <w:t>being ‘looked after’.</w:t>
      </w:r>
      <w:r w:rsidR="00D874D8" w:rsidRPr="007179CB">
        <w:t xml:space="preserve"> </w:t>
      </w:r>
      <w:r w:rsidRPr="007179CB">
        <w:t xml:space="preserve"> </w:t>
      </w:r>
      <w:r w:rsidR="00D874D8" w:rsidRPr="007179CB">
        <w:t>Children who had gone on to be adopted outside of Scotland were excluded from the studies as their court records could not be accessed.</w:t>
      </w:r>
    </w:p>
    <w:p w:rsidR="000B2855" w:rsidRPr="007179CB" w:rsidRDefault="000B2855" w:rsidP="000B2855">
      <w:r w:rsidRPr="007179CB">
        <w:t xml:space="preserve">The sample populations were restricted to including children who had been dealt with under the 1978 Act </w:t>
      </w:r>
      <w:r w:rsidR="00D874D8" w:rsidRPr="007179CB">
        <w:t xml:space="preserve">and </w:t>
      </w:r>
      <w:r w:rsidRPr="007179CB">
        <w:t>1995 Act or 2007 Act exclusively. In the first study identifying children whose Orders had concluded under the previous legislation provided a sample of 100 children</w:t>
      </w:r>
      <w:r w:rsidR="00202896" w:rsidRPr="007179CB">
        <w:t xml:space="preserve"> – the 1978 Act cohort</w:t>
      </w:r>
      <w:r w:rsidR="00D874D8" w:rsidRPr="007179CB">
        <w:t>.  These children all had Adoption Orders, PROs or Freeing Orders made by Sheriff Courts in 2009-10</w:t>
      </w:r>
      <w:r w:rsidRPr="007179CB">
        <w:t>. In the second group, the 200 children were selected randomly from a population of 290</w:t>
      </w:r>
      <w:r w:rsidR="00202896" w:rsidRPr="007179CB">
        <w:t xml:space="preserve"> – the 2007 Act cohort</w:t>
      </w:r>
      <w:r w:rsidRPr="007179CB">
        <w:t xml:space="preserve">.  </w:t>
      </w:r>
      <w:r w:rsidR="00D874D8" w:rsidRPr="007179CB">
        <w:t>These children</w:t>
      </w:r>
      <w:r w:rsidR="00641CD0" w:rsidRPr="007179CB">
        <w:t xml:space="preserve"> all had Adoption Orders or POs</w:t>
      </w:r>
      <w:r w:rsidR="00D874D8" w:rsidRPr="007179CB">
        <w:t xml:space="preserve"> made by Sheriff Courts in 2013-14.</w:t>
      </w:r>
    </w:p>
    <w:p w:rsidR="000B2855" w:rsidRPr="007179CB" w:rsidRDefault="000B2855" w:rsidP="000B2855">
      <w:r w:rsidRPr="007179CB">
        <w:rPr>
          <w:i/>
        </w:rPr>
        <w:t>Data collection and analysis</w:t>
      </w:r>
    </w:p>
    <w:p w:rsidR="000B2855" w:rsidRPr="007179CB" w:rsidRDefault="000B2855" w:rsidP="000B2855">
      <w:r w:rsidRPr="007179CB">
        <w:t xml:space="preserve">Data </w:t>
      </w:r>
      <w:r w:rsidR="00786FCD" w:rsidRPr="007179CB">
        <w:t xml:space="preserve">were </w:t>
      </w:r>
      <w:r w:rsidRPr="007179CB">
        <w:t>collected from case files and records held by SCRA</w:t>
      </w:r>
      <w:r w:rsidR="00202896" w:rsidRPr="007179CB">
        <w:t xml:space="preserve"> offices</w:t>
      </w:r>
      <w:r w:rsidRPr="007179CB">
        <w:t xml:space="preserve"> and</w:t>
      </w:r>
      <w:r w:rsidR="00202896" w:rsidRPr="007179CB">
        <w:t xml:space="preserve"> individual Sheriff</w:t>
      </w:r>
      <w:r w:rsidRPr="007179CB">
        <w:t xml:space="preserve"> Courts. A defined set of variables was created and piloted with SCRA information at the beginning of the first study. Cases from the pilot were not included in the main study. Data </w:t>
      </w:r>
      <w:r w:rsidR="00202896" w:rsidRPr="007179CB">
        <w:t xml:space="preserve">were </w:t>
      </w:r>
      <w:r w:rsidRPr="007179CB">
        <w:t xml:space="preserve">stored in Microsoft Excel on encrypted laptops. In order to ensure confidentiality no names of any children were stored with the data. The variables used </w:t>
      </w:r>
      <w:r w:rsidR="00847A39" w:rsidRPr="007179CB">
        <w:t xml:space="preserve">for both cohorts </w:t>
      </w:r>
      <w:r w:rsidRPr="007179CB">
        <w:t xml:space="preserve">included background characteristics of the child, when there were first concerns about the child, their initial referral(s) to the </w:t>
      </w:r>
      <w:r w:rsidR="00D874D8" w:rsidRPr="007179CB">
        <w:t xml:space="preserve">Children’s </w:t>
      </w:r>
      <w:r w:rsidRPr="007179CB">
        <w:t xml:space="preserve">Reporter, their placement histories, meetings around the permanence process, advice </w:t>
      </w:r>
      <w:r w:rsidR="00D874D8" w:rsidRPr="007179CB">
        <w:t xml:space="preserve">Children’s </w:t>
      </w:r>
      <w:r w:rsidRPr="007179CB">
        <w:t xml:space="preserve">Hearings, the submission of petition to court, Curator ad litem and Reporting Officer roles and court scheduling, including the final court hearing date when the Order was granted. Supplementary information was also collected where there appeared to be delays or periods without progress.  Further data </w:t>
      </w:r>
      <w:r w:rsidR="00786FCD" w:rsidRPr="007179CB">
        <w:t xml:space="preserve">were </w:t>
      </w:r>
      <w:r w:rsidRPr="007179CB">
        <w:t xml:space="preserve">collected on </w:t>
      </w:r>
      <w:r w:rsidR="00847A39" w:rsidRPr="007179CB">
        <w:t xml:space="preserve">the 2007 Act cohort </w:t>
      </w:r>
      <w:r w:rsidRPr="007179CB">
        <w:t xml:space="preserve">on contact arrangements set by Children’s Hearings </w:t>
      </w:r>
      <w:r w:rsidR="00202896" w:rsidRPr="007179CB">
        <w:t xml:space="preserve">and courts </w:t>
      </w:r>
      <w:r w:rsidRPr="007179CB">
        <w:t xml:space="preserve">and on some specific changes introduced by the </w:t>
      </w:r>
      <w:r w:rsidR="00786FCD" w:rsidRPr="007179CB">
        <w:t xml:space="preserve">2007 </w:t>
      </w:r>
      <w:r w:rsidRPr="007179CB">
        <w:t xml:space="preserve">Act. The data </w:t>
      </w:r>
      <w:r w:rsidR="00641CD0" w:rsidRPr="007179CB">
        <w:t>was</w:t>
      </w:r>
      <w:r w:rsidR="00786FCD" w:rsidRPr="007179CB">
        <w:t xml:space="preserve"> </w:t>
      </w:r>
      <w:r w:rsidRPr="007179CB">
        <w:t xml:space="preserve">collected in the first study in 2010 and the second study in 2014. </w:t>
      </w:r>
    </w:p>
    <w:p w:rsidR="000B2855" w:rsidRPr="007179CB" w:rsidRDefault="000B2855" w:rsidP="000B2855">
      <w:r w:rsidRPr="007179CB">
        <w:t xml:space="preserve">Descriptive statistics and time period calculations were made using Excel. </w:t>
      </w:r>
    </w:p>
    <w:p w:rsidR="000B2855" w:rsidRPr="007179CB" w:rsidRDefault="000B2855" w:rsidP="000B2855"/>
    <w:p w:rsidR="000B2855" w:rsidRPr="007179CB" w:rsidRDefault="000B2855" w:rsidP="000B2855">
      <w:pPr>
        <w:rPr>
          <w:b/>
        </w:rPr>
      </w:pPr>
      <w:r w:rsidRPr="007179CB">
        <w:rPr>
          <w:b/>
        </w:rPr>
        <w:t>Findings</w:t>
      </w:r>
    </w:p>
    <w:p w:rsidR="000B2855" w:rsidRPr="007179CB" w:rsidRDefault="000B2855" w:rsidP="000B2855">
      <w:pPr>
        <w:rPr>
          <w:i/>
        </w:rPr>
      </w:pPr>
      <w:r w:rsidRPr="007179CB">
        <w:rPr>
          <w:i/>
        </w:rPr>
        <w:t>The children and their families</w:t>
      </w:r>
    </w:p>
    <w:p w:rsidR="00BC2A64" w:rsidRPr="007179CB" w:rsidRDefault="000B2855" w:rsidP="000B2855">
      <w:r w:rsidRPr="007179CB">
        <w:t xml:space="preserve">The 300 children across the two groups comprised of 49% females (n= 147) and 51% males. The slightly higher proportion of boys to girls is similar to the proportion of boys starting to be looked after in 2016, </w:t>
      </w:r>
      <w:r w:rsidR="00847A39" w:rsidRPr="007179CB">
        <w:t xml:space="preserve">which was </w:t>
      </w:r>
      <w:r w:rsidRPr="007179CB">
        <w:t>54%</w:t>
      </w:r>
      <w:r w:rsidR="00847A39" w:rsidRPr="007179CB">
        <w:t xml:space="preserve"> (</w:t>
      </w:r>
      <w:r w:rsidR="000D0264" w:rsidRPr="007179CB">
        <w:t>Scottish Government, 2017</w:t>
      </w:r>
      <w:r w:rsidR="00847A39" w:rsidRPr="007179CB">
        <w:t>)</w:t>
      </w:r>
      <w:r w:rsidRPr="007179CB">
        <w:t xml:space="preserve">. Information surrounding ethnicity was only collected for the 2007 </w:t>
      </w:r>
      <w:r w:rsidR="00847A39" w:rsidRPr="007179CB">
        <w:t xml:space="preserve">Act </w:t>
      </w:r>
      <w:r w:rsidRPr="007179CB">
        <w:t>cohort.</w:t>
      </w:r>
      <w:r w:rsidR="00913FA2" w:rsidRPr="007179CB">
        <w:t xml:space="preserve"> In this study it was found that 90% of the children had their ethnicity recorded as White – English/Welsh/Scottish/Northern Irish/British. For 6% their ethnicity was not recorded. The remaining 4% were recorded as</w:t>
      </w:r>
      <w:r w:rsidR="00754618" w:rsidRPr="007179CB">
        <w:t xml:space="preserve"> of </w:t>
      </w:r>
      <w:r w:rsidR="00913FA2" w:rsidRPr="007179CB">
        <w:t>‘mixed’</w:t>
      </w:r>
      <w:r w:rsidR="00A65D40" w:rsidRPr="007179CB">
        <w:t xml:space="preserve"> </w:t>
      </w:r>
      <w:r w:rsidR="00754618" w:rsidRPr="007179CB">
        <w:t>ethnicity</w:t>
      </w:r>
      <w:r w:rsidR="00913FA2" w:rsidRPr="007179CB">
        <w:t xml:space="preserve">. </w:t>
      </w:r>
      <w:r w:rsidR="00D17155" w:rsidRPr="007179CB">
        <w:t xml:space="preserve">Information on disability was also recorded for the 2007 </w:t>
      </w:r>
      <w:r w:rsidR="00847A39" w:rsidRPr="007179CB">
        <w:t xml:space="preserve">Act </w:t>
      </w:r>
      <w:r w:rsidR="00D17155" w:rsidRPr="007179CB">
        <w:t xml:space="preserve">cohort. Twenty seven of the 200 children </w:t>
      </w:r>
      <w:r w:rsidR="00BC2A64" w:rsidRPr="007179CB">
        <w:t xml:space="preserve">were recorded as having a disability with ‘multiple disabilities’ (n=7), learning disability (n=5) and social, emotional and </w:t>
      </w:r>
      <w:r w:rsidR="00BC2A64" w:rsidRPr="007179CB">
        <w:lastRenderedPageBreak/>
        <w:t xml:space="preserve">behavioural difficulties (n=5) being the most common. Information on disabilities may be underreported however, as 21% of the children had no information recorded about disability. </w:t>
      </w:r>
    </w:p>
    <w:p w:rsidR="00BC2A64" w:rsidRPr="007179CB" w:rsidRDefault="00BC2A64" w:rsidP="000B2855">
      <w:pPr>
        <w:rPr>
          <w:i/>
        </w:rPr>
      </w:pPr>
      <w:r w:rsidRPr="007179CB">
        <w:rPr>
          <w:i/>
        </w:rPr>
        <w:t>Parents and siblings</w:t>
      </w:r>
    </w:p>
    <w:p w:rsidR="000B2855" w:rsidRPr="007179CB" w:rsidRDefault="00424311" w:rsidP="000B2855">
      <w:r w:rsidRPr="007179CB">
        <w:t>T</w:t>
      </w:r>
      <w:r w:rsidR="00B630DD" w:rsidRPr="007179CB">
        <w:t xml:space="preserve">he parents of the children in the study had often experienced adverse circumstances when they were children themselves. In the 2007 </w:t>
      </w:r>
      <w:r w:rsidR="00847A39" w:rsidRPr="007179CB">
        <w:t xml:space="preserve">Act </w:t>
      </w:r>
      <w:r w:rsidR="00B630DD" w:rsidRPr="007179CB">
        <w:t>cohort it was recorded as to whether the birth mother or father had been a looked after child themselves. It was found that in 55% of the cases there was a</w:t>
      </w:r>
      <w:r w:rsidR="006518F9" w:rsidRPr="007179CB">
        <w:t>t least one</w:t>
      </w:r>
      <w:r w:rsidR="00B630DD" w:rsidRPr="007179CB">
        <w:t xml:space="preserve"> parent who had previously been looked after. This was 44% of the mothers (n=87) and 32% of fathers (n=63). </w:t>
      </w:r>
      <w:r w:rsidR="006518F9" w:rsidRPr="007179CB">
        <w:t xml:space="preserve">In comparison, </w:t>
      </w:r>
      <w:r w:rsidR="00B630DD" w:rsidRPr="007179CB">
        <w:t>Selwyn et al (2006) report that in their study</w:t>
      </w:r>
      <w:r w:rsidRPr="007179CB">
        <w:t xml:space="preserve"> of adoption</w:t>
      </w:r>
      <w:r w:rsidR="00B630DD" w:rsidRPr="007179CB">
        <w:t xml:space="preserve"> in England 63% of mothers and 48% of fathers had spent periods of time in care</w:t>
      </w:r>
      <w:r w:rsidR="0032631F" w:rsidRPr="007179CB">
        <w:t xml:space="preserve">. Kelly and McSherry (2002) also found that almost 50% of mothers and 12% of fathers in their study </w:t>
      </w:r>
      <w:r w:rsidR="00AF72AA" w:rsidRPr="007179CB">
        <w:t xml:space="preserve">in Northern Ireland </w:t>
      </w:r>
      <w:r w:rsidR="0032631F" w:rsidRPr="007179CB">
        <w:t>had been in care</w:t>
      </w:r>
      <w:r w:rsidR="00B630DD" w:rsidRPr="007179CB">
        <w:t xml:space="preserve">. </w:t>
      </w:r>
      <w:r w:rsidR="0032631F" w:rsidRPr="007179CB">
        <w:t>Within this</w:t>
      </w:r>
      <w:r w:rsidR="00AE430B" w:rsidRPr="007179CB">
        <w:t xml:space="preserve"> Scottish</w:t>
      </w:r>
      <w:r w:rsidR="0032631F" w:rsidRPr="007179CB">
        <w:t xml:space="preserve"> study it is important to note that the actual numbers may be higher.</w:t>
      </w:r>
      <w:r w:rsidR="00B630DD" w:rsidRPr="007179CB">
        <w:t xml:space="preserve"> The data </w:t>
      </w:r>
      <w:r w:rsidR="0020421A" w:rsidRPr="007179CB">
        <w:t xml:space="preserve">were </w:t>
      </w:r>
      <w:r w:rsidR="00B630DD" w:rsidRPr="007179CB">
        <w:t xml:space="preserve">recorded </w:t>
      </w:r>
      <w:r w:rsidR="00AE430B" w:rsidRPr="007179CB">
        <w:t>in the</w:t>
      </w:r>
      <w:r w:rsidR="00B630DD" w:rsidRPr="007179CB">
        <w:t xml:space="preserve"> study where </w:t>
      </w:r>
      <w:r w:rsidR="0032631F" w:rsidRPr="007179CB">
        <w:t xml:space="preserve">background </w:t>
      </w:r>
      <w:r w:rsidR="00B630DD" w:rsidRPr="007179CB">
        <w:t>reports explicitly made reference to parents being looked after in their past</w:t>
      </w:r>
      <w:r w:rsidR="00D874D8" w:rsidRPr="007179CB">
        <w:t>s</w:t>
      </w:r>
      <w:r w:rsidR="00B630DD" w:rsidRPr="007179CB">
        <w:t xml:space="preserve">. There were more parents where it was mentioned that as a child there had been social work </w:t>
      </w:r>
      <w:proofErr w:type="gramStart"/>
      <w:r w:rsidR="00B630DD" w:rsidRPr="007179CB">
        <w:t>involvement</w:t>
      </w:r>
      <w:proofErr w:type="gramEnd"/>
      <w:r w:rsidR="00B630DD" w:rsidRPr="007179CB">
        <w:t xml:space="preserve"> but it was not possible to tell the extent </w:t>
      </w:r>
      <w:r w:rsidR="00AD0F48" w:rsidRPr="007179CB">
        <w:t>of this.</w:t>
      </w:r>
      <w:r w:rsidR="006518F9" w:rsidRPr="007179CB">
        <w:t xml:space="preserve"> Information on fathers was also less prevalent than </w:t>
      </w:r>
      <w:r w:rsidR="00847A39" w:rsidRPr="007179CB">
        <w:t xml:space="preserve">that on </w:t>
      </w:r>
      <w:r w:rsidR="006518F9" w:rsidRPr="007179CB">
        <w:t>mothers.</w:t>
      </w:r>
    </w:p>
    <w:p w:rsidR="006518F9" w:rsidRPr="007179CB" w:rsidRDefault="006518F9" w:rsidP="000B2855">
      <w:r w:rsidRPr="007179CB">
        <w:t xml:space="preserve">There were a number of parents who had previously experienced the removal of their children prior to the child in the research. </w:t>
      </w:r>
      <w:r w:rsidR="00C57E5D" w:rsidRPr="007179CB">
        <w:t xml:space="preserve">In the 1978 </w:t>
      </w:r>
      <w:r w:rsidR="00847A39" w:rsidRPr="007179CB">
        <w:t xml:space="preserve">Act </w:t>
      </w:r>
      <w:r w:rsidR="00C57E5D" w:rsidRPr="007179CB">
        <w:t xml:space="preserve">cohort 45% of parents had already been separated from a child, in the 2007 </w:t>
      </w:r>
      <w:r w:rsidR="00847A39" w:rsidRPr="007179CB">
        <w:t xml:space="preserve">Act </w:t>
      </w:r>
      <w:r w:rsidR="00C57E5D" w:rsidRPr="007179CB">
        <w:t>cohort this was 65%</w:t>
      </w:r>
      <w:r w:rsidR="00AF72AA" w:rsidRPr="007179CB">
        <w:t xml:space="preserve">. The children in the studies often had another sibling also being adopted or placed permanently. In the 1978 </w:t>
      </w:r>
      <w:r w:rsidR="00847A39" w:rsidRPr="007179CB">
        <w:t xml:space="preserve">Act </w:t>
      </w:r>
      <w:r w:rsidR="00AF72AA" w:rsidRPr="007179CB">
        <w:t xml:space="preserve">cohort, 16% had a sibling permanently placed prior to them, and the same proportion in the 2007 </w:t>
      </w:r>
      <w:r w:rsidR="00847A39" w:rsidRPr="007179CB">
        <w:t xml:space="preserve">Act </w:t>
      </w:r>
      <w:r w:rsidR="00AF72AA" w:rsidRPr="007179CB">
        <w:t xml:space="preserve">cohort had a sibling with permanence </w:t>
      </w:r>
      <w:r w:rsidR="00847A39" w:rsidRPr="007179CB">
        <w:t xml:space="preserve">in place </w:t>
      </w:r>
      <w:r w:rsidR="00AF72AA" w:rsidRPr="007179CB">
        <w:t xml:space="preserve">prior to them being born. Table 1 shows the breakdown of sibling placement for </w:t>
      </w:r>
      <w:r w:rsidR="00847A39" w:rsidRPr="007179CB">
        <w:t xml:space="preserve">children in </w:t>
      </w:r>
      <w:proofErr w:type="gramStart"/>
      <w:r w:rsidR="00847A39" w:rsidRPr="007179CB">
        <w:t xml:space="preserve">the  </w:t>
      </w:r>
      <w:r w:rsidR="00AF72AA" w:rsidRPr="007179CB">
        <w:t>2007</w:t>
      </w:r>
      <w:proofErr w:type="gramEnd"/>
      <w:r w:rsidR="00AF72AA" w:rsidRPr="007179CB">
        <w:t xml:space="preserve"> </w:t>
      </w:r>
      <w:r w:rsidR="00847A39" w:rsidRPr="007179CB">
        <w:t>Act cohort</w:t>
      </w:r>
      <w:r w:rsidR="00AF72AA" w:rsidRPr="007179CB">
        <w:t>.</w:t>
      </w:r>
    </w:p>
    <w:p w:rsidR="00FD3FF0" w:rsidRDefault="00FD3FF0" w:rsidP="00FD3FF0">
      <w:r>
        <w:t>Table 1. Children with siblings – types of sibling placements</w:t>
      </w:r>
    </w:p>
    <w:tbl>
      <w:tblPr>
        <w:tblStyle w:val="TableGrid"/>
        <w:tblW w:w="0" w:type="auto"/>
        <w:tblLook w:val="04A0" w:firstRow="1" w:lastRow="0" w:firstColumn="1" w:lastColumn="0" w:noHBand="0" w:noVBand="1"/>
      </w:tblPr>
      <w:tblGrid>
        <w:gridCol w:w="6516"/>
        <w:gridCol w:w="2500"/>
      </w:tblGrid>
      <w:tr w:rsidR="00FD3FF0" w:rsidRPr="00AF72AA" w:rsidTr="002514EB">
        <w:tc>
          <w:tcPr>
            <w:tcW w:w="6516" w:type="dxa"/>
            <w:tcBorders>
              <w:right w:val="nil"/>
            </w:tcBorders>
          </w:tcPr>
          <w:p w:rsidR="00FD3FF0" w:rsidRPr="00376DF1" w:rsidRDefault="00FD3FF0" w:rsidP="002514EB">
            <w:pPr>
              <w:rPr>
                <w:b/>
              </w:rPr>
            </w:pPr>
            <w:r w:rsidRPr="00376DF1">
              <w:rPr>
                <w:b/>
              </w:rPr>
              <w:t xml:space="preserve">Sibling(s):  </w:t>
            </w:r>
          </w:p>
        </w:tc>
        <w:tc>
          <w:tcPr>
            <w:tcW w:w="2500" w:type="dxa"/>
            <w:tcBorders>
              <w:left w:val="nil"/>
            </w:tcBorders>
          </w:tcPr>
          <w:p w:rsidR="00FD3FF0" w:rsidRPr="00376DF1" w:rsidRDefault="00FD3FF0" w:rsidP="002514EB">
            <w:pPr>
              <w:rPr>
                <w:b/>
              </w:rPr>
            </w:pPr>
            <w:r w:rsidRPr="00376DF1">
              <w:rPr>
                <w:b/>
              </w:rPr>
              <w:t>No. of children</w:t>
            </w:r>
          </w:p>
        </w:tc>
      </w:tr>
      <w:tr w:rsidR="00FD3FF0" w:rsidRPr="00AF72AA" w:rsidTr="002514EB">
        <w:tc>
          <w:tcPr>
            <w:tcW w:w="6516" w:type="dxa"/>
            <w:tcBorders>
              <w:right w:val="nil"/>
            </w:tcBorders>
          </w:tcPr>
          <w:p w:rsidR="00FD3FF0" w:rsidRPr="00AF72AA" w:rsidRDefault="00FD3FF0" w:rsidP="002514EB">
            <w:r>
              <w:t>Accommodated and no adoption/permanence in place or planned</w:t>
            </w:r>
          </w:p>
        </w:tc>
        <w:tc>
          <w:tcPr>
            <w:tcW w:w="2500" w:type="dxa"/>
            <w:tcBorders>
              <w:left w:val="nil"/>
            </w:tcBorders>
          </w:tcPr>
          <w:p w:rsidR="00FD3FF0" w:rsidRPr="00AF72AA" w:rsidRDefault="00FD3FF0" w:rsidP="002514EB">
            <w:r w:rsidRPr="00AF72AA">
              <w:t>69</w:t>
            </w:r>
          </w:p>
        </w:tc>
      </w:tr>
      <w:tr w:rsidR="00FD3FF0" w:rsidRPr="00AF72AA" w:rsidTr="002514EB">
        <w:tc>
          <w:tcPr>
            <w:tcW w:w="6516" w:type="dxa"/>
            <w:tcBorders>
              <w:right w:val="nil"/>
            </w:tcBorders>
          </w:tcPr>
          <w:p w:rsidR="00FD3FF0" w:rsidRPr="00AF72AA" w:rsidRDefault="00FD3FF0" w:rsidP="002514EB">
            <w:r w:rsidRPr="00AF72AA">
              <w:t xml:space="preserve">Permanence/adopted at the same time as child by different people  </w:t>
            </w:r>
          </w:p>
        </w:tc>
        <w:tc>
          <w:tcPr>
            <w:tcW w:w="2500" w:type="dxa"/>
            <w:tcBorders>
              <w:left w:val="nil"/>
            </w:tcBorders>
          </w:tcPr>
          <w:p w:rsidR="00FD3FF0" w:rsidRPr="00AF72AA" w:rsidRDefault="00FD3FF0" w:rsidP="002514EB">
            <w:r w:rsidRPr="00AF72AA">
              <w:t>60</w:t>
            </w:r>
          </w:p>
        </w:tc>
      </w:tr>
      <w:tr w:rsidR="00FD3FF0" w:rsidRPr="00AF72AA" w:rsidTr="002514EB">
        <w:tc>
          <w:tcPr>
            <w:tcW w:w="6516" w:type="dxa"/>
            <w:tcBorders>
              <w:right w:val="nil"/>
            </w:tcBorders>
          </w:tcPr>
          <w:p w:rsidR="00FD3FF0" w:rsidRPr="00AF72AA" w:rsidRDefault="00FD3FF0" w:rsidP="002514EB">
            <w:r w:rsidRPr="00AF72AA">
              <w:t xml:space="preserve">Permanence/adopted by same people as child  </w:t>
            </w:r>
          </w:p>
        </w:tc>
        <w:tc>
          <w:tcPr>
            <w:tcW w:w="2500" w:type="dxa"/>
            <w:tcBorders>
              <w:left w:val="nil"/>
            </w:tcBorders>
          </w:tcPr>
          <w:p w:rsidR="00FD3FF0" w:rsidRPr="00AF72AA" w:rsidRDefault="00FD3FF0" w:rsidP="002514EB">
            <w:r w:rsidRPr="00AF72AA">
              <w:t>59</w:t>
            </w:r>
          </w:p>
        </w:tc>
      </w:tr>
      <w:tr w:rsidR="00FD3FF0" w:rsidRPr="00AF72AA" w:rsidTr="002514EB">
        <w:tc>
          <w:tcPr>
            <w:tcW w:w="6516" w:type="dxa"/>
            <w:tcBorders>
              <w:right w:val="nil"/>
            </w:tcBorders>
          </w:tcPr>
          <w:p w:rsidR="00FD3FF0" w:rsidRPr="00AF72AA" w:rsidRDefault="00FD3FF0" w:rsidP="002514EB">
            <w:r w:rsidRPr="00AF72AA">
              <w:t xml:space="preserve">Permanence/adopted </w:t>
            </w:r>
            <w:r>
              <w:t>prior to</w:t>
            </w:r>
            <w:r w:rsidRPr="00AF72AA">
              <w:t xml:space="preserve"> child </w:t>
            </w:r>
          </w:p>
        </w:tc>
        <w:tc>
          <w:tcPr>
            <w:tcW w:w="2500" w:type="dxa"/>
            <w:tcBorders>
              <w:left w:val="nil"/>
            </w:tcBorders>
          </w:tcPr>
          <w:p w:rsidR="00FD3FF0" w:rsidRPr="00AF72AA" w:rsidRDefault="00FD3FF0" w:rsidP="002514EB">
            <w:r w:rsidRPr="00AF72AA">
              <w:t>35</w:t>
            </w:r>
          </w:p>
        </w:tc>
      </w:tr>
      <w:tr w:rsidR="00FD3FF0" w:rsidRPr="00AF72AA" w:rsidTr="002514EB">
        <w:tc>
          <w:tcPr>
            <w:tcW w:w="6516" w:type="dxa"/>
            <w:tcBorders>
              <w:right w:val="nil"/>
            </w:tcBorders>
          </w:tcPr>
          <w:p w:rsidR="00FD3FF0" w:rsidRPr="00AF72AA" w:rsidRDefault="00FD3FF0" w:rsidP="002514EB">
            <w:r w:rsidRPr="00AF72AA">
              <w:t xml:space="preserve">Permanence/adopted before child born  </w:t>
            </w:r>
          </w:p>
        </w:tc>
        <w:tc>
          <w:tcPr>
            <w:tcW w:w="2500" w:type="dxa"/>
            <w:tcBorders>
              <w:left w:val="nil"/>
            </w:tcBorders>
          </w:tcPr>
          <w:p w:rsidR="00FD3FF0" w:rsidRPr="00AF72AA" w:rsidRDefault="00FD3FF0" w:rsidP="002514EB">
            <w:r w:rsidRPr="00AF72AA">
              <w:t>26</w:t>
            </w:r>
          </w:p>
        </w:tc>
      </w:tr>
      <w:tr w:rsidR="00FD3FF0" w:rsidRPr="00F52EB7" w:rsidTr="002514EB">
        <w:tc>
          <w:tcPr>
            <w:tcW w:w="6516" w:type="dxa"/>
            <w:tcBorders>
              <w:right w:val="nil"/>
            </w:tcBorders>
          </w:tcPr>
          <w:p w:rsidR="00FD3FF0" w:rsidRPr="00F52EB7" w:rsidRDefault="00FD3FF0" w:rsidP="002514EB">
            <w:pPr>
              <w:rPr>
                <w:b/>
              </w:rPr>
            </w:pPr>
            <w:r w:rsidRPr="00F52EB7">
              <w:rPr>
                <w:b/>
              </w:rPr>
              <w:t xml:space="preserve">Total children with </w:t>
            </w:r>
            <w:proofErr w:type="gramStart"/>
            <w:r w:rsidRPr="00F52EB7">
              <w:rPr>
                <w:b/>
              </w:rPr>
              <w:t>siblings</w:t>
            </w:r>
            <w:proofErr w:type="gramEnd"/>
            <w:r w:rsidRPr="00F52EB7">
              <w:rPr>
                <w:b/>
              </w:rPr>
              <w:t xml:space="preserve"> permanence or accommodated  </w:t>
            </w:r>
          </w:p>
        </w:tc>
        <w:tc>
          <w:tcPr>
            <w:tcW w:w="2500" w:type="dxa"/>
            <w:tcBorders>
              <w:left w:val="nil"/>
            </w:tcBorders>
          </w:tcPr>
          <w:p w:rsidR="00FD3FF0" w:rsidRPr="00F52EB7" w:rsidRDefault="00FD3FF0" w:rsidP="002514EB">
            <w:pPr>
              <w:rPr>
                <w:b/>
              </w:rPr>
            </w:pPr>
            <w:r w:rsidRPr="00F52EB7">
              <w:rPr>
                <w:b/>
              </w:rPr>
              <w:t>164*</w:t>
            </w:r>
          </w:p>
        </w:tc>
      </w:tr>
    </w:tbl>
    <w:p w:rsidR="00FD3FF0" w:rsidRDefault="00FD3FF0" w:rsidP="00FD3FF0">
      <w:r>
        <w:t xml:space="preserve">N=175 </w:t>
      </w:r>
      <w:r>
        <w:tab/>
        <w:t>* The sum does not equal the total as some children had siblings in different types of placements</w:t>
      </w:r>
    </w:p>
    <w:p w:rsidR="006A718A" w:rsidRPr="007179CB" w:rsidRDefault="006A718A" w:rsidP="000B2855"/>
    <w:p w:rsidR="007A1406" w:rsidRPr="007179CB" w:rsidRDefault="007A1406" w:rsidP="000B2855">
      <w:pPr>
        <w:rPr>
          <w:i/>
        </w:rPr>
      </w:pPr>
      <w:r w:rsidRPr="007179CB">
        <w:rPr>
          <w:i/>
        </w:rPr>
        <w:t>Assessment of risk</w:t>
      </w:r>
    </w:p>
    <w:p w:rsidR="00743EB0" w:rsidRPr="007179CB" w:rsidRDefault="007A5D45" w:rsidP="000B2855">
      <w:r w:rsidRPr="007179CB">
        <w:t xml:space="preserve">The majority of the children in the research were known to social services at the time of their birth. 61% of the 1978 </w:t>
      </w:r>
      <w:r w:rsidR="00E30A4B" w:rsidRPr="007179CB">
        <w:t xml:space="preserve">Act </w:t>
      </w:r>
      <w:r w:rsidRPr="007179CB">
        <w:t xml:space="preserve">cohort and 66% of the 2007 </w:t>
      </w:r>
      <w:r w:rsidR="00E30A4B" w:rsidRPr="007179CB">
        <w:t xml:space="preserve">Act </w:t>
      </w:r>
      <w:r w:rsidRPr="007179CB">
        <w:t xml:space="preserve">cohort had parents </w:t>
      </w:r>
      <w:r w:rsidR="00E30A4B" w:rsidRPr="007179CB">
        <w:t xml:space="preserve">involved </w:t>
      </w:r>
      <w:r w:rsidRPr="007179CB">
        <w:t xml:space="preserve">with social work. Many children in </w:t>
      </w:r>
      <w:r w:rsidR="00E30A4B" w:rsidRPr="007179CB">
        <w:t xml:space="preserve">both </w:t>
      </w:r>
      <w:r w:rsidRPr="007179CB">
        <w:t xml:space="preserve">studies had been identified as being at risk of harm </w:t>
      </w:r>
      <w:r w:rsidR="00E30A4B" w:rsidRPr="007179CB">
        <w:t xml:space="preserve">at time of their </w:t>
      </w:r>
      <w:r w:rsidRPr="007179CB">
        <w:t>birth or whilst the</w:t>
      </w:r>
      <w:r w:rsidR="00E30A4B" w:rsidRPr="007179CB">
        <w:t>ir</w:t>
      </w:r>
      <w:r w:rsidRPr="007179CB">
        <w:t xml:space="preserve"> mother was pregnant through a pre-birth assessment or case conference, with 44% and 49% considered at this level.  </w:t>
      </w:r>
      <w:r w:rsidR="00424187" w:rsidRPr="007179CB">
        <w:t>The prevalence of r</w:t>
      </w:r>
      <w:r w:rsidR="00EE6226" w:rsidRPr="007179CB">
        <w:t xml:space="preserve">isks identified towards the child </w:t>
      </w:r>
      <w:r w:rsidR="0020421A" w:rsidRPr="007179CB">
        <w:t xml:space="preserve">often </w:t>
      </w:r>
      <w:r w:rsidR="00424187" w:rsidRPr="007179CB">
        <w:t>resulted in them</w:t>
      </w:r>
      <w:r w:rsidR="00EE6226" w:rsidRPr="007179CB">
        <w:t xml:space="preserve"> being placed on the Child Protection Register. In the 1978 </w:t>
      </w:r>
      <w:r w:rsidR="00E30A4B" w:rsidRPr="007179CB">
        <w:t xml:space="preserve">Act </w:t>
      </w:r>
      <w:r w:rsidR="00EE6226" w:rsidRPr="007179CB">
        <w:t xml:space="preserve">group, 60 </w:t>
      </w:r>
      <w:r w:rsidR="00E30A4B" w:rsidRPr="007179CB">
        <w:t xml:space="preserve">of the 100 </w:t>
      </w:r>
      <w:r w:rsidR="00EE6226" w:rsidRPr="007179CB">
        <w:t xml:space="preserve">children were placed on the </w:t>
      </w:r>
      <w:r w:rsidR="00E30A4B" w:rsidRPr="007179CB">
        <w:t>Register</w:t>
      </w:r>
      <w:r w:rsidR="00EE6226" w:rsidRPr="007179CB">
        <w:t>, 22 of whom placed on or before their birth</w:t>
      </w:r>
      <w:r w:rsidR="00E30A4B" w:rsidRPr="007179CB">
        <w:t>s</w:t>
      </w:r>
      <w:r w:rsidR="00EE6226" w:rsidRPr="007179CB">
        <w:t xml:space="preserve">. In the 2007 </w:t>
      </w:r>
      <w:r w:rsidR="00E30A4B" w:rsidRPr="007179CB">
        <w:t xml:space="preserve">Act </w:t>
      </w:r>
      <w:r w:rsidR="00EE6226" w:rsidRPr="007179CB">
        <w:t xml:space="preserve">group, 142 </w:t>
      </w:r>
      <w:r w:rsidR="00424187" w:rsidRPr="007179CB">
        <w:t xml:space="preserve">of the 200 </w:t>
      </w:r>
      <w:r w:rsidR="00EE6226" w:rsidRPr="007179CB">
        <w:t>children</w:t>
      </w:r>
      <w:r w:rsidR="008B1F3A" w:rsidRPr="007179CB">
        <w:t xml:space="preserve"> (71%) </w:t>
      </w:r>
      <w:r w:rsidR="00EE6226" w:rsidRPr="007179CB">
        <w:t>were placed</w:t>
      </w:r>
      <w:r w:rsidR="00E30A4B" w:rsidRPr="007179CB">
        <w:t xml:space="preserve"> on the Register</w:t>
      </w:r>
      <w:r w:rsidR="00EE6226" w:rsidRPr="007179CB">
        <w:t>, with 35 children</w:t>
      </w:r>
      <w:r w:rsidR="008B1F3A" w:rsidRPr="007179CB">
        <w:t xml:space="preserve"> (18%)</w:t>
      </w:r>
      <w:r w:rsidR="00EE6226" w:rsidRPr="007179CB">
        <w:t xml:space="preserve"> at </w:t>
      </w:r>
      <w:r w:rsidR="00E30A4B" w:rsidRPr="007179CB">
        <w:t>or before birth</w:t>
      </w:r>
      <w:r w:rsidR="00EE6226" w:rsidRPr="007179CB">
        <w:t xml:space="preserve">. The most common category </w:t>
      </w:r>
      <w:r w:rsidR="00B70723" w:rsidRPr="007179CB">
        <w:t xml:space="preserve">recorded on the register </w:t>
      </w:r>
      <w:r w:rsidR="00EE6226" w:rsidRPr="007179CB">
        <w:t xml:space="preserve">across the 300 children was for physical neglect or risk of physical neglect, with </w:t>
      </w:r>
      <w:r w:rsidR="00E30A4B" w:rsidRPr="007179CB">
        <w:t xml:space="preserve">a total of </w:t>
      </w:r>
      <w:r w:rsidR="00EE6226" w:rsidRPr="007179CB">
        <w:t xml:space="preserve">123 children </w:t>
      </w:r>
      <w:r w:rsidR="008B1F3A" w:rsidRPr="007179CB">
        <w:t xml:space="preserve">(62%) </w:t>
      </w:r>
      <w:r w:rsidR="00EE6226" w:rsidRPr="007179CB">
        <w:t xml:space="preserve">recorded as such. </w:t>
      </w:r>
    </w:p>
    <w:p w:rsidR="00080A89" w:rsidRPr="007179CB" w:rsidRDefault="003259EF" w:rsidP="000B2855">
      <w:r w:rsidRPr="007179CB">
        <w:lastRenderedPageBreak/>
        <w:t>A further indication of risk in the lives of the</w:t>
      </w:r>
      <w:r w:rsidR="00424187" w:rsidRPr="007179CB">
        <w:t>se</w:t>
      </w:r>
      <w:r w:rsidRPr="007179CB">
        <w:t xml:space="preserve"> children, </w:t>
      </w:r>
      <w:r w:rsidR="00424187" w:rsidRPr="007179CB">
        <w:t xml:space="preserve">was </w:t>
      </w:r>
      <w:r w:rsidRPr="007179CB">
        <w:t xml:space="preserve">the use of </w:t>
      </w:r>
      <w:r w:rsidR="000D0264" w:rsidRPr="007179CB">
        <w:t>CPOs</w:t>
      </w:r>
      <w:r w:rsidRPr="007179CB">
        <w:t>. S</w:t>
      </w:r>
      <w:r w:rsidR="00EB7AA2" w:rsidRPr="007179CB">
        <w:t>imilar to Emergency Protection O</w:t>
      </w:r>
      <w:r w:rsidRPr="007179CB">
        <w:t>rders in England</w:t>
      </w:r>
      <w:r w:rsidR="00EB7AA2" w:rsidRPr="007179CB">
        <w:t xml:space="preserve"> and Wales, the local authority (or other individuals) can apply to a </w:t>
      </w:r>
      <w:r w:rsidR="00424187" w:rsidRPr="007179CB">
        <w:t xml:space="preserve">court </w:t>
      </w:r>
      <w:r w:rsidR="00EB7AA2" w:rsidRPr="007179CB">
        <w:t>for the immediate removal of a child through a CPO, where it is considered that the child is at risk</w:t>
      </w:r>
      <w:r w:rsidR="00080A89" w:rsidRPr="007179CB">
        <w:t xml:space="preserve"> of significant harm</w:t>
      </w:r>
      <w:r w:rsidR="00EB7AA2" w:rsidRPr="007179CB">
        <w:t xml:space="preserve"> and needs moved to, or kept in, a place of safety. </w:t>
      </w:r>
      <w:r w:rsidR="00080A89" w:rsidRPr="007179CB">
        <w:t xml:space="preserve">The </w:t>
      </w:r>
      <w:r w:rsidR="00424187" w:rsidRPr="007179CB">
        <w:t>CPO</w:t>
      </w:r>
      <w:r w:rsidR="00080A89" w:rsidRPr="007179CB">
        <w:t xml:space="preserve"> is a temporary measure only and is reviewed by a Children’s Hearing on the 2</w:t>
      </w:r>
      <w:r w:rsidR="00080A89" w:rsidRPr="007179CB">
        <w:rPr>
          <w:vertAlign w:val="superscript"/>
        </w:rPr>
        <w:t>nd</w:t>
      </w:r>
      <w:r w:rsidR="00080A89" w:rsidRPr="007179CB">
        <w:t xml:space="preserve"> working day of the Order. If continued and applicable, grounds of referral are taken to an 8</w:t>
      </w:r>
      <w:r w:rsidR="00080A89" w:rsidRPr="007179CB">
        <w:rPr>
          <w:vertAlign w:val="superscript"/>
        </w:rPr>
        <w:t>th</w:t>
      </w:r>
      <w:r w:rsidR="00080A89" w:rsidRPr="007179CB">
        <w:t xml:space="preserve"> working day Hearing where more </w:t>
      </w:r>
      <w:proofErr w:type="gramStart"/>
      <w:r w:rsidR="00080A89" w:rsidRPr="007179CB">
        <w:t>long term</w:t>
      </w:r>
      <w:proofErr w:type="gramEnd"/>
      <w:r w:rsidR="00080A89" w:rsidRPr="007179CB">
        <w:t xml:space="preserve"> </w:t>
      </w:r>
      <w:r w:rsidR="00D874D8" w:rsidRPr="007179CB">
        <w:t xml:space="preserve">compulsory measures </w:t>
      </w:r>
      <w:r w:rsidR="00080A89" w:rsidRPr="007179CB">
        <w:t xml:space="preserve">are considered. </w:t>
      </w:r>
      <w:r w:rsidR="00D85BF3" w:rsidRPr="007179CB">
        <w:t>Table 2 below shows t</w:t>
      </w:r>
      <w:r w:rsidR="00054454" w:rsidRPr="007179CB">
        <w:t>he ages of the children when a</w:t>
      </w:r>
      <w:r w:rsidR="00D85BF3" w:rsidRPr="007179CB">
        <w:t xml:space="preserve"> CPO was first made.</w:t>
      </w:r>
    </w:p>
    <w:p w:rsidR="00FD3FF0" w:rsidRDefault="00FD3FF0" w:rsidP="00FD3FF0">
      <w:r>
        <w:t>Table 2. Ages of children when Child Protection Orders made</w:t>
      </w:r>
    </w:p>
    <w:tbl>
      <w:tblPr>
        <w:tblStyle w:val="TableGrid"/>
        <w:tblW w:w="0" w:type="auto"/>
        <w:tblLook w:val="04A0" w:firstRow="1" w:lastRow="0" w:firstColumn="1" w:lastColumn="0" w:noHBand="0" w:noVBand="1"/>
      </w:tblPr>
      <w:tblGrid>
        <w:gridCol w:w="1951"/>
        <w:gridCol w:w="3544"/>
        <w:gridCol w:w="3521"/>
      </w:tblGrid>
      <w:tr w:rsidR="00FD3FF0" w:rsidTr="002514EB">
        <w:tc>
          <w:tcPr>
            <w:tcW w:w="1951" w:type="dxa"/>
            <w:tcBorders>
              <w:right w:val="nil"/>
            </w:tcBorders>
          </w:tcPr>
          <w:p w:rsidR="00FD3FF0" w:rsidRPr="00376DF1" w:rsidRDefault="00FD3FF0" w:rsidP="002514EB">
            <w:pPr>
              <w:rPr>
                <w:b/>
              </w:rPr>
            </w:pPr>
            <w:r w:rsidRPr="00376DF1">
              <w:rPr>
                <w:b/>
              </w:rPr>
              <w:t>Age of children</w:t>
            </w:r>
          </w:p>
        </w:tc>
        <w:tc>
          <w:tcPr>
            <w:tcW w:w="3544" w:type="dxa"/>
            <w:tcBorders>
              <w:left w:val="nil"/>
              <w:right w:val="nil"/>
            </w:tcBorders>
          </w:tcPr>
          <w:p w:rsidR="00FD3FF0" w:rsidRPr="00376DF1" w:rsidRDefault="00FD3FF0" w:rsidP="002514EB">
            <w:pPr>
              <w:rPr>
                <w:b/>
              </w:rPr>
            </w:pPr>
            <w:r w:rsidRPr="00376DF1">
              <w:rPr>
                <w:b/>
              </w:rPr>
              <w:t xml:space="preserve">Number of children 1978 </w:t>
            </w:r>
            <w:r>
              <w:rPr>
                <w:b/>
              </w:rPr>
              <w:t xml:space="preserve">Act </w:t>
            </w:r>
            <w:r w:rsidRPr="00376DF1">
              <w:rPr>
                <w:b/>
              </w:rPr>
              <w:t>cohort</w:t>
            </w:r>
          </w:p>
        </w:tc>
        <w:tc>
          <w:tcPr>
            <w:tcW w:w="3521" w:type="dxa"/>
            <w:tcBorders>
              <w:left w:val="nil"/>
            </w:tcBorders>
          </w:tcPr>
          <w:p w:rsidR="00FD3FF0" w:rsidRPr="00376DF1" w:rsidRDefault="00FD3FF0" w:rsidP="002514EB">
            <w:pPr>
              <w:rPr>
                <w:b/>
              </w:rPr>
            </w:pPr>
            <w:r w:rsidRPr="00376DF1">
              <w:rPr>
                <w:b/>
              </w:rPr>
              <w:t xml:space="preserve">Number of children 2007 </w:t>
            </w:r>
            <w:r>
              <w:rPr>
                <w:b/>
              </w:rPr>
              <w:t xml:space="preserve">Act </w:t>
            </w:r>
            <w:r w:rsidRPr="00376DF1">
              <w:rPr>
                <w:b/>
              </w:rPr>
              <w:t>cohort</w:t>
            </w:r>
          </w:p>
        </w:tc>
      </w:tr>
      <w:tr w:rsidR="00FD3FF0" w:rsidTr="002514EB">
        <w:tc>
          <w:tcPr>
            <w:tcW w:w="1951" w:type="dxa"/>
            <w:tcBorders>
              <w:right w:val="nil"/>
            </w:tcBorders>
          </w:tcPr>
          <w:p w:rsidR="00FD3FF0" w:rsidRDefault="00FD3FF0" w:rsidP="002514EB">
            <w:r>
              <w:t>Under 6 months</w:t>
            </w:r>
          </w:p>
        </w:tc>
        <w:tc>
          <w:tcPr>
            <w:tcW w:w="3544" w:type="dxa"/>
            <w:tcBorders>
              <w:left w:val="nil"/>
              <w:right w:val="nil"/>
            </w:tcBorders>
          </w:tcPr>
          <w:p w:rsidR="00FD3FF0" w:rsidRDefault="00FD3FF0" w:rsidP="002514EB">
            <w:pPr>
              <w:jc w:val="center"/>
            </w:pPr>
            <w:r>
              <w:t>27 (15)</w:t>
            </w:r>
          </w:p>
        </w:tc>
        <w:tc>
          <w:tcPr>
            <w:tcW w:w="3521" w:type="dxa"/>
            <w:tcBorders>
              <w:left w:val="nil"/>
            </w:tcBorders>
          </w:tcPr>
          <w:p w:rsidR="00FD3FF0" w:rsidRDefault="00FD3FF0" w:rsidP="002514EB">
            <w:pPr>
              <w:jc w:val="center"/>
            </w:pPr>
            <w:r>
              <w:t>46 (27)</w:t>
            </w:r>
          </w:p>
        </w:tc>
      </w:tr>
      <w:tr w:rsidR="00FD3FF0" w:rsidTr="002514EB">
        <w:tc>
          <w:tcPr>
            <w:tcW w:w="1951" w:type="dxa"/>
            <w:tcBorders>
              <w:right w:val="nil"/>
            </w:tcBorders>
          </w:tcPr>
          <w:p w:rsidR="00FD3FF0" w:rsidRDefault="00FD3FF0" w:rsidP="002514EB">
            <w:r>
              <w:t>6-11 months</w:t>
            </w:r>
          </w:p>
        </w:tc>
        <w:tc>
          <w:tcPr>
            <w:tcW w:w="3544" w:type="dxa"/>
            <w:tcBorders>
              <w:left w:val="nil"/>
              <w:right w:val="nil"/>
            </w:tcBorders>
          </w:tcPr>
          <w:p w:rsidR="00FD3FF0" w:rsidRDefault="00FD3FF0" w:rsidP="002514EB">
            <w:pPr>
              <w:jc w:val="center"/>
            </w:pPr>
            <w:r>
              <w:t>6</w:t>
            </w:r>
          </w:p>
        </w:tc>
        <w:tc>
          <w:tcPr>
            <w:tcW w:w="3521" w:type="dxa"/>
            <w:tcBorders>
              <w:left w:val="nil"/>
            </w:tcBorders>
          </w:tcPr>
          <w:p w:rsidR="00FD3FF0" w:rsidRDefault="00FD3FF0" w:rsidP="002514EB">
            <w:pPr>
              <w:jc w:val="center"/>
            </w:pPr>
            <w:r>
              <w:t>4</w:t>
            </w:r>
          </w:p>
        </w:tc>
      </w:tr>
      <w:tr w:rsidR="00FD3FF0" w:rsidTr="002514EB">
        <w:tc>
          <w:tcPr>
            <w:tcW w:w="1951" w:type="dxa"/>
            <w:tcBorders>
              <w:right w:val="nil"/>
            </w:tcBorders>
          </w:tcPr>
          <w:p w:rsidR="00FD3FF0" w:rsidRDefault="00FD3FF0" w:rsidP="002514EB">
            <w:r>
              <w:t>1- &lt;2 years</w:t>
            </w:r>
          </w:p>
        </w:tc>
        <w:tc>
          <w:tcPr>
            <w:tcW w:w="3544" w:type="dxa"/>
            <w:tcBorders>
              <w:left w:val="nil"/>
              <w:right w:val="nil"/>
            </w:tcBorders>
          </w:tcPr>
          <w:p w:rsidR="00FD3FF0" w:rsidRDefault="00FD3FF0" w:rsidP="002514EB">
            <w:pPr>
              <w:jc w:val="center"/>
            </w:pPr>
            <w:r>
              <w:t>6</w:t>
            </w:r>
          </w:p>
        </w:tc>
        <w:tc>
          <w:tcPr>
            <w:tcW w:w="3521" w:type="dxa"/>
            <w:tcBorders>
              <w:left w:val="nil"/>
            </w:tcBorders>
          </w:tcPr>
          <w:p w:rsidR="00FD3FF0" w:rsidRDefault="00FD3FF0" w:rsidP="002514EB">
            <w:pPr>
              <w:jc w:val="center"/>
            </w:pPr>
            <w:r>
              <w:t>6</w:t>
            </w:r>
          </w:p>
        </w:tc>
      </w:tr>
      <w:tr w:rsidR="00FD3FF0" w:rsidTr="002514EB">
        <w:tc>
          <w:tcPr>
            <w:tcW w:w="1951" w:type="dxa"/>
            <w:tcBorders>
              <w:right w:val="nil"/>
            </w:tcBorders>
          </w:tcPr>
          <w:p w:rsidR="00FD3FF0" w:rsidRDefault="00FD3FF0" w:rsidP="002514EB">
            <w:r>
              <w:t>2-&lt;3 years</w:t>
            </w:r>
          </w:p>
        </w:tc>
        <w:tc>
          <w:tcPr>
            <w:tcW w:w="3544" w:type="dxa"/>
            <w:tcBorders>
              <w:left w:val="nil"/>
              <w:right w:val="nil"/>
            </w:tcBorders>
          </w:tcPr>
          <w:p w:rsidR="00FD3FF0" w:rsidRDefault="00FD3FF0" w:rsidP="002514EB">
            <w:pPr>
              <w:jc w:val="center"/>
            </w:pPr>
            <w:r>
              <w:t>2</w:t>
            </w:r>
          </w:p>
        </w:tc>
        <w:tc>
          <w:tcPr>
            <w:tcW w:w="3521" w:type="dxa"/>
            <w:tcBorders>
              <w:left w:val="nil"/>
            </w:tcBorders>
          </w:tcPr>
          <w:p w:rsidR="00FD3FF0" w:rsidRDefault="00FD3FF0" w:rsidP="002514EB">
            <w:pPr>
              <w:jc w:val="center"/>
            </w:pPr>
            <w:r>
              <w:t>8</w:t>
            </w:r>
          </w:p>
        </w:tc>
      </w:tr>
      <w:tr w:rsidR="00FD3FF0" w:rsidTr="002514EB">
        <w:tc>
          <w:tcPr>
            <w:tcW w:w="1951" w:type="dxa"/>
            <w:tcBorders>
              <w:right w:val="nil"/>
            </w:tcBorders>
          </w:tcPr>
          <w:p w:rsidR="00FD3FF0" w:rsidRDefault="00FD3FF0" w:rsidP="002514EB">
            <w:r>
              <w:t>3-&lt;4 years</w:t>
            </w:r>
          </w:p>
        </w:tc>
        <w:tc>
          <w:tcPr>
            <w:tcW w:w="3544" w:type="dxa"/>
            <w:tcBorders>
              <w:left w:val="nil"/>
              <w:right w:val="nil"/>
            </w:tcBorders>
          </w:tcPr>
          <w:p w:rsidR="00FD3FF0" w:rsidRDefault="00FD3FF0" w:rsidP="002514EB">
            <w:pPr>
              <w:jc w:val="center"/>
            </w:pPr>
            <w:r>
              <w:t>0</w:t>
            </w:r>
          </w:p>
        </w:tc>
        <w:tc>
          <w:tcPr>
            <w:tcW w:w="3521" w:type="dxa"/>
            <w:tcBorders>
              <w:left w:val="nil"/>
            </w:tcBorders>
          </w:tcPr>
          <w:p w:rsidR="00FD3FF0" w:rsidRDefault="00FD3FF0" w:rsidP="002514EB">
            <w:pPr>
              <w:jc w:val="center"/>
            </w:pPr>
            <w:r>
              <w:t>10</w:t>
            </w:r>
          </w:p>
        </w:tc>
      </w:tr>
      <w:tr w:rsidR="00FD3FF0" w:rsidTr="002514EB">
        <w:tc>
          <w:tcPr>
            <w:tcW w:w="1951" w:type="dxa"/>
            <w:tcBorders>
              <w:right w:val="nil"/>
            </w:tcBorders>
          </w:tcPr>
          <w:p w:rsidR="00FD3FF0" w:rsidRDefault="00FD3FF0" w:rsidP="002514EB">
            <w:r>
              <w:t>4-&lt;5 years</w:t>
            </w:r>
          </w:p>
        </w:tc>
        <w:tc>
          <w:tcPr>
            <w:tcW w:w="3544" w:type="dxa"/>
            <w:tcBorders>
              <w:left w:val="nil"/>
              <w:right w:val="nil"/>
            </w:tcBorders>
          </w:tcPr>
          <w:p w:rsidR="00FD3FF0" w:rsidRDefault="00FD3FF0" w:rsidP="002514EB">
            <w:pPr>
              <w:jc w:val="center"/>
            </w:pPr>
            <w:r>
              <w:t>3</w:t>
            </w:r>
          </w:p>
        </w:tc>
        <w:tc>
          <w:tcPr>
            <w:tcW w:w="3521" w:type="dxa"/>
            <w:tcBorders>
              <w:left w:val="nil"/>
            </w:tcBorders>
          </w:tcPr>
          <w:p w:rsidR="00FD3FF0" w:rsidRDefault="00FD3FF0" w:rsidP="002514EB">
            <w:pPr>
              <w:jc w:val="center"/>
            </w:pPr>
            <w:r>
              <w:t>5</w:t>
            </w:r>
          </w:p>
        </w:tc>
      </w:tr>
      <w:tr w:rsidR="00FD3FF0" w:rsidTr="002514EB">
        <w:tc>
          <w:tcPr>
            <w:tcW w:w="1951" w:type="dxa"/>
            <w:tcBorders>
              <w:right w:val="nil"/>
            </w:tcBorders>
          </w:tcPr>
          <w:p w:rsidR="00FD3FF0" w:rsidRDefault="00FD3FF0" w:rsidP="002514EB">
            <w:r>
              <w:t>5 years and over</w:t>
            </w:r>
          </w:p>
        </w:tc>
        <w:tc>
          <w:tcPr>
            <w:tcW w:w="3544" w:type="dxa"/>
            <w:tcBorders>
              <w:left w:val="nil"/>
              <w:right w:val="nil"/>
            </w:tcBorders>
          </w:tcPr>
          <w:p w:rsidR="00FD3FF0" w:rsidRDefault="00FD3FF0" w:rsidP="002514EB">
            <w:pPr>
              <w:jc w:val="center"/>
            </w:pPr>
            <w:r>
              <w:t>3</w:t>
            </w:r>
          </w:p>
        </w:tc>
        <w:tc>
          <w:tcPr>
            <w:tcW w:w="3521" w:type="dxa"/>
            <w:tcBorders>
              <w:left w:val="nil"/>
            </w:tcBorders>
          </w:tcPr>
          <w:p w:rsidR="00FD3FF0" w:rsidRDefault="00FD3FF0" w:rsidP="002514EB">
            <w:pPr>
              <w:jc w:val="center"/>
            </w:pPr>
            <w:r>
              <w:t>13</w:t>
            </w:r>
          </w:p>
        </w:tc>
      </w:tr>
      <w:tr w:rsidR="00FD3FF0" w:rsidTr="002514EB">
        <w:tc>
          <w:tcPr>
            <w:tcW w:w="1951" w:type="dxa"/>
            <w:tcBorders>
              <w:right w:val="nil"/>
            </w:tcBorders>
          </w:tcPr>
          <w:p w:rsidR="00FD3FF0" w:rsidRPr="00D85BF3" w:rsidRDefault="00FD3FF0" w:rsidP="002514EB">
            <w:pPr>
              <w:rPr>
                <w:b/>
              </w:rPr>
            </w:pPr>
            <w:r w:rsidRPr="00D85BF3">
              <w:rPr>
                <w:b/>
              </w:rPr>
              <w:t>Total children</w:t>
            </w:r>
            <w:r>
              <w:rPr>
                <w:b/>
              </w:rPr>
              <w:t xml:space="preserve"> with CPOs</w:t>
            </w:r>
          </w:p>
        </w:tc>
        <w:tc>
          <w:tcPr>
            <w:tcW w:w="3544" w:type="dxa"/>
            <w:tcBorders>
              <w:left w:val="nil"/>
              <w:right w:val="nil"/>
            </w:tcBorders>
          </w:tcPr>
          <w:p w:rsidR="00FD3FF0" w:rsidRPr="00D85BF3" w:rsidRDefault="00FD3FF0" w:rsidP="002514EB">
            <w:pPr>
              <w:jc w:val="center"/>
              <w:rPr>
                <w:b/>
              </w:rPr>
            </w:pPr>
            <w:r w:rsidRPr="00D85BF3">
              <w:rPr>
                <w:b/>
              </w:rPr>
              <w:t>47</w:t>
            </w:r>
          </w:p>
        </w:tc>
        <w:tc>
          <w:tcPr>
            <w:tcW w:w="3521" w:type="dxa"/>
            <w:tcBorders>
              <w:left w:val="nil"/>
            </w:tcBorders>
          </w:tcPr>
          <w:p w:rsidR="00FD3FF0" w:rsidRPr="00D85BF3" w:rsidRDefault="00FD3FF0" w:rsidP="002514EB">
            <w:pPr>
              <w:jc w:val="center"/>
              <w:rPr>
                <w:b/>
              </w:rPr>
            </w:pPr>
            <w:r w:rsidRPr="00D85BF3">
              <w:rPr>
                <w:b/>
              </w:rPr>
              <w:t>92</w:t>
            </w:r>
          </w:p>
        </w:tc>
      </w:tr>
    </w:tbl>
    <w:p w:rsidR="00FD3FF0" w:rsidRDefault="00FD3FF0" w:rsidP="00FD3FF0">
      <w:r>
        <w:t>N=300</w:t>
      </w:r>
    </w:p>
    <w:p w:rsidR="00D85BF3" w:rsidRPr="007179CB" w:rsidRDefault="00EA0B8B" w:rsidP="000B2855">
      <w:r w:rsidRPr="007179CB">
        <w:t xml:space="preserve">A </w:t>
      </w:r>
      <w:r w:rsidR="00424187" w:rsidRPr="007179CB">
        <w:t>CPO</w:t>
      </w:r>
      <w:r w:rsidR="004072FE" w:rsidRPr="007179CB">
        <w:t xml:space="preserve"> had been made (at least once) for 46% of all the children in the </w:t>
      </w:r>
      <w:r w:rsidR="00424187" w:rsidRPr="007179CB">
        <w:t xml:space="preserve">two </w:t>
      </w:r>
      <w:r w:rsidR="004072FE" w:rsidRPr="007179CB">
        <w:t xml:space="preserve">studies. This shows the high level of risk considered in relation these children. </w:t>
      </w:r>
      <w:r w:rsidR="00054454" w:rsidRPr="007179CB">
        <w:t xml:space="preserve">Proportionally, CPOs were most commonly made when the children were very young, with around half in each cohort being under </w:t>
      </w:r>
      <w:r w:rsidR="0020421A" w:rsidRPr="007179CB">
        <w:t xml:space="preserve">six </w:t>
      </w:r>
      <w:r w:rsidR="00054454" w:rsidRPr="007179CB">
        <w:t xml:space="preserve">months old. The numbers in brackets show the number of children where a CPO was made within a week of their birth. </w:t>
      </w:r>
      <w:proofErr w:type="gramStart"/>
      <w:r w:rsidR="004072FE" w:rsidRPr="007179CB">
        <w:t>Again</w:t>
      </w:r>
      <w:proofErr w:type="gramEnd"/>
      <w:r w:rsidR="004072FE" w:rsidRPr="007179CB">
        <w:t xml:space="preserve"> this highlights the risk considered to particularly young and vulnerable children.</w:t>
      </w:r>
      <w:r w:rsidRPr="007179CB">
        <w:t xml:space="preserve"> It also highlights the use of CPOs in Scotland. For 23% of the children in both groups, the CPO was their first contact with the Children’s Hearings System, suggesting that local authorities see </w:t>
      </w:r>
      <w:proofErr w:type="gramStart"/>
      <w:r w:rsidR="00424187" w:rsidRPr="007179CB">
        <w:t xml:space="preserve">this </w:t>
      </w:r>
      <w:r w:rsidRPr="007179CB">
        <w:t xml:space="preserve"> as</w:t>
      </w:r>
      <w:proofErr w:type="gramEnd"/>
      <w:r w:rsidRPr="007179CB">
        <w:t xml:space="preserve"> an important route for securing</w:t>
      </w:r>
      <w:r w:rsidR="0020421A" w:rsidRPr="007179CB">
        <w:t xml:space="preserve"> the</w:t>
      </w:r>
      <w:r w:rsidRPr="007179CB">
        <w:t xml:space="preserve"> protection</w:t>
      </w:r>
      <w:r w:rsidR="00424187" w:rsidRPr="007179CB">
        <w:t xml:space="preserve"> of a child</w:t>
      </w:r>
      <w:r w:rsidRPr="007179CB">
        <w:t xml:space="preserve">. </w:t>
      </w:r>
    </w:p>
    <w:p w:rsidR="004B35A4" w:rsidRPr="007179CB" w:rsidRDefault="004B35A4" w:rsidP="000B2855">
      <w:pPr>
        <w:rPr>
          <w:b/>
          <w:i/>
        </w:rPr>
      </w:pPr>
      <w:r w:rsidRPr="007179CB">
        <w:rPr>
          <w:b/>
          <w:i/>
        </w:rPr>
        <w:t xml:space="preserve">Key </w:t>
      </w:r>
      <w:proofErr w:type="gramStart"/>
      <w:r w:rsidRPr="007179CB">
        <w:rPr>
          <w:b/>
          <w:i/>
        </w:rPr>
        <w:t>decision making</w:t>
      </w:r>
      <w:proofErr w:type="gramEnd"/>
      <w:r w:rsidRPr="007179CB">
        <w:rPr>
          <w:b/>
          <w:i/>
        </w:rPr>
        <w:t xml:space="preserve"> stages</w:t>
      </w:r>
    </w:p>
    <w:p w:rsidR="004B35A4" w:rsidRPr="007179CB" w:rsidRDefault="00F62622" w:rsidP="000B2855">
      <w:pPr>
        <w:rPr>
          <w:i/>
        </w:rPr>
      </w:pPr>
      <w:r w:rsidRPr="007179CB">
        <w:rPr>
          <w:i/>
        </w:rPr>
        <w:t>The decision to pursue permanence</w:t>
      </w:r>
    </w:p>
    <w:p w:rsidR="00F62622" w:rsidRPr="007179CB" w:rsidRDefault="00F62622" w:rsidP="000B2855">
      <w:r w:rsidRPr="007179CB">
        <w:t xml:space="preserve">All the children studied had achieved legal permanence through the different Orders made. For some this was adoption and for others, parental rights and responsibilities were </w:t>
      </w:r>
      <w:r w:rsidR="00424187" w:rsidRPr="007179CB">
        <w:t xml:space="preserve">granted </w:t>
      </w:r>
      <w:r w:rsidRPr="007179CB">
        <w:t xml:space="preserve">to their local authority, either solely or on a shared basis. In this sense, </w:t>
      </w:r>
      <w:r w:rsidR="00193503" w:rsidRPr="007179CB">
        <w:t>the decision made to pursue permanence away from the birth family had come to fruition. For many children though, this decision took a number of years. Hindsight will always be a fact</w:t>
      </w:r>
      <w:r w:rsidR="003B1940" w:rsidRPr="007179CB">
        <w:t xml:space="preserve">or in research </w:t>
      </w:r>
      <w:r w:rsidR="00B760B9" w:rsidRPr="007179CB">
        <w:t>such as this, but the findings</w:t>
      </w:r>
      <w:r w:rsidR="00193503" w:rsidRPr="007179CB">
        <w:t xml:space="preserve"> show that this early </w:t>
      </w:r>
      <w:proofErr w:type="gramStart"/>
      <w:r w:rsidR="00193503" w:rsidRPr="007179CB">
        <w:t>d</w:t>
      </w:r>
      <w:r w:rsidR="008D308F" w:rsidRPr="007179CB">
        <w:t>ecision making</w:t>
      </w:r>
      <w:proofErr w:type="gramEnd"/>
      <w:r w:rsidR="008D308F" w:rsidRPr="007179CB">
        <w:t xml:space="preserve"> stage can impact the type of Order made.</w:t>
      </w:r>
    </w:p>
    <w:p w:rsidR="00193503" w:rsidRDefault="00193503" w:rsidP="000B2855">
      <w:r w:rsidRPr="007179CB">
        <w:t xml:space="preserve">The time taken to </w:t>
      </w:r>
      <w:r w:rsidR="00D1095D" w:rsidRPr="007179CB">
        <w:t xml:space="preserve">decide </w:t>
      </w:r>
      <w:r w:rsidR="00F32879" w:rsidRPr="007179CB">
        <w:t xml:space="preserve">on </w:t>
      </w:r>
      <w:r w:rsidRPr="007179CB">
        <w:t>permanence</w:t>
      </w:r>
      <w:r w:rsidR="00424187" w:rsidRPr="007179CB">
        <w:t>,</w:t>
      </w:r>
      <w:r w:rsidRPr="007179CB">
        <w:t xml:space="preserve"> in this research</w:t>
      </w:r>
      <w:r w:rsidR="00424187" w:rsidRPr="007179CB">
        <w:t>,</w:t>
      </w:r>
      <w:r w:rsidRPr="007179CB">
        <w:t xml:space="preserve"> was calculated from the child’s first involvement with soci</w:t>
      </w:r>
      <w:r w:rsidR="00D1095D" w:rsidRPr="007179CB">
        <w:t>al work services to permanence</w:t>
      </w:r>
      <w:r w:rsidRPr="007179CB">
        <w:t xml:space="preserve"> being </w:t>
      </w:r>
      <w:r w:rsidR="00D1095D" w:rsidRPr="007179CB">
        <w:t>considered at a formal meeting. The recording of such decision was usually stated within Looked After Child Reviews, permanence planning meetings or other types of multi-agency meetings. Where ever this first occurred was the date used in calculations.</w:t>
      </w:r>
    </w:p>
    <w:p w:rsidR="00FD3FF0" w:rsidRDefault="00FD3FF0" w:rsidP="000B2855"/>
    <w:p w:rsidR="00FD3FF0" w:rsidRDefault="00FD3FF0" w:rsidP="000B2855"/>
    <w:p w:rsidR="00FD3FF0" w:rsidRDefault="00FD3FF0" w:rsidP="000B2855"/>
    <w:p w:rsidR="00FD3FF0" w:rsidRPr="007179CB" w:rsidRDefault="00FD3FF0" w:rsidP="000B2855"/>
    <w:p w:rsidR="00FD3FF0" w:rsidRDefault="00FD3FF0" w:rsidP="00FD3FF0">
      <w:r>
        <w:t>Table 3. Time between first service and permanence identified</w:t>
      </w:r>
    </w:p>
    <w:tbl>
      <w:tblPr>
        <w:tblStyle w:val="TableGrid"/>
        <w:tblW w:w="74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828"/>
        <w:gridCol w:w="1418"/>
        <w:gridCol w:w="1417"/>
        <w:gridCol w:w="1418"/>
        <w:gridCol w:w="1417"/>
      </w:tblGrid>
      <w:tr w:rsidR="00FD3FF0" w:rsidTr="002514EB">
        <w:tc>
          <w:tcPr>
            <w:tcW w:w="1828" w:type="dxa"/>
            <w:tcBorders>
              <w:top w:val="single" w:sz="12" w:space="0" w:color="auto"/>
              <w:bottom w:val="single" w:sz="4" w:space="0" w:color="auto"/>
              <w:right w:val="nil"/>
            </w:tcBorders>
          </w:tcPr>
          <w:p w:rsidR="00FD3FF0" w:rsidRPr="00735685" w:rsidRDefault="00FD3FF0" w:rsidP="002514EB">
            <w:pPr>
              <w:rPr>
                <w:b/>
              </w:rPr>
            </w:pPr>
            <w:r w:rsidRPr="00735685">
              <w:rPr>
                <w:b/>
              </w:rPr>
              <w:t>Time taken</w:t>
            </w:r>
          </w:p>
        </w:tc>
        <w:tc>
          <w:tcPr>
            <w:tcW w:w="2835" w:type="dxa"/>
            <w:gridSpan w:val="2"/>
            <w:tcBorders>
              <w:top w:val="single" w:sz="12" w:space="0" w:color="auto"/>
              <w:left w:val="nil"/>
              <w:bottom w:val="single" w:sz="4" w:space="0" w:color="auto"/>
              <w:right w:val="nil"/>
            </w:tcBorders>
          </w:tcPr>
          <w:p w:rsidR="00FD3FF0" w:rsidRPr="00527F1C" w:rsidRDefault="00FD3FF0" w:rsidP="002514EB">
            <w:pPr>
              <w:jc w:val="center"/>
              <w:rPr>
                <w:b/>
              </w:rPr>
            </w:pPr>
            <w:r w:rsidRPr="00527F1C">
              <w:rPr>
                <w:b/>
              </w:rPr>
              <w:t xml:space="preserve"> Adoption</w:t>
            </w:r>
          </w:p>
          <w:p w:rsidR="00FD3FF0" w:rsidRDefault="00FD3FF0" w:rsidP="002514EB">
            <w:r w:rsidRPr="00527F1C">
              <w:rPr>
                <w:b/>
              </w:rPr>
              <w:t xml:space="preserve">          1978              2007</w:t>
            </w:r>
          </w:p>
        </w:tc>
        <w:tc>
          <w:tcPr>
            <w:tcW w:w="2835" w:type="dxa"/>
            <w:gridSpan w:val="2"/>
            <w:tcBorders>
              <w:top w:val="single" w:sz="12" w:space="0" w:color="auto"/>
              <w:left w:val="nil"/>
              <w:bottom w:val="single" w:sz="4" w:space="0" w:color="auto"/>
              <w:right w:val="single" w:sz="12" w:space="0" w:color="auto"/>
            </w:tcBorders>
          </w:tcPr>
          <w:p w:rsidR="00FD3FF0" w:rsidRPr="00527F1C" w:rsidRDefault="00FD3FF0" w:rsidP="002514EB">
            <w:pPr>
              <w:jc w:val="center"/>
              <w:rPr>
                <w:b/>
              </w:rPr>
            </w:pPr>
            <w:r w:rsidRPr="00527F1C">
              <w:rPr>
                <w:b/>
              </w:rPr>
              <w:t>Other Permanence           PRO  1978        PO 2007</w:t>
            </w:r>
          </w:p>
        </w:tc>
      </w:tr>
      <w:tr w:rsidR="00FD3FF0" w:rsidTr="002514EB">
        <w:tc>
          <w:tcPr>
            <w:tcW w:w="1828" w:type="dxa"/>
            <w:tcBorders>
              <w:top w:val="single" w:sz="4" w:space="0" w:color="auto"/>
              <w:bottom w:val="single" w:sz="6" w:space="0" w:color="auto"/>
              <w:right w:val="nil"/>
            </w:tcBorders>
          </w:tcPr>
          <w:p w:rsidR="00FD3FF0" w:rsidRDefault="00FD3FF0" w:rsidP="002514EB">
            <w:r>
              <w:t>Under 6 months</w:t>
            </w:r>
          </w:p>
        </w:tc>
        <w:tc>
          <w:tcPr>
            <w:tcW w:w="1418" w:type="dxa"/>
            <w:tcBorders>
              <w:top w:val="single" w:sz="4" w:space="0" w:color="auto"/>
              <w:left w:val="nil"/>
              <w:bottom w:val="single" w:sz="6" w:space="0" w:color="auto"/>
              <w:right w:val="nil"/>
            </w:tcBorders>
            <w:vAlign w:val="center"/>
          </w:tcPr>
          <w:p w:rsidR="00FD3FF0" w:rsidRDefault="00FD3FF0" w:rsidP="002514EB">
            <w:pPr>
              <w:jc w:val="center"/>
            </w:pPr>
            <w:r>
              <w:t>16</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22</w:t>
            </w:r>
          </w:p>
        </w:tc>
        <w:tc>
          <w:tcPr>
            <w:tcW w:w="1418" w:type="dxa"/>
            <w:tcBorders>
              <w:top w:val="single" w:sz="4" w:space="0" w:color="auto"/>
              <w:left w:val="nil"/>
              <w:bottom w:val="single" w:sz="6" w:space="0" w:color="auto"/>
              <w:right w:val="nil"/>
            </w:tcBorders>
            <w:vAlign w:val="center"/>
          </w:tcPr>
          <w:p w:rsidR="00FD3FF0" w:rsidRDefault="00FD3FF0" w:rsidP="002514EB">
            <w:pPr>
              <w:jc w:val="right"/>
            </w:pPr>
            <w:r>
              <w:t>0</w:t>
            </w:r>
          </w:p>
        </w:tc>
        <w:tc>
          <w:tcPr>
            <w:tcW w:w="1417" w:type="dxa"/>
            <w:tcBorders>
              <w:top w:val="single" w:sz="4" w:space="0" w:color="auto"/>
              <w:left w:val="nil"/>
              <w:bottom w:val="single" w:sz="6" w:space="0" w:color="auto"/>
              <w:right w:val="single" w:sz="12" w:space="0" w:color="auto"/>
            </w:tcBorders>
            <w:vAlign w:val="center"/>
          </w:tcPr>
          <w:p w:rsidR="00FD3FF0" w:rsidRDefault="00FD3FF0" w:rsidP="002514EB">
            <w:pPr>
              <w:jc w:val="right"/>
            </w:pPr>
            <w:r>
              <w:t>2</w:t>
            </w:r>
          </w:p>
        </w:tc>
      </w:tr>
      <w:tr w:rsidR="00FD3FF0" w:rsidTr="002514EB">
        <w:tc>
          <w:tcPr>
            <w:tcW w:w="1828" w:type="dxa"/>
            <w:tcBorders>
              <w:top w:val="single" w:sz="6" w:space="0" w:color="auto"/>
              <w:bottom w:val="single" w:sz="6" w:space="0" w:color="auto"/>
              <w:right w:val="nil"/>
            </w:tcBorders>
          </w:tcPr>
          <w:p w:rsidR="00FD3FF0" w:rsidRDefault="00FD3FF0" w:rsidP="002514EB">
            <w:r>
              <w:t>6-&lt;12 months</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15</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30</w:t>
            </w:r>
          </w:p>
        </w:tc>
        <w:tc>
          <w:tcPr>
            <w:tcW w:w="1418" w:type="dxa"/>
            <w:tcBorders>
              <w:top w:val="single" w:sz="6" w:space="0" w:color="auto"/>
              <w:left w:val="nil"/>
              <w:bottom w:val="single" w:sz="6" w:space="0" w:color="auto"/>
              <w:right w:val="nil"/>
            </w:tcBorders>
            <w:vAlign w:val="center"/>
          </w:tcPr>
          <w:p w:rsidR="00FD3FF0" w:rsidRDefault="00FD3FF0" w:rsidP="002514EB">
            <w:pPr>
              <w:jc w:val="right"/>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right"/>
            </w:pPr>
            <w:r>
              <w:t>8</w:t>
            </w:r>
          </w:p>
        </w:tc>
      </w:tr>
      <w:tr w:rsidR="00FD3FF0" w:rsidTr="002514EB">
        <w:tc>
          <w:tcPr>
            <w:tcW w:w="1828" w:type="dxa"/>
            <w:tcBorders>
              <w:top w:val="single" w:sz="6" w:space="0" w:color="auto"/>
              <w:bottom w:val="single" w:sz="6" w:space="0" w:color="auto"/>
              <w:right w:val="nil"/>
            </w:tcBorders>
          </w:tcPr>
          <w:p w:rsidR="00FD3FF0" w:rsidRDefault="00FD3FF0" w:rsidP="002514EB">
            <w:r>
              <w:t>1- &lt;2 years</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23</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31</w:t>
            </w:r>
          </w:p>
        </w:tc>
        <w:tc>
          <w:tcPr>
            <w:tcW w:w="1418" w:type="dxa"/>
            <w:tcBorders>
              <w:top w:val="single" w:sz="6" w:space="0" w:color="auto"/>
              <w:left w:val="nil"/>
              <w:bottom w:val="single" w:sz="6" w:space="0" w:color="auto"/>
              <w:right w:val="nil"/>
            </w:tcBorders>
            <w:vAlign w:val="center"/>
          </w:tcPr>
          <w:p w:rsidR="00FD3FF0" w:rsidRDefault="00FD3FF0" w:rsidP="002514EB">
            <w:pPr>
              <w:jc w:val="right"/>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right"/>
            </w:pPr>
            <w:r>
              <w:t>4</w:t>
            </w:r>
          </w:p>
        </w:tc>
      </w:tr>
      <w:tr w:rsidR="00FD3FF0" w:rsidTr="002514EB">
        <w:tc>
          <w:tcPr>
            <w:tcW w:w="1828" w:type="dxa"/>
            <w:tcBorders>
              <w:top w:val="single" w:sz="6" w:space="0" w:color="auto"/>
              <w:bottom w:val="single" w:sz="6" w:space="0" w:color="auto"/>
              <w:right w:val="nil"/>
            </w:tcBorders>
          </w:tcPr>
          <w:p w:rsidR="00FD3FF0" w:rsidRDefault="00FD3FF0" w:rsidP="002514EB">
            <w:r>
              <w:t>2-&lt;3 years</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12</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16</w:t>
            </w:r>
          </w:p>
        </w:tc>
        <w:tc>
          <w:tcPr>
            <w:tcW w:w="1418" w:type="dxa"/>
            <w:tcBorders>
              <w:top w:val="single" w:sz="6" w:space="0" w:color="auto"/>
              <w:left w:val="nil"/>
              <w:bottom w:val="single" w:sz="6" w:space="0" w:color="auto"/>
              <w:right w:val="nil"/>
            </w:tcBorders>
            <w:vAlign w:val="center"/>
          </w:tcPr>
          <w:p w:rsidR="00FD3FF0" w:rsidRDefault="00FD3FF0" w:rsidP="002514EB">
            <w:pPr>
              <w:jc w:val="right"/>
            </w:pPr>
            <w:r>
              <w:t>4</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right"/>
            </w:pPr>
            <w:r>
              <w:t>14</w:t>
            </w:r>
          </w:p>
        </w:tc>
      </w:tr>
      <w:tr w:rsidR="00FD3FF0" w:rsidTr="002514EB">
        <w:tc>
          <w:tcPr>
            <w:tcW w:w="1828" w:type="dxa"/>
            <w:tcBorders>
              <w:top w:val="single" w:sz="6" w:space="0" w:color="auto"/>
              <w:bottom w:val="single" w:sz="6" w:space="0" w:color="auto"/>
              <w:right w:val="nil"/>
            </w:tcBorders>
          </w:tcPr>
          <w:p w:rsidR="00FD3FF0" w:rsidRDefault="00FD3FF0" w:rsidP="002514EB">
            <w:r>
              <w:t>3-&lt;4 years</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7</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10</w:t>
            </w:r>
          </w:p>
        </w:tc>
        <w:tc>
          <w:tcPr>
            <w:tcW w:w="1418" w:type="dxa"/>
            <w:tcBorders>
              <w:top w:val="single" w:sz="6" w:space="0" w:color="auto"/>
              <w:left w:val="nil"/>
              <w:bottom w:val="single" w:sz="6" w:space="0" w:color="auto"/>
              <w:right w:val="nil"/>
            </w:tcBorders>
            <w:vAlign w:val="center"/>
          </w:tcPr>
          <w:p w:rsidR="00FD3FF0" w:rsidRDefault="00FD3FF0" w:rsidP="002514EB">
            <w:pPr>
              <w:jc w:val="right"/>
            </w:pPr>
            <w:r>
              <w:t>2</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right"/>
            </w:pPr>
            <w:r>
              <w:t>5</w:t>
            </w:r>
          </w:p>
        </w:tc>
      </w:tr>
      <w:tr w:rsidR="00FD3FF0" w:rsidTr="002514EB">
        <w:tc>
          <w:tcPr>
            <w:tcW w:w="1828" w:type="dxa"/>
            <w:tcBorders>
              <w:top w:val="single" w:sz="6" w:space="0" w:color="auto"/>
              <w:bottom w:val="single" w:sz="6" w:space="0" w:color="auto"/>
              <w:right w:val="nil"/>
            </w:tcBorders>
          </w:tcPr>
          <w:p w:rsidR="00FD3FF0" w:rsidRDefault="00FD3FF0" w:rsidP="002514EB">
            <w:r>
              <w:t>4-&lt;5 years</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4" w:space="0" w:color="auto"/>
              <w:left w:val="nil"/>
              <w:bottom w:val="single" w:sz="4" w:space="0" w:color="auto"/>
              <w:right w:val="nil"/>
            </w:tcBorders>
            <w:vAlign w:val="center"/>
          </w:tcPr>
          <w:p w:rsidR="00FD3FF0" w:rsidRDefault="00FD3FF0" w:rsidP="002514EB">
            <w:pPr>
              <w:jc w:val="center"/>
            </w:pPr>
            <w:r>
              <w:t>11</w:t>
            </w:r>
          </w:p>
        </w:tc>
        <w:tc>
          <w:tcPr>
            <w:tcW w:w="1418" w:type="dxa"/>
            <w:tcBorders>
              <w:top w:val="single" w:sz="6" w:space="0" w:color="auto"/>
              <w:left w:val="nil"/>
              <w:bottom w:val="single" w:sz="6" w:space="0" w:color="auto"/>
              <w:right w:val="nil"/>
            </w:tcBorders>
            <w:vAlign w:val="center"/>
          </w:tcPr>
          <w:p w:rsidR="00FD3FF0" w:rsidRDefault="00FD3FF0" w:rsidP="002514EB">
            <w:pPr>
              <w:jc w:val="right"/>
            </w:pPr>
            <w:r>
              <w:t>3</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right"/>
            </w:pPr>
            <w:r>
              <w:t>11</w:t>
            </w:r>
          </w:p>
        </w:tc>
      </w:tr>
      <w:tr w:rsidR="00FD3FF0" w:rsidTr="002514EB">
        <w:tc>
          <w:tcPr>
            <w:tcW w:w="1828" w:type="dxa"/>
            <w:tcBorders>
              <w:top w:val="single" w:sz="6" w:space="0" w:color="auto"/>
              <w:bottom w:val="single" w:sz="12" w:space="0" w:color="auto"/>
              <w:right w:val="nil"/>
            </w:tcBorders>
          </w:tcPr>
          <w:p w:rsidR="00FD3FF0" w:rsidRDefault="00FD3FF0" w:rsidP="002514EB">
            <w:r>
              <w:t>5 years and over</w:t>
            </w:r>
          </w:p>
        </w:tc>
        <w:tc>
          <w:tcPr>
            <w:tcW w:w="1418" w:type="dxa"/>
            <w:tcBorders>
              <w:top w:val="single" w:sz="6" w:space="0" w:color="auto"/>
              <w:left w:val="nil"/>
              <w:bottom w:val="single" w:sz="12" w:space="0" w:color="auto"/>
              <w:right w:val="nil"/>
            </w:tcBorders>
            <w:vAlign w:val="center"/>
          </w:tcPr>
          <w:p w:rsidR="00FD3FF0" w:rsidRDefault="00FD3FF0" w:rsidP="002514EB">
            <w:pPr>
              <w:jc w:val="center"/>
            </w:pPr>
            <w:r>
              <w:t>1</w:t>
            </w:r>
          </w:p>
        </w:tc>
        <w:tc>
          <w:tcPr>
            <w:tcW w:w="1417" w:type="dxa"/>
            <w:tcBorders>
              <w:top w:val="single" w:sz="4" w:space="0" w:color="auto"/>
              <w:left w:val="nil"/>
              <w:bottom w:val="single" w:sz="12" w:space="0" w:color="auto"/>
              <w:right w:val="nil"/>
            </w:tcBorders>
            <w:vAlign w:val="center"/>
          </w:tcPr>
          <w:p w:rsidR="00FD3FF0" w:rsidRDefault="00FD3FF0" w:rsidP="002514EB">
            <w:pPr>
              <w:jc w:val="center"/>
            </w:pPr>
            <w:r>
              <w:t>3</w:t>
            </w:r>
          </w:p>
        </w:tc>
        <w:tc>
          <w:tcPr>
            <w:tcW w:w="1418" w:type="dxa"/>
            <w:tcBorders>
              <w:top w:val="single" w:sz="6" w:space="0" w:color="auto"/>
              <w:left w:val="nil"/>
              <w:bottom w:val="single" w:sz="12" w:space="0" w:color="auto"/>
              <w:right w:val="nil"/>
            </w:tcBorders>
            <w:vAlign w:val="center"/>
          </w:tcPr>
          <w:p w:rsidR="00FD3FF0" w:rsidRDefault="00FD3FF0" w:rsidP="002514EB">
            <w:pPr>
              <w:jc w:val="right"/>
            </w:pPr>
            <w:r>
              <w:t>5</w:t>
            </w:r>
          </w:p>
        </w:tc>
        <w:tc>
          <w:tcPr>
            <w:tcW w:w="1417" w:type="dxa"/>
            <w:tcBorders>
              <w:top w:val="single" w:sz="6" w:space="0" w:color="auto"/>
              <w:left w:val="nil"/>
              <w:bottom w:val="single" w:sz="12" w:space="0" w:color="auto"/>
              <w:right w:val="single" w:sz="12" w:space="0" w:color="auto"/>
            </w:tcBorders>
            <w:vAlign w:val="center"/>
          </w:tcPr>
          <w:p w:rsidR="00FD3FF0" w:rsidRDefault="00FD3FF0" w:rsidP="002514EB">
            <w:pPr>
              <w:jc w:val="right"/>
            </w:pPr>
            <w:r>
              <w:t>30</w:t>
            </w:r>
          </w:p>
        </w:tc>
      </w:tr>
      <w:tr w:rsidR="00FD3FF0" w:rsidTr="002514EB">
        <w:tc>
          <w:tcPr>
            <w:tcW w:w="1828" w:type="dxa"/>
            <w:tcBorders>
              <w:top w:val="single" w:sz="12" w:space="0" w:color="auto"/>
              <w:bottom w:val="single" w:sz="12" w:space="0" w:color="auto"/>
              <w:right w:val="nil"/>
            </w:tcBorders>
          </w:tcPr>
          <w:p w:rsidR="00FD3FF0" w:rsidRPr="00D85BF3" w:rsidRDefault="00FD3FF0" w:rsidP="002514EB">
            <w:pPr>
              <w:rPr>
                <w:b/>
              </w:rPr>
            </w:pPr>
            <w:r w:rsidRPr="00D85BF3">
              <w:rPr>
                <w:b/>
              </w:rPr>
              <w:t>Total children</w:t>
            </w:r>
          </w:p>
        </w:tc>
        <w:tc>
          <w:tcPr>
            <w:tcW w:w="1418" w:type="dxa"/>
            <w:tcBorders>
              <w:top w:val="single" w:sz="12" w:space="0" w:color="auto"/>
              <w:left w:val="nil"/>
              <w:bottom w:val="single" w:sz="12" w:space="0" w:color="auto"/>
              <w:right w:val="nil"/>
            </w:tcBorders>
            <w:vAlign w:val="center"/>
          </w:tcPr>
          <w:p w:rsidR="00FD3FF0" w:rsidRDefault="00FD3FF0" w:rsidP="002514EB">
            <w:pPr>
              <w:jc w:val="center"/>
            </w:pPr>
            <w:r>
              <w:t>75</w:t>
            </w:r>
          </w:p>
        </w:tc>
        <w:tc>
          <w:tcPr>
            <w:tcW w:w="1417" w:type="dxa"/>
            <w:tcBorders>
              <w:top w:val="single" w:sz="12" w:space="0" w:color="auto"/>
              <w:left w:val="nil"/>
              <w:bottom w:val="single" w:sz="12" w:space="0" w:color="auto"/>
              <w:right w:val="nil"/>
            </w:tcBorders>
            <w:vAlign w:val="center"/>
          </w:tcPr>
          <w:p w:rsidR="00FD3FF0" w:rsidRDefault="00FD3FF0" w:rsidP="002514EB">
            <w:pPr>
              <w:jc w:val="center"/>
            </w:pPr>
            <w:r>
              <w:t>123</w:t>
            </w:r>
          </w:p>
        </w:tc>
        <w:tc>
          <w:tcPr>
            <w:tcW w:w="1418" w:type="dxa"/>
            <w:tcBorders>
              <w:top w:val="single" w:sz="12" w:space="0" w:color="auto"/>
              <w:left w:val="nil"/>
              <w:bottom w:val="single" w:sz="12" w:space="0" w:color="auto"/>
              <w:right w:val="nil"/>
            </w:tcBorders>
            <w:vAlign w:val="center"/>
          </w:tcPr>
          <w:p w:rsidR="00FD3FF0" w:rsidRDefault="00FD3FF0" w:rsidP="002514EB">
            <w:pPr>
              <w:jc w:val="right"/>
            </w:pPr>
            <w:r>
              <w:t>16</w:t>
            </w:r>
          </w:p>
        </w:tc>
        <w:tc>
          <w:tcPr>
            <w:tcW w:w="1417" w:type="dxa"/>
            <w:tcBorders>
              <w:top w:val="single" w:sz="12" w:space="0" w:color="auto"/>
              <w:left w:val="nil"/>
              <w:bottom w:val="single" w:sz="12" w:space="0" w:color="auto"/>
              <w:right w:val="single" w:sz="12" w:space="0" w:color="auto"/>
            </w:tcBorders>
            <w:vAlign w:val="center"/>
          </w:tcPr>
          <w:p w:rsidR="00FD3FF0" w:rsidRDefault="00FD3FF0" w:rsidP="002514EB">
            <w:pPr>
              <w:jc w:val="right"/>
            </w:pPr>
            <w:r>
              <w:t>74</w:t>
            </w:r>
          </w:p>
        </w:tc>
      </w:tr>
    </w:tbl>
    <w:p w:rsidR="00FD3FF0" w:rsidRDefault="00FD3FF0" w:rsidP="00FD3FF0">
      <w:r>
        <w:t>N=288</w:t>
      </w:r>
    </w:p>
    <w:p w:rsidR="005D4D55" w:rsidRPr="007179CB" w:rsidRDefault="005D4D55" w:rsidP="000B2855"/>
    <w:p w:rsidR="002B4B96" w:rsidRPr="007179CB" w:rsidRDefault="00C9124B" w:rsidP="000B2855">
      <w:r w:rsidRPr="007179CB">
        <w:t>Table 3</w:t>
      </w:r>
      <w:r w:rsidR="006D2454" w:rsidRPr="007179CB">
        <w:t xml:space="preserve"> show</w:t>
      </w:r>
      <w:r w:rsidRPr="007179CB">
        <w:t>s</w:t>
      </w:r>
      <w:r w:rsidR="006D2454" w:rsidRPr="007179CB">
        <w:t xml:space="preserve"> that where the decision for the child to be permanently placed away from home was taken sooner rather than later, these children progressed through the adoption route </w:t>
      </w:r>
      <w:r w:rsidR="008E1B5B" w:rsidRPr="007179CB">
        <w:t xml:space="preserve">(including POAs) </w:t>
      </w:r>
      <w:r w:rsidR="006D2454" w:rsidRPr="007179CB">
        <w:t xml:space="preserve">more commonly. Where this decision took at least three years, </w:t>
      </w:r>
      <w:r w:rsidR="00424187" w:rsidRPr="007179CB">
        <w:t xml:space="preserve">fewer </w:t>
      </w:r>
      <w:r w:rsidR="006D2454" w:rsidRPr="007179CB">
        <w:t xml:space="preserve">children were becoming adopted and more received a different permanence </w:t>
      </w:r>
      <w:r w:rsidR="0054276E" w:rsidRPr="007179CB">
        <w:t>order.</w:t>
      </w:r>
      <w:r w:rsidRPr="007179CB">
        <w:t xml:space="preserve"> This pattern was</w:t>
      </w:r>
      <w:r w:rsidR="00735685" w:rsidRPr="007179CB">
        <w:t xml:space="preserve"> consistent across the two different periods of legislation.</w:t>
      </w:r>
      <w:r w:rsidR="003B7F1C" w:rsidRPr="007179CB">
        <w:t xml:space="preserve"> In one respect though the speed of this decision was also</w:t>
      </w:r>
      <w:r w:rsidR="0054276E" w:rsidRPr="007179CB">
        <w:t xml:space="preserve"> link</w:t>
      </w:r>
      <w:r w:rsidR="003B7F1C" w:rsidRPr="007179CB">
        <w:t>ed</w:t>
      </w:r>
      <w:r w:rsidR="0054276E" w:rsidRPr="007179CB">
        <w:t xml:space="preserve"> </w:t>
      </w:r>
      <w:r w:rsidR="006D2454" w:rsidRPr="007179CB">
        <w:t xml:space="preserve">to the age of the child. </w:t>
      </w:r>
      <w:r w:rsidR="00527F1C" w:rsidRPr="007179CB">
        <w:t xml:space="preserve">For 42% (n=83) of the children being adopted, this decision had been made within </w:t>
      </w:r>
      <w:r w:rsidR="00424187" w:rsidRPr="007179CB">
        <w:t xml:space="preserve">12 </w:t>
      </w:r>
      <w:r w:rsidR="00527F1C" w:rsidRPr="007179CB">
        <w:t>months, in comparison to</w:t>
      </w:r>
      <w:r w:rsidR="008D308F" w:rsidRPr="007179CB">
        <w:t xml:space="preserve"> just 12% of</w:t>
      </w:r>
      <w:r w:rsidR="00424187" w:rsidRPr="007179CB">
        <w:t xml:space="preserve"> children who went onto other forms of permanence</w:t>
      </w:r>
      <w:r w:rsidR="008D308F" w:rsidRPr="007179CB">
        <w:t>. B</w:t>
      </w:r>
      <w:r w:rsidR="00527F1C" w:rsidRPr="007179CB">
        <w:t>ut out</w:t>
      </w:r>
      <w:r w:rsidR="008D308F" w:rsidRPr="007179CB">
        <w:t xml:space="preserve"> of the adoptions</w:t>
      </w:r>
      <w:r w:rsidR="00735685" w:rsidRPr="007179CB">
        <w:t xml:space="preserve"> group, the majority (80</w:t>
      </w:r>
      <w:r w:rsidR="00527F1C" w:rsidRPr="007179CB">
        <w:t>%</w:t>
      </w:r>
      <w:r w:rsidR="00735685" w:rsidRPr="007179CB">
        <w:t>, n=66</w:t>
      </w:r>
      <w:r w:rsidR="008D308F" w:rsidRPr="007179CB">
        <w:t>) were</w:t>
      </w:r>
      <w:r w:rsidR="00527F1C" w:rsidRPr="007179CB">
        <w:t xml:space="preserve"> children who had been identified as at risk around their birth</w:t>
      </w:r>
      <w:r w:rsidR="00424187" w:rsidRPr="007179CB">
        <w:t>s</w:t>
      </w:r>
      <w:r w:rsidR="00527F1C" w:rsidRPr="007179CB">
        <w:t xml:space="preserve">. </w:t>
      </w:r>
      <w:r w:rsidR="008D308F" w:rsidRPr="007179CB">
        <w:t>Thus</w:t>
      </w:r>
      <w:r w:rsidR="004A216F" w:rsidRPr="007179CB">
        <w:t>,</w:t>
      </w:r>
      <w:r w:rsidR="008D308F" w:rsidRPr="007179CB">
        <w:t xml:space="preserve"> most</w:t>
      </w:r>
      <w:r w:rsidR="001A4991" w:rsidRPr="007179CB">
        <w:t xml:space="preserve"> were still </w:t>
      </w:r>
      <w:r w:rsidR="00735685" w:rsidRPr="007179CB">
        <w:t xml:space="preserve">babies when permanence was decided. </w:t>
      </w:r>
    </w:p>
    <w:p w:rsidR="00376DF1" w:rsidRPr="007179CB" w:rsidRDefault="001A4991" w:rsidP="000B2855">
      <w:r w:rsidRPr="007179CB">
        <w:t xml:space="preserve">Exploring the data further though, suggests that </w:t>
      </w:r>
      <w:r w:rsidR="00BF589D" w:rsidRPr="007179CB">
        <w:t xml:space="preserve">the time taken to make this initial decision is perhaps </w:t>
      </w:r>
      <w:r w:rsidR="003B7F1C" w:rsidRPr="007179CB">
        <w:t xml:space="preserve">still </w:t>
      </w:r>
      <w:r w:rsidR="00BF589D" w:rsidRPr="007179CB">
        <w:t>more important than simply the age of the child</w:t>
      </w:r>
      <w:r w:rsidR="00F059C5" w:rsidRPr="007179CB">
        <w:t xml:space="preserve"> in relation to the type of </w:t>
      </w:r>
      <w:r w:rsidR="00E175A3" w:rsidRPr="007179CB">
        <w:t xml:space="preserve">court </w:t>
      </w:r>
      <w:r w:rsidR="00F059C5" w:rsidRPr="007179CB">
        <w:t>Order made</w:t>
      </w:r>
      <w:r w:rsidR="00BF589D" w:rsidRPr="007179CB">
        <w:t xml:space="preserve">. In the 2007 </w:t>
      </w:r>
      <w:r w:rsidR="00424187" w:rsidRPr="007179CB">
        <w:t xml:space="preserve">Act </w:t>
      </w:r>
      <w:r w:rsidR="00BF589D" w:rsidRPr="007179CB">
        <w:t xml:space="preserve">cohort, there were 30 children who received a </w:t>
      </w:r>
      <w:r w:rsidR="00424187" w:rsidRPr="007179CB">
        <w:t>PO</w:t>
      </w:r>
      <w:r w:rsidR="004A216F" w:rsidRPr="007179CB">
        <w:t>,</w:t>
      </w:r>
      <w:r w:rsidR="00FA64D9" w:rsidRPr="007179CB">
        <w:t xml:space="preserve"> but the initial permanence decision took at least five years.</w:t>
      </w:r>
      <w:r w:rsidR="00BF589D" w:rsidRPr="007179CB">
        <w:t xml:space="preserve"> </w:t>
      </w:r>
      <w:r w:rsidR="00EB573B" w:rsidRPr="007179CB">
        <w:t>Surprisingly, 21 of the</w:t>
      </w:r>
      <w:r w:rsidR="008D308F" w:rsidRPr="007179CB">
        <w:t>se children were under one year</w:t>
      </w:r>
      <w:r w:rsidR="00EB573B" w:rsidRPr="007179CB">
        <w:t xml:space="preserve"> old when social work services were first involved, and three of these children had been identified as at risk around their birth.  </w:t>
      </w:r>
      <w:proofErr w:type="gramStart"/>
      <w:r w:rsidR="00F059C5" w:rsidRPr="007179CB">
        <w:t>Therefore</w:t>
      </w:r>
      <w:proofErr w:type="gramEnd"/>
      <w:r w:rsidR="00F059C5" w:rsidRPr="007179CB">
        <w:t xml:space="preserve"> these children were still very young when services were working with their families,</w:t>
      </w:r>
      <w:r w:rsidR="00106C3F" w:rsidRPr="007179CB">
        <w:t xml:space="preserve"> but it took much longer to decide on</w:t>
      </w:r>
      <w:r w:rsidR="00F059C5" w:rsidRPr="007179CB">
        <w:t xml:space="preserve"> permanence away from home. A </w:t>
      </w:r>
      <w:r w:rsidR="00424187" w:rsidRPr="007179CB">
        <w:t>PO</w:t>
      </w:r>
      <w:r w:rsidR="00F763C3" w:rsidRPr="007179CB">
        <w:t xml:space="preserve"> was</w:t>
      </w:r>
      <w:r w:rsidR="00F059C5" w:rsidRPr="007179CB">
        <w:t xml:space="preserve"> then </w:t>
      </w:r>
      <w:r w:rsidR="00F763C3" w:rsidRPr="007179CB">
        <w:t xml:space="preserve">considered </w:t>
      </w:r>
      <w:r w:rsidR="00F059C5" w:rsidRPr="007179CB">
        <w:t xml:space="preserve">more appropriate. </w:t>
      </w:r>
    </w:p>
    <w:p w:rsidR="004A216F" w:rsidRPr="007179CB" w:rsidRDefault="00FA64D9" w:rsidP="000B2855">
      <w:r w:rsidRPr="007179CB">
        <w:t>The time taken to decide on a perm</w:t>
      </w:r>
      <w:r w:rsidR="002B4B96" w:rsidRPr="007179CB">
        <w:t>anent placement away from home wa</w:t>
      </w:r>
      <w:r w:rsidR="004A1185" w:rsidRPr="007179CB">
        <w:t>s very</w:t>
      </w:r>
      <w:r w:rsidR="002B4B96" w:rsidRPr="007179CB">
        <w:t xml:space="preserve"> similar across the two cohorts</w:t>
      </w:r>
      <w:r w:rsidRPr="007179CB">
        <w:t xml:space="preserve"> for </w:t>
      </w:r>
      <w:r w:rsidR="002B4B96" w:rsidRPr="007179CB">
        <w:t>this</w:t>
      </w:r>
      <w:r w:rsidR="004A216F" w:rsidRPr="007179CB">
        <w:t xml:space="preserve"> part of the permanence process. Within </w:t>
      </w:r>
      <w:r w:rsidR="00F763C3" w:rsidRPr="007179CB">
        <w:t>those adopted</w:t>
      </w:r>
      <w:r w:rsidR="004A1185" w:rsidRPr="007179CB">
        <w:t xml:space="preserve">, 41% had permanence identified within </w:t>
      </w:r>
      <w:r w:rsidR="00F763C3" w:rsidRPr="007179CB">
        <w:t xml:space="preserve">12 </w:t>
      </w:r>
      <w:r w:rsidR="004A1185" w:rsidRPr="007179CB">
        <w:t xml:space="preserve">months under the 1978 Act, and under the 2007 Act this </w:t>
      </w:r>
      <w:r w:rsidR="00F763C3" w:rsidRPr="007179CB">
        <w:t>was</w:t>
      </w:r>
      <w:r w:rsidR="004A1185" w:rsidRPr="007179CB">
        <w:t xml:space="preserve"> 42%.</w:t>
      </w:r>
      <w:r w:rsidR="004A216F" w:rsidRPr="007179CB">
        <w:t xml:space="preserve"> Alternatively, for the non-adoptions, this decision took longer, with over 50% in each cohort taking at least four years. </w:t>
      </w:r>
      <w:proofErr w:type="gramStart"/>
      <w:r w:rsidR="00F763C3" w:rsidRPr="007179CB">
        <w:t>Therefore</w:t>
      </w:r>
      <w:proofErr w:type="gramEnd"/>
      <w:r w:rsidR="00F763C3" w:rsidRPr="007179CB">
        <w:t xml:space="preserve"> f</w:t>
      </w:r>
      <w:r w:rsidR="004A216F" w:rsidRPr="007179CB">
        <w:t xml:space="preserve">or this part of the process, the change in legislation </w:t>
      </w:r>
      <w:r w:rsidR="004A1185" w:rsidRPr="007179CB">
        <w:t xml:space="preserve">appeared to have no effect either way on the times taken to make this decision. </w:t>
      </w:r>
    </w:p>
    <w:p w:rsidR="00677E2F" w:rsidRPr="007179CB" w:rsidRDefault="00197AF8" w:rsidP="000B2855">
      <w:r w:rsidRPr="007179CB">
        <w:t xml:space="preserve">The </w:t>
      </w:r>
      <w:r w:rsidR="001463FE" w:rsidRPr="007179CB">
        <w:t xml:space="preserve">lack of change across the two cohorts </w:t>
      </w:r>
      <w:r w:rsidR="006105A6" w:rsidRPr="007179CB">
        <w:t>is to be noted</w:t>
      </w:r>
      <w:r w:rsidRPr="007179CB">
        <w:t>. This particular</w:t>
      </w:r>
      <w:r w:rsidR="00174ABB" w:rsidRPr="007179CB">
        <w:t xml:space="preserve"> stage of decision making is notoriously</w:t>
      </w:r>
      <w:r w:rsidR="006105A6" w:rsidRPr="007179CB">
        <w:t xml:space="preserve"> complex</w:t>
      </w:r>
      <w:r w:rsidR="00E843C3" w:rsidRPr="007179CB">
        <w:t xml:space="preserve"> (Triseliotis 2002)</w:t>
      </w:r>
      <w:r w:rsidR="001C4895" w:rsidRPr="007179CB">
        <w:t>, and,</w:t>
      </w:r>
      <w:r w:rsidR="00174ABB" w:rsidRPr="007179CB">
        <w:t xml:space="preserve"> as noted in Northern Ireland</w:t>
      </w:r>
      <w:r w:rsidR="001C4895" w:rsidRPr="007179CB">
        <w:t>,</w:t>
      </w:r>
      <w:r w:rsidR="00174ABB" w:rsidRPr="007179CB">
        <w:t xml:space="preserve"> is highly</w:t>
      </w:r>
      <w:r w:rsidR="001C4895" w:rsidRPr="007179CB">
        <w:t xml:space="preserve"> stressful</w:t>
      </w:r>
      <w:r w:rsidR="00E843C3" w:rsidRPr="007179CB">
        <w:t xml:space="preserve"> for the professional (Kelly and McSherry 2002)</w:t>
      </w:r>
      <w:r w:rsidRPr="007179CB">
        <w:t xml:space="preserve">. </w:t>
      </w:r>
      <w:r w:rsidR="00677E2F" w:rsidRPr="007179CB">
        <w:t>The finality of adoption in severing the parent – child relationship requires ethical judgement (</w:t>
      </w:r>
      <w:r w:rsidR="00677E2F" w:rsidRPr="007179CB">
        <w:rPr>
          <w:lang w:val="en"/>
        </w:rPr>
        <w:t>Featherstone, Gupta and Mills 2018</w:t>
      </w:r>
      <w:r w:rsidR="00677E2F" w:rsidRPr="007179CB">
        <w:t xml:space="preserve">), and is heightened in England, Scotland and Wales as continued direct contact between a birth parent and their child is </w:t>
      </w:r>
      <w:r w:rsidR="00677E2F" w:rsidRPr="007179CB">
        <w:lastRenderedPageBreak/>
        <w:t>extremely rare (ibid.). This core</w:t>
      </w:r>
      <w:r w:rsidR="006105A6" w:rsidRPr="007179CB">
        <w:t xml:space="preserve"> decision making process could be explored further in the Scottish context with professionals</w:t>
      </w:r>
      <w:r w:rsidR="00677E2F" w:rsidRPr="007179CB">
        <w:t xml:space="preserve"> more qualit</w:t>
      </w:r>
      <w:r w:rsidR="00A47FCB" w:rsidRPr="007179CB">
        <w:t>at</w:t>
      </w:r>
      <w:r w:rsidR="00677E2F" w:rsidRPr="007179CB">
        <w:t xml:space="preserve">ively. </w:t>
      </w:r>
    </w:p>
    <w:p w:rsidR="0027756D" w:rsidRPr="007179CB" w:rsidRDefault="006105A6" w:rsidP="000B2855">
      <w:pPr>
        <w:rPr>
          <w:i/>
        </w:rPr>
      </w:pPr>
      <w:r w:rsidRPr="007179CB">
        <w:t xml:space="preserve"> </w:t>
      </w:r>
      <w:r w:rsidR="00245B35" w:rsidRPr="007179CB">
        <w:rPr>
          <w:i/>
        </w:rPr>
        <w:t>Adoption and Permanence Panel</w:t>
      </w:r>
    </w:p>
    <w:p w:rsidR="00245B35" w:rsidRPr="007179CB" w:rsidRDefault="007C25D6" w:rsidP="000B2855">
      <w:r w:rsidRPr="007179CB">
        <w:t>A</w:t>
      </w:r>
      <w:r w:rsidR="004B2934" w:rsidRPr="007179CB">
        <w:t>nother</w:t>
      </w:r>
      <w:r w:rsidRPr="007179CB">
        <w:t xml:space="preserve"> key stage in the permanence process is matching the child with their permanent carer(s). The match between a child and prospective carer is </w:t>
      </w:r>
      <w:r w:rsidR="00A32DAA" w:rsidRPr="007179CB">
        <w:t>considered and recommended by an</w:t>
      </w:r>
      <w:r w:rsidR="00F30997" w:rsidRPr="007179CB">
        <w:t xml:space="preserve"> Adoption and P</w:t>
      </w:r>
      <w:r w:rsidRPr="007179CB">
        <w:t>ermanence</w:t>
      </w:r>
      <w:r w:rsidR="00F30997" w:rsidRPr="007179CB">
        <w:t xml:space="preserve"> P</w:t>
      </w:r>
      <w:r w:rsidRPr="007179CB">
        <w:t>anel.  The local authority’s Agency Decision Maker</w:t>
      </w:r>
      <w:r w:rsidR="00A32DAA" w:rsidRPr="007179CB">
        <w:t xml:space="preserve"> then makes the decision </w:t>
      </w:r>
      <w:r w:rsidRPr="007179CB">
        <w:t>to ap</w:t>
      </w:r>
      <w:r w:rsidR="00F30997" w:rsidRPr="007179CB">
        <w:t>prov</w:t>
      </w:r>
      <w:r w:rsidR="00A32DAA" w:rsidRPr="007179CB">
        <w:t>e the recommendation or not.</w:t>
      </w:r>
      <w:r w:rsidRPr="007179CB">
        <w:t xml:space="preserve">  The dates of the </w:t>
      </w:r>
      <w:r w:rsidR="00F763C3" w:rsidRPr="007179CB">
        <w:t xml:space="preserve">Panels </w:t>
      </w:r>
      <w:r w:rsidRPr="007179CB">
        <w:t>were recor</w:t>
      </w:r>
      <w:r w:rsidR="00A32DAA" w:rsidRPr="007179CB">
        <w:t xml:space="preserve">ded </w:t>
      </w:r>
      <w:r w:rsidR="00F763C3" w:rsidRPr="007179CB">
        <w:t xml:space="preserve">for </w:t>
      </w:r>
      <w:r w:rsidR="00A32DAA" w:rsidRPr="007179CB">
        <w:t>both data collection periods. However, t</w:t>
      </w:r>
      <w:r w:rsidR="00E028FD" w:rsidRPr="007179CB">
        <w:t xml:space="preserve">his information was not always </w:t>
      </w:r>
      <w:r w:rsidR="002B4B96" w:rsidRPr="007179CB">
        <w:t>available</w:t>
      </w:r>
      <w:r w:rsidR="00841479" w:rsidRPr="007179CB">
        <w:t xml:space="preserve"> in reports. Furthermore, where a</w:t>
      </w:r>
      <w:r w:rsidR="00F30997" w:rsidRPr="007179CB">
        <w:t xml:space="preserve"> Freeing Order or POA</w:t>
      </w:r>
      <w:r w:rsidR="00841479" w:rsidRPr="007179CB">
        <w:t xml:space="preserve"> was being progressed, the matching process had not always taken place at the time of study. </w:t>
      </w:r>
      <w:r w:rsidR="00F30997" w:rsidRPr="007179CB">
        <w:t xml:space="preserve"> </w:t>
      </w:r>
    </w:p>
    <w:p w:rsidR="00841479" w:rsidRPr="007179CB" w:rsidRDefault="00F30997" w:rsidP="000B2855">
      <w:r w:rsidRPr="007179CB">
        <w:t xml:space="preserve">Table 4 shows the time taken between </w:t>
      </w:r>
      <w:r w:rsidR="00A86ED2" w:rsidRPr="007179CB">
        <w:t>permanence being</w:t>
      </w:r>
      <w:r w:rsidR="00841479" w:rsidRPr="007179CB">
        <w:t xml:space="preserve"> decided, and the matching panel being convened. </w:t>
      </w:r>
    </w:p>
    <w:p w:rsidR="00FD3FF0" w:rsidRDefault="00FD3FF0" w:rsidP="00FD3FF0">
      <w:r>
        <w:t>Table 4. Time taken between permanence decision and matching / adoption and permanence panel</w:t>
      </w:r>
    </w:p>
    <w:tbl>
      <w:tblPr>
        <w:tblStyle w:val="TableGrid"/>
        <w:tblW w:w="74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828"/>
        <w:gridCol w:w="1418"/>
        <w:gridCol w:w="1417"/>
        <w:gridCol w:w="1418"/>
        <w:gridCol w:w="1417"/>
      </w:tblGrid>
      <w:tr w:rsidR="00FD3FF0" w:rsidRPr="00527F1C" w:rsidTr="002514EB">
        <w:tc>
          <w:tcPr>
            <w:tcW w:w="1828" w:type="dxa"/>
            <w:tcBorders>
              <w:top w:val="single" w:sz="12" w:space="0" w:color="auto"/>
              <w:bottom w:val="single" w:sz="6" w:space="0" w:color="auto"/>
              <w:right w:val="nil"/>
            </w:tcBorders>
          </w:tcPr>
          <w:p w:rsidR="00FD3FF0" w:rsidRPr="00735685" w:rsidRDefault="00FD3FF0" w:rsidP="002514EB">
            <w:pPr>
              <w:rPr>
                <w:b/>
              </w:rPr>
            </w:pPr>
            <w:r>
              <w:rPr>
                <w:b/>
              </w:rPr>
              <w:t>Time taken in months</w:t>
            </w:r>
          </w:p>
        </w:tc>
        <w:tc>
          <w:tcPr>
            <w:tcW w:w="2835" w:type="dxa"/>
            <w:gridSpan w:val="2"/>
            <w:tcBorders>
              <w:top w:val="single" w:sz="12" w:space="0" w:color="auto"/>
              <w:left w:val="nil"/>
              <w:bottom w:val="single" w:sz="6" w:space="0" w:color="auto"/>
              <w:right w:val="nil"/>
            </w:tcBorders>
          </w:tcPr>
          <w:p w:rsidR="00FD3FF0" w:rsidRPr="00527F1C" w:rsidRDefault="00FD3FF0" w:rsidP="002514EB">
            <w:pPr>
              <w:jc w:val="center"/>
              <w:rPr>
                <w:b/>
              </w:rPr>
            </w:pPr>
            <w:r w:rsidRPr="00527F1C">
              <w:rPr>
                <w:b/>
              </w:rPr>
              <w:t xml:space="preserve"> Adoption</w:t>
            </w:r>
          </w:p>
          <w:p w:rsidR="00FD3FF0" w:rsidRDefault="00FD3FF0" w:rsidP="002514EB">
            <w:r w:rsidRPr="00527F1C">
              <w:rPr>
                <w:b/>
              </w:rPr>
              <w:t xml:space="preserve">         1978              2007</w:t>
            </w:r>
          </w:p>
        </w:tc>
        <w:tc>
          <w:tcPr>
            <w:tcW w:w="2835" w:type="dxa"/>
            <w:gridSpan w:val="2"/>
            <w:tcBorders>
              <w:top w:val="single" w:sz="12" w:space="0" w:color="auto"/>
              <w:left w:val="nil"/>
              <w:bottom w:val="single" w:sz="6" w:space="0" w:color="auto"/>
              <w:right w:val="single" w:sz="12" w:space="0" w:color="auto"/>
            </w:tcBorders>
          </w:tcPr>
          <w:p w:rsidR="00FD3FF0" w:rsidRPr="00527F1C" w:rsidRDefault="00FD3FF0" w:rsidP="002514EB">
            <w:pPr>
              <w:jc w:val="center"/>
              <w:rPr>
                <w:b/>
              </w:rPr>
            </w:pPr>
            <w:r w:rsidRPr="00527F1C">
              <w:rPr>
                <w:b/>
              </w:rPr>
              <w:t>Other Permanence           PRO  1978        PO 2007</w:t>
            </w:r>
          </w:p>
        </w:tc>
      </w:tr>
      <w:tr w:rsidR="00FD3FF0" w:rsidTr="002514EB">
        <w:tc>
          <w:tcPr>
            <w:tcW w:w="1828" w:type="dxa"/>
            <w:tcBorders>
              <w:top w:val="single" w:sz="6" w:space="0" w:color="auto"/>
              <w:bottom w:val="single" w:sz="6" w:space="0" w:color="auto"/>
              <w:right w:val="nil"/>
            </w:tcBorders>
          </w:tcPr>
          <w:p w:rsidR="00FD3FF0" w:rsidRDefault="00FD3FF0" w:rsidP="002514EB">
            <w:r>
              <w:t>&lt; 6</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13</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14</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4</w:t>
            </w:r>
          </w:p>
        </w:tc>
      </w:tr>
      <w:tr w:rsidR="00FD3FF0" w:rsidTr="002514EB">
        <w:tc>
          <w:tcPr>
            <w:tcW w:w="1828" w:type="dxa"/>
            <w:tcBorders>
              <w:top w:val="single" w:sz="6" w:space="0" w:color="auto"/>
              <w:bottom w:val="single" w:sz="6" w:space="0" w:color="auto"/>
              <w:right w:val="nil"/>
            </w:tcBorders>
          </w:tcPr>
          <w:p w:rsidR="00FD3FF0" w:rsidRDefault="00FD3FF0" w:rsidP="002514EB">
            <w:r>
              <w:t xml:space="preserve">  6 – 11 </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18</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26</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4</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3</w:t>
            </w:r>
          </w:p>
        </w:tc>
      </w:tr>
      <w:tr w:rsidR="00FD3FF0" w:rsidTr="002514EB">
        <w:tc>
          <w:tcPr>
            <w:tcW w:w="1828" w:type="dxa"/>
            <w:tcBorders>
              <w:top w:val="single" w:sz="6" w:space="0" w:color="auto"/>
              <w:bottom w:val="single" w:sz="6" w:space="0" w:color="auto"/>
              <w:right w:val="nil"/>
            </w:tcBorders>
          </w:tcPr>
          <w:p w:rsidR="00FD3FF0" w:rsidRDefault="00FD3FF0" w:rsidP="002514EB">
            <w:r>
              <w:t>12 – 17</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13</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25</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0</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5</w:t>
            </w:r>
          </w:p>
        </w:tc>
      </w:tr>
      <w:tr w:rsidR="00FD3FF0" w:rsidTr="002514EB">
        <w:tc>
          <w:tcPr>
            <w:tcW w:w="1828" w:type="dxa"/>
            <w:tcBorders>
              <w:top w:val="single" w:sz="6" w:space="0" w:color="auto"/>
              <w:bottom w:val="single" w:sz="6" w:space="0" w:color="auto"/>
              <w:right w:val="nil"/>
            </w:tcBorders>
          </w:tcPr>
          <w:p w:rsidR="00FD3FF0" w:rsidRDefault="00FD3FF0" w:rsidP="002514EB">
            <w:r>
              <w:t xml:space="preserve">18 – 23 </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8</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15</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3</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4</w:t>
            </w:r>
          </w:p>
        </w:tc>
      </w:tr>
      <w:tr w:rsidR="00FD3FF0" w:rsidTr="002514EB">
        <w:tc>
          <w:tcPr>
            <w:tcW w:w="1828" w:type="dxa"/>
            <w:tcBorders>
              <w:top w:val="single" w:sz="6" w:space="0" w:color="auto"/>
              <w:bottom w:val="single" w:sz="6" w:space="0" w:color="auto"/>
              <w:right w:val="nil"/>
            </w:tcBorders>
          </w:tcPr>
          <w:p w:rsidR="00FD3FF0" w:rsidRDefault="00FD3FF0" w:rsidP="002514EB">
            <w:r>
              <w:t xml:space="preserve">24 – 35 </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5</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8</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2</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12</w:t>
            </w:r>
          </w:p>
        </w:tc>
      </w:tr>
      <w:tr w:rsidR="00FD3FF0" w:rsidTr="002514EB">
        <w:tc>
          <w:tcPr>
            <w:tcW w:w="1828" w:type="dxa"/>
            <w:tcBorders>
              <w:top w:val="single" w:sz="6" w:space="0" w:color="auto"/>
              <w:bottom w:val="single" w:sz="6" w:space="0" w:color="auto"/>
              <w:right w:val="nil"/>
            </w:tcBorders>
          </w:tcPr>
          <w:p w:rsidR="00FD3FF0" w:rsidRDefault="00FD3FF0" w:rsidP="002514EB">
            <w:r>
              <w:t xml:space="preserve">36 – 47 </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5</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9</w:t>
            </w:r>
          </w:p>
        </w:tc>
      </w:tr>
      <w:tr w:rsidR="00FD3FF0" w:rsidTr="002514EB">
        <w:tc>
          <w:tcPr>
            <w:tcW w:w="1828" w:type="dxa"/>
            <w:tcBorders>
              <w:top w:val="single" w:sz="6" w:space="0" w:color="auto"/>
              <w:bottom w:val="single" w:sz="6" w:space="0" w:color="auto"/>
              <w:right w:val="nil"/>
            </w:tcBorders>
          </w:tcPr>
          <w:p w:rsidR="00FD3FF0" w:rsidRDefault="00FD3FF0" w:rsidP="002514EB">
            <w:r>
              <w:t xml:space="preserve">48 – 59 </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0</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7</w:t>
            </w:r>
          </w:p>
        </w:tc>
      </w:tr>
      <w:tr w:rsidR="00FD3FF0" w:rsidTr="002514EB">
        <w:tc>
          <w:tcPr>
            <w:tcW w:w="1828" w:type="dxa"/>
            <w:tcBorders>
              <w:top w:val="single" w:sz="6" w:space="0" w:color="auto"/>
              <w:bottom w:val="single" w:sz="6" w:space="0" w:color="auto"/>
              <w:right w:val="nil"/>
            </w:tcBorders>
          </w:tcPr>
          <w:p w:rsidR="00FD3FF0" w:rsidRDefault="00FD3FF0" w:rsidP="002514EB">
            <w:r>
              <w:t>60 or more</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5</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6</w:t>
            </w:r>
          </w:p>
        </w:tc>
      </w:tr>
      <w:tr w:rsidR="00FD3FF0" w:rsidTr="002514EB">
        <w:tc>
          <w:tcPr>
            <w:tcW w:w="1828" w:type="dxa"/>
            <w:tcBorders>
              <w:top w:val="single" w:sz="12" w:space="0" w:color="auto"/>
              <w:bottom w:val="single" w:sz="12" w:space="0" w:color="auto"/>
              <w:right w:val="nil"/>
            </w:tcBorders>
          </w:tcPr>
          <w:p w:rsidR="00FD3FF0" w:rsidRPr="00D85BF3" w:rsidRDefault="00FD3FF0" w:rsidP="002514EB">
            <w:pPr>
              <w:rPr>
                <w:b/>
              </w:rPr>
            </w:pPr>
            <w:r w:rsidRPr="00D85BF3">
              <w:rPr>
                <w:b/>
              </w:rPr>
              <w:t>Total children</w:t>
            </w:r>
          </w:p>
        </w:tc>
        <w:tc>
          <w:tcPr>
            <w:tcW w:w="1418" w:type="dxa"/>
            <w:tcBorders>
              <w:top w:val="single" w:sz="12" w:space="0" w:color="auto"/>
              <w:left w:val="nil"/>
              <w:bottom w:val="single" w:sz="12" w:space="0" w:color="auto"/>
              <w:right w:val="nil"/>
            </w:tcBorders>
            <w:vAlign w:val="center"/>
          </w:tcPr>
          <w:p w:rsidR="00FD3FF0" w:rsidRDefault="00FD3FF0" w:rsidP="002514EB">
            <w:pPr>
              <w:jc w:val="center"/>
            </w:pPr>
            <w:r>
              <w:t>59</w:t>
            </w:r>
          </w:p>
        </w:tc>
        <w:tc>
          <w:tcPr>
            <w:tcW w:w="1417" w:type="dxa"/>
            <w:tcBorders>
              <w:top w:val="single" w:sz="12" w:space="0" w:color="auto"/>
              <w:left w:val="nil"/>
              <w:bottom w:val="single" w:sz="12" w:space="0" w:color="auto"/>
              <w:right w:val="nil"/>
            </w:tcBorders>
            <w:vAlign w:val="center"/>
          </w:tcPr>
          <w:p w:rsidR="00FD3FF0" w:rsidRDefault="00FD3FF0" w:rsidP="002514EB">
            <w:pPr>
              <w:jc w:val="center"/>
            </w:pPr>
            <w:r>
              <w:t>99</w:t>
            </w:r>
          </w:p>
        </w:tc>
        <w:tc>
          <w:tcPr>
            <w:tcW w:w="1418" w:type="dxa"/>
            <w:tcBorders>
              <w:top w:val="single" w:sz="12" w:space="0" w:color="auto"/>
              <w:left w:val="nil"/>
              <w:bottom w:val="single" w:sz="12" w:space="0" w:color="auto"/>
              <w:right w:val="nil"/>
            </w:tcBorders>
            <w:vAlign w:val="center"/>
          </w:tcPr>
          <w:p w:rsidR="00FD3FF0" w:rsidRDefault="00FD3FF0" w:rsidP="002514EB">
            <w:pPr>
              <w:jc w:val="center"/>
            </w:pPr>
            <w:r>
              <w:t>13</w:t>
            </w:r>
          </w:p>
        </w:tc>
        <w:tc>
          <w:tcPr>
            <w:tcW w:w="1417" w:type="dxa"/>
            <w:tcBorders>
              <w:top w:val="single" w:sz="12" w:space="0" w:color="auto"/>
              <w:left w:val="nil"/>
              <w:bottom w:val="single" w:sz="12" w:space="0" w:color="auto"/>
              <w:right w:val="single" w:sz="12" w:space="0" w:color="auto"/>
            </w:tcBorders>
            <w:vAlign w:val="center"/>
          </w:tcPr>
          <w:p w:rsidR="00FD3FF0" w:rsidRDefault="00FD3FF0" w:rsidP="002514EB">
            <w:pPr>
              <w:jc w:val="center"/>
            </w:pPr>
            <w:r>
              <w:t>50</w:t>
            </w:r>
          </w:p>
        </w:tc>
      </w:tr>
    </w:tbl>
    <w:p w:rsidR="00FD3FF0" w:rsidRDefault="00FD3FF0" w:rsidP="00FD3FF0">
      <w:r>
        <w:t>N=221</w:t>
      </w:r>
    </w:p>
    <w:p w:rsidR="00B21AF5" w:rsidRPr="007179CB" w:rsidRDefault="00E8771C" w:rsidP="00F65F91">
      <w:r w:rsidRPr="007179CB">
        <w:t xml:space="preserve">One of the core changes to permanence legislation within the 2007 </w:t>
      </w:r>
      <w:r w:rsidR="00F763C3" w:rsidRPr="007179CB">
        <w:t xml:space="preserve">Act </w:t>
      </w:r>
      <w:r w:rsidRPr="007179CB">
        <w:t xml:space="preserve">was to allow a wider range of people to adopt. </w:t>
      </w:r>
      <w:r w:rsidR="00AE6364" w:rsidRPr="007179CB">
        <w:t xml:space="preserve">The Act introduced the approval of </w:t>
      </w:r>
      <w:r w:rsidR="00C9124B" w:rsidRPr="007179CB">
        <w:t>i</w:t>
      </w:r>
      <w:r w:rsidRPr="007179CB">
        <w:t>ndividuals or couples living together in an ‘enduring fami</w:t>
      </w:r>
      <w:r w:rsidR="00AE6364" w:rsidRPr="007179CB">
        <w:t>ly relationship’</w:t>
      </w:r>
      <w:r w:rsidRPr="007179CB">
        <w:t xml:space="preserve">. Similarly, </w:t>
      </w:r>
      <w:r w:rsidR="00F65F91" w:rsidRPr="007179CB">
        <w:t>Scottish Government (2010) R</w:t>
      </w:r>
      <w:r w:rsidR="00381B98" w:rsidRPr="007179CB">
        <w:t>egulations dispens</w:t>
      </w:r>
      <w:r w:rsidR="00F65F91" w:rsidRPr="007179CB">
        <w:t>ed with applying categories to types of</w:t>
      </w:r>
      <w:r w:rsidR="00381B98" w:rsidRPr="007179CB">
        <w:t xml:space="preserve"> people with wh</w:t>
      </w:r>
      <w:r w:rsidR="00AE6364" w:rsidRPr="007179CB">
        <w:t xml:space="preserve">om a child could </w:t>
      </w:r>
      <w:r w:rsidR="00381B98" w:rsidRPr="007179CB">
        <w:t xml:space="preserve">be fostered. </w:t>
      </w:r>
      <w:r w:rsidR="005B5B5D" w:rsidRPr="007179CB">
        <w:t>The change meant fostering a</w:t>
      </w:r>
      <w:r w:rsidR="00AE6364" w:rsidRPr="007179CB">
        <w:t>ssessments apply to</w:t>
      </w:r>
      <w:r w:rsidR="00F65F91" w:rsidRPr="007179CB">
        <w:t xml:space="preserve"> any person, regardless of family structure or relationship type. </w:t>
      </w:r>
      <w:r w:rsidR="00B21AF5" w:rsidRPr="007179CB">
        <w:t xml:space="preserve">With a wider group of people being able to apply to foster or adopt, there </w:t>
      </w:r>
      <w:r w:rsidR="00F763C3" w:rsidRPr="007179CB">
        <w:t>could be</w:t>
      </w:r>
      <w:r w:rsidR="00B21AF5" w:rsidRPr="007179CB">
        <w:t xml:space="preserve"> potential for the time taken during the matching process to reduce, due to an increase in availability of carers. </w:t>
      </w:r>
    </w:p>
    <w:p w:rsidR="00B21AF5" w:rsidRPr="007179CB" w:rsidRDefault="00B21AF5" w:rsidP="00F65F91">
      <w:r w:rsidRPr="007179CB">
        <w:t xml:space="preserve">Data from this study though shows that the legislation and </w:t>
      </w:r>
      <w:r w:rsidR="00F763C3" w:rsidRPr="007179CB">
        <w:t xml:space="preserve">Regulations have </w:t>
      </w:r>
      <w:r w:rsidRPr="007179CB">
        <w:t>not impacted timescales for this period</w:t>
      </w:r>
      <w:r w:rsidR="00D06C1C" w:rsidRPr="007179CB">
        <w:t xml:space="preserve"> in the permanence process. Within the adoptions, a greater proportion of children were matched within a year from permanence being decided within the 1978</w:t>
      </w:r>
      <w:r w:rsidR="00AE6364" w:rsidRPr="007179CB">
        <w:t xml:space="preserve"> </w:t>
      </w:r>
      <w:r w:rsidR="00F763C3" w:rsidRPr="007179CB">
        <w:t xml:space="preserve">Act </w:t>
      </w:r>
      <w:r w:rsidR="00AE6364" w:rsidRPr="007179CB">
        <w:t>cohort (53%, n= 31) than within the</w:t>
      </w:r>
      <w:r w:rsidR="00D06C1C" w:rsidRPr="007179CB">
        <w:t xml:space="preserve"> 200</w:t>
      </w:r>
      <w:r w:rsidR="00AE6364" w:rsidRPr="007179CB">
        <w:t xml:space="preserve">7 </w:t>
      </w:r>
      <w:r w:rsidR="00F763C3" w:rsidRPr="007179CB">
        <w:t xml:space="preserve">Act </w:t>
      </w:r>
      <w:r w:rsidR="00AE6364" w:rsidRPr="007179CB">
        <w:t>cohort, 40% (n=40)</w:t>
      </w:r>
      <w:r w:rsidR="00D06C1C" w:rsidRPr="007179CB">
        <w:t xml:space="preserve">. Furthermore, there was greater proportion of children in the 2007 </w:t>
      </w:r>
      <w:r w:rsidR="00F763C3" w:rsidRPr="007179CB">
        <w:t xml:space="preserve">Act </w:t>
      </w:r>
      <w:r w:rsidR="00D06C1C" w:rsidRPr="007179CB">
        <w:t>cohort where this process took at least three years (1</w:t>
      </w:r>
      <w:r w:rsidR="00AE6364" w:rsidRPr="007179CB">
        <w:t>1% vs 3%). Similar experiences we</w:t>
      </w:r>
      <w:r w:rsidR="00D06C1C" w:rsidRPr="007179CB">
        <w:t xml:space="preserve">re shown for children under PROs or </w:t>
      </w:r>
      <w:proofErr w:type="spellStart"/>
      <w:r w:rsidR="00F763C3" w:rsidRPr="007179CB">
        <w:t>POs</w:t>
      </w:r>
      <w:r w:rsidR="00D06C1C" w:rsidRPr="007179CB">
        <w:t>.</w:t>
      </w:r>
      <w:proofErr w:type="spellEnd"/>
      <w:r w:rsidR="00D06C1C" w:rsidRPr="007179CB">
        <w:t xml:space="preserve"> </w:t>
      </w:r>
      <w:r w:rsidR="00EA1FA3" w:rsidRPr="007179CB">
        <w:t xml:space="preserve">Once the permanence decision had been made, children </w:t>
      </w:r>
      <w:r w:rsidR="00F763C3" w:rsidRPr="007179CB">
        <w:t xml:space="preserve">tended to be </w:t>
      </w:r>
      <w:r w:rsidR="00EA1FA3" w:rsidRPr="007179CB">
        <w:t>matched more q</w:t>
      </w:r>
      <w:r w:rsidR="00AE6364" w:rsidRPr="007179CB">
        <w:t xml:space="preserve">uickly under the previous legislation. </w:t>
      </w:r>
    </w:p>
    <w:p w:rsidR="00E843C3" w:rsidRPr="007179CB" w:rsidRDefault="00936C17" w:rsidP="00936C17">
      <w:pPr>
        <w:spacing w:before="240"/>
      </w:pPr>
      <w:r w:rsidRPr="007179CB">
        <w:t xml:space="preserve">It was not possible to compare if </w:t>
      </w:r>
      <w:r w:rsidR="008B30A5" w:rsidRPr="007179CB">
        <w:t xml:space="preserve">a higher rate of </w:t>
      </w:r>
      <w:r w:rsidRPr="007179CB">
        <w:t>disability or additional needs</w:t>
      </w:r>
      <w:r w:rsidR="008B30A5" w:rsidRPr="007179CB">
        <w:t xml:space="preserve"> of the child were a contributing factor</w:t>
      </w:r>
      <w:r w:rsidRPr="007179CB">
        <w:t xml:space="preserve"> in </w:t>
      </w:r>
      <w:r w:rsidR="005870E2" w:rsidRPr="007179CB">
        <w:t xml:space="preserve">delay in </w:t>
      </w:r>
      <w:r w:rsidRPr="007179CB">
        <w:t>the second cohort as this data was not available for the first cohort. Also, t</w:t>
      </w:r>
      <w:r w:rsidR="00E843C3" w:rsidRPr="007179CB">
        <w:t>he high proportions of white British child</w:t>
      </w:r>
      <w:r w:rsidR="00A47FCB" w:rsidRPr="007179CB">
        <w:t>ren in the Scottish context</w:t>
      </w:r>
      <w:r w:rsidR="00E843C3" w:rsidRPr="007179CB">
        <w:t xml:space="preserve"> makes ethnicity to be an unlikely influencing factor</w:t>
      </w:r>
      <w:r w:rsidRPr="007179CB">
        <w:t xml:space="preserve"> like it is in England (Selwyn et al. 2010, Farmer and Dance 2016)</w:t>
      </w:r>
      <w:r w:rsidR="008B30A5" w:rsidRPr="007179CB">
        <w:t xml:space="preserve">. </w:t>
      </w:r>
      <w:r w:rsidR="005870E2" w:rsidRPr="007179CB">
        <w:t xml:space="preserve">Sibling </w:t>
      </w:r>
      <w:r w:rsidR="005870E2" w:rsidRPr="007179CB">
        <w:lastRenderedPageBreak/>
        <w:t>groups can slow down the matching process (Saunders &amp; Selwyn, 2011), so further exploration of the data was made for prevalence. The 1978 cohort had a sibling going through the permanence process at the same time in 47% of cases, and in the 2007 group this was the case for 53% of the child</w:t>
      </w:r>
      <w:r w:rsidR="00E14D4F" w:rsidRPr="007179CB">
        <w:t>ren, so a small increase but only partial possible explanation.</w:t>
      </w:r>
      <w:r w:rsidR="005870E2" w:rsidRPr="007179CB">
        <w:t xml:space="preserve"> </w:t>
      </w:r>
      <w:proofErr w:type="gramStart"/>
      <w:r w:rsidR="005870E2" w:rsidRPr="007179CB">
        <w:t>Of course</w:t>
      </w:r>
      <w:proofErr w:type="gramEnd"/>
      <w:r w:rsidR="005870E2" w:rsidRPr="007179CB">
        <w:t xml:space="preserve"> the availability of adopters and carers is </w:t>
      </w:r>
      <w:r w:rsidR="00E14D4F" w:rsidRPr="007179CB">
        <w:t xml:space="preserve">still part of the equation. </w:t>
      </w:r>
      <w:proofErr w:type="gramStart"/>
      <w:r w:rsidR="00E14D4F" w:rsidRPr="007179CB">
        <w:t>Therefore</w:t>
      </w:r>
      <w:proofErr w:type="gramEnd"/>
      <w:r w:rsidR="005870E2" w:rsidRPr="007179CB">
        <w:t xml:space="preserve"> it may well be like Bell, Wilson and Crawshaw (2002) argue that widening</w:t>
      </w:r>
      <w:r w:rsidR="00E14D4F" w:rsidRPr="007179CB">
        <w:t xml:space="preserve"> the</w:t>
      </w:r>
      <w:r w:rsidR="005870E2" w:rsidRPr="007179CB">
        <w:t xml:space="preserve"> diversity </w:t>
      </w:r>
      <w:r w:rsidR="00E14D4F" w:rsidRPr="007179CB">
        <w:t>of carers through the law is right, but the recruitment and assessment process needs also to develop to fully attract and prepare diverse family units.</w:t>
      </w:r>
    </w:p>
    <w:p w:rsidR="0027756D" w:rsidRPr="007179CB" w:rsidRDefault="00812607" w:rsidP="000B2855">
      <w:r w:rsidRPr="007179CB">
        <w:rPr>
          <w:i/>
        </w:rPr>
        <w:t>Court Processes</w:t>
      </w:r>
    </w:p>
    <w:p w:rsidR="005B5B5D" w:rsidRPr="007179CB" w:rsidRDefault="00040AFC" w:rsidP="000B2855">
      <w:r w:rsidRPr="007179CB">
        <w:t>The involvement of the Sheriff Courts in per</w:t>
      </w:r>
      <w:r w:rsidR="00630903" w:rsidRPr="007179CB">
        <w:t xml:space="preserve">manence proceedings begins when an application for a legal Order is submitted. When a local authority or prospective </w:t>
      </w:r>
      <w:r w:rsidR="0020421A" w:rsidRPr="007179CB">
        <w:t xml:space="preserve">adoptive </w:t>
      </w:r>
      <w:r w:rsidR="00630903" w:rsidRPr="007179CB">
        <w:t>parent submits a</w:t>
      </w:r>
      <w:r w:rsidR="0020421A" w:rsidRPr="007179CB">
        <w:t>n application</w:t>
      </w:r>
      <w:r w:rsidR="00630903" w:rsidRPr="007179CB">
        <w:t xml:space="preserve"> to the court, a report must also be submitted which details the child’s circumstance</w:t>
      </w:r>
      <w:r w:rsidR="00593447" w:rsidRPr="007179CB">
        <w:t>s</w:t>
      </w:r>
      <w:r w:rsidR="00630903" w:rsidRPr="007179CB">
        <w:t xml:space="preserve"> and background</w:t>
      </w:r>
      <w:r w:rsidR="00630903" w:rsidRPr="007179CB">
        <w:rPr>
          <w:rStyle w:val="EndnoteReference"/>
        </w:rPr>
        <w:endnoteReference w:id="1"/>
      </w:r>
      <w:r w:rsidR="00630903" w:rsidRPr="007179CB">
        <w:t xml:space="preserve">. </w:t>
      </w:r>
      <w:r w:rsidR="00307AAE" w:rsidRPr="007179CB">
        <w:t xml:space="preserve">These reports are commonly submitted at the same time as the application, though extensions can be applied for (Henderson et al 2015). Prior to the court hearings being held, the </w:t>
      </w:r>
      <w:r w:rsidR="00E175A3" w:rsidRPr="007179CB">
        <w:t>c</w:t>
      </w:r>
      <w:r w:rsidR="00307AAE" w:rsidRPr="007179CB">
        <w:t xml:space="preserve">ourts also appoint officers of the court </w:t>
      </w:r>
      <w:r w:rsidR="00593447" w:rsidRPr="007179CB">
        <w:t>for</w:t>
      </w:r>
      <w:r w:rsidR="00AA79C5" w:rsidRPr="007179CB">
        <w:t xml:space="preserve"> specific roles. </w:t>
      </w:r>
      <w:proofErr w:type="gramStart"/>
      <w:r w:rsidR="00AA79C5" w:rsidRPr="007179CB">
        <w:t>A curator ad litem</w:t>
      </w:r>
      <w:proofErr w:type="gramEnd"/>
      <w:r w:rsidR="00AA79C5" w:rsidRPr="007179CB">
        <w:t xml:space="preserve"> will</w:t>
      </w:r>
      <w:r w:rsidR="00307AAE" w:rsidRPr="007179CB">
        <w:t xml:space="preserve"> investigate each case and give advice to the court on the ch</w:t>
      </w:r>
      <w:r w:rsidR="00AA79C5" w:rsidRPr="007179CB">
        <w:t>ild and their best interests as well as</w:t>
      </w:r>
      <w:r w:rsidR="00307AAE" w:rsidRPr="007179CB">
        <w:t xml:space="preserve"> </w:t>
      </w:r>
      <w:r w:rsidR="00AA79C5" w:rsidRPr="007179CB">
        <w:t>ascertain the child’s consent towards the Order if they are aged 12 years or more</w:t>
      </w:r>
      <w:r w:rsidR="001642A8" w:rsidRPr="007179CB">
        <w:rPr>
          <w:rStyle w:val="EndnoteReference"/>
        </w:rPr>
        <w:endnoteReference w:id="2"/>
      </w:r>
      <w:r w:rsidR="00AA79C5" w:rsidRPr="007179CB">
        <w:t>. Reporting Officers contact the birth parents and ensure they fully understand the process</w:t>
      </w:r>
      <w:r w:rsidR="008E4B43" w:rsidRPr="007179CB">
        <w:t xml:space="preserve"> and provide a further opportunity to consent to the application</w:t>
      </w:r>
      <w:r w:rsidR="00593447" w:rsidRPr="007179CB">
        <w:t>, should they wish to</w:t>
      </w:r>
      <w:r w:rsidR="00AA79C5" w:rsidRPr="007179CB">
        <w:t xml:space="preserve">. Although these two roles are quite separate </w:t>
      </w:r>
      <w:r w:rsidR="008D64E8" w:rsidRPr="007179CB">
        <w:t>it wa</w:t>
      </w:r>
      <w:r w:rsidR="00AA79C5" w:rsidRPr="007179CB">
        <w:t xml:space="preserve">s common for the same person to do both. </w:t>
      </w:r>
      <w:r w:rsidR="008D64E8" w:rsidRPr="007179CB">
        <w:t xml:space="preserve">These reports commonly took between one and two months to be completed. Once reports had been received by the court then hearings were set. </w:t>
      </w:r>
    </w:p>
    <w:p w:rsidR="00FD3FF0" w:rsidRDefault="00FD3FF0" w:rsidP="00FD3FF0">
      <w:r>
        <w:t>Table 5. Time between application submission and court Order granted</w:t>
      </w:r>
    </w:p>
    <w:tbl>
      <w:tblPr>
        <w:tblStyle w:val="TableGrid"/>
        <w:tblW w:w="749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828"/>
        <w:gridCol w:w="1418"/>
        <w:gridCol w:w="1417"/>
        <w:gridCol w:w="1418"/>
        <w:gridCol w:w="1417"/>
      </w:tblGrid>
      <w:tr w:rsidR="00FD3FF0" w:rsidTr="002514EB">
        <w:tc>
          <w:tcPr>
            <w:tcW w:w="1828" w:type="dxa"/>
            <w:tcBorders>
              <w:top w:val="single" w:sz="12" w:space="0" w:color="auto"/>
              <w:bottom w:val="single" w:sz="6" w:space="0" w:color="auto"/>
              <w:right w:val="nil"/>
            </w:tcBorders>
          </w:tcPr>
          <w:p w:rsidR="00FD3FF0" w:rsidRPr="00735685" w:rsidRDefault="00FD3FF0" w:rsidP="002514EB">
            <w:pPr>
              <w:rPr>
                <w:b/>
              </w:rPr>
            </w:pPr>
            <w:r>
              <w:rPr>
                <w:b/>
              </w:rPr>
              <w:t>Time taken in months</w:t>
            </w:r>
          </w:p>
        </w:tc>
        <w:tc>
          <w:tcPr>
            <w:tcW w:w="2835" w:type="dxa"/>
            <w:gridSpan w:val="2"/>
            <w:tcBorders>
              <w:top w:val="single" w:sz="12" w:space="0" w:color="auto"/>
              <w:left w:val="nil"/>
              <w:bottom w:val="single" w:sz="6" w:space="0" w:color="auto"/>
              <w:right w:val="nil"/>
            </w:tcBorders>
          </w:tcPr>
          <w:p w:rsidR="00FD3FF0" w:rsidRPr="00527F1C" w:rsidRDefault="00FD3FF0" w:rsidP="002514EB">
            <w:pPr>
              <w:jc w:val="center"/>
              <w:rPr>
                <w:b/>
              </w:rPr>
            </w:pPr>
            <w:r w:rsidRPr="00527F1C">
              <w:rPr>
                <w:b/>
              </w:rPr>
              <w:t xml:space="preserve"> Adoption</w:t>
            </w:r>
          </w:p>
          <w:p w:rsidR="00FD3FF0" w:rsidRDefault="00FD3FF0" w:rsidP="002514EB">
            <w:r w:rsidRPr="00527F1C">
              <w:rPr>
                <w:b/>
              </w:rPr>
              <w:t xml:space="preserve">         1978              </w:t>
            </w:r>
            <w:r>
              <w:rPr>
                <w:b/>
              </w:rPr>
              <w:t xml:space="preserve">  </w:t>
            </w:r>
            <w:r w:rsidRPr="00527F1C">
              <w:rPr>
                <w:b/>
              </w:rPr>
              <w:t>2007</w:t>
            </w:r>
          </w:p>
        </w:tc>
        <w:tc>
          <w:tcPr>
            <w:tcW w:w="2835" w:type="dxa"/>
            <w:gridSpan w:val="2"/>
            <w:tcBorders>
              <w:top w:val="single" w:sz="12" w:space="0" w:color="auto"/>
              <w:left w:val="nil"/>
              <w:bottom w:val="single" w:sz="6" w:space="0" w:color="auto"/>
              <w:right w:val="single" w:sz="12" w:space="0" w:color="auto"/>
            </w:tcBorders>
          </w:tcPr>
          <w:p w:rsidR="00FD3FF0" w:rsidRPr="00527F1C" w:rsidRDefault="00FD3FF0" w:rsidP="002514EB">
            <w:pPr>
              <w:jc w:val="center"/>
              <w:rPr>
                <w:b/>
              </w:rPr>
            </w:pPr>
            <w:r w:rsidRPr="00527F1C">
              <w:rPr>
                <w:b/>
              </w:rPr>
              <w:t>Other Permanence           PRO  1978        PO 2007</w:t>
            </w:r>
          </w:p>
        </w:tc>
      </w:tr>
      <w:tr w:rsidR="00FD3FF0" w:rsidTr="002514EB">
        <w:tc>
          <w:tcPr>
            <w:tcW w:w="1828" w:type="dxa"/>
            <w:tcBorders>
              <w:top w:val="single" w:sz="6" w:space="0" w:color="auto"/>
              <w:bottom w:val="single" w:sz="6" w:space="0" w:color="auto"/>
              <w:right w:val="nil"/>
            </w:tcBorders>
          </w:tcPr>
          <w:p w:rsidR="00FD3FF0" w:rsidRDefault="00FD3FF0" w:rsidP="002514EB">
            <w:r>
              <w:t>&lt; 6</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37</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75</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18</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48</w:t>
            </w:r>
          </w:p>
        </w:tc>
      </w:tr>
      <w:tr w:rsidR="00FD3FF0" w:rsidTr="002514EB">
        <w:tc>
          <w:tcPr>
            <w:tcW w:w="1828" w:type="dxa"/>
            <w:tcBorders>
              <w:top w:val="single" w:sz="6" w:space="0" w:color="auto"/>
              <w:bottom w:val="single" w:sz="6" w:space="0" w:color="auto"/>
              <w:right w:val="nil"/>
            </w:tcBorders>
          </w:tcPr>
          <w:p w:rsidR="00FD3FF0" w:rsidRDefault="00FD3FF0" w:rsidP="002514EB">
            <w:r>
              <w:t>6 - 11</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29</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39</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3</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19</w:t>
            </w:r>
          </w:p>
        </w:tc>
      </w:tr>
      <w:tr w:rsidR="00FD3FF0" w:rsidTr="002514EB">
        <w:tc>
          <w:tcPr>
            <w:tcW w:w="1828" w:type="dxa"/>
            <w:tcBorders>
              <w:top w:val="single" w:sz="6" w:space="0" w:color="auto"/>
              <w:bottom w:val="single" w:sz="6" w:space="0" w:color="auto"/>
              <w:right w:val="nil"/>
            </w:tcBorders>
          </w:tcPr>
          <w:p w:rsidR="00FD3FF0" w:rsidRDefault="00FD3FF0" w:rsidP="002514EB">
            <w:r>
              <w:t>12 or more</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13</w:t>
            </w:r>
          </w:p>
        </w:tc>
        <w:tc>
          <w:tcPr>
            <w:tcW w:w="1417" w:type="dxa"/>
            <w:tcBorders>
              <w:top w:val="single" w:sz="6" w:space="0" w:color="auto"/>
              <w:left w:val="nil"/>
              <w:bottom w:val="single" w:sz="6" w:space="0" w:color="auto"/>
              <w:right w:val="nil"/>
            </w:tcBorders>
            <w:vAlign w:val="center"/>
          </w:tcPr>
          <w:p w:rsidR="00FD3FF0" w:rsidRDefault="00FD3FF0" w:rsidP="002514EB">
            <w:pPr>
              <w:jc w:val="center"/>
            </w:pPr>
            <w:r>
              <w:t>7</w:t>
            </w:r>
          </w:p>
        </w:tc>
        <w:tc>
          <w:tcPr>
            <w:tcW w:w="1418" w:type="dxa"/>
            <w:tcBorders>
              <w:top w:val="single" w:sz="6" w:space="0" w:color="auto"/>
              <w:left w:val="nil"/>
              <w:bottom w:val="single" w:sz="6" w:space="0" w:color="auto"/>
              <w:right w:val="nil"/>
            </w:tcBorders>
            <w:vAlign w:val="center"/>
          </w:tcPr>
          <w:p w:rsidR="00FD3FF0" w:rsidRDefault="00FD3FF0" w:rsidP="002514EB">
            <w:pPr>
              <w:jc w:val="center"/>
            </w:pPr>
            <w:r>
              <w:t>0</w:t>
            </w:r>
          </w:p>
        </w:tc>
        <w:tc>
          <w:tcPr>
            <w:tcW w:w="1417" w:type="dxa"/>
            <w:tcBorders>
              <w:top w:val="single" w:sz="6" w:space="0" w:color="auto"/>
              <w:left w:val="nil"/>
              <w:bottom w:val="single" w:sz="6" w:space="0" w:color="auto"/>
              <w:right w:val="single" w:sz="12" w:space="0" w:color="auto"/>
            </w:tcBorders>
            <w:vAlign w:val="center"/>
          </w:tcPr>
          <w:p w:rsidR="00FD3FF0" w:rsidRDefault="00FD3FF0" w:rsidP="002514EB">
            <w:pPr>
              <w:jc w:val="center"/>
            </w:pPr>
            <w:r>
              <w:t>6</w:t>
            </w:r>
          </w:p>
        </w:tc>
      </w:tr>
      <w:tr w:rsidR="00FD3FF0" w:rsidTr="002514EB">
        <w:tc>
          <w:tcPr>
            <w:tcW w:w="1828" w:type="dxa"/>
            <w:tcBorders>
              <w:top w:val="single" w:sz="12" w:space="0" w:color="auto"/>
              <w:bottom w:val="single" w:sz="12" w:space="0" w:color="auto"/>
              <w:right w:val="nil"/>
            </w:tcBorders>
          </w:tcPr>
          <w:p w:rsidR="00FD3FF0" w:rsidRPr="00D85BF3" w:rsidRDefault="00FD3FF0" w:rsidP="002514EB">
            <w:pPr>
              <w:rPr>
                <w:b/>
              </w:rPr>
            </w:pPr>
            <w:r w:rsidRPr="00D85BF3">
              <w:rPr>
                <w:b/>
              </w:rPr>
              <w:t>Total children</w:t>
            </w:r>
          </w:p>
        </w:tc>
        <w:tc>
          <w:tcPr>
            <w:tcW w:w="1418" w:type="dxa"/>
            <w:tcBorders>
              <w:top w:val="single" w:sz="12" w:space="0" w:color="auto"/>
              <w:left w:val="nil"/>
              <w:bottom w:val="single" w:sz="12" w:space="0" w:color="auto"/>
              <w:right w:val="nil"/>
            </w:tcBorders>
            <w:vAlign w:val="center"/>
          </w:tcPr>
          <w:p w:rsidR="00FD3FF0" w:rsidRDefault="00FD3FF0" w:rsidP="002514EB">
            <w:pPr>
              <w:jc w:val="center"/>
            </w:pPr>
            <w:r>
              <w:t>79</w:t>
            </w:r>
          </w:p>
        </w:tc>
        <w:tc>
          <w:tcPr>
            <w:tcW w:w="1417" w:type="dxa"/>
            <w:tcBorders>
              <w:top w:val="single" w:sz="12" w:space="0" w:color="auto"/>
              <w:left w:val="nil"/>
              <w:bottom w:val="single" w:sz="12" w:space="0" w:color="auto"/>
              <w:right w:val="nil"/>
            </w:tcBorders>
            <w:vAlign w:val="center"/>
          </w:tcPr>
          <w:p w:rsidR="00FD3FF0" w:rsidRDefault="00FD3FF0" w:rsidP="002514EB">
            <w:pPr>
              <w:jc w:val="center"/>
            </w:pPr>
            <w:r>
              <w:t>121</w:t>
            </w:r>
          </w:p>
        </w:tc>
        <w:tc>
          <w:tcPr>
            <w:tcW w:w="1418" w:type="dxa"/>
            <w:tcBorders>
              <w:top w:val="single" w:sz="12" w:space="0" w:color="auto"/>
              <w:left w:val="nil"/>
              <w:bottom w:val="single" w:sz="12" w:space="0" w:color="auto"/>
              <w:right w:val="nil"/>
            </w:tcBorders>
            <w:vAlign w:val="center"/>
          </w:tcPr>
          <w:p w:rsidR="00FD3FF0" w:rsidRDefault="00FD3FF0" w:rsidP="002514EB">
            <w:pPr>
              <w:jc w:val="center"/>
            </w:pPr>
            <w:r>
              <w:t>21</w:t>
            </w:r>
          </w:p>
        </w:tc>
        <w:tc>
          <w:tcPr>
            <w:tcW w:w="1417" w:type="dxa"/>
            <w:tcBorders>
              <w:top w:val="single" w:sz="12" w:space="0" w:color="auto"/>
              <w:left w:val="nil"/>
              <w:bottom w:val="single" w:sz="12" w:space="0" w:color="auto"/>
              <w:right w:val="single" w:sz="12" w:space="0" w:color="auto"/>
            </w:tcBorders>
            <w:vAlign w:val="center"/>
          </w:tcPr>
          <w:p w:rsidR="00FD3FF0" w:rsidRDefault="00FD3FF0" w:rsidP="002514EB">
            <w:pPr>
              <w:jc w:val="center"/>
            </w:pPr>
            <w:r>
              <w:t>73</w:t>
            </w:r>
          </w:p>
        </w:tc>
      </w:tr>
    </w:tbl>
    <w:p w:rsidR="00FD3FF0" w:rsidRDefault="00FD3FF0" w:rsidP="00FD3FF0">
      <w:r>
        <w:t>N= 294</w:t>
      </w:r>
    </w:p>
    <w:p w:rsidR="0007195C" w:rsidRPr="007179CB" w:rsidRDefault="0007195C" w:rsidP="000B2855">
      <w:r w:rsidRPr="007179CB">
        <w:t>Table five shows the overall timescale for the court process. Where a Freeing Order or POA was applied for</w:t>
      </w:r>
      <w:r w:rsidR="001E384D" w:rsidRPr="007179CB">
        <w:t>,</w:t>
      </w:r>
      <w:r w:rsidRPr="007179CB">
        <w:t xml:space="preserve"> the timescales for the order to be granted are included within the adoption figures. F</w:t>
      </w:r>
      <w:r w:rsidR="0007078A" w:rsidRPr="007179CB">
        <w:t>o</w:t>
      </w:r>
      <w:r w:rsidRPr="007179CB">
        <w:t>r these children though</w:t>
      </w:r>
      <w:r w:rsidR="0007078A" w:rsidRPr="007179CB">
        <w:t>, a subsequent</w:t>
      </w:r>
      <w:r w:rsidRPr="007179CB">
        <w:t xml:space="preserve"> </w:t>
      </w:r>
      <w:r w:rsidR="0007078A" w:rsidRPr="007179CB">
        <w:t>Adoption Order would still need to be applied for once the local authority was in a position to proceed</w:t>
      </w:r>
      <w:r w:rsidR="00517729" w:rsidRPr="007179CB">
        <w:t>,</w:t>
      </w:r>
      <w:r w:rsidR="001E384D" w:rsidRPr="007179CB">
        <w:t xml:space="preserve"> for a full adoption to take place. </w:t>
      </w:r>
      <w:r w:rsidR="00F763C3" w:rsidRPr="007179CB">
        <w:t>Any d</w:t>
      </w:r>
      <w:r w:rsidR="001E384D" w:rsidRPr="007179CB">
        <w:t>ata on subsequent Adoption Orders</w:t>
      </w:r>
      <w:r w:rsidR="0007078A" w:rsidRPr="007179CB">
        <w:t xml:space="preserve"> have not been included here.</w:t>
      </w:r>
    </w:p>
    <w:p w:rsidR="00FD64F5" w:rsidRPr="007179CB" w:rsidRDefault="0020421A" w:rsidP="000B2855">
      <w:r w:rsidRPr="007179CB">
        <w:t>Our findings</w:t>
      </w:r>
      <w:r w:rsidR="001E384D" w:rsidRPr="007179CB">
        <w:t xml:space="preserve"> that the court processes were </w:t>
      </w:r>
      <w:r w:rsidR="00517729" w:rsidRPr="007179CB">
        <w:t xml:space="preserve">relatively quick to complete in comparison to the processes prior to court. </w:t>
      </w:r>
      <w:r w:rsidR="005D3195" w:rsidRPr="007179CB">
        <w:t>Although t</w:t>
      </w:r>
      <w:r w:rsidR="00FD64F5" w:rsidRPr="007179CB">
        <w:t>he 2007 Act did not make substantial changes t</w:t>
      </w:r>
      <w:r w:rsidR="005D3195" w:rsidRPr="007179CB">
        <w:t>o</w:t>
      </w:r>
      <w:r w:rsidR="00FD64F5" w:rsidRPr="007179CB">
        <w:t xml:space="preserve"> the court process </w:t>
      </w:r>
      <w:r w:rsidR="005D3195" w:rsidRPr="007179CB">
        <w:t>with regard to adoptions, the research shows that this stage of permanence proceedings was progressed more quickly. Out of the 121 children who were adopted or obtained a POA under the 2007 Act, 62% had an Order granted within six months, in comparison to 47% of adoptions and Freeing Orders under the 1978 Act. Of even greater interest however, is the comparison of non-adoptions. Th</w:t>
      </w:r>
      <w:r w:rsidR="000F142A" w:rsidRPr="007179CB">
        <w:t xml:space="preserve">e introduction of the </w:t>
      </w:r>
      <w:r w:rsidR="00F763C3" w:rsidRPr="007179CB">
        <w:t>PO</w:t>
      </w:r>
      <w:r w:rsidR="000F142A" w:rsidRPr="007179CB">
        <w:t xml:space="preserve"> was a key change in legislation. It is specifically designed to be a ‘flexible’ o</w:t>
      </w:r>
      <w:r w:rsidR="00C22660" w:rsidRPr="007179CB">
        <w:t xml:space="preserve">ption for each individual child largely due to the ancillary provisions related to the Order. It is to the court dealing with the case to decide what provisions to give, and to whom, though anyone who is part of the application, such as foster carers can ask for specific provisions for </w:t>
      </w:r>
      <w:r w:rsidR="00C22660" w:rsidRPr="007179CB">
        <w:lastRenderedPageBreak/>
        <w:t>themselves (Plumtree 2011)</w:t>
      </w:r>
      <w:r w:rsidR="005D3195" w:rsidRPr="007179CB">
        <w:t xml:space="preserve">. </w:t>
      </w:r>
      <w:r w:rsidR="00FF517A" w:rsidRPr="007179CB">
        <w:t xml:space="preserve">All decisions made by the court should be for the benefit of the child. </w:t>
      </w:r>
      <w:r w:rsidR="002742EE" w:rsidRPr="007179CB">
        <w:t>Despite the</w:t>
      </w:r>
      <w:r w:rsidR="006722DA" w:rsidRPr="007179CB">
        <w:t xml:space="preserve"> new flexibility of a PO, the research </w:t>
      </w:r>
      <w:r w:rsidR="002742EE" w:rsidRPr="007179CB">
        <w:t xml:space="preserve">here </w:t>
      </w:r>
      <w:r w:rsidR="006722DA" w:rsidRPr="007179CB">
        <w:t>shows that this had not had a particular impact on reducing timescales. PROs under the previous legislation were still progressed the most quickly in court, with 86% completing within six months</w:t>
      </w:r>
      <w:r w:rsidR="002742EE" w:rsidRPr="007179CB">
        <w:t xml:space="preserve">, in comparison to 66% of </w:t>
      </w:r>
      <w:proofErr w:type="spellStart"/>
      <w:r w:rsidR="002742EE" w:rsidRPr="007179CB">
        <w:t>POs</w:t>
      </w:r>
      <w:r w:rsidR="006722DA" w:rsidRPr="007179CB">
        <w:t>.</w:t>
      </w:r>
      <w:proofErr w:type="spellEnd"/>
      <w:r w:rsidR="006722DA" w:rsidRPr="007179CB">
        <w:t xml:space="preserve"> </w:t>
      </w:r>
    </w:p>
    <w:p w:rsidR="00D035B5" w:rsidRPr="007179CB" w:rsidRDefault="002742EE" w:rsidP="00D035B5">
      <w:r w:rsidRPr="007179CB">
        <w:t>Further analysis of</w:t>
      </w:r>
      <w:r w:rsidR="00D035B5" w:rsidRPr="007179CB">
        <w:t xml:space="preserve"> court </w:t>
      </w:r>
      <w:r w:rsidRPr="007179CB">
        <w:t>delays was possible for</w:t>
      </w:r>
      <w:r w:rsidR="00D035B5" w:rsidRPr="007179CB">
        <w:t xml:space="preserve"> the 2007 cohort.</w:t>
      </w:r>
      <w:r w:rsidRPr="007179CB">
        <w:t xml:space="preserve"> This data was collected across adoptions and PO cases. </w:t>
      </w:r>
      <w:r w:rsidR="00D035B5" w:rsidRPr="007179CB">
        <w:t xml:space="preserve"> Reasons </w:t>
      </w:r>
      <w:r w:rsidRPr="007179CB">
        <w:t xml:space="preserve">for delay </w:t>
      </w:r>
      <w:r w:rsidR="00D035B5" w:rsidRPr="007179CB">
        <w:t>were found to be; difficulties in intimating birth parents and/or birth parents failed to attend (44%), birth parents fail to instruct solicitor/and or solicitor consequently withdraws (30%), errors or missing documents in paperwork (25%), need for expert reports (17%) and negotiations with birth families over Order conditions (16%).</w:t>
      </w:r>
      <w:r w:rsidR="00421530" w:rsidRPr="007179CB">
        <w:t xml:space="preserve"> </w:t>
      </w:r>
      <w:proofErr w:type="gramStart"/>
      <w:r w:rsidR="00421530" w:rsidRPr="007179CB">
        <w:t>Therefore</w:t>
      </w:r>
      <w:proofErr w:type="gramEnd"/>
      <w:r w:rsidR="00421530" w:rsidRPr="007179CB">
        <w:t xml:space="preserve"> the biggest impacts on court timescales were not related to the new provisions under the 2007 Act.</w:t>
      </w:r>
    </w:p>
    <w:p w:rsidR="00D035B5" w:rsidRPr="007179CB" w:rsidRDefault="00D035B5" w:rsidP="000B2855"/>
    <w:p w:rsidR="000B2855" w:rsidRPr="007179CB" w:rsidRDefault="000B2855" w:rsidP="000B2855">
      <w:pPr>
        <w:rPr>
          <w:b/>
        </w:rPr>
      </w:pPr>
      <w:r w:rsidRPr="007179CB">
        <w:rPr>
          <w:b/>
        </w:rPr>
        <w:t>Conclusion</w:t>
      </w:r>
    </w:p>
    <w:p w:rsidR="00F55D9A" w:rsidRPr="007179CB" w:rsidRDefault="00AA46FA" w:rsidP="00AA46FA">
      <w:r w:rsidRPr="007179CB">
        <w:t>This paper outlines the main findings from</w:t>
      </w:r>
      <w:r w:rsidR="00421530" w:rsidRPr="007179CB">
        <w:t xml:space="preserve"> </w:t>
      </w:r>
      <w:r w:rsidR="00F763C3" w:rsidRPr="007179CB">
        <w:t>tw</w:t>
      </w:r>
      <w:r w:rsidR="00754618" w:rsidRPr="007179CB">
        <w:t>o</w:t>
      </w:r>
      <w:r w:rsidR="00F763C3" w:rsidRPr="007179CB">
        <w:t xml:space="preserve"> </w:t>
      </w:r>
      <w:r w:rsidR="00F55D9A" w:rsidRPr="007179CB">
        <w:t xml:space="preserve">extensive </w:t>
      </w:r>
      <w:r w:rsidR="00F763C3" w:rsidRPr="007179CB">
        <w:t xml:space="preserve">studies </w:t>
      </w:r>
      <w:r w:rsidR="00F55D9A" w:rsidRPr="007179CB">
        <w:t xml:space="preserve">of </w:t>
      </w:r>
      <w:r w:rsidRPr="007179CB">
        <w:t xml:space="preserve">permanence proceedings in Scotland. </w:t>
      </w:r>
      <w:r w:rsidR="00F55D9A" w:rsidRPr="007179CB">
        <w:t>Two cohorts of children were studied</w:t>
      </w:r>
      <w:r w:rsidR="0096392A" w:rsidRPr="007179CB">
        <w:t>. T</w:t>
      </w:r>
      <w:r w:rsidR="00ED1000" w:rsidRPr="007179CB">
        <w:t>he first cohort proceeded</w:t>
      </w:r>
      <w:r w:rsidRPr="007179CB">
        <w:t xml:space="preserve"> under the Adoption (Scotland) Act 1978 and Children (Scotland) Act 1995 whilst the second fell under the Adoption and Children (Scotland) Act 2007. </w:t>
      </w:r>
      <w:r w:rsidR="00F55D9A" w:rsidRPr="007179CB">
        <w:t xml:space="preserve">Altogether 300 children from across the country were followed from their initial contact with services through to </w:t>
      </w:r>
      <w:r w:rsidR="000D0264" w:rsidRPr="007179CB">
        <w:t xml:space="preserve">a court </w:t>
      </w:r>
      <w:r w:rsidR="00F55D9A" w:rsidRPr="007179CB">
        <w:t xml:space="preserve">Order </w:t>
      </w:r>
      <w:r w:rsidR="00F763C3" w:rsidRPr="007179CB">
        <w:t xml:space="preserve">being </w:t>
      </w:r>
      <w:r w:rsidR="00F55D9A" w:rsidRPr="007179CB">
        <w:t xml:space="preserve">granted.  </w:t>
      </w:r>
    </w:p>
    <w:p w:rsidR="00D465C7" w:rsidRPr="007179CB" w:rsidRDefault="00DB4F88" w:rsidP="00AA46FA">
      <w:r w:rsidRPr="007179CB">
        <w:t>A</w:t>
      </w:r>
      <w:r w:rsidR="003559C5" w:rsidRPr="007179CB">
        <w:t xml:space="preserve">ll four </w:t>
      </w:r>
      <w:proofErr w:type="gramStart"/>
      <w:r w:rsidRPr="007179CB">
        <w:t xml:space="preserve">Governments </w:t>
      </w:r>
      <w:r w:rsidR="003559C5" w:rsidRPr="007179CB">
        <w:t xml:space="preserve"> in</w:t>
      </w:r>
      <w:proofErr w:type="gramEnd"/>
      <w:r w:rsidR="003559C5" w:rsidRPr="007179CB">
        <w:t xml:space="preserve"> the UK </w:t>
      </w:r>
      <w:r w:rsidRPr="007179CB">
        <w:t>have</w:t>
      </w:r>
      <w:r w:rsidR="003559C5" w:rsidRPr="007179CB">
        <w:t xml:space="preserve"> recognised that for children</w:t>
      </w:r>
      <w:r w:rsidR="0020421A" w:rsidRPr="007179CB">
        <w:t>,</w:t>
      </w:r>
      <w:r w:rsidR="003559C5" w:rsidRPr="007179CB">
        <w:t xml:space="preserve"> whose parents present risks such that they cannot be in their care</w:t>
      </w:r>
      <w:r w:rsidR="0020421A" w:rsidRPr="007179CB">
        <w:t>,</w:t>
      </w:r>
      <w:r w:rsidR="003559C5" w:rsidRPr="007179CB">
        <w:t xml:space="preserve"> that</w:t>
      </w:r>
      <w:r w:rsidR="003559C5" w:rsidRPr="007179CB">
        <w:rPr>
          <w:lang w:eastAsia="en-GB"/>
        </w:rPr>
        <w:t xml:space="preserve"> decisions on their permanent care  should be made at the earliest opportunity</w:t>
      </w:r>
      <w:r w:rsidRPr="007179CB">
        <w:rPr>
          <w:lang w:eastAsia="en-GB"/>
        </w:rPr>
        <w:t xml:space="preserve"> and have introduced policies to this end </w:t>
      </w:r>
      <w:r w:rsidR="003559C5" w:rsidRPr="007179CB">
        <w:rPr>
          <w:lang w:eastAsia="en-GB"/>
        </w:rPr>
        <w:t xml:space="preserve"> (Anthony et al., 2016; Department for Education, 2015; McSherry et al., 2010; </w:t>
      </w:r>
      <w:r w:rsidR="003F5149" w:rsidRPr="007179CB">
        <w:t>Scottish Government, 2015</w:t>
      </w:r>
      <w:r w:rsidR="003559C5" w:rsidRPr="007179CB">
        <w:t>)</w:t>
      </w:r>
      <w:r w:rsidR="003559C5" w:rsidRPr="007179CB">
        <w:rPr>
          <w:lang w:eastAsia="en-GB"/>
        </w:rPr>
        <w:t>.</w:t>
      </w:r>
      <w:r w:rsidR="00E175A3" w:rsidRPr="007179CB">
        <w:rPr>
          <w:lang w:eastAsia="en-GB"/>
        </w:rPr>
        <w:t xml:space="preserve"> </w:t>
      </w:r>
      <w:r w:rsidR="00E175A3" w:rsidRPr="007179CB">
        <w:t>I</w:t>
      </w:r>
      <w:r w:rsidR="003559C5" w:rsidRPr="007179CB">
        <w:t>n Scotland t</w:t>
      </w:r>
      <w:r w:rsidR="00AA46FA" w:rsidRPr="007179CB">
        <w:t xml:space="preserve">he 2007 Act was introduced to </w:t>
      </w:r>
      <w:r w:rsidR="00F64F7D" w:rsidRPr="007179CB">
        <w:t xml:space="preserve">provide stability to children living away from their birth parents and introduced new Orders that include routes to adoption but also offered alternative legal stability for </w:t>
      </w:r>
      <w:proofErr w:type="spellStart"/>
      <w:proofErr w:type="gramStart"/>
      <w:r w:rsidR="00F64F7D" w:rsidRPr="007179CB">
        <w:t>non adoptees</w:t>
      </w:r>
      <w:proofErr w:type="spellEnd"/>
      <w:proofErr w:type="gramEnd"/>
      <w:r w:rsidR="00F64F7D" w:rsidRPr="007179CB">
        <w:t xml:space="preserve">. </w:t>
      </w:r>
      <w:r w:rsidR="00217104" w:rsidRPr="007179CB">
        <w:t xml:space="preserve">The research highlights that the </w:t>
      </w:r>
      <w:proofErr w:type="gramStart"/>
      <w:r w:rsidR="00217104" w:rsidRPr="007179CB">
        <w:t>pre court</w:t>
      </w:r>
      <w:proofErr w:type="gramEnd"/>
      <w:r w:rsidR="00217104" w:rsidRPr="007179CB">
        <w:t xml:space="preserve"> stages in the permanence process in Scotland account for the majority of the time spent within </w:t>
      </w:r>
      <w:r w:rsidR="00695169" w:rsidRPr="007179CB">
        <w:t>this</w:t>
      </w:r>
      <w:r w:rsidR="00B64945" w:rsidRPr="007179CB">
        <w:t xml:space="preserve"> </w:t>
      </w:r>
      <w:r w:rsidR="00217104" w:rsidRPr="007179CB">
        <w:t xml:space="preserve">system. This is similar to other </w:t>
      </w:r>
      <w:r w:rsidR="000D0264" w:rsidRPr="007179CB">
        <w:t xml:space="preserve">UK </w:t>
      </w:r>
      <w:r w:rsidR="00217104" w:rsidRPr="007179CB">
        <w:t>jurisdictions (</w:t>
      </w:r>
      <w:proofErr w:type="spellStart"/>
      <w:r w:rsidR="00217104" w:rsidRPr="007179CB">
        <w:t>Ivaldi</w:t>
      </w:r>
      <w:proofErr w:type="spellEnd"/>
      <w:r w:rsidR="00217104" w:rsidRPr="007179CB">
        <w:t xml:space="preserve"> 2000, Kelly and McSherry 2002, Anthony et al 2016). The data gathered on the use of </w:t>
      </w:r>
      <w:r w:rsidR="00B64945" w:rsidRPr="007179CB">
        <w:t>CPOs</w:t>
      </w:r>
      <w:r w:rsidR="00217104" w:rsidRPr="007179CB">
        <w:t xml:space="preserve"> also shows that Local Authorities are assessing these children as at significant levels of risk, and often look to move children to a safe place under emergency arrangements at the beginning of the child protection process. These measures appear to show that children are placed (or kept) away from home quickly but then the </w:t>
      </w:r>
      <w:proofErr w:type="gramStart"/>
      <w:r w:rsidR="00217104" w:rsidRPr="007179CB">
        <w:t>decision making</w:t>
      </w:r>
      <w:proofErr w:type="gramEnd"/>
      <w:r w:rsidR="00217104" w:rsidRPr="007179CB">
        <w:t xml:space="preserve"> processes begin to slow down. This early </w:t>
      </w:r>
      <w:proofErr w:type="gramStart"/>
      <w:r w:rsidR="00217104" w:rsidRPr="007179CB">
        <w:t>decision making</w:t>
      </w:r>
      <w:proofErr w:type="gramEnd"/>
      <w:r w:rsidR="00217104" w:rsidRPr="007179CB">
        <w:t xml:space="preserve"> stage had not been impacted by the change in law as there was little difference across the </w:t>
      </w:r>
      <w:r w:rsidR="00695169" w:rsidRPr="007179CB">
        <w:t xml:space="preserve">1978 Act and 2007 Act </w:t>
      </w:r>
      <w:r w:rsidR="00217104" w:rsidRPr="007179CB">
        <w:t>cohorts.</w:t>
      </w:r>
      <w:r w:rsidR="0041481E" w:rsidRPr="007179CB">
        <w:t xml:space="preserve"> </w:t>
      </w:r>
    </w:p>
    <w:p w:rsidR="00561B59" w:rsidRPr="007179CB" w:rsidRDefault="005D50F8" w:rsidP="00AA46FA">
      <w:r w:rsidRPr="007179CB">
        <w:t xml:space="preserve">The </w:t>
      </w:r>
      <w:r w:rsidR="00561B59" w:rsidRPr="007179CB">
        <w:t>change in l</w:t>
      </w:r>
      <w:r w:rsidR="003C2860" w:rsidRPr="007179CB">
        <w:t>egislation also had</w:t>
      </w:r>
      <w:r w:rsidR="00561B59" w:rsidRPr="007179CB">
        <w:t xml:space="preserve"> no impact on the speed of the matching process. Both adoptions and non</w:t>
      </w:r>
      <w:r w:rsidR="006F48B0" w:rsidRPr="007179CB">
        <w:t>-</w:t>
      </w:r>
      <w:r w:rsidR="00561B59" w:rsidRPr="007179CB">
        <w:t xml:space="preserve">adoptions were matched more quickly under the previous legislation. </w:t>
      </w:r>
      <w:r w:rsidR="005D1CD1" w:rsidRPr="007179CB">
        <w:t xml:space="preserve">The </w:t>
      </w:r>
      <w:r w:rsidR="00B64945" w:rsidRPr="007179CB">
        <w:t xml:space="preserve">2007 </w:t>
      </w:r>
      <w:proofErr w:type="gramStart"/>
      <w:r w:rsidR="005D1CD1" w:rsidRPr="007179CB">
        <w:t>Act  has</w:t>
      </w:r>
      <w:proofErr w:type="gramEnd"/>
      <w:r w:rsidR="005D1CD1" w:rsidRPr="007179CB">
        <w:t xml:space="preserve"> rightly ended the discrimination faced by couples and individuals </w:t>
      </w:r>
      <w:r w:rsidR="00C22B72" w:rsidRPr="007179CB">
        <w:t xml:space="preserve">previously barred from </w:t>
      </w:r>
      <w:r w:rsidR="00B64945" w:rsidRPr="007179CB">
        <w:t xml:space="preserve">adopting </w:t>
      </w:r>
      <w:r w:rsidR="00C22B72" w:rsidRPr="007179CB">
        <w:t>and fostering</w:t>
      </w:r>
      <w:r w:rsidR="00B64945" w:rsidRPr="007179CB">
        <w:t xml:space="preserve"> children</w:t>
      </w:r>
      <w:r w:rsidR="00754618" w:rsidRPr="007179CB">
        <w:t>, and since its implementation 97 same sex couples have adopted (National Records of Scotland, 2016)</w:t>
      </w:r>
      <w:r w:rsidR="00C22B72" w:rsidRPr="007179CB">
        <w:t>.</w:t>
      </w:r>
      <w:r w:rsidR="00695169" w:rsidRPr="007179CB">
        <w:t xml:space="preserve">  However</w:t>
      </w:r>
      <w:r w:rsidR="00C22B72" w:rsidRPr="007179CB">
        <w:t>, the matching pro</w:t>
      </w:r>
      <w:r w:rsidR="003C2860" w:rsidRPr="007179CB">
        <w:t>cess is not simply about an availability of</w:t>
      </w:r>
      <w:r w:rsidR="00C22B72" w:rsidRPr="007179CB">
        <w:t xml:space="preserve"> adults who will offer a permanent home to a child. The needs of the child are paramount and at times complex. Children can also be part of a sibling group and thus time needs to be taken to </w:t>
      </w:r>
      <w:r w:rsidR="004859FE" w:rsidRPr="007179CB">
        <w:t xml:space="preserve">consider whether siblings are placed together or apart. These matters are not accounted for through </w:t>
      </w:r>
      <w:r w:rsidR="003C2860" w:rsidRPr="007179CB">
        <w:t>the</w:t>
      </w:r>
      <w:r w:rsidR="004859FE" w:rsidRPr="007179CB">
        <w:t xml:space="preserve"> change in the law.</w:t>
      </w:r>
      <w:r w:rsidR="00C22B72" w:rsidRPr="007179CB">
        <w:t xml:space="preserve"> </w:t>
      </w:r>
    </w:p>
    <w:p w:rsidR="001F1DFD" w:rsidRPr="007179CB" w:rsidRDefault="003C2860" w:rsidP="00AA46FA">
      <w:r w:rsidRPr="007179CB">
        <w:t>One area of progress</w:t>
      </w:r>
      <w:r w:rsidR="00034C5A" w:rsidRPr="007179CB">
        <w:t xml:space="preserve"> made</w:t>
      </w:r>
      <w:r w:rsidRPr="007179CB">
        <w:t xml:space="preserve"> </w:t>
      </w:r>
      <w:r w:rsidR="00034C5A" w:rsidRPr="007179CB">
        <w:t xml:space="preserve">between the two cohorts was found in </w:t>
      </w:r>
      <w:r w:rsidR="00AE6987" w:rsidRPr="007179CB">
        <w:t>the c</w:t>
      </w:r>
      <w:r w:rsidR="00034C5A" w:rsidRPr="007179CB">
        <w:t>ourt processes</w:t>
      </w:r>
      <w:r w:rsidR="003732DA" w:rsidRPr="007179CB">
        <w:t xml:space="preserve">. </w:t>
      </w:r>
      <w:r w:rsidR="00473DEA" w:rsidRPr="007179CB">
        <w:t>Adoptions under the</w:t>
      </w:r>
      <w:r w:rsidR="00217104" w:rsidRPr="007179CB">
        <w:t xml:space="preserve"> </w:t>
      </w:r>
      <w:r w:rsidR="00473DEA" w:rsidRPr="007179CB">
        <w:t xml:space="preserve">2007 Act </w:t>
      </w:r>
      <w:r w:rsidR="004859FE" w:rsidRPr="007179CB">
        <w:t>did progress</w:t>
      </w:r>
      <w:r w:rsidR="00473DEA" w:rsidRPr="007179CB">
        <w:t xml:space="preserve"> more quickly than </w:t>
      </w:r>
      <w:r w:rsidR="00034C5A" w:rsidRPr="007179CB">
        <w:t xml:space="preserve">those under </w:t>
      </w:r>
      <w:r w:rsidR="00473DEA" w:rsidRPr="007179CB">
        <w:t>the 1978 Act</w:t>
      </w:r>
      <w:r w:rsidR="00034C5A" w:rsidRPr="007179CB">
        <w:t>, but</w:t>
      </w:r>
      <w:r w:rsidR="004859FE" w:rsidRPr="007179CB">
        <w:t>,</w:t>
      </w:r>
      <w:r w:rsidR="00473DEA" w:rsidRPr="007179CB">
        <w:t xml:space="preserve"> the same was not to be found with the </w:t>
      </w:r>
      <w:r w:rsidR="00217104" w:rsidRPr="007179CB">
        <w:t>introduction of P</w:t>
      </w:r>
      <w:r w:rsidR="00D465C7" w:rsidRPr="007179CB">
        <w:t xml:space="preserve">ermanence </w:t>
      </w:r>
      <w:r w:rsidR="00217104" w:rsidRPr="007179CB">
        <w:t>O</w:t>
      </w:r>
      <w:r w:rsidR="00D465C7" w:rsidRPr="007179CB">
        <w:t>rder</w:t>
      </w:r>
      <w:r w:rsidR="00217104" w:rsidRPr="007179CB">
        <w:t>s</w:t>
      </w:r>
      <w:r w:rsidR="00473DEA" w:rsidRPr="007179CB">
        <w:t>.</w:t>
      </w:r>
      <w:r w:rsidR="00034C5A" w:rsidRPr="007179CB">
        <w:t xml:space="preserve"> Deeper analysis of court data determined </w:t>
      </w:r>
      <w:r w:rsidR="00034C5A" w:rsidRPr="007179CB">
        <w:lastRenderedPageBreak/>
        <w:t xml:space="preserve">that matters surrounding the legal rights and representation of birth parents accounted for the majority of the delay at this stage. </w:t>
      </w:r>
    </w:p>
    <w:p w:rsidR="00C1349E" w:rsidRPr="007179CB" w:rsidRDefault="00842306" w:rsidP="00AA46FA">
      <w:r w:rsidRPr="007179CB">
        <w:t xml:space="preserve">Overall, the modernisation of adoption and permanence law has been welcomed in Scotland. This research has shown though that the change in legislation </w:t>
      </w:r>
      <w:r w:rsidR="00E11091" w:rsidRPr="007179CB">
        <w:t xml:space="preserve">in itself </w:t>
      </w:r>
      <w:r w:rsidRPr="007179CB">
        <w:t xml:space="preserve">has not made any significant impact on reducing </w:t>
      </w:r>
      <w:r w:rsidR="00661F73" w:rsidRPr="007179CB">
        <w:t>the time taken to complete the</w:t>
      </w:r>
      <w:r w:rsidRPr="007179CB">
        <w:t xml:space="preserve"> permanence </w:t>
      </w:r>
      <w:r w:rsidR="00661F73" w:rsidRPr="007179CB">
        <w:t xml:space="preserve">process for children. </w:t>
      </w:r>
      <w:r w:rsidR="00017F3C" w:rsidRPr="007179CB">
        <w:t xml:space="preserve">Creating effective development </w:t>
      </w:r>
      <w:r w:rsidR="0052353D" w:rsidRPr="007179CB">
        <w:t xml:space="preserve">requires working with the </w:t>
      </w:r>
      <w:r w:rsidR="00017F3C" w:rsidRPr="007179CB">
        <w:t xml:space="preserve">agencies and local </w:t>
      </w:r>
      <w:r w:rsidR="0052353D" w:rsidRPr="007179CB">
        <w:t xml:space="preserve">authorities to enhance their own practice and </w:t>
      </w:r>
      <w:r w:rsidR="00E21743" w:rsidRPr="007179CB">
        <w:t>decision-making</w:t>
      </w:r>
      <w:r w:rsidR="0052353D" w:rsidRPr="007179CB">
        <w:t xml:space="preserve">, which a change in the law alone cannot achieve. This work has begun in Scotland via the </w:t>
      </w:r>
      <w:r w:rsidR="0052353D" w:rsidRPr="007179CB">
        <w:rPr>
          <w:lang w:val="en"/>
        </w:rPr>
        <w:t xml:space="preserve">Permanence </w:t>
      </w:r>
      <w:proofErr w:type="gramStart"/>
      <w:r w:rsidR="000D0264" w:rsidRPr="007179CB">
        <w:rPr>
          <w:lang w:val="en"/>
        </w:rPr>
        <w:t>A</w:t>
      </w:r>
      <w:r w:rsidR="0052353D" w:rsidRPr="007179CB">
        <w:rPr>
          <w:lang w:val="en"/>
        </w:rPr>
        <w:t>nd</w:t>
      </w:r>
      <w:proofErr w:type="gramEnd"/>
      <w:r w:rsidR="0052353D" w:rsidRPr="007179CB">
        <w:rPr>
          <w:lang w:val="en"/>
        </w:rPr>
        <w:t xml:space="preserve"> Care Excellence</w:t>
      </w:r>
      <w:r w:rsidR="000E0A3E" w:rsidRPr="007179CB">
        <w:rPr>
          <w:lang w:val="en"/>
        </w:rPr>
        <w:t xml:space="preserve"> </w:t>
      </w:r>
      <w:proofErr w:type="spellStart"/>
      <w:r w:rsidR="000E0A3E" w:rsidRPr="007179CB">
        <w:rPr>
          <w:lang w:val="en"/>
        </w:rPr>
        <w:t>programme</w:t>
      </w:r>
      <w:proofErr w:type="spellEnd"/>
      <w:r w:rsidR="000D0264" w:rsidRPr="007179CB">
        <w:rPr>
          <w:lang w:val="en"/>
        </w:rPr>
        <w:t xml:space="preserve"> (PACE)</w:t>
      </w:r>
      <w:r w:rsidR="000E0A3E" w:rsidRPr="007179CB">
        <w:rPr>
          <w:lang w:val="en"/>
        </w:rPr>
        <w:t xml:space="preserve"> (Mitchell and Porter</w:t>
      </w:r>
      <w:r w:rsidR="0052353D" w:rsidRPr="007179CB">
        <w:rPr>
          <w:lang w:val="en"/>
        </w:rPr>
        <w:t xml:space="preserve"> 2016). Aimed at reducing waiting times across the process though a whole systems approach, work is underway to consider issues such as assessment and intervention as well as wider consideration of leadership and culture.</w:t>
      </w:r>
      <w:r w:rsidR="00E11091" w:rsidRPr="007179CB">
        <w:rPr>
          <w:lang w:val="en"/>
        </w:rPr>
        <w:t xml:space="preserve">  There is emerging evidence that th</w:t>
      </w:r>
      <w:r w:rsidR="000D0264" w:rsidRPr="007179CB">
        <w:rPr>
          <w:lang w:val="en"/>
        </w:rPr>
        <w:t xml:space="preserve">e </w:t>
      </w:r>
      <w:proofErr w:type="gramStart"/>
      <w:r w:rsidR="000D0264" w:rsidRPr="007179CB">
        <w:rPr>
          <w:lang w:val="en"/>
        </w:rPr>
        <w:t xml:space="preserve">PACE </w:t>
      </w:r>
      <w:r w:rsidR="00E11091" w:rsidRPr="007179CB">
        <w:rPr>
          <w:lang w:val="en"/>
        </w:rPr>
        <w:t xml:space="preserve"> approach</w:t>
      </w:r>
      <w:proofErr w:type="gramEnd"/>
      <w:r w:rsidR="00E11091" w:rsidRPr="007179CB">
        <w:rPr>
          <w:lang w:val="en"/>
        </w:rPr>
        <w:t xml:space="preserve"> </w:t>
      </w:r>
      <w:r w:rsidR="000D0264" w:rsidRPr="007179CB">
        <w:rPr>
          <w:lang w:val="en"/>
        </w:rPr>
        <w:t>may be</w:t>
      </w:r>
      <w:r w:rsidR="00E11091" w:rsidRPr="007179CB">
        <w:rPr>
          <w:lang w:val="en"/>
        </w:rPr>
        <w:t xml:space="preserve"> </w:t>
      </w:r>
      <w:r w:rsidR="00531D56" w:rsidRPr="007179CB">
        <w:rPr>
          <w:lang w:val="en"/>
        </w:rPr>
        <w:t xml:space="preserve">starting to </w:t>
      </w:r>
      <w:r w:rsidR="00E11091" w:rsidRPr="007179CB">
        <w:rPr>
          <w:lang w:val="en"/>
        </w:rPr>
        <w:t>tak</w:t>
      </w:r>
      <w:r w:rsidR="00531D56" w:rsidRPr="007179CB">
        <w:rPr>
          <w:lang w:val="en"/>
        </w:rPr>
        <w:t>e</w:t>
      </w:r>
      <w:r w:rsidR="00E11091" w:rsidRPr="007179CB">
        <w:rPr>
          <w:lang w:val="en"/>
        </w:rPr>
        <w:t xml:space="preserve"> effect with recent research finding that there has been an increase in </w:t>
      </w:r>
      <w:r w:rsidR="00531D56" w:rsidRPr="007179CB">
        <w:rPr>
          <w:lang w:val="en"/>
        </w:rPr>
        <w:t>number</w:t>
      </w:r>
      <w:r w:rsidR="00E11091" w:rsidRPr="007179CB">
        <w:rPr>
          <w:lang w:val="en"/>
        </w:rPr>
        <w:t xml:space="preserve"> of young children </w:t>
      </w:r>
      <w:r w:rsidR="00590B9C" w:rsidRPr="007179CB">
        <w:rPr>
          <w:lang w:val="en"/>
        </w:rPr>
        <w:t>in Scotland having</w:t>
      </w:r>
      <w:r w:rsidR="00E11091" w:rsidRPr="007179CB">
        <w:rPr>
          <w:lang w:val="en"/>
        </w:rPr>
        <w:t xml:space="preserve"> permanence plans in place before they are three  years old (Woods and Henderson, forthcoming).  </w:t>
      </w:r>
      <w:r w:rsidR="00531D56" w:rsidRPr="007179CB">
        <w:rPr>
          <w:lang w:val="en"/>
        </w:rPr>
        <w:t>Our findings that in Scotland legislative change in itself appears to have had little impact on care and</w:t>
      </w:r>
      <w:r w:rsidR="00156EA2" w:rsidRPr="007179CB">
        <w:rPr>
          <w:lang w:val="en"/>
        </w:rPr>
        <w:t xml:space="preserve"> permanence planning</w:t>
      </w:r>
      <w:r w:rsidR="00531D56" w:rsidRPr="007179CB">
        <w:rPr>
          <w:lang w:val="en"/>
        </w:rPr>
        <w:t xml:space="preserve"> for looked after children have resonance with conclusions of Lord Lamming’s (2009) review of child protection in England that</w:t>
      </w:r>
      <w:r w:rsidR="00705941" w:rsidRPr="007179CB">
        <w:rPr>
          <w:lang w:val="en"/>
        </w:rPr>
        <w:t xml:space="preserve"> although legislation, policies and procedur</w:t>
      </w:r>
      <w:r w:rsidR="00156EA2" w:rsidRPr="007179CB">
        <w:rPr>
          <w:lang w:val="en"/>
        </w:rPr>
        <w:t>es are important and necessary,</w:t>
      </w:r>
      <w:r w:rsidR="00705941" w:rsidRPr="007179CB">
        <w:rPr>
          <w:lang w:val="en"/>
        </w:rPr>
        <w:t xml:space="preserve"> it is the robust and consistent implementation of them by services that effects real change. </w:t>
      </w:r>
    </w:p>
    <w:p w:rsidR="000B2855" w:rsidRPr="007179CB" w:rsidRDefault="000B2855" w:rsidP="000B2855"/>
    <w:p w:rsidR="000B2855" w:rsidRPr="007179CB" w:rsidRDefault="000B2855" w:rsidP="000B2855">
      <w:pPr>
        <w:rPr>
          <w:b/>
        </w:rPr>
      </w:pPr>
      <w:r w:rsidRPr="007179CB">
        <w:rPr>
          <w:b/>
        </w:rPr>
        <w:t>References</w:t>
      </w:r>
    </w:p>
    <w:p w:rsidR="000B2855" w:rsidRPr="007179CB" w:rsidRDefault="000B2855" w:rsidP="000B2855">
      <w:pPr>
        <w:shd w:val="clear" w:color="auto" w:fill="FFFFFF"/>
        <w:spacing w:after="0" w:line="240" w:lineRule="auto"/>
        <w:rPr>
          <w:rFonts w:eastAsia="Times New Roman" w:cs="Arial"/>
          <w:lang w:eastAsia="en-GB"/>
        </w:rPr>
      </w:pPr>
      <w:r w:rsidRPr="007179CB">
        <w:rPr>
          <w:rFonts w:eastAsia="Times New Roman" w:cs="Arial"/>
          <w:lang w:eastAsia="en-GB"/>
        </w:rPr>
        <w:t xml:space="preserve">Adoption Policy Review Group (2005) </w:t>
      </w:r>
      <w:r w:rsidRPr="007179CB">
        <w:rPr>
          <w:rFonts w:eastAsia="Times New Roman" w:cs="Arial"/>
          <w:i/>
          <w:lang w:eastAsia="en-GB"/>
        </w:rPr>
        <w:t>Adoption: Better Choices for our Children</w:t>
      </w:r>
      <w:r w:rsidRPr="007179CB">
        <w:rPr>
          <w:rFonts w:eastAsia="Times New Roman" w:cs="Arial"/>
          <w:lang w:eastAsia="en-GB"/>
        </w:rPr>
        <w:t xml:space="preserve"> (Phase II Report). Scottish Executive</w:t>
      </w:r>
    </w:p>
    <w:p w:rsidR="00C16BDD" w:rsidRPr="007179CB" w:rsidRDefault="00C16BDD" w:rsidP="000B2855">
      <w:pPr>
        <w:shd w:val="clear" w:color="auto" w:fill="FFFFFF"/>
        <w:spacing w:after="0" w:line="240" w:lineRule="auto"/>
        <w:rPr>
          <w:rFonts w:eastAsia="Times New Roman" w:cs="Arial"/>
          <w:lang w:eastAsia="en-GB"/>
        </w:rPr>
      </w:pPr>
    </w:p>
    <w:p w:rsidR="00C16BDD" w:rsidRPr="007179CB" w:rsidRDefault="00C16BDD" w:rsidP="00C16BDD">
      <w:pPr>
        <w:shd w:val="clear" w:color="auto" w:fill="FFFFFF"/>
        <w:spacing w:after="0" w:line="240" w:lineRule="auto"/>
        <w:rPr>
          <w:rFonts w:eastAsia="Times New Roman" w:cs="Arial"/>
          <w:lang w:eastAsia="en-GB"/>
        </w:rPr>
      </w:pPr>
      <w:r w:rsidRPr="007179CB">
        <w:rPr>
          <w:rFonts w:eastAsia="Times New Roman" w:cs="Arial"/>
          <w:lang w:eastAsia="en-GB"/>
        </w:rPr>
        <w:t xml:space="preserve">Anthony, R., </w:t>
      </w:r>
      <w:proofErr w:type="spellStart"/>
      <w:r w:rsidRPr="007179CB">
        <w:rPr>
          <w:rFonts w:eastAsia="Times New Roman" w:cs="Arial"/>
          <w:lang w:eastAsia="en-GB"/>
        </w:rPr>
        <w:t>Meakings</w:t>
      </w:r>
      <w:proofErr w:type="spellEnd"/>
      <w:r w:rsidRPr="007179CB">
        <w:rPr>
          <w:rFonts w:eastAsia="Times New Roman" w:cs="Arial"/>
          <w:lang w:eastAsia="en-GB"/>
        </w:rPr>
        <w:t xml:space="preserve">, S., Doughty, J., Ottaway, H., Holland, S. &amp; Shelton, K.H., (2016) ‘Factors affecting adoption in Wales: Predictors of variation in time between entry to care and adoptive placement’. </w:t>
      </w:r>
      <w:r w:rsidRPr="007179CB">
        <w:rPr>
          <w:rFonts w:eastAsia="Times New Roman" w:cs="Arial"/>
          <w:i/>
          <w:lang w:eastAsia="en-GB"/>
        </w:rPr>
        <w:t>Children and Youth Services Review</w:t>
      </w:r>
      <w:r w:rsidRPr="007179CB">
        <w:rPr>
          <w:rFonts w:eastAsia="Times New Roman" w:cs="Arial"/>
          <w:lang w:eastAsia="en-GB"/>
        </w:rPr>
        <w:t xml:space="preserve">, </w:t>
      </w:r>
      <w:r w:rsidR="002D7742" w:rsidRPr="007179CB">
        <w:rPr>
          <w:rFonts w:eastAsia="Times New Roman" w:cs="Arial"/>
          <w:lang w:eastAsia="en-GB"/>
        </w:rPr>
        <w:t>67:</w:t>
      </w:r>
      <w:r w:rsidRPr="007179CB">
        <w:rPr>
          <w:rFonts w:eastAsia="Times New Roman" w:cs="Arial"/>
          <w:lang w:eastAsia="en-GB"/>
        </w:rPr>
        <w:t>184-190</w:t>
      </w:r>
    </w:p>
    <w:p w:rsidR="000B2855" w:rsidRPr="007179CB" w:rsidRDefault="000B2855" w:rsidP="000B2855">
      <w:pPr>
        <w:shd w:val="clear" w:color="auto" w:fill="FFFFFF"/>
        <w:spacing w:after="0" w:line="240" w:lineRule="auto"/>
        <w:rPr>
          <w:rFonts w:eastAsia="Times New Roman" w:cs="Arial"/>
          <w:lang w:eastAsia="en-GB"/>
        </w:rPr>
      </w:pPr>
    </w:p>
    <w:p w:rsidR="000A6892" w:rsidRPr="007179CB" w:rsidRDefault="000A6892" w:rsidP="000B2855">
      <w:pPr>
        <w:shd w:val="clear" w:color="auto" w:fill="FFFFFF"/>
        <w:spacing w:after="0" w:line="240" w:lineRule="auto"/>
        <w:rPr>
          <w:rFonts w:eastAsia="Times New Roman" w:cs="Arial"/>
          <w:lang w:eastAsia="en-GB"/>
        </w:rPr>
      </w:pPr>
      <w:r w:rsidRPr="007179CB">
        <w:rPr>
          <w:rFonts w:eastAsia="Times New Roman" w:cs="Arial"/>
          <w:lang w:eastAsia="en-GB"/>
        </w:rPr>
        <w:t xml:space="preserve">Beckett, C. and B. </w:t>
      </w:r>
      <w:proofErr w:type="spellStart"/>
      <w:r w:rsidRPr="007179CB">
        <w:rPr>
          <w:rFonts w:eastAsia="Times New Roman" w:cs="Arial"/>
          <w:lang w:eastAsia="en-GB"/>
        </w:rPr>
        <w:t>McKeigue</w:t>
      </w:r>
      <w:proofErr w:type="spellEnd"/>
      <w:r w:rsidRPr="007179CB">
        <w:rPr>
          <w:rFonts w:eastAsia="Times New Roman" w:cs="Arial"/>
          <w:lang w:eastAsia="en-GB"/>
        </w:rPr>
        <w:t xml:space="preserve"> (</w:t>
      </w:r>
      <w:r w:rsidR="00C16BDD" w:rsidRPr="007179CB">
        <w:rPr>
          <w:rFonts w:eastAsia="Times New Roman" w:cs="Arial"/>
          <w:lang w:eastAsia="en-GB"/>
        </w:rPr>
        <w:t>2003)</w:t>
      </w:r>
      <w:r w:rsidRPr="007179CB">
        <w:rPr>
          <w:rFonts w:eastAsia="Times New Roman" w:cs="Arial"/>
          <w:lang w:eastAsia="en-GB"/>
        </w:rPr>
        <w:t xml:space="preserve"> ‘Children in limbo. Case where court decisions have taken two years or more.’ </w:t>
      </w:r>
      <w:r w:rsidR="00534E2C" w:rsidRPr="007179CB">
        <w:rPr>
          <w:rFonts w:eastAsia="Times New Roman" w:cs="Arial"/>
          <w:i/>
          <w:lang w:eastAsia="en-GB"/>
        </w:rPr>
        <w:t>Adoption &amp; Fostering</w:t>
      </w:r>
      <w:r w:rsidR="00534E2C" w:rsidRPr="007179CB">
        <w:rPr>
          <w:rFonts w:eastAsia="Times New Roman" w:cs="Arial"/>
          <w:lang w:eastAsia="en-GB"/>
        </w:rPr>
        <w:t xml:space="preserve"> 27 (3):31-40</w:t>
      </w:r>
    </w:p>
    <w:p w:rsidR="00E14D4F" w:rsidRPr="007179CB" w:rsidRDefault="00E14D4F" w:rsidP="000B2855">
      <w:pPr>
        <w:shd w:val="clear" w:color="auto" w:fill="FFFFFF"/>
        <w:spacing w:after="0" w:line="240" w:lineRule="auto"/>
        <w:rPr>
          <w:rFonts w:eastAsia="Times New Roman" w:cs="Arial"/>
          <w:lang w:eastAsia="en-GB"/>
        </w:rPr>
      </w:pPr>
    </w:p>
    <w:p w:rsidR="00E14D4F" w:rsidRPr="007179CB" w:rsidRDefault="00E14D4F" w:rsidP="000B2855">
      <w:pPr>
        <w:shd w:val="clear" w:color="auto" w:fill="FFFFFF"/>
        <w:spacing w:after="0" w:line="240" w:lineRule="auto"/>
        <w:rPr>
          <w:rFonts w:eastAsia="Times New Roman" w:cs="Arial"/>
          <w:lang w:eastAsia="en-GB"/>
        </w:rPr>
      </w:pPr>
      <w:r w:rsidRPr="007179CB">
        <w:rPr>
          <w:rFonts w:eastAsia="Times New Roman" w:cs="Arial"/>
          <w:lang w:eastAsia="en-GB"/>
        </w:rPr>
        <w:t>Bell, M., Wilson, K. and Crawshaw</w:t>
      </w:r>
      <w:r w:rsidR="002D7742" w:rsidRPr="007179CB">
        <w:rPr>
          <w:rFonts w:eastAsia="Times New Roman" w:cs="Arial"/>
          <w:lang w:eastAsia="en-GB"/>
        </w:rPr>
        <w:t>, M.</w:t>
      </w:r>
      <w:r w:rsidRPr="007179CB">
        <w:rPr>
          <w:rFonts w:eastAsia="Times New Roman" w:cs="Arial"/>
          <w:lang w:eastAsia="en-GB"/>
        </w:rPr>
        <w:t xml:space="preserve"> (2002) ‘</w:t>
      </w:r>
      <w:r w:rsidR="002D7742" w:rsidRPr="007179CB">
        <w:rPr>
          <w:rFonts w:eastAsia="Times New Roman" w:cs="Arial"/>
          <w:lang w:eastAsia="en-GB"/>
        </w:rPr>
        <w:t>Adoption Reform. Managing diversity and delay’. Adoption &amp; Fostering, 26 (3):8-18</w:t>
      </w:r>
    </w:p>
    <w:p w:rsidR="00EB16D4" w:rsidRPr="007179CB" w:rsidRDefault="00EB16D4" w:rsidP="00EB16D4">
      <w:pPr>
        <w:shd w:val="clear" w:color="auto" w:fill="FFFFFF"/>
        <w:spacing w:after="0" w:line="240" w:lineRule="auto"/>
        <w:rPr>
          <w:rFonts w:eastAsia="Times New Roman" w:cs="Arial"/>
          <w:lang w:eastAsia="en-GB"/>
        </w:rPr>
      </w:pPr>
    </w:p>
    <w:p w:rsidR="00EB16D4" w:rsidRPr="007179CB" w:rsidRDefault="00EB16D4" w:rsidP="00EB16D4">
      <w:pPr>
        <w:shd w:val="clear" w:color="auto" w:fill="FFFFFF"/>
        <w:spacing w:after="0" w:line="240" w:lineRule="auto"/>
        <w:rPr>
          <w:rFonts w:eastAsia="Times New Roman" w:cs="Arial"/>
          <w:lang w:eastAsia="en-GB"/>
        </w:rPr>
      </w:pPr>
      <w:proofErr w:type="spellStart"/>
      <w:r w:rsidRPr="007179CB">
        <w:rPr>
          <w:rFonts w:eastAsia="Times New Roman" w:cs="Arial"/>
          <w:lang w:eastAsia="en-GB"/>
        </w:rPr>
        <w:t>Biehal</w:t>
      </w:r>
      <w:proofErr w:type="spellEnd"/>
      <w:r w:rsidRPr="007179CB">
        <w:rPr>
          <w:rFonts w:eastAsia="Times New Roman" w:cs="Arial"/>
          <w:lang w:eastAsia="en-GB"/>
        </w:rPr>
        <w:t xml:space="preserve"> N</w:t>
      </w:r>
      <w:r w:rsidR="00E14D4F" w:rsidRPr="007179CB">
        <w:rPr>
          <w:rFonts w:eastAsia="Times New Roman" w:cs="Arial"/>
          <w:lang w:eastAsia="en-GB"/>
        </w:rPr>
        <w:t>.</w:t>
      </w:r>
      <w:r w:rsidRPr="007179CB">
        <w:rPr>
          <w:rFonts w:eastAsia="Times New Roman" w:cs="Arial"/>
          <w:lang w:eastAsia="en-GB"/>
        </w:rPr>
        <w:t>, Ellison S</w:t>
      </w:r>
      <w:r w:rsidR="00E14D4F" w:rsidRPr="007179CB">
        <w:rPr>
          <w:rFonts w:eastAsia="Times New Roman" w:cs="Arial"/>
          <w:lang w:eastAsia="en-GB"/>
        </w:rPr>
        <w:t>.</w:t>
      </w:r>
      <w:r w:rsidRPr="007179CB">
        <w:rPr>
          <w:rFonts w:eastAsia="Times New Roman" w:cs="Arial"/>
          <w:lang w:eastAsia="en-GB"/>
        </w:rPr>
        <w:t>, Baker, C</w:t>
      </w:r>
      <w:r w:rsidR="00E14D4F" w:rsidRPr="007179CB">
        <w:rPr>
          <w:rFonts w:eastAsia="Times New Roman" w:cs="Arial"/>
          <w:lang w:eastAsia="en-GB"/>
        </w:rPr>
        <w:t>.</w:t>
      </w:r>
      <w:r w:rsidRPr="007179CB">
        <w:rPr>
          <w:rFonts w:eastAsia="Times New Roman" w:cs="Arial"/>
          <w:lang w:eastAsia="en-GB"/>
        </w:rPr>
        <w:t xml:space="preserve"> and Sinclair</w:t>
      </w:r>
      <w:r w:rsidR="00E14D4F" w:rsidRPr="007179CB">
        <w:rPr>
          <w:rFonts w:eastAsia="Times New Roman" w:cs="Arial"/>
          <w:lang w:eastAsia="en-GB"/>
        </w:rPr>
        <w:t>,</w:t>
      </w:r>
      <w:r w:rsidRPr="007179CB">
        <w:rPr>
          <w:rFonts w:eastAsia="Times New Roman" w:cs="Arial"/>
          <w:lang w:eastAsia="en-GB"/>
        </w:rPr>
        <w:t xml:space="preserve"> I (2010) </w:t>
      </w:r>
      <w:r w:rsidRPr="007179CB">
        <w:rPr>
          <w:rFonts w:eastAsia="Times New Roman" w:cs="Arial"/>
          <w:i/>
          <w:lang w:eastAsia="en-GB"/>
        </w:rPr>
        <w:t>Belonging and Permanence: Outcomes in long-term foster care and adoption</w:t>
      </w:r>
      <w:r w:rsidRPr="007179CB">
        <w:rPr>
          <w:rFonts w:eastAsia="Times New Roman" w:cs="Arial"/>
          <w:lang w:eastAsia="en-GB"/>
        </w:rPr>
        <w:t>. London: BAAF</w:t>
      </w:r>
    </w:p>
    <w:p w:rsidR="000B27F4" w:rsidRPr="007179CB" w:rsidRDefault="000B27F4" w:rsidP="00EB16D4">
      <w:pPr>
        <w:shd w:val="clear" w:color="auto" w:fill="FFFFFF"/>
        <w:spacing w:after="0" w:line="240" w:lineRule="auto"/>
        <w:rPr>
          <w:rFonts w:eastAsia="Times New Roman" w:cs="Arial"/>
          <w:lang w:eastAsia="en-GB"/>
        </w:rPr>
      </w:pPr>
    </w:p>
    <w:p w:rsidR="000B27F4" w:rsidRPr="007179CB" w:rsidRDefault="000B27F4" w:rsidP="000B27F4">
      <w:pPr>
        <w:shd w:val="clear" w:color="auto" w:fill="FFFFFF"/>
        <w:spacing w:after="0" w:line="240" w:lineRule="auto"/>
        <w:rPr>
          <w:rFonts w:eastAsia="Times New Roman" w:cs="Arial"/>
          <w:lang w:eastAsia="en-GB"/>
        </w:rPr>
      </w:pPr>
      <w:r w:rsidRPr="007179CB">
        <w:rPr>
          <w:rFonts w:eastAsia="Times New Roman" w:cs="Arial"/>
          <w:lang w:eastAsia="en-GB"/>
        </w:rPr>
        <w:t xml:space="preserve">Brown, R., and Ward, H. (2013). </w:t>
      </w:r>
      <w:r w:rsidRPr="007179CB">
        <w:rPr>
          <w:rFonts w:eastAsia="Times New Roman" w:cs="Arial"/>
          <w:i/>
          <w:lang w:eastAsia="en-GB"/>
        </w:rPr>
        <w:t>Decision-making within a child’s timeframe</w:t>
      </w:r>
      <w:r w:rsidRPr="007179CB">
        <w:rPr>
          <w:rFonts w:eastAsia="Times New Roman" w:cs="Arial"/>
          <w:lang w:eastAsia="en-GB"/>
        </w:rPr>
        <w:t>. London: Department for Education</w:t>
      </w:r>
    </w:p>
    <w:p w:rsidR="007F0200" w:rsidRPr="007179CB" w:rsidRDefault="007F0200" w:rsidP="000B27F4">
      <w:pPr>
        <w:shd w:val="clear" w:color="auto" w:fill="FFFFFF"/>
        <w:spacing w:after="0" w:line="240" w:lineRule="auto"/>
        <w:rPr>
          <w:rFonts w:eastAsia="Times New Roman" w:cs="Arial"/>
          <w:lang w:eastAsia="en-GB"/>
        </w:rPr>
      </w:pPr>
    </w:p>
    <w:p w:rsidR="007F0200" w:rsidRPr="007179CB" w:rsidRDefault="007F0200" w:rsidP="007F0200">
      <w:pPr>
        <w:shd w:val="clear" w:color="auto" w:fill="FFFFFF"/>
        <w:spacing w:after="0" w:line="240" w:lineRule="auto"/>
        <w:rPr>
          <w:rFonts w:eastAsia="Times New Roman" w:cs="Arial"/>
          <w:i/>
          <w:lang w:eastAsia="en-GB"/>
        </w:rPr>
      </w:pPr>
      <w:r w:rsidRPr="007179CB">
        <w:rPr>
          <w:rFonts w:eastAsia="Times New Roman" w:cs="Arial"/>
          <w:lang w:eastAsia="en-GB"/>
        </w:rPr>
        <w:t xml:space="preserve">Department for Education (2012). </w:t>
      </w:r>
      <w:r w:rsidRPr="007179CB">
        <w:rPr>
          <w:rFonts w:eastAsia="Times New Roman" w:cs="Arial"/>
          <w:i/>
          <w:lang w:eastAsia="en-GB"/>
        </w:rPr>
        <w:t>Adoption action plan for tackling delay: Associated re-</w:t>
      </w:r>
    </w:p>
    <w:p w:rsidR="007F0200" w:rsidRPr="007179CB" w:rsidRDefault="007F0200" w:rsidP="007F0200">
      <w:pPr>
        <w:shd w:val="clear" w:color="auto" w:fill="FFFFFF"/>
        <w:spacing w:after="0" w:line="240" w:lineRule="auto"/>
        <w:rPr>
          <w:rFonts w:eastAsia="Times New Roman" w:cs="Arial"/>
          <w:lang w:eastAsia="en-GB"/>
        </w:rPr>
      </w:pPr>
      <w:r w:rsidRPr="007179CB">
        <w:rPr>
          <w:rFonts w:eastAsia="Times New Roman" w:cs="Arial"/>
          <w:i/>
          <w:lang w:eastAsia="en-GB"/>
        </w:rPr>
        <w:t>sources, working groups report on redesigning adoption</w:t>
      </w:r>
      <w:r w:rsidRPr="007179CB">
        <w:rPr>
          <w:rFonts w:eastAsia="Times New Roman" w:cs="Arial"/>
          <w:lang w:eastAsia="en-GB"/>
        </w:rPr>
        <w:t>. London: The Stationery Office.</w:t>
      </w:r>
    </w:p>
    <w:p w:rsidR="00DB4F88" w:rsidRPr="007179CB" w:rsidRDefault="00DB4F88" w:rsidP="00DB4F88">
      <w:pPr>
        <w:pStyle w:val="REF"/>
      </w:pPr>
    </w:p>
    <w:p w:rsidR="00A66A83" w:rsidRPr="007179CB" w:rsidRDefault="00DB4F88" w:rsidP="00641CD0">
      <w:r w:rsidRPr="007179CB">
        <w:t xml:space="preserve">Department for Education (2015) </w:t>
      </w:r>
      <w:r w:rsidRPr="007179CB">
        <w:rPr>
          <w:i/>
        </w:rPr>
        <w:t>The Children Act 1989 guidance and regulations Volume 2: Care planning, placement and case review</w:t>
      </w:r>
      <w:r w:rsidRPr="007179CB">
        <w:t>. London: Department for Education.</w:t>
      </w:r>
    </w:p>
    <w:p w:rsidR="00A66A83" w:rsidRPr="007179CB" w:rsidRDefault="00A66A83" w:rsidP="00A66A83">
      <w:pPr>
        <w:shd w:val="clear" w:color="auto" w:fill="FFFFFF"/>
        <w:spacing w:after="0" w:line="240" w:lineRule="auto"/>
        <w:rPr>
          <w:rFonts w:eastAsia="Times New Roman" w:cs="Arial"/>
          <w:lang w:eastAsia="en-GB"/>
        </w:rPr>
      </w:pPr>
      <w:r w:rsidRPr="007179CB">
        <w:rPr>
          <w:rFonts w:eastAsia="Times New Roman" w:cs="Arial"/>
          <w:lang w:eastAsia="en-GB"/>
        </w:rPr>
        <w:t>Farmer, E., and Dance, C. (2016). ‘Family finding and matching in adoption: What helps to</w:t>
      </w:r>
    </w:p>
    <w:p w:rsidR="00A66A83" w:rsidRPr="007179CB" w:rsidRDefault="00A66A83" w:rsidP="00A66A83">
      <w:pPr>
        <w:shd w:val="clear" w:color="auto" w:fill="FFFFFF"/>
        <w:spacing w:after="0" w:line="240" w:lineRule="auto"/>
        <w:rPr>
          <w:rFonts w:eastAsia="Times New Roman" w:cs="Arial"/>
          <w:lang w:eastAsia="en-GB"/>
        </w:rPr>
      </w:pPr>
      <w:r w:rsidRPr="007179CB">
        <w:rPr>
          <w:rFonts w:eastAsia="Times New Roman" w:cs="Arial"/>
          <w:lang w:eastAsia="en-GB"/>
        </w:rPr>
        <w:t xml:space="preserve">make a good match?’ </w:t>
      </w:r>
      <w:r w:rsidRPr="007179CB">
        <w:rPr>
          <w:rFonts w:eastAsia="Times New Roman" w:cs="Arial"/>
          <w:i/>
          <w:lang w:eastAsia="en-GB"/>
        </w:rPr>
        <w:t>British Journal of Social Work</w:t>
      </w:r>
      <w:r w:rsidRPr="007179CB">
        <w:rPr>
          <w:rFonts w:eastAsia="Times New Roman" w:cs="Arial"/>
          <w:lang w:eastAsia="en-GB"/>
        </w:rPr>
        <w:t xml:space="preserve"> </w:t>
      </w:r>
      <w:r w:rsidR="002D7742" w:rsidRPr="007179CB">
        <w:rPr>
          <w:rFonts w:eastAsia="Times New Roman" w:cs="Arial"/>
          <w:lang w:eastAsia="en-GB"/>
        </w:rPr>
        <w:t>46 (4):</w:t>
      </w:r>
      <w:r w:rsidRPr="007179CB">
        <w:rPr>
          <w:rFonts w:eastAsia="Times New Roman" w:cs="Arial"/>
          <w:lang w:eastAsia="en-GB"/>
        </w:rPr>
        <w:t>974–992</w:t>
      </w:r>
    </w:p>
    <w:p w:rsidR="00A65D40" w:rsidRPr="007179CB" w:rsidRDefault="00A65D40" w:rsidP="007F0200">
      <w:pPr>
        <w:shd w:val="clear" w:color="auto" w:fill="FFFFFF"/>
        <w:spacing w:after="0" w:line="240" w:lineRule="auto"/>
        <w:rPr>
          <w:lang w:val="en"/>
        </w:rPr>
      </w:pPr>
    </w:p>
    <w:p w:rsidR="007F0200" w:rsidRPr="007179CB" w:rsidRDefault="007F0200" w:rsidP="007F0200">
      <w:pPr>
        <w:shd w:val="clear" w:color="auto" w:fill="FFFFFF"/>
        <w:spacing w:after="0" w:line="240" w:lineRule="auto"/>
        <w:rPr>
          <w:rFonts w:eastAsia="Times New Roman" w:cs="Arial"/>
          <w:lang w:eastAsia="en-GB"/>
        </w:rPr>
      </w:pPr>
      <w:r w:rsidRPr="007179CB">
        <w:rPr>
          <w:lang w:val="en"/>
        </w:rPr>
        <w:t xml:space="preserve">Featherstone, B., Gupta, A. and Mills, S. (2018) </w:t>
      </w:r>
      <w:r w:rsidRPr="007179CB">
        <w:rPr>
          <w:i/>
          <w:lang w:val="en"/>
        </w:rPr>
        <w:t>The role of the social worker in adoption – ethics and human rights: An Enquiry</w:t>
      </w:r>
      <w:r w:rsidRPr="007179CB">
        <w:rPr>
          <w:lang w:val="en"/>
        </w:rPr>
        <w:t xml:space="preserve">. Birmingham: BASW </w:t>
      </w:r>
    </w:p>
    <w:p w:rsidR="00534E2C" w:rsidRPr="007179CB" w:rsidRDefault="00534E2C" w:rsidP="000B2855">
      <w:pPr>
        <w:shd w:val="clear" w:color="auto" w:fill="FFFFFF"/>
        <w:spacing w:after="0" w:line="240" w:lineRule="auto"/>
        <w:rPr>
          <w:rFonts w:eastAsia="Times New Roman" w:cs="Arial"/>
          <w:lang w:eastAsia="en-GB"/>
        </w:rPr>
      </w:pPr>
    </w:p>
    <w:p w:rsidR="000B2855" w:rsidRPr="007179CB" w:rsidRDefault="000B2855" w:rsidP="000B2855">
      <w:pPr>
        <w:shd w:val="clear" w:color="auto" w:fill="FFFFFF"/>
        <w:spacing w:after="0" w:line="240" w:lineRule="auto"/>
        <w:rPr>
          <w:rFonts w:eastAsia="Times New Roman" w:cs="Arial"/>
          <w:i/>
          <w:lang w:eastAsia="en-GB"/>
        </w:rPr>
      </w:pPr>
      <w:r w:rsidRPr="007179CB">
        <w:rPr>
          <w:rFonts w:eastAsia="Times New Roman" w:cs="Arial"/>
          <w:lang w:eastAsia="en-GB"/>
        </w:rPr>
        <w:t>Hanson, L. (2011</w:t>
      </w:r>
      <w:r w:rsidR="00C16BDD" w:rsidRPr="007179CB">
        <w:rPr>
          <w:rFonts w:eastAsia="Times New Roman" w:cs="Arial"/>
          <w:lang w:eastAsia="en-GB"/>
        </w:rPr>
        <w:t>)</w:t>
      </w:r>
      <w:r w:rsidRPr="007179CB">
        <w:rPr>
          <w:rFonts w:eastAsia="Times New Roman" w:cs="Arial"/>
          <w:lang w:eastAsia="en-GB"/>
        </w:rPr>
        <w:t xml:space="preserve"> </w:t>
      </w:r>
      <w:r w:rsidRPr="007179CB">
        <w:rPr>
          <w:rFonts w:eastAsia="Times New Roman" w:cs="Arial"/>
          <w:i/>
          <w:lang w:eastAsia="en-GB"/>
        </w:rPr>
        <w:t>Care and Permanence Planning for Looked After Children in</w:t>
      </w:r>
    </w:p>
    <w:p w:rsidR="000B2855" w:rsidRPr="007179CB" w:rsidRDefault="000B2855" w:rsidP="000B2855">
      <w:pPr>
        <w:shd w:val="clear" w:color="auto" w:fill="FFFFFF"/>
        <w:spacing w:after="0" w:line="240" w:lineRule="auto"/>
        <w:rPr>
          <w:rFonts w:eastAsia="Times New Roman" w:cs="Arial"/>
          <w:lang w:eastAsia="en-GB"/>
        </w:rPr>
      </w:pPr>
      <w:r w:rsidRPr="007179CB">
        <w:rPr>
          <w:rFonts w:eastAsia="Times New Roman" w:cs="Arial"/>
          <w:i/>
          <w:lang w:eastAsia="en-GB"/>
        </w:rPr>
        <w:t>Scotland – Supplementary Report Children Assessed at Risk at or Before Birth</w:t>
      </w:r>
      <w:r w:rsidRPr="007179CB">
        <w:rPr>
          <w:rFonts w:eastAsia="Times New Roman" w:cs="Arial"/>
          <w:lang w:eastAsia="en-GB"/>
        </w:rPr>
        <w:t>. Stirling: Scottish Children’s Reporter Administration.</w:t>
      </w:r>
    </w:p>
    <w:p w:rsidR="000B2855" w:rsidRPr="007179CB" w:rsidRDefault="000B2855" w:rsidP="000B2855">
      <w:pPr>
        <w:shd w:val="clear" w:color="auto" w:fill="FFFFFF"/>
        <w:spacing w:after="0" w:line="240" w:lineRule="auto"/>
        <w:rPr>
          <w:rFonts w:eastAsia="Times New Roman" w:cs="Arial"/>
          <w:lang w:eastAsia="en-GB"/>
        </w:rPr>
      </w:pPr>
    </w:p>
    <w:p w:rsidR="000B2855" w:rsidRPr="007179CB" w:rsidRDefault="000B2855" w:rsidP="000B2855">
      <w:pPr>
        <w:shd w:val="clear" w:color="auto" w:fill="FFFFFF"/>
        <w:spacing w:after="0" w:line="240" w:lineRule="auto"/>
        <w:rPr>
          <w:rFonts w:eastAsia="Times New Roman" w:cs="Arial"/>
          <w:lang w:eastAsia="en-GB"/>
        </w:rPr>
      </w:pPr>
      <w:r w:rsidRPr="007179CB">
        <w:rPr>
          <w:rFonts w:eastAsia="Times New Roman" w:cs="Arial"/>
          <w:lang w:eastAsia="en-GB"/>
        </w:rPr>
        <w:t>Henderson, G., Ha</w:t>
      </w:r>
      <w:r w:rsidR="00C16BDD" w:rsidRPr="007179CB">
        <w:rPr>
          <w:rFonts w:eastAsia="Times New Roman" w:cs="Arial"/>
          <w:lang w:eastAsia="en-GB"/>
        </w:rPr>
        <w:t>nson, L. and I Whitehead (2011)</w:t>
      </w:r>
      <w:r w:rsidRPr="007179CB">
        <w:rPr>
          <w:rFonts w:eastAsia="Times New Roman" w:cs="Arial"/>
          <w:lang w:eastAsia="en-GB"/>
        </w:rPr>
        <w:t xml:space="preserve"> </w:t>
      </w:r>
      <w:r w:rsidRPr="007179CB">
        <w:rPr>
          <w:rFonts w:eastAsia="Times New Roman" w:cs="Arial"/>
          <w:i/>
          <w:lang w:eastAsia="en-GB"/>
        </w:rPr>
        <w:t>Care and Permanence Planning for Looked After Children in Scotland</w:t>
      </w:r>
      <w:r w:rsidRPr="007179CB">
        <w:rPr>
          <w:rFonts w:eastAsia="Times New Roman" w:cs="Arial"/>
          <w:lang w:eastAsia="en-GB"/>
        </w:rPr>
        <w:t xml:space="preserve">. </w:t>
      </w:r>
      <w:r w:rsidR="00A65D40" w:rsidRPr="007179CB">
        <w:rPr>
          <w:lang w:eastAsia="en-GB"/>
        </w:rPr>
        <w:t>Stirling: Scottish Children’s Reporter Administration</w:t>
      </w:r>
      <w:r w:rsidR="00A65D40" w:rsidRPr="007179CB" w:rsidDel="00A65D40">
        <w:rPr>
          <w:rFonts w:eastAsia="Times New Roman" w:cs="Arial"/>
          <w:lang w:eastAsia="en-GB"/>
        </w:rPr>
        <w:t xml:space="preserve"> </w:t>
      </w:r>
    </w:p>
    <w:p w:rsidR="000B2855" w:rsidRPr="007179CB" w:rsidRDefault="000B2855" w:rsidP="00A66A83">
      <w:pPr>
        <w:pStyle w:val="NoSpacing"/>
        <w:rPr>
          <w:lang w:eastAsia="en-GB"/>
        </w:rPr>
      </w:pPr>
      <w:r w:rsidRPr="007179CB">
        <w:rPr>
          <w:lang w:eastAsia="en-GB"/>
        </w:rPr>
        <w:t xml:space="preserve">Henderson, G. and Hanson, L. (2012) </w:t>
      </w:r>
      <w:r w:rsidRPr="007179CB">
        <w:rPr>
          <w:i/>
          <w:lang w:eastAsia="en-GB"/>
        </w:rPr>
        <w:t>Children on Supervision Requirements for Five or More Years – Decisions and Outcomes</w:t>
      </w:r>
      <w:r w:rsidRPr="007179CB">
        <w:rPr>
          <w:lang w:eastAsia="en-GB"/>
        </w:rPr>
        <w:t>. Stirling: SCRA Research Report </w:t>
      </w:r>
      <w:r w:rsidRPr="007179CB">
        <w:rPr>
          <w:bdr w:val="none" w:sz="0" w:space="0" w:color="auto" w:frame="1"/>
          <w:lang w:eastAsia="en-GB"/>
        </w:rPr>
        <w:tab/>
      </w:r>
    </w:p>
    <w:p w:rsidR="00A66A83" w:rsidRPr="007179CB" w:rsidRDefault="00A66A83" w:rsidP="00A66A83">
      <w:pPr>
        <w:pStyle w:val="NoSpacing"/>
      </w:pPr>
    </w:p>
    <w:p w:rsidR="000B2855" w:rsidRPr="007179CB" w:rsidRDefault="00534E2C" w:rsidP="00A66A83">
      <w:pPr>
        <w:pStyle w:val="NoSpacing"/>
        <w:rPr>
          <w:lang w:eastAsia="en-GB"/>
        </w:rPr>
      </w:pPr>
      <w:r w:rsidRPr="007179CB">
        <w:t xml:space="preserve">Henderson, G., Hanson, L., </w:t>
      </w:r>
      <w:proofErr w:type="spellStart"/>
      <w:r w:rsidRPr="007179CB">
        <w:t>Kurlus</w:t>
      </w:r>
      <w:proofErr w:type="spellEnd"/>
      <w:r w:rsidRPr="007179CB">
        <w:t xml:space="preserve">, I., Hunt, M </w:t>
      </w:r>
      <w:r w:rsidR="00C16BDD" w:rsidRPr="007179CB">
        <w:t>and Laing, A. (2015)</w:t>
      </w:r>
      <w:r w:rsidRPr="007179CB">
        <w:t xml:space="preserve"> </w:t>
      </w:r>
      <w:r w:rsidRPr="007179CB">
        <w:rPr>
          <w:i/>
        </w:rPr>
        <w:t xml:space="preserve">Permanence Planning </w:t>
      </w:r>
      <w:proofErr w:type="gramStart"/>
      <w:r w:rsidRPr="007179CB">
        <w:rPr>
          <w:i/>
        </w:rPr>
        <w:t>And</w:t>
      </w:r>
      <w:proofErr w:type="gramEnd"/>
      <w:r w:rsidRPr="007179CB">
        <w:rPr>
          <w:i/>
        </w:rPr>
        <w:t xml:space="preserve"> Decision Making For Looked After Children In Scotland: Adoption And Children (Scotland) Act 2007</w:t>
      </w:r>
      <w:r w:rsidRPr="007179CB">
        <w:t xml:space="preserve">. </w:t>
      </w:r>
      <w:r w:rsidR="00A65D40" w:rsidRPr="007179CB">
        <w:rPr>
          <w:lang w:eastAsia="en-GB"/>
        </w:rPr>
        <w:t>Edinburgh: Scottish Government</w:t>
      </w:r>
      <w:r w:rsidRPr="007179CB">
        <w:rPr>
          <w:lang w:eastAsia="en-GB"/>
        </w:rPr>
        <w:t>.</w:t>
      </w:r>
    </w:p>
    <w:p w:rsidR="00A66A83" w:rsidRPr="007179CB" w:rsidRDefault="00A66A83" w:rsidP="00A66A83">
      <w:pPr>
        <w:pStyle w:val="NoSpacing"/>
        <w:rPr>
          <w:lang w:eastAsia="en-GB"/>
        </w:rPr>
      </w:pPr>
    </w:p>
    <w:p w:rsidR="007F0200" w:rsidRPr="007179CB" w:rsidRDefault="00A66A83" w:rsidP="007F0200">
      <w:pPr>
        <w:pStyle w:val="NoSpacing"/>
        <w:rPr>
          <w:i/>
          <w:lang w:val="en" w:eastAsia="en-GB"/>
        </w:rPr>
      </w:pPr>
      <w:r w:rsidRPr="007179CB">
        <w:rPr>
          <w:lang w:eastAsia="en-GB"/>
        </w:rPr>
        <w:t>Henderson, G., Jones, C. and Woods, R. (</w:t>
      </w:r>
      <w:r w:rsidR="007F0200" w:rsidRPr="007179CB">
        <w:rPr>
          <w:lang w:eastAsia="en-GB"/>
        </w:rPr>
        <w:t>2017</w:t>
      </w:r>
      <w:r w:rsidRPr="007179CB">
        <w:rPr>
          <w:lang w:eastAsia="en-GB"/>
        </w:rPr>
        <w:t xml:space="preserve"> ) </w:t>
      </w:r>
      <w:r w:rsidR="007F0200" w:rsidRPr="007179CB">
        <w:rPr>
          <w:lang w:eastAsia="en-GB"/>
        </w:rPr>
        <w:t>‘</w:t>
      </w:r>
      <w:r w:rsidRPr="007179CB">
        <w:rPr>
          <w:lang w:val="en" w:eastAsia="en-GB"/>
        </w:rPr>
        <w:t>Sibling birth order, use of statutory measures and patterns of placement for children in public care: Implications for international child protection systems and research’</w:t>
      </w:r>
      <w:r w:rsidR="007F0200" w:rsidRPr="007179CB">
        <w:rPr>
          <w:lang w:val="en" w:eastAsia="en-GB"/>
        </w:rPr>
        <w:t xml:space="preserve"> </w:t>
      </w:r>
      <w:hyperlink r:id="rId7" w:tooltip="Go to Children and Youth Services Review on ScienceDirect" w:history="1">
        <w:r w:rsidR="007F0200" w:rsidRPr="007179CB">
          <w:rPr>
            <w:i/>
            <w:lang w:val="en" w:eastAsia="en-GB"/>
          </w:rPr>
          <w:t>Children and Youth Services Review</w:t>
        </w:r>
      </w:hyperlink>
      <w:r w:rsidR="007F0200" w:rsidRPr="007179CB">
        <w:rPr>
          <w:i/>
          <w:lang w:val="en" w:eastAsia="en-GB"/>
        </w:rPr>
        <w:t xml:space="preserve">, </w:t>
      </w:r>
      <w:hyperlink r:id="rId8" w:tooltip="Go to table of contents for this volume/issue" w:history="1">
        <w:r w:rsidR="007F0200" w:rsidRPr="007179CB">
          <w:rPr>
            <w:rStyle w:val="Hyperlink"/>
            <w:color w:val="auto"/>
            <w:u w:val="none"/>
          </w:rPr>
          <w:t>Vol 82</w:t>
        </w:r>
      </w:hyperlink>
      <w:r w:rsidR="007F0200" w:rsidRPr="007179CB">
        <w:t xml:space="preserve">, pp.321-328 </w:t>
      </w:r>
      <w:hyperlink r:id="rId9" w:tgtFrame="_blank" w:tooltip="Persistent link using digital object identifier" w:history="1">
        <w:r w:rsidR="007F0200" w:rsidRPr="007179CB">
          <w:rPr>
            <w:rStyle w:val="Hyperlink"/>
            <w:color w:val="auto"/>
            <w:sz w:val="20"/>
            <w:szCs w:val="20"/>
            <w:lang w:val="en"/>
          </w:rPr>
          <w:t>https://doi.org/10.1016/j.childyouth.2017.10.001</w:t>
        </w:r>
      </w:hyperlink>
    </w:p>
    <w:p w:rsidR="00A66A83" w:rsidRPr="007179CB" w:rsidRDefault="00A66A83" w:rsidP="00A66A83">
      <w:pPr>
        <w:pStyle w:val="NoSpacing"/>
        <w:rPr>
          <w:lang w:eastAsia="en-GB"/>
        </w:rPr>
      </w:pPr>
    </w:p>
    <w:p w:rsidR="00462AF7" w:rsidRPr="007179CB" w:rsidRDefault="00462AF7" w:rsidP="000B2855">
      <w:pPr>
        <w:rPr>
          <w:rFonts w:eastAsia="Times New Roman" w:cs="Arial"/>
          <w:lang w:eastAsia="en-GB"/>
        </w:rPr>
      </w:pPr>
      <w:proofErr w:type="spellStart"/>
      <w:r w:rsidRPr="007179CB">
        <w:rPr>
          <w:rFonts w:eastAsia="Times New Roman" w:cs="Arial"/>
          <w:lang w:eastAsia="en-GB"/>
        </w:rPr>
        <w:t>Ivaldi</w:t>
      </w:r>
      <w:proofErr w:type="spellEnd"/>
      <w:r w:rsidRPr="007179CB">
        <w:rPr>
          <w:rFonts w:eastAsia="Times New Roman" w:cs="Arial"/>
          <w:lang w:eastAsia="en-GB"/>
        </w:rPr>
        <w:t>, G.</w:t>
      </w:r>
      <w:r w:rsidR="00C16BDD" w:rsidRPr="007179CB">
        <w:rPr>
          <w:rFonts w:eastAsia="Times New Roman" w:cs="Arial"/>
          <w:lang w:eastAsia="en-GB"/>
        </w:rPr>
        <w:t xml:space="preserve"> (2000</w:t>
      </w:r>
      <w:r w:rsidR="00C16BDD" w:rsidRPr="007179CB">
        <w:rPr>
          <w:rFonts w:eastAsia="Times New Roman" w:cs="Arial"/>
          <w:i/>
          <w:lang w:eastAsia="en-GB"/>
        </w:rPr>
        <w:t>) Surveying Adoption: A C</w:t>
      </w:r>
      <w:r w:rsidRPr="007179CB">
        <w:rPr>
          <w:rFonts w:eastAsia="Times New Roman" w:cs="Arial"/>
          <w:i/>
          <w:lang w:eastAsia="en-GB"/>
        </w:rPr>
        <w:t xml:space="preserve">omprehensive </w:t>
      </w:r>
      <w:r w:rsidR="00C16BDD" w:rsidRPr="007179CB">
        <w:rPr>
          <w:rFonts w:eastAsia="Times New Roman" w:cs="Arial"/>
          <w:i/>
          <w:lang w:eastAsia="en-GB"/>
        </w:rPr>
        <w:t>Analysis of Local Authority Adoptions 1998-99 (England)</w:t>
      </w:r>
      <w:r w:rsidR="00C16BDD" w:rsidRPr="007179CB">
        <w:rPr>
          <w:rFonts w:eastAsia="Times New Roman" w:cs="Arial"/>
          <w:lang w:eastAsia="en-GB"/>
        </w:rPr>
        <w:t xml:space="preserve">. British Agencies for Adoption and Fostering, London. </w:t>
      </w:r>
    </w:p>
    <w:p w:rsidR="004C214C" w:rsidRPr="007179CB" w:rsidRDefault="004C214C" w:rsidP="004C214C">
      <w:pPr>
        <w:rPr>
          <w:rFonts w:cs="Arial"/>
          <w:lang w:val="en"/>
        </w:rPr>
      </w:pPr>
      <w:r w:rsidRPr="007179CB">
        <w:rPr>
          <w:rStyle w:val="Strong"/>
          <w:rFonts w:cs="Arial"/>
          <w:b w:val="0"/>
          <w:lang w:val="en"/>
        </w:rPr>
        <w:t>Kelly</w:t>
      </w:r>
      <w:r w:rsidRPr="007179CB">
        <w:rPr>
          <w:rFonts w:cs="Arial"/>
          <w:lang w:val="en"/>
        </w:rPr>
        <w:t>, G. and</w:t>
      </w:r>
      <w:r w:rsidRPr="007179CB">
        <w:rPr>
          <w:rFonts w:cs="Arial"/>
          <w:b/>
          <w:lang w:val="en"/>
        </w:rPr>
        <w:t xml:space="preserve"> </w:t>
      </w:r>
      <w:r w:rsidRPr="007179CB">
        <w:rPr>
          <w:rStyle w:val="Strong"/>
          <w:rFonts w:cs="Arial"/>
          <w:b w:val="0"/>
          <w:lang w:val="en"/>
        </w:rPr>
        <w:t>McSherry</w:t>
      </w:r>
      <w:r w:rsidRPr="007179CB">
        <w:rPr>
          <w:rFonts w:cs="Arial"/>
          <w:lang w:val="en"/>
        </w:rPr>
        <w:t>, D. (</w:t>
      </w:r>
      <w:r w:rsidRPr="007179CB">
        <w:rPr>
          <w:rStyle w:val="Strong"/>
          <w:rFonts w:cs="Arial"/>
          <w:b w:val="0"/>
          <w:lang w:val="en"/>
        </w:rPr>
        <w:t>2002</w:t>
      </w:r>
      <w:r w:rsidRPr="007179CB">
        <w:rPr>
          <w:rFonts w:cs="Arial"/>
          <w:lang w:val="en"/>
        </w:rPr>
        <w:t xml:space="preserve">) ‘Adoption from care in Northern </w:t>
      </w:r>
      <w:r w:rsidRPr="007179CB">
        <w:rPr>
          <w:rStyle w:val="Strong"/>
          <w:rFonts w:cs="Arial"/>
          <w:b w:val="0"/>
          <w:lang w:val="en"/>
        </w:rPr>
        <w:t>Ireland</w:t>
      </w:r>
      <w:r w:rsidRPr="007179CB">
        <w:rPr>
          <w:rStyle w:val="Strong"/>
          <w:rFonts w:cs="Arial"/>
          <w:lang w:val="en"/>
        </w:rPr>
        <w:t>:</w:t>
      </w:r>
      <w:r w:rsidRPr="007179CB">
        <w:rPr>
          <w:rFonts w:cs="Arial"/>
          <w:lang w:val="en"/>
        </w:rPr>
        <w:t xml:space="preserve"> problems in the process’. </w:t>
      </w:r>
      <w:r w:rsidRPr="007179CB">
        <w:rPr>
          <w:rFonts w:cs="Arial"/>
          <w:i/>
          <w:lang w:val="en"/>
        </w:rPr>
        <w:t>Child &amp; Family Social Work</w:t>
      </w:r>
      <w:r w:rsidR="002D7742" w:rsidRPr="007179CB">
        <w:rPr>
          <w:rFonts w:cs="Arial"/>
          <w:lang w:val="en"/>
        </w:rPr>
        <w:t>, 7:</w:t>
      </w:r>
      <w:r w:rsidRPr="007179CB">
        <w:rPr>
          <w:rFonts w:cs="Arial"/>
          <w:lang w:val="en"/>
        </w:rPr>
        <w:t>297–309</w:t>
      </w:r>
    </w:p>
    <w:p w:rsidR="000B2855" w:rsidRPr="007179CB" w:rsidRDefault="000B2855" w:rsidP="000B2855">
      <w:r w:rsidRPr="007179CB">
        <w:t xml:space="preserve">Maclean, K. and Hudson, B. (2010) </w:t>
      </w:r>
      <w:r w:rsidR="00B234AB" w:rsidRPr="007179CB">
        <w:t>‘</w:t>
      </w:r>
      <w:r w:rsidRPr="007179CB">
        <w:t>Fostering and Adoption in Scotland 1980-2010</w:t>
      </w:r>
      <w:r w:rsidR="00B234AB" w:rsidRPr="007179CB">
        <w:t>’</w:t>
      </w:r>
      <w:r w:rsidRPr="007179CB">
        <w:t xml:space="preserve">. </w:t>
      </w:r>
      <w:r w:rsidRPr="007179CB">
        <w:rPr>
          <w:i/>
        </w:rPr>
        <w:t>Adoption &amp; Fostering</w:t>
      </w:r>
      <w:r w:rsidRPr="007179CB">
        <w:t xml:space="preserve"> 34(3):21-25</w:t>
      </w:r>
    </w:p>
    <w:p w:rsidR="004B5DC7" w:rsidRPr="007179CB" w:rsidRDefault="004B5DC7" w:rsidP="004B5DC7">
      <w:proofErr w:type="spellStart"/>
      <w:r w:rsidRPr="007179CB">
        <w:t>McKeigue</w:t>
      </w:r>
      <w:proofErr w:type="spellEnd"/>
      <w:r w:rsidRPr="007179CB">
        <w:t xml:space="preserve">, B. and Beckett, C. (2010) ‘Squeezing the Toothpaste Tube: Will Tackling Court Delay Result in Pre-Court Delay in its Place?’ </w:t>
      </w:r>
      <w:r w:rsidRPr="007179CB">
        <w:rPr>
          <w:i/>
        </w:rPr>
        <w:t>The British Journal of Social Work</w:t>
      </w:r>
      <w:r w:rsidR="002D7742" w:rsidRPr="007179CB">
        <w:t>, Vol 40, (1):</w:t>
      </w:r>
      <w:r w:rsidRPr="007179CB">
        <w:t>154–169</w:t>
      </w:r>
    </w:p>
    <w:p w:rsidR="00DB4F88" w:rsidRPr="007179CB" w:rsidRDefault="00DB4F88" w:rsidP="00E175A3">
      <w:pPr>
        <w:rPr>
          <w:lang w:eastAsia="en-GB"/>
        </w:rPr>
      </w:pPr>
      <w:r w:rsidRPr="007179CB">
        <w:rPr>
          <w:lang w:eastAsia="en-GB"/>
        </w:rPr>
        <w:t xml:space="preserve">McSherry D, Weatherall K, Larkin E, </w:t>
      </w:r>
      <w:proofErr w:type="spellStart"/>
      <w:r w:rsidRPr="007179CB">
        <w:rPr>
          <w:lang w:eastAsia="en-GB"/>
        </w:rPr>
        <w:t>Fargas</w:t>
      </w:r>
      <w:proofErr w:type="spellEnd"/>
      <w:r w:rsidRPr="007179CB">
        <w:rPr>
          <w:lang w:eastAsia="en-GB"/>
        </w:rPr>
        <w:t xml:space="preserve"> </w:t>
      </w:r>
      <w:proofErr w:type="spellStart"/>
      <w:r w:rsidRPr="007179CB">
        <w:rPr>
          <w:lang w:eastAsia="en-GB"/>
        </w:rPr>
        <w:t>Malet</w:t>
      </w:r>
      <w:proofErr w:type="spellEnd"/>
      <w:r w:rsidRPr="007179CB">
        <w:rPr>
          <w:lang w:eastAsia="en-GB"/>
        </w:rPr>
        <w:t xml:space="preserve"> M, and Kelly G (2010) Who goes where? Young children's pathways through care in Northern Ireland. </w:t>
      </w:r>
      <w:r w:rsidRPr="007179CB">
        <w:rPr>
          <w:i/>
          <w:lang w:eastAsia="en-GB"/>
        </w:rPr>
        <w:t>Adoption and Fostering</w:t>
      </w:r>
      <w:r w:rsidR="002D7742" w:rsidRPr="007179CB">
        <w:rPr>
          <w:lang w:eastAsia="en-GB"/>
        </w:rPr>
        <w:t xml:space="preserve"> 34 (2):</w:t>
      </w:r>
      <w:r w:rsidRPr="007179CB">
        <w:rPr>
          <w:lang w:eastAsia="en-GB"/>
        </w:rPr>
        <w:t>23–37.</w:t>
      </w:r>
    </w:p>
    <w:p w:rsidR="00EB16D4" w:rsidRPr="007179CB" w:rsidRDefault="00EB16D4" w:rsidP="00C55427">
      <w:pPr>
        <w:pStyle w:val="NoSpacing"/>
        <w:rPr>
          <w:rFonts w:cs="Arial"/>
          <w:lang w:val="en"/>
        </w:rPr>
      </w:pPr>
      <w:r w:rsidRPr="007179CB">
        <w:rPr>
          <w:lang w:val="en"/>
        </w:rPr>
        <w:t>McSherry</w:t>
      </w:r>
      <w:r w:rsidRPr="007179CB">
        <w:rPr>
          <w:rFonts w:cs="Arial"/>
          <w:lang w:val="en"/>
        </w:rPr>
        <w:t xml:space="preserve">, D., </w:t>
      </w:r>
      <w:proofErr w:type="spellStart"/>
      <w:r w:rsidRPr="007179CB">
        <w:rPr>
          <w:rFonts w:cs="Arial"/>
          <w:lang w:val="en"/>
        </w:rPr>
        <w:t>Fargas</w:t>
      </w:r>
      <w:proofErr w:type="spellEnd"/>
      <w:r w:rsidRPr="007179CB">
        <w:rPr>
          <w:rFonts w:cs="Arial"/>
          <w:lang w:val="en"/>
        </w:rPr>
        <w:t>. M. and Weatherall, K. (</w:t>
      </w:r>
      <w:r w:rsidRPr="007179CB">
        <w:rPr>
          <w:lang w:val="en"/>
        </w:rPr>
        <w:t>2016)</w:t>
      </w:r>
      <w:r w:rsidR="00C55427" w:rsidRPr="007179CB">
        <w:rPr>
          <w:lang w:val="en"/>
        </w:rPr>
        <w:t xml:space="preserve"> Comparing Long-Term Placements for Young Children </w:t>
      </w:r>
      <w:r w:rsidR="005649EE" w:rsidRPr="007179CB">
        <w:rPr>
          <w:lang w:val="en"/>
        </w:rPr>
        <w:t>in</w:t>
      </w:r>
      <w:r w:rsidR="00C55427" w:rsidRPr="007179CB">
        <w:rPr>
          <w:lang w:val="en"/>
        </w:rPr>
        <w:t xml:space="preserve"> Care: Does Type </w:t>
      </w:r>
      <w:r w:rsidR="005649EE" w:rsidRPr="007179CB">
        <w:rPr>
          <w:lang w:val="en"/>
        </w:rPr>
        <w:t>of</w:t>
      </w:r>
      <w:r w:rsidR="00C55427" w:rsidRPr="007179CB">
        <w:rPr>
          <w:lang w:val="en"/>
        </w:rPr>
        <w:t xml:space="preserve"> Placement Really Matter?</w:t>
      </w:r>
      <w:r w:rsidR="00C55427" w:rsidRPr="007179CB">
        <w:rPr>
          <w:rFonts w:cs="Arial"/>
          <w:lang w:val="en"/>
        </w:rPr>
        <w:t xml:space="preserve"> In </w:t>
      </w:r>
      <w:r w:rsidRPr="007179CB">
        <w:rPr>
          <w:rFonts w:cs="Arial"/>
          <w:i/>
          <w:lang w:val="en"/>
        </w:rPr>
        <w:t>Chi</w:t>
      </w:r>
      <w:r w:rsidR="00C55427" w:rsidRPr="007179CB">
        <w:rPr>
          <w:rFonts w:cs="Arial"/>
          <w:i/>
          <w:lang w:val="en"/>
        </w:rPr>
        <w:t>ldren and Youth Services Review</w:t>
      </w:r>
      <w:r w:rsidR="00C55427" w:rsidRPr="007179CB">
        <w:rPr>
          <w:rFonts w:cs="Arial"/>
          <w:lang w:val="en"/>
        </w:rPr>
        <w:t>,</w:t>
      </w:r>
      <w:r w:rsidRPr="007179CB">
        <w:rPr>
          <w:rFonts w:cs="Arial"/>
          <w:lang w:val="en"/>
        </w:rPr>
        <w:t xml:space="preserve"> 69, p.56-66 </w:t>
      </w:r>
    </w:p>
    <w:p w:rsidR="00C55427" w:rsidRPr="007179CB" w:rsidRDefault="00C55427" w:rsidP="00C55427">
      <w:pPr>
        <w:pStyle w:val="NoSpacing"/>
        <w:rPr>
          <w:rFonts w:cs="Arial"/>
          <w:lang w:val="en"/>
        </w:rPr>
      </w:pPr>
    </w:p>
    <w:p w:rsidR="000E0A3E" w:rsidRPr="007179CB" w:rsidRDefault="000E0A3E" w:rsidP="000E0A3E">
      <w:pPr>
        <w:rPr>
          <w:rFonts w:cs="Arial"/>
          <w:lang w:val="en"/>
        </w:rPr>
      </w:pPr>
      <w:r w:rsidRPr="007179CB">
        <w:rPr>
          <w:rFonts w:cs="Arial"/>
          <w:lang w:val="en"/>
        </w:rPr>
        <w:t xml:space="preserve">Mitchell, F. and Porter, R. (2016) </w:t>
      </w:r>
      <w:r w:rsidRPr="007179CB">
        <w:rPr>
          <w:rFonts w:cs="Arial"/>
          <w:i/>
          <w:lang w:val="en"/>
        </w:rPr>
        <w:t xml:space="preserve">Permanence </w:t>
      </w:r>
      <w:r w:rsidR="005649EE" w:rsidRPr="007179CB">
        <w:rPr>
          <w:rFonts w:cs="Arial"/>
          <w:i/>
          <w:lang w:val="en"/>
        </w:rPr>
        <w:t>and</w:t>
      </w:r>
      <w:r w:rsidRPr="007179CB">
        <w:rPr>
          <w:rFonts w:cs="Arial"/>
          <w:i/>
          <w:lang w:val="en"/>
        </w:rPr>
        <w:t xml:space="preserve"> Care Excellence (PACE): Background, Approach and Evidence</w:t>
      </w:r>
      <w:r w:rsidRPr="007179CB">
        <w:rPr>
          <w:rFonts w:cs="Arial"/>
          <w:lang w:val="en"/>
        </w:rPr>
        <w:t xml:space="preserve">. Glasgow: </w:t>
      </w:r>
      <w:r w:rsidR="00A65D40" w:rsidRPr="007179CB">
        <w:rPr>
          <w:rFonts w:cs="Arial"/>
          <w:lang w:val="en"/>
        </w:rPr>
        <w:t xml:space="preserve">University of Strathclyde </w:t>
      </w:r>
      <w:r w:rsidRPr="007179CB">
        <w:rPr>
          <w:rFonts w:cs="Arial"/>
          <w:lang w:val="en"/>
        </w:rPr>
        <w:t>Centre for Excellence for Looked After Children in Scotland.</w:t>
      </w:r>
    </w:p>
    <w:p w:rsidR="004C214C" w:rsidRPr="007179CB" w:rsidRDefault="004C214C" w:rsidP="004C214C">
      <w:pPr>
        <w:pStyle w:val="NoSpacing"/>
        <w:rPr>
          <w:lang w:val="en"/>
        </w:rPr>
      </w:pPr>
      <w:r w:rsidRPr="007179CB">
        <w:rPr>
          <w:lang w:val="en"/>
        </w:rPr>
        <w:t xml:space="preserve">National Records for Scotland (2016) </w:t>
      </w:r>
      <w:r w:rsidRPr="007179CB">
        <w:rPr>
          <w:i/>
          <w:lang w:val="en"/>
        </w:rPr>
        <w:t>Vital Events Reference Tables 2016, Section 2: Adoptions and re-registrations</w:t>
      </w:r>
      <w:r w:rsidRPr="007179CB">
        <w:rPr>
          <w:lang w:val="en"/>
        </w:rPr>
        <w:t xml:space="preserve">. Accessed on 28/01/2018 from </w:t>
      </w:r>
    </w:p>
    <w:p w:rsidR="004C214C" w:rsidRPr="007179CB" w:rsidRDefault="00B3657D" w:rsidP="004C214C">
      <w:pPr>
        <w:spacing w:line="360" w:lineRule="auto"/>
        <w:ind w:right="465"/>
        <w:rPr>
          <w:rFonts w:ascii="Arial" w:eastAsia="Times New Roman" w:hAnsi="Arial" w:cs="Arial"/>
          <w:b/>
          <w:bCs/>
          <w:sz w:val="19"/>
          <w:szCs w:val="19"/>
          <w:lang w:eastAsia="en-GB"/>
        </w:rPr>
      </w:pPr>
      <w:hyperlink r:id="rId10" w:history="1">
        <w:r w:rsidR="004C214C" w:rsidRPr="007179CB">
          <w:rPr>
            <w:rStyle w:val="Hyperlink"/>
            <w:rFonts w:ascii="Arial" w:eastAsia="Times New Roman" w:hAnsi="Arial" w:cs="Arial"/>
            <w:b/>
            <w:bCs/>
            <w:color w:val="auto"/>
            <w:sz w:val="19"/>
            <w:szCs w:val="19"/>
            <w:lang w:eastAsia="en-GB"/>
          </w:rPr>
          <w:t>https://www.nrscotland.gov.uk/statistics-and-data/statistics/statistics-by-theme/vital-events/general-publications/vital-events-reference-tables/2016/section-2-adoptions-and-re-registrations</w:t>
        </w:r>
      </w:hyperlink>
    </w:p>
    <w:p w:rsidR="00C22660" w:rsidRPr="007179CB" w:rsidRDefault="00C22660" w:rsidP="000B2855">
      <w:pPr>
        <w:rPr>
          <w:rFonts w:cs="Arial"/>
          <w:lang w:val="en"/>
        </w:rPr>
      </w:pPr>
      <w:r w:rsidRPr="007179CB">
        <w:rPr>
          <w:rFonts w:cs="Arial"/>
          <w:lang w:val="en"/>
        </w:rPr>
        <w:t xml:space="preserve">Plumtree, A. (2011) </w:t>
      </w:r>
      <w:r w:rsidRPr="007179CB">
        <w:rPr>
          <w:rFonts w:cs="Arial"/>
          <w:i/>
          <w:lang w:val="en"/>
        </w:rPr>
        <w:t>Permanence and adoption for children. A guide to the Adoption and Children (Scotland) Act 2007</w:t>
      </w:r>
      <w:r w:rsidRPr="007179CB">
        <w:rPr>
          <w:rFonts w:cs="Arial"/>
          <w:lang w:val="en"/>
        </w:rPr>
        <w:t>. London: BAAF.</w:t>
      </w:r>
    </w:p>
    <w:p w:rsidR="00A66A83" w:rsidRPr="007179CB" w:rsidRDefault="00A66A83" w:rsidP="00A66A83">
      <w:r w:rsidRPr="007179CB">
        <w:lastRenderedPageBreak/>
        <w:t xml:space="preserve">Saunders, H., and Selwyn, J. (2011). </w:t>
      </w:r>
      <w:r w:rsidRPr="007179CB">
        <w:rPr>
          <w:i/>
        </w:rPr>
        <w:t>Adopting large sibling groups: The experiences of adopters and adoption agencies</w:t>
      </w:r>
      <w:r w:rsidRPr="007179CB">
        <w:t>. London: BAAF.</w:t>
      </w:r>
    </w:p>
    <w:p w:rsidR="000B2855" w:rsidRPr="007179CB" w:rsidRDefault="00C16BDD" w:rsidP="000B2855">
      <w:r w:rsidRPr="007179CB">
        <w:t>Scottish Executive (2004)</w:t>
      </w:r>
      <w:r w:rsidR="000B2855" w:rsidRPr="007179CB">
        <w:t xml:space="preserve"> </w:t>
      </w:r>
      <w:r w:rsidR="000B2855" w:rsidRPr="007179CB">
        <w:rPr>
          <w:i/>
        </w:rPr>
        <w:t xml:space="preserve">Scotland's Children </w:t>
      </w:r>
      <w:proofErr w:type="gramStart"/>
      <w:r w:rsidR="000B2855" w:rsidRPr="007179CB">
        <w:rPr>
          <w:i/>
        </w:rPr>
        <w:t>The</w:t>
      </w:r>
      <w:proofErr w:type="gramEnd"/>
      <w:r w:rsidR="000B2855" w:rsidRPr="007179CB">
        <w:rPr>
          <w:i/>
        </w:rPr>
        <w:t xml:space="preserve"> Children (Scotland) Act 1995 Regulations and Guidance: Volume 3 Adoption and Parental Responsibilities Orders</w:t>
      </w:r>
      <w:r w:rsidR="000B2855" w:rsidRPr="007179CB">
        <w:t xml:space="preserve">. </w:t>
      </w:r>
    </w:p>
    <w:p w:rsidR="00F65F91" w:rsidRPr="007179CB" w:rsidRDefault="00F65F91" w:rsidP="000B2855">
      <w:r w:rsidRPr="007179CB">
        <w:t xml:space="preserve">Scottish Government (2010) </w:t>
      </w:r>
      <w:r w:rsidRPr="007179CB">
        <w:rPr>
          <w:i/>
        </w:rPr>
        <w:t>Guidance on Looked After Children (Scotland) Regulations 2009 and the Adoption and Children (Scotland) Act 2007</w:t>
      </w:r>
      <w:r w:rsidRPr="007179CB">
        <w:t xml:space="preserve">. </w:t>
      </w:r>
      <w:r w:rsidR="00A65D40" w:rsidRPr="007179CB">
        <w:t>Edinburgh: Scottish Government</w:t>
      </w:r>
    </w:p>
    <w:p w:rsidR="000B2855" w:rsidRPr="007179CB" w:rsidRDefault="000E0B3C" w:rsidP="000E0B3C">
      <w:r w:rsidRPr="007179CB">
        <w:t xml:space="preserve">Scottish Government </w:t>
      </w:r>
      <w:r w:rsidR="00C16BDD" w:rsidRPr="007179CB">
        <w:t>(2011)</w:t>
      </w:r>
      <w:r w:rsidRPr="007179CB">
        <w:t xml:space="preserve"> </w:t>
      </w:r>
      <w:r w:rsidRPr="007179CB">
        <w:rPr>
          <w:i/>
        </w:rPr>
        <w:t>Care and Permanence Planning for Looked After Children in Scotland. Scottish Government Response</w:t>
      </w:r>
      <w:r w:rsidRPr="007179CB">
        <w:t>. Edinburgh: Scottish Government.</w:t>
      </w:r>
    </w:p>
    <w:p w:rsidR="00DB4F88" w:rsidRPr="007179CB" w:rsidRDefault="000D0264" w:rsidP="00E175A3">
      <w:r w:rsidRPr="007179CB">
        <w:t>Scottish Government (2015</w:t>
      </w:r>
      <w:r w:rsidR="00DB4F88" w:rsidRPr="007179CB">
        <w:t xml:space="preserve">) </w:t>
      </w:r>
      <w:r w:rsidR="00DB4F88" w:rsidRPr="007179CB">
        <w:rPr>
          <w:i/>
        </w:rPr>
        <w:t xml:space="preserve">Getting It Right </w:t>
      </w:r>
      <w:proofErr w:type="gramStart"/>
      <w:r w:rsidR="00DB4F88" w:rsidRPr="007179CB">
        <w:rPr>
          <w:i/>
        </w:rPr>
        <w:t>For</w:t>
      </w:r>
      <w:proofErr w:type="gramEnd"/>
      <w:r w:rsidR="00DB4F88" w:rsidRPr="007179CB">
        <w:rPr>
          <w:i/>
        </w:rPr>
        <w:t xml:space="preserve"> Looked After C</w:t>
      </w:r>
      <w:r w:rsidR="00E11091" w:rsidRPr="007179CB">
        <w:rPr>
          <w:i/>
        </w:rPr>
        <w:t xml:space="preserve">hildren and Young People. Early </w:t>
      </w:r>
      <w:r w:rsidR="00DB4F88" w:rsidRPr="007179CB">
        <w:rPr>
          <w:i/>
        </w:rPr>
        <w:t>engagement, early permanence and improving the quality of care</w:t>
      </w:r>
      <w:r w:rsidR="00DB4F88" w:rsidRPr="007179CB">
        <w:t xml:space="preserve">. </w:t>
      </w:r>
      <w:r w:rsidR="00A65D40" w:rsidRPr="007179CB">
        <w:t>Edinburgh: Scottish Government.</w:t>
      </w:r>
      <w:r w:rsidR="002D7742" w:rsidRPr="007179CB">
        <w:t xml:space="preserve"> </w:t>
      </w:r>
      <w:r w:rsidR="00DB4F88" w:rsidRPr="007179CB">
        <w:t xml:space="preserve">Available at: </w:t>
      </w:r>
      <w:hyperlink r:id="rId11" w:history="1">
        <w:r w:rsidR="00DB4F88" w:rsidRPr="007179CB">
          <w:rPr>
            <w:rStyle w:val="Hyperlink"/>
            <w:color w:val="auto"/>
          </w:rPr>
          <w:t>http://www.gov.scot/Resource/0048/00489805.pdf</w:t>
        </w:r>
      </w:hyperlink>
      <w:r w:rsidR="00DB4F88" w:rsidRPr="007179CB">
        <w:t xml:space="preserve"> </w:t>
      </w:r>
    </w:p>
    <w:p w:rsidR="000E0B3C" w:rsidRPr="007179CB" w:rsidRDefault="00C16BDD" w:rsidP="000E0B3C">
      <w:r w:rsidRPr="007179CB">
        <w:t>Scottish Government (2017)</w:t>
      </w:r>
      <w:r w:rsidR="000E0B3C" w:rsidRPr="007179CB">
        <w:t xml:space="preserve"> </w:t>
      </w:r>
      <w:r w:rsidR="000E0B3C" w:rsidRPr="007179CB">
        <w:rPr>
          <w:i/>
        </w:rPr>
        <w:t>Children’s Social Work Statistics 2015-16</w:t>
      </w:r>
      <w:r w:rsidR="000E0B3C" w:rsidRPr="007179CB">
        <w:t>. Edinburgh: Scottish Government.</w:t>
      </w:r>
    </w:p>
    <w:p w:rsidR="000B2855" w:rsidRPr="007179CB" w:rsidRDefault="000B2855" w:rsidP="000B2855">
      <w:r w:rsidRPr="007179CB">
        <w:t>Scottish Parlia</w:t>
      </w:r>
      <w:r w:rsidR="00C16BDD" w:rsidRPr="007179CB">
        <w:t>ment (2006)</w:t>
      </w:r>
      <w:r w:rsidRPr="007179CB">
        <w:t xml:space="preserve"> </w:t>
      </w:r>
      <w:r w:rsidRPr="007179CB">
        <w:rPr>
          <w:i/>
        </w:rPr>
        <w:t>Adoption and Children (Scotland) Bill. Policy Memorandum</w:t>
      </w:r>
      <w:r w:rsidRPr="007179CB">
        <w:t>. Edinburgh: Scottish Parliament.</w:t>
      </w:r>
    </w:p>
    <w:p w:rsidR="002A6FDA" w:rsidRPr="007179CB" w:rsidRDefault="002A6FDA" w:rsidP="002A6FDA">
      <w:r w:rsidRPr="007179CB">
        <w:t xml:space="preserve">Selwyn J., Quinton D., Harris P., </w:t>
      </w:r>
      <w:proofErr w:type="spellStart"/>
      <w:r w:rsidRPr="007179CB">
        <w:t>Wijedasa</w:t>
      </w:r>
      <w:proofErr w:type="spellEnd"/>
      <w:r w:rsidRPr="007179CB">
        <w:t xml:space="preserve"> D., Nawaz S. and Wood M. (2010) </w:t>
      </w:r>
      <w:r w:rsidRPr="007179CB">
        <w:rPr>
          <w:i/>
        </w:rPr>
        <w:t>Pathways to Permanence for Black, Asian and Mixed Ethnicity Children</w:t>
      </w:r>
      <w:r w:rsidRPr="007179CB">
        <w:t>, London: BAAF.</w:t>
      </w:r>
    </w:p>
    <w:p w:rsidR="00AE430B" w:rsidRPr="007179CB" w:rsidRDefault="00AE430B" w:rsidP="000B2855">
      <w:r w:rsidRPr="007179CB">
        <w:t xml:space="preserve">Selwyn, J., </w:t>
      </w:r>
      <w:proofErr w:type="spellStart"/>
      <w:r w:rsidRPr="007179CB">
        <w:t>Sturgess</w:t>
      </w:r>
      <w:proofErr w:type="spellEnd"/>
      <w:r w:rsidRPr="007179CB">
        <w:t>, W., Qu</w:t>
      </w:r>
      <w:r w:rsidR="00C16BDD" w:rsidRPr="007179CB">
        <w:t>inton, D. and Baxter, C. (2006)</w:t>
      </w:r>
      <w:r w:rsidRPr="007179CB">
        <w:t xml:space="preserve"> </w:t>
      </w:r>
      <w:r w:rsidRPr="007179CB">
        <w:rPr>
          <w:i/>
        </w:rPr>
        <w:t>Costs and Outcomes of Non-Infant Adoptions</w:t>
      </w:r>
      <w:r w:rsidRPr="007179CB">
        <w:t>. London: BAAF</w:t>
      </w:r>
    </w:p>
    <w:p w:rsidR="00EB16D4" w:rsidRPr="007179CB" w:rsidRDefault="00EB16D4" w:rsidP="00EB16D4">
      <w:r w:rsidRPr="007179CB">
        <w:t xml:space="preserve">Sinclair I., Baker, C., Lee, J. and Gibbs, I. (2007) </w:t>
      </w:r>
      <w:r w:rsidRPr="007179CB">
        <w:rPr>
          <w:i/>
        </w:rPr>
        <w:t>The Pursuit of Permanence: A study of the English child care system</w:t>
      </w:r>
      <w:r w:rsidRPr="007179CB">
        <w:t>. Jessica Kingsley Publishers</w:t>
      </w:r>
    </w:p>
    <w:p w:rsidR="00531D56" w:rsidRPr="007179CB" w:rsidRDefault="00531D56" w:rsidP="00531D56">
      <w:r w:rsidRPr="007179CB">
        <w:rPr>
          <w:rFonts w:cstheme="minorHAnsi"/>
          <w:szCs w:val="24"/>
        </w:rPr>
        <w:t xml:space="preserve">The Lord Laming (2009).  </w:t>
      </w:r>
      <w:r w:rsidRPr="007179CB">
        <w:rPr>
          <w:rFonts w:cstheme="minorHAnsi"/>
          <w:i/>
          <w:szCs w:val="24"/>
        </w:rPr>
        <w:t>The Protection of Children in England: A Progress Report</w:t>
      </w:r>
      <w:r w:rsidRPr="007179CB">
        <w:rPr>
          <w:rFonts w:cstheme="minorHAnsi"/>
          <w:szCs w:val="24"/>
        </w:rPr>
        <w:t xml:space="preserve">.  London: The Stationery Office </w:t>
      </w:r>
      <w:proofErr w:type="gramStart"/>
      <w:r w:rsidRPr="007179CB">
        <w:rPr>
          <w:rFonts w:cstheme="minorHAnsi"/>
          <w:szCs w:val="24"/>
        </w:rPr>
        <w:t xml:space="preserve">  </w:t>
      </w:r>
      <w:r w:rsidRPr="007179CB">
        <w:rPr>
          <w:rFonts w:cstheme="minorHAnsi"/>
          <w:szCs w:val="24"/>
          <w:lang w:val="en-US" w:bidi="he-IL"/>
        </w:rPr>
        <w:t>:</w:t>
      </w:r>
      <w:proofErr w:type="gramEnd"/>
      <w:r w:rsidRPr="007179CB">
        <w:rPr>
          <w:rFonts w:cstheme="minorHAnsi"/>
          <w:szCs w:val="24"/>
          <w:lang w:val="en-US" w:bidi="he-IL"/>
        </w:rPr>
        <w:t xml:space="preserve"> </w:t>
      </w:r>
      <w:hyperlink r:id="rId12" w:history="1">
        <w:r w:rsidRPr="007179CB">
          <w:rPr>
            <w:rStyle w:val="Hyperlink"/>
            <w:rFonts w:cstheme="minorHAnsi"/>
            <w:color w:val="auto"/>
            <w:szCs w:val="24"/>
          </w:rPr>
          <w:t>http://dera.ioe.ac.uk/8646/1/12_03_09_children.pdf</w:t>
        </w:r>
      </w:hyperlink>
    </w:p>
    <w:p w:rsidR="00EB16D4" w:rsidRPr="007179CB" w:rsidRDefault="00EB16D4" w:rsidP="00EB16D4">
      <w:r w:rsidRPr="007179CB">
        <w:t xml:space="preserve">Triseliotis, J. (2002) ‘Long-term foster care or adoption? The evidence examined’ </w:t>
      </w:r>
      <w:r w:rsidRPr="007179CB">
        <w:rPr>
          <w:i/>
        </w:rPr>
        <w:t xml:space="preserve">Child and Family Social Work </w:t>
      </w:r>
      <w:r w:rsidR="002D7742" w:rsidRPr="007179CB">
        <w:t>7 (1):</w:t>
      </w:r>
      <w:r w:rsidRPr="007179CB">
        <w:t>23-33</w:t>
      </w:r>
    </w:p>
    <w:p w:rsidR="000B27F4" w:rsidRPr="007179CB" w:rsidRDefault="000B27F4" w:rsidP="000B27F4">
      <w:pPr>
        <w:pStyle w:val="NoSpacing"/>
      </w:pPr>
      <w:r w:rsidRPr="007179CB">
        <w:t xml:space="preserve">Ward, H., Brown, R., Westlake, D. (2012) </w:t>
      </w:r>
      <w:r w:rsidRPr="007179CB">
        <w:rPr>
          <w:i/>
        </w:rPr>
        <w:t>Safeguarding Babies and Very Young Children from Abuse and Neglect</w:t>
      </w:r>
      <w:r w:rsidRPr="007179CB">
        <w:t>. London: Jessica Kingsley Publishers</w:t>
      </w:r>
    </w:p>
    <w:p w:rsidR="00E11091" w:rsidRPr="007179CB" w:rsidRDefault="00E11091" w:rsidP="00E11091">
      <w:pPr>
        <w:pStyle w:val="H1"/>
        <w:rPr>
          <w:rFonts w:asciiTheme="minorHAnsi" w:hAnsiTheme="minorHAnsi"/>
          <w:color w:val="auto"/>
          <w:sz w:val="22"/>
          <w:szCs w:val="22"/>
        </w:rPr>
      </w:pPr>
      <w:r w:rsidRPr="007179CB">
        <w:rPr>
          <w:rFonts w:asciiTheme="minorHAnsi" w:hAnsiTheme="minorHAnsi"/>
          <w:color w:val="auto"/>
          <w:sz w:val="22"/>
          <w:szCs w:val="22"/>
        </w:rPr>
        <w:t>Woods, R. and Henderson, H (forthcoming).  Changes in out of home care and permanence planning among young children in Scotland, 2003 to 2017</w:t>
      </w:r>
    </w:p>
    <w:p w:rsidR="00E11091" w:rsidRPr="007179CB" w:rsidRDefault="00E11091" w:rsidP="000B27F4">
      <w:pPr>
        <w:pStyle w:val="NoSpacing"/>
      </w:pPr>
    </w:p>
    <w:p w:rsidR="00EB16D4" w:rsidRPr="007179CB" w:rsidRDefault="00EB16D4" w:rsidP="000B2855"/>
    <w:sectPr w:rsidR="00EB16D4" w:rsidRPr="007179C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57D" w:rsidRDefault="00B3657D" w:rsidP="00630903">
      <w:pPr>
        <w:spacing w:after="0" w:line="240" w:lineRule="auto"/>
      </w:pPr>
      <w:r>
        <w:separator/>
      </w:r>
    </w:p>
  </w:endnote>
  <w:endnote w:type="continuationSeparator" w:id="0">
    <w:p w:rsidR="00B3657D" w:rsidRDefault="00B3657D" w:rsidP="00630903">
      <w:pPr>
        <w:spacing w:after="0" w:line="240" w:lineRule="auto"/>
      </w:pPr>
      <w:r>
        <w:continuationSeparator/>
      </w:r>
    </w:p>
  </w:endnote>
  <w:endnote w:id="1">
    <w:p w:rsidR="000D0264" w:rsidRDefault="000D0264">
      <w:pPr>
        <w:pStyle w:val="EndnoteText"/>
      </w:pPr>
      <w:r>
        <w:rPr>
          <w:rStyle w:val="EndnoteReference"/>
        </w:rPr>
        <w:endnoteRef/>
      </w:r>
      <w:r>
        <w:t xml:space="preserve"> Section 17 Adoption and Children (Scotland) Act 2007 or Section 23 of the Adoption (Scotland) Act 1978. This report was not required for applications for a Parental Responsibilities Order under the Children (Scotland) Act 1995.</w:t>
      </w:r>
    </w:p>
  </w:endnote>
  <w:endnote w:id="2">
    <w:p w:rsidR="000D0264" w:rsidRDefault="000D0264" w:rsidP="001642A8">
      <w:pPr>
        <w:pStyle w:val="EndnoteText"/>
      </w:pPr>
      <w:r>
        <w:rPr>
          <w:rStyle w:val="EndnoteReference"/>
        </w:rPr>
        <w:endnoteRef/>
      </w:r>
      <w:r>
        <w:t xml:space="preserve"> There is no formal requirement for a child over 12 years old to consent to a Parental Responsibilities Order under the Children (Scotland) Act 1995, but in practice children’s views were usually obtained.</w:t>
      </w:r>
    </w:p>
    <w:p w:rsidR="000D0264" w:rsidRDefault="000D0264">
      <w:pPr>
        <w:pStyle w:val="EndnoteText"/>
      </w:pPr>
    </w:p>
    <w:p w:rsidR="000D0264" w:rsidRDefault="000D0264">
      <w:pPr>
        <w:pStyle w:val="EndnoteText"/>
      </w:pPr>
    </w:p>
    <w:p w:rsidR="000D0264" w:rsidRDefault="002D7742" w:rsidP="00E21743">
      <w:pPr>
        <w:pStyle w:val="EndnoteText"/>
      </w:pPr>
      <w:r>
        <w:t xml:space="preserve"> </w:t>
      </w:r>
      <w:r w:rsidR="0027727E">
        <w:t xml:space="preserve"> </w:t>
      </w:r>
      <w:r w:rsidR="00DE5C35">
        <w:t xml:space="preserve"> </w:t>
      </w:r>
      <w:r w:rsidR="0085276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dobe Garamond Pro">
    <w:altName w:val="Georgia"/>
    <w:panose1 w:val="020B0604020202020204"/>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289707"/>
      <w:docPartObj>
        <w:docPartGallery w:val="Page Numbers (Bottom of Page)"/>
        <w:docPartUnique/>
      </w:docPartObj>
    </w:sdtPr>
    <w:sdtEndPr>
      <w:rPr>
        <w:noProof/>
      </w:rPr>
    </w:sdtEndPr>
    <w:sdtContent>
      <w:p w:rsidR="000D0264" w:rsidRDefault="000D0264">
        <w:pPr>
          <w:pStyle w:val="Footer"/>
          <w:jc w:val="center"/>
        </w:pPr>
        <w:r>
          <w:fldChar w:fldCharType="begin"/>
        </w:r>
        <w:r>
          <w:instrText xml:space="preserve"> PAGE   \* MERGEFORMAT </w:instrText>
        </w:r>
        <w:r>
          <w:fldChar w:fldCharType="separate"/>
        </w:r>
        <w:r w:rsidR="00FD3FF0">
          <w:rPr>
            <w:noProof/>
          </w:rPr>
          <w:t>1</w:t>
        </w:r>
        <w:r>
          <w:rPr>
            <w:noProof/>
          </w:rPr>
          <w:fldChar w:fldCharType="end"/>
        </w:r>
      </w:p>
    </w:sdtContent>
  </w:sdt>
  <w:p w:rsidR="000D0264" w:rsidRDefault="000D0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57D" w:rsidRDefault="00B3657D" w:rsidP="00630903">
      <w:pPr>
        <w:spacing w:after="0" w:line="240" w:lineRule="auto"/>
      </w:pPr>
      <w:r>
        <w:separator/>
      </w:r>
    </w:p>
  </w:footnote>
  <w:footnote w:type="continuationSeparator" w:id="0">
    <w:p w:rsidR="00B3657D" w:rsidRDefault="00B3657D" w:rsidP="006309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55"/>
    <w:rsid w:val="00017F3C"/>
    <w:rsid w:val="00034C5A"/>
    <w:rsid w:val="00040AFC"/>
    <w:rsid w:val="00054454"/>
    <w:rsid w:val="0007078A"/>
    <w:rsid w:val="0007195C"/>
    <w:rsid w:val="00080A89"/>
    <w:rsid w:val="000A6892"/>
    <w:rsid w:val="000B27F4"/>
    <w:rsid w:val="000B2855"/>
    <w:rsid w:val="000D0264"/>
    <w:rsid w:val="000E0A3E"/>
    <w:rsid w:val="000E0B3C"/>
    <w:rsid w:val="000E6279"/>
    <w:rsid w:val="000F142A"/>
    <w:rsid w:val="000F29B0"/>
    <w:rsid w:val="00106631"/>
    <w:rsid w:val="00106C3F"/>
    <w:rsid w:val="001151A3"/>
    <w:rsid w:val="00125944"/>
    <w:rsid w:val="0013383F"/>
    <w:rsid w:val="001463FE"/>
    <w:rsid w:val="00156EA2"/>
    <w:rsid w:val="001642A8"/>
    <w:rsid w:val="0016654E"/>
    <w:rsid w:val="001707C0"/>
    <w:rsid w:val="001741B8"/>
    <w:rsid w:val="00174ABB"/>
    <w:rsid w:val="001856C7"/>
    <w:rsid w:val="00193503"/>
    <w:rsid w:val="00194847"/>
    <w:rsid w:val="00197AF8"/>
    <w:rsid w:val="001A4991"/>
    <w:rsid w:val="001A5C1F"/>
    <w:rsid w:val="001B156E"/>
    <w:rsid w:val="001C4895"/>
    <w:rsid w:val="001E384D"/>
    <w:rsid w:val="001F1DFD"/>
    <w:rsid w:val="001F2F10"/>
    <w:rsid w:val="00202896"/>
    <w:rsid w:val="0020421A"/>
    <w:rsid w:val="00217104"/>
    <w:rsid w:val="00224B83"/>
    <w:rsid w:val="00245B35"/>
    <w:rsid w:val="0025554B"/>
    <w:rsid w:val="002742EE"/>
    <w:rsid w:val="0027727E"/>
    <w:rsid w:val="0027756D"/>
    <w:rsid w:val="002A0361"/>
    <w:rsid w:val="002A6FDA"/>
    <w:rsid w:val="002B4B96"/>
    <w:rsid w:val="002C4729"/>
    <w:rsid w:val="002D7742"/>
    <w:rsid w:val="002E52E0"/>
    <w:rsid w:val="002F1156"/>
    <w:rsid w:val="00307AAE"/>
    <w:rsid w:val="003204AB"/>
    <w:rsid w:val="003259EF"/>
    <w:rsid w:val="0032631F"/>
    <w:rsid w:val="00350888"/>
    <w:rsid w:val="003559C5"/>
    <w:rsid w:val="003732DA"/>
    <w:rsid w:val="003747BA"/>
    <w:rsid w:val="00376DF1"/>
    <w:rsid w:val="00381B98"/>
    <w:rsid w:val="0038496B"/>
    <w:rsid w:val="003A018F"/>
    <w:rsid w:val="003B1940"/>
    <w:rsid w:val="003B27E5"/>
    <w:rsid w:val="003B7F1C"/>
    <w:rsid w:val="003C2860"/>
    <w:rsid w:val="003F5149"/>
    <w:rsid w:val="004072FE"/>
    <w:rsid w:val="0041481E"/>
    <w:rsid w:val="00421530"/>
    <w:rsid w:val="00424187"/>
    <w:rsid w:val="00424311"/>
    <w:rsid w:val="00446C27"/>
    <w:rsid w:val="00456B3C"/>
    <w:rsid w:val="00462AF7"/>
    <w:rsid w:val="00473DEA"/>
    <w:rsid w:val="004859FE"/>
    <w:rsid w:val="004A1185"/>
    <w:rsid w:val="004A216F"/>
    <w:rsid w:val="004B2934"/>
    <w:rsid w:val="004B35A4"/>
    <w:rsid w:val="004B5DC7"/>
    <w:rsid w:val="004B6BDA"/>
    <w:rsid w:val="004C214C"/>
    <w:rsid w:val="004E18D5"/>
    <w:rsid w:val="00517729"/>
    <w:rsid w:val="0052353D"/>
    <w:rsid w:val="00524EA6"/>
    <w:rsid w:val="00527F1C"/>
    <w:rsid w:val="00531D56"/>
    <w:rsid w:val="00534E2C"/>
    <w:rsid w:val="005366CC"/>
    <w:rsid w:val="00537C08"/>
    <w:rsid w:val="0054276E"/>
    <w:rsid w:val="00561B59"/>
    <w:rsid w:val="005649EE"/>
    <w:rsid w:val="005667A8"/>
    <w:rsid w:val="005870E2"/>
    <w:rsid w:val="00590B9C"/>
    <w:rsid w:val="00593447"/>
    <w:rsid w:val="005B5B5D"/>
    <w:rsid w:val="005D1CD1"/>
    <w:rsid w:val="005D3195"/>
    <w:rsid w:val="005D4D55"/>
    <w:rsid w:val="005D50F8"/>
    <w:rsid w:val="006105A6"/>
    <w:rsid w:val="006224BF"/>
    <w:rsid w:val="00627CF5"/>
    <w:rsid w:val="00630903"/>
    <w:rsid w:val="00641CD0"/>
    <w:rsid w:val="0064244B"/>
    <w:rsid w:val="006518F9"/>
    <w:rsid w:val="006523F9"/>
    <w:rsid w:val="00661F73"/>
    <w:rsid w:val="006678B7"/>
    <w:rsid w:val="00671AEC"/>
    <w:rsid w:val="006722DA"/>
    <w:rsid w:val="00677E2F"/>
    <w:rsid w:val="006876A7"/>
    <w:rsid w:val="00695169"/>
    <w:rsid w:val="006970D9"/>
    <w:rsid w:val="006A718A"/>
    <w:rsid w:val="006B77DA"/>
    <w:rsid w:val="006D2454"/>
    <w:rsid w:val="006E79D9"/>
    <w:rsid w:val="006F2516"/>
    <w:rsid w:val="006F48B0"/>
    <w:rsid w:val="00705013"/>
    <w:rsid w:val="00705941"/>
    <w:rsid w:val="00705DCD"/>
    <w:rsid w:val="0070684F"/>
    <w:rsid w:val="007149BB"/>
    <w:rsid w:val="007179CB"/>
    <w:rsid w:val="007317A0"/>
    <w:rsid w:val="00735685"/>
    <w:rsid w:val="00743EB0"/>
    <w:rsid w:val="00754618"/>
    <w:rsid w:val="00765FAB"/>
    <w:rsid w:val="00786FCD"/>
    <w:rsid w:val="007A0FE3"/>
    <w:rsid w:val="007A1406"/>
    <w:rsid w:val="007A5D45"/>
    <w:rsid w:val="007B0174"/>
    <w:rsid w:val="007C25D6"/>
    <w:rsid w:val="007C6A08"/>
    <w:rsid w:val="007F0200"/>
    <w:rsid w:val="00812607"/>
    <w:rsid w:val="008355DC"/>
    <w:rsid w:val="00841479"/>
    <w:rsid w:val="00842306"/>
    <w:rsid w:val="008458B7"/>
    <w:rsid w:val="00847A39"/>
    <w:rsid w:val="00852764"/>
    <w:rsid w:val="00861554"/>
    <w:rsid w:val="0087476C"/>
    <w:rsid w:val="0089698B"/>
    <w:rsid w:val="00897EC0"/>
    <w:rsid w:val="008B1F3A"/>
    <w:rsid w:val="008B30A5"/>
    <w:rsid w:val="008B3BE6"/>
    <w:rsid w:val="008B7023"/>
    <w:rsid w:val="008D308F"/>
    <w:rsid w:val="008D3936"/>
    <w:rsid w:val="008D64E8"/>
    <w:rsid w:val="008E1B5B"/>
    <w:rsid w:val="008E4B43"/>
    <w:rsid w:val="008F3F4B"/>
    <w:rsid w:val="008F519A"/>
    <w:rsid w:val="009058E8"/>
    <w:rsid w:val="00913FA2"/>
    <w:rsid w:val="00923B4B"/>
    <w:rsid w:val="00936C17"/>
    <w:rsid w:val="0093746E"/>
    <w:rsid w:val="0096392A"/>
    <w:rsid w:val="00972E02"/>
    <w:rsid w:val="00974DC2"/>
    <w:rsid w:val="00994BC5"/>
    <w:rsid w:val="009A4770"/>
    <w:rsid w:val="009A656A"/>
    <w:rsid w:val="009B0ECE"/>
    <w:rsid w:val="009C55DA"/>
    <w:rsid w:val="009D2693"/>
    <w:rsid w:val="00A32DAA"/>
    <w:rsid w:val="00A477DA"/>
    <w:rsid w:val="00A47FCB"/>
    <w:rsid w:val="00A65D40"/>
    <w:rsid w:val="00A66A83"/>
    <w:rsid w:val="00A74194"/>
    <w:rsid w:val="00A86ED2"/>
    <w:rsid w:val="00AA1DE4"/>
    <w:rsid w:val="00AA46FA"/>
    <w:rsid w:val="00AA79C5"/>
    <w:rsid w:val="00AC303F"/>
    <w:rsid w:val="00AD0F48"/>
    <w:rsid w:val="00AE100A"/>
    <w:rsid w:val="00AE2BA8"/>
    <w:rsid w:val="00AE430B"/>
    <w:rsid w:val="00AE6364"/>
    <w:rsid w:val="00AE6987"/>
    <w:rsid w:val="00AF72AA"/>
    <w:rsid w:val="00B05000"/>
    <w:rsid w:val="00B1474B"/>
    <w:rsid w:val="00B21AF5"/>
    <w:rsid w:val="00B21CE3"/>
    <w:rsid w:val="00B234AB"/>
    <w:rsid w:val="00B301FF"/>
    <w:rsid w:val="00B3657D"/>
    <w:rsid w:val="00B52335"/>
    <w:rsid w:val="00B52523"/>
    <w:rsid w:val="00B630DD"/>
    <w:rsid w:val="00B64945"/>
    <w:rsid w:val="00B70723"/>
    <w:rsid w:val="00B760B9"/>
    <w:rsid w:val="00B92C62"/>
    <w:rsid w:val="00BA7F29"/>
    <w:rsid w:val="00BC2A64"/>
    <w:rsid w:val="00BC4CAB"/>
    <w:rsid w:val="00BD7F55"/>
    <w:rsid w:val="00BE6B83"/>
    <w:rsid w:val="00BF589D"/>
    <w:rsid w:val="00C1349E"/>
    <w:rsid w:val="00C142D6"/>
    <w:rsid w:val="00C16BDD"/>
    <w:rsid w:val="00C22660"/>
    <w:rsid w:val="00C22B72"/>
    <w:rsid w:val="00C55427"/>
    <w:rsid w:val="00C57E5D"/>
    <w:rsid w:val="00C9124B"/>
    <w:rsid w:val="00CD531C"/>
    <w:rsid w:val="00CE5C86"/>
    <w:rsid w:val="00CE719F"/>
    <w:rsid w:val="00D035B5"/>
    <w:rsid w:val="00D06C1C"/>
    <w:rsid w:val="00D1095D"/>
    <w:rsid w:val="00D17155"/>
    <w:rsid w:val="00D43AEB"/>
    <w:rsid w:val="00D465C7"/>
    <w:rsid w:val="00D556E6"/>
    <w:rsid w:val="00D6225B"/>
    <w:rsid w:val="00D63568"/>
    <w:rsid w:val="00D823DF"/>
    <w:rsid w:val="00D85BF3"/>
    <w:rsid w:val="00D874D8"/>
    <w:rsid w:val="00DB4F88"/>
    <w:rsid w:val="00DD321C"/>
    <w:rsid w:val="00DE5C35"/>
    <w:rsid w:val="00DF4576"/>
    <w:rsid w:val="00DF6F05"/>
    <w:rsid w:val="00E00AD1"/>
    <w:rsid w:val="00E01D1F"/>
    <w:rsid w:val="00E028FD"/>
    <w:rsid w:val="00E0411C"/>
    <w:rsid w:val="00E107F9"/>
    <w:rsid w:val="00E11091"/>
    <w:rsid w:val="00E14D4F"/>
    <w:rsid w:val="00E175A3"/>
    <w:rsid w:val="00E21743"/>
    <w:rsid w:val="00E220F9"/>
    <w:rsid w:val="00E30A4B"/>
    <w:rsid w:val="00E52212"/>
    <w:rsid w:val="00E8283A"/>
    <w:rsid w:val="00E843C3"/>
    <w:rsid w:val="00E8771C"/>
    <w:rsid w:val="00E91542"/>
    <w:rsid w:val="00EA0B8B"/>
    <w:rsid w:val="00EA1FA3"/>
    <w:rsid w:val="00EA71F3"/>
    <w:rsid w:val="00EB16D4"/>
    <w:rsid w:val="00EB3B30"/>
    <w:rsid w:val="00EB573B"/>
    <w:rsid w:val="00EB7AA2"/>
    <w:rsid w:val="00EC6219"/>
    <w:rsid w:val="00ED1000"/>
    <w:rsid w:val="00ED235A"/>
    <w:rsid w:val="00EE6226"/>
    <w:rsid w:val="00F059C5"/>
    <w:rsid w:val="00F2652A"/>
    <w:rsid w:val="00F30997"/>
    <w:rsid w:val="00F32879"/>
    <w:rsid w:val="00F45E0E"/>
    <w:rsid w:val="00F52EB7"/>
    <w:rsid w:val="00F55D9A"/>
    <w:rsid w:val="00F62622"/>
    <w:rsid w:val="00F64F7D"/>
    <w:rsid w:val="00F65F91"/>
    <w:rsid w:val="00F71AAB"/>
    <w:rsid w:val="00F763C3"/>
    <w:rsid w:val="00F85B78"/>
    <w:rsid w:val="00FA64D9"/>
    <w:rsid w:val="00FD3FF0"/>
    <w:rsid w:val="00FD64F5"/>
    <w:rsid w:val="00FF5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0F5F"/>
  <w15:docId w15:val="{A4E20484-4E53-44EB-A2D5-DD83600B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855"/>
  </w:style>
  <w:style w:type="paragraph" w:styleId="Heading2">
    <w:name w:val="heading 2"/>
    <w:basedOn w:val="Normal"/>
    <w:next w:val="Normal"/>
    <w:link w:val="Heading2Char"/>
    <w:uiPriority w:val="9"/>
    <w:semiHidden/>
    <w:unhideWhenUsed/>
    <w:qFormat/>
    <w:rsid w:val="007F02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30B"/>
    <w:rPr>
      <w:b/>
      <w:bCs/>
    </w:rPr>
  </w:style>
  <w:style w:type="table" w:styleId="TableGrid">
    <w:name w:val="Table Grid"/>
    <w:basedOn w:val="TableNormal"/>
    <w:uiPriority w:val="39"/>
    <w:rsid w:val="00A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BF3"/>
    <w:pPr>
      <w:ind w:left="720"/>
      <w:contextualSpacing/>
    </w:pPr>
  </w:style>
  <w:style w:type="paragraph" w:styleId="EndnoteText">
    <w:name w:val="endnote text"/>
    <w:basedOn w:val="Normal"/>
    <w:link w:val="EndnoteTextChar"/>
    <w:uiPriority w:val="99"/>
    <w:semiHidden/>
    <w:unhideWhenUsed/>
    <w:rsid w:val="006309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903"/>
    <w:rPr>
      <w:sz w:val="20"/>
      <w:szCs w:val="20"/>
    </w:rPr>
  </w:style>
  <w:style w:type="character" w:styleId="EndnoteReference">
    <w:name w:val="endnote reference"/>
    <w:basedOn w:val="DefaultParagraphFont"/>
    <w:uiPriority w:val="99"/>
    <w:semiHidden/>
    <w:unhideWhenUsed/>
    <w:rsid w:val="00630903"/>
    <w:rPr>
      <w:vertAlign w:val="superscript"/>
    </w:rPr>
  </w:style>
  <w:style w:type="paragraph" w:styleId="BalloonText">
    <w:name w:val="Balloon Text"/>
    <w:basedOn w:val="Normal"/>
    <w:link w:val="BalloonTextChar"/>
    <w:uiPriority w:val="99"/>
    <w:semiHidden/>
    <w:unhideWhenUsed/>
    <w:rsid w:val="005D4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55"/>
    <w:rPr>
      <w:rFonts w:ascii="Segoe UI" w:hAnsi="Segoe UI" w:cs="Segoe UI"/>
      <w:sz w:val="18"/>
      <w:szCs w:val="18"/>
    </w:rPr>
  </w:style>
  <w:style w:type="paragraph" w:styleId="Header">
    <w:name w:val="header"/>
    <w:basedOn w:val="Normal"/>
    <w:link w:val="HeaderChar"/>
    <w:uiPriority w:val="99"/>
    <w:unhideWhenUsed/>
    <w:rsid w:val="00E21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743"/>
  </w:style>
  <w:style w:type="paragraph" w:styleId="Footer">
    <w:name w:val="footer"/>
    <w:basedOn w:val="Normal"/>
    <w:link w:val="FooterChar"/>
    <w:uiPriority w:val="99"/>
    <w:unhideWhenUsed/>
    <w:rsid w:val="00E21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743"/>
  </w:style>
  <w:style w:type="character" w:styleId="Hyperlink">
    <w:name w:val="Hyperlink"/>
    <w:basedOn w:val="DefaultParagraphFont"/>
    <w:uiPriority w:val="99"/>
    <w:unhideWhenUsed/>
    <w:rsid w:val="004C214C"/>
    <w:rPr>
      <w:color w:val="0563C1" w:themeColor="hyperlink"/>
      <w:u w:val="single"/>
    </w:rPr>
  </w:style>
  <w:style w:type="paragraph" w:styleId="NoSpacing">
    <w:name w:val="No Spacing"/>
    <w:uiPriority w:val="1"/>
    <w:qFormat/>
    <w:rsid w:val="004C214C"/>
    <w:pPr>
      <w:spacing w:after="0" w:line="240" w:lineRule="auto"/>
    </w:pPr>
  </w:style>
  <w:style w:type="character" w:styleId="Emphasis">
    <w:name w:val="Emphasis"/>
    <w:basedOn w:val="DefaultParagraphFont"/>
    <w:uiPriority w:val="20"/>
    <w:qFormat/>
    <w:rsid w:val="00EB16D4"/>
    <w:rPr>
      <w:i/>
      <w:iCs/>
    </w:rPr>
  </w:style>
  <w:style w:type="character" w:customStyle="1" w:styleId="Heading2Char">
    <w:name w:val="Heading 2 Char"/>
    <w:basedOn w:val="DefaultParagraphFont"/>
    <w:link w:val="Heading2"/>
    <w:uiPriority w:val="9"/>
    <w:semiHidden/>
    <w:rsid w:val="007F0200"/>
    <w:rPr>
      <w:rFonts w:asciiTheme="majorHAnsi" w:eastAsiaTheme="majorEastAsia" w:hAnsiTheme="majorHAnsi" w:cstheme="majorBidi"/>
      <w:color w:val="2E74B5" w:themeColor="accent1" w:themeShade="BF"/>
      <w:sz w:val="26"/>
      <w:szCs w:val="26"/>
    </w:rPr>
  </w:style>
  <w:style w:type="paragraph" w:customStyle="1" w:styleId="REF">
    <w:name w:val="REF"/>
    <w:basedOn w:val="Normal"/>
    <w:rsid w:val="00DB4F88"/>
    <w:pPr>
      <w:spacing w:after="0" w:line="360" w:lineRule="auto"/>
      <w:ind w:left="720" w:hanging="720"/>
    </w:pPr>
    <w:rPr>
      <w:rFonts w:ascii="Adobe Garamond Pro" w:eastAsia="Times New Roman" w:hAnsi="Adobe Garamond Pro" w:cs="Times New Roman"/>
      <w:sz w:val="24"/>
      <w:szCs w:val="24"/>
      <w:lang w:val="en-US"/>
    </w:rPr>
  </w:style>
  <w:style w:type="paragraph" w:customStyle="1" w:styleId="H1">
    <w:name w:val="H1"/>
    <w:basedOn w:val="Normal"/>
    <w:rsid w:val="00E11091"/>
    <w:pPr>
      <w:spacing w:before="120" w:after="120" w:line="240" w:lineRule="auto"/>
    </w:pPr>
    <w:rPr>
      <w:rFonts w:ascii="Arial" w:eastAsia="Times New Roman" w:hAnsi="Arial" w:cs="Times New Roman"/>
      <w:color w:val="FF0000"/>
      <w:sz w:val="32"/>
      <w:szCs w:val="24"/>
      <w:lang w:val="en-US"/>
    </w:rPr>
  </w:style>
  <w:style w:type="character" w:styleId="FollowedHyperlink">
    <w:name w:val="FollowedHyperlink"/>
    <w:basedOn w:val="DefaultParagraphFont"/>
    <w:uiPriority w:val="99"/>
    <w:semiHidden/>
    <w:unhideWhenUsed/>
    <w:rsid w:val="00531D56"/>
    <w:rPr>
      <w:color w:val="954F72" w:themeColor="followedHyperlink"/>
      <w:u w:val="single"/>
    </w:rPr>
  </w:style>
  <w:style w:type="character" w:styleId="CommentReference">
    <w:name w:val="annotation reference"/>
    <w:basedOn w:val="DefaultParagraphFont"/>
    <w:uiPriority w:val="99"/>
    <w:semiHidden/>
    <w:unhideWhenUsed/>
    <w:rsid w:val="00754618"/>
    <w:rPr>
      <w:sz w:val="16"/>
      <w:szCs w:val="16"/>
    </w:rPr>
  </w:style>
  <w:style w:type="paragraph" w:styleId="CommentText">
    <w:name w:val="annotation text"/>
    <w:basedOn w:val="Normal"/>
    <w:link w:val="CommentTextChar"/>
    <w:uiPriority w:val="99"/>
    <w:semiHidden/>
    <w:unhideWhenUsed/>
    <w:rsid w:val="00754618"/>
    <w:pPr>
      <w:spacing w:line="240" w:lineRule="auto"/>
    </w:pPr>
    <w:rPr>
      <w:sz w:val="20"/>
      <w:szCs w:val="20"/>
    </w:rPr>
  </w:style>
  <w:style w:type="character" w:customStyle="1" w:styleId="CommentTextChar">
    <w:name w:val="Comment Text Char"/>
    <w:basedOn w:val="DefaultParagraphFont"/>
    <w:link w:val="CommentText"/>
    <w:uiPriority w:val="99"/>
    <w:semiHidden/>
    <w:rsid w:val="00754618"/>
    <w:rPr>
      <w:sz w:val="20"/>
      <w:szCs w:val="20"/>
    </w:rPr>
  </w:style>
  <w:style w:type="paragraph" w:styleId="CommentSubject">
    <w:name w:val="annotation subject"/>
    <w:basedOn w:val="CommentText"/>
    <w:next w:val="CommentText"/>
    <w:link w:val="CommentSubjectChar"/>
    <w:uiPriority w:val="99"/>
    <w:semiHidden/>
    <w:unhideWhenUsed/>
    <w:rsid w:val="00754618"/>
    <w:rPr>
      <w:b/>
      <w:bCs/>
    </w:rPr>
  </w:style>
  <w:style w:type="character" w:customStyle="1" w:styleId="CommentSubjectChar">
    <w:name w:val="Comment Subject Char"/>
    <w:basedOn w:val="CommentTextChar"/>
    <w:link w:val="CommentSubject"/>
    <w:uiPriority w:val="99"/>
    <w:semiHidden/>
    <w:rsid w:val="00754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022">
      <w:bodyDiv w:val="1"/>
      <w:marLeft w:val="0"/>
      <w:marRight w:val="0"/>
      <w:marTop w:val="0"/>
      <w:marBottom w:val="0"/>
      <w:divBdr>
        <w:top w:val="none" w:sz="0" w:space="0" w:color="auto"/>
        <w:left w:val="none" w:sz="0" w:space="0" w:color="auto"/>
        <w:bottom w:val="none" w:sz="0" w:space="0" w:color="auto"/>
        <w:right w:val="none" w:sz="0" w:space="0" w:color="auto"/>
      </w:divBdr>
      <w:divsChild>
        <w:div w:id="901210559">
          <w:marLeft w:val="0"/>
          <w:marRight w:val="0"/>
          <w:marTop w:val="0"/>
          <w:marBottom w:val="0"/>
          <w:divBdr>
            <w:top w:val="none" w:sz="0" w:space="0" w:color="auto"/>
            <w:left w:val="none" w:sz="0" w:space="0" w:color="auto"/>
            <w:bottom w:val="none" w:sz="0" w:space="0" w:color="auto"/>
            <w:right w:val="none" w:sz="0" w:space="0" w:color="auto"/>
          </w:divBdr>
          <w:divsChild>
            <w:div w:id="886646194">
              <w:marLeft w:val="0"/>
              <w:marRight w:val="0"/>
              <w:marTop w:val="100"/>
              <w:marBottom w:val="100"/>
              <w:divBdr>
                <w:top w:val="none" w:sz="0" w:space="0" w:color="auto"/>
                <w:left w:val="none" w:sz="0" w:space="0" w:color="auto"/>
                <w:bottom w:val="none" w:sz="0" w:space="0" w:color="auto"/>
                <w:right w:val="none" w:sz="0" w:space="0" w:color="auto"/>
              </w:divBdr>
              <w:divsChild>
                <w:div w:id="1838420100">
                  <w:marLeft w:val="0"/>
                  <w:marRight w:val="0"/>
                  <w:marTop w:val="0"/>
                  <w:marBottom w:val="0"/>
                  <w:divBdr>
                    <w:top w:val="none" w:sz="0" w:space="0" w:color="auto"/>
                    <w:left w:val="none" w:sz="0" w:space="0" w:color="auto"/>
                    <w:bottom w:val="none" w:sz="0" w:space="0" w:color="auto"/>
                    <w:right w:val="none" w:sz="0" w:space="0" w:color="auto"/>
                  </w:divBdr>
                  <w:divsChild>
                    <w:div w:id="1936279083">
                      <w:marLeft w:val="0"/>
                      <w:marRight w:val="0"/>
                      <w:marTop w:val="0"/>
                      <w:marBottom w:val="0"/>
                      <w:divBdr>
                        <w:top w:val="none" w:sz="0" w:space="0" w:color="auto"/>
                        <w:left w:val="none" w:sz="0" w:space="0" w:color="auto"/>
                        <w:bottom w:val="none" w:sz="0" w:space="0" w:color="auto"/>
                        <w:right w:val="none" w:sz="0" w:space="0" w:color="auto"/>
                      </w:divBdr>
                      <w:divsChild>
                        <w:div w:id="117844908">
                          <w:marLeft w:val="0"/>
                          <w:marRight w:val="0"/>
                          <w:marTop w:val="0"/>
                          <w:marBottom w:val="0"/>
                          <w:divBdr>
                            <w:top w:val="none" w:sz="0" w:space="0" w:color="auto"/>
                            <w:left w:val="none" w:sz="0" w:space="0" w:color="auto"/>
                            <w:bottom w:val="none" w:sz="0" w:space="0" w:color="auto"/>
                            <w:right w:val="none" w:sz="0" w:space="0" w:color="auto"/>
                          </w:divBdr>
                          <w:divsChild>
                            <w:div w:id="1696805965">
                              <w:marLeft w:val="0"/>
                              <w:marRight w:val="0"/>
                              <w:marTop w:val="0"/>
                              <w:marBottom w:val="0"/>
                              <w:divBdr>
                                <w:top w:val="none" w:sz="0" w:space="0" w:color="auto"/>
                                <w:left w:val="none" w:sz="0" w:space="0" w:color="auto"/>
                                <w:bottom w:val="none" w:sz="0" w:space="0" w:color="auto"/>
                                <w:right w:val="none" w:sz="0" w:space="0" w:color="auto"/>
                              </w:divBdr>
                              <w:divsChild>
                                <w:div w:id="1600599740">
                                  <w:marLeft w:val="0"/>
                                  <w:marRight w:val="0"/>
                                  <w:marTop w:val="100"/>
                                  <w:marBottom w:val="100"/>
                                  <w:divBdr>
                                    <w:top w:val="none" w:sz="0" w:space="0" w:color="auto"/>
                                    <w:left w:val="none" w:sz="0" w:space="0" w:color="auto"/>
                                    <w:bottom w:val="none" w:sz="0" w:space="0" w:color="auto"/>
                                    <w:right w:val="none" w:sz="0" w:space="0" w:color="auto"/>
                                  </w:divBdr>
                                  <w:divsChild>
                                    <w:div w:id="1266688805">
                                      <w:marLeft w:val="0"/>
                                      <w:marRight w:val="0"/>
                                      <w:marTop w:val="0"/>
                                      <w:marBottom w:val="135"/>
                                      <w:divBdr>
                                        <w:top w:val="none" w:sz="0" w:space="0" w:color="auto"/>
                                        <w:left w:val="none" w:sz="0" w:space="0" w:color="auto"/>
                                        <w:bottom w:val="single" w:sz="12" w:space="9" w:color="EBEBEB"/>
                                        <w:right w:val="none" w:sz="0" w:space="0" w:color="auto"/>
                                      </w:divBdr>
                                      <w:divsChild>
                                        <w:div w:id="1802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163681">
      <w:bodyDiv w:val="1"/>
      <w:marLeft w:val="0"/>
      <w:marRight w:val="0"/>
      <w:marTop w:val="0"/>
      <w:marBottom w:val="0"/>
      <w:divBdr>
        <w:top w:val="none" w:sz="0" w:space="0" w:color="auto"/>
        <w:left w:val="none" w:sz="0" w:space="0" w:color="auto"/>
        <w:bottom w:val="none" w:sz="0" w:space="0" w:color="auto"/>
        <w:right w:val="none" w:sz="0" w:space="0" w:color="auto"/>
      </w:divBdr>
    </w:div>
    <w:div w:id="627442797">
      <w:bodyDiv w:val="1"/>
      <w:marLeft w:val="0"/>
      <w:marRight w:val="0"/>
      <w:marTop w:val="0"/>
      <w:marBottom w:val="0"/>
      <w:divBdr>
        <w:top w:val="none" w:sz="0" w:space="0" w:color="auto"/>
        <w:left w:val="none" w:sz="0" w:space="0" w:color="auto"/>
        <w:bottom w:val="none" w:sz="0" w:space="0" w:color="auto"/>
        <w:right w:val="none" w:sz="0" w:space="0" w:color="auto"/>
      </w:divBdr>
      <w:divsChild>
        <w:div w:id="1603144439">
          <w:marLeft w:val="0"/>
          <w:marRight w:val="0"/>
          <w:marTop w:val="0"/>
          <w:marBottom w:val="0"/>
          <w:divBdr>
            <w:top w:val="none" w:sz="0" w:space="0" w:color="auto"/>
            <w:left w:val="none" w:sz="0" w:space="0" w:color="auto"/>
            <w:bottom w:val="none" w:sz="0" w:space="0" w:color="auto"/>
            <w:right w:val="none" w:sz="0" w:space="0" w:color="auto"/>
          </w:divBdr>
          <w:divsChild>
            <w:div w:id="159928188">
              <w:marLeft w:val="0"/>
              <w:marRight w:val="0"/>
              <w:marTop w:val="0"/>
              <w:marBottom w:val="0"/>
              <w:divBdr>
                <w:top w:val="none" w:sz="0" w:space="0" w:color="auto"/>
                <w:left w:val="none" w:sz="0" w:space="0" w:color="auto"/>
                <w:bottom w:val="none" w:sz="0" w:space="0" w:color="auto"/>
                <w:right w:val="none" w:sz="0" w:space="0" w:color="auto"/>
              </w:divBdr>
              <w:divsChild>
                <w:div w:id="1392659368">
                  <w:marLeft w:val="0"/>
                  <w:marRight w:val="0"/>
                  <w:marTop w:val="0"/>
                  <w:marBottom w:val="0"/>
                  <w:divBdr>
                    <w:top w:val="none" w:sz="0" w:space="0" w:color="auto"/>
                    <w:left w:val="none" w:sz="0" w:space="0" w:color="auto"/>
                    <w:bottom w:val="none" w:sz="0" w:space="0" w:color="auto"/>
                    <w:right w:val="none" w:sz="0" w:space="0" w:color="auto"/>
                  </w:divBdr>
                  <w:divsChild>
                    <w:div w:id="747579564">
                      <w:marLeft w:val="0"/>
                      <w:marRight w:val="0"/>
                      <w:marTop w:val="0"/>
                      <w:marBottom w:val="0"/>
                      <w:divBdr>
                        <w:top w:val="none" w:sz="0" w:space="0" w:color="auto"/>
                        <w:left w:val="none" w:sz="0" w:space="0" w:color="auto"/>
                        <w:bottom w:val="none" w:sz="0" w:space="0" w:color="auto"/>
                        <w:right w:val="none" w:sz="0" w:space="0" w:color="auto"/>
                      </w:divBdr>
                      <w:divsChild>
                        <w:div w:id="613754133">
                          <w:marLeft w:val="0"/>
                          <w:marRight w:val="0"/>
                          <w:marTop w:val="0"/>
                          <w:marBottom w:val="0"/>
                          <w:divBdr>
                            <w:top w:val="none" w:sz="0" w:space="0" w:color="auto"/>
                            <w:left w:val="none" w:sz="0" w:space="0" w:color="auto"/>
                            <w:bottom w:val="none" w:sz="0" w:space="0" w:color="auto"/>
                            <w:right w:val="none" w:sz="0" w:space="0" w:color="auto"/>
                          </w:divBdr>
                          <w:divsChild>
                            <w:div w:id="1090929092">
                              <w:marLeft w:val="0"/>
                              <w:marRight w:val="0"/>
                              <w:marTop w:val="0"/>
                              <w:marBottom w:val="0"/>
                              <w:divBdr>
                                <w:top w:val="none" w:sz="0" w:space="0" w:color="auto"/>
                                <w:left w:val="none" w:sz="0" w:space="0" w:color="auto"/>
                                <w:bottom w:val="none" w:sz="0" w:space="0" w:color="auto"/>
                                <w:right w:val="none" w:sz="0" w:space="0" w:color="auto"/>
                              </w:divBdr>
                              <w:divsChild>
                                <w:div w:id="1479347666">
                                  <w:marLeft w:val="0"/>
                                  <w:marRight w:val="0"/>
                                  <w:marTop w:val="0"/>
                                  <w:marBottom w:val="0"/>
                                  <w:divBdr>
                                    <w:top w:val="none" w:sz="0" w:space="0" w:color="auto"/>
                                    <w:left w:val="none" w:sz="0" w:space="0" w:color="auto"/>
                                    <w:bottom w:val="none" w:sz="0" w:space="0" w:color="auto"/>
                                    <w:right w:val="none" w:sz="0" w:space="0" w:color="auto"/>
                                  </w:divBdr>
                                  <w:divsChild>
                                    <w:div w:id="1787381297">
                                      <w:marLeft w:val="0"/>
                                      <w:marRight w:val="0"/>
                                      <w:marTop w:val="0"/>
                                      <w:marBottom w:val="0"/>
                                      <w:divBdr>
                                        <w:top w:val="none" w:sz="0" w:space="0" w:color="auto"/>
                                        <w:left w:val="none" w:sz="0" w:space="0" w:color="auto"/>
                                        <w:bottom w:val="none" w:sz="0" w:space="0" w:color="auto"/>
                                        <w:right w:val="none" w:sz="0" w:space="0" w:color="auto"/>
                                      </w:divBdr>
                                      <w:divsChild>
                                        <w:div w:id="528882786">
                                          <w:marLeft w:val="0"/>
                                          <w:marRight w:val="0"/>
                                          <w:marTop w:val="0"/>
                                          <w:marBottom w:val="0"/>
                                          <w:divBdr>
                                            <w:top w:val="none" w:sz="0" w:space="0" w:color="auto"/>
                                            <w:left w:val="none" w:sz="0" w:space="0" w:color="auto"/>
                                            <w:bottom w:val="none" w:sz="0" w:space="0" w:color="auto"/>
                                            <w:right w:val="none" w:sz="0" w:space="0" w:color="auto"/>
                                          </w:divBdr>
                                          <w:divsChild>
                                            <w:div w:id="497699426">
                                              <w:marLeft w:val="0"/>
                                              <w:marRight w:val="0"/>
                                              <w:marTop w:val="0"/>
                                              <w:marBottom w:val="0"/>
                                              <w:divBdr>
                                                <w:top w:val="none" w:sz="0" w:space="0" w:color="auto"/>
                                                <w:left w:val="none" w:sz="0" w:space="0" w:color="auto"/>
                                                <w:bottom w:val="none" w:sz="0" w:space="0" w:color="auto"/>
                                                <w:right w:val="none" w:sz="0" w:space="0" w:color="auto"/>
                                              </w:divBdr>
                                              <w:divsChild>
                                                <w:div w:id="1947075194">
                                                  <w:marLeft w:val="0"/>
                                                  <w:marRight w:val="0"/>
                                                  <w:marTop w:val="0"/>
                                                  <w:marBottom w:val="0"/>
                                                  <w:divBdr>
                                                    <w:top w:val="none" w:sz="0" w:space="0" w:color="auto"/>
                                                    <w:left w:val="none" w:sz="0" w:space="0" w:color="auto"/>
                                                    <w:bottom w:val="none" w:sz="0" w:space="0" w:color="auto"/>
                                                    <w:right w:val="none" w:sz="0" w:space="0" w:color="auto"/>
                                                  </w:divBdr>
                                                  <w:divsChild>
                                                    <w:div w:id="1131098809">
                                                      <w:marLeft w:val="0"/>
                                                      <w:marRight w:val="0"/>
                                                      <w:marTop w:val="0"/>
                                                      <w:marBottom w:val="0"/>
                                                      <w:divBdr>
                                                        <w:top w:val="none" w:sz="0" w:space="0" w:color="auto"/>
                                                        <w:left w:val="none" w:sz="0" w:space="0" w:color="auto"/>
                                                        <w:bottom w:val="none" w:sz="0" w:space="0" w:color="auto"/>
                                                        <w:right w:val="none" w:sz="0" w:space="0" w:color="auto"/>
                                                      </w:divBdr>
                                                      <w:divsChild>
                                                        <w:div w:id="509105383">
                                                          <w:marLeft w:val="0"/>
                                                          <w:marRight w:val="0"/>
                                                          <w:marTop w:val="0"/>
                                                          <w:marBottom w:val="0"/>
                                                          <w:divBdr>
                                                            <w:top w:val="none" w:sz="0" w:space="0" w:color="auto"/>
                                                            <w:left w:val="none" w:sz="0" w:space="0" w:color="auto"/>
                                                            <w:bottom w:val="none" w:sz="0" w:space="0" w:color="auto"/>
                                                            <w:right w:val="none" w:sz="0" w:space="0" w:color="auto"/>
                                                          </w:divBdr>
                                                          <w:divsChild>
                                                            <w:div w:id="1586837442">
                                                              <w:marLeft w:val="0"/>
                                                              <w:marRight w:val="0"/>
                                                              <w:marTop w:val="0"/>
                                                              <w:marBottom w:val="0"/>
                                                              <w:divBdr>
                                                                <w:top w:val="none" w:sz="0" w:space="0" w:color="auto"/>
                                                                <w:left w:val="none" w:sz="0" w:space="0" w:color="auto"/>
                                                                <w:bottom w:val="none" w:sz="0" w:space="0" w:color="auto"/>
                                                                <w:right w:val="none" w:sz="0" w:space="0" w:color="auto"/>
                                                              </w:divBdr>
                                                              <w:divsChild>
                                                                <w:div w:id="1861432766">
                                                                  <w:marLeft w:val="0"/>
                                                                  <w:marRight w:val="0"/>
                                                                  <w:marTop w:val="0"/>
                                                                  <w:marBottom w:val="0"/>
                                                                  <w:divBdr>
                                                                    <w:top w:val="none" w:sz="0" w:space="0" w:color="auto"/>
                                                                    <w:left w:val="none" w:sz="0" w:space="0" w:color="auto"/>
                                                                    <w:bottom w:val="none" w:sz="0" w:space="0" w:color="auto"/>
                                                                    <w:right w:val="none" w:sz="0" w:space="0" w:color="auto"/>
                                                                  </w:divBdr>
                                                                  <w:divsChild>
                                                                    <w:div w:id="1329601984">
                                                                      <w:marLeft w:val="0"/>
                                                                      <w:marRight w:val="0"/>
                                                                      <w:marTop w:val="0"/>
                                                                      <w:marBottom w:val="0"/>
                                                                      <w:divBdr>
                                                                        <w:top w:val="none" w:sz="0" w:space="0" w:color="auto"/>
                                                                        <w:left w:val="none" w:sz="0" w:space="0" w:color="auto"/>
                                                                        <w:bottom w:val="none" w:sz="0" w:space="0" w:color="auto"/>
                                                                        <w:right w:val="none" w:sz="0" w:space="0" w:color="auto"/>
                                                                      </w:divBdr>
                                                                      <w:divsChild>
                                                                        <w:div w:id="268467238">
                                                                          <w:marLeft w:val="0"/>
                                                                          <w:marRight w:val="0"/>
                                                                          <w:marTop w:val="0"/>
                                                                          <w:marBottom w:val="0"/>
                                                                          <w:divBdr>
                                                                            <w:top w:val="none" w:sz="0" w:space="0" w:color="auto"/>
                                                                            <w:left w:val="none" w:sz="0" w:space="0" w:color="auto"/>
                                                                            <w:bottom w:val="none" w:sz="0" w:space="0" w:color="auto"/>
                                                                            <w:right w:val="none" w:sz="0" w:space="0" w:color="auto"/>
                                                                          </w:divBdr>
                                                                          <w:divsChild>
                                                                            <w:div w:id="1683819318">
                                                                              <w:marLeft w:val="0"/>
                                                                              <w:marRight w:val="0"/>
                                                                              <w:marTop w:val="0"/>
                                                                              <w:marBottom w:val="0"/>
                                                                              <w:divBdr>
                                                                                <w:top w:val="none" w:sz="0" w:space="0" w:color="auto"/>
                                                                                <w:left w:val="none" w:sz="0" w:space="0" w:color="auto"/>
                                                                                <w:bottom w:val="none" w:sz="0" w:space="0" w:color="auto"/>
                                                                                <w:right w:val="none" w:sz="0" w:space="0" w:color="auto"/>
                                                                              </w:divBdr>
                                                                              <w:divsChild>
                                                                                <w:div w:id="1843273676">
                                                                                  <w:marLeft w:val="0"/>
                                                                                  <w:marRight w:val="0"/>
                                                                                  <w:marTop w:val="0"/>
                                                                                  <w:marBottom w:val="0"/>
                                                                                  <w:divBdr>
                                                                                    <w:top w:val="none" w:sz="0" w:space="0" w:color="auto"/>
                                                                                    <w:left w:val="none" w:sz="0" w:space="0" w:color="auto"/>
                                                                                    <w:bottom w:val="none" w:sz="0" w:space="0" w:color="auto"/>
                                                                                    <w:right w:val="none" w:sz="0" w:space="0" w:color="auto"/>
                                                                                  </w:divBdr>
                                                                                  <w:divsChild>
                                                                                    <w:div w:id="440537202">
                                                                                      <w:marLeft w:val="0"/>
                                                                                      <w:marRight w:val="0"/>
                                                                                      <w:marTop w:val="0"/>
                                                                                      <w:marBottom w:val="0"/>
                                                                                      <w:divBdr>
                                                                                        <w:top w:val="none" w:sz="0" w:space="0" w:color="auto"/>
                                                                                        <w:left w:val="none" w:sz="0" w:space="0" w:color="auto"/>
                                                                                        <w:bottom w:val="none" w:sz="0" w:space="0" w:color="auto"/>
                                                                                        <w:right w:val="none" w:sz="0" w:space="0" w:color="auto"/>
                                                                                      </w:divBdr>
                                                                                      <w:divsChild>
                                                                                        <w:div w:id="1663117662">
                                                                                          <w:marLeft w:val="0"/>
                                                                                          <w:marRight w:val="0"/>
                                                                                          <w:marTop w:val="0"/>
                                                                                          <w:marBottom w:val="0"/>
                                                                                          <w:divBdr>
                                                                                            <w:top w:val="none" w:sz="0" w:space="0" w:color="auto"/>
                                                                                            <w:left w:val="none" w:sz="0" w:space="0" w:color="auto"/>
                                                                                            <w:bottom w:val="none" w:sz="0" w:space="0" w:color="auto"/>
                                                                                            <w:right w:val="none" w:sz="0" w:space="0" w:color="auto"/>
                                                                                          </w:divBdr>
                                                                                          <w:divsChild>
                                                                                            <w:div w:id="1310094994">
                                                                                              <w:marLeft w:val="0"/>
                                                                                              <w:marRight w:val="120"/>
                                                                                              <w:marTop w:val="0"/>
                                                                                              <w:marBottom w:val="150"/>
                                                                                              <w:divBdr>
                                                                                                <w:top w:val="single" w:sz="2" w:space="0" w:color="EFEFEF"/>
                                                                                                <w:left w:val="single" w:sz="6" w:space="0" w:color="EFEFEF"/>
                                                                                                <w:bottom w:val="single" w:sz="6" w:space="0" w:color="E2E2E2"/>
                                                                                                <w:right w:val="single" w:sz="6" w:space="0" w:color="EFEFEF"/>
                                                                                              </w:divBdr>
                                                                                              <w:divsChild>
                                                                                                <w:div w:id="1773016331">
                                                                                                  <w:marLeft w:val="0"/>
                                                                                                  <w:marRight w:val="0"/>
                                                                                                  <w:marTop w:val="0"/>
                                                                                                  <w:marBottom w:val="0"/>
                                                                                                  <w:divBdr>
                                                                                                    <w:top w:val="none" w:sz="0" w:space="0" w:color="auto"/>
                                                                                                    <w:left w:val="none" w:sz="0" w:space="0" w:color="auto"/>
                                                                                                    <w:bottom w:val="none" w:sz="0" w:space="0" w:color="auto"/>
                                                                                                    <w:right w:val="none" w:sz="0" w:space="0" w:color="auto"/>
                                                                                                  </w:divBdr>
                                                                                                  <w:divsChild>
                                                                                                    <w:div w:id="344288797">
                                                                                                      <w:marLeft w:val="0"/>
                                                                                                      <w:marRight w:val="0"/>
                                                                                                      <w:marTop w:val="0"/>
                                                                                                      <w:marBottom w:val="0"/>
                                                                                                      <w:divBdr>
                                                                                                        <w:top w:val="none" w:sz="0" w:space="0" w:color="auto"/>
                                                                                                        <w:left w:val="none" w:sz="0" w:space="0" w:color="auto"/>
                                                                                                        <w:bottom w:val="none" w:sz="0" w:space="0" w:color="auto"/>
                                                                                                        <w:right w:val="none" w:sz="0" w:space="0" w:color="auto"/>
                                                                                                      </w:divBdr>
                                                                                                      <w:divsChild>
                                                                                                        <w:div w:id="1228809583">
                                                                                                          <w:marLeft w:val="0"/>
                                                                                                          <w:marRight w:val="0"/>
                                                                                                          <w:marTop w:val="0"/>
                                                                                                          <w:marBottom w:val="0"/>
                                                                                                          <w:divBdr>
                                                                                                            <w:top w:val="none" w:sz="0" w:space="0" w:color="auto"/>
                                                                                                            <w:left w:val="none" w:sz="0" w:space="0" w:color="auto"/>
                                                                                                            <w:bottom w:val="none" w:sz="0" w:space="0" w:color="auto"/>
                                                                                                            <w:right w:val="none" w:sz="0" w:space="0" w:color="auto"/>
                                                                                                          </w:divBdr>
                                                                                                          <w:divsChild>
                                                                                                            <w:div w:id="683170587">
                                                                                                              <w:marLeft w:val="0"/>
                                                                                                              <w:marRight w:val="0"/>
                                                                                                              <w:marTop w:val="0"/>
                                                                                                              <w:marBottom w:val="0"/>
                                                                                                              <w:divBdr>
                                                                                                                <w:top w:val="none" w:sz="0" w:space="0" w:color="auto"/>
                                                                                                                <w:left w:val="none" w:sz="0" w:space="0" w:color="auto"/>
                                                                                                                <w:bottom w:val="none" w:sz="0" w:space="0" w:color="auto"/>
                                                                                                                <w:right w:val="none" w:sz="0" w:space="0" w:color="auto"/>
                                                                                                              </w:divBdr>
                                                                                                              <w:divsChild>
                                                                                                                <w:div w:id="105546995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42812157">
                                                                                                                      <w:marLeft w:val="225"/>
                                                                                                                      <w:marRight w:val="225"/>
                                                                                                                      <w:marTop w:val="75"/>
                                                                                                                      <w:marBottom w:val="75"/>
                                                                                                                      <w:divBdr>
                                                                                                                        <w:top w:val="none" w:sz="0" w:space="0" w:color="auto"/>
                                                                                                                        <w:left w:val="none" w:sz="0" w:space="0" w:color="auto"/>
                                                                                                                        <w:bottom w:val="none" w:sz="0" w:space="0" w:color="auto"/>
                                                                                                                        <w:right w:val="none" w:sz="0" w:space="0" w:color="auto"/>
                                                                                                                      </w:divBdr>
                                                                                                                      <w:divsChild>
                                                                                                                        <w:div w:id="2169854">
                                                                                                                          <w:marLeft w:val="0"/>
                                                                                                                          <w:marRight w:val="0"/>
                                                                                                                          <w:marTop w:val="0"/>
                                                                                                                          <w:marBottom w:val="0"/>
                                                                                                                          <w:divBdr>
                                                                                                                            <w:top w:val="single" w:sz="6" w:space="0" w:color="auto"/>
                                                                                                                            <w:left w:val="single" w:sz="6" w:space="0" w:color="auto"/>
                                                                                                                            <w:bottom w:val="single" w:sz="6" w:space="0" w:color="auto"/>
                                                                                                                            <w:right w:val="single" w:sz="6" w:space="0" w:color="auto"/>
                                                                                                                          </w:divBdr>
                                                                                                                          <w:divsChild>
                                                                                                                            <w:div w:id="1935896150">
                                                                                                                              <w:marLeft w:val="0"/>
                                                                                                                              <w:marRight w:val="0"/>
                                                                                                                              <w:marTop w:val="0"/>
                                                                                                                              <w:marBottom w:val="0"/>
                                                                                                                              <w:divBdr>
                                                                                                                                <w:top w:val="none" w:sz="0" w:space="0" w:color="auto"/>
                                                                                                                                <w:left w:val="none" w:sz="0" w:space="0" w:color="auto"/>
                                                                                                                                <w:bottom w:val="none" w:sz="0" w:space="0" w:color="auto"/>
                                                                                                                                <w:right w:val="none" w:sz="0" w:space="0" w:color="auto"/>
                                                                                                                              </w:divBdr>
                                                                                                                              <w:divsChild>
                                                                                                                                <w:div w:id="4540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01907409/82/supp/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direct.com/science/journal/01907409" TargetMode="External"/><Relationship Id="rId12" Type="http://schemas.openxmlformats.org/officeDocument/2006/relationships/hyperlink" Target="http://dera.ioe.ac.uk/8646/1/12_03_09_childr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scot/Resource/0048/00489805.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rscotland.gov.uk/statistics-and-data/statistics/statistics-by-theme/vital-events/general-publications/vital-events-reference-tables/2016/section-2-adoptions-and-re-registrations" TargetMode="External"/><Relationship Id="rId4" Type="http://schemas.openxmlformats.org/officeDocument/2006/relationships/webSettings" Target="webSettings.xml"/><Relationship Id="rId9" Type="http://schemas.openxmlformats.org/officeDocument/2006/relationships/hyperlink" Target="https://doi.org/10.1016/j.childyouth.2017.10.0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9FF5-FC64-F445-95EC-960C9361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6923</Words>
  <Characters>39467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hansonl</dc:creator>
  <cp:lastModifiedBy>Lucy Hanson</cp:lastModifiedBy>
  <cp:revision>3</cp:revision>
  <cp:lastPrinted>2018-05-01T15:40:00Z</cp:lastPrinted>
  <dcterms:created xsi:type="dcterms:W3CDTF">2018-06-13T11:57:00Z</dcterms:created>
  <dcterms:modified xsi:type="dcterms:W3CDTF">2018-06-13T11:57:00Z</dcterms:modified>
</cp:coreProperties>
</file>